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bidi w:val="0"/>
        <w:spacing w:lineRule="exact" w:line="400"/>
        <w:jc w:val="center"/>
        <w:rPr>
          <w:rFonts w:ascii="Times New Roman" w:hAnsi="Times New Roman" w:eastAsia="方正小标宋简体" w:cs="Times New Roman"/>
          <w:spacing w:val="-11"/>
          <w:sz w:val="44"/>
          <w:szCs w:val="44"/>
          <w:lang w:val="en-US" w:eastAsia="zh-CN"/>
        </w:rPr>
      </w:pPr>
      <w:r>
        <w:rPr>
          <w:rFonts w:eastAsia="方正小标宋简体" w:cs="Times New Roman" w:ascii="Times New Roman" w:hAnsi="Times New Roman"/>
          <w:spacing w:val="-11"/>
          <w:sz w:val="44"/>
          <w:szCs w:val="44"/>
          <w:lang w:val="en-US" w:eastAsia="zh-CN"/>
        </w:rPr>
      </w:r>
    </w:p>
    <w:p>
      <w:pPr>
        <w:pStyle w:val="Style14"/>
        <w:bidi w:val="0"/>
        <w:spacing w:lineRule="exact" w:line="560"/>
        <w:jc w:val="center"/>
        <w:rPr>
          <w:rFonts w:ascii="Times New Roman" w:hAnsi="Times New Roman" w:eastAsia="方正小标宋简体" w:cs="Times New Roman"/>
          <w:spacing w:val="-23"/>
          <w:sz w:val="44"/>
          <w:szCs w:val="44"/>
          <w:lang w:eastAsia="zh-CN"/>
        </w:rPr>
      </w:pPr>
      <w:r>
        <w:rPr>
          <w:rFonts w:ascii="Times New Roman" w:hAnsi="Times New Roman" w:cs="Times New Roman" w:eastAsia="方正小标宋简体"/>
          <w:spacing w:val="-23"/>
          <w:sz w:val="44"/>
          <w:szCs w:val="44"/>
        </w:rPr>
        <w:t>达州市达川区</w:t>
      </w:r>
      <w:r>
        <w:rPr>
          <w:rFonts w:ascii="Times New Roman" w:hAnsi="Times New Roman" w:cs="Times New Roman" w:eastAsia="方正小标宋简体"/>
          <w:spacing w:val="-23"/>
          <w:sz w:val="44"/>
          <w:szCs w:val="44"/>
          <w:lang w:eastAsia="zh-CN"/>
        </w:rPr>
        <w:t>百节</w:t>
      </w:r>
      <w:r>
        <w:rPr>
          <w:rFonts w:ascii="Times New Roman" w:hAnsi="Times New Roman" w:cs="Times New Roman" w:eastAsia="方正小标宋简体"/>
          <w:spacing w:val="-23"/>
          <w:sz w:val="44"/>
          <w:szCs w:val="44"/>
        </w:rPr>
        <w:t>镇权责清单</w:t>
      </w:r>
      <w:r>
        <w:rPr>
          <w:rFonts w:ascii="Times New Roman" w:hAnsi="Times New Roman" w:cs="Times New Roman" w:eastAsia="方正小标宋简体"/>
          <w:spacing w:val="-23"/>
          <w:sz w:val="44"/>
          <w:szCs w:val="44"/>
          <w:lang w:val="en-US" w:eastAsia="zh-CN"/>
        </w:rPr>
        <w:t xml:space="preserve"> </w:t>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对适龄儿童、少年因身体状况需要延缓入学或者休学的许可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9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对在村庄、集镇规划区内的街道、广场、市场和车站等场所和道路、河道两旁修建临时建筑物、构筑物和其他设施的许可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《村庄和集镇规划建设管理条例》第三十二条  未经乡级人民政府批准，任何单位和个人不得擅自在村庄、集镇规划区内的街道、广场、市场和车站等场所修建临时建筑物、构筑物和其他设施。</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《四川省村镇规划建设管理条例》第二十一条第一款  单位或个人在村镇规划区内和道路、河道两旁进行临时建设，应经乡级人民政府同意，并依法申请办理临时用地手续后，方可进行临时建设。</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200" w:firstLine="0"/>
              <w:jc w:val="center"/>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对在乡（镇）、村规划区域内使用原有宅基地、村内空闲地进行住宅建设的许可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color w:val="000000"/>
                <w:sz w:val="22"/>
                <w:szCs w:val="22"/>
              </w:rPr>
              <w:t>1.</w:t>
            </w:r>
            <w:r>
              <w:rPr>
                <w:rFonts w:ascii="Times New Roman" w:hAnsi="Times New Roman" w:cs="Times New Roman" w:eastAsia="方正仿宋简体"/>
                <w:color w:val="000000"/>
                <w:sz w:val="22"/>
                <w:szCs w:val="22"/>
              </w:rPr>
              <w:t>《四川省村镇规划建设管理条例》第十九条第一款第二项  使用原有宅基地、村内空闲地的，由乡级人民政府根据村镇规划和土地利用规划批准。</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w:t>
            </w:r>
            <w:r>
              <w:rPr>
                <w:rFonts w:ascii="Times New Roman" w:hAnsi="Times New Roman" w:cs="Times New Roman" w:eastAsia="方正仿宋简体"/>
                <w:color w:val="000000"/>
                <w:spacing w:val="-11"/>
                <w:sz w:val="22"/>
                <w:szCs w:val="22"/>
              </w:rPr>
              <w:t xml:space="preserve">川省城乡规划条例》第五十三条第二款  </w:t>
            </w:r>
            <w:r>
              <w:rPr>
                <w:rFonts w:ascii="Times New Roman" w:hAnsi="Times New Roman" w:cs="Times New Roman" w:eastAsia="方正仿宋简体"/>
                <w:color w:val="000000"/>
                <w:sz w:val="22"/>
                <w:szCs w:val="22"/>
              </w:rPr>
              <w:t>在</w:t>
            </w:r>
            <w:r>
              <w:rPr>
                <w:rFonts w:ascii="Times New Roman" w:hAnsi="Times New Roman" w:cs="Times New Roman" w:eastAsia="方正仿宋简体"/>
                <w:color w:val="000000"/>
                <w:spacing w:val="-11"/>
                <w:sz w:val="22"/>
                <w:szCs w:val="22"/>
              </w:rPr>
              <w:t>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对对开发农民集体所有的荒山、荒地、荒滩从事种植业、林业、畜牧业、渔业生产的许可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w:t>
            </w:r>
            <w:r>
              <w:rPr>
                <w:rFonts w:cs="Times New Roman" w:ascii="Times New Roman" w:hAnsi="Times New Roman"/>
                <w:color w:val="000000"/>
                <w:sz w:val="22"/>
                <w:szCs w:val="22"/>
              </w:rPr>
              <w:t>&lt;</w:t>
            </w:r>
            <w:r>
              <w:rPr>
                <w:rFonts w:ascii="Times New Roman" w:hAnsi="Times New Roman" w:cs="Times New Roman" w:eastAsia="方正仿宋简体"/>
                <w:color w:val="000000"/>
                <w:sz w:val="22"/>
                <w:szCs w:val="22"/>
              </w:rPr>
              <w:t>中华人民共和国土地管理法</w:t>
            </w:r>
            <w:r>
              <w:rPr>
                <w:rFonts w:cs="Times New Roman" w:ascii="Times New Roman" w:hAnsi="Times New Roman"/>
                <w:color w:val="000000"/>
                <w:sz w:val="22"/>
                <w:szCs w:val="22"/>
              </w:rPr>
              <w:t>&gt;</w:t>
            </w:r>
            <w:r>
              <w:rPr>
                <w:rFonts w:ascii="Times New Roman" w:hAnsi="Times New Roman" w:cs="Times New Roman" w:eastAsia="方正仿宋简体"/>
                <w:color w:val="000000"/>
                <w:sz w:val="22"/>
                <w:szCs w:val="22"/>
              </w:rPr>
              <w:t>实施办法》第三十条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部门备案。</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对不宜采取家庭承包方式的农村土地由本集体经济组织以外的单位或个人承包的许可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《中华人民共和国农村土地承包法》第五十二条第一款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发包方将农村土地发包给本集体经济组织以外的单位或者个人承包，应当事先经本集体经济组织成员的村民会议三分之二以上成员或者三分之二以上村民代表的同意，并报乡（镇）人民政府批准。</w:t>
            </w:r>
            <w:r>
              <w:rPr>
                <w:rFonts w:cs="Times New Roman" w:ascii="Times New Roman" w:hAnsi="Times New Roman"/>
                <w:color w:val="000000"/>
                <w:sz w:val="22"/>
                <w:szCs w:val="22"/>
              </w:rPr>
              <w:br/>
            </w:r>
            <w:r>
              <w:rPr>
                <w:rFonts w:eastAsia="方正仿宋简体" w:cs="Times New Roman" w:ascii="Times New Roman" w:hAnsi="Times New Roman"/>
                <w:color w:val="000000"/>
                <w:sz w:val="22"/>
                <w:szCs w:val="22"/>
              </w:rPr>
              <w:t xml:space="preserve">    </w:t>
            </w:r>
            <w:r>
              <w:rPr>
                <w:rFonts w:ascii="Times New Roman" w:hAnsi="Times New Roman" w:cs="Times New Roman" w:eastAsia="方正仿宋简体"/>
                <w:color w:val="000000"/>
                <w:sz w:val="22"/>
                <w:szCs w:val="22"/>
              </w:rPr>
              <w:t>《中华人民共和国农村土地承包法》第四十八条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不宜采取家庭承包方式的荒山、荒沟、荒丘、荒滩等农村土地，通过招标、拍卖、公开协商等方式承包的，适用本章规定。</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对农村村民住宅用地的许可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《中华人民共和国土地管理法》第六十二条第四款、第五款  农村村民住宅用地，由乡（镇）人民政府审核批准；其中，涉及占用农用地的，依照本法第四十四条的规定办理审批手续。 农村村民出卖、出租、赠与住宅后，再申请宅基地的，不予批准。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对农村的疫区、狂犬病防护带养犬的许可</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《四川省预防控制狂犬病条例》第六条第二款  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对适龄儿童、少年的父母或监护人未按规定送子女或被监护人就学接受义务教育的处罚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《教育行政处罚暂行实施办法》第十一条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pacing w:val="-6"/>
                <w:sz w:val="22"/>
                <w:szCs w:val="22"/>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《四川省城乡规划条例》第八十四条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对在村庄、集镇规划区内，村民未经批准或者违反村镇规划修建住宅的处罚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《村庄和集镇规划建设管理条例》第三十七条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《四川省村镇规划建设管理条例》第四十四条第二款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村民未经批准或者违反村镇规划修建住宅的，由乡级人民政府责令其停止建设或者限期拆除；尚可采取措施的，责令其限期改正，并可对责任人处以五百元以下罚款。</w:t>
            </w:r>
          </w:p>
        </w:tc>
      </w:tr>
      <w:tr>
        <w:trPr>
          <w:trHeight w:val="67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对擅自在村庄、集镇规划区内的街道、广场、市场和车站等场所以及道路两旁修建临时建筑物、构筑物和其他设施的处罚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《村庄和集镇规划建设管理条例》第四十条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擅自在村庄、集镇规划区内的街道、广场、市场和车站等场所修建临时建筑物、构筑物和其他设施的，由乡级人民政府责令限期拆除，并可处以罚款。</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《四川省村镇规划建设管理条例》第四十五条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擅自在村镇规划区内广场、市场和车站等场所以及道路两旁修建临时建筑物、构筑物和其他设施的，由乡级人民政府责令限期拆除，并可处以五百元以下罚款。</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对损坏村庄和集镇的房屋、公共设施；乱堆粪便、垃圾、柴草、杂物，破坏村容镇貌和环境卫生的处罚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《村庄和集镇规划建设管理条例》第三十九条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有下列行为之一的，由乡级人民政府责令停止侵害，可以处以罚款；造成损失的，并应当赔偿：（一）损坏村庄和集镇的房屋、公共设施的；（二）乱堆粪便、垃圾、柴草，破坏村容镇貌和环境卫生的。</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《四川省村镇规划建设管理条例》第四十六条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违反本条例规定，乱堆垃圾、粪便、杂物，影响村容镇貌和环境卫生的，由乡级人民政府责令停止侵害、恢复原状。损坏村镇公用基础设施的，除赔偿损失外，并由乡级人民政府处以直接损失金额一倍以下罚款。</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对自用船舶所有人拒不进行自用船舶登记或者自用船舶不按照限定区域航行；超载、非法载客和从事营业性运输的处罚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《四川省水上交通安全管理条例》第五十九条第二款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自用船舶所有人拒不进行自用船舶登记或者自用船舶不按照限定区域航行；超载、非法载客和从事营业性运输的，由乡（镇）人民政府责令其改正，并处以</w:t>
            </w:r>
            <w:r>
              <w:rPr>
                <w:rFonts w:cs="Times New Roman" w:ascii="Times New Roman" w:hAnsi="Times New Roman"/>
                <w:color w:val="000000"/>
                <w:sz w:val="22"/>
                <w:szCs w:val="22"/>
              </w:rPr>
              <w:t>100</w:t>
            </w:r>
            <w:r>
              <w:rPr>
                <w:rFonts w:ascii="Times New Roman" w:hAnsi="Times New Roman" w:cs="Times New Roman" w:eastAsia="方正仿宋简体"/>
                <w:color w:val="000000"/>
                <w:sz w:val="22"/>
                <w:szCs w:val="22"/>
              </w:rPr>
              <w:t>元以上</w:t>
            </w:r>
            <w:r>
              <w:rPr>
                <w:rFonts w:cs="Times New Roman" w:ascii="Times New Roman" w:hAnsi="Times New Roman"/>
                <w:color w:val="000000"/>
                <w:sz w:val="22"/>
                <w:szCs w:val="22"/>
              </w:rPr>
              <w:t>500</w:t>
            </w:r>
            <w:r>
              <w:rPr>
                <w:rFonts w:ascii="Times New Roman" w:hAnsi="Times New Roman" w:cs="Times New Roman" w:eastAsia="方正仿宋简体"/>
                <w:color w:val="000000"/>
                <w:sz w:val="22"/>
                <w:szCs w:val="22"/>
              </w:rPr>
              <w:t>元以下的罚款；情节严重的，可依法没收其船舶。</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对单位和个人损坏或者擅自移动有钉螺地带警示标志的处罚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《血吸虫病防治条例》五十一条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单位和个人损坏或者擅自移动有钉螺地带警示标志的，由乡（镇）人民政府责令修复或赔偿损失，给予警告；情节严重的，对</w:t>
            </w:r>
            <w:r>
              <w:rPr>
                <w:rFonts w:ascii="Times New Roman" w:hAnsi="Times New Roman" w:cs="Times New Roman" w:eastAsia="方正仿宋简体"/>
                <w:color w:val="000000"/>
                <w:spacing w:val="-6"/>
                <w:sz w:val="22"/>
                <w:szCs w:val="22"/>
              </w:rPr>
              <w:t>单位处</w:t>
            </w:r>
            <w:r>
              <w:rPr>
                <w:rFonts w:cs="Times New Roman" w:ascii="Times New Roman" w:hAnsi="Times New Roman"/>
                <w:color w:val="000000"/>
                <w:spacing w:val="-6"/>
                <w:sz w:val="22"/>
                <w:szCs w:val="22"/>
              </w:rPr>
              <w:t>1000</w:t>
            </w:r>
            <w:r>
              <w:rPr>
                <w:rFonts w:ascii="Times New Roman" w:hAnsi="Times New Roman" w:cs="Times New Roman" w:eastAsia="方正仿宋简体"/>
                <w:color w:val="000000"/>
                <w:spacing w:val="-6"/>
                <w:sz w:val="22"/>
                <w:szCs w:val="22"/>
              </w:rPr>
              <w:t>元以上</w:t>
            </w:r>
            <w:r>
              <w:rPr>
                <w:rFonts w:cs="Times New Roman" w:ascii="Times New Roman" w:hAnsi="Times New Roman"/>
                <w:color w:val="000000"/>
                <w:spacing w:val="-6"/>
                <w:sz w:val="22"/>
                <w:szCs w:val="22"/>
              </w:rPr>
              <w:t>3000</w:t>
            </w:r>
            <w:r>
              <w:rPr>
                <w:rFonts w:ascii="Times New Roman" w:hAnsi="Times New Roman" w:cs="Times New Roman" w:eastAsia="方正仿宋简体"/>
                <w:color w:val="000000"/>
                <w:spacing w:val="-6"/>
                <w:sz w:val="22"/>
                <w:szCs w:val="22"/>
              </w:rPr>
              <w:t>元以下的罚款；对个人处</w:t>
            </w:r>
            <w:r>
              <w:rPr>
                <w:rFonts w:cs="Times New Roman" w:ascii="Times New Roman" w:hAnsi="Times New Roman"/>
                <w:color w:val="000000"/>
                <w:spacing w:val="-6"/>
                <w:sz w:val="22"/>
                <w:szCs w:val="22"/>
              </w:rPr>
              <w:t>50</w:t>
            </w:r>
            <w:r>
              <w:rPr>
                <w:rFonts w:ascii="Times New Roman" w:hAnsi="Times New Roman" w:cs="Times New Roman" w:eastAsia="方正仿宋简体"/>
                <w:color w:val="000000"/>
                <w:spacing w:val="-6"/>
                <w:sz w:val="22"/>
                <w:szCs w:val="22"/>
              </w:rPr>
              <w:t>元以上</w:t>
            </w:r>
            <w:r>
              <w:rPr>
                <w:rFonts w:cs="Times New Roman" w:ascii="Times New Roman" w:hAnsi="Times New Roman"/>
                <w:color w:val="000000"/>
                <w:spacing w:val="-6"/>
                <w:sz w:val="22"/>
                <w:szCs w:val="22"/>
              </w:rPr>
              <w:t>200</w:t>
            </w:r>
            <w:r>
              <w:rPr>
                <w:rFonts w:ascii="Times New Roman" w:hAnsi="Times New Roman" w:cs="Times New Roman" w:eastAsia="方正仿宋简体"/>
                <w:color w:val="000000"/>
                <w:spacing w:val="-6"/>
                <w:sz w:val="22"/>
                <w:szCs w:val="22"/>
              </w:rPr>
              <w:t>元以下的罚款。</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200" w:firstLine="0"/>
              <w:jc w:val="center"/>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行政强制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对在依法划定的电力设施保护区内修建建筑物、构筑物或者种植植物、堆放物品，危及电力设施安全的强制拆除、砍伐或者清除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行政强制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对非法种植毒品原植物的强制制止、铲除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《中华人民共和国禁毒法》第十九条第二款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地方各级人民政府发现非法种植毒品原植物的，应当立即采取措施予以制止、铲除。村民委员会、居民委员会发现非法</w:t>
            </w:r>
            <w:r>
              <w:rPr>
                <w:rFonts w:ascii="Times New Roman" w:hAnsi="Times New Roman" w:cs="Times New Roman" w:eastAsia="方正仿宋简体"/>
                <w:color w:val="000000"/>
                <w:spacing w:val="-6"/>
                <w:sz w:val="22"/>
                <w:szCs w:val="22"/>
              </w:rPr>
              <w:t>种植毒品原植物的，应当及时予以制止、铲除，并向当地公安机关报告。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行政强制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w:t>
            </w:r>
            <w:r>
              <w:rPr>
                <w:rFonts w:ascii="Times New Roman" w:hAnsi="Times New Roman" w:cs="Times New Roman" w:eastAsia="方正仿宋简体"/>
                <w:kern w:val="0"/>
                <w:sz w:val="22"/>
                <w:szCs w:val="22"/>
              </w:rPr>
              <w:t>对受到地质灾害威胁且情况紧急时的强制避灾疏散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《地质灾害防治条例》第二十九条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接到地质灾害险情报告的当地人民政府、基层群众自治组织应当根据实际情况，及时动员受到地质灾害威胁的居民以及其他人员转移到安全地带；情况紧急时，可以强行组织避灾疏散。</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行政强制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对在乡、村庄规划区内未依法取得乡村建设规划许可证或者未按照乡村建设规划许可证的规定进行建设的，逾期不改正的强制拆除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《中华人民共和国城乡规划法》第六十五条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在乡、村庄规划区内未依法取得乡村建设规划许可证或者未按照乡村建设规划许可证的规定进行建设的，由乡、镇人民政府责令停止建设、限期改正；逾期不改正的，可以拆除。</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63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19</w:t>
            </w:r>
          </w:p>
        </w:tc>
      </w:tr>
      <w:tr>
        <w:trPr>
          <w:trHeight w:val="10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农村幼儿园举办、停办登记注册</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color w:val="000000"/>
                <w:sz w:val="22"/>
                <w:szCs w:val="22"/>
              </w:rPr>
              <w:t>1.</w:t>
            </w:r>
            <w:r>
              <w:rPr>
                <w:rFonts w:ascii="Times New Roman" w:hAnsi="Times New Roman" w:cs="Times New Roman" w:eastAsia="方正仿宋简体"/>
                <w:color w:val="000000"/>
                <w:sz w:val="22"/>
                <w:szCs w:val="22"/>
              </w:rPr>
              <w:t>《幼儿园管理条例》第十一条　国家实行幼儿园登记注册制度，未经登记注册，任何单位和个人不得举办幼儿园。</w:t>
            </w:r>
            <w:r>
              <w:rPr>
                <w:rFonts w:eastAsia="方正仿宋简体" w:cs="Times New Roman" w:ascii="Times New Roman" w:hAnsi="Times New Roman"/>
                <w:color w:val="000000"/>
                <w:sz w:val="22"/>
                <w:szCs w:val="22"/>
              </w:rPr>
              <w:br/>
            </w:r>
            <w:r>
              <w:rPr>
                <w:rFonts w:ascii="Times New Roman" w:hAnsi="Times New Roman" w:cs="Times New Roman" w:eastAsia="方正仿宋简体"/>
                <w:color w:val="000000"/>
                <w:sz w:val="22"/>
                <w:szCs w:val="22"/>
              </w:rPr>
              <w:t>《幼儿园管理条例》第十二条　城市幼儿园的举办、停办、由所在区、不设区的市的人民政府教育行政部门登记注册。农村幼儿园的举办、停办，由所在乡、镇人民政府登记注册，并报县人民政府教育行政部门备案。</w:t>
            </w:r>
            <w:r>
              <w:rPr>
                <w:rFonts w:eastAsia="方正仿宋简体"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《四川省幼儿园登记注册管理办法》第五条第二款、第三款、第四款  农村区、乡、镇所属单位举办幼儿园，应向所在地的乡 （镇）人民政府提出书面申请，填写《幼儿园登记注册表》，经审查符合规定条件者准予登记注册，发给《办园证书》，并报县（市、区）教育行政部门备案。公民举办个体性质的幼儿园，应向所在地乡（镇）人民政府、城市街道办事处提出书面申请，填写《幼儿园登记注册表》。由乡（镇）人民政府、城市街道办事处审查同意后报县（市、区）教育行政部门审查，符合规定条件者准予登记注册，发给《办园证书》。</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《幼儿园登记注册表》和《办园证书》的格式由省教育行政部门统一制发。</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中国内地公民婚姻登记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《婚姻登记条例》第二条第一款　内地居民办理婚姻登记的机关是县级人民政府民政部门或者乡（镇）人民政府，省、自治区、直辖市人民政府可以按照便民原则确定农村居民办理婚姻登记的具体机关。</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对公民申请法律援助需要提交的经济困难证明的确认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《四川省法律援助条例》第二十一条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公民申请法律援助需要提交的经济困难证明，由其住所地或者经常居住地的村民委员会或者社区居民委员会出具，并由乡（镇）人民政府或者街道办事处确认。</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自用船舶登记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《四川省水上交通安全管理条例》第十三条第三款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自用船舶所有人应当向当地乡（镇）人民政府、街道办事处申请办理自用船舶登记证书。</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jc w:val="center"/>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食品摊贩登记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《四川省食品小作坊、小经营店及摊贩管理条例》第二十四条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食品摊贩经营者应当到经营所在地的乡（镇）人民政府或者街道办事处登记，并提交身份证明、住所、联系方式、健康证明等材料。乡（镇）人民政府、街道办事处可以对本行政区域内的食品摊贩主动进行登记。登记后，乡（镇）人民政府、街道办事处应当向食品摊贩发放登记卡，并将登记信息告知食品监督行政部门和城市管理行政部门。发放登记卡不收取任何费用。登记卡式样由省食品监督行政部门统一规定。</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行政审批办公室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兵役登记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《征兵工作条例》第十二条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val="en-US" w:eastAsia="zh-CN"/>
              </w:rPr>
            </w:pPr>
            <w:r>
              <w:rPr>
                <w:rFonts w:ascii="Times New Roman" w:hAnsi="Times New Roman" w:cs="Times New Roman" w:eastAsia="方正仿宋_GBK"/>
                <w:sz w:val="22"/>
                <w:lang w:val="en-US" w:eastAsia="zh-CN"/>
              </w:rPr>
              <w:t>武装部</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ind w:firstLineChars="1200" w:firstLine="0"/>
              <w:jc w:val="both"/>
              <w:textAlignment w:val="center"/>
              <w:rPr>
                <w:rFonts w:ascii="Times New Roman" w:hAnsi="Times New Roman" w:cs="Times New Roman"/>
              </w:rPr>
            </w:pPr>
            <w:r>
              <w:rPr>
                <w:rFonts w:ascii="Times New Roman" w:hAnsi="Times New Roman" w:cs="Times New Roman" w:eastAsia="方正仿宋简体"/>
                <w:color w:val="000000"/>
                <w:sz w:val="22"/>
                <w:szCs w:val="22"/>
              </w:rPr>
              <w:t>行政裁决</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对个人之间、个人与单位之间土地所有权和使用权争议的裁决</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《中华人民共和国土地管理法》第十四条第一款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土地所有权和使用权争议，由当事人协商解决；协商不成的，由人民政府处理。单位之间的争议，由县级以上人民政府处理；个人之间、个人与单位之间的争议，由乡级人民政府或者县级以上人民政府处理。</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《土地权属争议调查处理办法》第九条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当事人发生土地权属争议，经协商不能解决的，可以依法向县级以上人民政府或者乡级人民政府提出处理申请，也可以依照本办法第五、六、七、八条的规定，向有关的国土资源行政主管部门提出调查处理申请。</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《土地权属争议调查处理办法》第三十三条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乡级人民政府处理土地权属争议，参照本办法执行。</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val="en-US" w:eastAsia="zh-CN"/>
              </w:rPr>
            </w:pPr>
            <w:r>
              <w:rPr>
                <w:rFonts w:ascii="Times New Roman" w:hAnsi="Times New Roman" w:cs="Times New Roman" w:eastAsia="方正仿宋_GBK"/>
                <w:sz w:val="22"/>
                <w:lang w:val="en-US"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ind w:firstLineChars="1600" w:firstLine="0"/>
              <w:jc w:val="both"/>
              <w:textAlignment w:val="center"/>
              <w:rPr>
                <w:rFonts w:ascii="Times New Roman" w:hAnsi="Times New Roman" w:cs="Times New Roman"/>
              </w:rPr>
            </w:pPr>
            <w:r>
              <w:rPr>
                <w:rFonts w:cs="Times New Roman" w:ascii="Times New Roman" w:hAnsi="Times New Roman"/>
              </w:rPr>
              <w:t>26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行政裁决</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对个人之间、个人与单位之间林木所有权、林地使用权争议的裁决</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《中华人民共和国森林法》第二十二条第二款　个人之间、个人与单位之间发生的林木所有权和林地使用权争议，由乡镇人民政府或者县级以上人民政府依法处理。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Fonts w:ascii="Times New Roman" w:hAnsi="Times New Roman" w:cs="Times New Roman" w:eastAsia="方正仿宋_GBK"/>
                <w:sz w:val="24"/>
                <w:szCs w:val="28"/>
                <w:lang w:val="en-US"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行政给付</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森林病虫害防治费用的适当扶持或补助</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《森林病虫害防治条例》第十九条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w:t>
            </w:r>
            <w:r>
              <w:rPr>
                <w:rFonts w:ascii="Times New Roman" w:hAnsi="Times New Roman" w:cs="Times New Roman" w:eastAsia="方正仿宋简体"/>
                <w:color w:val="000000"/>
                <w:spacing w:val="-11"/>
                <w:sz w:val="22"/>
                <w:szCs w:val="22"/>
              </w:rPr>
              <w:t>地方各级人民政府给予适当扶持。发生大面积暴发性或者危险性病虫害，森林经营单位或者个人确实无力负担全部防治费用的，各级人民政府应当给予补助。</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Fonts w:ascii="Times New Roman" w:hAnsi="Times New Roman" w:cs="Times New Roman" w:eastAsia="方正仿宋_GBK"/>
                <w:sz w:val="24"/>
                <w:szCs w:val="24"/>
                <w:lang w:val="en-US"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行政征收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为应对突发事件对单位和个人财产的征用</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《中华人民共和国突发事件应对法》第五十二条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00" w:firstLine="0"/>
              <w:rPr>
                <w:rFonts w:ascii="Times New Roman" w:hAnsi="Times New Roman" w:eastAsia="方正仿宋_GBK" w:cs="Times New Roman"/>
                <w:sz w:val="22"/>
              </w:rPr>
            </w:pPr>
            <w:r>
              <w:rPr>
                <w:rFonts w:ascii="Times New Roman" w:hAnsi="Times New Roman" w:cs="Times New Roman" w:eastAsia="方正仿宋_GBK"/>
                <w:sz w:val="22"/>
                <w:lang w:val="en-US" w:eastAsia="zh-CN"/>
              </w:rPr>
              <w:t>应急管理办公室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对地质灾害险情的检查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《地质灾害防治条例》第十五条第一款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地质灾害易发区的县、乡、村应当加强地质灾害的群测群防工作。在地质灾害重点防范期内，乡镇人民政府、基层群众自治组织应当加强地质灾害险情的巡回检查，发现险情及时处理和报告。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Fonts w:ascii="Times New Roman" w:hAnsi="Times New Roman" w:cs="Times New Roman" w:eastAsia="方正仿宋_GBK"/>
                <w:sz w:val="22"/>
                <w:lang w:val="en-US" w:eastAsia="zh-CN"/>
              </w:rPr>
              <w:t>应急管理办公室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widowControl w:val="false"/>
        <w:bidi w:val="0"/>
        <w:jc w:val="both"/>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对环境保护隐患的检查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《四川省环境保护条例》第三条第四款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w:t>
            </w:r>
            <w:r>
              <w:rPr>
                <w:rFonts w:cs="Times New Roman" w:ascii="Times New Roman" w:hAnsi="Times New Roman"/>
                <w:color w:val="000000"/>
                <w:sz w:val="22"/>
                <w:szCs w:val="22"/>
              </w:rPr>
              <w:t>&lt;</w:t>
            </w:r>
            <w:r>
              <w:rPr>
                <w:rFonts w:ascii="Times New Roman" w:hAnsi="Times New Roman" w:cs="Times New Roman" w:eastAsia="方正仿宋简体"/>
                <w:color w:val="000000"/>
                <w:sz w:val="22"/>
                <w:szCs w:val="22"/>
              </w:rPr>
              <w:t>中华人民共和国大气污染防治法</w:t>
            </w:r>
            <w:r>
              <w:rPr>
                <w:rFonts w:cs="Times New Roman" w:ascii="Times New Roman" w:hAnsi="Times New Roman"/>
                <w:color w:val="000000"/>
                <w:sz w:val="22"/>
                <w:szCs w:val="22"/>
              </w:rPr>
              <w:t>&gt;</w:t>
            </w:r>
            <w:r>
              <w:rPr>
                <w:rFonts w:ascii="Times New Roman" w:hAnsi="Times New Roman" w:cs="Times New Roman" w:eastAsia="方正仿宋简体"/>
                <w:color w:val="000000"/>
                <w:sz w:val="22"/>
                <w:szCs w:val="22"/>
              </w:rPr>
              <w:t>实施办法》第三条第三款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Fonts w:ascii="Times New Roman" w:hAnsi="Times New Roman" w:cs="Times New Roman" w:eastAsia="方正仿宋_GBK"/>
                <w:sz w:val="22"/>
                <w:lang w:val="en-US"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对秸秆禁烧区开展秸秆焚烧现场检查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《四川省环境保护条例》第五十一条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乡（镇）人民政府和街道办事处应当在依法划定的秸秆禁烧区开展秸秆焚烧现场检查。发现违法焚烧秸秆的，应当及时制止，并报告县级以上环境保护主管部门及有关部门。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Fonts w:ascii="Times New Roman" w:hAnsi="Times New Roman" w:cs="Times New Roman" w:eastAsia="方正仿宋_GBK"/>
                <w:sz w:val="22"/>
                <w:lang w:val="en-US"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对乡（镇）、村农村住房建设质量安全的检查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《四川省农村住房建设管理办法》第六条第一款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乡（镇）人民政府应当建立乡（镇）、村农村住房建设质量安全监督制度和巡查制度。</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9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村镇规划建设管理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水上交通安全的监督检查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《四川省水上交通安全管理条例》第八条第一款第一项</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负责本行政区域内的船舶所有人、经营人、船员以及有关单位、个人安全工作的组织、协调和安全隐患的督察整改工作，组织开展安全宣传、安全检查活动。</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《四川省水上交通安全管理条例》第四十五条第一款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Fonts w:ascii="Times New Roman" w:hAnsi="Times New Roman" w:cs="Times New Roman" w:eastAsia="方正仿宋_GBK"/>
                <w:sz w:val="22"/>
                <w:lang w:val="en-US"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对渡口安全的监督检查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《四川省渡口管理办法》第六条　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eastAsia="zh-CN"/>
              </w:rPr>
            </w:pPr>
            <w:r>
              <w:rPr>
                <w:rFonts w:ascii="Times New Roman" w:hAnsi="Times New Roman" w:cs="Times New Roman" w:eastAsia="方正仿宋_GBK"/>
                <w:sz w:val="22"/>
                <w:lang w:val="en-US" w:eastAsia="zh-CN"/>
              </w:rPr>
              <w:t>应急管理办公室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对水库大坝的监督检查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《中华人民共和国防洪法》第三十六条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Fonts w:ascii="Times New Roman" w:hAnsi="Times New Roman" w:cs="Times New Roman" w:eastAsia="方正仿宋_GBK"/>
                <w:sz w:val="22"/>
                <w:lang w:val="en-US" w:eastAsia="zh-CN"/>
              </w:rPr>
              <w:t>应急管理办公室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b/>
                <w:b/>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对流动人口用人单位计划生育工作的监督检查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对预防控制狂犬病工作的督促检查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《四川省预防控制狂犬病条例》第三条　地方各级人民政府对预防控制狂犬病工作要加强组织领导和督促检查。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38</w:t>
            </w:r>
          </w:p>
        </w:tc>
      </w:tr>
      <w:tr>
        <w:trPr>
          <w:trHeight w:val="16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211"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对生产经营单位安全生产状况的监督检查</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《中华人民共和国安全生产法》第八条第三款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《四川省安全生产条例》第十一条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pacing w:val="-6"/>
                <w:kern w:val="0"/>
                <w:sz w:val="22"/>
                <w:szCs w:val="22"/>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w:t>
            </w:r>
            <w:r>
              <w:rPr>
                <w:rFonts w:ascii="Times New Roman" w:hAnsi="Times New Roman" w:cs="Times New Roman" w:eastAsia="方正仿宋简体"/>
                <w:color w:val="000000"/>
                <w:spacing w:val="-11"/>
                <w:kern w:val="0"/>
                <w:sz w:val="22"/>
                <w:szCs w:val="22"/>
              </w:rPr>
              <w:t>门处置发生在本行</w:t>
            </w:r>
            <w:r>
              <w:rPr>
                <w:rFonts w:ascii="Times New Roman" w:hAnsi="Times New Roman" w:cs="Times New Roman" w:eastAsia="方正仿宋简体"/>
                <w:color w:val="000000"/>
                <w:spacing w:val="-6"/>
                <w:kern w:val="0"/>
                <w:sz w:val="22"/>
                <w:szCs w:val="22"/>
              </w:rPr>
              <w:t>政区域内的生产安全事故。</w:t>
            </w:r>
          </w:p>
        </w:tc>
      </w:tr>
      <w:tr>
        <w:trPr>
          <w:trHeight w:val="69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对食品安全的监督检查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《四川省食品小作坊、小经营店及摊贩管理条例》第三十二条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配合开展电信设施建设和保护工作的监督检查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四川省电信设施建设和保护条例》第三十三条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乡（镇）人民政府、街道办事处、村（居）民委员会应当配合省电信管理机构对电信设施建设和保护工作开展监督检查，指导、督促有关单位和个人履行电信设施建设和保护义务。</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both"/>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2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41</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对消防安全的检查</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《中华人民共和国消防法》第三十条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地方各级人民政府应当加强对农村消防工作的领导，采取措施加强公共消防设施建设，组织建立和督促落实消防安全责任制。</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《中华人民共和国消防法》第三十一条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在农业收获季节、森林和草原防火期间、重大节假日期间以及火灾多发季节，地方各级人民政府应当组织开展有针对性的消防宣传教育，采取防火措施，进行消防安全检查。</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《中华人民共和国消防法》第三十二条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乡镇人民政府、城市街道办事处应当指导、支持和帮助村民委员会、居民委员会开展群众性的消防工作。村民委员会、居民委员会应当确定消防安全管理人，组织制定防火安全公约，进行防火安全检查。</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《四川省消防条例》第九条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18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对有突出贡献的教师的表彰奖励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87"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《中华人民共和国教师法》第三十三条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trPr>
          <w:trHeight w:val="817"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对在义务教育实施工作中做出突出贡献的社会组织和个人的表彰奖励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《中华人民共和国义务教育法》第十条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对在义务教育实施工作中做出突出贡献的社会组织和个人，各级人民政府及其有关部门按照有关规定给予表彰、奖励。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对民族团结进步模范的表彰奖励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《国务院实施</w:t>
            </w:r>
            <w:r>
              <w:rPr>
                <w:rFonts w:cs="Times New Roman" w:ascii="Times New Roman" w:hAnsi="Times New Roman"/>
                <w:color w:val="000000"/>
                <w:sz w:val="22"/>
                <w:szCs w:val="22"/>
              </w:rPr>
              <w:t>&lt;</w:t>
            </w:r>
            <w:r>
              <w:rPr>
                <w:rFonts w:ascii="Times New Roman" w:hAnsi="Times New Roman" w:cs="Times New Roman" w:eastAsia="方正仿宋简体"/>
                <w:color w:val="000000"/>
                <w:sz w:val="22"/>
                <w:szCs w:val="22"/>
              </w:rPr>
              <w:t>中华人民共和国民族区域自治法</w:t>
            </w:r>
            <w:r>
              <w:rPr>
                <w:rFonts w:cs="Times New Roman" w:ascii="Times New Roman" w:hAnsi="Times New Roman"/>
                <w:color w:val="000000"/>
                <w:sz w:val="22"/>
                <w:szCs w:val="22"/>
              </w:rPr>
              <w:t>&gt;</w:t>
            </w:r>
            <w:r>
              <w:rPr>
                <w:rFonts w:ascii="Times New Roman" w:hAnsi="Times New Roman" w:cs="Times New Roman" w:eastAsia="方正仿宋简体"/>
                <w:color w:val="000000"/>
                <w:sz w:val="22"/>
                <w:szCs w:val="22"/>
              </w:rPr>
              <w:t>若干规定》第四条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各级人民政府应当积极开展促进民族团结进步的各项活动，对为民族团结进步事业作出突出贡献的单位和个人，给予表彰和奖励。</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《四川省实施</w:t>
            </w:r>
            <w:r>
              <w:rPr>
                <w:rFonts w:cs="Times New Roman" w:ascii="Times New Roman" w:hAnsi="Times New Roman"/>
                <w:color w:val="000000"/>
                <w:sz w:val="22"/>
                <w:szCs w:val="22"/>
              </w:rPr>
              <w:t>&lt;</w:t>
            </w:r>
            <w:r>
              <w:rPr>
                <w:rFonts w:ascii="Times New Roman" w:hAnsi="Times New Roman" w:cs="Times New Roman" w:eastAsia="方正仿宋简体"/>
                <w:color w:val="000000"/>
                <w:sz w:val="22"/>
                <w:szCs w:val="22"/>
              </w:rPr>
              <w:t>中华人民共和国民族区域自治法</w:t>
            </w:r>
            <w:r>
              <w:rPr>
                <w:rFonts w:cs="Times New Roman" w:ascii="Times New Roman" w:hAnsi="Times New Roman"/>
                <w:color w:val="000000"/>
                <w:sz w:val="22"/>
                <w:szCs w:val="22"/>
              </w:rPr>
              <w:t>&gt;</w:t>
            </w:r>
            <w:r>
              <w:rPr>
                <w:rFonts w:ascii="Times New Roman" w:hAnsi="Times New Roman" w:cs="Times New Roman" w:eastAsia="方正仿宋简体"/>
                <w:color w:val="000000"/>
                <w:sz w:val="22"/>
                <w:szCs w:val="22"/>
              </w:rPr>
              <w:t>若干规定》第三条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各级人民政府对在帮助民族自治地方经济和社会发展、维护民族团结、保持社会稳定等方面作出突出贡献的单位和个人予以表彰、奖励。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对维护老年人合法权益和敬老、养老、助老成绩显著的组织、家庭或者个人的表彰奖励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《中华人民共和国老年人权益保障法》第十条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各级人民政府和有关部门对维护老年人合法权益和敬老、养老、助老成绩显著的组织、家庭或者个人，对参与社会发展做出突出贡献的老年人，按照国家有关规定给予表彰或者奖励。</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《四川省老年人权益保障条例》第八条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地方各级人民政府和有关部门对维护老年人权益和敬老、养老、孝老、助老</w:t>
            </w:r>
            <w:r>
              <w:rPr>
                <w:rFonts w:ascii="Times New Roman" w:hAnsi="Times New Roman" w:cs="Times New Roman" w:eastAsia="方正仿宋简体"/>
                <w:color w:val="000000"/>
                <w:spacing w:val="-6"/>
                <w:sz w:val="22"/>
                <w:szCs w:val="22"/>
              </w:rPr>
              <w:t>成绩显著的组织、家庭或者个人，对参与社会发展做出突出贡献的老年人，按照国家和省有关规定给予表彰或者奖励。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对成绩显著的人民调解委员会和调解委员的表彰奖励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《人民调解委员会组织条例》第十三条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各级人民政府对成绩显著的人民调解委员会和调解委员应当予以表彰和奖励。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对在地质灾害防治工作中做出突出贡献的单位和个人的奖励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《地质灾害防治条例》第九条第二款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在地质灾害防治工作中做出突出贡献的单位和个人，由人民政府给予奖励。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对在保护和开发土地资源、合理利用土地以及进行有关的科学研究等方面成绩显著的单位和个人的奖励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《中华人民共和国土地管理法》第八条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在保护和开发土地资源、合理利用土地以及进行有关的科学研究等方面成绩显著的单位和个人，由人民政府给予奖励。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对保护和改善环境有显著成绩的单位和个人的奖励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《中华人民共和国环境保护法》第十一条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对保护和改善环境有显著成绩的单位和个人，由人民政府给予奖励。</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《中华人民共和国环境噪声污染防治法》第九条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对在环境噪声污染防治方面成绩显著的单位和个人，由人民政府给予奖励。</w:t>
            </w:r>
            <w:r>
              <w:rPr>
                <w:rFonts w:cs="Times New Roman" w:ascii="Times New Roman" w:hAnsi="Times New Roman"/>
                <w:color w:val="000000"/>
                <w:sz w:val="22"/>
                <w:szCs w:val="22"/>
              </w:rPr>
              <w:br/>
              <w:t xml:space="preserve">    3.</w:t>
            </w:r>
            <w:r>
              <w:rPr>
                <w:rFonts w:ascii="Times New Roman" w:hAnsi="Times New Roman" w:cs="Times New Roman" w:eastAsia="方正仿宋简体"/>
                <w:color w:val="000000"/>
                <w:sz w:val="22"/>
                <w:szCs w:val="22"/>
              </w:rPr>
              <w:t>《中华人民共和国固体废物污染环境防治法》第十二条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各级人民政府对在固体废物污染环境防治工作以及相关的综合利用活动中做出显著成绩的单位和个人，按照国家有关规定给予表彰、奖励。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对执行《四川省村镇规划建设管理条例》成绩显著，在村镇规划、建设、管理工作中成绩显著或检举、控告、查处违法建设行为成绩显著的奖励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《四川省村镇规划建设管理条例》第四十一条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符合下列条件之一的，由乡级以上人民政府或县级以上建设行政主管部门给予表彰奖励：（一）执行本条例成绩显著的；（二）在村镇规划、建设、管理工作中成绩显著的；（三）检举、控告、查处违法建设行为成绩显著的。</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5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对在开发、利用、节约、保护、管理水资源和防治水害等方面成绩显著的单位和个人的奖励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《中华人民共和国水法》第十一条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在开发、利用、节约、保护、管理水资源和防治水害等方面成绩显著的单位和个人，由人民政府给予奖励。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对小流域综合治理成绩显著；在植被保护、土壤保护、水源保护工作中有重大贡献；检举揭发破坏水源涵养保护工程行为，避免重大损失的单位和个人的表彰奖励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《四川省长江水源涵养保护条例》第二十四条　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4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对在动物防疫工作、动物防疫科学研究中做出成绩和贡献的单位和个人的奖励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《中华人民共和国动物防疫法》第十一条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对在动物防疫工作、动物防疫科学研究中做出成绩和贡献的单位和个人，各级人民政府及有关部门给予奖励。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对在增殖和保护渔业资源、发展渔业生产、进行渔业科学技术研究等方面成绩显著的单位和个人的奖励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《中华人民共和国渔业法》第五条　在增殖和保护渔业资源、发展渔业生产、进行渔业科学技术研究等方面成绩显著的单位和个人，由各级人民政府给予精神的或者物质的奖励。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对预防、控制传染病做出显著成绩和贡献的单位和个人的奖励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《中华人民共和国传染病防治法实施办法》第六条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各级政府对预防、控制传染病做出显著成绩和贡献的单位和个人，应当给予奖励。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both"/>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对独生子女父母的奖励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四川省独生子女父母奖励实施办法》第六条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乡（镇）人民政府、街道办事处的计划生育工作机构于每年第一季度按照实际情况编制独生子女父母奖励对象名册，报县级计划生育行政部门审核。</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县级人民政府财政部门根据县级计划生育行政部门核准的应奖励对象和金额，应在第二季度内将奖励专项经费拨付给各乡（镇）人民政府、街道办事处的计划生育工作机构。</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乡（镇）人民政府、街道办事处的计划生育工作机构收到拨款后应于</w:t>
            </w:r>
            <w:r>
              <w:rPr>
                <w:rFonts w:cs="Times New Roman" w:ascii="Times New Roman" w:hAnsi="Times New Roman"/>
                <w:color w:val="000000"/>
                <w:sz w:val="22"/>
                <w:szCs w:val="22"/>
              </w:rPr>
              <w:t>30</w:t>
            </w:r>
            <w:r>
              <w:rPr>
                <w:rFonts w:ascii="Times New Roman" w:hAnsi="Times New Roman" w:cs="Times New Roman" w:eastAsia="方正仿宋简体"/>
                <w:color w:val="000000"/>
                <w:sz w:val="22"/>
                <w:szCs w:val="22"/>
              </w:rPr>
              <w:t>日内以现金形式发给应奖励对象，不得作任何抵扣或强制购买保险等。</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5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对在军人抚恤优待工作中作出显著成绩的单位和个人的表彰奖励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《军人抚恤优待条例》第六条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各级人民政府对在军人抚恤优待工作中作出显著成绩的单位和个人，给予表彰和奖励。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b/>
                <w:b/>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对在改善安全生产条件、防止生产安全事故、参加抢险救援等方面取得显著成绩以及举报生产安全事故、安全生产违法行为和重大安全隐患的有功人员的表彰和奖励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《中华人民共和国矿山安全法实施条例》第四条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《四川省安全生产条例》第七条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trPr>
          <w:trHeight w:val="42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对在退耕还林工作中做出显著成绩的单位和个人的表彰奖励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《退耕还林条例》第十条第二款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在退耕还林工作中做出显著成绩的单位和个人，由国务院有关部门和地方各级人民政府给予表彰和奖励。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对在社会主义建设中做出显著成绩的残疾人，对维护残疾人合法权益、发展残疾人事业、为残疾人服务做出显著成绩的单位和个人的表彰奖励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对在未成年人保护工作中做出显著成绩的组织和个人的表彰奖励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《中华人民共和国未成年人保护法》第九条　各级人民政府和有关部门对保护未成年人有显著成绩的组织和个人，给予表彰和奖励。</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《四川省未成年人保护条例》第八条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对在未成年人保护工作中做出显著成绩的组织和个人，由地方各级人民政府和有关部门联合或者分别给予表彰、奖励。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对在促进就业工作中作出显著成绩的单位和个人的表彰奖励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《中华人民共和国就业促进法》第十条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各级人民政府和有关部门对在促进就业工作中作出显著成绩的单位和个人，给予表彰和奖励。</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《四川省就业创业促进条例》第十一条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对在就业创业促进工作中作出显著成绩的单位和个人，按照国家和省有关规定给予表彰和奖励。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对适龄儿童、少年的父母或者其他法定监护人无正当理由未依照《中华人民共和国义务教育法》规定送适龄儿童、少年入学接受义务教育的处理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《中华人民共和国义务教育法》第五十八条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适龄儿童、少年的父母或者其他法定监护人无正当理由未依照本法规定送适龄儿童、少年入学接受义务教育的，由当地乡镇人民政府或者县级人民政府教育行政部门给予批评教育，责令限期改正。</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对违反《学校体育工作条例》，侵占、破坏学校体育场地、器材设备的处理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《学校体育工作条例》第二十八条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对违反本条例，侵占、破坏学校体育场地、器材、设备的单位或者个人，由当地人民政府或者教育行政部门令其限期清退和修复场地、赔偿或者修复器材、设备。</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对以暴力、威胁、欺骗、贿赂、伪造选票、虚报选举票数等不正当手段，妨害村民行使选举权、被选举权，破坏村民委员会选举的行为的依法处理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《中华人民共和国村民委员会组织法》第十七条第二款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对村民自治章程、村规民约的备案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《中华人民共和国村民委员会组织法》第二十七条第一款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村民会议可以制定和修改村民自治章程、村规民约，并报乡、民族乡、镇的人民政府备案。</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对村民自治章程、村规民约以及村民会议或者村民代表会议的决定与宪法、法律、法规和国家的政策相抵触，侵犯村民的人身权利、民主权利和合法财产权利的内容的依法处理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《中华人民共和国村民委员会组织法》第二十七条第二款、第三款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对村民委员会不及时公布应当公布的事项或者公布的事项不真实的依法处理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《中华人民共和国村民委员会组织法》第三十一条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4"/>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村民委员会成员的任期和离任经济责任审计</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《中华人民共和国村民委员会组织法》第三十五条　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村民委员会成员的任期和离任经济责任审计，由县级人民政府农业部门、财政部门或者乡、民族乡、镇的人民政府负责组织，审计结果应当公布，其中离任经济责任审计结果应当在下一届村民委员会选举之前公布。</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财政所</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对村民委员会或者村民委员会成员作出的决定侵害村民合法权益不依照法律、法规的规定履行法定义务的依法处理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《中华人民共和国村民委员会组织法》第三十六条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对农村设置公益性墓地的审核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《殡葬管理条例》第八条第三款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农村为村民设置公益性墓地，经乡级人民政府审核同意后，报县级人民政府民政部门审批。</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对村民委员会或者农村特困人员供养服务机构提供的供养服务不符合要求的依法处理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《农村五保供养工作条例》第二十四条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对以虚报、隐瞒、伪造等手段骗取享受特困人员供养待遇，不再符合条件不告知管理机关而继续享受特困人员供养待遇的依法处理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color w:val="000000"/>
                <w:sz w:val="22"/>
                <w:szCs w:val="22"/>
              </w:rPr>
              <w:t>1.</w:t>
            </w:r>
            <w:r>
              <w:rPr>
                <w:rFonts w:ascii="Times New Roman" w:hAnsi="Times New Roman" w:cs="Times New Roman" w:eastAsia="方正仿宋简体"/>
                <w:color w:val="000000"/>
                <w:sz w:val="22"/>
                <w:szCs w:val="22"/>
              </w:rPr>
              <w:t>《社会救助暂行办法》第十四条   国家对无劳动能力、无生活来源且无法定赡养、抚养、扶养义务人，或者其法定赡养、抚养、扶养义务人无赡养、抚养、扶养能力的老年人、残疾人以及未满</w:t>
            </w:r>
            <w:r>
              <w:rPr>
                <w:rFonts w:eastAsia="方正仿宋简体" w:cs="Times New Roman" w:ascii="Times New Roman" w:hAnsi="Times New Roman"/>
                <w:color w:val="000000"/>
                <w:sz w:val="22"/>
                <w:szCs w:val="22"/>
              </w:rPr>
              <w:t>16</w:t>
            </w:r>
            <w:r>
              <w:rPr>
                <w:rFonts w:ascii="Times New Roman" w:hAnsi="Times New Roman" w:cs="Times New Roman" w:eastAsia="方正仿宋简体"/>
                <w:color w:val="000000"/>
                <w:sz w:val="22"/>
                <w:szCs w:val="22"/>
              </w:rPr>
              <w:t>周岁的未成年人，给予特困人员供养。</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《四川省〈农村五保供养工作条例〉实施办法》第三十三条　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社会治安综合治理办公室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对民间纠纷的处理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《中华人民共和国人民调解法》第三十四条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乡镇、街道以及社会团体或者其他组织根据需要可以参照本法有关规定设立人民调解委员会，调解民间纠纷。</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《民间纠纷处理办法》第七条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当事人提请处理的民间纠纷，由当事人户籍所在地或者居住地的基层人民政府受理。跨地区的民间纠纷，由当事人双方户籍所在地或者居所地的基层人民政府协商受理。</w:t>
            </w:r>
            <w:r>
              <w:rPr>
                <w:rFonts w:cs="Times New Roman" w:ascii="Times New Roman" w:hAnsi="Times New Roman"/>
                <w:color w:val="000000"/>
                <w:sz w:val="22"/>
                <w:szCs w:val="22"/>
              </w:rPr>
              <w:br/>
              <w:t>3.</w:t>
            </w:r>
            <w:r>
              <w:rPr>
                <w:rFonts w:ascii="Times New Roman" w:hAnsi="Times New Roman" w:cs="Times New Roman" w:eastAsia="方正仿宋简体"/>
                <w:color w:val="000000"/>
                <w:sz w:val="22"/>
                <w:szCs w:val="22"/>
              </w:rPr>
              <w:t>《四川省纠纷多元化解条例》第十六条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乡镇人民政府、街道办事处应当组织、协调辖区内综治中心、公安派出所、司法所、人民法庭、村（居）民委员会和人民调解组织等纠纷化解力量，开展纠纷预防、排查和化解。</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《四川省纠纷多元化解条例》第二十六条第二款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县（市、区）人民政府、乡（镇）人民政府和街道办事处、村（居）民委员会应当定期开展纠纷排查并逐级报告情况，健全纠纷源头发现和预警机制。</w:t>
            </w:r>
          </w:p>
        </w:tc>
      </w:tr>
      <w:tr>
        <w:trPr>
          <w:trHeight w:val="60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社会治安综合治理办公室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对征用土地补偿费使用的批准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《四川省＜中华人民共和国土地管理法＞实施办法》第四十二条第一款第一项　土地补偿费支付给被征地单位，用于发展生产和安排因土地被征用而造成的多余劳动力的就业和不能就业人员的生活补助。其使用由村民会议或者村民代表会议决定，报乡（镇）人民政府批准后执行。</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对乡（镇）村公共设施、公益事业建设用地的审核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《中华人民共和国土地管理法》第六十一条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ascii="Times New Roman" w:hAnsi="Times New Roman" w:cs="Times New Roman"/>
                <w:color w:val="000000"/>
                <w:sz w:val="22"/>
                <w:szCs w:val="22"/>
              </w:rPr>
              <w:t xml:space="preserve"> </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《中华人民共和国城乡规划法》第四十一条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在乡、村庄规划区内进行乡镇企业、乡村公共设施和公益事业建设的，建设单位或者个人应当向乡、镇人民政府提出申请，由乡、镇人民政府报城市、县人民政府城乡规划主管部门核发乡村建设规划许可证。</w:t>
            </w:r>
            <w:r>
              <w:rPr>
                <w:rFonts w:cs="Times New Roman" w:ascii="Times New Roman" w:hAnsi="Times New Roman"/>
                <w:color w:val="000000"/>
                <w:sz w:val="22"/>
                <w:szCs w:val="22"/>
              </w:rPr>
              <w:br/>
              <w:t>3.</w:t>
            </w:r>
            <w:r>
              <w:rPr>
                <w:rFonts w:ascii="Times New Roman" w:hAnsi="Times New Roman" w:cs="Times New Roman" w:eastAsia="方正仿宋简体"/>
                <w:color w:val="000000"/>
                <w:sz w:val="22"/>
                <w:szCs w:val="22"/>
              </w:rPr>
              <w:t>《村庄和集镇规划建设管理条例》第二十条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trPr>
          <w:trHeight w:val="3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lang w:val="en-US" w:eastAsia="zh-CN"/>
              </w:rPr>
            </w:pPr>
            <w:r>
              <w:rPr>
                <w:rFonts w:ascii="Times New Roman" w:hAnsi="Times New Roman" w:cs="Times New Roman" w:eastAsia="方正仿宋_GBK"/>
                <w:sz w:val="22"/>
                <w:lang w:val="en-US"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bidi w:val="0"/>
        <w:spacing w:lineRule="exact" w:line="560"/>
        <w:ind w:firstLineChars="100" w:firstLine="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对在村庄、集镇规划区内，未按规划审批程序批准而取得建设用地批准文件的，责令退回占用的土地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《村庄和集镇规划建设管理条例》第三十六条  在村庄、集镇规划区内，未按规划审批程序批准而取得建设用地批准文件，占用土地的，批准文件无效，占用的土地由乡级以上人民政府责令退回。</w:t>
            </w:r>
            <w:r>
              <w:rPr>
                <w:rFonts w:cs="Times New Roman" w:ascii="Times New Roman" w:hAnsi="Times New Roman"/>
                <w:color w:val="000000"/>
                <w:sz w:val="22"/>
                <w:szCs w:val="22"/>
              </w:rPr>
              <w:br/>
              <w:t xml:space="preserve">    2.</w:t>
            </w:r>
            <w:r>
              <w:rPr>
                <w:rFonts w:ascii="Times New Roman" w:hAnsi="Times New Roman" w:cs="Times New Roman" w:eastAsia="方正仿宋简体"/>
                <w:color w:val="000000"/>
                <w:sz w:val="22"/>
                <w:szCs w:val="22"/>
              </w:rPr>
              <w:t>《四川省村镇规划建设管理条例》第四十二条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在村庄、集镇规划区内，未按规划审批程序批准而取得建设用地批准文件，占用土地的，批准文件无效，占用的土地由乡级以上人民政府责令退回。</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00" w:firstLine="0"/>
              <w:rPr>
                <w:rFonts w:ascii="Times New Roman" w:hAnsi="Times New Roman" w:eastAsia="方正仿宋_GBK" w:cs="Times New Roman"/>
                <w:sz w:val="22"/>
                <w:lang w:eastAsia="zh-CN"/>
              </w:rPr>
            </w:pPr>
            <w:r>
              <w:rPr>
                <w:rFonts w:ascii="Times New Roman" w:hAnsi="Times New Roman" w:cs="Times New Roman" w:eastAsia="方正仿宋_GBK"/>
                <w:sz w:val="22"/>
                <w:lang w:val="en-US"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对村民住宅建设开工的审查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《四川省村镇规划建设管理条例》第二十五条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对村民在村镇区域内进行住宅建设需占用耕地的审核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《四川省村镇规划建设管理条例》第十九条　村民在村镇区域内进行住宅建设的，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镇落户的职工、退伍军人和离休、退休干部以及回乡定居的华侨、港澳台同胞，在村镇需要使用集体所有的土地修建住宅的，依照本条第一款第（一）项规定的审批程序办理。</w:t>
            </w:r>
          </w:p>
        </w:tc>
      </w:tr>
      <w:tr>
        <w:trPr>
          <w:trHeight w:val="46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5"/>
        <w:bidi w:val="0"/>
        <w:snapToGrid w:val="false"/>
        <w:jc w:val="left"/>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6"/>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序    号</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jc w:val="center"/>
              <w:textAlignment w:val="center"/>
              <w:rPr>
                <w:rFonts w:ascii="Times New Roman" w:hAnsi="Times New Roman" w:cs="Times New Roman"/>
                <w:kern w:val="0"/>
                <w:sz w:val="20"/>
              </w:rPr>
            </w:pPr>
            <w:r>
              <w:rPr>
                <w:rFonts w:cs="Times New Roman" w:ascii="Times New Roman" w:hAnsi="Times New Roman"/>
                <w:kern w:val="0"/>
                <w:sz w:val="20"/>
              </w:rPr>
              <w:t>81</w:t>
            </w:r>
          </w:p>
        </w:tc>
      </w:tr>
      <w:tr>
        <w:trPr>
          <w:trHeight w:val="499"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权力类型</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jc w:val="center"/>
              <w:textAlignment w:val="center"/>
              <w:rPr>
                <w:rFonts w:ascii="Times New Roman" w:hAnsi="Times New Roman" w:cs="Times New Roman"/>
                <w:kern w:val="0"/>
                <w:sz w:val="20"/>
              </w:rPr>
            </w:pPr>
            <w:r>
              <w:rPr>
                <w:rFonts w:ascii="Times New Roman" w:hAnsi="Times New Roman" w:cs="Times New Roman" w:eastAsia="方正仿宋简体"/>
                <w:color w:val="000000"/>
                <w:kern w:val="0"/>
                <w:sz w:val="22"/>
                <w:szCs w:val="22"/>
              </w:rPr>
              <w:t>其他行政权力</w:t>
            </w:r>
          </w:p>
        </w:tc>
      </w:tr>
      <w:tr>
        <w:trPr>
          <w:trHeight w:val="513"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权力名称</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jc w:val="center"/>
              <w:textAlignment w:val="center"/>
              <w:rPr>
                <w:rFonts w:ascii="Times New Roman" w:hAnsi="Times New Roman" w:cs="Times New Roman"/>
                <w:kern w:val="0"/>
                <w:sz w:val="22"/>
              </w:rPr>
            </w:pPr>
            <w:r>
              <w:rPr>
                <w:rFonts w:ascii="Times New Roman" w:hAnsi="Times New Roman" w:cs="Times New Roman" w:eastAsia="方正仿宋简体"/>
                <w:kern w:val="0"/>
                <w:sz w:val="22"/>
                <w:szCs w:val="22"/>
              </w:rPr>
              <w:t>对经济适用住房资格申请的审核</w:t>
            </w:r>
          </w:p>
        </w:tc>
      </w:tr>
      <w:tr>
        <w:trPr>
          <w:trHeight w:val="513"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kern w:val="0"/>
                <w:sz w:val="24"/>
              </w:rPr>
            </w:pPr>
            <w:r>
              <w:rPr>
                <w:rFonts w:ascii="方正黑体_GBK" w:hAnsi="方正黑体_GBK" w:cs="方正黑体_GBK" w:eastAsia="方正黑体_GBK"/>
                <w:color w:val="000000"/>
                <w:kern w:val="0"/>
                <w:sz w:val="24"/>
              </w:rPr>
              <w:t>权力主体</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color w:val="auto"/>
                <w:kern w:val="0"/>
                <w:sz w:val="24"/>
              </w:rPr>
            </w:pPr>
            <w:r>
              <w:rPr>
                <w:rStyle w:val="Font81"/>
                <w:rFonts w:ascii="方正仿宋简体" w:hAnsi="方正仿宋简体" w:cs="方正仿宋简体" w:eastAsia="方正仿宋简体"/>
                <w:bCs/>
                <w:color w:val="auto"/>
                <w:kern w:val="0"/>
                <w:sz w:val="22"/>
                <w:lang w:eastAsia="zh-CN"/>
              </w:rPr>
              <w:t>百节</w:t>
            </w:r>
            <w:r>
              <w:rPr>
                <w:rStyle w:val="Font81"/>
                <w:rFonts w:ascii="方正仿宋简体" w:hAnsi="方正仿宋简体" w:cs="方正仿宋简体" w:eastAsia="方正仿宋简体"/>
                <w:bCs/>
                <w:color w:val="auto"/>
                <w:kern w:val="0"/>
                <w:sz w:val="22"/>
              </w:rPr>
              <w:t>镇人民政府</w:t>
            </w:r>
          </w:p>
        </w:tc>
      </w:tr>
      <w:tr>
        <w:trPr>
          <w:trHeight w:val="568"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kern w:val="0"/>
                <w:sz w:val="24"/>
              </w:rPr>
            </w:pPr>
            <w:r>
              <w:rPr>
                <w:rFonts w:ascii="方正黑体_GBK" w:hAnsi="方正黑体_GBK" w:cs="方正黑体_GBK" w:eastAsia="方正黑体_GBK"/>
                <w:color w:val="000000"/>
                <w:kern w:val="0"/>
                <w:sz w:val="24"/>
              </w:rPr>
              <w:t>权力来源</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ind w:firstLineChars="1150" w:firstLine="0"/>
              <w:rPr>
                <w:rFonts w:ascii="Times New Roman" w:hAnsi="Times New Roman" w:cs="Times New Roman"/>
                <w:kern w:val="0"/>
                <w:sz w:val="22"/>
              </w:rPr>
            </w:pPr>
            <w:r>
              <w:rPr>
                <w:rStyle w:val="Font81"/>
                <w:rFonts w:ascii="方正楷体_GBK" w:hAnsi="方正楷体_GBK" w:cs="方正楷体_GBK" w:eastAsia="方正楷体_GBK"/>
                <w:bCs/>
                <w:color w:val="auto"/>
                <w:kern w:val="0"/>
                <w:sz w:val="24"/>
              </w:rPr>
              <w:t>法定</w:t>
            </w:r>
          </w:p>
        </w:tc>
      </w:tr>
      <w:tr>
        <w:trPr>
          <w:trHeight w:val="1822"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设定依据</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280"/>
              <w:ind w:firstLineChars="200" w:firstLine="0"/>
              <w:jc w:val="left"/>
              <w:rPr>
                <w:rFonts w:ascii="Times New Roman" w:hAnsi="Times New Roman" w:cs="Times New Roman"/>
                <w:kern w:val="0"/>
                <w:sz w:val="22"/>
              </w:rPr>
            </w:pPr>
            <w:r>
              <w:rPr>
                <w:rFonts w:ascii="Times New Roman" w:hAnsi="Times New Roman" w:cs="Times New Roman" w:eastAsia="方正仿宋简体"/>
                <w:kern w:val="0"/>
                <w:sz w:val="22"/>
                <w:szCs w:val="22"/>
              </w:rPr>
              <w:t>《经济适用住房管理办法》第二十六条</w:t>
            </w:r>
            <w:r>
              <w:rPr>
                <w:rFonts w:ascii="Times New Roman" w:hAnsi="Times New Roman" w:cs="Times New Roman"/>
                <w:kern w:val="0"/>
                <w:sz w:val="22"/>
                <w:szCs w:val="22"/>
              </w:rPr>
              <w:t xml:space="preserve">  </w:t>
            </w:r>
            <w:r>
              <w:rPr>
                <w:rFonts w:ascii="Times New Roman" w:hAnsi="Times New Roman" w:cs="Times New Roman" w:eastAsia="方正仿宋简体"/>
                <w:kern w:val="0"/>
                <w:sz w:val="22"/>
                <w:szCs w:val="22"/>
              </w:rPr>
              <w:t>经济适用住房资格申请采取街道办事处</w:t>
            </w:r>
            <w:r>
              <w:rPr>
                <w:rFonts w:ascii="Times New Roman" w:hAnsi="Times New Roman" w:cs="Times New Roman"/>
                <w:kern w:val="0"/>
                <w:sz w:val="22"/>
                <w:szCs w:val="22"/>
              </w:rPr>
              <w:t>（</w:t>
            </w:r>
            <w:r>
              <w:rPr>
                <w:rFonts w:ascii="Times New Roman" w:hAnsi="Times New Roman" w:cs="Times New Roman" w:eastAsia="方正仿宋简体"/>
                <w:kern w:val="0"/>
                <w:sz w:val="22"/>
                <w:szCs w:val="22"/>
              </w:rPr>
              <w:t>镇人民政府</w:t>
            </w:r>
            <w:r>
              <w:rPr>
                <w:rFonts w:ascii="Times New Roman" w:hAnsi="Times New Roman" w:cs="Times New Roman"/>
                <w:kern w:val="0"/>
                <w:sz w:val="22"/>
                <w:szCs w:val="22"/>
              </w:rPr>
              <w:t>）</w:t>
            </w:r>
            <w:r>
              <w:rPr>
                <w:rFonts w:ascii="Times New Roman" w:hAnsi="Times New Roman" w:cs="Times New Roman" w:eastAsia="方正仿宋简体"/>
                <w:kern w:val="0"/>
                <w:sz w:val="22"/>
                <w:szCs w:val="22"/>
              </w:rPr>
              <w:t>、市</w:t>
            </w:r>
            <w:r>
              <w:rPr>
                <w:rFonts w:ascii="Times New Roman" w:hAnsi="Times New Roman" w:cs="Times New Roman"/>
                <w:kern w:val="0"/>
                <w:sz w:val="22"/>
                <w:szCs w:val="22"/>
              </w:rPr>
              <w:t>（</w:t>
            </w:r>
            <w:r>
              <w:rPr>
                <w:rFonts w:ascii="Times New Roman" w:hAnsi="Times New Roman" w:cs="Times New Roman" w:eastAsia="方正仿宋简体"/>
                <w:kern w:val="0"/>
                <w:sz w:val="22"/>
                <w:szCs w:val="22"/>
              </w:rPr>
              <w:t>区</w:t>
            </w:r>
            <w:r>
              <w:rPr>
                <w:rFonts w:ascii="Times New Roman" w:hAnsi="Times New Roman" w:cs="Times New Roman"/>
                <w:kern w:val="0"/>
                <w:sz w:val="22"/>
                <w:szCs w:val="22"/>
              </w:rPr>
              <w:t>）</w:t>
            </w:r>
            <w:r>
              <w:rPr>
                <w:rFonts w:ascii="Times New Roman" w:hAnsi="Times New Roman" w:cs="Times New Roman" w:eastAsia="方正仿宋简体"/>
                <w:kern w:val="0"/>
                <w:sz w:val="22"/>
                <w:szCs w:val="22"/>
              </w:rPr>
              <w:t>、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trPr>
          <w:trHeight w:val="1130"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责任主体</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ind w:firstLineChars="900" w:firstLine="0"/>
              <w:rPr>
                <w:rFonts w:ascii="Times New Roman" w:hAnsi="Times New Roman" w:eastAsia="方正仿宋_GBK" w:cs="Times New Roman"/>
                <w:kern w:val="0"/>
                <w:sz w:val="22"/>
              </w:rPr>
            </w:pPr>
            <w:r>
              <w:rPr>
                <w:rStyle w:val="Font81"/>
                <w:rFonts w:ascii="Times New Roman" w:hAnsi="Times New Roman" w:cs="Times New Roman" w:eastAsia="方正仿宋简体"/>
                <w:sz w:val="22"/>
                <w:szCs w:val="24"/>
                <w:lang w:eastAsia="zh-CN"/>
              </w:rPr>
              <w:t>村镇规划建设管理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责任事项</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kern w:val="0"/>
                <w:sz w:val="24"/>
              </w:rPr>
            </w:pPr>
            <w:r>
              <w:rPr>
                <w:rStyle w:val="Font81"/>
                <w:rFonts w:ascii="Times New Roman" w:hAnsi="Times New Roman" w:cs="Times New Roman" w:eastAsia="方正仿宋_GBK"/>
                <w:kern w:val="0"/>
                <w:sz w:val="24"/>
              </w:rPr>
              <w:t>（</w:t>
            </w:r>
            <w:r>
              <w:rPr>
                <w:rStyle w:val="Font81"/>
                <w:rFonts w:eastAsia="方正仿宋_GBK" w:cs="Times New Roman" w:ascii="Times New Roman" w:hAnsi="Times New Roman"/>
                <w:kern w:val="0"/>
                <w:sz w:val="24"/>
              </w:rPr>
              <w:t>1</w:t>
            </w:r>
            <w:r>
              <w:rPr>
                <w:rStyle w:val="Font81"/>
                <w:rFonts w:ascii="Times New Roman" w:hAnsi="Times New Roman" w:cs="Times New Roman" w:eastAsia="方正仿宋_GBK"/>
                <w:kern w:val="0"/>
                <w:sz w:val="24"/>
              </w:rPr>
              <w:t>）受理责任</w:t>
            </w:r>
            <w:r>
              <w:rPr>
                <w:rStyle w:val="Font81"/>
                <w:rFonts w:eastAsia="方正仿宋_GBK" w:cs="Times New Roman" w:ascii="Times New Roman" w:hAnsi="Times New Roman"/>
                <w:kern w:val="0"/>
                <w:sz w:val="24"/>
              </w:rPr>
              <w:t>:</w:t>
            </w:r>
            <w:r>
              <w:rPr>
                <w:rStyle w:val="Font81"/>
                <w:rFonts w:ascii="Times New Roman" w:hAnsi="Times New Roman" w:cs="Times New Roman" w:eastAsia="方正仿宋_GBK"/>
                <w:kern w:val="0"/>
                <w:sz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kern w:val="0"/>
                <w:sz w:val="24"/>
              </w:rPr>
            </w:pPr>
            <w:r>
              <w:rPr>
                <w:rStyle w:val="Font81"/>
                <w:rFonts w:ascii="Times New Roman" w:hAnsi="Times New Roman" w:cs="Times New Roman" w:eastAsia="方正仿宋_GBK"/>
                <w:kern w:val="0"/>
                <w:sz w:val="24"/>
              </w:rPr>
              <w:t>（</w:t>
            </w:r>
            <w:r>
              <w:rPr>
                <w:rStyle w:val="Font81"/>
                <w:rFonts w:eastAsia="方正仿宋_GBK" w:cs="Times New Roman" w:ascii="Times New Roman" w:hAnsi="Times New Roman"/>
                <w:kern w:val="0"/>
                <w:sz w:val="24"/>
              </w:rPr>
              <w:t>2</w:t>
            </w:r>
            <w:r>
              <w:rPr>
                <w:rStyle w:val="Font81"/>
                <w:rFonts w:ascii="Times New Roman" w:hAnsi="Times New Roman" w:cs="Times New Roman" w:eastAsia="方正仿宋_GBK"/>
                <w:kern w:val="0"/>
                <w:sz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kern w:val="0"/>
                <w:sz w:val="24"/>
              </w:rPr>
            </w:pPr>
            <w:r>
              <w:rPr>
                <w:rStyle w:val="Font81"/>
                <w:rFonts w:ascii="Times New Roman" w:hAnsi="Times New Roman" w:cs="Times New Roman" w:eastAsia="方正仿宋_GBK"/>
                <w:kern w:val="0"/>
                <w:sz w:val="24"/>
              </w:rPr>
              <w:t>（</w:t>
            </w:r>
            <w:r>
              <w:rPr>
                <w:rStyle w:val="Font81"/>
                <w:rFonts w:eastAsia="方正仿宋_GBK" w:cs="Times New Roman" w:ascii="Times New Roman" w:hAnsi="Times New Roman"/>
                <w:kern w:val="0"/>
                <w:sz w:val="24"/>
              </w:rPr>
              <w:t>3</w:t>
            </w:r>
            <w:r>
              <w:rPr>
                <w:rStyle w:val="Font81"/>
                <w:rFonts w:ascii="Times New Roman" w:hAnsi="Times New Roman" w:cs="Times New Roman" w:eastAsia="方正仿宋_GBK"/>
                <w:kern w:val="0"/>
                <w:sz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kern w:val="0"/>
                <w:sz w:val="24"/>
              </w:rPr>
            </w:pPr>
            <w:r>
              <w:rPr>
                <w:rStyle w:val="Font81"/>
                <w:rFonts w:ascii="Times New Roman" w:hAnsi="Times New Roman" w:cs="Times New Roman" w:eastAsia="方正仿宋_GBK"/>
                <w:kern w:val="0"/>
                <w:sz w:val="24"/>
              </w:rPr>
              <w:t>（</w:t>
            </w:r>
            <w:r>
              <w:rPr>
                <w:rStyle w:val="Font81"/>
                <w:rFonts w:eastAsia="方正仿宋_GBK" w:cs="Times New Roman" w:ascii="Times New Roman" w:hAnsi="Times New Roman"/>
                <w:kern w:val="0"/>
                <w:sz w:val="24"/>
              </w:rPr>
              <w:t>4</w:t>
            </w:r>
            <w:r>
              <w:rPr>
                <w:rStyle w:val="Font81"/>
                <w:rFonts w:ascii="Times New Roman" w:hAnsi="Times New Roman" w:cs="Times New Roman" w:eastAsia="方正仿宋_GBK"/>
                <w:kern w:val="0"/>
                <w:sz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kern w:val="0"/>
                <w:sz w:val="20"/>
              </w:rPr>
            </w:pPr>
            <w:r>
              <w:rPr>
                <w:rStyle w:val="Font81"/>
                <w:rFonts w:ascii="Times New Roman" w:hAnsi="Times New Roman" w:cs="Times New Roman" w:eastAsia="方正仿宋_GBK"/>
                <w:kern w:val="0"/>
                <w:sz w:val="24"/>
              </w:rPr>
              <w:t>（</w:t>
            </w:r>
            <w:r>
              <w:rPr>
                <w:rStyle w:val="Font81"/>
                <w:rFonts w:eastAsia="方正仿宋_GBK" w:cs="Times New Roman" w:ascii="Times New Roman" w:hAnsi="Times New Roman"/>
                <w:kern w:val="0"/>
                <w:sz w:val="24"/>
              </w:rPr>
              <w:t>5</w:t>
            </w:r>
            <w:r>
              <w:rPr>
                <w:rStyle w:val="Font81"/>
                <w:rFonts w:ascii="Times New Roman" w:hAnsi="Times New Roman" w:cs="Times New Roman" w:eastAsia="方正仿宋_GBK"/>
                <w:kern w:val="0"/>
                <w:sz w:val="24"/>
              </w:rPr>
              <w:t>）其他责任：法律法规规章文件规定应履行的其他责任。</w:t>
            </w:r>
          </w:p>
        </w:tc>
      </w:tr>
      <w:tr>
        <w:trPr>
          <w:trHeight w:val="1396"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追责情形</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textAlignment w:val="center"/>
              <w:rPr>
                <w:rFonts w:ascii="Times New Roman" w:hAnsi="Times New Roman" w:eastAsia="方正仿宋_GBK" w:cs="Times New Roman"/>
                <w:kern w:val="0"/>
                <w:sz w:val="20"/>
              </w:rPr>
            </w:pPr>
            <w:r>
              <w:rPr>
                <w:rFonts w:ascii="Times New Roman" w:hAnsi="Times New Roman" w:cs="Times New Roman" w:eastAsia="方正仿宋_GBK"/>
                <w:color w:val="000000"/>
                <w:kern w:val="0"/>
                <w:sz w:val="22"/>
                <w:szCs w:val="22"/>
              </w:rPr>
              <w:t xml:space="preserve">   </w:t>
            </w:r>
            <w:r>
              <w:rPr>
                <w:rStyle w:val="Font251"/>
                <w:rFonts w:ascii="Times New Roman" w:hAnsi="Times New Roman" w:cs="Times New Roman" w:eastAsia="方正仿宋_GBK"/>
                <w:kern w:val="0"/>
                <w:sz w:val="24"/>
              </w:rPr>
              <w:t xml:space="preserve"> </w:t>
            </w:r>
            <w:r>
              <w:rPr>
                <w:rStyle w:val="Font251"/>
                <w:rFonts w:ascii="Times New Roman" w:hAnsi="Times New Roman" w:cs="Times New Roman" w:eastAsia="方正仿宋_GBK"/>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kern w:val="0"/>
                <w:sz w:val="24"/>
              </w:rPr>
            </w:pPr>
            <w:r>
              <w:rPr>
                <w:rFonts w:ascii="方正黑体_GBK" w:hAnsi="方正黑体_GBK" w:cs="方正黑体_GBK" w:eastAsia="方正黑体_GBK"/>
                <w:color w:val="000000"/>
                <w:kern w:val="0"/>
                <w:sz w:val="24"/>
              </w:rPr>
              <w:t>监督电话</w:t>
            </w:r>
          </w:p>
        </w:tc>
        <w:tc>
          <w:tcPr>
            <w:tcW w:w="7470"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bidi w:val="0"/>
              <w:spacing w:lineRule="exact" w:line="360"/>
              <w:jc w:val="center"/>
              <w:textAlignment w:val="center"/>
              <w:rPr>
                <w:rFonts w:ascii="Times New Roman" w:hAnsi="Times New Roman" w:eastAsia="方正仿宋_GBK" w:cs="Times New Roman"/>
                <w:kern w:val="0"/>
                <w:sz w:val="20"/>
                <w:lang w:eastAsia="zh-CN"/>
              </w:rPr>
            </w:pPr>
            <w:r>
              <w:rPr>
                <w:rStyle w:val="Font251"/>
                <w:rFonts w:eastAsia="方正仿宋_GBK" w:cs="Times New Roman" w:ascii="Times New Roman" w:hAnsi="Times New Roman"/>
                <w:kern w:val="0"/>
                <w:sz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snapToGrid w:val="false"/>
        <w:jc w:val="left"/>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对业主大会、业主委员会作出的决定违反法律、法规的处理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《物业管理条例》第十九条第二款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业主大会、业主委员会作出的决定违反法律、法规的，物业所在地的区、县人民政府房地产行政主管部门或者街道办事处、乡镇人民政府，应当责令限期改正或者撤销其决定，并通告全体业主。</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社区管理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对本辖区内物业管理纠纷的调解处理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《四川省物业管理条例》第四条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街道办事处（乡、镇人民政府）组织、指导、协调本辖区内物业管理区域业主大会的设立和业主委员会的工作，督促业主大会和业主委员会依法履行职责；协调社区建设与物业管理的关系，调解处理物业管理纠纷。居民（村民）委员会协助街道办事处（乡、镇人民政府）开展物业管理有关的工作。</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社会治安综合治理中心</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临时便民服务摊点设置</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《四川省城乡环境综合治理条例》第二十四条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对业主委员会的备案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《四川省物业管理条例》第二十八条　业主委员会应当自选举产生之日起</w:t>
            </w:r>
            <w:r>
              <w:rPr>
                <w:rFonts w:cs="Times New Roman" w:ascii="Times New Roman" w:hAnsi="Times New Roman"/>
                <w:color w:val="000000"/>
                <w:sz w:val="22"/>
                <w:szCs w:val="22"/>
              </w:rPr>
              <w:t>30</w:t>
            </w:r>
            <w:r>
              <w:rPr>
                <w:rFonts w:ascii="Times New Roman" w:hAnsi="Times New Roman" w:cs="Times New Roman" w:eastAsia="方正仿宋简体"/>
                <w:color w:val="000000"/>
                <w:sz w:val="22"/>
                <w:szCs w:val="22"/>
              </w:rPr>
              <w:t>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社区管理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对渡口设置、迁移或者撤销的审查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《四川省渡口管理办法》第十二条　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w:t>
            </w:r>
            <w:r>
              <w:rPr>
                <w:rFonts w:ascii="Times New Roman" w:hAnsi="Times New Roman" w:cs="Times New Roman" w:eastAsia="方正仿宋简体"/>
                <w:color w:val="000000"/>
                <w:spacing w:val="-10"/>
                <w:sz w:val="22"/>
                <w:szCs w:val="22"/>
              </w:rPr>
              <w:t>人民政府协商一致、分别审批后，报上一级交通运输主管部门备案。迁移或者撤销渡口，申请人应当按照前款规定的程序办理，及时拆除影响安全的设施，妥善处置渡船。</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在乡道、村道的出入口规范设置必要的限高、限宽设施</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 xml:space="preserve">《公路安全保护条例》第三十四条 </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县级人民政府交通运输主管部门或者乡级人民政府可以根据保护乡道、村道的需要，在乡道、村道的出入口设置必要的限高、限宽设施，但是不得影响消防和卫生急救等应急通行需要，不得向通行车辆收费。</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《四川省农村公路条例》第三十三条  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乡道、村道规划及其项目库编制和村道大中修养护工程年度计划的参与</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《四川省农村公路条例》第十二条第二款</w:t>
            </w:r>
            <w:r>
              <w:rPr>
                <w:rFonts w:ascii="Times New Roman" w:hAnsi="Times New Roman" w:cs="Times New Roman"/>
                <w:sz w:val="22"/>
                <w:szCs w:val="22"/>
              </w:rPr>
              <w:t xml:space="preserve">  </w:t>
            </w:r>
            <w:r>
              <w:rPr>
                <w:rFonts w:ascii="Times New Roman" w:hAnsi="Times New Roman" w:cs="Times New Roman" w:eastAsia="方正仿宋简体"/>
                <w:sz w:val="22"/>
                <w:szCs w:val="22"/>
              </w:rPr>
              <w:t>乡道、村道规划及其项目库由县（市、区）人民政府交通运输主管部门协助乡（镇）人民政府编制，报县（市、区）人民政府批准。</w:t>
            </w:r>
            <w:r>
              <w:rPr>
                <w:rFonts w:cs="Times New Roman" w:ascii="Times New Roman" w:hAnsi="Times New Roman"/>
                <w:sz w:val="22"/>
                <w:szCs w:val="22"/>
              </w:rPr>
              <w:br/>
            </w:r>
            <w:r>
              <w:rPr>
                <w:rFonts w:ascii="Times New Roman" w:hAnsi="Times New Roman" w:cs="Times New Roman" w:eastAsia="方正仿宋简体"/>
                <w:sz w:val="22"/>
                <w:szCs w:val="22"/>
              </w:rPr>
              <w:t>《四川省农村公路条例》第三十六条</w:t>
            </w:r>
            <w:r>
              <w:rPr>
                <w:rFonts w:ascii="Times New Roman" w:hAnsi="Times New Roman" w:cs="Times New Roman"/>
                <w:sz w:val="22"/>
                <w:szCs w:val="22"/>
              </w:rPr>
              <w:t xml:space="preserve">  </w:t>
            </w:r>
            <w:r>
              <w:rPr>
                <w:rFonts w:ascii="Times New Roman" w:hAnsi="Times New Roman" w:cs="Times New Roman" w:eastAsia="方正仿宋简体"/>
                <w:sz w:val="22"/>
                <w:szCs w:val="22"/>
              </w:rPr>
              <w:t>县道、乡道大中修养护工程年度计划由县（市、区）人民政府交通运输主管部门会同有关部门或者乡（镇）人民政府编制，经县（市、区）人民政府批准后实施；村道大中修养护工程年度计划的编制参照执行。</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对农村土地承包经营权流转合同的备案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《农村土地承包经营权流转管理办法》第二十一条</w:t>
            </w:r>
            <w:r>
              <w:rPr>
                <w:rFonts w:ascii="Times New Roman" w:hAnsi="Times New Roman" w:cs="Times New Roman"/>
                <w:sz w:val="22"/>
                <w:szCs w:val="22"/>
              </w:rPr>
              <w:t xml:space="preserve">  </w:t>
            </w:r>
            <w:r>
              <w:rPr>
                <w:rFonts w:ascii="Times New Roman" w:hAnsi="Times New Roman" w:cs="Times New Roman" w:eastAsia="方正仿宋简体"/>
                <w:sz w:val="22"/>
                <w:szCs w:val="22"/>
              </w:rPr>
              <w:t>承包方流转农村土地承包经营权，应当与受让方在协商一致的基础上签订书面流转合同。农村土地承包经营权流转合同一式四份，流转双方各执一份，发包方和乡（镇）人民政府农村土地承包管理部门各备案一份。承包方将土地交由他人代耕不超过一年的，可以不签订书面合同。</w:t>
            </w:r>
            <w:r>
              <w:rPr>
                <w:rFonts w:cs="Times New Roman" w:ascii="Times New Roman" w:hAnsi="Times New Roman"/>
                <w:sz w:val="22"/>
                <w:szCs w:val="22"/>
              </w:rPr>
              <w:br/>
            </w:r>
            <w:r>
              <w:rPr>
                <w:rFonts w:ascii="Times New Roman" w:hAnsi="Times New Roman" w:cs="Times New Roman" w:eastAsia="方正仿宋简体"/>
                <w:sz w:val="22"/>
                <w:szCs w:val="22"/>
              </w:rPr>
              <w:t>《农村土地承包经营权流转管理办法》第二十五条</w:t>
            </w:r>
            <w:r>
              <w:rPr>
                <w:rFonts w:ascii="Times New Roman" w:hAnsi="Times New Roman" w:cs="Times New Roman"/>
                <w:sz w:val="22"/>
                <w:szCs w:val="22"/>
              </w:rPr>
              <w:t xml:space="preserve">  </w:t>
            </w:r>
            <w:r>
              <w:rPr>
                <w:rFonts w:ascii="Times New Roman" w:hAnsi="Times New Roman" w:cs="Times New Roman" w:eastAsia="方正仿宋简体"/>
                <w:sz w:val="22"/>
                <w:szCs w:val="22"/>
              </w:rPr>
              <w:t>发包方对承包方提出的转包、出租、互换或者其他方式流转承包土地的要求，应当及时办理备案，并报告乡（镇）人民政府农村土地承包管理部门。承包方转让承包土地，发包方同意转让的，应当及时向乡（镇）人民政府农村土地承包管理部门报告，并配合办理有关变更手续；发包方不同意转让的，应当于七日内向承包方书面说明理由。</w:t>
            </w:r>
          </w:p>
        </w:tc>
      </w:tr>
      <w:tr>
        <w:trPr>
          <w:trHeight w:val="88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方正仿宋简体" w:hAnsi="方正仿宋简体" w:cs="方正仿宋简体" w:eastAsia="方正仿宋简体"/>
                <w:color w:val="000000"/>
                <w:sz w:val="22"/>
                <w:szCs w:val="22"/>
              </w:rPr>
              <w:t>对农业机械作业质量争议的调解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《四川省农业机械管理条例》第二十三条第二款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8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社会治安综合治理中心</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对承包期内，因自然灾害严重毁损承包地等特殊情形对个别农户之间承包的耕地和草地适当调整的批准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《中华人民共和国农村土地承包法》第二十八条第二款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131"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92</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对农村土地承包经营权颁证、换发、补发的初审</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4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《中华人民共和国农村土地承包经营权证管理办法》第七条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实行家庭承包</w:t>
            </w:r>
            <w:r>
              <w:rPr>
                <w:rStyle w:val="Font81"/>
                <w:rFonts w:ascii="Times New Roman" w:hAnsi="Times New Roman" w:cs="Times New Roman" w:eastAsia="方正仿宋_GBK"/>
                <w:sz w:val="24"/>
                <w:szCs w:val="24"/>
              </w:rPr>
              <w:t>的，按下列程序颁发农村土地承包经营权证：（一）土地承包合同生效后，发包方应在</w:t>
            </w:r>
            <w:r>
              <w:rPr>
                <w:rStyle w:val="Font81"/>
                <w:rFonts w:eastAsia="方正仿宋_GBK" w:cs="Times New Roman" w:ascii="Times New Roman" w:hAnsi="Times New Roman"/>
                <w:sz w:val="24"/>
                <w:szCs w:val="24"/>
              </w:rPr>
              <w:t>30</w:t>
            </w:r>
            <w:r>
              <w:rPr>
                <w:rStyle w:val="Font81"/>
                <w:rFonts w:ascii="Times New Roman" w:hAnsi="Times New Roman" w:cs="Times New Roman" w:eastAsia="方正仿宋_GBK"/>
                <w:sz w:val="24"/>
                <w:szCs w:val="24"/>
              </w:rPr>
              <w:t>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w:t>
            </w:r>
            <w:r>
              <w:rPr>
                <w:rStyle w:val="Font81"/>
                <w:rFonts w:eastAsia="方正仿宋_GBK" w:cs="Times New Roman" w:ascii="Times New Roman" w:hAnsi="Times New Roman"/>
                <w:sz w:val="24"/>
                <w:szCs w:val="24"/>
              </w:rPr>
              <w:t>15</w:t>
            </w:r>
            <w:r>
              <w:rPr>
                <w:rStyle w:val="Font81"/>
                <w:rFonts w:ascii="Times New Roman" w:hAnsi="Times New Roman" w:cs="Times New Roman" w:eastAsia="方正仿宋_GBK"/>
                <w:sz w:val="24"/>
                <w:szCs w:val="24"/>
              </w:rPr>
              <w:t>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Style w:val="Font81"/>
                <w:rFonts w:eastAsia="方正仿宋_GBK" w:cs="Times New Roman" w:ascii="Times New Roman" w:hAnsi="Times New Roman"/>
                <w:sz w:val="24"/>
                <w:szCs w:val="24"/>
              </w:rPr>
              <w:br/>
            </w:r>
            <w:r>
              <w:rPr>
                <w:rStyle w:val="Font81"/>
                <w:rFonts w:ascii="Times New Roman" w:hAnsi="Times New Roman" w:cs="Times New Roman" w:eastAsia="方正仿宋_GBK"/>
                <w:sz w:val="24"/>
                <w:szCs w:val="24"/>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Style w:val="Font81"/>
                <w:rFonts w:eastAsia="方正仿宋_GBK" w:cs="Times New Roman" w:ascii="Times New Roman" w:hAnsi="Times New Roman"/>
                <w:sz w:val="24"/>
                <w:szCs w:val="24"/>
              </w:rPr>
              <w:br/>
            </w:r>
            <w:r>
              <w:rPr>
                <w:rStyle w:val="Font81"/>
                <w:rFonts w:ascii="Times New Roman" w:hAnsi="Times New Roman" w:cs="Times New Roman" w:eastAsia="方正仿宋_GBK"/>
                <w:sz w:val="24"/>
                <w:szCs w:val="24"/>
              </w:rPr>
              <w:t>《中华人民共和国农村土地承包经营权证管理办法》第十七条  农村土地承包经营权证严重污损、毁坏、遗失的，承包方应向乡（镇）人民政府农村经营管理部门申请换发、补发。 经乡（镇）人民政府农村经营管理部门审核后，报请原发证机关办理换发、补发手续。</w:t>
            </w:r>
          </w:p>
        </w:tc>
      </w:tr>
      <w:tr>
        <w:trPr>
          <w:trHeight w:val="30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3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经济发展办公室</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24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24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24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24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24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64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28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131"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jc w:val="center"/>
        <w:rPr>
          <w:rFonts w:ascii="Times New Roman" w:hAnsi="Times New Roman" w:eastAsia="方正小标宋简体" w:cs="Times New Roman"/>
          <w:spacing w:val="-23"/>
          <w:sz w:val="44"/>
          <w:szCs w:val="44"/>
        </w:rPr>
      </w:pPr>
      <w:r>
        <w:rPr>
          <w:rFonts w:ascii="Times New Roman" w:hAnsi="Times New Roman" w:cs="Times New Roman" w:eastAsia="方正小标宋简体"/>
          <w:spacing w:val="-23"/>
          <w:sz w:val="44"/>
          <w:szCs w:val="44"/>
        </w:rPr>
        <w:t xml:space="preserve"> </w:t>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对土地承包经营纠纷的调解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cs="Times New Roman" w:ascii="Times New Roman" w:hAnsi="Times New Roman"/>
                <w:color w:val="000000"/>
                <w:sz w:val="22"/>
                <w:szCs w:val="22"/>
              </w:rPr>
              <w:t>1.</w:t>
            </w:r>
            <w:r>
              <w:rPr>
                <w:rFonts w:ascii="Times New Roman" w:hAnsi="Times New Roman" w:cs="Times New Roman" w:eastAsia="方正仿宋简体"/>
                <w:color w:val="000000"/>
                <w:sz w:val="22"/>
                <w:szCs w:val="22"/>
              </w:rPr>
              <w:t>《中华人民共和国农村土地承包法》第五十五条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因土地承包经营发生纠纷的，双方当事人可以通过协商解决，也可以请求村民委员会、乡（镇）人民政府等调解解决。</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当事人不愿协商、调解或者协商、调解不成的，可以向农村土地承包仲裁机构申请仲裁，也可以直接向人民法院起诉。</w:t>
            </w:r>
            <w:r>
              <w:rPr>
                <w:rFonts w:cs="Times New Roman" w:ascii="Times New Roman" w:hAnsi="Times New Roman"/>
                <w:color w:val="000000"/>
                <w:sz w:val="22"/>
                <w:szCs w:val="22"/>
              </w:rPr>
              <w:br/>
              <w:t>2.</w:t>
            </w:r>
            <w:r>
              <w:rPr>
                <w:rFonts w:ascii="Times New Roman" w:hAnsi="Times New Roman" w:cs="Times New Roman" w:eastAsia="方正仿宋简体"/>
                <w:color w:val="000000"/>
                <w:sz w:val="22"/>
                <w:szCs w:val="22"/>
              </w:rPr>
              <w:t>《农村土地承包经营权流转管理办法》第三十三条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农村土地承包经营权流转发生争议或者纠纷，当事人应当依法协商解决。当事人协商不成的，可以请求村民委员会、乡</w:t>
            </w:r>
            <w:r>
              <w:rPr>
                <w:rFonts w:ascii="Times New Roman" w:hAnsi="Times New Roman" w:cs="Times New Roman"/>
                <w:color w:val="000000"/>
                <w:sz w:val="22"/>
                <w:szCs w:val="22"/>
              </w:rPr>
              <w:t>（</w:t>
            </w:r>
            <w:r>
              <w:rPr>
                <w:rFonts w:ascii="Times New Roman" w:hAnsi="Times New Roman" w:cs="Times New Roman" w:eastAsia="方正仿宋简体"/>
                <w:color w:val="000000"/>
                <w:sz w:val="22"/>
                <w:szCs w:val="22"/>
              </w:rPr>
              <w:t>镇</w:t>
            </w:r>
            <w:r>
              <w:rPr>
                <w:rFonts w:ascii="Times New Roman" w:hAnsi="Times New Roman" w:cs="Times New Roman"/>
                <w:color w:val="000000"/>
                <w:sz w:val="22"/>
                <w:szCs w:val="22"/>
              </w:rPr>
              <w:t>）</w:t>
            </w:r>
            <w:r>
              <w:rPr>
                <w:rFonts w:ascii="Times New Roman" w:hAnsi="Times New Roman" w:cs="Times New Roman" w:eastAsia="方正仿宋简体"/>
                <w:color w:val="000000"/>
                <w:sz w:val="22"/>
                <w:szCs w:val="22"/>
              </w:rPr>
              <w:t>人民政府调解。当事人不愿协商或者调解不成的，可以向农村土地承包仲裁机构申请仲裁，也可以直接向人民法院起诉。</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社会治安综合治理中心</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对强迫农民以资代劳的责令改正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《中华人民共和国农业法》第九十五条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违反本法第七十三条第二款规定，强迫农民以资代劳的，由乡（镇）人民政府责令改正，并退还违法收取的资金。</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综合执法办公室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对动物强制免疫的实施</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《中华人民共和国动物防疫法》第六条</w:t>
            </w:r>
            <w:r>
              <w:rPr>
                <w:rFonts w:ascii="Times New Roman" w:hAnsi="Times New Roman" w:cs="Times New Roman"/>
                <w:color w:val="000000"/>
                <w:sz w:val="24"/>
              </w:rPr>
              <w:t xml:space="preserve"> </w:t>
            </w:r>
            <w:r>
              <w:rPr>
                <w:rFonts w:ascii="Times New Roman" w:hAnsi="Times New Roman" w:cs="Times New Roman" w:eastAsia="方正仿宋简体"/>
                <w:color w:val="000000"/>
                <w:sz w:val="22"/>
                <w:szCs w:val="22"/>
              </w:rPr>
              <w:t>乡级人民政府、城市街道办事处应当组织群众协助做好本管辖区域内的动物疫病预防与控制工作。</w:t>
            </w:r>
            <w:r>
              <w:rPr>
                <w:rFonts w:cs="Times New Roman" w:ascii="Times New Roman" w:hAnsi="Times New Roman"/>
                <w:color w:val="000000"/>
                <w:sz w:val="24"/>
              </w:rPr>
              <w:br/>
            </w:r>
            <w:r>
              <w:rPr>
                <w:rFonts w:ascii="Times New Roman" w:hAnsi="Times New Roman" w:cs="Times New Roman" w:eastAsia="方正仿宋简体"/>
                <w:color w:val="000000"/>
                <w:sz w:val="22"/>
                <w:szCs w:val="22"/>
              </w:rPr>
              <w:t>第十四条</w:t>
            </w:r>
            <w:r>
              <w:rPr>
                <w:rFonts w:ascii="Times New Roman" w:hAnsi="Times New Roman" w:cs="Times New Roman"/>
                <w:color w:val="000000"/>
                <w:sz w:val="24"/>
              </w:rPr>
              <w:t xml:space="preserve">  </w:t>
            </w:r>
            <w:r>
              <w:rPr>
                <w:rFonts w:ascii="Times New Roman" w:hAnsi="Times New Roman" w:cs="Times New Roman" w:eastAsia="方正仿宋简体"/>
                <w:color w:val="000000"/>
                <w:sz w:val="22"/>
                <w:szCs w:val="22"/>
              </w:rPr>
              <w:t>乡级人民政府、城市街道办事处应当组织本管辖区域内饲养动物的单位和个人做好强制免疫工作。</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发生三类动物疫病时组织防治和净化</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《中华人民共和国动物防疫法》第三十四条</w:t>
            </w:r>
            <w:r>
              <w:rPr>
                <w:rFonts w:ascii="Times New Roman" w:hAnsi="Times New Roman" w:cs="Times New Roman"/>
                <w:color w:val="000000"/>
                <w:sz w:val="24"/>
              </w:rPr>
              <w:t xml:space="preserve">  </w:t>
            </w:r>
            <w:r>
              <w:rPr>
                <w:rFonts w:ascii="Times New Roman" w:hAnsi="Times New Roman" w:cs="Times New Roman" w:eastAsia="方正仿宋简体"/>
                <w:color w:val="000000"/>
                <w:sz w:val="22"/>
                <w:szCs w:val="22"/>
              </w:rPr>
              <w:t>发生三类动物疫病时，当地县级、乡级人民政府应当按照国务院兽医主管部门的规定组织防治和净化。</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经济发展办公室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对流动人口未依照《流动人口计划生育工作条例》规定办理婚育证明的处理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《流动人口计划生育工作条例》第二十三条</w:t>
            </w:r>
            <w:r>
              <w:rPr>
                <w:rFonts w:ascii="Times New Roman" w:hAnsi="Times New Roman" w:cs="Times New Roman"/>
                <w:color w:val="000000"/>
                <w:sz w:val="24"/>
              </w:rPr>
              <w:t xml:space="preserve">  </w:t>
            </w:r>
            <w:r>
              <w:rPr>
                <w:rFonts w:ascii="Times New Roman" w:hAnsi="Times New Roman" w:cs="Times New Roman" w:eastAsia="方正仿宋简体"/>
                <w:color w:val="000000"/>
                <w:sz w:val="22"/>
                <w:szCs w:val="22"/>
              </w:rPr>
              <w:t>流动人口未依照本条例规定办理婚育证明的，现居住地的乡（镇）人民政府或者街道办事处应当通知其在</w:t>
            </w:r>
            <w:r>
              <w:rPr>
                <w:rFonts w:eastAsia="方正仿宋简体" w:cs="Times New Roman" w:ascii="Times New Roman" w:hAnsi="Times New Roman"/>
                <w:color w:val="000000"/>
                <w:sz w:val="22"/>
                <w:szCs w:val="22"/>
              </w:rPr>
              <w:t>3</w:t>
            </w:r>
            <w:r>
              <w:rPr>
                <w:rFonts w:ascii="Times New Roman" w:hAnsi="Times New Roman" w:cs="Times New Roman" w:eastAsia="方正仿宋简体"/>
                <w:color w:val="000000"/>
                <w:sz w:val="22"/>
                <w:szCs w:val="22"/>
              </w:rPr>
              <w:t>个月内补办；逾期仍不补办或者拒不提交婚育证明的，由流动人口现居住地的乡（镇）人民政府或者街道办事处予以批评教育。</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lang w:eastAsia="zh-CN"/>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对新生儿在医疗卫生机构以外地点死亡的核查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《禁止非医学需要的胎儿性别鉴定和选择性别人工终止妊娠的规定》第十三条第二款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对房屋租赁中介机构、房屋的出租（借）人和物业服务企业等有关组织或者个人未按照《流动人口计划生育工作条例》如实提供流动人口信息的处理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《流动人口计划生育工作条例》第二十四条第二款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房屋租赁中介机构、房屋的出租（借）人和物业服务企业等有关组织或者个人未依照本条例规定如实提供流动人口信息的，由所在地的乡（镇）人民政府或者街道办事处责令改正，予以批评教育。</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对再生育申请的受理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《四川省人口与计划生育条例》第十三条第二款</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pacing w:val="-6"/>
                <w:sz w:val="22"/>
                <w:szCs w:val="22"/>
              </w:rPr>
              <w:t>已有两个子女的夫妻，符合下列条件之一的，可以申请再生育一个子女：（一）有子女为病残儿，不能成长为正常劳动力，但医学上认为可再生育的；（二）夫妻一方为五级以上伤残的</w:t>
            </w:r>
            <w:r>
              <w:rPr>
                <w:rFonts w:ascii="Times New Roman" w:hAnsi="Times New Roman" w:cs="Times New Roman" w:eastAsia="方正仿宋简体"/>
                <w:color w:val="000000"/>
                <w:sz w:val="22"/>
                <w:szCs w:val="22"/>
              </w:rPr>
              <w:t>。</w:t>
            </w:r>
            <w:r>
              <w:rPr>
                <w:rFonts w:cs="Times New Roman" w:ascii="Times New Roman" w:hAnsi="Times New Roman"/>
                <w:color w:val="000000"/>
                <w:sz w:val="22"/>
                <w:szCs w:val="22"/>
              </w:rPr>
              <w:br/>
            </w:r>
            <w:r>
              <w:rPr>
                <w:rFonts w:ascii="Times New Roman" w:hAnsi="Times New Roman" w:cs="Times New Roman" w:eastAsia="方正仿宋简体"/>
                <w:color w:val="000000"/>
                <w:sz w:val="22"/>
                <w:szCs w:val="22"/>
              </w:rPr>
              <w:t>《四川省人口与计划生育条例》第十七条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pacing w:val="-6"/>
                <w:sz w:val="22"/>
                <w:szCs w:val="22"/>
              </w:rPr>
              <w:t>符合本条例第十三条第二款规定申请再生育的夫妻，由一方户籍所在地或者居住地的乡（镇）人民政府、街道办事处受理申请，县级计划生育行政部门在</w:t>
            </w:r>
            <w:r>
              <w:rPr>
                <w:rFonts w:cs="Times New Roman" w:ascii="Times New Roman" w:hAnsi="Times New Roman"/>
                <w:color w:val="000000"/>
                <w:spacing w:val="-6"/>
                <w:sz w:val="22"/>
                <w:szCs w:val="22"/>
              </w:rPr>
              <w:t>20</w:t>
            </w:r>
            <w:r>
              <w:rPr>
                <w:rFonts w:ascii="Times New Roman" w:hAnsi="Times New Roman" w:cs="Times New Roman" w:eastAsia="方正仿宋简体"/>
                <w:color w:val="000000"/>
                <w:spacing w:val="-6"/>
                <w:sz w:val="22"/>
                <w:szCs w:val="22"/>
              </w:rPr>
              <w:t>个工作日内完成审批。逾期视为批准</w:t>
            </w:r>
            <w:r>
              <w:rPr>
                <w:rFonts w:ascii="Times New Roman" w:hAnsi="Times New Roman" w:cs="Times New Roman" w:eastAsia="方正仿宋简体"/>
                <w:color w:val="000000"/>
                <w:sz w:val="22"/>
                <w:szCs w:val="22"/>
              </w:rPr>
              <w:t>。</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对申请病残儿医学鉴定者情况的审核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《病残儿医学鉴定管理办法》第十三条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乡（镇、街道）计划生育管理部门应对申请病残儿医学鉴定者的情况进行再次核实并进行必要的社会和家系调查后，在病残儿医学鉴定申请表上签署意见，加盖公章，并在接到申报材料之日起</w:t>
            </w:r>
            <w:r>
              <w:rPr>
                <w:rFonts w:cs="Times New Roman" w:ascii="Times New Roman" w:hAnsi="Times New Roman"/>
                <w:color w:val="000000"/>
                <w:sz w:val="22"/>
                <w:szCs w:val="22"/>
              </w:rPr>
              <w:t>20</w:t>
            </w:r>
            <w:r>
              <w:rPr>
                <w:rFonts w:ascii="Times New Roman" w:hAnsi="Times New Roman" w:cs="Times New Roman" w:eastAsia="方正仿宋简体"/>
                <w:color w:val="000000"/>
                <w:sz w:val="22"/>
                <w:szCs w:val="22"/>
              </w:rPr>
              <w:t>个工作日内报县级计划生育行政部门。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对不履行协助计划生育管理义务的处理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《中华人民共和国人口与计划生育法》第四十条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违反本法规定，不履行协助计划生育管理义务的，由有关地方人民政府责令改正，并给予通报批评；对直接负责的主管人员和其他直接责任人员依法给予行政处分。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社会事务办公室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103</w:t>
            </w:r>
          </w:p>
        </w:tc>
      </w:tr>
      <w:tr>
        <w:trPr>
          <w:trHeight w:val="30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211"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对违反《四川省安全生产条例》规定的责令限期改正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r>
              <w:rPr>
                <w:rFonts w:eastAsia="方正仿宋简体" w:cs="Times New Roman" w:ascii="Times New Roman" w:hAnsi="Times New Roman"/>
                <w:color w:val="000000"/>
                <w:sz w:val="22"/>
                <w:szCs w:val="22"/>
              </w:rPr>
              <w:br/>
            </w:r>
            <w:r>
              <w:rPr>
                <w:rFonts w:ascii="Times New Roman" w:hAnsi="Times New Roman" w:cs="Times New Roman" w:eastAsia="方正仿宋简体"/>
                <w:color w:val="000000"/>
                <w:sz w:val="22"/>
                <w:szCs w:val="22"/>
              </w:rPr>
              <w:t>《四川省安全生产条例》第八十条第二款  乡（镇）人民政府、街道办事处依照本条例规定，可以行使责令限期改正和县级安全生产监督管理部门委托的实施简易程序的行政处罚权。</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kern w:val="0"/>
                <w:sz w:val="22"/>
                <w:szCs w:val="22"/>
              </w:rPr>
              <w:t>紧急情况下，对生产经营单位的责令暂停作业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rPr>
          <w:trHeight w:val="29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对因自然灾害受损的居民住房恢复重建补助对象的审核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对食品摊贩经营区域和时段的确定</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《四川省食品小作坊、小经营店及摊贩管理条例》第二十三条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乡（镇）人民政府、街道办事处应当根据实际需要，按照方便群众、合理布局的原则，征求社会公众意见，确定食品摊贩经营区域和时段，并向社会公布，鼓励食品摊贩进入区域经营。在确定区域外，乡（镇）人民政府、街道办事处可以根据群众需求，在不影响安全、交通、市容环保等情况下，临时确定区域和时段供食品摊贩经营。幼儿园、中小学校周边不得确定为食品摊贩经营活动区域。食品摊贩经营区域和临时区域可以设定期限。对进入确定区域从事食品摊贩经营的，乡（镇）人民政府或者街道办事处应当根据申请人数和确定区域的摊位实际可容纳数量，按照公开、公平、公正的原则予以确定，及时向社会公布取得摊位的人员名单。</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bidi w:val="0"/>
        <w:spacing w:lineRule="exact" w:line="560"/>
        <w:ind w:firstLineChars="100" w:firstLine="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color w:val="000000"/>
                <w:sz w:val="22"/>
                <w:szCs w:val="22"/>
              </w:rPr>
              <w:t>对乡村集体所有制企业设立的审核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color w:val="000000"/>
                <w:sz w:val="22"/>
                <w:szCs w:val="22"/>
              </w:rPr>
              <w:t>《中华人民共和国乡村集体所有制企业条例》第十四条</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r>
              <w:rPr>
                <w:rFonts w:ascii="Times New Roman" w:hAnsi="Times New Roman" w:cs="Times New Roman"/>
                <w:color w:val="000000"/>
                <w:sz w:val="22"/>
                <w:szCs w:val="22"/>
              </w:rPr>
              <w:t xml:space="preserve"> </w:t>
            </w:r>
            <w:r>
              <w:rPr>
                <w:rFonts w:ascii="Times New Roman" w:hAnsi="Times New Roman" w:cs="Times New Roman" w:eastAsia="方正仿宋简体"/>
                <w:color w:val="000000"/>
                <w:sz w:val="22"/>
                <w:szCs w:val="22"/>
              </w:rPr>
              <w:t>企业应当在核准登记的经营范围内从事生产经营活动。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财政所</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对设立健身气功站点的审核</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《健身气功管理办法》第十七条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设立健身气功站点，应当经当地街道办事处、乡镇级人民政府或企事业单位有关部门审核同意，报当地具有相应管辖权限的体育行政部门审批。</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对贫困户、贫困村的审查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《四川省农村扶贫开发条例》第十条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对移民安置区的移民生产生活的帮助及矛盾纠纷的调处</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《大中型水利水电工程建设征地补偿和移民安置条例》第五十三条第三款</w:t>
            </w:r>
            <w:r>
              <w:rPr>
                <w:rFonts w:ascii="Times New Roman" w:hAnsi="Times New Roman"/>
                <w:color w:val="000000"/>
                <w:sz w:val="22"/>
                <w:szCs w:val="22"/>
              </w:rPr>
              <w:t xml:space="preserve">  </w:t>
            </w:r>
            <w:r>
              <w:rPr>
                <w:rFonts w:ascii="Times New Roman" w:hAnsi="Times New Roman" w:eastAsia="方正仿宋简体"/>
                <w:color w:val="000000"/>
                <w:sz w:val="22"/>
                <w:szCs w:val="22"/>
              </w:rPr>
              <w:t>移民安置区乡（镇）人民政府、村（居）民委员会应当采取有效措施帮助移民适应当地的生产、生活，及时调处矛盾纠纷。</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9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社会治安综合治理中心</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对侵害妇女及其配偶、子女在农村集体经济组织中享有权益的调解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《中华人民共和国妇女权益保障法》第五十五条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捕杀狂犬、野犬</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《中华人民共和国传染病防治法实施办法》第二十九条第三项</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乡（镇）政府负责辖区内养犬的管理，捕杀狂犬、野犬。</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对社区戒毒人员、社区康复人员的监督</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中华人民共和国禁毒法》第三十四条第一款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Fonts w:eastAsia="方正仿宋简体" w:ascii="Times New Roman" w:hAnsi="Times New Roman"/>
                <w:color w:val="000000"/>
                <w:sz w:val="22"/>
                <w:szCs w:val="22"/>
              </w:rPr>
              <w:br/>
              <w:t xml:space="preserve">    </w:t>
            </w:r>
            <w:r>
              <w:rPr>
                <w:rFonts w:ascii="Times New Roman" w:hAnsi="Times New Roman" w:eastAsia="方正仿宋简体"/>
                <w:color w:val="000000"/>
                <w:sz w:val="22"/>
                <w:szCs w:val="22"/>
              </w:rPr>
              <w:t>《中华人民共和国禁毒法》第三十九条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r>
      <w:tr>
        <w:trPr>
          <w:trHeight w:val="88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对可能引发社会安全事件的矛盾纠纷的调解处理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《中华人民共和国突发事件应对法》第二十一条</w:t>
            </w:r>
            <w:r>
              <w:rPr>
                <w:rFonts w:ascii="Times New Roman" w:hAnsi="Times New Roman"/>
                <w:color w:val="000000"/>
                <w:sz w:val="22"/>
                <w:szCs w:val="22"/>
              </w:rPr>
              <w:t xml:space="preserve">  </w:t>
            </w:r>
            <w:r>
              <w:rPr>
                <w:rFonts w:ascii="Times New Roman" w:hAnsi="Times New Roman" w:eastAsia="方正仿宋简体"/>
                <w:color w:val="000000"/>
                <w:sz w:val="22"/>
                <w:szCs w:val="22"/>
              </w:rPr>
              <w:t>县级人民政府及其有关部门、乡级人民政府、街道办事处、居民委员会、村民委员会应当及时调解处理可能引发社会安全事件的矛盾纠纷。</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对畜禽养殖环境污染行为的制止</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olor w:val="000000"/>
                <w:sz w:val="22"/>
                <w:szCs w:val="22"/>
              </w:rPr>
              <w:t>1.</w:t>
            </w:r>
            <w:r>
              <w:rPr>
                <w:rFonts w:ascii="Times New Roman" w:hAnsi="Times New Roman" w:eastAsia="方正仿宋简体"/>
                <w:color w:val="000000"/>
                <w:sz w:val="22"/>
                <w:szCs w:val="22"/>
              </w:rPr>
              <w:t>《畜禽规模养殖污染防治条例》第二十三条第二款　乡镇人民政府、基层群众自治组织发现畜禽养殖环境污染行为的，应当及时制止和报告。</w:t>
            </w:r>
            <w:r>
              <w:rPr>
                <w:rFonts w:ascii="Times New Roman" w:hAnsi="Times New Roman"/>
                <w:color w:val="000000"/>
                <w:sz w:val="22"/>
                <w:szCs w:val="22"/>
              </w:rPr>
              <w:t xml:space="preserve"> </w:t>
            </w:r>
            <w:r>
              <w:rPr>
                <w:rFonts w:ascii="Times New Roman" w:hAnsi="Times New Roman"/>
                <w:color w:val="000000"/>
                <w:sz w:val="22"/>
                <w:szCs w:val="22"/>
              </w:rPr>
              <w:br/>
              <w:t xml:space="preserve">    2.</w:t>
            </w:r>
            <w:r>
              <w:rPr>
                <w:rFonts w:ascii="Times New Roman" w:hAnsi="Times New Roman" w:eastAsia="方正仿宋简体"/>
                <w:color w:val="000000"/>
                <w:sz w:val="22"/>
                <w:szCs w:val="22"/>
              </w:rPr>
              <w:t>《四川省环境保护条例》第七十条第三款</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乡（镇）人民政府应当加强对非规模化畜禽养殖的监督管理，发现畜</w:t>
            </w:r>
            <w:r>
              <w:rPr>
                <w:rFonts w:ascii="Times New Roman" w:hAnsi="Times New Roman" w:eastAsia="方正仿宋简体"/>
                <w:color w:val="000000"/>
                <w:spacing w:val="-11"/>
                <w:sz w:val="22"/>
                <w:szCs w:val="22"/>
              </w:rPr>
              <w:t>禽养殖环境污染行为的，应当及时制止和报告。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对拖欠农民工工资矛盾的排查和调处</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《保障农民工工资支付条例》第四条第二款</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乡镇人民政府、街道办事处应当加强对拖</w:t>
            </w:r>
            <w:r>
              <w:rPr>
                <w:rFonts w:ascii="Times New Roman" w:hAnsi="Times New Roman" w:eastAsia="方正仿宋简体"/>
                <w:color w:val="000000"/>
                <w:spacing w:val="-6"/>
                <w:sz w:val="22"/>
                <w:szCs w:val="22"/>
              </w:rPr>
              <w:t>欠农民工工资矛盾的排查和调处工作，防范和化解矛盾，及时调解纠纷。</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95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对不满</w:t>
            </w:r>
            <w:r>
              <w:rPr>
                <w:rFonts w:ascii="Times New Roman" w:hAnsi="Times New Roman"/>
                <w:color w:val="000000"/>
                <w:sz w:val="22"/>
                <w:szCs w:val="22"/>
              </w:rPr>
              <w:t>16</w:t>
            </w:r>
            <w:r>
              <w:rPr>
                <w:rFonts w:ascii="Times New Roman" w:hAnsi="Times New Roman" w:eastAsia="方正仿宋简体"/>
                <w:color w:val="000000"/>
                <w:sz w:val="22"/>
                <w:szCs w:val="22"/>
              </w:rPr>
              <w:t>周岁的未成年人的父母或者其他监护人允许其被用人单位非法招用的处理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《禁止使用童工规定》第三条</w:t>
            </w:r>
            <w:r>
              <w:rPr>
                <w:rFonts w:ascii="Times New Roman" w:hAnsi="Times New Roman"/>
                <w:color w:val="000000"/>
                <w:sz w:val="24"/>
              </w:rPr>
              <w:t xml:space="preserve"> </w:t>
            </w:r>
            <w:r>
              <w:rPr>
                <w:rFonts w:ascii="Times New Roman" w:hAnsi="Times New Roman" w:eastAsia="方正仿宋简体"/>
                <w:color w:val="000000"/>
                <w:sz w:val="24"/>
              </w:rPr>
              <w:t xml:space="preserve"> </w:t>
            </w:r>
            <w:r>
              <w:rPr>
                <w:rFonts w:ascii="Times New Roman" w:hAnsi="Times New Roman" w:eastAsia="方正仿宋简体"/>
                <w:color w:val="000000"/>
                <w:sz w:val="22"/>
                <w:szCs w:val="22"/>
              </w:rPr>
              <w:t>不满</w:t>
            </w:r>
            <w:r>
              <w:rPr>
                <w:rFonts w:eastAsia="方正仿宋简体" w:ascii="Times New Roman" w:hAnsi="Times New Roman"/>
                <w:color w:val="000000"/>
                <w:sz w:val="22"/>
                <w:szCs w:val="22"/>
              </w:rPr>
              <w:t>16</w:t>
            </w:r>
            <w:r>
              <w:rPr>
                <w:rFonts w:ascii="Times New Roman" w:hAnsi="Times New Roman" w:eastAsia="方正仿宋简体"/>
                <w:color w:val="000000"/>
                <w:sz w:val="22"/>
                <w:szCs w:val="22"/>
              </w:rPr>
              <w:t>周岁的未成年人的父母或者其他监护人应当保护其身心健康，保障其接受义务教育的权利，不得允许其被用人单位非法招用。不满</w:t>
            </w:r>
            <w:r>
              <w:rPr>
                <w:rFonts w:eastAsia="方正仿宋简体" w:ascii="Times New Roman" w:hAnsi="Times New Roman"/>
                <w:color w:val="000000"/>
                <w:sz w:val="22"/>
                <w:szCs w:val="22"/>
              </w:rPr>
              <w:t>16</w:t>
            </w:r>
            <w:r>
              <w:rPr>
                <w:rFonts w:ascii="Times New Roman" w:hAnsi="Times New Roman" w:eastAsia="方正仿宋简体"/>
                <w:color w:val="000000"/>
                <w:sz w:val="22"/>
                <w:szCs w:val="22"/>
              </w:rPr>
              <w:t>周岁的未成年人的父母或者其他监护人允许其被用人单位非法招用的，所在地的乡（镇）人民政府、城市街道办事处以及村民委员会、居民委员会应当给予批评教育。</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1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对发现违法焚烧秸秆的制止</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《四川省环境保护条例》第五十一条</w:t>
            </w:r>
            <w:r>
              <w:rPr>
                <w:rFonts w:ascii="Times New Roman" w:hAnsi="Times New Roman"/>
                <w:color w:val="000000"/>
                <w:sz w:val="24"/>
              </w:rPr>
              <w:t xml:space="preserve">  </w:t>
            </w:r>
            <w:r>
              <w:rPr>
                <w:rFonts w:ascii="Times New Roman" w:hAnsi="Times New Roman" w:eastAsia="方正仿宋简体"/>
                <w:color w:val="000000"/>
                <w:sz w:val="22"/>
                <w:szCs w:val="22"/>
              </w:rPr>
              <w:t>乡（镇）人民政府和街道办事处应当在依法划定的秸秆禁烧区开展秸秆焚烧现场检查。发现违法焚烧秸秆的，应当及时制止，并报告县级以上环境保护主管部门及有关部门。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0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对已登记应征公民的体格检查和相关审查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1150" w:firstLine="0"/>
              <w:rPr>
                <w:rFonts w:ascii="Times New Roman" w:hAnsi="Times New Roman" w:cs="Times New Roman"/>
                <w:sz w:val="22"/>
              </w:rPr>
            </w:pPr>
            <w:r>
              <w:rPr>
                <w:rStyle w:val="Font81"/>
                <w:rFonts w:ascii="方正楷体_GBK" w:hAnsi="方正楷体_GBK" w:cs="方正楷体_GBK" w:eastAsia="方正楷体_GBK"/>
                <w:b/>
                <w:bCs/>
                <w:sz w:val="24"/>
                <w:szCs w:val="24"/>
              </w:rPr>
              <w:t>法定</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color w:val="000000"/>
                <w:sz w:val="22"/>
                <w:szCs w:val="22"/>
              </w:rPr>
              <w:t>《征兵工作条例》第十三条</w:t>
            </w:r>
            <w:r>
              <w:rPr>
                <w:rFonts w:ascii="Times New Roman" w:hAnsi="Times New Roman"/>
                <w:color w:val="000000"/>
                <w:sz w:val="22"/>
                <w:szCs w:val="22"/>
              </w:rPr>
              <w:t xml:space="preserve">  </w:t>
            </w:r>
            <w:r>
              <w:rPr>
                <w:rFonts w:ascii="Times New Roman" w:hAnsi="Times New Roman" w:eastAsia="方正仿宋简体"/>
                <w:color w:val="000000"/>
                <w:sz w:val="22"/>
                <w:szCs w:val="22"/>
              </w:rPr>
              <w:t>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w:t>
            </w:r>
            <w:r>
              <w:rPr>
                <w:rFonts w:ascii="Times New Roman" w:hAnsi="Times New Roman"/>
                <w:color w:val="000000"/>
                <w:sz w:val="22"/>
                <w:szCs w:val="22"/>
              </w:rPr>
              <w:br/>
            </w:r>
            <w:r>
              <w:rPr>
                <w:rFonts w:ascii="Times New Roman" w:hAnsi="Times New Roman" w:eastAsia="方正仿宋简体"/>
                <w:color w:val="000000"/>
                <w:sz w:val="22"/>
                <w:szCs w:val="22"/>
              </w:rPr>
              <w:t>《征兵工作条例》第二十一条</w:t>
            </w:r>
            <w:r>
              <w:rPr>
                <w:rFonts w:ascii="Times New Roman" w:hAnsi="Times New Roman"/>
                <w:color w:val="000000"/>
                <w:sz w:val="22"/>
                <w:szCs w:val="22"/>
              </w:rPr>
              <w:t xml:space="preserve">  </w:t>
            </w:r>
            <w:r>
              <w:rPr>
                <w:rFonts w:ascii="Times New Roman" w:hAnsi="Times New Roman" w:eastAsia="方正仿宋简体"/>
                <w:color w:val="000000"/>
                <w:sz w:val="22"/>
                <w:szCs w:val="22"/>
              </w:rPr>
              <w:t>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武装部</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行政征收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城市生活垃圾处理费的征收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赋权（区住房和城乡建设局）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《城市生活垃圾管理办法》第四条第一款  产生城市生活垃圾的单位和个人，应当按照城市人民政府确定的生活垃圾处理费收费标准和有关规定缴纳城市生活垃圾处理费。</w:t>
            </w:r>
            <w:r>
              <w:rPr>
                <w:rFonts w:eastAsia="方正仿宋简体" w:cs="Times New Roman" w:ascii="Times New Roman" w:hAnsi="Times New Roman"/>
                <w:sz w:val="22"/>
                <w:szCs w:val="22"/>
              </w:rPr>
              <w:br/>
              <w:t xml:space="preserve">    2.</w:t>
            </w:r>
            <w:r>
              <w:rPr>
                <w:rFonts w:ascii="Times New Roman" w:hAnsi="Times New Roman" w:cs="Times New Roman" w:eastAsia="方正仿宋简体"/>
                <w:sz w:val="22"/>
                <w:szCs w:val="22"/>
              </w:rPr>
              <w:t>《四川省城市生活垃圾及危险废物处理收费管理暂行办法》第十三条第一项 （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_GBK"/>
                <w:sz w:val="24"/>
                <w:szCs w:val="24"/>
                <w:lang w:eastAsia="zh-CN"/>
              </w:rPr>
              <w:t>社区管理办公室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行政征收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征收建筑垃圾处置费</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赋权（区住房和城乡建设局）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《城市建筑垃圾管理规定》第十六条  建筑垃圾处置实行收费制度，收费标准依据国家有关规定执行。</w:t>
            </w:r>
            <w:r>
              <w:rPr>
                <w:rFonts w:eastAsia="方正仿宋简体" w:cs="Times New Roman" w:ascii="Times New Roman" w:hAnsi="Times New Roman"/>
                <w:sz w:val="22"/>
                <w:szCs w:val="22"/>
              </w:rPr>
              <w:br/>
              <w:t>2.</w:t>
            </w:r>
            <w:r>
              <w:rPr>
                <w:rFonts w:ascii="Times New Roman" w:hAnsi="Times New Roman" w:cs="Times New Roman" w:eastAsia="方正仿宋简体"/>
                <w:sz w:val="22"/>
                <w:szCs w:val="22"/>
              </w:rPr>
              <w:t>《四川省城市生活垃圾及危险废物处理收费管理暂行办法》第五条　城市生活垃圾是指城市人口在日常生活中产生或为城市日常生活提供服务产生的固体废物以及法律、行政法规规定，视为城市生活垃圾的固体废物（包括建筑垃圾和渣土、不包括工业固体废物和危险废物）。</w:t>
            </w:r>
            <w:r>
              <w:rPr>
                <w:rFonts w:eastAsia="方正仿宋简体" w:cs="Times New Roman" w:ascii="Times New Roman" w:hAnsi="Times New Roman"/>
                <w:sz w:val="22"/>
                <w:szCs w:val="22"/>
              </w:rPr>
              <w:br/>
            </w:r>
            <w:r>
              <w:rPr>
                <w:rFonts w:ascii="Times New Roman" w:hAnsi="Times New Roman" w:cs="Times New Roman" w:eastAsia="方正仿宋简体"/>
                <w:sz w:val="22"/>
                <w:szCs w:val="22"/>
              </w:rPr>
              <w:t>《四川省城市生活垃圾及危险废物处理收费管理暂行办法》第十三条第一项</w:t>
            </w:r>
          </w:p>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 xml:space="preserve"> </w:t>
            </w:r>
            <w:r>
              <w:rPr>
                <w:rFonts w:ascii="Times New Roman" w:hAnsi="Times New Roman" w:cs="Times New Roman" w:eastAsia="方正仿宋简体"/>
                <w:sz w:val="22"/>
                <w:szCs w:val="22"/>
              </w:rPr>
              <w:t>（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trPr>
          <w:trHeight w:val="31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社区管理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农村机电提灌站的产权登记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《四川省农村机电提灌管理条例》第十六条第二款  农村机电提灌站国有资产和非国有资产的确认，应当依据投资的来源，由县级以上人民政府农业机械主管部门会同有关部门决定，并按国家有关规定进行产权登记。</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行政征收</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出售废旧机电提灌设备及其主要零部件的确认</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《四川省农村机电提灌管理条例》第三十四条第一款   出售废旧机电提灌设备及其主要零配件，必须持有县级以上人民政府农业机械主管部门开具的有关证明，废旧物资收购单位应当验证收购。</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对养老机构的监督检查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赋权（区民政局）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eastAsia="方正仿宋简体"/>
                <w:sz w:val="22"/>
                <w:szCs w:val="22"/>
              </w:rPr>
              <w:t>《养老机构管理办法》第三十六条第一款 民政部门应当加强对养老机构服务和运营的监督检查，发现违反本办法规定的，及时依法予以处理并向社会公布。</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对重点排污单位环境信息公开活动的监督检查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赋权（达川生态环境局）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《企业事业单位环境信息公开办法》第十四条  环境保护主管部门有权对重点排污单位环境信息公开活动进行监督检查。被检查者应当如实反映情况，提供必要的资料。</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对从事可能造成土壤污染活动的企业事业单位和其他生产经营者进行的监督检查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赋权（达川生态环境局）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《中华人民共和国土壤污染防治法》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被检查者应当配合检查工作，如实反映情况，提供必要的资料。实施现场检查的部门、机构及其工作人员应当为被检查者保守商业秘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对排放污染物的企业事业单位和其他生产经营者的监督检查（不含监测）</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赋权（达川生态环境局）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2.</w:t>
            </w:r>
            <w:r>
              <w:rPr>
                <w:rFonts w:ascii="Times New Roman" w:hAnsi="Times New Roman" w:cs="Times New Roman" w:eastAsia="方正仿宋简体"/>
                <w:sz w:val="22"/>
                <w:szCs w:val="22"/>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Style14"/>
              <w:widowControl w:val="false"/>
              <w:bidi w:val="0"/>
              <w:snapToGrid w:val="false"/>
              <w:rPr>
                <w:rFonts w:ascii="Times New Roman" w:hAnsi="Times New Roman" w:eastAsia="方正仿宋简体"/>
                <w:sz w:val="22"/>
                <w:szCs w:val="22"/>
              </w:rPr>
            </w:pPr>
            <w:r>
              <w:rPr>
                <w:rFonts w:ascii="Times New Roman" w:hAnsi="Times New Roman" w:cs="Times New Roman" w:eastAsia="方正仿宋简体"/>
                <w:sz w:val="22"/>
                <w:szCs w:val="22"/>
              </w:rPr>
              <w:t>《中华人民共和国水污染防治法》第五十条第三款  环境保护主管部门应当对城镇污水集中处理设施的出水水质和水量进行监督检查。</w:t>
            </w:r>
          </w:p>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3.</w:t>
            </w:r>
            <w:r>
              <w:rPr>
                <w:rFonts w:ascii="Times New Roman" w:hAnsi="Times New Roman" w:cs="Times New Roman" w:eastAsia="方正仿宋简体"/>
                <w:sz w:val="22"/>
                <w:szCs w:val="22"/>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4.</w:t>
            </w:r>
            <w:r>
              <w:rPr>
                <w:rFonts w:ascii="Times New Roman" w:hAnsi="Times New Roman" w:cs="Times New Roman" w:eastAsia="方正仿宋简体"/>
                <w:sz w:val="22"/>
                <w:szCs w:val="22"/>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p>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5.</w:t>
            </w:r>
            <w:r>
              <w:rPr>
                <w:rFonts w:ascii="Times New Roman" w:hAnsi="Times New Roman" w:cs="Times New Roman" w:eastAsia="方正仿宋简体"/>
                <w:sz w:val="22"/>
                <w:szCs w:val="22"/>
              </w:rPr>
              <w:t>《中华人民共和国环境噪声污染防治法》第二十一条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检查人员进行现场检查，应当出示证件。</w:t>
            </w:r>
          </w:p>
          <w:p>
            <w:pPr>
              <w:pStyle w:val="Style14"/>
              <w:widowControl w:val="false"/>
              <w:bidi w:val="0"/>
              <w:snapToGrid w:val="false"/>
              <w:rPr>
                <w:rFonts w:ascii="Times New Roman" w:hAnsi="Times New Roman" w:eastAsia="方正仿宋简体"/>
                <w:sz w:val="22"/>
                <w:szCs w:val="22"/>
              </w:rPr>
            </w:pPr>
            <w:r>
              <w:rPr>
                <w:rFonts w:eastAsia="方正仿宋简体" w:cs="Times New Roman" w:ascii="Times New Roman" w:hAnsi="Times New Roman"/>
                <w:sz w:val="22"/>
                <w:szCs w:val="22"/>
              </w:rPr>
              <w:t>6.</w:t>
            </w:r>
            <w:r>
              <w:rPr>
                <w:rFonts w:ascii="Times New Roman" w:hAnsi="Times New Roman" w:cs="Times New Roman" w:eastAsia="方正仿宋简体"/>
                <w:sz w:val="22"/>
                <w:szCs w:val="22"/>
              </w:rPr>
              <w:t>《畜禽规模养殖污染防治条例》第二十三条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7.</w:t>
            </w:r>
            <w:r>
              <w:rPr>
                <w:rFonts w:ascii="Times New Roman" w:hAnsi="Times New Roman" w:cs="Times New Roman" w:eastAsia="方正仿宋简体"/>
                <w:sz w:val="22"/>
                <w:szCs w:val="22"/>
              </w:rPr>
              <w:t>《四川省〈中华人民共和国大气污染防治法〉实施办法》第二十条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资料，不得拒绝、阻挠和拖延。实施监督检查的部门、机构及其工作人员应当为被检查者保守商业秘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both"/>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对房屋和市政工程施工扬尘的监督检查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赋权（区住房和城乡建设局）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rPr>
                <w:rFonts w:ascii="Times New Roman" w:hAnsi="Times New Roman" w:eastAsia="方正仿宋简体"/>
                <w:sz w:val="22"/>
                <w:szCs w:val="22"/>
              </w:rPr>
            </w:pPr>
            <w:r>
              <w:rPr>
                <w:rFonts w:ascii="Times New Roman" w:hAnsi="Times New Roman" w:cs="Times New Roman" w:eastAsia="方正仿宋简体"/>
                <w:sz w:val="22"/>
                <w:szCs w:val="22"/>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《中华人民共和国大气污染防治法》第六十八条  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r>
      <w:tr>
        <w:trPr>
          <w:trHeight w:val="4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对燃气经营、燃气使用安全状况的监督检查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赋权（区住房和城乡建设局）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《城镇燃气管理条例》第四十一条  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应急管理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水土保持监督检查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《中华人民共和国水土保持法》第四十三条  县级以上人民政府水行政主管部门负责对水土保持情况进行监督检查。流域管理机构在其管辖范围内可以行使国务院水行政主管部门的监督检查职权。</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检查督促防洪工程设施的建设和水毁工程的修复</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《四川省〈中华人民共和国防洪法〉实施办法》第十三条  有防汛抗洪任务的县级以上地方人民政府应当设立防汛指挥机构，负责领导、组织本行政区域的防汛抗洪工作。防汛指挥机构的主要职责是：（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防汛指挥机构的办事机构设在同级人民政府水行政主管部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监督检查其他有防汛抗洪任务的部门和单位做好本行业和本单位防汛工作的情况</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《四川省〈中华人民共和国防洪法〉实施办法》第十四条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对供用水单位的取水、供水和用水情况进行监督检查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r>
              <w:rPr>
                <w:rFonts w:eastAsia="方正仿宋简体" w:cs="Times New Roman" w:ascii="Times New Roman" w:hAnsi="Times New Roman"/>
                <w:sz w:val="22"/>
                <w:szCs w:val="22"/>
              </w:rPr>
              <w:br/>
              <w:t xml:space="preserve">    2.</w:t>
            </w:r>
            <w:r>
              <w:rPr>
                <w:rFonts w:ascii="Times New Roman" w:hAnsi="Times New Roman" w:cs="Times New Roman" w:eastAsia="方正仿宋简体"/>
                <w:sz w:val="22"/>
                <w:szCs w:val="22"/>
              </w:rPr>
              <w:t>《四川省取水许可和水资源费征收管理办法》第二十四条  县级以上地方人民政府水行政主管部门进入取水单位或者个人的生产场所进行检查时，取水单位或者个人应当予以配合，提供有关文件、证照、资料等，并说明情况。</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河道采砂检查（仅下放对村民生活自用河砂开采及使用的检查）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rPr>
                <w:rFonts w:ascii="Times New Roman" w:hAnsi="Times New Roman" w:eastAsia="方正仿宋简体"/>
                <w:sz w:val="22"/>
                <w:szCs w:val="22"/>
              </w:rPr>
            </w:pPr>
            <w:r>
              <w:rPr>
                <w:rFonts w:ascii="Times New Roman" w:hAnsi="Times New Roman" w:cs="Times New Roman" w:eastAsia="方正仿宋简体"/>
                <w:sz w:val="22"/>
                <w:szCs w:val="22"/>
              </w:rPr>
              <w:t>《四川省河道采砂管理条例》第五条第一款  县级以上地方人民政府水行政主管部门具体负责河道采砂的管理和监督工作。</w:t>
            </w:r>
          </w:p>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《四川省河道采砂管理条例》第二十八条  从事河道采砂的单位或者个人应当做好采砂安全管理工作，接受县级以上地方人民政府水行政主管部门及相关部门的现场监管，如实提供有关资料，配合监督检查，并遵守下列规定：（一）按照河道采砂许可证的规定和河道采砂权出让合同的约定采砂作业；（二）不得在禁采区、禁采期采砂作业；（三）不得在河道采砂许可证有效期届满或者累计采砂量达到河道采砂许可证规定的总量后继续采砂作业；（四）不得破坏河势稳定、损坏水工程、恶化通航条件、破坏水生态环境等；（五）在航道和通航水域内采砂的，应当服从通航安全要求，并在作业区设立明显标志；（六）不得违反相关法律法规的禁止性规定。</w:t>
            </w:r>
          </w:p>
        </w:tc>
      </w:tr>
      <w:tr>
        <w:trPr>
          <w:trHeight w:val="66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bookmarkStart w:id="0" w:name="_GoBack"/>
            <w:bookmarkEnd w:id="0"/>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农村饮水安全检查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赋权（区水务局）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r>
              <w:rPr>
                <w:rFonts w:eastAsia="方正仿宋简体" w:cs="Times New Roman" w:ascii="Times New Roman" w:hAnsi="Times New Roman"/>
                <w:sz w:val="22"/>
                <w:szCs w:val="22"/>
              </w:rPr>
              <w:br/>
              <w:t>2.</w:t>
            </w:r>
            <w:r>
              <w:rPr>
                <w:rFonts w:ascii="Times New Roman" w:hAnsi="Times New Roman" w:cs="Times New Roman" w:eastAsia="方正仿宋简体"/>
                <w:sz w:val="22"/>
                <w:szCs w:val="22"/>
              </w:rPr>
              <w:t>《四川省村镇供水条例》第三十三条  供水单位应当遵守下列规定：（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17</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对农产品质量安全的监督检查</w:t>
            </w:r>
            <w:r>
              <w:rPr>
                <w:rFonts w:eastAsia="方正仿宋简体" w:cs="Times New Roman" w:ascii="Times New Roman" w:hAnsi="Times New Roman"/>
                <w:sz w:val="22"/>
                <w:szCs w:val="22"/>
              </w:rPr>
              <w:t>(</w:t>
            </w:r>
            <w:r>
              <w:rPr>
                <w:rFonts w:ascii="Times New Roman" w:hAnsi="Times New Roman" w:cs="Times New Roman" w:eastAsia="方正仿宋简体"/>
                <w:sz w:val="22"/>
                <w:szCs w:val="22"/>
              </w:rPr>
              <w:t>不含监督抽查）</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ind w:firstLineChars="200" w:firstLine="0"/>
              <w:rPr>
                <w:rFonts w:ascii="Times New Roman" w:hAnsi="Times New Roman" w:eastAsia="方正仿宋简体"/>
                <w:sz w:val="22"/>
                <w:szCs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《国务院关于加强食品等产品安全监督管理的特别规定》第十五条  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2.</w:t>
            </w:r>
            <w:r>
              <w:rPr>
                <w:rFonts w:ascii="Times New Roman" w:hAnsi="Times New Roman" w:cs="Times New Roman" w:eastAsia="方正仿宋简体"/>
                <w:sz w:val="22"/>
                <w:szCs w:val="22"/>
              </w:rPr>
              <w:t>《四川省〈中华人民共和国农产品质量安全法〉实施办法》第三十三条  县级以上地方人民政府农业行政主管部门在农产品质量安全监督检查中，依法行使下列职权：（一）农产品产地环境发生重大变化的，组织检测机构进行现场抽查；对农产品生产、包装、经营及仓储场所进行现场检查；（二）向当事人和其他有关人员调查了解农产品质量安全的有关情况；查阅、复制涉及生产、经营活动的记录、档案、票据、账簿、协议、证明等有关资料；（三）对国家禁止使用的农业投入品和不符合农产品质量安全标准的农产品依法予以查封、扣押。</w:t>
            </w:r>
          </w:p>
        </w:tc>
      </w:tr>
      <w:tr>
        <w:trPr>
          <w:trHeight w:val="16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9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对农产品地理标志的地域范围、标志使用的监督检查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《农产品地理标志管理办法》第十八条  县级以上人民政府农业行政主管部门应当加强农产品地理标志监督管理工作，定期对登记的地理标志农产品的地域范围、标志使用等进行监督检查。登记的地理标志农产品或登记证书持有人不符合本办法第七条、第八条规定的，由农业部注销其地理标志登记证书并对外公告。</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19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对农药生产、经营、使用场所进行检查（不含对农药实施抽查检测）</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《四川省农药管理条例》三十八条  农药行政执法人员履行监督检查职能时，有关单位和个人不得拒绝和阻挠。农药行政执法人员执行监督管理职务时可以依法进入农药生产、经营、使用和仓贮场所进行检查，查阅、复制、拍摄、摘录与农药有关的资料，询问当事人和有关证人，采取抽样取证的方法、先行登记保存和异地封存的措施。农药行政执法人员对因公接触到的有关技术资料和商业秘密，负保密责任。</w:t>
            </w:r>
            <w:r>
              <w:rPr>
                <w:rFonts w:eastAsia="方正仿宋简体" w:cs="Times New Roman" w:ascii="Times New Roman" w:hAnsi="Times New Roman"/>
                <w:sz w:val="22"/>
                <w:szCs w:val="22"/>
              </w:rPr>
              <w:br/>
              <w:t xml:space="preserve">    2.</w:t>
            </w:r>
            <w:r>
              <w:rPr>
                <w:rFonts w:ascii="Times New Roman" w:hAnsi="Times New Roman" w:cs="Times New Roman" w:eastAsia="方正仿宋简体"/>
                <w:sz w:val="22"/>
                <w:szCs w:val="22"/>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r>
      <w:tr>
        <w:trPr>
          <w:trHeight w:val="7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对动物防疫的监督检查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《中华人民共和国动物防疫法》第五十九条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r>
      <w:tr>
        <w:trPr>
          <w:trHeight w:val="70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对生猪屠宰活动的监督检查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《生猪屠宰管理条例》第二十一条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w:t>
            </w:r>
            <w:r>
              <w:rPr>
                <w:rFonts w:eastAsia="方正仿宋简体" w:cs="Times New Roman" w:ascii="Times New Roman" w:hAnsi="Times New Roman"/>
                <w:sz w:val="22"/>
                <w:szCs w:val="22"/>
              </w:rPr>
              <w:t>2</w:t>
            </w:r>
            <w:r>
              <w:rPr>
                <w:rFonts w:ascii="Times New Roman" w:hAnsi="Times New Roman" w:cs="Times New Roman" w:eastAsia="方正仿宋简体"/>
                <w:sz w:val="22"/>
                <w:szCs w:val="22"/>
              </w:rPr>
              <w:t>人，并应当出示执法证件。对畜牧兽医行政主管部门依法进行的监督检查，有关单位和个人应当予以配合，不得拒绝、阻挠。</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对绿色食品及绿色食品标志的监督检查（不含监督抽查）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《绿色食品标志管理办法》第二十四条  县级以上地方人民政府农业行政主管部门应当加强绿色食品标志的监督管理工作，依法对辖区内绿色食品产地环境、产品质量、包装标识、标志使用等情况进行监督检查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对农业机械的安全监督检查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《农业机械安全监督管理条例》第四十条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r>
              <w:rPr>
                <w:rFonts w:eastAsia="方正仿宋简体" w:cs="Times New Roman" w:ascii="Times New Roman" w:hAnsi="Times New Roman"/>
                <w:sz w:val="22"/>
                <w:szCs w:val="22"/>
              </w:rPr>
              <w:br/>
              <w:t>2.</w:t>
            </w:r>
            <w:r>
              <w:rPr>
                <w:rFonts w:ascii="Times New Roman" w:hAnsi="Times New Roman" w:cs="Times New Roman" w:eastAsia="方正仿宋简体"/>
                <w:sz w:val="22"/>
                <w:szCs w:val="22"/>
              </w:rPr>
              <w:t>《农业机械维修管理规定》第十六条  农业机械化主管部门、工商行政管理部门应当按照各自职责，密切配合，加强对农业机械维修者的从业资格、维修人员资格、维修质量、维修设备和检测仪器技术状态以及安全生产情况的监督检查。</w:t>
            </w:r>
          </w:p>
        </w:tc>
      </w:tr>
      <w:tr>
        <w:trPr>
          <w:trHeight w:val="60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对兽药的监督检查（仅下放对兽药经营企业的监督检查）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《兽药管理条例》第二十五条  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对渔业及渔业船舶的监督检查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《中华人民共和国渔业法》第六条第二款  县级以上人民政府渔业行政主管部门及其所属的渔政监督管理机构可以设渔政检查人员。渔政检查人员执行渔业行政主管部门及其所属的渔政监督管理机构交付的任务。</w:t>
            </w:r>
            <w:r>
              <w:rPr>
                <w:rFonts w:eastAsia="方正仿宋简体" w:cs="Times New Roman" w:ascii="Times New Roman" w:hAnsi="Times New Roman"/>
                <w:sz w:val="22"/>
                <w:szCs w:val="22"/>
              </w:rPr>
              <w:br/>
              <w:t xml:space="preserve">    2.</w:t>
            </w:r>
            <w:r>
              <w:rPr>
                <w:rFonts w:ascii="Times New Roman" w:hAnsi="Times New Roman" w:cs="Times New Roman" w:eastAsia="方正仿宋简体"/>
                <w:sz w:val="22"/>
                <w:szCs w:val="22"/>
              </w:rPr>
              <w:t>《中华人民共和国渔业法实施细则》第七条  渔政检查人员有权对各种渔业及渔业船舶的证件、渔船、渔具、渔获物和捕捞方法，进行检查。渔政检查人员经国务院渔业行政主管部门或者省级人民政府渔业行政主管部门考核，合格者方可执行公务。</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对经营利用水生野生动物及其产品、捕捉国家重点保护的水生野生动物的监督检查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《中华人民共和国水生野生动物保护实施条例》第十五条第二款  县级人民政府渔业行政主管部门或者其所属的渔政监督管理机构对在本行政区域内捕捉国家重点保护的水生野生动物的活动，应当进行监督检查，并及时向批准捕捉的部门报告监督检查结果。</w:t>
            </w:r>
            <w:r>
              <w:rPr>
                <w:rFonts w:eastAsia="方正仿宋简体" w:cs="Times New Roman" w:ascii="Times New Roman" w:hAnsi="Times New Roman"/>
                <w:sz w:val="22"/>
                <w:szCs w:val="22"/>
              </w:rPr>
              <w:br/>
            </w:r>
            <w:r>
              <w:rPr>
                <w:rFonts w:ascii="Times New Roman" w:hAnsi="Times New Roman" w:cs="Times New Roman" w:eastAsia="方正仿宋简体"/>
                <w:sz w:val="22"/>
                <w:szCs w:val="22"/>
              </w:rPr>
              <w:t>《中华人民共和国水生野生动物保护实施条例》第十九条第一款  县级以上各级人民政府渔业行政主管部门和工商行政管理部门，应当对水生野生动物或者其产品的经营利用建立监督检查制度，加强对经营利用水生野生动物或者其产品的监督管理。</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对违反农村宅基地管理法律、法规行为的监督检查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《中华人民共和国土地管理法》第六十七条  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土地管理监督检查人员应当熟悉土地管理法律、法规，忠于职守、秉公执法。</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森林防火检查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29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对宗教活动场所内的文物保护单位的行政检查</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赋权（区文化体育和旅游局）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《四川省〈中华人民共和国文物保护法〉实施办法》第二十条  宗教活动场所内的文物保护单位，由管理使用该场所的宗教组织负责依法对其进行修缮、保养和安全管理，并接受文物行政主管部门的监督检查。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社会事务</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对基本农田保护的奖励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《中华人民共和国基本农田保护条例》第七条  国家对在基本农田保护工作中取得显著成绩的单位和个人，给予奖励。</w:t>
            </w:r>
            <w:r>
              <w:rPr>
                <w:rFonts w:eastAsia="方正仿宋简体" w:cs="Times New Roman" w:ascii="Times New Roman" w:hAnsi="Times New Roman"/>
                <w:sz w:val="22"/>
                <w:szCs w:val="22"/>
              </w:rPr>
              <w:br/>
              <w:t>2.</w:t>
            </w:r>
            <w:r>
              <w:rPr>
                <w:rFonts w:ascii="Times New Roman" w:hAnsi="Times New Roman" w:cs="Times New Roman" w:eastAsia="方正仿宋简体"/>
                <w:sz w:val="22"/>
                <w:szCs w:val="22"/>
              </w:rPr>
              <w:t>《自然资源部 农业农村部关于加强和改进永久基本农田保护工作的通知》第十七项  （十七）完善激励补偿机制。省级自然资源主管部门和农业农村主管部门要会同相关部门，认真总结地方经验，按照“谁保护、谁受益”的原则，探索实行耕地保护激励性补偿和跨区域资源性补偿。鼓励有条件的地区建立耕地保护基金，与整合有关涉农补贴政策、完善粮食主产区利益补偿机制相衔接，与生态补偿机制相联动，依据永久基本农田保护任务和“两区”划定与建设任务落实情况、实际粮食生产情况，对农村集体经济组织和农户给予奖补。</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对环境保护工作有重要推动作用的信访人的表扬或者奖励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赋权（达川生态环境局）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《环境信访办法》第七条  信访人检举、揭发污染环境、破坏生态的违法行为或者提出的建议、意见，对环境保护工作有重要推动作用的，环境保护行政主管部门应当给予表扬或者奖励。对在环境信访工作中做出优异成绩的单位或个人，由同级或上级环境保护行政主管部门给予表彰或者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对举报违反食品安全规定的行为进行奖励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《国务院关于加强食品等产品安全监督管理的特别规定》第十九条  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对应急预案管理工作中做出显著成绩的单位和人员给予奖励（不含表彰）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赋权（区应急管理局）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《生产安全事故应急预案管理办法》第四十三条  对于在应急预案管理工作中做出显著成绩的单位和人员，各级人民政府应急管理部门、生产经营单位可以给予表彰和奖励。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对在森林病虫害防治工作中做出突出成绩的单位和个人给予奖励（不含表彰）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《森林病虫害防治条例》第二十一条  有下列成绩之一的单位和个人，由人民政府或者林业主管部门给予奖励：（一）严格执行森林病虫害防治法规，预防和除治措施得力，在本地区或者经营区域内，连续五年没有发生森林病虫害的；（二）预报病情、虫情及时准确，并提出防治森林病虫害的合理化建议，被有关部门采纳，获得显著效益的；（三）在森林病虫害防治科学研究中取得成果或者在应用推广科研成果中获得重大效益的；（四）在林业基层单位连续从事森林病虫害防治工作满十年，工作成绩较好的；（五）在森林病虫害防治工作中有其他显著成绩的。</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在森林防火工作中做出突出成绩或在扑救重大、特别重大森林火灾中表现突出的单位和个人给予奖励（不含表彰）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《森林防火条例》第十二条  对在森林防火工作中作出突出成绩的单位和个人，按照国家有关规定，给予表彰和奖励。对在扑救重大、特别重大森林火灾中表现突出的单位和个人，可以由森林防火指挥机构当场给予表彰和奖励。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36</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行政奖励</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对在森林资源保护管理工作中做出突出成绩的单位和个人给予奖励（不含表彰）</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《中华人民共和国森林法》第十三条  对在造林绿化、森林保护、森林经营管理以及林业科学研究等方面成绩显著的组织或者个人，按照国家有关规定给予表彰、奖励。</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val="en-US" w:eastAsia="zh-CN"/>
              </w:rPr>
              <w:t xml:space="preserve"> </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37</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对阻挠国家建设征收土地的处理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《中华人民共和国土地管理法实施条例》第四十五条  违反土地管理法律、法规规定，阻挠国家建设征收土地的，由县级以上人民政府土地行政主管部门责令交出土地；拒不交出土地的，申请人民法院强制执行。</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38</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对被征地当事人依法补偿、安置后拒不搬迁的处理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《四川省〈中华人民共和国土地管理法〉实施办法》第六十三条  建设征用、使用土地，依法补偿、安置后，当事人拒不搬迁的，由县级以上人民政府土地行政主管部门责令其限期搬迁；逾期不搬迁的，由市、县人民政府依法申请人民法院强制搬迁。</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39</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房屋租赁登记备案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赋权（区住房和城乡建设局）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《商品房屋租赁管理办法》第十四条  房屋租赁合同订立后三十日内，房屋租赁当事人应当到租赁房屋所在地直辖市、市、县人民政府建设（房地产）主管部门办理房屋租赁登记备案。房屋租赁当事人可以书面委托他人办理租赁登记备案。</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村镇规划建设管理</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bidi w:val="0"/>
        <w:spacing w:lineRule="exact" w:line="56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snapToGrid w:val="false"/>
        <w:jc w:val="left"/>
        <w:rPr/>
      </w:pPr>
      <w:r>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40</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销毁违规调运的植物、植物产品；责令托运人或经营者对调运的带有检疫对象的植物、植物产品进行除害处理、改变用途或销毁</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《四川省植物检疫条例》第二十九条第二款  对调运的植物、植物产品，经检疫发现检疫对象的，植物检疫机构有权予以查封，并责令托运人或经营者进行除害处理，无法处理的，责令改变用途或销毁。</w:t>
            </w:r>
            <w:r>
              <w:rPr>
                <w:rFonts w:eastAsia="方正仿宋简体" w:cs="Times New Roman" w:ascii="Times New Roman" w:hAnsi="Times New Roman"/>
                <w:sz w:val="22"/>
                <w:szCs w:val="22"/>
              </w:rPr>
              <w:br/>
            </w:r>
            <w:r>
              <w:rPr>
                <w:rFonts w:ascii="Times New Roman" w:hAnsi="Times New Roman" w:cs="Times New Roman" w:eastAsia="方正仿宋简体"/>
                <w:sz w:val="22"/>
                <w:szCs w:val="22"/>
              </w:rPr>
              <w:t>《四川省植物检疫条例》第三十五条第二款  违反本条例规定调运应施检疫的植物、植物产品，植物检疫机构有权予以查封、没收、销毁或者责令改变用途。销毁所需费用由责任人承担。</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41</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隔离、处理染疫或者疑似染疫的动物、动物产品及相关物品</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《中华人民共和国动物防疫法》第五十九条第一款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42</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畜禽养殖场、养殖小区备案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《中华人民共和国畜牧法》第三十九条第二款  养殖场、养殖小区兴办者应当将养殖场、养殖小区的名称、养殖地址、畜禽品种和养殖规模，向养殖场、养殖小区</w:t>
            </w:r>
            <w:r>
              <w:rPr>
                <w:rFonts w:ascii="Times New Roman" w:hAnsi="Times New Roman" w:cs="Times New Roman" w:eastAsia="方正仿宋简体"/>
                <w:spacing w:val="-6"/>
                <w:sz w:val="22"/>
                <w:szCs w:val="22"/>
              </w:rPr>
              <w:t>所在地县级人民政府畜牧兽医行政主管部门备案，取得畜禽标识代码。</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43</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动物收购贩运备案</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赋权（区农业农村局）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《四川省〈中华人民共和国动物防疫法〉实施办法》第十三条  从事动物收购贩运的单位和个人应当在所在地县级动物卫生监督执法机构进行备案，并遵守以下规定</w:t>
            </w:r>
            <w:r>
              <w:rPr>
                <w:rFonts w:eastAsia="方正仿宋简体" w:cs="Times New Roman" w:ascii="Times New Roman" w:hAnsi="Times New Roman"/>
                <w:sz w:val="22"/>
                <w:szCs w:val="22"/>
              </w:rPr>
              <w:t>:</w:t>
            </w:r>
            <w:r>
              <w:rPr>
                <w:rFonts w:ascii="Times New Roman" w:hAnsi="Times New Roman" w:cs="Times New Roman" w:eastAsia="方正仿宋简体"/>
                <w:sz w:val="22"/>
                <w:szCs w:val="22"/>
              </w:rPr>
              <w:t>（一）收购贩运的动物附有检疫合格证明；（二）运输动物前、后对运输工具进行消毒；（三）建立收购贩运台账，真实记录动物品种、数量、来源、免疫、检疫合格证明编号、畜禽标识及运输、销售等信息。</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经济发展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5"/>
        <w:bidi w:val="0"/>
        <w:spacing w:lineRule="exact" w:line="40"/>
        <w:jc w:val="left"/>
        <w:rPr>
          <w:rFonts w:ascii="Times New Roman" w:hAnsi="Times New Roman" w:cs="Times New Roman"/>
        </w:rPr>
      </w:pPr>
      <w:r>
        <w:rPr>
          <w:rFonts w:cs="Times New Roman" w:ascii="Times New Roman" w:hAnsi="Times New Roman"/>
        </w:rPr>
      </w:r>
    </w:p>
    <w:p>
      <w:pPr>
        <w:pStyle w:val="Style14"/>
        <w:widowControl w:val="false"/>
        <w:bidi w:val="0"/>
        <w:jc w:val="both"/>
        <w:rPr/>
      </w:pPr>
      <w:r>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4"/>
        <w:bidi w:val="0"/>
        <w:spacing w:lineRule="exact" w:line="560"/>
        <w:jc w:val="center"/>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44</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对侵占、破坏公共体育设施的处理</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赋权（区文化体育和旅游局）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napToGrid w:val="false"/>
              <w:ind w:firstLineChars="200" w:firstLine="0"/>
              <w:rPr>
                <w:rFonts w:ascii="Times New Roman" w:hAnsi="Times New Roman" w:eastAsia="方正仿宋简体"/>
                <w:sz w:val="22"/>
                <w:szCs w:val="22"/>
              </w:rPr>
            </w:pPr>
            <w:r>
              <w:rPr>
                <w:rFonts w:eastAsia="方正仿宋简体" w:cs="Times New Roman" w:ascii="Times New Roman" w:hAnsi="Times New Roman"/>
                <w:sz w:val="22"/>
                <w:szCs w:val="22"/>
              </w:rPr>
              <w:t>1.</w:t>
            </w:r>
            <w:r>
              <w:rPr>
                <w:rFonts w:ascii="Times New Roman" w:hAnsi="Times New Roman" w:cs="Times New Roman" w:eastAsia="方正仿宋简体"/>
                <w:sz w:val="22"/>
                <w:szCs w:val="22"/>
              </w:rPr>
              <w:t>《中华人民共和国体育法》第五十条  侵占、破坏公共体育设施的，由体育行政部门责令限期改正，并依法承担民事责任。有前款所列行为，违反治安管理的，由公安机关依照治安管理处罚法的有关规定给予处罚；构成犯罪的，依法追究刑事责任。</w:t>
            </w:r>
          </w:p>
          <w:p>
            <w:pPr>
              <w:pStyle w:val="Style14"/>
              <w:widowControl w:val="false"/>
              <w:bidi w:val="0"/>
              <w:spacing w:lineRule="exact" w:line="280"/>
              <w:ind w:firstLineChars="200" w:firstLine="0"/>
              <w:jc w:val="left"/>
              <w:rPr>
                <w:rFonts w:ascii="Times New Roman" w:hAnsi="Times New Roman" w:cs="Times New Roman"/>
                <w:sz w:val="22"/>
              </w:rPr>
            </w:pPr>
            <w:r>
              <w:rPr>
                <w:rFonts w:eastAsia="方正仿宋简体" w:cs="Times New Roman" w:ascii="Times New Roman" w:hAnsi="Times New Roman"/>
                <w:sz w:val="22"/>
                <w:szCs w:val="22"/>
              </w:rPr>
              <w:t>2.</w:t>
            </w:r>
            <w:r>
              <w:rPr>
                <w:rFonts w:ascii="Times New Roman" w:hAnsi="Times New Roman" w:cs="Times New Roman" w:eastAsia="方正仿宋简体"/>
                <w:sz w:val="22"/>
                <w:szCs w:val="22"/>
              </w:rPr>
              <w:t>《四川省全民健身条例》第四十一条  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bidi w:val="0"/>
        <w:spacing w:lineRule="exact" w:line="560"/>
        <w:ind w:firstLineChars="200" w:firstLine="0"/>
        <w:rPr>
          <w:rFonts w:ascii="Times New Roman" w:hAnsi="Times New Roman" w:eastAsia="方正小标宋简体" w:cs="Times New Roman"/>
          <w:spacing w:val="-23"/>
          <w:sz w:val="44"/>
          <w:szCs w:val="44"/>
        </w:rPr>
      </w:pPr>
      <w:r>
        <w:rPr>
          <w:rFonts w:eastAsia="方正小标宋简体" w:cs="Times New Roman" w:ascii="Times New Roman" w:hAnsi="Times New Roman"/>
          <w:spacing w:val="-23"/>
          <w:sz w:val="44"/>
          <w:szCs w:val="44"/>
        </w:rPr>
      </w:r>
    </w:p>
    <w:p>
      <w:pPr>
        <w:pStyle w:val="Style15"/>
        <w:bidi w:val="0"/>
        <w:jc w:val="left"/>
        <w:rPr>
          <w:rFonts w:ascii="Times New Roman" w:hAnsi="Times New Roman" w:cs="Times New Roman"/>
        </w:rPr>
      </w:pPr>
      <w:r>
        <w:rPr>
          <w:rFonts w:cs="Times New Roman" w:ascii="Times New Roman" w:hAnsi="Times New Roman"/>
        </w:rPr>
      </w:r>
    </w:p>
    <w:tbl>
      <w:tblPr>
        <w:tblStyle w:val="7"/>
        <w:tblW w:w="8940" w:type="dxa"/>
        <w:jc w:val="center"/>
        <w:tblInd w:w="0" w:type="dxa"/>
        <w:tblLayout w:type="fixed"/>
        <w:tblCellMar>
          <w:top w:w="0" w:type="dxa"/>
          <w:left w:w="108" w:type="dxa"/>
          <w:bottom w:w="0" w:type="dxa"/>
          <w:right w:w="108" w:type="dxa"/>
        </w:tblCellMar>
      </w:tblPr>
      <w:tblGrid>
        <w:gridCol w:w="1469"/>
        <w:gridCol w:w="7470"/>
      </w:tblGrid>
      <w:tr>
        <w:trPr>
          <w:trHeight w:val="474"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序    号</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cs="Times New Roman" w:ascii="Times New Roman" w:hAnsi="Times New Roman"/>
              </w:rPr>
              <w:t>45</w:t>
            </w:r>
          </w:p>
        </w:tc>
      </w:tr>
      <w:tr>
        <w:trPr>
          <w:trHeight w:val="49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权力类型</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rPr>
            </w:pPr>
            <w:r>
              <w:rPr>
                <w:rFonts w:ascii="Times New Roman" w:hAnsi="Times New Roman" w:cs="Times New Roman" w:eastAsia="方正仿宋简体"/>
                <w:color w:val="000000"/>
                <w:sz w:val="22"/>
                <w:szCs w:val="22"/>
              </w:rPr>
              <w:t>其他行政权力</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权力名称</w:t>
            </w:r>
          </w:p>
        </w:tc>
        <w:tc>
          <w:tcPr>
            <w:tcW w:w="7470" w:type="dxa"/>
            <w:tcBorders/>
            <w:vAlign w:val="center"/>
          </w:tcPr>
          <w:p>
            <w:pPr>
              <w:pStyle w:val="Style14"/>
              <w:widowControl w:val="false"/>
              <w:bidi w:val="0"/>
              <w:spacing w:lineRule="exact" w:line="280"/>
              <w:jc w:val="center"/>
              <w:textAlignment w:val="center"/>
              <w:rPr>
                <w:rFonts w:ascii="Times New Roman" w:hAnsi="Times New Roman" w:cs="Times New Roman"/>
                <w:sz w:val="22"/>
              </w:rPr>
            </w:pPr>
            <w:r>
              <w:rPr>
                <w:rFonts w:ascii="Times New Roman" w:hAnsi="Times New Roman" w:cs="Times New Roman" w:eastAsia="方正仿宋简体"/>
                <w:sz w:val="22"/>
                <w:szCs w:val="22"/>
              </w:rPr>
              <w:t>下达森林火灾隐患整改通知书</w:t>
            </w:r>
          </w:p>
        </w:tc>
      </w:tr>
      <w:tr>
        <w:trPr>
          <w:trHeight w:val="513"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权力主体</w:t>
            </w:r>
          </w:p>
        </w:tc>
        <w:tc>
          <w:tcPr>
            <w:tcW w:w="7470" w:type="dxa"/>
            <w:tcBorders/>
            <w:vAlign w:val="center"/>
          </w:tcPr>
          <w:p>
            <w:pPr>
              <w:pStyle w:val="Style14"/>
              <w:widowControl w:val="false"/>
              <w:bidi w:val="0"/>
              <w:spacing w:lineRule="exact" w:line="280"/>
              <w:ind w:firstLineChars="800" w:firstLine="0"/>
              <w:rPr>
                <w:rStyle w:val="Font81"/>
                <w:rFonts w:ascii="方正楷体_GBK" w:hAnsi="方正楷体_GBK" w:eastAsia="方正楷体_GBK" w:cs="方正楷体_GBK"/>
                <w:b/>
                <w:b/>
                <w:bCs/>
                <w:sz w:val="24"/>
                <w:szCs w:val="24"/>
              </w:rPr>
            </w:pPr>
            <w:r>
              <w:rPr>
                <w:rStyle w:val="Font81"/>
                <w:rFonts w:ascii="方正仿宋简体" w:hAnsi="方正仿宋简体" w:cs="方正仿宋简体" w:eastAsia="方正仿宋简体"/>
                <w:b/>
                <w:bCs/>
                <w:sz w:val="22"/>
                <w:szCs w:val="22"/>
                <w:lang w:eastAsia="zh-CN"/>
              </w:rPr>
              <w:t>百节</w:t>
            </w:r>
            <w:r>
              <w:rPr>
                <w:rStyle w:val="Font81"/>
                <w:rFonts w:ascii="方正仿宋简体" w:hAnsi="方正仿宋简体" w:cs="方正仿宋简体" w:eastAsia="方正仿宋简体"/>
                <w:b/>
                <w:bCs/>
                <w:sz w:val="22"/>
                <w:szCs w:val="22"/>
              </w:rPr>
              <w:t>镇人民政府</w:t>
            </w:r>
          </w:p>
        </w:tc>
      </w:tr>
      <w:tr>
        <w:trPr>
          <w:trHeight w:val="568"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color w:val="000000"/>
                <w:sz w:val="24"/>
              </w:rPr>
            </w:pPr>
            <w:r>
              <w:rPr>
                <w:rFonts w:ascii="方正黑体_GBK" w:hAnsi="方正黑体_GBK" w:cs="方正黑体_GBK" w:eastAsia="方正黑体_GBK"/>
                <w:color w:val="000000"/>
                <w:sz w:val="24"/>
              </w:rPr>
              <w:t>权力来源</w:t>
            </w:r>
          </w:p>
        </w:tc>
        <w:tc>
          <w:tcPr>
            <w:tcW w:w="7470" w:type="dxa"/>
            <w:tcBorders/>
            <w:vAlign w:val="center"/>
          </w:tcPr>
          <w:p>
            <w:pPr>
              <w:pStyle w:val="Style14"/>
              <w:widowControl w:val="false"/>
              <w:bidi w:val="0"/>
              <w:spacing w:lineRule="exact" w:line="280"/>
              <w:ind w:firstLineChars="750" w:firstLine="0"/>
              <w:rPr>
                <w:rFonts w:ascii="Times New Roman" w:hAnsi="Times New Roman" w:cs="Times New Roman"/>
                <w:sz w:val="22"/>
              </w:rPr>
            </w:pPr>
            <w:r>
              <w:rPr>
                <w:rStyle w:val="Font81"/>
                <w:rFonts w:ascii="方正楷体_GBK" w:hAnsi="方正楷体_GBK" w:cs="方正楷体_GBK" w:eastAsia="方正楷体_GBK"/>
                <w:b/>
                <w:bCs/>
                <w:sz w:val="24"/>
                <w:szCs w:val="24"/>
              </w:rPr>
              <w:t>赋权（区自然资源局）</w:t>
            </w:r>
          </w:p>
        </w:tc>
      </w:tr>
      <w:tr>
        <w:trPr>
          <w:trHeight w:val="1822"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设定依据</w:t>
            </w:r>
          </w:p>
        </w:tc>
        <w:tc>
          <w:tcPr>
            <w:tcW w:w="7470" w:type="dxa"/>
            <w:tcBorders/>
            <w:vAlign w:val="center"/>
          </w:tcPr>
          <w:p>
            <w:pPr>
              <w:pStyle w:val="Style14"/>
              <w:widowControl w:val="false"/>
              <w:bidi w:val="0"/>
              <w:spacing w:lineRule="exact" w:line="280"/>
              <w:ind w:firstLineChars="200" w:firstLine="0"/>
              <w:jc w:val="left"/>
              <w:rPr>
                <w:rFonts w:ascii="Times New Roman" w:hAnsi="Times New Roman" w:cs="Times New Roman"/>
                <w:sz w:val="22"/>
              </w:rPr>
            </w:pPr>
            <w:r>
              <w:rPr>
                <w:rFonts w:ascii="Times New Roman" w:hAnsi="Times New Roman" w:cs="Times New Roman" w:eastAsia="方正仿宋简体"/>
                <w:sz w:val="22"/>
                <w:szCs w:val="22"/>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trPr>
          <w:trHeight w:val="1130"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责任主体</w:t>
            </w:r>
          </w:p>
        </w:tc>
        <w:tc>
          <w:tcPr>
            <w:tcW w:w="7470" w:type="dxa"/>
            <w:tcBorders/>
            <w:vAlign w:val="center"/>
          </w:tcPr>
          <w:p>
            <w:pPr>
              <w:pStyle w:val="Style14"/>
              <w:widowControl w:val="false"/>
              <w:bidi w:val="0"/>
              <w:spacing w:lineRule="exact" w:line="360"/>
              <w:ind w:firstLineChars="1200" w:firstLine="0"/>
              <w:rPr>
                <w:rFonts w:ascii="Times New Roman" w:hAnsi="Times New Roman" w:eastAsia="方正仿宋_GBK" w:cs="Times New Roman"/>
                <w:sz w:val="22"/>
              </w:rPr>
            </w:pPr>
            <w:r>
              <w:rPr>
                <w:rStyle w:val="Font81"/>
                <w:rFonts w:ascii="Times New Roman" w:hAnsi="Times New Roman" w:cs="Times New Roman" w:eastAsia="方正仿宋简体"/>
                <w:sz w:val="22"/>
                <w:szCs w:val="24"/>
                <w:lang w:eastAsia="zh-CN"/>
              </w:rPr>
              <w:t>综合执法</w:t>
            </w:r>
            <w:r>
              <w:rPr>
                <w:rStyle w:val="Font81"/>
                <w:rFonts w:ascii="Times New Roman" w:hAnsi="Times New Roman" w:cs="Times New Roman" w:eastAsia="方正仿宋简体"/>
                <w:sz w:val="22"/>
                <w:szCs w:val="24"/>
              </w:rPr>
              <w:t>办公室</w:t>
            </w:r>
          </w:p>
        </w:tc>
      </w:tr>
      <w:tr>
        <w:trPr>
          <w:trHeight w:val="3045"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责任事项</w:t>
            </w:r>
          </w:p>
        </w:tc>
        <w:tc>
          <w:tcPr>
            <w:tcW w:w="7470" w:type="dxa"/>
            <w:tcBorders/>
            <w:vAlign w:val="center"/>
          </w:tcPr>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1</w:t>
            </w:r>
            <w:r>
              <w:rPr>
                <w:rStyle w:val="Font81"/>
                <w:rFonts w:ascii="Times New Roman" w:hAnsi="Times New Roman" w:cs="Times New Roman" w:eastAsia="方正仿宋_GBK"/>
                <w:sz w:val="24"/>
                <w:szCs w:val="24"/>
              </w:rPr>
              <w:t>）受理责任</w:t>
            </w:r>
            <w:r>
              <w:rPr>
                <w:rStyle w:val="Font81"/>
                <w:rFonts w:eastAsia="方正仿宋_GBK" w:cs="Times New Roman" w:ascii="Times New Roman" w:hAnsi="Times New Roman"/>
                <w:sz w:val="24"/>
                <w:szCs w:val="24"/>
              </w:rPr>
              <w:t>:</w:t>
            </w:r>
            <w:r>
              <w:rPr>
                <w:rStyle w:val="Font81"/>
                <w:rFonts w:ascii="Times New Roman" w:hAnsi="Times New Roman" w:cs="Times New Roman" w:eastAsia="方正仿宋_GBK"/>
                <w:sz w:val="24"/>
                <w:szCs w:val="24"/>
              </w:rPr>
              <w:t>公示应当提交的材料，一次性告知补正材料，依法受理或不受理（不予受理应当告知理由）。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2</w:t>
            </w:r>
            <w:r>
              <w:rPr>
                <w:rStyle w:val="Font81"/>
                <w:rFonts w:ascii="Times New Roman" w:hAnsi="Times New Roman" w:cs="Times New Roman" w:eastAsia="方正仿宋_GBK"/>
                <w:sz w:val="24"/>
                <w:szCs w:val="24"/>
              </w:rPr>
              <w:t>）审查责任：对书面材料进行审查，提出审核意见，向社会公告相关信息。</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3</w:t>
            </w:r>
            <w:r>
              <w:rPr>
                <w:rStyle w:val="Font81"/>
                <w:rFonts w:ascii="Times New Roman" w:hAnsi="Times New Roman" w:cs="Times New Roman" w:eastAsia="方正仿宋_GBK"/>
                <w:sz w:val="24"/>
                <w:szCs w:val="24"/>
              </w:rPr>
              <w:t>）决定责任：作出行政决定，法定告知（不予许可的应当书面告知理由）。</w:t>
            </w:r>
          </w:p>
          <w:p>
            <w:pPr>
              <w:pStyle w:val="Style14"/>
              <w:widowControl w:val="false"/>
              <w:bidi w:val="0"/>
              <w:spacing w:lineRule="exact" w:line="360"/>
              <w:ind w:firstLineChars="200" w:firstLine="0"/>
              <w:rPr>
                <w:rStyle w:val="Font81"/>
                <w:rFonts w:ascii="Times New Roman" w:hAnsi="Times New Roman" w:eastAsia="方正仿宋_GBK" w:cs="Times New Roman"/>
                <w:sz w:val="24"/>
                <w:szCs w:val="24"/>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4</w:t>
            </w:r>
            <w:r>
              <w:rPr>
                <w:rStyle w:val="Font81"/>
                <w:rFonts w:ascii="Times New Roman" w:hAnsi="Times New Roman" w:cs="Times New Roman" w:eastAsia="方正仿宋_GBK"/>
                <w:sz w:val="24"/>
                <w:szCs w:val="24"/>
              </w:rPr>
              <w:t>）事后监督责任：建立实施监督检查的运行机制和管理制度，开展定期或不定期检查，依法采取相关处置措施。</w:t>
            </w:r>
          </w:p>
          <w:p>
            <w:pPr>
              <w:pStyle w:val="Style14"/>
              <w:widowControl w:val="false"/>
              <w:bidi w:val="0"/>
              <w:spacing w:lineRule="exact" w:line="360"/>
              <w:ind w:firstLineChars="200" w:firstLine="0"/>
              <w:rPr>
                <w:rFonts w:ascii="Times New Roman" w:hAnsi="Times New Roman" w:eastAsia="方正仿宋_GBK" w:cs="Times New Roman"/>
              </w:rPr>
            </w:pPr>
            <w:r>
              <w:rPr>
                <w:rStyle w:val="Font81"/>
                <w:rFonts w:ascii="Times New Roman" w:hAnsi="Times New Roman" w:cs="Times New Roman" w:eastAsia="方正仿宋_GBK"/>
                <w:sz w:val="24"/>
                <w:szCs w:val="24"/>
              </w:rPr>
              <w:t>（</w:t>
            </w:r>
            <w:r>
              <w:rPr>
                <w:rStyle w:val="Font81"/>
                <w:rFonts w:eastAsia="方正仿宋_GBK" w:cs="Times New Roman" w:ascii="Times New Roman" w:hAnsi="Times New Roman"/>
                <w:sz w:val="24"/>
                <w:szCs w:val="24"/>
              </w:rPr>
              <w:t>5</w:t>
            </w:r>
            <w:r>
              <w:rPr>
                <w:rStyle w:val="Font81"/>
                <w:rFonts w:ascii="Times New Roman" w:hAnsi="Times New Roman" w:cs="Times New Roman" w:eastAsia="方正仿宋_GBK"/>
                <w:sz w:val="24"/>
                <w:szCs w:val="24"/>
              </w:rPr>
              <w:t>）其他责任：法律法规规章文件规定应履行的其他责任。</w:t>
            </w:r>
          </w:p>
        </w:tc>
      </w:tr>
      <w:tr>
        <w:trPr>
          <w:trHeight w:val="1396"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追责情形</w:t>
            </w:r>
          </w:p>
        </w:tc>
        <w:tc>
          <w:tcPr>
            <w:tcW w:w="7470" w:type="dxa"/>
            <w:tcBorders/>
            <w:vAlign w:val="center"/>
          </w:tcPr>
          <w:p>
            <w:pPr>
              <w:pStyle w:val="Style14"/>
              <w:widowControl w:val="false"/>
              <w:bidi w:val="0"/>
              <w:spacing w:lineRule="exact" w:line="360"/>
              <w:textAlignment w:val="center"/>
              <w:rPr>
                <w:rFonts w:ascii="Times New Roman" w:hAnsi="Times New Roman" w:eastAsia="方正仿宋_GBK" w:cs="Times New Roman"/>
              </w:rPr>
            </w:pPr>
            <w:r>
              <w:rPr>
                <w:rFonts w:ascii="Times New Roman" w:hAnsi="Times New Roman" w:cs="Times New Roman" w:eastAsia="方正仿宋_GBK"/>
                <w:color w:val="000000"/>
                <w:sz w:val="22"/>
                <w:szCs w:val="22"/>
              </w:rPr>
              <w:t xml:space="preserve">   </w:t>
            </w:r>
            <w:r>
              <w:rPr>
                <w:rStyle w:val="Font251"/>
                <w:rFonts w:ascii="Times New Roman" w:hAnsi="Times New Roman" w:cs="Times New Roman" w:eastAsia="方正仿宋_GBK"/>
                <w:b w:val="false"/>
                <w:sz w:val="24"/>
                <w:szCs w:val="24"/>
              </w:rPr>
              <w:t xml:space="preserve"> </w:t>
            </w:r>
            <w:r>
              <w:rPr>
                <w:rStyle w:val="Font251"/>
                <w:rFonts w:ascii="Times New Roman" w:hAnsi="Times New Roman" w:cs="Times New Roman" w:eastAsia="方正仿宋_GBK"/>
                <w:b w:val="false"/>
                <w:sz w:val="24"/>
                <w:szCs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569" w:hRule="atLeast"/>
        </w:trPr>
        <w:tc>
          <w:tcPr>
            <w:tcW w:w="1469" w:type="dxa"/>
            <w:tcBorders/>
            <w:vAlign w:val="center"/>
          </w:tcPr>
          <w:p>
            <w:pPr>
              <w:pStyle w:val="Style14"/>
              <w:widowControl w:val="false"/>
              <w:bidi w:val="0"/>
              <w:spacing w:lineRule="exact" w:line="360"/>
              <w:jc w:val="center"/>
              <w:textAlignment w:val="center"/>
              <w:rPr>
                <w:rFonts w:ascii="方正黑体_GBK" w:hAnsi="方正黑体_GBK" w:eastAsia="方正黑体_GBK" w:cs="方正黑体_GBK"/>
                <w:sz w:val="24"/>
              </w:rPr>
            </w:pPr>
            <w:r>
              <w:rPr>
                <w:rFonts w:ascii="方正黑体_GBK" w:hAnsi="方正黑体_GBK" w:cs="方正黑体_GBK" w:eastAsia="方正黑体_GBK"/>
                <w:color w:val="000000"/>
                <w:sz w:val="24"/>
              </w:rPr>
              <w:t>监督电话</w:t>
            </w:r>
          </w:p>
        </w:tc>
        <w:tc>
          <w:tcPr>
            <w:tcW w:w="7470" w:type="dxa"/>
            <w:tcBorders/>
            <w:vAlign w:val="center"/>
          </w:tcPr>
          <w:p>
            <w:pPr>
              <w:pStyle w:val="Style14"/>
              <w:widowControl w:val="false"/>
              <w:bidi w:val="0"/>
              <w:spacing w:lineRule="exact" w:line="360"/>
              <w:jc w:val="center"/>
              <w:textAlignment w:val="center"/>
              <w:rPr>
                <w:rFonts w:ascii="Times New Roman" w:hAnsi="Times New Roman" w:eastAsia="方正仿宋_GBK" w:cs="Times New Roman"/>
                <w:lang w:eastAsia="zh-CN"/>
              </w:rPr>
            </w:pPr>
            <w:r>
              <w:rPr>
                <w:rStyle w:val="Font251"/>
                <w:rFonts w:eastAsia="方正仿宋_GBK" w:cs="Times New Roman" w:ascii="Times New Roman" w:hAnsi="Times New Roman"/>
                <w:b w:val="false"/>
                <w:sz w:val="24"/>
                <w:szCs w:val="24"/>
                <w:lang w:eastAsia="zh-CN"/>
              </w:rPr>
              <w:t>08183431074</w:t>
            </w:r>
          </w:p>
        </w:tc>
      </w:tr>
    </w:tbl>
    <w:p>
      <w:pPr>
        <w:pStyle w:val="Style14"/>
        <w:bidi w:val="0"/>
        <w:spacing w:lineRule="exact" w:line="560"/>
        <w:rPr/>
      </w:pPr>
      <w:r>
        <w:rPr/>
      </w:r>
    </w:p>
    <w:sectPr>
      <w:headerReference w:type="default" r:id="rId2"/>
      <w:footerReference w:type="default" r:id="rId3"/>
      <w:type w:val="nextPage"/>
      <w:pgSz w:w="11906" w:h="16838"/>
      <w:pgMar w:left="1587" w:right="1474" w:header="851" w:top="2098" w:footer="992" w:bottom="1984"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方正仿宋简体">
    <w:charset w:val="86"/>
    <w:family w:val="roman"/>
    <w:pitch w:val="variable"/>
  </w:font>
  <w:font w:name="方正黑体_GBK">
    <w:charset w:val="86"/>
    <w:family w:val="roman"/>
    <w:pitch w:val="variable"/>
  </w:font>
  <w:font w:name="方正楷体_GBK">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napToGrid w:val="false"/>
      <w:jc w:val="left"/>
      <w:rPr/>
    </w:pPr>
    <w:r>
      <w:rPr/>
    </w:r>
    <w:r>
      <mc:AlternateContent>
        <mc:Choice Requires="wps">
          <w:drawing>
            <wp:anchor behindDoc="1" distT="0" distB="0" distL="114300" distR="114300" simplePos="0" locked="0" layoutInCell="0" allowOverlap="1" relativeHeight="165">
              <wp:simplePos x="0" y="0"/>
              <wp:positionH relativeFrom="margin">
                <wp:align>right</wp:align>
              </wp:positionH>
              <wp:positionV relativeFrom="paragraph">
                <wp:posOffset>635</wp:posOffset>
              </wp:positionV>
              <wp:extent cx="1828800" cy="1828800"/>
              <wp:effectExtent l="0" t="0" r="0" b="0"/>
              <wp:wrapNone/>
              <wp:docPr id="1" name=""/>
              <a:graphic xmlns:a="http://schemas.openxmlformats.org/drawingml/2006/main">
                <a:graphicData uri="http://schemas.microsoft.com/office/word/2010/wordprocessingShape">
                  <wps:wsp>
                    <wps:cNvSpPr txBox="1"/>
                    <wps:spPr>
                      <a:xfrm>
                        <a:off x="0" y="0"/>
                        <a:ext cx="1828800" cy="1828800"/>
                      </a:xfrm>
                      <a:prstGeom prst="rect"/>
                      <a:solidFill>
                        <a:srgbClr val="FFFFFF">
                          <a:alpha val="0"/>
                        </a:srgbClr>
                      </a:solidFill>
                    </wps:spPr>
                    <wps:txbx>
                      <w:txbxContent>
                        <w:p>
                          <w:pPr>
                            <w:pStyle w:val="Style15"/>
                            <w:bidi w:val="0"/>
                            <w:jc w:val="left"/>
                            <w:rPr>
                              <w:rFonts w:eastAsia="宋体"/>
                              <w:lang w:eastAsia="zh-CN"/>
                            </w:rPr>
                          </w:pPr>
                          <w:r>
                            <w:rPr>
                              <w:lang w:eastAsia="zh-CN"/>
                            </w:rPr>
                            <w:fldChar w:fldCharType="begin"/>
                          </w:r>
                          <w:r>
                            <w:rPr>
                              <w:lang w:eastAsia="zh-CN"/>
                            </w:rPr>
                            <w:instrText> PAGE </w:instrText>
                          </w:r>
                          <w:r>
                            <w:rPr>
                              <w:lang w:eastAsia="zh-CN"/>
                            </w:rPr>
                            <w:fldChar w:fldCharType="separate"/>
                          </w:r>
                          <w:r>
                            <w:rPr>
                              <w:lang w:eastAsia="zh-CN"/>
                            </w:rPr>
                            <w:t>164</w:t>
                          </w:r>
                          <w:r>
                            <w:rPr>
                              <w:lang w:eastAsia="zh-CN"/>
                            </w:rPr>
                            <w:fldChar w:fldCharType="end"/>
                          </w:r>
                        </w:p>
                      </w:txbxContent>
                    </wps:txbx>
                    <wps:bodyPr anchor="t" lIns="0" tIns="0" rIns="0" bIns="0">
                      <a:noAutofit/>
                    </wps:bodyPr>
                  </wps:wsp>
                </a:graphicData>
              </a:graphic>
            </wp:anchor>
          </w:drawing>
        </mc:Choice>
        <mc:Fallback>
          <w:pict>
            <v:rect stroked="f" strokeweight="0pt" style="position:absolute;rotation:0;width:144pt;height:144pt;mso-wrap-distance-left:9pt;mso-wrap-distance-right:9pt;mso-wrap-distance-top:0pt;mso-wrap-distance-bottom:0pt;margin-top:0pt;mso-position-vertical-relative:text;margin-left:289.25pt;mso-position-horizontal:right;mso-position-horizontal-relative:margin">
              <v:textbox inset="0in,0in,0in,0in">
                <w:txbxContent>
                  <w:p>
                    <w:pPr>
                      <w:pStyle w:val="Style15"/>
                      <w:bidi w:val="0"/>
                      <w:jc w:val="left"/>
                      <w:rPr>
                        <w:rFonts w:eastAsia="宋体"/>
                        <w:lang w:eastAsia="zh-CN"/>
                      </w:rPr>
                    </w:pPr>
                    <w:r>
                      <w:rPr>
                        <w:lang w:eastAsia="zh-CN"/>
                      </w:rPr>
                      <w:fldChar w:fldCharType="begin"/>
                    </w:r>
                    <w:r>
                      <w:rPr>
                        <w:lang w:eastAsia="zh-CN"/>
                      </w:rPr>
                      <w:instrText> PAGE </w:instrText>
                    </w:r>
                    <w:r>
                      <w:rPr>
                        <w:lang w:eastAsia="zh-CN"/>
                      </w:rPr>
                      <w:fldChar w:fldCharType="separate"/>
                    </w:r>
                    <w:r>
                      <w:rPr>
                        <w:lang w:eastAsia="zh-CN"/>
                      </w:rPr>
                      <w:t>164</w:t>
                    </w:r>
                    <w:r>
                      <w:rPr>
                        <w:lang w:eastAsia="zh-CN"/>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pBdr/>
      <w:bidi w:val="0"/>
      <w:snapToGrid w:val="false"/>
      <w:rPr/>
    </w:pPr>
    <w:r>
      <w:rPr/>
    </w:r>
  </w:p>
</w:hdr>
</file>

<file path=word/settings.xml><?xml version="1.0" encoding="utf-8"?>
<w:settings xmlns:w="http://schemas.openxmlformats.org/wordprocessingml/2006/main">
  <w:zoom w:percent="80"/>
  <w:embedSystemFonts/>
  <w:defaultTabStop w:val="420"/>
  <w:autoHyphenation w:val="true"/>
  <w:compat>
    <w:doNotExpandShiftReturn/>
    <w:balanceSingleByteDoubleByteWidth/>
    <w:ulTrailSpace/>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lsdException w:name="Body Text" w:uiPriority="99"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character" w:styleId="DefaultParagraphFont" w:default="1">
    <w:name w:val="Default Paragraph Font"/>
    <w:uiPriority w:val="1"/>
    <w:semiHidden/>
    <w:unhideWhenUsed/>
    <w:qFormat/>
    <w:rPr/>
  </w:style>
  <w:style w:type="character" w:styleId="Font81" w:customStyle="1">
    <w:name w:val="font81"/>
    <w:basedOn w:val="DefaultParagraphFont"/>
    <w:uiPriority w:val="0"/>
    <w:qFormat/>
    <w:rPr>
      <w:rFonts w:ascii="方正仿宋简体" w:hAnsi="方正仿宋简体" w:eastAsia="方正仿宋简体" w:cs="方正仿宋简体"/>
      <w:color w:val="000000"/>
      <w:sz w:val="22"/>
      <w:szCs w:val="22"/>
      <w:u w:val="none"/>
    </w:rPr>
  </w:style>
  <w:style w:type="character" w:styleId="Font251" w:customStyle="1">
    <w:name w:val="font251"/>
    <w:basedOn w:val="DefaultParagraphFont"/>
    <w:uiPriority w:val="0"/>
    <w:qFormat/>
    <w:rPr>
      <w:rFonts w:ascii="方正仿宋简体" w:hAnsi="方正仿宋简体" w:eastAsia="方正仿宋简体" w:cs="方正仿宋简体"/>
      <w:b/>
      <w:color w:val="000000"/>
      <w:sz w:val="22"/>
      <w:szCs w:val="22"/>
      <w:u w:val="none"/>
    </w:rPr>
  </w:style>
  <w:style w:type="paragraph" w:styleId="Style14" w:default="1">
    <w:name w:val="正文"/>
    <w:next w:val="Style15"/>
    <w:uiPriority w:val="0"/>
    <w:qFormat/>
    <w:pPr>
      <w:widowControl w:val="false"/>
      <w:bidi w:val="0"/>
      <w:jc w:val="both"/>
    </w:pPr>
    <w:rPr>
      <w:rFonts w:ascii="Calibri" w:hAnsi="Calibri" w:eastAsia="宋体" w:cs="黑体"/>
      <w:color w:val="auto"/>
      <w:kern w:val="2"/>
      <w:sz w:val="21"/>
      <w:szCs w:val="24"/>
      <w:lang w:val="en-US" w:eastAsia="zh-CN" w:bidi="ar-SA"/>
    </w:rPr>
  </w:style>
  <w:style w:type="paragraph" w:styleId="Style15">
    <w:name w:val="页脚"/>
    <w:basedOn w:val="Style14"/>
    <w:next w:val="Style14"/>
    <w:link w:val="15"/>
    <w:uiPriority w:val="0"/>
    <w:qFormat/>
    <w:pPr>
      <w:tabs>
        <w:tab w:val="clear" w:pos="420"/>
        <w:tab w:val="center" w:pos="4153" w:leader="none"/>
        <w:tab w:val="right" w:pos="8306" w:leader="none"/>
      </w:tabs>
      <w:snapToGrid w:val="false"/>
      <w:jc w:val="left"/>
    </w:pPr>
    <w:rPr>
      <w:sz w:val="18"/>
    </w:rPr>
  </w:style>
  <w:style w:type="paragraph" w:styleId="Style16">
    <w:name w:val="页眉"/>
    <w:basedOn w:val="Style14"/>
    <w:uiPriority w:val="0"/>
    <w:qFormat/>
    <w:pPr>
      <w:pBdr/>
      <w:tabs>
        <w:tab w:val="clear" w:pos="420"/>
        <w:tab w:val="center" w:pos="4153" w:leader="none"/>
        <w:tab w:val="right" w:pos="8306" w:leader="none"/>
      </w:tabs>
      <w:snapToGrid w:val="false"/>
    </w:pPr>
    <w:rPr>
      <w:sz w:val="18"/>
    </w:rPr>
  </w:style>
  <w:style w:type="table" w:default="1" w:styleId="6">
    <w:name w:val="Normal Table"/>
    <w:uiPriority w:val="99"/>
    <w:semiHidden/>
    <w:unhideWhenUsed/>
    <w:qFormat/>
    <w:tblPr>
      <w:tblCellMar>
        <w:top w:w="0" w:type="dxa"/>
        <w:left w:w="108" w:type="dxa"/>
        <w:bottom w:w="0" w:type="dxa"/>
        <w:right w:w="108" w:type="dxa"/>
      </w:tblCellMar>
    </w:tblPr>
  </w:style>
  <w:style w:type="table" w:styleId="7">
    <w:name w:val="Table Grid"/>
    <w:basedOn w:val="6"/>
    <w:uiPriority w:val="0"/>
    <w:qFormat/>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LanShanOffice/1.5.0.10928$Windows_X86_64 LibreOffice_project/67468bfb2f827ecad59e02787310d279cc8a082c</Application>
  <AppVersion>15.0000</AppVersion>
  <Pages>55</Pages>
  <Words>94406</Words>
  <Characters>96301</Characters>
  <CharactersWithSpaces>98194</CharactersWithSpaces>
  <Paragraphs>3926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2017-12-13T14:08:00Z</dcterms:created>
  <dc:creator>Administrator</dc:creator>
  <dc:description/>
  <dc:language>zh-CN</dc:language>
  <cp:lastModifiedBy>MJNJZ</cp:lastModifiedBy>
  <cp:lastPrinted>2021-02-01T07:32:00Z</cp:lastPrinted>
  <dcterms:modified xsi:type="dcterms:W3CDTF">2021-07-28T09:14:53Z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