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bookmarkStart w:id="0" w:name="_Toc15306267"/>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000000"/>
          <w:sz w:val="72"/>
          <w:szCs w:val="72"/>
        </w:rPr>
      </w:pPr>
      <w:bookmarkStart w:id="1" w:name="_Toc15396475"/>
      <w:bookmarkStart w:id="2" w:name="_Toc15377425"/>
      <w:bookmarkStart w:id="3" w:name="_Toc15378441"/>
      <w:bookmarkStart w:id="4" w:name="_Toc15377193"/>
      <w:bookmarkStart w:id="5" w:name="_Toc15396597"/>
      <w:r>
        <w:rPr>
          <w:rFonts w:hint="eastAsia" w:ascii="方正小标宋简体" w:hAnsi="方正小标宋简体" w:eastAsia="方正小标宋简体" w:cs="方正小标宋简体"/>
          <w:color w:val="000000"/>
          <w:sz w:val="72"/>
          <w:szCs w:val="72"/>
        </w:rPr>
        <w:t>20</w:t>
      </w:r>
      <w:r>
        <w:rPr>
          <w:rFonts w:hint="eastAsia" w:ascii="方正小标宋简体" w:hAnsi="方正小标宋简体" w:eastAsia="方正小标宋简体" w:cs="方正小标宋简体"/>
          <w:color w:val="000000"/>
          <w:sz w:val="72"/>
          <w:szCs w:val="72"/>
          <w:lang w:val="en-US" w:eastAsia="zh-CN"/>
        </w:rPr>
        <w:t>20</w:t>
      </w:r>
      <w:r>
        <w:rPr>
          <w:rFonts w:hint="eastAsia" w:ascii="方正小标宋简体" w:hAnsi="方正小标宋简体" w:eastAsia="方正小标宋简体" w:cs="方正小标宋简体"/>
          <w:color w:val="000000"/>
          <w:sz w:val="72"/>
          <w:szCs w:val="72"/>
        </w:rPr>
        <w:t>年度</w:t>
      </w:r>
      <w:bookmarkEnd w:id="0"/>
      <w:bookmarkEnd w:id="1"/>
      <w:bookmarkEnd w:id="2"/>
      <w:bookmarkEnd w:id="3"/>
      <w:bookmarkEnd w:id="4"/>
      <w:bookmarkEnd w:id="5"/>
      <w:bookmarkStart w:id="6" w:name="_Toc15377194"/>
      <w:bookmarkStart w:id="7" w:name="_Toc15378442"/>
      <w:bookmarkStart w:id="8" w:name="_Toc15377426"/>
      <w:bookmarkStart w:id="9" w:name="_Toc15396476"/>
      <w:bookmarkStart w:id="10" w:name="_Toc15396598"/>
      <w:bookmarkStart w:id="11" w:name="_Toc15306268"/>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000000"/>
          <w:sz w:val="72"/>
          <w:szCs w:val="72"/>
          <w:lang w:eastAsia="zh-CN"/>
        </w:rPr>
      </w:pPr>
      <w:r>
        <w:rPr>
          <w:rFonts w:hint="eastAsia" w:ascii="方正小标宋简体" w:hAnsi="方正小标宋简体" w:eastAsia="方正小标宋简体" w:cs="方正小标宋简体"/>
          <w:color w:val="000000"/>
          <w:sz w:val="72"/>
          <w:szCs w:val="72"/>
          <w:lang w:eastAsia="zh-CN"/>
        </w:rPr>
        <w:t>达州市达川区第二幼儿园</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方正小标宋简体" w:eastAsia="方正小标宋简体" w:cs="方正小标宋简体"/>
          <w:color w:val="000000"/>
          <w:sz w:val="72"/>
          <w:szCs w:val="72"/>
          <w:lang w:val="en-US" w:eastAsia="zh-CN"/>
        </w:rPr>
      </w:pPr>
      <w:r>
        <w:rPr>
          <w:rFonts w:hint="eastAsia" w:ascii="方正小标宋简体" w:hAnsi="方正小标宋简体" w:eastAsia="方正小标宋简体" w:cs="方正小标宋简体"/>
          <w:color w:val="000000"/>
          <w:sz w:val="72"/>
          <w:szCs w:val="72"/>
          <w:lang w:eastAsia="zh-CN"/>
        </w:rPr>
        <w:t>部门决</w:t>
      </w:r>
      <w:r>
        <w:rPr>
          <w:rFonts w:hint="eastAsia" w:ascii="方正小标宋简体" w:hAnsi="方正小标宋简体" w:eastAsia="方正小标宋简体" w:cs="方正小标宋简体"/>
          <w:color w:val="000000"/>
          <w:sz w:val="72"/>
          <w:szCs w:val="72"/>
        </w:rPr>
        <w:t>算</w:t>
      </w:r>
      <w:bookmarkEnd w:id="6"/>
      <w:bookmarkEnd w:id="7"/>
      <w:bookmarkEnd w:id="8"/>
      <w:bookmarkEnd w:id="9"/>
      <w:bookmarkEnd w:id="10"/>
      <w:bookmarkEnd w:id="11"/>
      <w:r>
        <w:rPr>
          <w:rFonts w:hint="eastAsia" w:ascii="方正小标宋简体" w:hAnsi="方正小标宋简体" w:eastAsia="方正小标宋简体" w:cs="方正小标宋简体"/>
          <w:color w:val="000000"/>
          <w:sz w:val="72"/>
          <w:szCs w:val="72"/>
          <w:lang w:eastAsia="zh-CN"/>
        </w:rPr>
        <w:t>编制说明</w:t>
      </w:r>
    </w:p>
    <w:p>
      <w:pPr>
        <w:pageBreakBefore w:val="0"/>
        <w:widowControl/>
        <w:kinsoku/>
        <w:wordWrap/>
        <w:overflowPunct/>
        <w:topLinePunct w:val="0"/>
        <w:bidi w:val="0"/>
        <w:spacing w:line="578" w:lineRule="exact"/>
        <w:jc w:val="center"/>
        <w:rPr>
          <w:rFonts w:hint="eastAsia" w:ascii="仿宋" w:hAnsi="仿宋" w:eastAsia="仿宋" w:cs="仿宋"/>
          <w:color w:val="000000"/>
          <w:sz w:val="32"/>
          <w:szCs w:val="32"/>
        </w:rPr>
      </w:pPr>
      <w:r>
        <w:rPr>
          <w:rFonts w:hint="eastAsia" w:ascii="方正小标宋简体" w:hAnsi="方正小标宋简体" w:eastAsia="方正小标宋简体" w:cs="方正小标宋简体"/>
          <w:color w:val="000000"/>
          <w:sz w:val="44"/>
          <w:szCs w:val="44"/>
        </w:rPr>
        <w:br w:type="page"/>
      </w:r>
      <w:r>
        <w:rPr>
          <w:rFonts w:hint="eastAsia" w:ascii="仿宋" w:hAnsi="仿宋" w:eastAsia="仿宋" w:cs="仿宋"/>
          <w:color w:val="000000"/>
          <w:sz w:val="32"/>
          <w:szCs w:val="32"/>
        </w:rPr>
        <w:t>目录</w:t>
      </w:r>
    </w:p>
    <w:p>
      <w:pPr>
        <w:pageBreakBefore w:val="0"/>
        <w:widowControl/>
        <w:kinsoku/>
        <w:wordWrap/>
        <w:overflowPunct/>
        <w:topLinePunct w:val="0"/>
        <w:bidi w:val="0"/>
        <w:spacing w:line="578" w:lineRule="exact"/>
        <w:jc w:val="center"/>
        <w:rPr>
          <w:rFonts w:hint="eastAsia" w:ascii="仿宋" w:hAnsi="仿宋" w:eastAsia="仿宋" w:cs="仿宋"/>
          <w:sz w:val="32"/>
          <w:szCs w:val="32"/>
        </w:rPr>
      </w:pP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TOC \o "1-2" \h \z \u </w:instrText>
      </w:r>
      <w:r>
        <w:rPr>
          <w:rFonts w:hint="eastAsia" w:ascii="仿宋" w:hAnsi="仿宋" w:eastAsia="仿宋" w:cs="仿宋"/>
          <w:color w:val="000000"/>
          <w:sz w:val="32"/>
          <w:szCs w:val="32"/>
        </w:rPr>
        <w:fldChar w:fldCharType="separate"/>
      </w: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t>公开时间：20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pageBreakBefore w:val="0"/>
        <w:kinsoku/>
        <w:wordWrap/>
        <w:overflowPunct/>
        <w:topLinePunct w:val="0"/>
        <w:bidi w:val="0"/>
        <w:spacing w:line="578" w:lineRule="exact"/>
        <w:rPr>
          <w:rFonts w:hint="eastAsia" w:ascii="仿宋" w:hAnsi="仿宋" w:eastAsia="仿宋" w:cs="仿宋"/>
          <w:sz w:val="32"/>
          <w:szCs w:val="32"/>
        </w:rPr>
      </w:pP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"_Toc15396599"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第一部分 部门概况</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"_Toc15396600"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一、基本职能及主要工作</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"_Toc15396601"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_Toc15396601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"_Toc15396602"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第二部分</w:t>
      </w:r>
      <w:r>
        <w:rPr>
          <w:rStyle w:val="18"/>
          <w:rFonts w:hint="eastAsia" w:ascii="仿宋" w:hAnsi="仿宋" w:eastAsia="仿宋" w:cs="仿宋"/>
          <w:sz w:val="32"/>
          <w:szCs w:val="32"/>
        </w:rPr>
        <w:t xml:space="preserve"> 20</w:t>
      </w:r>
      <w:r>
        <w:rPr>
          <w:rStyle w:val="18"/>
          <w:rFonts w:hint="eastAsia" w:ascii="仿宋" w:hAnsi="仿宋" w:eastAsia="仿宋" w:cs="仿宋"/>
          <w:sz w:val="32"/>
          <w:szCs w:val="32"/>
          <w:lang w:val="en-US" w:eastAsia="zh-CN"/>
        </w:rPr>
        <w:t>20</w:t>
      </w:r>
      <w:r>
        <w:rPr>
          <w:rStyle w:val="18"/>
          <w:rFonts w:hint="eastAsia" w:ascii="仿宋" w:hAnsi="仿宋" w:eastAsia="仿宋" w:cs="仿宋"/>
          <w:sz w:val="32"/>
          <w:szCs w:val="32"/>
        </w:rPr>
        <w:t>年度部门决算情况说明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_Toc15396602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"_Toc15396603" </w:instrText>
      </w:r>
      <w:r>
        <w:rPr>
          <w:rFonts w:hint="eastAsia" w:ascii="仿宋" w:hAnsi="仿宋" w:eastAsia="仿宋" w:cs="仿宋"/>
          <w:sz w:val="32"/>
          <w:szCs w:val="32"/>
        </w:rPr>
        <w:fldChar w:fldCharType="separate"/>
      </w:r>
      <w:r>
        <w:rPr>
          <w:rStyle w:val="18"/>
          <w:rFonts w:hint="eastAsia" w:ascii="仿宋" w:hAnsi="仿宋" w:eastAsia="仿宋" w:cs="仿宋"/>
          <w:bCs/>
          <w:sz w:val="32"/>
          <w:szCs w:val="32"/>
        </w:rPr>
        <w:t>一、</w:t>
      </w:r>
      <w:r>
        <w:rPr>
          <w:rStyle w:val="18"/>
          <w:rFonts w:hint="eastAsia" w:ascii="仿宋" w:hAnsi="仿宋" w:eastAsia="仿宋" w:cs="仿宋"/>
          <w:sz w:val="32"/>
          <w:szCs w:val="32"/>
        </w:rPr>
        <w:t>收</w:t>
      </w:r>
      <w:r>
        <w:rPr>
          <w:rStyle w:val="18"/>
          <w:rFonts w:hint="eastAsia" w:ascii="仿宋" w:hAnsi="仿宋" w:eastAsia="仿宋" w:cs="仿宋"/>
          <w:bCs/>
          <w:sz w:val="32"/>
          <w:szCs w:val="32"/>
        </w:rPr>
        <w:t>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_Toc15396603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"_Toc15396604" </w:instrText>
      </w:r>
      <w:r>
        <w:rPr>
          <w:rFonts w:hint="eastAsia" w:ascii="仿宋" w:hAnsi="仿宋" w:eastAsia="仿宋" w:cs="仿宋"/>
          <w:sz w:val="32"/>
          <w:szCs w:val="32"/>
        </w:rPr>
        <w:fldChar w:fldCharType="separate"/>
      </w:r>
      <w:r>
        <w:rPr>
          <w:rStyle w:val="18"/>
          <w:rFonts w:hint="eastAsia" w:ascii="仿宋" w:hAnsi="仿宋" w:eastAsia="仿宋" w:cs="仿宋"/>
          <w:bCs/>
          <w:sz w:val="32"/>
          <w:szCs w:val="32"/>
        </w:rPr>
        <w:t>二、</w:t>
      </w:r>
      <w:r>
        <w:rPr>
          <w:rStyle w:val="18"/>
          <w:rFonts w:hint="eastAsia" w:ascii="仿宋" w:hAnsi="仿宋" w:eastAsia="仿宋" w:cs="仿宋"/>
          <w:sz w:val="32"/>
          <w:szCs w:val="32"/>
        </w:rPr>
        <w:t>收</w:t>
      </w:r>
      <w:r>
        <w:rPr>
          <w:rStyle w:val="18"/>
          <w:rFonts w:hint="eastAsia" w:ascii="仿宋" w:hAnsi="仿宋" w:eastAsia="仿宋" w:cs="仿宋"/>
          <w:bCs/>
          <w:sz w:val="32"/>
          <w:szCs w:val="32"/>
        </w:rPr>
        <w:t>入决算情况说明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"_Toc15396605" </w:instrText>
      </w:r>
      <w:r>
        <w:rPr>
          <w:rFonts w:hint="eastAsia" w:ascii="仿宋" w:hAnsi="仿宋" w:eastAsia="仿宋" w:cs="仿宋"/>
          <w:sz w:val="32"/>
          <w:szCs w:val="32"/>
        </w:rPr>
        <w:fldChar w:fldCharType="separate"/>
      </w:r>
      <w:r>
        <w:rPr>
          <w:rStyle w:val="18"/>
          <w:rFonts w:hint="eastAsia" w:ascii="仿宋" w:hAnsi="仿宋" w:eastAsia="仿宋" w:cs="仿宋"/>
          <w:bCs/>
          <w:sz w:val="32"/>
          <w:szCs w:val="32"/>
        </w:rPr>
        <w:t>三、</w:t>
      </w:r>
      <w:r>
        <w:rPr>
          <w:rStyle w:val="18"/>
          <w:rFonts w:hint="eastAsia" w:ascii="仿宋" w:hAnsi="仿宋" w:eastAsia="仿宋" w:cs="仿宋"/>
          <w:sz w:val="32"/>
          <w:szCs w:val="32"/>
        </w:rPr>
        <w:t>支</w:t>
      </w:r>
      <w:r>
        <w:rPr>
          <w:rStyle w:val="18"/>
          <w:rFonts w:hint="eastAsia" w:ascii="仿宋" w:hAnsi="仿宋" w:eastAsia="仿宋" w:cs="仿宋"/>
          <w:bCs/>
          <w:sz w:val="32"/>
          <w:szCs w:val="32"/>
        </w:rPr>
        <w:t>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_Toc15396605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"_Toc15396606"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四、财</w:t>
      </w:r>
      <w:r>
        <w:rPr>
          <w:rStyle w:val="18"/>
          <w:rFonts w:hint="eastAsia" w:ascii="仿宋" w:hAnsi="仿宋" w:eastAsia="仿宋" w:cs="仿宋"/>
          <w:bCs/>
          <w:sz w:val="32"/>
          <w:szCs w:val="32"/>
        </w:rPr>
        <w:t>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_Toc15396606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"_Toc15396607"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五、一</w:t>
      </w:r>
      <w:r>
        <w:rPr>
          <w:rStyle w:val="18"/>
          <w:rFonts w:hint="eastAsia" w:ascii="仿宋" w:hAnsi="仿宋" w:eastAsia="仿宋" w:cs="仿宋"/>
          <w:bCs/>
          <w:sz w:val="32"/>
          <w:szCs w:val="32"/>
        </w:rPr>
        <w:t>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_Toc15396607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"_Toc15396608"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六、一</w:t>
      </w:r>
      <w:r>
        <w:rPr>
          <w:rStyle w:val="18"/>
          <w:rFonts w:hint="eastAsia" w:ascii="仿宋" w:hAnsi="仿宋" w:eastAsia="仿宋" w:cs="仿宋"/>
          <w:bCs/>
          <w:sz w:val="32"/>
          <w:szCs w:val="32"/>
        </w:rPr>
        <w:t>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_Toc15396608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"_Toc15396609"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七、</w:t>
      </w:r>
      <w:r>
        <w:rPr>
          <w:rStyle w:val="18"/>
          <w:rFonts w:hint="eastAsia" w:ascii="仿宋" w:hAnsi="仿宋" w:eastAsia="仿宋" w:cs="仿宋"/>
          <w:sz w:val="32"/>
          <w:szCs w:val="32"/>
        </w:rPr>
        <w:t>“</w:t>
      </w:r>
      <w:r>
        <w:rPr>
          <w:rStyle w:val="18"/>
          <w:rFonts w:hint="eastAsia" w:ascii="仿宋" w:hAnsi="仿宋" w:eastAsia="仿宋" w:cs="仿宋"/>
          <w:bCs/>
          <w:sz w:val="32"/>
          <w:szCs w:val="32"/>
        </w:rPr>
        <w:t>三公”经费财政拨款支出决算情况说明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_Toc15396609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"_Toc15396610"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八、</w:t>
      </w:r>
      <w:r>
        <w:rPr>
          <w:rStyle w:val="18"/>
          <w:rFonts w:hint="eastAsia" w:ascii="仿宋" w:hAnsi="仿宋" w:eastAsia="仿宋" w:cs="仿宋"/>
          <w:bCs/>
          <w:sz w:val="32"/>
          <w:szCs w:val="32"/>
        </w:rPr>
        <w:t>政府性基金预算支出决算情况说明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_Toc15396610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"_Toc15396611" </w:instrText>
      </w:r>
      <w:r>
        <w:rPr>
          <w:rFonts w:hint="eastAsia" w:ascii="仿宋" w:hAnsi="仿宋" w:eastAsia="仿宋" w:cs="仿宋"/>
          <w:sz w:val="32"/>
          <w:szCs w:val="32"/>
        </w:rPr>
        <w:fldChar w:fldCharType="separate"/>
      </w:r>
      <w:r>
        <w:rPr>
          <w:rStyle w:val="18"/>
          <w:rFonts w:hint="eastAsia" w:ascii="仿宋" w:hAnsi="仿宋" w:eastAsia="仿宋" w:cs="仿宋"/>
          <w:bCs/>
          <w:sz w:val="32"/>
          <w:szCs w:val="32"/>
        </w:rPr>
        <w:t>九、</w:t>
      </w:r>
      <w:r>
        <w:rPr>
          <w:rStyle w:val="18"/>
          <w:rFonts w:hint="eastAsia" w:ascii="仿宋" w:hAnsi="仿宋" w:eastAsia="仿宋" w:cs="仿宋"/>
          <w:sz w:val="32"/>
          <w:szCs w:val="32"/>
        </w:rPr>
        <w:t xml:space="preserve"> 国</w:t>
      </w:r>
      <w:r>
        <w:rPr>
          <w:rStyle w:val="18"/>
          <w:rFonts w:hint="eastAsia" w:ascii="仿宋" w:hAnsi="仿宋" w:eastAsia="仿宋" w:cs="仿宋"/>
          <w:bCs/>
          <w:sz w:val="32"/>
          <w:szCs w:val="32"/>
        </w:rPr>
        <w:t>有资本经营预算支出决算情况说明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_Toc15396611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"_Toc15396612"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十</w:t>
      </w:r>
      <w:r>
        <w:rPr>
          <w:rStyle w:val="18"/>
          <w:rFonts w:hint="eastAsia" w:ascii="仿宋" w:hAnsi="仿宋" w:eastAsia="仿宋" w:cs="仿宋"/>
          <w:bCs/>
          <w:sz w:val="32"/>
          <w:szCs w:val="32"/>
        </w:rPr>
        <w:t>一、其他重要事项的情况说明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_Toc15396612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"_Toc15396613" </w:instrText>
      </w:r>
      <w:r>
        <w:rPr>
          <w:rFonts w:hint="eastAsia" w:ascii="仿宋" w:hAnsi="仿宋" w:eastAsia="仿宋" w:cs="仿宋"/>
          <w:sz w:val="32"/>
          <w:szCs w:val="32"/>
        </w:rPr>
        <w:fldChar w:fldCharType="separate"/>
      </w:r>
      <w:r>
        <w:rPr>
          <w:rStyle w:val="18"/>
          <w:rFonts w:hint="eastAsia" w:ascii="仿宋" w:hAnsi="仿宋" w:eastAsia="仿宋" w:cs="仿宋"/>
          <w:bCs/>
          <w:kern w:val="44"/>
          <w:sz w:val="32"/>
          <w:szCs w:val="32"/>
        </w:rPr>
        <w:t>第三部分</w:t>
      </w:r>
      <w:r>
        <w:rPr>
          <w:rStyle w:val="18"/>
          <w:rFonts w:hint="eastAsia" w:ascii="仿宋" w:hAnsi="仿宋" w:eastAsia="仿宋" w:cs="仿宋"/>
          <w:sz w:val="32"/>
          <w:szCs w:val="32"/>
        </w:rPr>
        <w:t xml:space="preserve"> 名</w:t>
      </w:r>
      <w:r>
        <w:rPr>
          <w:rStyle w:val="18"/>
          <w:rFonts w:hint="eastAsia" w:ascii="仿宋" w:hAnsi="仿宋" w:eastAsia="仿宋" w:cs="仿宋"/>
          <w:bCs/>
          <w:kern w:val="44"/>
          <w:sz w:val="32"/>
          <w:szCs w:val="32"/>
        </w:rPr>
        <w:t>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_Toc15396613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"_Toc15396614"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第</w:t>
      </w:r>
      <w:r>
        <w:rPr>
          <w:rStyle w:val="18"/>
          <w:rFonts w:hint="eastAsia" w:ascii="仿宋" w:hAnsi="仿宋" w:eastAsia="仿宋" w:cs="仿宋"/>
          <w:bCs/>
          <w:kern w:val="44"/>
          <w:sz w:val="32"/>
          <w:szCs w:val="32"/>
        </w:rPr>
        <w:t>四部分</w:t>
      </w:r>
      <w:r>
        <w:rPr>
          <w:rStyle w:val="18"/>
          <w:rFonts w:hint="eastAsia" w:ascii="仿宋" w:hAnsi="仿宋" w:eastAsia="仿宋" w:cs="仿宋"/>
          <w:bCs/>
          <w:kern w:val="44"/>
          <w:sz w:val="32"/>
          <w:szCs w:val="32"/>
        </w:rPr>
        <w:t xml:space="preserve"> </w:t>
      </w:r>
      <w:r>
        <w:rPr>
          <w:rStyle w:val="18"/>
          <w:rFonts w:hint="eastAsia" w:ascii="仿宋" w:hAnsi="仿宋" w:eastAsia="仿宋" w:cs="仿宋"/>
          <w:bCs/>
          <w:kern w:val="44"/>
          <w:sz w:val="32"/>
          <w:szCs w:val="32"/>
        </w:rPr>
        <w:t>附件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_Toc15396614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"_Toc15396615" </w:instrText>
      </w:r>
      <w:r>
        <w:rPr>
          <w:rFonts w:hint="eastAsia" w:ascii="仿宋" w:hAnsi="仿宋" w:eastAsia="仿宋" w:cs="仿宋"/>
          <w:sz w:val="32"/>
          <w:szCs w:val="32"/>
        </w:rPr>
        <w:fldChar w:fldCharType="separate"/>
      </w:r>
      <w:r>
        <w:rPr>
          <w:rStyle w:val="18"/>
          <w:rFonts w:hint="eastAsia" w:ascii="仿宋" w:hAnsi="仿宋" w:eastAsia="仿宋" w:cs="仿宋"/>
          <w:kern w:val="44"/>
          <w:sz w:val="32"/>
          <w:szCs w:val="32"/>
        </w:rPr>
        <w:t>附件</w:t>
      </w:r>
      <w:r>
        <w:rPr>
          <w:rStyle w:val="18"/>
          <w:rFonts w:hint="eastAsia" w:ascii="仿宋" w:hAnsi="仿宋" w:eastAsia="仿宋" w:cs="仿宋"/>
          <w:kern w:val="44"/>
          <w:sz w:val="32"/>
          <w:szCs w:val="32"/>
        </w:rPr>
        <w:t>1</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_Toc15396615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"_Toc15396617" </w:instrText>
      </w:r>
      <w:r>
        <w:rPr>
          <w:rFonts w:hint="eastAsia" w:ascii="仿宋" w:hAnsi="仿宋" w:eastAsia="仿宋" w:cs="仿宋"/>
          <w:sz w:val="32"/>
          <w:szCs w:val="32"/>
        </w:rPr>
        <w:fldChar w:fldCharType="separate"/>
      </w:r>
      <w:r>
        <w:rPr>
          <w:rStyle w:val="18"/>
          <w:rFonts w:hint="eastAsia" w:ascii="仿宋" w:hAnsi="仿宋" w:eastAsia="仿宋" w:cs="仿宋"/>
          <w:kern w:val="44"/>
          <w:sz w:val="32"/>
          <w:szCs w:val="32"/>
        </w:rPr>
        <w:t>附件</w:t>
      </w:r>
      <w:r>
        <w:rPr>
          <w:rStyle w:val="18"/>
          <w:rFonts w:hint="eastAsia" w:ascii="仿宋" w:hAnsi="仿宋" w:eastAsia="仿宋" w:cs="仿宋"/>
          <w:kern w:val="44"/>
          <w:sz w:val="32"/>
          <w:szCs w:val="32"/>
        </w:rPr>
        <w:t>2</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_Toc15396617 \h </w:instrText>
      </w:r>
      <w:r>
        <w:rPr>
          <w:rFonts w:hint="eastAsia" w:ascii="仿宋" w:hAnsi="仿宋" w:eastAsia="仿宋" w:cs="仿宋"/>
          <w:sz w:val="32"/>
          <w:szCs w:val="32"/>
        </w:rPr>
        <w:fldChar w:fldCharType="separate"/>
      </w:r>
      <w:r>
        <w:rPr>
          <w:rFonts w:hint="eastAsia" w:ascii="仿宋" w:hAnsi="仿宋" w:eastAsia="仿宋" w:cs="仿宋"/>
          <w:sz w:val="32"/>
          <w:szCs w:val="32"/>
        </w:rPr>
        <w:t>26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pageBreakBefore w:val="0"/>
        <w:kinsoku/>
        <w:wordWrap/>
        <w:overflowPunct/>
        <w:topLinePunct w:val="0"/>
        <w:bidi w:val="0"/>
        <w:spacing w:before="0" w:line="578" w:lineRule="exac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"_Toc15396618"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第</w:t>
      </w:r>
      <w:r>
        <w:rPr>
          <w:rStyle w:val="18"/>
          <w:rFonts w:hint="eastAsia" w:ascii="仿宋" w:hAnsi="仿宋" w:eastAsia="仿宋" w:cs="仿宋"/>
          <w:bCs/>
          <w:kern w:val="44"/>
          <w:sz w:val="32"/>
          <w:szCs w:val="32"/>
        </w:rPr>
        <w:t>五部分</w:t>
      </w:r>
      <w:r>
        <w:rPr>
          <w:rStyle w:val="18"/>
          <w:rFonts w:hint="eastAsia" w:ascii="仿宋" w:hAnsi="仿宋" w:eastAsia="仿宋" w:cs="仿宋"/>
          <w:bCs/>
          <w:kern w:val="44"/>
          <w:sz w:val="32"/>
          <w:szCs w:val="32"/>
        </w:rPr>
        <w:t xml:space="preserve"> </w:t>
      </w:r>
      <w:r>
        <w:rPr>
          <w:rStyle w:val="18"/>
          <w:rFonts w:hint="eastAsia" w:ascii="仿宋" w:hAnsi="仿宋" w:eastAsia="仿宋" w:cs="仿宋"/>
          <w:bCs/>
          <w:kern w:val="44"/>
          <w:sz w:val="32"/>
          <w:szCs w:val="32"/>
        </w:rPr>
        <w:t>附表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_Toc15396618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"_Toc15396619"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_Toc15396619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"_Toc15396620"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_Toc15396620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"_Toc15396621"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_Toc15396621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"_Toc15396622"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财政拨款收入支出决算总表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_Toc15396622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"_Toc15396623" </w:instrText>
      </w:r>
      <w:r>
        <w:rPr>
          <w:rFonts w:hint="eastAsia" w:ascii="仿宋" w:hAnsi="仿宋" w:eastAsia="仿宋" w:cs="仿宋"/>
          <w:sz w:val="32"/>
          <w:szCs w:val="32"/>
        </w:rPr>
        <w:fldChar w:fldCharType="separate"/>
      </w:r>
      <w:r>
        <w:rPr>
          <w:rFonts w:hint="eastAsia" w:ascii="仿宋" w:hAnsi="仿宋" w:eastAsia="仿宋" w:cs="仿宋"/>
          <w:sz w:val="32"/>
          <w:szCs w:val="32"/>
        </w:rPr>
        <w:t>财政拨款支出决算明细表（政府经济分类科目）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_Toc15396623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"_Toc15396624"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一般公共预算财政拨款支出决算表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_Toc15396624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"_Toc15396625"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_Toc15396625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"_Toc15396626"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_Toc15396626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"_Toc15396627"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_Toc15396627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"_Toc15396628"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一般公共预算财政拨款“三公”经费支出决算表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_Toc15396628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"_Toc15396629"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_Toc15396629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"_Toc15396630"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政府性基金预算财政拨款“三公”经费支出决算表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_Toc15396630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1"/>
        <w:pageBreakBefore w:val="0"/>
        <w:kinsoku/>
        <w:wordWrap/>
        <w:overflowPunct/>
        <w:topLinePunct w:val="0"/>
        <w:bidi w:val="0"/>
        <w:spacing w:line="578" w:lineRule="exact"/>
        <w:rPr>
          <w:rFonts w:hint="eastAsia" w:ascii="仿宋" w:hAnsi="仿宋" w:eastAsia="仿宋" w:cs="仿宋"/>
          <w:sz w:val="32"/>
          <w:szCs w:val="32"/>
        </w:rPr>
      </w:pPr>
      <w:r>
        <w:rPr>
          <w:rFonts w:hint="eastAsia" w:ascii="仿宋" w:hAnsi="仿宋" w:eastAsia="仿宋" w:cs="仿宋"/>
          <w:sz w:val="32"/>
          <w:szCs w:val="32"/>
        </w:rPr>
        <w:t>十三、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"_Toc15396631" </w:instrText>
      </w:r>
      <w:r>
        <w:rPr>
          <w:rFonts w:hint="eastAsia" w:ascii="仿宋" w:hAnsi="仿宋" w:eastAsia="仿宋" w:cs="仿宋"/>
          <w:sz w:val="32"/>
          <w:szCs w:val="32"/>
        </w:rPr>
        <w:fldChar w:fldCharType="separate"/>
      </w:r>
      <w:r>
        <w:rPr>
          <w:rStyle w:val="18"/>
          <w:rFonts w:hint="eastAsia" w:ascii="仿宋" w:hAnsi="仿宋" w:eastAsia="仿宋" w:cs="仿宋"/>
          <w:sz w:val="32"/>
          <w:szCs w:val="32"/>
        </w:rPr>
        <w:t>国有资本经营预算支出决算表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_Toc15396631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fldChar w:fldCharType="end"/>
      </w:r>
    </w:p>
    <w:p>
      <w:pPr>
        <w:pageBreakBefore w:val="0"/>
        <w:widowControl/>
        <w:kinsoku/>
        <w:wordWrap/>
        <w:overflowPunct/>
        <w:topLinePunct w:val="0"/>
        <w:bidi w:val="0"/>
        <w:spacing w:line="578" w:lineRule="exact"/>
        <w:jc w:val="left"/>
        <w:rPr>
          <w:rFonts w:hint="eastAsia" w:ascii="仿宋" w:hAnsi="仿宋" w:eastAsia="仿宋" w:cs="仿宋"/>
          <w:bCs/>
          <w:kern w:val="44"/>
          <w:sz w:val="32"/>
          <w:szCs w:val="32"/>
        </w:rPr>
      </w:pPr>
      <w:bookmarkStart w:id="12" w:name="_Toc15377196"/>
      <w:bookmarkStart w:id="13" w:name="_Toc15396599"/>
      <w:r>
        <w:rPr>
          <w:rFonts w:hint="eastAsia" w:ascii="仿宋" w:hAnsi="仿宋" w:eastAsia="仿宋" w:cs="仿宋"/>
          <w:b/>
          <w:sz w:val="32"/>
          <w:szCs w:val="32"/>
        </w:rPr>
        <w:br w:type="page"/>
      </w:r>
    </w:p>
    <w:p>
      <w:pPr>
        <w:pStyle w:val="2"/>
        <w:pageBreakBefore w:val="0"/>
        <w:widowControl w:val="0"/>
        <w:kinsoku/>
        <w:wordWrap/>
        <w:overflowPunct/>
        <w:topLinePunct w:val="0"/>
        <w:autoSpaceDE/>
        <w:autoSpaceDN/>
        <w:bidi w:val="0"/>
        <w:spacing w:before="0" w:after="0" w:line="578" w:lineRule="exact"/>
        <w:jc w:val="center"/>
        <w:textAlignment w:val="auto"/>
        <w:rPr>
          <w:rStyle w:val="27"/>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val="0"/>
          <w:sz w:val="44"/>
          <w:szCs w:val="44"/>
        </w:rPr>
        <w:t xml:space="preserve">第一部分 </w:t>
      </w:r>
      <w:r>
        <w:rPr>
          <w:rStyle w:val="27"/>
          <w:rFonts w:hint="eastAsia" w:ascii="方正小标宋简体" w:hAnsi="方正小标宋简体" w:eastAsia="方正小标宋简体" w:cs="方正小标宋简体"/>
          <w:b w:val="0"/>
          <w:bCs w:val="0"/>
          <w:sz w:val="44"/>
          <w:szCs w:val="44"/>
        </w:rPr>
        <w:t>部门概况</w:t>
      </w:r>
      <w:bookmarkEnd w:id="12"/>
      <w:bookmarkEnd w:id="13"/>
    </w:p>
    <w:p>
      <w:pPr>
        <w:pStyle w:val="3"/>
        <w:pageBreakBefore w:val="0"/>
        <w:widowControl w:val="0"/>
        <w:kinsoku/>
        <w:wordWrap/>
        <w:overflowPunct/>
        <w:topLinePunct w:val="0"/>
        <w:autoSpaceDE/>
        <w:autoSpaceDN/>
        <w:bidi w:val="0"/>
        <w:spacing w:before="0" w:after="0" w:line="578" w:lineRule="exact"/>
        <w:ind w:firstLine="960" w:firstLineChars="300"/>
        <w:textAlignment w:val="auto"/>
        <w:rPr>
          <w:rStyle w:val="28"/>
          <w:rFonts w:hint="eastAsia" w:ascii="黑体" w:hAnsi="黑体" w:eastAsia="黑体" w:cs="黑体"/>
          <w:b w:val="0"/>
          <w:bCs w:val="0"/>
          <w:sz w:val="32"/>
          <w:szCs w:val="32"/>
        </w:rPr>
      </w:pPr>
      <w:bookmarkStart w:id="14" w:name="_Toc15377197"/>
      <w:bookmarkStart w:id="15" w:name="_Toc15396600"/>
      <w:r>
        <w:rPr>
          <w:rFonts w:hint="eastAsia" w:ascii="黑体" w:hAnsi="黑体" w:eastAsia="黑体" w:cs="黑体"/>
          <w:b w:val="0"/>
          <w:color w:val="000000"/>
          <w:sz w:val="32"/>
          <w:szCs w:val="32"/>
        </w:rPr>
        <w:t>一、基</w:t>
      </w:r>
      <w:r>
        <w:rPr>
          <w:rStyle w:val="28"/>
          <w:rFonts w:hint="eastAsia" w:ascii="黑体" w:hAnsi="黑体" w:eastAsia="黑体" w:cs="黑体"/>
          <w:b w:val="0"/>
          <w:bCs w:val="0"/>
          <w:sz w:val="32"/>
          <w:szCs w:val="32"/>
        </w:rPr>
        <w:t>本职能及主要工作</w:t>
      </w:r>
      <w:bookmarkEnd w:id="14"/>
      <w:bookmarkEnd w:id="15"/>
      <w:bookmarkStart w:id="16" w:name="_Toc15377198"/>
      <w:bookmarkStart w:id="17" w:name="_Toc15378445"/>
    </w:p>
    <w:p>
      <w:pPr>
        <w:pStyle w:val="3"/>
        <w:pageBreakBefore w:val="0"/>
        <w:widowControl w:val="0"/>
        <w:kinsoku/>
        <w:wordWrap/>
        <w:overflowPunct/>
        <w:topLinePunct w:val="0"/>
        <w:autoSpaceDE/>
        <w:autoSpaceDN/>
        <w:bidi w:val="0"/>
        <w:spacing w:before="0" w:after="0" w:line="578" w:lineRule="exact"/>
        <w:ind w:firstLine="964" w:firstLineChars="3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（一）主要职能。</w:t>
      </w:r>
      <w:bookmarkEnd w:id="16"/>
      <w:bookmarkEnd w:id="17"/>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lang w:val="en-US" w:eastAsia="zh-CN"/>
        </w:rPr>
        <w:t>认真执行国家的各项政策、法令，落实党和国家的教育方针。</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val="en-US" w:eastAsia="zh-CN"/>
        </w:rPr>
        <w:t>执行国家的“教育法”、“未成年人保护法”，落实“教师法”。</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lang w:val="en-US" w:eastAsia="zh-CN"/>
        </w:rPr>
        <w:t>完善政策导向，加强学校管理。</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lang w:val="en-US" w:eastAsia="zh-CN"/>
        </w:rPr>
        <w:t>加强师资培养培训工作，做好学前教育工作。</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w:t>
      </w:r>
      <w:r>
        <w:rPr>
          <w:rFonts w:hint="eastAsia" w:ascii="仿宋" w:hAnsi="仿宋" w:eastAsia="仿宋" w:cs="仿宋"/>
          <w:b w:val="0"/>
          <w:bCs/>
          <w:color w:val="000000"/>
          <w:sz w:val="32"/>
          <w:szCs w:val="32"/>
          <w:lang w:val="en-US" w:eastAsia="zh-CN"/>
        </w:rPr>
        <w:t>狠抓教育教学质量，提高办学效率。</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w:t>
      </w:r>
      <w:r>
        <w:rPr>
          <w:rFonts w:hint="eastAsia" w:ascii="仿宋" w:hAnsi="仿宋" w:eastAsia="仿宋" w:cs="仿宋"/>
          <w:b w:val="0"/>
          <w:bCs/>
          <w:color w:val="000000"/>
          <w:sz w:val="32"/>
          <w:szCs w:val="32"/>
          <w:lang w:val="en-US" w:eastAsia="zh-CN"/>
        </w:rPr>
        <w:t>完成上级主管部门下达的各项任务和指示。</w:t>
      </w:r>
    </w:p>
    <w:p>
      <w:pPr>
        <w:pStyle w:val="5"/>
        <w:pageBreakBefore w:val="0"/>
        <w:widowControl w:val="0"/>
        <w:kinsoku/>
        <w:wordWrap/>
        <w:overflowPunct/>
        <w:topLinePunct w:val="0"/>
        <w:autoSpaceDE/>
        <w:autoSpaceDN/>
        <w:bidi w:val="0"/>
        <w:adjustRightInd w:val="0"/>
        <w:snapToGrid w:val="0"/>
        <w:spacing w:beforeLines="0" w:line="578" w:lineRule="exact"/>
        <w:ind w:firstLine="675" w:firstLineChars="210"/>
        <w:textAlignment w:val="auto"/>
        <w:outlineLvl w:val="2"/>
        <w:rPr>
          <w:rFonts w:hint="eastAsia" w:ascii="楷体" w:hAnsi="楷体" w:eastAsia="楷体" w:cs="楷体"/>
          <w:b/>
          <w:bCs w:val="0"/>
          <w:color w:val="000000"/>
          <w:sz w:val="32"/>
          <w:szCs w:val="32"/>
        </w:rPr>
      </w:pPr>
      <w:bookmarkStart w:id="18" w:name="_Toc15377199"/>
      <w:bookmarkStart w:id="19" w:name="_Toc15378446"/>
      <w:r>
        <w:rPr>
          <w:rFonts w:hint="eastAsia" w:ascii="楷体" w:hAnsi="楷体" w:eastAsia="楷体" w:cs="楷体"/>
          <w:b/>
          <w:bCs w:val="0"/>
          <w:color w:val="000000"/>
          <w:sz w:val="32"/>
          <w:szCs w:val="32"/>
        </w:rPr>
        <w:t>（二）20</w:t>
      </w:r>
      <w:r>
        <w:rPr>
          <w:rFonts w:hint="eastAsia" w:ascii="楷体" w:hAnsi="楷体" w:eastAsia="楷体" w:cs="楷体"/>
          <w:b/>
          <w:bCs w:val="0"/>
          <w:color w:val="000000"/>
          <w:sz w:val="32"/>
          <w:szCs w:val="32"/>
          <w:lang w:val="en-US" w:eastAsia="zh-CN"/>
        </w:rPr>
        <w:t>20</w:t>
      </w:r>
      <w:r>
        <w:rPr>
          <w:rFonts w:hint="eastAsia" w:ascii="楷体" w:hAnsi="楷体" w:eastAsia="楷体" w:cs="楷体"/>
          <w:b/>
          <w:bCs w:val="0"/>
          <w:color w:val="000000"/>
          <w:sz w:val="32"/>
          <w:szCs w:val="32"/>
        </w:rPr>
        <w:t>年重点工作完成情况。</w:t>
      </w:r>
      <w:bookmarkEnd w:id="18"/>
      <w:bookmarkEnd w:id="19"/>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2020年我园紧紧围绕促进区财政局的各项事务安排，狠抓财政增收节支。</w:t>
      </w:r>
    </w:p>
    <w:p>
      <w:pPr>
        <w:pStyle w:val="5"/>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lang w:val="en-US" w:eastAsia="zh-CN"/>
        </w:rPr>
        <w:t>年初做好部门预算。</w:t>
      </w:r>
    </w:p>
    <w:p>
      <w:pPr>
        <w:pStyle w:val="5"/>
        <w:pageBreakBefore w:val="0"/>
        <w:widowControl w:val="0"/>
        <w:numPr>
          <w:ilvl w:val="0"/>
          <w:numId w:val="0"/>
        </w:numPr>
        <w:kinsoku/>
        <w:wordWrap/>
        <w:overflowPunct/>
        <w:topLinePunct w:val="0"/>
        <w:autoSpaceDE/>
        <w:autoSpaceDN/>
        <w:bidi w:val="0"/>
        <w:adjustRightInd w:val="0"/>
        <w:snapToGrid w:val="0"/>
        <w:spacing w:beforeLines="0" w:line="578" w:lineRule="exact"/>
        <w:ind w:firstLine="640" w:firstLineChars="20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val="en-US" w:eastAsia="zh-CN"/>
        </w:rPr>
        <w:t>每月认真完成财务处理，编制会计报表；</w:t>
      </w:r>
    </w:p>
    <w:p>
      <w:pPr>
        <w:pStyle w:val="5"/>
        <w:pageBreakBefore w:val="0"/>
        <w:widowControl w:val="0"/>
        <w:numPr>
          <w:ilvl w:val="0"/>
          <w:numId w:val="0"/>
        </w:numPr>
        <w:kinsoku/>
        <w:wordWrap/>
        <w:overflowPunct/>
        <w:topLinePunct w:val="0"/>
        <w:autoSpaceDE/>
        <w:autoSpaceDN/>
        <w:bidi w:val="0"/>
        <w:adjustRightInd w:val="0"/>
        <w:snapToGrid w:val="0"/>
        <w:spacing w:beforeLines="0" w:line="578" w:lineRule="exact"/>
        <w:ind w:firstLine="640" w:firstLineChars="20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lang w:val="en-US" w:eastAsia="zh-CN"/>
        </w:rPr>
        <w:t>完成了专业设备的购置；</w:t>
      </w:r>
    </w:p>
    <w:p>
      <w:pPr>
        <w:pStyle w:val="5"/>
        <w:pageBreakBefore w:val="0"/>
        <w:widowControl w:val="0"/>
        <w:numPr>
          <w:ilvl w:val="0"/>
          <w:numId w:val="0"/>
        </w:numPr>
        <w:kinsoku/>
        <w:wordWrap/>
        <w:overflowPunct/>
        <w:topLinePunct w:val="0"/>
        <w:autoSpaceDE/>
        <w:autoSpaceDN/>
        <w:bidi w:val="0"/>
        <w:adjustRightInd w:val="0"/>
        <w:snapToGrid w:val="0"/>
        <w:spacing w:beforeLines="0" w:line="578" w:lineRule="exact"/>
        <w:ind w:firstLine="640" w:firstLineChars="20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lang w:val="en-US" w:eastAsia="zh-CN"/>
        </w:rPr>
        <w:t>按时完成报账等情况。</w:t>
      </w:r>
    </w:p>
    <w:p>
      <w:pPr>
        <w:pStyle w:val="5"/>
        <w:pageBreakBefore w:val="0"/>
        <w:widowControl w:val="0"/>
        <w:numPr>
          <w:ilvl w:val="0"/>
          <w:numId w:val="0"/>
        </w:numPr>
        <w:kinsoku/>
        <w:wordWrap/>
        <w:overflowPunct/>
        <w:topLinePunct w:val="0"/>
        <w:autoSpaceDE/>
        <w:autoSpaceDN/>
        <w:bidi w:val="0"/>
        <w:adjustRightInd w:val="0"/>
        <w:snapToGrid w:val="0"/>
        <w:spacing w:beforeLines="0" w:line="578" w:lineRule="exact"/>
        <w:ind w:firstLine="640" w:firstLineChars="200"/>
        <w:textAlignment w:val="auto"/>
        <w:outlineLvl w:val="2"/>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w:t>
      </w:r>
      <w:r>
        <w:rPr>
          <w:rFonts w:hint="eastAsia" w:ascii="仿宋" w:hAnsi="仿宋" w:eastAsia="仿宋" w:cs="仿宋"/>
          <w:b w:val="0"/>
          <w:bCs/>
          <w:color w:val="000000"/>
          <w:sz w:val="32"/>
          <w:szCs w:val="32"/>
          <w:lang w:val="en-US" w:eastAsia="zh-CN"/>
        </w:rPr>
        <w:t>年末做好决算工作和事业年报。</w:t>
      </w:r>
    </w:p>
    <w:p>
      <w:pPr>
        <w:pStyle w:val="3"/>
        <w:pageBreakBefore w:val="0"/>
        <w:widowControl w:val="0"/>
        <w:kinsoku/>
        <w:wordWrap/>
        <w:overflowPunct/>
        <w:topLinePunct w:val="0"/>
        <w:autoSpaceDE/>
        <w:autoSpaceDN/>
        <w:bidi w:val="0"/>
        <w:spacing w:before="0" w:after="0" w:line="578" w:lineRule="exact"/>
        <w:ind w:firstLine="640" w:firstLineChars="200"/>
        <w:textAlignment w:val="auto"/>
        <w:rPr>
          <w:rStyle w:val="28"/>
          <w:rFonts w:hint="eastAsia" w:ascii="黑体" w:hAnsi="黑体" w:eastAsia="黑体" w:cs="黑体"/>
          <w:b w:val="0"/>
          <w:bCs w:val="0"/>
          <w:sz w:val="32"/>
          <w:szCs w:val="32"/>
        </w:rPr>
      </w:pPr>
      <w:bookmarkStart w:id="20" w:name="_Toc15377200"/>
      <w:bookmarkStart w:id="21" w:name="_Toc15396601"/>
      <w:r>
        <w:rPr>
          <w:rFonts w:hint="eastAsia" w:ascii="黑体" w:hAnsi="黑体" w:eastAsia="黑体" w:cs="黑体"/>
          <w:b w:val="0"/>
          <w:color w:val="000000"/>
          <w:sz w:val="32"/>
          <w:szCs w:val="32"/>
        </w:rPr>
        <w:t>二、机</w:t>
      </w:r>
      <w:r>
        <w:rPr>
          <w:rStyle w:val="28"/>
          <w:rFonts w:hint="eastAsia" w:ascii="黑体" w:hAnsi="黑体" w:eastAsia="黑体" w:cs="黑体"/>
          <w:b w:val="0"/>
          <w:bCs w:val="0"/>
          <w:sz w:val="32"/>
          <w:szCs w:val="32"/>
        </w:rPr>
        <w:t>构设置</w:t>
      </w:r>
      <w:bookmarkEnd w:id="20"/>
      <w:bookmarkEnd w:id="21"/>
    </w:p>
    <w:p>
      <w:pPr>
        <w:pStyle w:val="5"/>
        <w:pageBreakBefore w:val="0"/>
        <w:widowControl w:val="0"/>
        <w:numPr>
          <w:ilvl w:val="0"/>
          <w:numId w:val="0"/>
        </w:numPr>
        <w:kinsoku/>
        <w:wordWrap/>
        <w:overflowPunct/>
        <w:topLinePunct w:val="0"/>
        <w:autoSpaceDE/>
        <w:autoSpaceDN/>
        <w:bidi w:val="0"/>
        <w:adjustRightInd w:val="0"/>
        <w:snapToGrid w:val="0"/>
        <w:spacing w:beforeLines="0" w:line="578" w:lineRule="exact"/>
        <w:ind w:left="672" w:leftChars="0"/>
        <w:textAlignment w:val="auto"/>
        <w:outlineLvl w:val="2"/>
        <w:rPr>
          <w:rFonts w:hint="eastAsia" w:ascii="仿宋" w:hAnsi="仿宋" w:eastAsia="仿宋" w:cs="仿宋"/>
          <w:color w:val="000000"/>
          <w:kern w:val="0"/>
          <w:sz w:val="32"/>
          <w:szCs w:val="32"/>
        </w:rPr>
      </w:pPr>
      <w:r>
        <w:rPr>
          <w:rFonts w:hint="eastAsia" w:ascii="仿宋" w:hAnsi="仿宋" w:eastAsia="仿宋" w:cs="仿宋"/>
          <w:sz w:val="32"/>
          <w:szCs w:val="32"/>
          <w:lang w:eastAsia="zh-CN"/>
        </w:rPr>
        <w:t>学校设有办公室、保教处、安全办、后勤处。</w:t>
      </w:r>
    </w:p>
    <w:p>
      <w:pPr>
        <w:pStyle w:val="2"/>
        <w:pageBreakBefore w:val="0"/>
        <w:widowControl w:val="0"/>
        <w:kinsoku/>
        <w:wordWrap/>
        <w:overflowPunct/>
        <w:topLinePunct w:val="0"/>
        <w:autoSpaceDE/>
        <w:autoSpaceDN/>
        <w:bidi w:val="0"/>
        <w:spacing w:before="0" w:after="0" w:line="578" w:lineRule="exact"/>
        <w:ind w:right="440" w:firstLine="320" w:firstLineChars="100"/>
        <w:jc w:val="both"/>
        <w:textAlignment w:val="auto"/>
        <w:rPr>
          <w:rFonts w:hint="eastAsia" w:ascii="仿宋" w:hAnsi="仿宋" w:eastAsia="仿宋" w:cs="仿宋"/>
          <w:b w:val="0"/>
          <w:color w:val="000000"/>
          <w:sz w:val="32"/>
          <w:szCs w:val="32"/>
        </w:rPr>
      </w:pPr>
      <w:bookmarkStart w:id="22" w:name="_Toc15377204"/>
      <w:bookmarkStart w:id="23" w:name="_Toc15396602"/>
    </w:p>
    <w:p>
      <w:pPr>
        <w:pStyle w:val="2"/>
        <w:pageBreakBefore w:val="0"/>
        <w:kinsoku/>
        <w:wordWrap/>
        <w:overflowPunct/>
        <w:topLinePunct w:val="0"/>
        <w:bidi w:val="0"/>
        <w:spacing w:before="0" w:after="0" w:line="578" w:lineRule="exact"/>
        <w:ind w:right="440"/>
        <w:jc w:val="both"/>
        <w:rPr>
          <w:rFonts w:hint="eastAsia" w:ascii="仿宋" w:hAnsi="仿宋" w:eastAsia="仿宋" w:cs="仿宋"/>
          <w:b w:val="0"/>
          <w:color w:val="000000"/>
          <w:sz w:val="32"/>
          <w:szCs w:val="32"/>
        </w:rPr>
      </w:pPr>
    </w:p>
    <w:p>
      <w:pPr>
        <w:pageBreakBefore w:val="0"/>
        <w:kinsoku/>
        <w:wordWrap/>
        <w:overflowPunct/>
        <w:topLinePunct w:val="0"/>
        <w:bidi w:val="0"/>
        <w:spacing w:line="578" w:lineRule="exact"/>
        <w:rPr>
          <w:rFonts w:hint="eastAsia" w:ascii="仿宋" w:hAnsi="仿宋" w:eastAsia="仿宋" w:cs="仿宋"/>
          <w:sz w:val="32"/>
          <w:szCs w:val="32"/>
        </w:rPr>
      </w:pPr>
    </w:p>
    <w:p>
      <w:pPr>
        <w:pStyle w:val="2"/>
        <w:pageBreakBefore w:val="0"/>
        <w:kinsoku/>
        <w:wordWrap/>
        <w:overflowPunct/>
        <w:topLinePunct w:val="0"/>
        <w:bidi w:val="0"/>
        <w:spacing w:before="0" w:after="0" w:line="578" w:lineRule="exact"/>
        <w:ind w:right="440" w:firstLine="440" w:firstLineChars="1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color w:val="000000"/>
          <w:sz w:val="44"/>
          <w:szCs w:val="44"/>
        </w:rPr>
        <w:t>第二部分</w:t>
      </w:r>
      <w:r>
        <w:rPr>
          <w:rFonts w:hint="eastAsia" w:ascii="方正小标宋简体" w:hAnsi="方正小标宋简体" w:eastAsia="方正小标宋简体" w:cs="方正小标宋简体"/>
          <w:color w:val="000000"/>
          <w:sz w:val="44"/>
          <w:szCs w:val="44"/>
        </w:rPr>
        <w:t xml:space="preserve"> </w:t>
      </w:r>
      <w:r>
        <w:rPr>
          <w:rStyle w:val="27"/>
          <w:rFonts w:hint="eastAsia" w:ascii="方正小标宋简体" w:hAnsi="方正小标宋简体" w:eastAsia="方正小标宋简体" w:cs="方正小标宋简体"/>
          <w:b w:val="0"/>
          <w:bCs w:val="0"/>
          <w:sz w:val="44"/>
          <w:szCs w:val="44"/>
        </w:rPr>
        <w:t>20</w:t>
      </w:r>
      <w:r>
        <w:rPr>
          <w:rStyle w:val="27"/>
          <w:rFonts w:hint="eastAsia" w:ascii="方正小标宋简体" w:hAnsi="方正小标宋简体" w:eastAsia="方正小标宋简体" w:cs="方正小标宋简体"/>
          <w:b w:val="0"/>
          <w:bCs w:val="0"/>
          <w:sz w:val="44"/>
          <w:szCs w:val="44"/>
          <w:lang w:val="en-US" w:eastAsia="zh-CN"/>
        </w:rPr>
        <w:t>20</w:t>
      </w:r>
      <w:r>
        <w:rPr>
          <w:rStyle w:val="27"/>
          <w:rFonts w:hint="eastAsia" w:ascii="方正小标宋简体" w:hAnsi="方正小标宋简体" w:eastAsia="方正小标宋简体" w:cs="方正小标宋简体"/>
          <w:b w:val="0"/>
          <w:bCs w:val="0"/>
          <w:sz w:val="44"/>
          <w:szCs w:val="44"/>
        </w:rPr>
        <w:t>年度部门决算情况说明</w:t>
      </w:r>
      <w:bookmarkEnd w:id="22"/>
      <w:bookmarkEnd w:id="23"/>
    </w:p>
    <w:p>
      <w:pPr>
        <w:pStyle w:val="26"/>
        <w:pageBreakBefore w:val="0"/>
        <w:numPr>
          <w:ilvl w:val="0"/>
          <w:numId w:val="1"/>
        </w:numPr>
        <w:kinsoku/>
        <w:wordWrap/>
        <w:overflowPunct/>
        <w:topLinePunct w:val="0"/>
        <w:bidi w:val="0"/>
        <w:spacing w:line="578" w:lineRule="exact"/>
        <w:ind w:firstLineChars="0"/>
        <w:outlineLvl w:val="1"/>
        <w:rPr>
          <w:rStyle w:val="28"/>
          <w:rFonts w:hint="eastAsia" w:ascii="黑体" w:hAnsi="黑体" w:eastAsia="黑体" w:cs="黑体"/>
          <w:b w:val="0"/>
          <w:sz w:val="32"/>
          <w:szCs w:val="32"/>
        </w:rPr>
      </w:pPr>
      <w:bookmarkStart w:id="24" w:name="_Toc15377205"/>
      <w:bookmarkStart w:id="25" w:name="_Toc15396603"/>
      <w:r>
        <w:rPr>
          <w:rFonts w:hint="eastAsia" w:ascii="黑体" w:hAnsi="黑体" w:eastAsia="黑体" w:cs="黑体"/>
          <w:color w:val="000000"/>
          <w:sz w:val="32"/>
          <w:szCs w:val="32"/>
        </w:rPr>
        <w:t>收</w:t>
      </w:r>
      <w:r>
        <w:rPr>
          <w:rStyle w:val="28"/>
          <w:rFonts w:hint="eastAsia" w:ascii="黑体" w:hAnsi="黑体" w:eastAsia="黑体" w:cs="黑体"/>
          <w:b w:val="0"/>
          <w:sz w:val="32"/>
          <w:szCs w:val="32"/>
        </w:rPr>
        <w:t>入支出决算总体情况说明</w:t>
      </w:r>
      <w:bookmarkEnd w:id="24"/>
      <w:bookmarkEnd w:id="25"/>
    </w:p>
    <w:p>
      <w:pPr>
        <w:pageBreakBefore w:val="0"/>
        <w:kinsoku/>
        <w:wordWrap/>
        <w:overflowPunct/>
        <w:topLinePunct w:val="0"/>
        <w:bidi w:val="0"/>
        <w:spacing w:line="578"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年度收</w:t>
      </w:r>
      <w:r>
        <w:rPr>
          <w:rFonts w:hint="eastAsia" w:ascii="仿宋" w:hAnsi="仿宋" w:eastAsia="仿宋" w:cs="仿宋"/>
          <w:color w:val="000000"/>
          <w:sz w:val="32"/>
          <w:szCs w:val="32"/>
          <w:lang w:eastAsia="zh-CN"/>
        </w:rPr>
        <w:t>入总计</w:t>
      </w:r>
      <w:r>
        <w:rPr>
          <w:rFonts w:hint="eastAsia" w:ascii="仿宋" w:hAnsi="仿宋" w:eastAsia="仿宋" w:cs="仿宋"/>
          <w:color w:val="000000"/>
          <w:sz w:val="32"/>
          <w:szCs w:val="32"/>
          <w:lang w:val="en-US" w:eastAsia="zh-CN"/>
        </w:rPr>
        <w:t>144.16万元,</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总计</w:t>
      </w:r>
      <w:r>
        <w:rPr>
          <w:rFonts w:hint="eastAsia" w:ascii="仿宋" w:hAnsi="仿宋" w:eastAsia="仿宋" w:cs="仿宋"/>
          <w:color w:val="000000"/>
          <w:sz w:val="32"/>
          <w:szCs w:val="32"/>
          <w:lang w:val="en-US" w:eastAsia="zh-CN"/>
        </w:rPr>
        <w:t>202.21</w:t>
      </w:r>
      <w:r>
        <w:rPr>
          <w:rFonts w:hint="eastAsia" w:ascii="仿宋" w:hAnsi="仿宋" w:eastAsia="仿宋" w:cs="仿宋"/>
          <w:color w:val="000000"/>
          <w:sz w:val="32"/>
          <w:szCs w:val="32"/>
        </w:rPr>
        <w:t>万元。与20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年相比，收</w:t>
      </w:r>
      <w:r>
        <w:rPr>
          <w:rFonts w:hint="eastAsia" w:ascii="仿宋" w:hAnsi="仿宋" w:eastAsia="仿宋" w:cs="仿宋"/>
          <w:color w:val="000000"/>
          <w:sz w:val="32"/>
          <w:szCs w:val="32"/>
          <w:lang w:eastAsia="zh-CN"/>
        </w:rPr>
        <w:t>入</w:t>
      </w:r>
      <w:r>
        <w:rPr>
          <w:rFonts w:hint="eastAsia" w:ascii="仿宋" w:hAnsi="仿宋" w:eastAsia="仿宋" w:cs="仿宋"/>
          <w:color w:val="000000"/>
          <w:sz w:val="32"/>
          <w:szCs w:val="32"/>
        </w:rPr>
        <w:t>总计</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29.78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，增长</w:t>
      </w:r>
      <w:r>
        <w:rPr>
          <w:rFonts w:hint="eastAsia" w:ascii="仿宋" w:hAnsi="仿宋" w:eastAsia="仿宋" w:cs="仿宋"/>
          <w:color w:val="000000"/>
          <w:sz w:val="32"/>
          <w:szCs w:val="32"/>
          <w:lang w:val="en-US" w:eastAsia="zh-CN"/>
        </w:rPr>
        <w:t>26.03%；</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总计</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102.53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33.64</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val="en-US" w:eastAsia="zh-CN"/>
        </w:rPr>
        <w:t>2019年支付了工程维修款和设备采购。</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（图1：收、支决算总计变动情况图）（柱状图）</w:t>
      </w:r>
    </w:p>
    <w:p>
      <w:pPr>
        <w:pageBreakBefore w:val="0"/>
        <w:kinsoku/>
        <w:wordWrap/>
        <w:overflowPunct/>
        <w:topLinePunct w:val="0"/>
        <w:bidi w:val="0"/>
        <w:spacing w:line="578" w:lineRule="exact"/>
        <w:jc w:val="left"/>
        <w:rPr>
          <w:rStyle w:val="28"/>
          <w:rFonts w:hint="eastAsia" w:ascii="仿宋" w:hAnsi="仿宋" w:eastAsia="仿宋" w:cs="仿宋"/>
          <w:b w:val="0"/>
          <w:sz w:val="32"/>
          <w:szCs w:val="32"/>
        </w:rPr>
      </w:pPr>
      <w:r>
        <w:rPr>
          <w:rFonts w:hint="eastAsia" w:ascii="仿宋" w:hAnsi="仿宋" w:eastAsia="仿宋" w:cs="仿宋"/>
          <w:color w:val="000000"/>
          <w:sz w:val="32"/>
          <w:szCs w:val="32"/>
          <w:lang w:val="en-US" w:eastAsia="zh-CN"/>
        </w:rPr>
        <w:drawing>
          <wp:anchor distT="0" distB="0" distL="114300" distR="114300" simplePos="0" relativeHeight="251660288" behindDoc="0" locked="0" layoutInCell="1" allowOverlap="1">
            <wp:simplePos x="0" y="0"/>
            <wp:positionH relativeFrom="column">
              <wp:posOffset>99695</wp:posOffset>
            </wp:positionH>
            <wp:positionV relativeFrom="paragraph">
              <wp:posOffset>130175</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s="仿宋"/>
          <w:color w:val="000000"/>
          <w:sz w:val="32"/>
          <w:szCs w:val="32"/>
          <w:lang w:val="en-US" w:eastAsia="zh-CN"/>
        </w:rPr>
        <w:t xml:space="preserve">   </w:t>
      </w:r>
      <w:r>
        <w:rPr>
          <w:rFonts w:hint="eastAsia" w:ascii="黑体" w:hAnsi="黑体" w:eastAsia="黑体" w:cs="黑体"/>
          <w:color w:val="000000"/>
          <w:sz w:val="32"/>
          <w:szCs w:val="32"/>
          <w:lang w:val="en-US" w:eastAsia="zh-CN"/>
        </w:rPr>
        <w:t xml:space="preserve"> </w:t>
      </w:r>
      <w:bookmarkStart w:id="26" w:name="_Toc15377206"/>
      <w:bookmarkStart w:id="27" w:name="_Toc15396604"/>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收</w:t>
      </w:r>
      <w:r>
        <w:rPr>
          <w:rStyle w:val="28"/>
          <w:rFonts w:hint="eastAsia" w:ascii="黑体" w:hAnsi="黑体" w:eastAsia="黑体" w:cs="黑体"/>
          <w:b w:val="0"/>
          <w:sz w:val="32"/>
          <w:szCs w:val="32"/>
        </w:rPr>
        <w:t>入决算情况说明</w:t>
      </w:r>
      <w:bookmarkEnd w:id="26"/>
      <w:bookmarkEnd w:id="27"/>
    </w:p>
    <w:p>
      <w:pPr>
        <w:pageBreakBefore w:val="0"/>
        <w:kinsoku/>
        <w:wordWrap/>
        <w:overflowPunct/>
        <w:topLinePunct w:val="0"/>
        <w:bidi w:val="0"/>
        <w:spacing w:line="578"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年本年收入合计</w:t>
      </w:r>
      <w:r>
        <w:rPr>
          <w:rFonts w:hint="eastAsia" w:ascii="仿宋" w:hAnsi="仿宋" w:eastAsia="仿宋" w:cs="仿宋"/>
          <w:color w:val="000000"/>
          <w:sz w:val="32"/>
          <w:szCs w:val="32"/>
          <w:lang w:val="en-US" w:eastAsia="zh-CN"/>
        </w:rPr>
        <w:t>144.16</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93.01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64.52</w:t>
      </w:r>
      <w:r>
        <w:rPr>
          <w:rFonts w:hint="eastAsia" w:ascii="仿宋" w:hAnsi="仿宋" w:eastAsia="仿宋" w:cs="仿宋"/>
          <w:color w:val="000000"/>
          <w:sz w:val="32"/>
          <w:szCs w:val="32"/>
        </w:rPr>
        <w:t>%</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；国有资本经营预算财政拨款收入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；事业收入</w:t>
      </w:r>
      <w:r>
        <w:rPr>
          <w:rFonts w:hint="eastAsia" w:ascii="仿宋" w:hAnsi="仿宋" w:eastAsia="仿宋" w:cs="仿宋"/>
          <w:color w:val="000000"/>
          <w:sz w:val="32"/>
          <w:szCs w:val="32"/>
          <w:lang w:val="en-US" w:eastAsia="zh-CN"/>
        </w:rPr>
        <w:t>51.15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35.48</w:t>
      </w:r>
      <w:r>
        <w:rPr>
          <w:rFonts w:hint="eastAsia" w:ascii="仿宋" w:hAnsi="仿宋" w:eastAsia="仿宋" w:cs="仿宋"/>
          <w:color w:val="000000"/>
          <w:sz w:val="32"/>
          <w:szCs w:val="32"/>
        </w:rPr>
        <w:t>%</w:t>
      </w:r>
      <w:r>
        <w:rPr>
          <w:rFonts w:hint="eastAsia" w:ascii="仿宋" w:hAnsi="仿宋" w:eastAsia="仿宋" w:cs="仿宋"/>
          <w:color w:val="000000"/>
          <w:sz w:val="32"/>
          <w:szCs w:val="32"/>
        </w:rPr>
        <w:t>；经营收入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；附属单位上缴收入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；其他收入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（图2：收入决算结构图）（饼状图）</w:t>
      </w:r>
    </w:p>
    <w:p>
      <w:pPr>
        <w:pageBreakBefore w:val="0"/>
        <w:kinsoku/>
        <w:wordWrap/>
        <w:overflowPunct/>
        <w:topLinePunct w:val="0"/>
        <w:bidi w:val="0"/>
        <w:spacing w:line="578" w:lineRule="exact"/>
        <w:ind w:firstLine="640" w:firstLineChars="200"/>
        <w:rPr>
          <w:rFonts w:hint="eastAsia" w:ascii="黑体" w:hAnsi="黑体" w:eastAsia="黑体" w:cs="黑体"/>
          <w:color w:val="000000"/>
          <w:sz w:val="32"/>
          <w:szCs w:val="32"/>
          <w:shd w:val="pct10" w:color="auto" w:fill="FFFFFF"/>
        </w:rPr>
      </w:pPr>
      <w:r>
        <w:rPr>
          <w:rFonts w:hint="eastAsia" w:ascii="黑体" w:hAnsi="黑体" w:eastAsia="黑体" w:cs="黑体"/>
          <w:color w:val="auto"/>
          <w:sz w:val="32"/>
          <w:szCs w:val="32"/>
          <w:lang w:eastAsia="zh-CN"/>
        </w:rPr>
        <w:drawing>
          <wp:anchor distT="0" distB="0" distL="114300" distR="114300" simplePos="0" relativeHeight="251661312" behindDoc="0" locked="0" layoutInCell="1" allowOverlap="1">
            <wp:simplePos x="0" y="0"/>
            <wp:positionH relativeFrom="column">
              <wp:posOffset>-33655</wp:posOffset>
            </wp:positionH>
            <wp:positionV relativeFrom="paragraph">
              <wp:posOffset>153035</wp:posOffset>
            </wp:positionV>
            <wp:extent cx="4997450" cy="3298825"/>
            <wp:effectExtent l="4445" t="4445" r="8255" b="685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8" w:name="_Toc15377207"/>
      <w:bookmarkStart w:id="29" w:name="_Toc15396605"/>
      <w:r>
        <w:rPr>
          <w:rFonts w:hint="eastAsia" w:ascii="黑体" w:hAnsi="黑体" w:eastAsia="黑体" w:cs="黑体"/>
          <w:color w:val="auto"/>
          <w:sz w:val="32"/>
          <w:szCs w:val="32"/>
          <w:lang w:eastAsia="zh-CN"/>
        </w:rPr>
        <w:t>三、</w:t>
      </w:r>
      <w:r>
        <w:rPr>
          <w:rFonts w:hint="eastAsia" w:ascii="黑体" w:hAnsi="黑体" w:eastAsia="黑体" w:cs="黑体"/>
          <w:color w:val="000000"/>
          <w:sz w:val="32"/>
          <w:szCs w:val="32"/>
        </w:rPr>
        <w:t>支</w:t>
      </w:r>
      <w:r>
        <w:rPr>
          <w:rStyle w:val="28"/>
          <w:rFonts w:hint="eastAsia" w:ascii="黑体" w:hAnsi="黑体" w:eastAsia="黑体" w:cs="黑体"/>
          <w:b w:val="0"/>
          <w:sz w:val="32"/>
          <w:szCs w:val="32"/>
        </w:rPr>
        <w:t>出决算情况说明</w:t>
      </w:r>
      <w:bookmarkEnd w:id="28"/>
      <w:bookmarkEnd w:id="29"/>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年本年支出合计</w:t>
      </w:r>
      <w:r>
        <w:rPr>
          <w:rFonts w:hint="eastAsia" w:ascii="仿宋" w:hAnsi="仿宋" w:eastAsia="仿宋" w:cs="仿宋"/>
          <w:color w:val="000000"/>
          <w:sz w:val="32"/>
          <w:szCs w:val="32"/>
          <w:lang w:val="en-US" w:eastAsia="zh-CN"/>
        </w:rPr>
        <w:t>202.21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127.27</w:t>
      </w:r>
      <w:r>
        <w:rPr>
          <w:rFonts w:hint="eastAsia" w:ascii="仿宋" w:hAnsi="仿宋" w:eastAsia="仿宋" w:cs="仿宋"/>
          <w:sz w:val="32"/>
          <w:szCs w:val="32"/>
        </w:rPr>
        <w:t>万元，占</w:t>
      </w:r>
      <w:r>
        <w:rPr>
          <w:rFonts w:hint="eastAsia" w:ascii="仿宋" w:hAnsi="仿宋" w:eastAsia="仿宋" w:cs="仿宋"/>
          <w:sz w:val="32"/>
          <w:szCs w:val="32"/>
          <w:lang w:val="en-US" w:eastAsia="zh-CN"/>
        </w:rPr>
        <w:t>62.93</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74.94</w:t>
      </w:r>
      <w:r>
        <w:rPr>
          <w:rFonts w:hint="eastAsia" w:ascii="仿宋" w:hAnsi="仿宋" w:eastAsia="仿宋" w:cs="仿宋"/>
          <w:sz w:val="32"/>
          <w:szCs w:val="32"/>
        </w:rPr>
        <w:t>万元，占</w:t>
      </w:r>
      <w:r>
        <w:rPr>
          <w:rFonts w:hint="eastAsia" w:ascii="仿宋" w:hAnsi="仿宋" w:eastAsia="仿宋" w:cs="仿宋"/>
          <w:sz w:val="32"/>
          <w:szCs w:val="32"/>
          <w:lang w:val="en-US" w:eastAsia="zh-CN"/>
        </w:rPr>
        <w:t>37.07</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（图3：支出决算结构图）（饼状图）</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bidi w:val="0"/>
        <w:spacing w:line="578" w:lineRule="exact"/>
        <w:ind w:firstLine="640" w:firstLineChars="200"/>
        <w:rPr>
          <w:rStyle w:val="28"/>
          <w:rFonts w:hint="eastAsia" w:ascii="黑体" w:hAnsi="黑体" w:eastAsia="黑体" w:cs="黑体"/>
          <w:b w:val="0"/>
          <w:sz w:val="32"/>
          <w:szCs w:val="32"/>
        </w:rPr>
      </w:pPr>
      <w:bookmarkStart w:id="30" w:name="_Toc15396606"/>
      <w:bookmarkStart w:id="31" w:name="_Toc15377208"/>
      <w:r>
        <w:rPr>
          <w:rFonts w:hint="eastAsia" w:ascii="黑体" w:hAnsi="黑体" w:eastAsia="黑体" w:cs="黑体"/>
          <w:color w:val="FF0000"/>
          <w:sz w:val="32"/>
          <w:szCs w:val="32"/>
          <w:lang w:eastAsia="zh-CN"/>
        </w:rPr>
        <w:drawing>
          <wp:anchor distT="0" distB="0" distL="114300" distR="114300" simplePos="0" relativeHeight="251662336" behindDoc="0" locked="0" layoutInCell="1" allowOverlap="1">
            <wp:simplePos x="0" y="0"/>
            <wp:positionH relativeFrom="column">
              <wp:posOffset>266065</wp:posOffset>
            </wp:positionH>
            <wp:positionV relativeFrom="paragraph">
              <wp:posOffset>176530</wp:posOffset>
            </wp:positionV>
            <wp:extent cx="4712335" cy="2822575"/>
            <wp:effectExtent l="4445" t="4445" r="7620" b="6858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s="黑体"/>
          <w:color w:val="000000"/>
          <w:sz w:val="32"/>
          <w:szCs w:val="32"/>
        </w:rPr>
        <w:t>四、财</w:t>
      </w:r>
      <w:r>
        <w:rPr>
          <w:rStyle w:val="28"/>
          <w:rFonts w:hint="eastAsia" w:ascii="黑体" w:hAnsi="黑体" w:eastAsia="黑体" w:cs="黑体"/>
          <w:b w:val="0"/>
          <w:sz w:val="32"/>
          <w:szCs w:val="32"/>
        </w:rPr>
        <w:t>政拨款收入支出决算总体情况说明</w:t>
      </w:r>
      <w:bookmarkEnd w:id="30"/>
      <w:bookmarkEnd w:id="31"/>
    </w:p>
    <w:p>
      <w:pPr>
        <w:pageBreakBefore w:val="0"/>
        <w:kinsoku/>
        <w:wordWrap/>
        <w:overflowPunct/>
        <w:topLinePunct w:val="0"/>
        <w:bidi w:val="0"/>
        <w:spacing w:line="578" w:lineRule="exact"/>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财政拨款</w:t>
      </w:r>
      <w:r>
        <w:rPr>
          <w:rFonts w:hint="eastAsia" w:ascii="仿宋" w:hAnsi="仿宋" w:eastAsia="仿宋" w:cs="仿宋"/>
          <w:color w:val="000000"/>
          <w:sz w:val="32"/>
          <w:szCs w:val="32"/>
        </w:rPr>
        <w:t>收</w:t>
      </w:r>
      <w:r>
        <w:rPr>
          <w:rFonts w:hint="eastAsia" w:ascii="仿宋" w:hAnsi="仿宋" w:eastAsia="仿宋" w:cs="仿宋"/>
          <w:color w:val="000000"/>
          <w:sz w:val="32"/>
          <w:szCs w:val="32"/>
          <w:lang w:eastAsia="zh-CN"/>
        </w:rPr>
        <w:t>入总计</w:t>
      </w:r>
      <w:r>
        <w:rPr>
          <w:rFonts w:hint="eastAsia" w:ascii="仿宋" w:hAnsi="仿宋" w:eastAsia="仿宋" w:cs="仿宋"/>
          <w:color w:val="000000"/>
          <w:sz w:val="32"/>
          <w:szCs w:val="32"/>
          <w:lang w:val="en-US" w:eastAsia="zh-CN"/>
        </w:rPr>
        <w:t>93.01万元,</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总计</w:t>
      </w:r>
      <w:r>
        <w:rPr>
          <w:rFonts w:hint="eastAsia" w:ascii="仿宋" w:hAnsi="仿宋" w:eastAsia="仿宋" w:cs="仿宋"/>
          <w:color w:val="000000"/>
          <w:sz w:val="32"/>
          <w:szCs w:val="32"/>
          <w:lang w:val="en-US" w:eastAsia="zh-CN"/>
        </w:rPr>
        <w:t>159.26</w:t>
      </w:r>
      <w:r>
        <w:rPr>
          <w:rFonts w:hint="eastAsia" w:ascii="仿宋" w:hAnsi="仿宋" w:eastAsia="仿宋" w:cs="仿宋"/>
          <w:color w:val="000000"/>
          <w:sz w:val="32"/>
          <w:szCs w:val="32"/>
        </w:rPr>
        <w:t>万元。与</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年相比，财政拨款收</w:t>
      </w:r>
      <w:r>
        <w:rPr>
          <w:rFonts w:hint="eastAsia" w:ascii="仿宋" w:hAnsi="仿宋" w:eastAsia="仿宋" w:cs="仿宋"/>
          <w:color w:val="000000"/>
          <w:sz w:val="32"/>
          <w:szCs w:val="32"/>
          <w:lang w:eastAsia="zh-CN"/>
        </w:rPr>
        <w:t>入增加</w:t>
      </w:r>
      <w:r>
        <w:rPr>
          <w:rFonts w:hint="eastAsia" w:ascii="仿宋" w:hAnsi="仿宋" w:eastAsia="仿宋" w:cs="仿宋"/>
          <w:color w:val="000000"/>
          <w:sz w:val="32"/>
          <w:szCs w:val="32"/>
          <w:lang w:val="en-US" w:eastAsia="zh-CN"/>
        </w:rPr>
        <w:t>25.22增长37.2%；</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总计</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98.89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38.3</w:t>
      </w:r>
      <w:r>
        <w:rPr>
          <w:rFonts w:hint="eastAsia"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收入增加</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val="en-US" w:eastAsia="zh-CN"/>
        </w:rPr>
        <w:t>2020年财政收入增加和保教费收费调价。支出减少主要变动原因是2019年有项目支出。</w:t>
      </w:r>
    </w:p>
    <w:p>
      <w:pPr>
        <w:pageBreakBefore w:val="0"/>
        <w:kinsoku/>
        <w:wordWrap/>
        <w:overflowPunct/>
        <w:topLinePunct w:val="0"/>
        <w:bidi w:val="0"/>
        <w:spacing w:line="578" w:lineRule="exact"/>
        <w:ind w:firstLine="64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sz w:val="32"/>
          <w:szCs w:val="32"/>
          <w:lang w:val="en-US" w:eastAsia="zh-CN"/>
        </w:rPr>
        <w:drawing>
          <wp:anchor distT="0" distB="0" distL="114300" distR="114300" simplePos="0" relativeHeight="251663360" behindDoc="0" locked="0" layoutInCell="1" allowOverlap="1">
            <wp:simplePos x="0" y="0"/>
            <wp:positionH relativeFrom="column">
              <wp:posOffset>635000</wp:posOffset>
            </wp:positionH>
            <wp:positionV relativeFrom="paragraph">
              <wp:posOffset>708660</wp:posOffset>
            </wp:positionV>
            <wp:extent cx="4387215" cy="2475865"/>
            <wp:effectExtent l="4445" t="5080" r="8890" b="1460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color w:val="000000" w:themeColor="text1"/>
          <w:sz w:val="32"/>
          <w:szCs w:val="32"/>
          <w14:textFill>
            <w14:solidFill>
              <w14:schemeClr w14:val="tx1"/>
            </w14:solidFill>
          </w14:textFill>
        </w:rPr>
        <w:t>（图4：财政拨款收、支决算总计变动情况）（柱状图）</w:t>
      </w:r>
    </w:p>
    <w:p>
      <w:pPr>
        <w:pageBreakBefore w:val="0"/>
        <w:kinsoku/>
        <w:wordWrap/>
        <w:overflowPunct/>
        <w:topLinePunct w:val="0"/>
        <w:bidi w:val="0"/>
        <w:spacing w:line="578" w:lineRule="exact"/>
        <w:rPr>
          <w:rFonts w:hint="eastAsia" w:ascii="仿宋" w:hAnsi="仿宋" w:eastAsia="仿宋" w:cs="仿宋"/>
          <w:b w:val="0"/>
          <w:bCs/>
          <w:color w:val="000000"/>
          <w:sz w:val="32"/>
          <w:szCs w:val="32"/>
        </w:rPr>
      </w:pPr>
      <w:r>
        <w:rPr>
          <w:rFonts w:hint="eastAsia" w:ascii="仿宋" w:hAnsi="仿宋" w:eastAsia="仿宋" w:cs="仿宋"/>
          <w:b w:val="0"/>
          <w:bCs/>
          <w:color w:val="000000" w:themeColor="text1"/>
          <w:sz w:val="32"/>
          <w:szCs w:val="32"/>
          <w14:textFill>
            <w14:solidFill>
              <w14:schemeClr w14:val="tx1"/>
            </w14:solidFill>
          </w14:textFill>
        </w:rPr>
        <w:t>（除国有资本经营预算外，数据来源于财决</w:t>
      </w:r>
      <w:r>
        <w:rPr>
          <w:rFonts w:hint="eastAsia" w:ascii="仿宋" w:hAnsi="仿宋" w:eastAsia="仿宋" w:cs="仿宋"/>
          <w:b w:val="0"/>
          <w:bCs/>
          <w:color w:val="000000" w:themeColor="text1"/>
          <w:sz w:val="32"/>
          <w:szCs w:val="32"/>
          <w14:textFill>
            <w14:solidFill>
              <w14:schemeClr w14:val="tx1"/>
            </w14:solidFill>
          </w14:textFill>
        </w:rPr>
        <w:t>Z01-1</w:t>
      </w:r>
      <w:r>
        <w:rPr>
          <w:rFonts w:hint="eastAsia" w:ascii="仿宋" w:hAnsi="仿宋" w:eastAsia="仿宋" w:cs="仿宋"/>
          <w:b w:val="0"/>
          <w:bCs/>
          <w:color w:val="000000" w:themeColor="text1"/>
          <w:sz w:val="32"/>
          <w:szCs w:val="32"/>
          <w14:textFill>
            <w14:solidFill>
              <w14:schemeClr w14:val="tx1"/>
            </w14:solidFill>
          </w14:textFill>
        </w:rPr>
        <w:t>表，口径为“总计”数+国有资本经营预算。）</w:t>
      </w:r>
      <w:bookmarkStart w:id="32" w:name="_Toc15377209"/>
      <w:bookmarkStart w:id="33" w:name="_Toc15396607"/>
    </w:p>
    <w:p>
      <w:pPr>
        <w:pageBreakBefore w:val="0"/>
        <w:kinsoku/>
        <w:wordWrap/>
        <w:overflowPunct/>
        <w:topLinePunct w:val="0"/>
        <w:bidi w:val="0"/>
        <w:spacing w:line="578" w:lineRule="exact"/>
        <w:ind w:firstLine="640" w:firstLineChars="200"/>
        <w:outlineLvl w:val="1"/>
        <w:rPr>
          <w:rStyle w:val="28"/>
          <w:rFonts w:hint="eastAsia" w:ascii="黑体" w:hAnsi="黑体" w:eastAsia="黑体" w:cs="黑体"/>
          <w:b w:val="0"/>
          <w:sz w:val="32"/>
          <w:szCs w:val="32"/>
        </w:rPr>
      </w:pPr>
      <w:r>
        <w:rPr>
          <w:rFonts w:hint="eastAsia" w:ascii="黑体" w:hAnsi="黑体" w:eastAsia="黑体" w:cs="黑体"/>
          <w:color w:val="000000"/>
          <w:sz w:val="32"/>
          <w:szCs w:val="32"/>
        </w:rPr>
        <w:t>五、</w:t>
      </w:r>
      <w:r>
        <w:rPr>
          <w:rFonts w:hint="eastAsia" w:ascii="黑体" w:hAnsi="黑体" w:eastAsia="黑体" w:cs="黑体"/>
          <w:b/>
          <w:color w:val="000000"/>
          <w:sz w:val="32"/>
          <w:szCs w:val="32"/>
        </w:rPr>
        <w:t>一</w:t>
      </w:r>
      <w:r>
        <w:rPr>
          <w:rStyle w:val="28"/>
          <w:rFonts w:hint="eastAsia" w:ascii="黑体" w:hAnsi="黑体" w:eastAsia="黑体" w:cs="黑体"/>
          <w:b w:val="0"/>
          <w:sz w:val="32"/>
          <w:szCs w:val="32"/>
        </w:rPr>
        <w:t>般公共预算财政拨款支出决算情况说明</w:t>
      </w:r>
      <w:bookmarkEnd w:id="32"/>
      <w:bookmarkEnd w:id="33"/>
    </w:p>
    <w:p>
      <w:pPr>
        <w:pageBreakBefore w:val="0"/>
        <w:kinsoku/>
        <w:wordWrap/>
        <w:overflowPunct/>
        <w:topLinePunct w:val="0"/>
        <w:bidi w:val="0"/>
        <w:spacing w:line="578" w:lineRule="exact"/>
        <w:ind w:firstLine="643" w:firstLineChars="200"/>
        <w:outlineLvl w:val="2"/>
        <w:rPr>
          <w:rFonts w:hint="eastAsia" w:ascii="仿宋" w:hAnsi="仿宋" w:eastAsia="仿宋" w:cs="仿宋"/>
          <w:b w:val="0"/>
          <w:bCs/>
          <w:color w:val="000000"/>
          <w:sz w:val="32"/>
          <w:szCs w:val="32"/>
        </w:rPr>
      </w:pPr>
      <w:bookmarkStart w:id="34" w:name="_Toc15377210"/>
      <w:r>
        <w:rPr>
          <w:rFonts w:hint="eastAsia" w:ascii="楷体" w:hAnsi="楷体" w:eastAsia="楷体" w:cs="楷体"/>
          <w:b/>
          <w:bCs w:val="0"/>
          <w:color w:val="000000"/>
          <w:sz w:val="32"/>
          <w:szCs w:val="32"/>
        </w:rPr>
        <w:t>（一）一般公共预算财政拨款支出决算总体情况</w:t>
      </w:r>
      <w:bookmarkEnd w:id="34"/>
    </w:p>
    <w:p>
      <w:pPr>
        <w:pageBreakBefore w:val="0"/>
        <w:kinsoku/>
        <w:wordWrap/>
        <w:overflowPunct/>
        <w:topLinePunct w:val="0"/>
        <w:bidi w:val="0"/>
        <w:spacing w:line="578" w:lineRule="exact"/>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159.26</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78.75</w:t>
      </w:r>
      <w:r>
        <w:rPr>
          <w:rFonts w:hint="eastAsia" w:ascii="仿宋" w:hAnsi="仿宋" w:eastAsia="仿宋" w:cs="仿宋"/>
          <w:color w:val="000000"/>
          <w:sz w:val="32"/>
          <w:szCs w:val="32"/>
        </w:rPr>
        <w:t>%</w:t>
      </w:r>
      <w:r>
        <w:rPr>
          <w:rFonts w:hint="eastAsia" w:ascii="仿宋" w:hAnsi="仿宋" w:eastAsia="仿宋" w:cs="仿宋"/>
          <w:color w:val="000000"/>
          <w:sz w:val="32"/>
          <w:szCs w:val="32"/>
        </w:rPr>
        <w:t>。与</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年相比，一般公共预算财政拨款</w:t>
      </w:r>
      <w:r>
        <w:rPr>
          <w:rFonts w:hint="eastAsia" w:ascii="仿宋" w:hAnsi="仿宋" w:eastAsia="仿宋" w:cs="仿宋"/>
          <w:color w:val="000000"/>
          <w:sz w:val="32"/>
          <w:szCs w:val="32"/>
          <w:lang w:eastAsia="zh-CN"/>
        </w:rPr>
        <w:t>支出减少</w:t>
      </w:r>
      <w:r>
        <w:rPr>
          <w:rFonts w:hint="eastAsia" w:ascii="仿宋" w:hAnsi="仿宋" w:eastAsia="仿宋" w:cs="仿宋"/>
          <w:color w:val="000000"/>
          <w:sz w:val="32"/>
          <w:szCs w:val="32"/>
          <w:lang w:val="en-US" w:eastAsia="zh-CN"/>
        </w:rPr>
        <w:t>98.89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38.3</w:t>
      </w:r>
      <w:r>
        <w:rPr>
          <w:rFonts w:hint="eastAsia" w:ascii="仿宋" w:hAnsi="仿宋" w:eastAsia="仿宋" w:cs="仿宋"/>
          <w:color w:val="000000"/>
          <w:sz w:val="32"/>
          <w:szCs w:val="32"/>
        </w:rPr>
        <w:t>%</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val="en-US" w:eastAsia="zh-CN"/>
        </w:rPr>
        <w:t>2019年有项目支出。</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（图5：一般公共预算财政拨款支出决算变动情况）（柱状图）</w:t>
      </w:r>
    </w:p>
    <w:p>
      <w:pPr>
        <w:pageBreakBefore w:val="0"/>
        <w:kinsoku/>
        <w:wordWrap/>
        <w:overflowPunct/>
        <w:topLinePunct w:val="0"/>
        <w:bidi w:val="0"/>
        <w:spacing w:line="578"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lang w:eastAsia="zh-CN"/>
        </w:rPr>
        <w:drawing>
          <wp:anchor distT="0" distB="0" distL="114300" distR="114300" simplePos="0" relativeHeight="251664384" behindDoc="0" locked="0" layoutInCell="1" allowOverlap="1">
            <wp:simplePos x="0" y="0"/>
            <wp:positionH relativeFrom="column">
              <wp:posOffset>551815</wp:posOffset>
            </wp:positionH>
            <wp:positionV relativeFrom="paragraph">
              <wp:posOffset>138430</wp:posOffset>
            </wp:positionV>
            <wp:extent cx="4251960" cy="2724785"/>
            <wp:effectExtent l="4445" t="4445" r="10795"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wordWrap/>
        <w:overflowPunct/>
        <w:topLinePunct w:val="0"/>
        <w:bidi w:val="0"/>
        <w:spacing w:line="578" w:lineRule="exact"/>
        <w:ind w:firstLine="643" w:firstLineChars="200"/>
        <w:outlineLvl w:val="2"/>
        <w:rPr>
          <w:rFonts w:hint="eastAsia" w:ascii="楷体" w:hAnsi="楷体" w:eastAsia="楷体" w:cs="楷体"/>
          <w:b/>
          <w:color w:val="000000"/>
          <w:sz w:val="32"/>
          <w:szCs w:val="32"/>
        </w:rPr>
      </w:pPr>
      <w:bookmarkStart w:id="35" w:name="_Toc15377211"/>
      <w:r>
        <w:rPr>
          <w:rFonts w:hint="eastAsia" w:ascii="楷体" w:hAnsi="楷体" w:eastAsia="楷体" w:cs="楷体"/>
          <w:b/>
          <w:color w:val="000000"/>
          <w:sz w:val="32"/>
          <w:szCs w:val="32"/>
        </w:rPr>
        <w:t>（二）一般公共预算财政拨款支出决算结构情况</w:t>
      </w:r>
      <w:bookmarkEnd w:id="35"/>
    </w:p>
    <w:p>
      <w:pPr>
        <w:pageBreakBefore w:val="0"/>
        <w:kinsoku/>
        <w:wordWrap/>
        <w:overflowPunct/>
        <w:topLinePunct w:val="0"/>
        <w:bidi w:val="0"/>
        <w:spacing w:line="578" w:lineRule="exact"/>
        <w:ind w:firstLine="64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年一般公共预算财</w:t>
      </w:r>
      <w:r>
        <w:rPr>
          <w:rFonts w:hint="eastAsia" w:ascii="仿宋" w:hAnsi="仿宋" w:eastAsia="仿宋" w:cs="仿宋"/>
          <w:b w:val="0"/>
          <w:bCs w:val="0"/>
          <w:color w:val="000000" w:themeColor="text1"/>
          <w:sz w:val="32"/>
          <w:szCs w:val="32"/>
          <w14:textFill>
            <w14:solidFill>
              <w14:schemeClr w14:val="tx1"/>
            </w14:solidFill>
          </w14:textFill>
        </w:rPr>
        <w:t>政拨款支出</w:t>
      </w:r>
      <w:r>
        <w:rPr>
          <w:rFonts w:hint="eastAsia" w:ascii="仿宋" w:hAnsi="仿宋" w:eastAsia="仿宋" w:cs="仿宋"/>
          <w:b w:val="0"/>
          <w:bCs w:val="0"/>
          <w:color w:val="000000"/>
          <w:sz w:val="32"/>
          <w:szCs w:val="32"/>
          <w:lang w:val="en-US" w:eastAsia="zh-CN"/>
        </w:rPr>
        <w:t>159.26</w:t>
      </w:r>
      <w:r>
        <w:rPr>
          <w:rFonts w:hint="eastAsia" w:ascii="仿宋" w:hAnsi="仿宋" w:eastAsia="仿宋" w:cs="仿宋"/>
          <w:b w:val="0"/>
          <w:bCs w:val="0"/>
          <w:color w:val="000000" w:themeColor="text1"/>
          <w:sz w:val="32"/>
          <w:szCs w:val="32"/>
          <w14:textFill>
            <w14:solidFill>
              <w14:schemeClr w14:val="tx1"/>
            </w14:solidFill>
          </w14:textFill>
        </w:rPr>
        <w:t>万元，主要用于以下方面:一般公共服务（类）支出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%；教育支出（类）</w:t>
      </w:r>
      <w:r>
        <w:rPr>
          <w:rFonts w:hint="eastAsia" w:ascii="仿宋" w:hAnsi="仿宋" w:eastAsia="仿宋" w:cs="仿宋"/>
          <w:b w:val="0"/>
          <w:bCs w:val="0"/>
          <w:color w:val="000000" w:themeColor="text1"/>
          <w:sz w:val="32"/>
          <w:szCs w:val="32"/>
          <w:lang w:val="en-US" w:eastAsia="zh-CN"/>
          <w14:textFill>
            <w14:solidFill>
              <w14:schemeClr w14:val="tx1"/>
            </w14:solidFill>
          </w14:textFill>
        </w:rPr>
        <w:t>147.58</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92.66</w:t>
      </w:r>
      <w:r>
        <w:rPr>
          <w:rFonts w:hint="eastAsia" w:ascii="仿宋" w:hAnsi="仿宋" w:eastAsia="仿宋" w:cs="仿宋"/>
          <w:b w:val="0"/>
          <w:bCs w:val="0"/>
          <w:color w:val="000000" w:themeColor="text1"/>
          <w:sz w:val="32"/>
          <w:szCs w:val="32"/>
          <w14:textFill>
            <w14:solidFill>
              <w14:schemeClr w14:val="tx1"/>
            </w14:solidFill>
          </w14:textFill>
        </w:rPr>
        <w:t>%；科学技术（类）支出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%；社会保障和就业（类）支出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5.37</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3.37</w:t>
      </w:r>
      <w:r>
        <w:rPr>
          <w:rFonts w:hint="eastAsia" w:ascii="仿宋" w:hAnsi="仿宋" w:eastAsia="仿宋" w:cs="仿宋"/>
          <w:b w:val="0"/>
          <w:bCs w:val="0"/>
          <w:color w:val="000000" w:themeColor="text1"/>
          <w:sz w:val="32"/>
          <w:szCs w:val="32"/>
          <w14:textFill>
            <w14:solidFill>
              <w14:schemeClr w14:val="tx1"/>
            </w14:solidFill>
          </w14:textFill>
        </w:rPr>
        <w:t>%；医疗卫生支出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2.27</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1.42</w:t>
      </w:r>
      <w:r>
        <w:rPr>
          <w:rFonts w:hint="eastAsia" w:ascii="仿宋" w:hAnsi="仿宋" w:eastAsia="仿宋" w:cs="仿宋"/>
          <w:b w:val="0"/>
          <w:bCs w:val="0"/>
          <w:color w:val="000000" w:themeColor="text1"/>
          <w:sz w:val="32"/>
          <w:szCs w:val="32"/>
          <w14:textFill>
            <w14:solidFill>
              <w14:schemeClr w14:val="tx1"/>
            </w14:solidFill>
          </w14:textFill>
        </w:rPr>
        <w:t>%；住房保障支出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4.03</w:t>
      </w:r>
      <w:r>
        <w:rPr>
          <w:rFonts w:hint="eastAsia" w:ascii="仿宋" w:hAnsi="仿宋" w:eastAsia="仿宋" w:cs="仿宋"/>
          <w:b w:val="0"/>
          <w:bCs w:val="0"/>
          <w:color w:val="000000" w:themeColor="text1"/>
          <w:sz w:val="32"/>
          <w:szCs w:val="32"/>
          <w14:textFill>
            <w14:solidFill>
              <w14:schemeClr w14:val="tx1"/>
            </w14:solidFill>
          </w14:textFill>
        </w:rPr>
        <w:t>万元，占</w:t>
      </w:r>
      <w:r>
        <w:rPr>
          <w:rFonts w:hint="eastAsia" w:ascii="仿宋" w:hAnsi="仿宋" w:eastAsia="仿宋" w:cs="仿宋"/>
          <w:b w:val="0"/>
          <w:bCs w:val="0"/>
          <w:color w:val="000000" w:themeColor="text1"/>
          <w:sz w:val="32"/>
          <w:szCs w:val="32"/>
          <w:lang w:val="en-US" w:eastAsia="zh-CN"/>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t>%。</w:t>
      </w:r>
    </w:p>
    <w:p>
      <w:pPr>
        <w:pageBreakBefore w:val="0"/>
        <w:kinsoku/>
        <w:wordWrap/>
        <w:overflowPunct/>
        <w:topLinePunct w:val="0"/>
        <w:bidi w:val="0"/>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（图6：一般公共预算财政拨款支出决算结构）（饼状图）</w:t>
      </w:r>
    </w:p>
    <w:p>
      <w:pPr>
        <w:pageBreakBefore w:val="0"/>
        <w:kinsoku/>
        <w:wordWrap/>
        <w:overflowPunct/>
        <w:topLinePunct w:val="0"/>
        <w:bidi w:val="0"/>
        <w:spacing w:line="578"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drawing>
          <wp:anchor distT="0" distB="0" distL="114300" distR="114300" simplePos="0" relativeHeight="251665408" behindDoc="0" locked="0" layoutInCell="1" allowOverlap="1">
            <wp:simplePos x="0" y="0"/>
            <wp:positionH relativeFrom="column">
              <wp:posOffset>386715</wp:posOffset>
            </wp:positionH>
            <wp:positionV relativeFrom="paragraph">
              <wp:posOffset>163195</wp:posOffset>
            </wp:positionV>
            <wp:extent cx="5080000" cy="3810000"/>
            <wp:effectExtent l="4445" t="4445" r="20955" b="1460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78" w:lineRule="exact"/>
        <w:ind w:firstLine="643" w:firstLineChars="200"/>
        <w:outlineLvl w:val="2"/>
        <w:rPr>
          <w:rFonts w:hint="eastAsia" w:ascii="楷体" w:hAnsi="楷体" w:eastAsia="楷体" w:cs="楷体"/>
          <w:b/>
          <w:color w:val="000000"/>
          <w:sz w:val="32"/>
          <w:szCs w:val="32"/>
        </w:rPr>
      </w:pPr>
      <w:bookmarkStart w:id="36" w:name="_Toc15377212"/>
      <w:r>
        <w:rPr>
          <w:rFonts w:hint="eastAsia" w:ascii="楷体" w:hAnsi="楷体" w:eastAsia="楷体" w:cs="楷体"/>
          <w:b/>
          <w:color w:val="000000"/>
          <w:sz w:val="32"/>
          <w:szCs w:val="32"/>
        </w:rPr>
        <w:t>（三）一般公共预算财政拨款支出决算具体情况</w:t>
      </w:r>
      <w:bookmarkEnd w:id="36"/>
    </w:p>
    <w:p>
      <w:pPr>
        <w:pageBreakBefore w:val="0"/>
        <w:kinsoku/>
        <w:wordWrap/>
        <w:overflowPunct/>
        <w:topLinePunct w:val="0"/>
        <w:bidi w:val="0"/>
        <w:spacing w:line="578" w:lineRule="exact"/>
        <w:ind w:firstLine="640" w:firstLineChars="200"/>
        <w:outlineLvl w:val="2"/>
        <w:rPr>
          <w:rFonts w:hint="eastAsia" w:ascii="仿宋" w:hAnsi="仿宋" w:eastAsia="仿宋" w:cs="仿宋"/>
          <w:b w:val="0"/>
          <w:bCs/>
          <w:color w:val="FF0000"/>
          <w:sz w:val="32"/>
          <w:szCs w:val="32"/>
        </w:rPr>
      </w:pPr>
      <w:bookmarkStart w:id="37" w:name="_Toc15377213"/>
      <w:bookmarkStart w:id="38" w:name="_Toc15377444"/>
      <w:bookmarkStart w:id="39" w:name="_Toc15378460"/>
      <w:r>
        <w:rPr>
          <w:rFonts w:hint="eastAsia" w:ascii="仿宋" w:hAnsi="仿宋" w:eastAsia="仿宋" w:cs="仿宋"/>
          <w:b w:val="0"/>
          <w:bCs/>
          <w:color w:val="000000" w:themeColor="text1"/>
          <w:sz w:val="32"/>
          <w:szCs w:val="32"/>
          <w14:textFill>
            <w14:solidFill>
              <w14:schemeClr w14:val="tx1"/>
            </w14:solidFill>
          </w14:textFill>
        </w:rPr>
        <w:t>20</w:t>
      </w:r>
      <w:r>
        <w:rPr>
          <w:rFonts w:hint="eastAsia" w:ascii="仿宋" w:hAnsi="仿宋" w:eastAsia="仿宋" w:cs="仿宋"/>
          <w:b w:val="0"/>
          <w:bCs/>
          <w:color w:val="000000" w:themeColor="text1"/>
          <w:sz w:val="32"/>
          <w:szCs w:val="32"/>
          <w:lang w:val="en-US" w:eastAsia="zh-CN"/>
          <w14:textFill>
            <w14:solidFill>
              <w14:schemeClr w14:val="tx1"/>
            </w14:solidFill>
          </w14:textFill>
        </w:rPr>
        <w:t>20</w:t>
      </w:r>
      <w:r>
        <w:rPr>
          <w:rFonts w:hint="eastAsia" w:ascii="仿宋" w:hAnsi="仿宋" w:eastAsia="仿宋" w:cs="仿宋"/>
          <w:b w:val="0"/>
          <w:bCs/>
          <w:color w:val="000000" w:themeColor="text1"/>
          <w:sz w:val="32"/>
          <w:szCs w:val="32"/>
          <w14:textFill>
            <w14:solidFill>
              <w14:schemeClr w14:val="tx1"/>
            </w14:solidFill>
          </w14:textFill>
        </w:rPr>
        <w:t>年</w:t>
      </w:r>
      <w:r>
        <w:rPr>
          <w:rFonts w:hint="eastAsia" w:ascii="仿宋" w:hAnsi="仿宋" w:eastAsia="仿宋" w:cs="仿宋"/>
          <w:b w:val="0"/>
          <w:bCs/>
          <w:color w:val="000000" w:themeColor="text1"/>
          <w:sz w:val="32"/>
          <w:szCs w:val="32"/>
          <w:lang w:eastAsia="zh-CN"/>
          <w14:textFill>
            <w14:solidFill>
              <w14:schemeClr w14:val="tx1"/>
            </w14:solidFill>
          </w14:textFill>
        </w:rPr>
        <w:t>一</w:t>
      </w:r>
      <w:r>
        <w:rPr>
          <w:rFonts w:hint="eastAsia" w:ascii="仿宋" w:hAnsi="仿宋" w:eastAsia="仿宋" w:cs="仿宋"/>
          <w:b w:val="0"/>
          <w:bCs/>
          <w:color w:val="000000" w:themeColor="text1"/>
          <w:sz w:val="32"/>
          <w:szCs w:val="32"/>
          <w14:textFill>
            <w14:solidFill>
              <w14:schemeClr w14:val="tx1"/>
            </w14:solidFill>
          </w14:textFill>
        </w:rPr>
        <w:t>般公共预算支出决算数为</w:t>
      </w:r>
      <w:r>
        <w:rPr>
          <w:rFonts w:hint="eastAsia" w:ascii="仿宋" w:hAnsi="仿宋" w:eastAsia="仿宋" w:cs="仿宋"/>
          <w:b w:val="0"/>
          <w:bCs/>
          <w:color w:val="000000"/>
          <w:sz w:val="32"/>
          <w:szCs w:val="32"/>
          <w:lang w:val="en-US" w:eastAsia="zh-CN"/>
        </w:rPr>
        <w:t>159.26</w:t>
      </w:r>
      <w:r>
        <w:rPr>
          <w:rFonts w:hint="eastAsia" w:ascii="仿宋" w:hAnsi="仿宋" w:eastAsia="仿宋" w:cs="仿宋"/>
          <w:b w:val="0"/>
          <w:bCs/>
          <w:color w:val="000000" w:themeColor="text1"/>
          <w:sz w:val="32"/>
          <w:szCs w:val="32"/>
          <w:lang w:val="en-US" w:eastAsia="zh-CN"/>
          <w14:textFill>
            <w14:solidFill>
              <w14:schemeClr w14:val="tx1"/>
            </w14:solidFill>
          </w14:textFill>
        </w:rPr>
        <w:t>万元</w:t>
      </w:r>
      <w:r>
        <w:rPr>
          <w:rFonts w:hint="eastAsia" w:ascii="仿宋" w:hAnsi="仿宋" w:eastAsia="仿宋" w:cs="仿宋"/>
          <w:b w:val="0"/>
          <w:bCs/>
          <w:color w:val="000000" w:themeColor="text1"/>
          <w:sz w:val="32"/>
          <w:szCs w:val="32"/>
          <w14:textFill>
            <w14:solidFill>
              <w14:schemeClr w14:val="tx1"/>
            </w14:solidFill>
          </w14:textFill>
        </w:rPr>
        <w:t>，</w:t>
      </w:r>
      <w:r>
        <w:rPr>
          <w:rStyle w:val="15"/>
          <w:rFonts w:hint="eastAsia" w:ascii="仿宋" w:hAnsi="仿宋" w:eastAsia="仿宋" w:cs="仿宋"/>
          <w:b w:val="0"/>
          <w:bCs/>
          <w:color w:val="000000" w:themeColor="text1"/>
          <w:sz w:val="32"/>
          <w:szCs w:val="32"/>
          <w14:textFill>
            <w14:solidFill>
              <w14:schemeClr w14:val="tx1"/>
            </w14:solidFill>
          </w14:textFill>
        </w:rPr>
        <w:t>完成</w:t>
      </w:r>
      <w:r>
        <w:rPr>
          <w:rStyle w:val="15"/>
          <w:rFonts w:hint="eastAsia" w:ascii="仿宋" w:hAnsi="仿宋" w:eastAsia="仿宋" w:cs="仿宋"/>
          <w:b w:val="0"/>
          <w:bCs/>
          <w:color w:val="000000"/>
          <w:sz w:val="32"/>
          <w:szCs w:val="32"/>
        </w:rPr>
        <w:t>预算</w:t>
      </w:r>
      <w:r>
        <w:rPr>
          <w:rStyle w:val="15"/>
          <w:rFonts w:hint="eastAsia" w:ascii="仿宋" w:hAnsi="仿宋" w:eastAsia="仿宋" w:cs="仿宋"/>
          <w:b w:val="0"/>
          <w:bCs/>
          <w:color w:val="000000"/>
          <w:sz w:val="32"/>
          <w:szCs w:val="32"/>
          <w:lang w:val="en-US" w:eastAsia="zh-CN"/>
        </w:rPr>
        <w:t>100</w:t>
      </w:r>
      <w:r>
        <w:rPr>
          <w:rStyle w:val="15"/>
          <w:rFonts w:hint="eastAsia" w:ascii="仿宋" w:hAnsi="仿宋" w:eastAsia="仿宋" w:cs="仿宋"/>
          <w:b w:val="0"/>
          <w:bCs/>
          <w:color w:val="000000"/>
          <w:sz w:val="32"/>
          <w:szCs w:val="32"/>
        </w:rPr>
        <w:t>%。其中：</w:t>
      </w:r>
      <w:bookmarkEnd w:id="37"/>
      <w:bookmarkEnd w:id="38"/>
      <w:bookmarkEnd w:id="39"/>
    </w:p>
    <w:p>
      <w:pPr>
        <w:pageBreakBefore w:val="0"/>
        <w:numPr>
          <w:ilvl w:val="0"/>
          <w:numId w:val="2"/>
        </w:numPr>
        <w:kinsoku/>
        <w:wordWrap/>
        <w:overflowPunct/>
        <w:topLinePunct w:val="0"/>
        <w:bidi w:val="0"/>
        <w:spacing w:line="578" w:lineRule="exact"/>
        <w:ind w:firstLine="640" w:firstLineChars="200"/>
        <w:rPr>
          <w:rStyle w:val="15"/>
          <w:rFonts w:hint="eastAsia" w:ascii="仿宋" w:hAnsi="仿宋" w:eastAsia="仿宋" w:cs="仿宋"/>
          <w:b w:val="0"/>
          <w:bCs/>
          <w:color w:val="000000"/>
          <w:sz w:val="32"/>
          <w:szCs w:val="32"/>
          <w:lang w:eastAsia="zh-CN"/>
        </w:rPr>
      </w:pPr>
      <w:r>
        <w:rPr>
          <w:rStyle w:val="15"/>
          <w:rFonts w:hint="eastAsia" w:ascii="仿宋" w:hAnsi="仿宋" w:eastAsia="仿宋" w:cs="仿宋"/>
          <w:b w:val="0"/>
          <w:bCs/>
          <w:color w:val="000000"/>
          <w:sz w:val="32"/>
          <w:szCs w:val="32"/>
        </w:rPr>
        <w:t>一般公共服务</w:t>
      </w:r>
      <w:r>
        <w:rPr>
          <w:rStyle w:val="15"/>
          <w:rFonts w:hint="eastAsia" w:ascii="仿宋" w:hAnsi="仿宋" w:eastAsia="仿宋" w:cs="仿宋"/>
          <w:b w:val="0"/>
          <w:bCs/>
          <w:color w:val="000000"/>
          <w:sz w:val="32"/>
          <w:szCs w:val="32"/>
          <w:lang w:val="en-US" w:eastAsia="zh-CN"/>
        </w:rPr>
        <w:t>201</w:t>
      </w:r>
      <w:r>
        <w:rPr>
          <w:rStyle w:val="15"/>
          <w:rFonts w:hint="eastAsia" w:ascii="仿宋" w:hAnsi="仿宋" w:eastAsia="仿宋" w:cs="仿宋"/>
          <w:b w:val="0"/>
          <w:bCs/>
          <w:color w:val="000000"/>
          <w:sz w:val="32"/>
          <w:szCs w:val="32"/>
        </w:rPr>
        <w:t>（类）</w:t>
      </w:r>
      <w:r>
        <w:rPr>
          <w:rStyle w:val="15"/>
          <w:rFonts w:hint="eastAsia" w:ascii="仿宋" w:hAnsi="仿宋" w:eastAsia="仿宋" w:cs="仿宋"/>
          <w:b w:val="0"/>
          <w:bCs/>
          <w:color w:val="000000"/>
          <w:sz w:val="32"/>
          <w:szCs w:val="32"/>
          <w:lang w:val="en-US" w:eastAsia="zh-CN"/>
        </w:rPr>
        <w:t>10</w:t>
      </w:r>
      <w:r>
        <w:rPr>
          <w:rStyle w:val="15"/>
          <w:rFonts w:hint="eastAsia" w:ascii="仿宋" w:hAnsi="仿宋" w:eastAsia="仿宋" w:cs="仿宋"/>
          <w:b w:val="0"/>
          <w:bCs/>
          <w:color w:val="000000"/>
          <w:sz w:val="32"/>
          <w:szCs w:val="32"/>
        </w:rPr>
        <w:t>（款）</w:t>
      </w:r>
      <w:r>
        <w:rPr>
          <w:rStyle w:val="15"/>
          <w:rFonts w:hint="eastAsia" w:ascii="仿宋" w:hAnsi="仿宋" w:eastAsia="仿宋" w:cs="仿宋"/>
          <w:b w:val="0"/>
          <w:bCs/>
          <w:color w:val="000000"/>
          <w:sz w:val="32"/>
          <w:szCs w:val="32"/>
          <w:lang w:val="en-US" w:eastAsia="zh-CN"/>
        </w:rPr>
        <w:t>99</w:t>
      </w:r>
      <w:r>
        <w:rPr>
          <w:rStyle w:val="15"/>
          <w:rFonts w:hint="eastAsia" w:ascii="仿宋" w:hAnsi="仿宋" w:eastAsia="仿宋" w:cs="仿宋"/>
          <w:b w:val="0"/>
          <w:bCs/>
          <w:color w:val="000000"/>
          <w:sz w:val="32"/>
          <w:szCs w:val="32"/>
        </w:rPr>
        <w:t>（项）: 支出决算为</w:t>
      </w:r>
      <w:r>
        <w:rPr>
          <w:rStyle w:val="15"/>
          <w:rFonts w:hint="eastAsia" w:ascii="仿宋" w:hAnsi="仿宋" w:eastAsia="仿宋" w:cs="仿宋"/>
          <w:b w:val="0"/>
          <w:bCs/>
          <w:color w:val="000000"/>
          <w:sz w:val="32"/>
          <w:szCs w:val="32"/>
          <w:lang w:val="en-US" w:eastAsia="zh-CN"/>
        </w:rPr>
        <w:t>0</w:t>
      </w:r>
      <w:r>
        <w:rPr>
          <w:rStyle w:val="15"/>
          <w:rFonts w:hint="eastAsia" w:ascii="仿宋" w:hAnsi="仿宋" w:eastAsia="仿宋" w:cs="仿宋"/>
          <w:b w:val="0"/>
          <w:bCs/>
          <w:color w:val="000000"/>
          <w:sz w:val="32"/>
          <w:szCs w:val="32"/>
        </w:rPr>
        <w:t>万元</w:t>
      </w:r>
      <w:r>
        <w:rPr>
          <w:rStyle w:val="15"/>
          <w:rFonts w:hint="eastAsia" w:ascii="仿宋" w:hAnsi="仿宋" w:eastAsia="仿宋" w:cs="仿宋"/>
          <w:b w:val="0"/>
          <w:bCs/>
          <w:color w:val="000000"/>
          <w:sz w:val="32"/>
          <w:szCs w:val="32"/>
          <w:lang w:eastAsia="zh-CN"/>
        </w:rPr>
        <w:t>。</w:t>
      </w:r>
    </w:p>
    <w:p>
      <w:pPr>
        <w:pageBreakBefore w:val="0"/>
        <w:numPr>
          <w:ilvl w:val="0"/>
          <w:numId w:val="0"/>
        </w:numPr>
        <w:kinsoku/>
        <w:wordWrap/>
        <w:overflowPunct/>
        <w:topLinePunct w:val="0"/>
        <w:bidi w:val="0"/>
        <w:spacing w:line="578" w:lineRule="exact"/>
        <w:ind w:firstLine="640" w:firstLineChars="200"/>
        <w:rPr>
          <w:rStyle w:val="15"/>
          <w:rFonts w:hint="eastAsia" w:ascii="仿宋" w:hAnsi="仿宋" w:eastAsia="仿宋" w:cs="仿宋"/>
          <w:b w:val="0"/>
          <w:bCs/>
          <w:color w:val="000000"/>
          <w:sz w:val="32"/>
          <w:szCs w:val="32"/>
          <w:lang w:eastAsia="zh-CN"/>
        </w:rPr>
      </w:pPr>
      <w:r>
        <w:rPr>
          <w:rStyle w:val="15"/>
          <w:rFonts w:hint="eastAsia" w:ascii="仿宋" w:hAnsi="仿宋" w:eastAsia="仿宋" w:cs="仿宋"/>
          <w:b w:val="0"/>
          <w:bCs/>
          <w:color w:val="000000"/>
          <w:sz w:val="32"/>
          <w:szCs w:val="32"/>
        </w:rPr>
        <w:t>2.教育</w:t>
      </w:r>
      <w:r>
        <w:rPr>
          <w:rStyle w:val="15"/>
          <w:rFonts w:hint="eastAsia" w:ascii="仿宋" w:hAnsi="仿宋" w:eastAsia="仿宋" w:cs="仿宋"/>
          <w:b w:val="0"/>
          <w:bCs/>
          <w:color w:val="000000"/>
          <w:sz w:val="32"/>
          <w:szCs w:val="32"/>
          <w:lang w:val="en-US" w:eastAsia="zh-CN"/>
        </w:rPr>
        <w:t>205</w:t>
      </w:r>
      <w:r>
        <w:rPr>
          <w:rStyle w:val="15"/>
          <w:rFonts w:hint="eastAsia" w:ascii="仿宋" w:hAnsi="仿宋" w:eastAsia="仿宋" w:cs="仿宋"/>
          <w:b w:val="0"/>
          <w:bCs/>
          <w:color w:val="000000"/>
          <w:sz w:val="32"/>
          <w:szCs w:val="32"/>
        </w:rPr>
        <w:t>（类）</w:t>
      </w:r>
      <w:r>
        <w:rPr>
          <w:rStyle w:val="15"/>
          <w:rFonts w:hint="eastAsia" w:ascii="仿宋" w:hAnsi="仿宋" w:eastAsia="仿宋" w:cs="仿宋"/>
          <w:b w:val="0"/>
          <w:bCs/>
          <w:color w:val="000000"/>
          <w:sz w:val="32"/>
          <w:szCs w:val="32"/>
          <w:lang w:val="en-US" w:eastAsia="zh-CN"/>
        </w:rPr>
        <w:t>02</w:t>
      </w:r>
      <w:r>
        <w:rPr>
          <w:rStyle w:val="15"/>
          <w:rFonts w:hint="eastAsia" w:ascii="仿宋" w:hAnsi="仿宋" w:eastAsia="仿宋" w:cs="仿宋"/>
          <w:b w:val="0"/>
          <w:bCs/>
          <w:color w:val="000000"/>
          <w:sz w:val="32"/>
          <w:szCs w:val="32"/>
        </w:rPr>
        <w:t>（款）</w:t>
      </w:r>
      <w:r>
        <w:rPr>
          <w:rStyle w:val="15"/>
          <w:rFonts w:hint="eastAsia" w:ascii="仿宋" w:hAnsi="仿宋" w:eastAsia="仿宋" w:cs="仿宋"/>
          <w:b w:val="0"/>
          <w:bCs/>
          <w:color w:val="000000"/>
          <w:sz w:val="32"/>
          <w:szCs w:val="32"/>
          <w:lang w:val="en-US" w:eastAsia="zh-CN"/>
        </w:rPr>
        <w:t>01</w:t>
      </w:r>
      <w:r>
        <w:rPr>
          <w:rStyle w:val="15"/>
          <w:rFonts w:hint="eastAsia" w:ascii="仿宋" w:hAnsi="仿宋" w:eastAsia="仿宋" w:cs="仿宋"/>
          <w:b w:val="0"/>
          <w:bCs/>
          <w:color w:val="000000"/>
          <w:sz w:val="32"/>
          <w:szCs w:val="32"/>
        </w:rPr>
        <w:t>（项）: 支出决算为</w:t>
      </w:r>
      <w:r>
        <w:rPr>
          <w:rFonts w:hint="eastAsia" w:ascii="仿宋" w:hAnsi="仿宋" w:eastAsia="仿宋" w:cs="仿宋"/>
          <w:b w:val="0"/>
          <w:bCs/>
          <w:color w:val="000000" w:themeColor="text1"/>
          <w:sz w:val="32"/>
          <w:szCs w:val="32"/>
          <w:lang w:val="en-US" w:eastAsia="zh-CN"/>
          <w14:textFill>
            <w14:solidFill>
              <w14:schemeClr w14:val="tx1"/>
            </w14:solidFill>
          </w14:textFill>
        </w:rPr>
        <w:t>147.58</w:t>
      </w:r>
      <w:r>
        <w:rPr>
          <w:rStyle w:val="15"/>
          <w:rFonts w:hint="eastAsia" w:ascii="仿宋" w:hAnsi="仿宋" w:eastAsia="仿宋" w:cs="仿宋"/>
          <w:b w:val="0"/>
          <w:bCs/>
          <w:color w:val="000000"/>
          <w:sz w:val="32"/>
          <w:szCs w:val="32"/>
        </w:rPr>
        <w:t>万元，完成预算</w:t>
      </w:r>
      <w:r>
        <w:rPr>
          <w:rStyle w:val="15"/>
          <w:rFonts w:hint="eastAsia" w:ascii="仿宋" w:hAnsi="仿宋" w:eastAsia="仿宋" w:cs="仿宋"/>
          <w:b w:val="0"/>
          <w:bCs/>
          <w:color w:val="000000"/>
          <w:sz w:val="32"/>
          <w:szCs w:val="32"/>
          <w:lang w:val="en-US" w:eastAsia="zh-CN"/>
        </w:rPr>
        <w:t>100</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lang w:eastAsia="zh-CN"/>
          <w14:textFill>
            <w14:solidFill>
              <w14:schemeClr w14:val="tx1"/>
            </w14:solidFill>
          </w14:textFill>
        </w:rPr>
        <w:t>，</w:t>
      </w:r>
      <w:r>
        <w:rPr>
          <w:rStyle w:val="15"/>
          <w:rFonts w:hint="eastAsia" w:ascii="仿宋" w:hAnsi="仿宋" w:eastAsia="仿宋" w:cs="仿宋"/>
          <w:b w:val="0"/>
          <w:bCs/>
          <w:color w:val="000000"/>
          <w:sz w:val="32"/>
          <w:szCs w:val="32"/>
          <w:lang w:eastAsia="zh-CN"/>
        </w:rPr>
        <w:t>。</w:t>
      </w:r>
    </w:p>
    <w:p>
      <w:pPr>
        <w:pageBreakBefore w:val="0"/>
        <w:kinsoku/>
        <w:wordWrap/>
        <w:overflowPunct/>
        <w:topLinePunct w:val="0"/>
        <w:bidi w:val="0"/>
        <w:spacing w:line="578" w:lineRule="exact"/>
        <w:ind w:firstLine="640" w:firstLineChars="200"/>
        <w:rPr>
          <w:rStyle w:val="15"/>
          <w:rFonts w:hint="eastAsia" w:ascii="仿宋" w:hAnsi="仿宋" w:eastAsia="仿宋" w:cs="仿宋"/>
          <w:b w:val="0"/>
          <w:bCs/>
          <w:color w:val="000000"/>
          <w:sz w:val="32"/>
          <w:szCs w:val="32"/>
          <w:lang w:eastAsia="zh-CN"/>
        </w:rPr>
      </w:pPr>
      <w:r>
        <w:rPr>
          <w:rStyle w:val="15"/>
          <w:rFonts w:hint="eastAsia" w:ascii="仿宋" w:hAnsi="仿宋" w:eastAsia="仿宋" w:cs="仿宋"/>
          <w:b w:val="0"/>
          <w:bCs/>
          <w:color w:val="000000"/>
          <w:sz w:val="32"/>
          <w:szCs w:val="32"/>
          <w:lang w:val="en-US" w:eastAsia="zh-CN"/>
        </w:rPr>
        <w:t>3</w:t>
      </w:r>
      <w:r>
        <w:rPr>
          <w:rStyle w:val="15"/>
          <w:rFonts w:hint="eastAsia" w:ascii="仿宋" w:hAnsi="仿宋" w:eastAsia="仿宋" w:cs="仿宋"/>
          <w:b w:val="0"/>
          <w:bCs/>
          <w:color w:val="000000"/>
          <w:sz w:val="32"/>
          <w:szCs w:val="32"/>
        </w:rPr>
        <w:t>.社会保障和就业</w:t>
      </w:r>
      <w:r>
        <w:rPr>
          <w:rStyle w:val="15"/>
          <w:rFonts w:hint="eastAsia" w:ascii="仿宋" w:hAnsi="仿宋" w:eastAsia="仿宋" w:cs="仿宋"/>
          <w:b w:val="0"/>
          <w:bCs/>
          <w:color w:val="000000"/>
          <w:sz w:val="32"/>
          <w:szCs w:val="32"/>
          <w:lang w:val="en-US" w:eastAsia="zh-CN"/>
        </w:rPr>
        <w:t>208</w:t>
      </w:r>
      <w:r>
        <w:rPr>
          <w:rStyle w:val="15"/>
          <w:rFonts w:hint="eastAsia" w:ascii="仿宋" w:hAnsi="仿宋" w:eastAsia="仿宋" w:cs="仿宋"/>
          <w:b w:val="0"/>
          <w:bCs/>
          <w:color w:val="000000"/>
          <w:sz w:val="32"/>
          <w:szCs w:val="32"/>
        </w:rPr>
        <w:t>（类）</w:t>
      </w:r>
      <w:r>
        <w:rPr>
          <w:rStyle w:val="15"/>
          <w:rFonts w:hint="eastAsia" w:ascii="仿宋" w:hAnsi="仿宋" w:eastAsia="仿宋" w:cs="仿宋"/>
          <w:b w:val="0"/>
          <w:bCs/>
          <w:color w:val="000000"/>
          <w:sz w:val="32"/>
          <w:szCs w:val="32"/>
          <w:lang w:val="en-US" w:eastAsia="zh-CN"/>
        </w:rPr>
        <w:t>05</w:t>
      </w:r>
      <w:r>
        <w:rPr>
          <w:rStyle w:val="15"/>
          <w:rFonts w:hint="eastAsia" w:ascii="仿宋" w:hAnsi="仿宋" w:eastAsia="仿宋" w:cs="仿宋"/>
          <w:b w:val="0"/>
          <w:bCs/>
          <w:color w:val="000000"/>
          <w:sz w:val="32"/>
          <w:szCs w:val="32"/>
        </w:rPr>
        <w:t>（款）</w:t>
      </w:r>
      <w:r>
        <w:rPr>
          <w:rStyle w:val="15"/>
          <w:rFonts w:hint="eastAsia" w:ascii="仿宋" w:hAnsi="仿宋" w:eastAsia="仿宋" w:cs="仿宋"/>
          <w:b w:val="0"/>
          <w:bCs/>
          <w:color w:val="000000"/>
          <w:sz w:val="32"/>
          <w:szCs w:val="32"/>
          <w:lang w:val="en-US" w:eastAsia="zh-CN"/>
        </w:rPr>
        <w:t>05</w:t>
      </w:r>
      <w:r>
        <w:rPr>
          <w:rStyle w:val="15"/>
          <w:rFonts w:hint="eastAsia" w:ascii="仿宋" w:hAnsi="仿宋" w:eastAsia="仿宋" w:cs="仿宋"/>
          <w:b w:val="0"/>
          <w:bCs/>
          <w:color w:val="000000"/>
          <w:sz w:val="32"/>
          <w:szCs w:val="32"/>
        </w:rPr>
        <w:t>（项）:支出决算为</w:t>
      </w:r>
      <w:r>
        <w:rPr>
          <w:rFonts w:hint="eastAsia" w:ascii="仿宋" w:hAnsi="仿宋" w:eastAsia="仿宋" w:cs="仿宋"/>
          <w:b w:val="0"/>
          <w:bCs/>
          <w:color w:val="000000" w:themeColor="text1"/>
          <w:sz w:val="32"/>
          <w:szCs w:val="32"/>
          <w:lang w:val="en-US" w:eastAsia="zh-CN"/>
          <w14:textFill>
            <w14:solidFill>
              <w14:schemeClr w14:val="tx1"/>
            </w14:solidFill>
          </w14:textFill>
        </w:rPr>
        <w:t>5.37</w:t>
      </w:r>
      <w:r>
        <w:rPr>
          <w:rFonts w:hint="eastAsia" w:ascii="仿宋" w:hAnsi="仿宋" w:eastAsia="仿宋" w:cs="仿宋"/>
          <w:b w:val="0"/>
          <w:bCs/>
          <w:color w:val="000000" w:themeColor="text1"/>
          <w:sz w:val="32"/>
          <w:szCs w:val="32"/>
          <w14:textFill>
            <w14:solidFill>
              <w14:schemeClr w14:val="tx1"/>
            </w14:solidFill>
          </w14:textFill>
        </w:rPr>
        <w:t>万元，</w:t>
      </w:r>
      <w:r>
        <w:rPr>
          <w:rStyle w:val="15"/>
          <w:rFonts w:hint="eastAsia" w:ascii="仿宋" w:hAnsi="仿宋" w:eastAsia="仿宋" w:cs="仿宋"/>
          <w:b w:val="0"/>
          <w:bCs/>
          <w:color w:val="000000"/>
          <w:sz w:val="32"/>
          <w:szCs w:val="32"/>
        </w:rPr>
        <w:t>完成预算</w:t>
      </w:r>
      <w:r>
        <w:rPr>
          <w:rFonts w:hint="eastAsia" w:ascii="仿宋" w:hAnsi="仿宋" w:eastAsia="仿宋" w:cs="仿宋"/>
          <w:b w:val="0"/>
          <w:bCs/>
          <w:color w:val="000000" w:themeColor="text1"/>
          <w:sz w:val="32"/>
          <w:szCs w:val="32"/>
          <w:lang w:val="en-US" w:eastAsia="zh-CN"/>
          <w14:textFill>
            <w14:solidFill>
              <w14:schemeClr w14:val="tx1"/>
            </w14:solidFill>
          </w14:textFill>
        </w:rPr>
        <w:t>100</w:t>
      </w:r>
      <w:r>
        <w:rPr>
          <w:rStyle w:val="15"/>
          <w:rFonts w:hint="eastAsia" w:ascii="仿宋" w:hAnsi="仿宋" w:eastAsia="仿宋" w:cs="仿宋"/>
          <w:b w:val="0"/>
          <w:bCs/>
          <w:color w:val="000000"/>
          <w:sz w:val="32"/>
          <w:szCs w:val="32"/>
        </w:rPr>
        <w:t>%</w:t>
      </w:r>
      <w:r>
        <w:rPr>
          <w:rStyle w:val="15"/>
          <w:rFonts w:hint="eastAsia" w:ascii="仿宋" w:hAnsi="仿宋" w:eastAsia="仿宋" w:cs="仿宋"/>
          <w:b w:val="0"/>
          <w:bCs/>
          <w:color w:val="000000"/>
          <w:sz w:val="32"/>
          <w:szCs w:val="32"/>
          <w:lang w:eastAsia="zh-CN"/>
        </w:rPr>
        <w:t>。</w:t>
      </w:r>
    </w:p>
    <w:p>
      <w:pPr>
        <w:pageBreakBefore w:val="0"/>
        <w:kinsoku/>
        <w:wordWrap/>
        <w:overflowPunct/>
        <w:topLinePunct w:val="0"/>
        <w:bidi w:val="0"/>
        <w:spacing w:line="578" w:lineRule="exact"/>
        <w:ind w:firstLine="640" w:firstLineChars="200"/>
        <w:rPr>
          <w:rFonts w:hint="eastAsia" w:ascii="仿宋" w:hAnsi="仿宋" w:eastAsia="仿宋" w:cs="仿宋"/>
          <w:b w:val="0"/>
          <w:bCs w:val="0"/>
          <w:color w:val="000000"/>
          <w:sz w:val="32"/>
          <w:szCs w:val="32"/>
        </w:rPr>
      </w:pPr>
      <w:r>
        <w:rPr>
          <w:rStyle w:val="15"/>
          <w:rFonts w:hint="eastAsia" w:ascii="仿宋" w:hAnsi="仿宋" w:eastAsia="仿宋" w:cs="仿宋"/>
          <w:b w:val="0"/>
          <w:bCs w:val="0"/>
          <w:color w:val="000000"/>
          <w:sz w:val="32"/>
          <w:szCs w:val="32"/>
          <w:lang w:val="en-US" w:eastAsia="zh-CN"/>
        </w:rPr>
        <w:t>4</w:t>
      </w:r>
      <w:r>
        <w:rPr>
          <w:rStyle w:val="15"/>
          <w:rFonts w:hint="eastAsia" w:ascii="仿宋" w:hAnsi="仿宋" w:eastAsia="仿宋" w:cs="仿宋"/>
          <w:b w:val="0"/>
          <w:bCs w:val="0"/>
          <w:color w:val="000000"/>
          <w:sz w:val="32"/>
          <w:szCs w:val="32"/>
        </w:rPr>
        <w:t>.医疗卫生与计划生育</w:t>
      </w:r>
      <w:r>
        <w:rPr>
          <w:rStyle w:val="15"/>
          <w:rFonts w:hint="eastAsia" w:ascii="仿宋" w:hAnsi="仿宋" w:eastAsia="仿宋" w:cs="仿宋"/>
          <w:b w:val="0"/>
          <w:bCs w:val="0"/>
          <w:color w:val="000000"/>
          <w:sz w:val="32"/>
          <w:szCs w:val="32"/>
          <w:lang w:val="en-US" w:eastAsia="zh-CN"/>
        </w:rPr>
        <w:t>210</w:t>
      </w:r>
      <w:r>
        <w:rPr>
          <w:rStyle w:val="15"/>
          <w:rFonts w:hint="eastAsia" w:ascii="仿宋" w:hAnsi="仿宋" w:eastAsia="仿宋" w:cs="仿宋"/>
          <w:b w:val="0"/>
          <w:bCs w:val="0"/>
          <w:color w:val="000000"/>
          <w:sz w:val="32"/>
          <w:szCs w:val="32"/>
        </w:rPr>
        <w:t>（类）</w:t>
      </w:r>
      <w:r>
        <w:rPr>
          <w:rStyle w:val="15"/>
          <w:rFonts w:hint="eastAsia" w:ascii="仿宋" w:hAnsi="仿宋" w:eastAsia="仿宋" w:cs="仿宋"/>
          <w:b w:val="0"/>
          <w:bCs w:val="0"/>
          <w:color w:val="000000"/>
          <w:sz w:val="32"/>
          <w:szCs w:val="32"/>
          <w:lang w:val="en-US" w:eastAsia="zh-CN"/>
        </w:rPr>
        <w:t>11</w:t>
      </w:r>
      <w:r>
        <w:rPr>
          <w:rStyle w:val="15"/>
          <w:rFonts w:hint="eastAsia" w:ascii="仿宋" w:hAnsi="仿宋" w:eastAsia="仿宋" w:cs="仿宋"/>
          <w:b w:val="0"/>
          <w:bCs w:val="0"/>
          <w:color w:val="000000"/>
          <w:sz w:val="32"/>
          <w:szCs w:val="32"/>
        </w:rPr>
        <w:t>（款）</w:t>
      </w:r>
      <w:r>
        <w:rPr>
          <w:rStyle w:val="15"/>
          <w:rFonts w:hint="eastAsia" w:ascii="仿宋" w:hAnsi="仿宋" w:eastAsia="仿宋" w:cs="仿宋"/>
          <w:b w:val="0"/>
          <w:bCs w:val="0"/>
          <w:color w:val="000000"/>
          <w:sz w:val="32"/>
          <w:szCs w:val="32"/>
          <w:lang w:val="en-US" w:eastAsia="zh-CN"/>
        </w:rPr>
        <w:t>02</w:t>
      </w:r>
      <w:r>
        <w:rPr>
          <w:rStyle w:val="15"/>
          <w:rFonts w:hint="eastAsia" w:ascii="仿宋" w:hAnsi="仿宋" w:eastAsia="仿宋" w:cs="仿宋"/>
          <w:b w:val="0"/>
          <w:bCs w:val="0"/>
          <w:color w:val="000000"/>
          <w:sz w:val="32"/>
          <w:szCs w:val="32"/>
        </w:rPr>
        <w:t>（项）:支出决算为</w:t>
      </w:r>
      <w:r>
        <w:rPr>
          <w:rFonts w:hint="eastAsia" w:ascii="仿宋" w:hAnsi="仿宋" w:eastAsia="仿宋" w:cs="仿宋"/>
          <w:b w:val="0"/>
          <w:bCs w:val="0"/>
          <w:color w:val="000000" w:themeColor="text1"/>
          <w:sz w:val="32"/>
          <w:szCs w:val="32"/>
          <w:lang w:val="en-US" w:eastAsia="zh-CN"/>
          <w14:textFill>
            <w14:solidFill>
              <w14:schemeClr w14:val="tx1"/>
            </w14:solidFill>
          </w14:textFill>
        </w:rPr>
        <w:t>2.27</w:t>
      </w:r>
      <w:r>
        <w:rPr>
          <w:rStyle w:val="15"/>
          <w:rFonts w:hint="eastAsia" w:ascii="仿宋" w:hAnsi="仿宋" w:eastAsia="仿宋" w:cs="仿宋"/>
          <w:b w:val="0"/>
          <w:bCs w:val="0"/>
          <w:color w:val="000000"/>
          <w:sz w:val="32"/>
          <w:szCs w:val="32"/>
        </w:rPr>
        <w:t>万元，完成预算</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p>
    <w:p>
      <w:pPr>
        <w:pageBreakBefore w:val="0"/>
        <w:tabs>
          <w:tab w:val="right" w:pos="8306"/>
        </w:tabs>
        <w:kinsoku/>
        <w:wordWrap/>
        <w:overflowPunct/>
        <w:topLinePunct w:val="0"/>
        <w:bidi w:val="0"/>
        <w:spacing w:line="578" w:lineRule="exact"/>
        <w:ind w:firstLine="640" w:firstLineChars="200"/>
        <w:outlineLvl w:val="1"/>
        <w:rPr>
          <w:rStyle w:val="28"/>
          <w:rFonts w:hint="eastAsia" w:ascii="仿宋" w:hAnsi="仿宋" w:eastAsia="仿宋" w:cs="仿宋"/>
          <w:sz w:val="32"/>
          <w:szCs w:val="32"/>
        </w:rPr>
      </w:pPr>
      <w:bookmarkStart w:id="40" w:name="_Toc15396608"/>
      <w:bookmarkStart w:id="41" w:name="_Toc15377214"/>
      <w:r>
        <w:rPr>
          <w:rFonts w:hint="eastAsia" w:ascii="黑体" w:hAnsi="黑体" w:eastAsia="黑体" w:cs="黑体"/>
          <w:color w:val="000000"/>
          <w:sz w:val="32"/>
          <w:szCs w:val="32"/>
        </w:rPr>
        <w:t>六</w:t>
      </w:r>
      <w:r>
        <w:rPr>
          <w:rFonts w:hint="eastAsia" w:ascii="黑体" w:hAnsi="黑体" w:eastAsia="黑体" w:cs="黑体"/>
          <w:b/>
          <w:color w:val="000000"/>
          <w:sz w:val="32"/>
          <w:szCs w:val="32"/>
        </w:rPr>
        <w:t>、一</w:t>
      </w:r>
      <w:r>
        <w:rPr>
          <w:rStyle w:val="28"/>
          <w:rFonts w:hint="eastAsia" w:ascii="黑体" w:hAnsi="黑体" w:eastAsia="黑体" w:cs="黑体"/>
          <w:b w:val="0"/>
          <w:sz w:val="32"/>
          <w:szCs w:val="32"/>
        </w:rPr>
        <w:t>般公共预算财政拨款基本支出决算情况说明</w:t>
      </w:r>
      <w:bookmarkEnd w:id="40"/>
      <w:bookmarkEnd w:id="41"/>
      <w:r>
        <w:rPr>
          <w:rStyle w:val="28"/>
          <w:rFonts w:hint="eastAsia" w:ascii="仿宋" w:hAnsi="仿宋" w:eastAsia="仿宋" w:cs="仿宋"/>
          <w:b w:val="0"/>
          <w:sz w:val="32"/>
          <w:szCs w:val="32"/>
        </w:rPr>
        <w:tab/>
      </w:r>
    </w:p>
    <w:p>
      <w:pPr>
        <w:pageBreakBefore w:val="0"/>
        <w:kinsoku/>
        <w:wordWrap/>
        <w:overflowPunct/>
        <w:topLinePunct w:val="0"/>
        <w:bidi w:val="0"/>
        <w:spacing w:line="578" w:lineRule="exact"/>
        <w:ind w:firstLine="645"/>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年一般公共预算财政拨款基本支出</w:t>
      </w:r>
      <w:r>
        <w:rPr>
          <w:rFonts w:hint="eastAsia" w:ascii="仿宋" w:hAnsi="仿宋" w:eastAsia="仿宋" w:cs="仿宋"/>
          <w:b w:val="0"/>
          <w:bCs w:val="0"/>
          <w:color w:val="000000" w:themeColor="text1"/>
          <w:sz w:val="32"/>
          <w:szCs w:val="32"/>
          <w:lang w:val="en-US" w:eastAsia="zh-CN"/>
          <w14:textFill>
            <w14:solidFill>
              <w14:schemeClr w14:val="tx1"/>
            </w14:solidFill>
          </w14:textFill>
        </w:rPr>
        <w:t>159.26</w:t>
      </w:r>
      <w:r>
        <w:rPr>
          <w:rFonts w:hint="eastAsia" w:ascii="仿宋" w:hAnsi="仿宋" w:eastAsia="仿宋" w:cs="仿宋"/>
          <w:b w:val="0"/>
          <w:bCs w:val="0"/>
          <w:color w:val="000000"/>
          <w:sz w:val="32"/>
          <w:szCs w:val="32"/>
        </w:rPr>
        <w:t>万元，其中：</w:t>
      </w:r>
    </w:p>
    <w:p>
      <w:pPr>
        <w:pageBreakBefore w:val="0"/>
        <w:kinsoku/>
        <w:wordWrap/>
        <w:overflowPunct/>
        <w:topLinePunct w:val="0"/>
        <w:bidi w:val="0"/>
        <w:spacing w:line="578" w:lineRule="exact"/>
        <w:ind w:firstLine="645"/>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人员经费</w:t>
      </w:r>
      <w:r>
        <w:rPr>
          <w:rFonts w:hint="eastAsia" w:ascii="仿宋" w:hAnsi="仿宋" w:eastAsia="仿宋" w:cs="仿宋"/>
          <w:b w:val="0"/>
          <w:bCs w:val="0"/>
          <w:color w:val="000000"/>
          <w:sz w:val="32"/>
          <w:szCs w:val="32"/>
          <w:lang w:val="en-US" w:eastAsia="zh-CN"/>
        </w:rPr>
        <w:t>62.34</w:t>
      </w:r>
      <w:r>
        <w:rPr>
          <w:rFonts w:hint="eastAsia" w:ascii="仿宋" w:hAnsi="仿宋" w:eastAsia="仿宋" w:cs="仿宋"/>
          <w:b w:val="0"/>
          <w:bCs w:val="0"/>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pageBreakBefore w:val="0"/>
        <w:kinsoku/>
        <w:wordWrap/>
        <w:overflowPunct/>
        <w:topLinePunct w:val="0"/>
        <w:bidi w:val="0"/>
        <w:spacing w:line="578" w:lineRule="exact"/>
        <w:ind w:firstLine="645"/>
        <w:rPr>
          <w:rFonts w:hint="eastAsia" w:ascii="仿宋" w:hAnsi="仿宋" w:eastAsia="仿宋" w:cs="仿宋"/>
          <w:color w:val="000000"/>
          <w:sz w:val="32"/>
          <w:szCs w:val="32"/>
        </w:rPr>
      </w:pPr>
      <w:r>
        <w:rPr>
          <w:rFonts w:hint="eastAsia" w:ascii="仿宋" w:hAnsi="仿宋" w:eastAsia="仿宋" w:cs="仿宋"/>
          <w:b w:val="0"/>
          <w:bCs w:val="0"/>
          <w:color w:val="000000"/>
          <w:sz w:val="32"/>
          <w:szCs w:val="32"/>
        </w:rPr>
        <w:t>　　公用经费</w:t>
      </w:r>
      <w:r>
        <w:rPr>
          <w:rFonts w:hint="eastAsia" w:ascii="仿宋" w:hAnsi="仿宋" w:eastAsia="仿宋" w:cs="仿宋"/>
          <w:b w:val="0"/>
          <w:bCs w:val="0"/>
          <w:color w:val="000000"/>
          <w:sz w:val="32"/>
          <w:szCs w:val="32"/>
          <w:lang w:val="en-US" w:eastAsia="zh-CN"/>
        </w:rPr>
        <w:t>96.92</w:t>
      </w:r>
      <w:r>
        <w:rPr>
          <w:rFonts w:hint="eastAsia" w:ascii="仿宋" w:hAnsi="仿宋" w:eastAsia="仿宋" w:cs="仿宋"/>
          <w:b w:val="0"/>
          <w:bCs w:val="0"/>
          <w:color w:val="000000"/>
          <w:sz w:val="32"/>
          <w:szCs w:val="32"/>
        </w:rPr>
        <w:t>万元，主要包括：办公费、印刷费、咨询费、手续费、水费、电费、邮电费、取暖费、物业管理</w:t>
      </w:r>
      <w:r>
        <w:rPr>
          <w:rFonts w:hint="eastAsia" w:ascii="仿宋" w:hAnsi="仿宋" w:eastAsia="仿宋" w:cs="仿宋"/>
          <w:color w:val="000000"/>
          <w:sz w:val="32"/>
          <w:szCs w:val="32"/>
        </w:rPr>
        <w:t>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78" w:lineRule="exact"/>
        <w:ind w:firstLine="640" w:firstLineChars="200"/>
        <w:outlineLvl w:val="1"/>
        <w:rPr>
          <w:rStyle w:val="28"/>
          <w:rFonts w:hint="eastAsia" w:ascii="黑体" w:hAnsi="黑体" w:eastAsia="黑体" w:cs="黑体"/>
          <w:b w:val="0"/>
          <w:sz w:val="32"/>
          <w:szCs w:val="32"/>
        </w:rPr>
      </w:pPr>
      <w:bookmarkStart w:id="42" w:name="_Toc15396609"/>
      <w:bookmarkStart w:id="43" w:name="_Toc15377215"/>
      <w:r>
        <w:rPr>
          <w:rFonts w:hint="eastAsia" w:ascii="黑体" w:hAnsi="黑体" w:eastAsia="黑体" w:cs="黑体"/>
          <w:color w:val="000000"/>
          <w:sz w:val="32"/>
          <w:szCs w:val="32"/>
        </w:rPr>
        <w:t>七、</w:t>
      </w:r>
      <w:r>
        <w:rPr>
          <w:rStyle w:val="28"/>
          <w:rFonts w:hint="eastAsia" w:ascii="黑体" w:hAnsi="黑体" w:eastAsia="黑体" w:cs="黑体"/>
          <w:sz w:val="32"/>
          <w:szCs w:val="32"/>
        </w:rPr>
        <w:t>“</w:t>
      </w:r>
      <w:r>
        <w:rPr>
          <w:rStyle w:val="28"/>
          <w:rFonts w:hint="eastAsia" w:ascii="黑体" w:hAnsi="黑体" w:eastAsia="黑体" w:cs="黑体"/>
          <w:b w:val="0"/>
          <w:sz w:val="32"/>
          <w:szCs w:val="32"/>
        </w:rPr>
        <w:t>三公”经费财政拨款支出决算情况说明</w:t>
      </w:r>
      <w:bookmarkEnd w:id="42"/>
      <w:bookmarkEnd w:id="43"/>
    </w:p>
    <w:p>
      <w:pPr>
        <w:pageBreakBefore w:val="0"/>
        <w:kinsoku/>
        <w:wordWrap/>
        <w:overflowPunct/>
        <w:topLinePunct w:val="0"/>
        <w:bidi w:val="0"/>
        <w:spacing w:line="578" w:lineRule="exact"/>
        <w:ind w:firstLine="640"/>
        <w:outlineLvl w:val="2"/>
        <w:rPr>
          <w:rFonts w:hint="eastAsia" w:ascii="楷体" w:hAnsi="楷体" w:eastAsia="楷体" w:cs="楷体"/>
          <w:b/>
          <w:color w:val="000000"/>
          <w:sz w:val="32"/>
          <w:szCs w:val="32"/>
        </w:rPr>
      </w:pPr>
      <w:bookmarkStart w:id="44" w:name="_Toc15377216"/>
      <w:r>
        <w:rPr>
          <w:rFonts w:hint="eastAsia" w:ascii="楷体" w:hAnsi="楷体" w:eastAsia="楷体" w:cs="楷体"/>
          <w:b/>
          <w:color w:val="000000"/>
          <w:sz w:val="32"/>
          <w:szCs w:val="32"/>
        </w:rPr>
        <w:t>（一）“三公”经费财政拨款支出决算总体情况说明</w:t>
      </w:r>
      <w:bookmarkEnd w:id="44"/>
    </w:p>
    <w:p>
      <w:pPr>
        <w:pageBreakBefore w:val="0"/>
        <w:kinsoku/>
        <w:wordWrap/>
        <w:overflowPunct/>
        <w:topLinePunct w:val="0"/>
        <w:bidi w:val="0"/>
        <w:spacing w:line="578"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年“三公”经费财政拨款支出决算为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pageBreakBefore w:val="0"/>
        <w:kinsoku/>
        <w:wordWrap/>
        <w:overflowPunct/>
        <w:topLinePunct w:val="0"/>
        <w:bidi w:val="0"/>
        <w:spacing w:line="578" w:lineRule="exact"/>
        <w:ind w:firstLine="640"/>
        <w:outlineLvl w:val="2"/>
        <w:rPr>
          <w:rFonts w:hint="eastAsia" w:ascii="楷体" w:hAnsi="楷体" w:eastAsia="楷体" w:cs="楷体"/>
          <w:b/>
          <w:bCs/>
          <w:color w:val="000000"/>
          <w:sz w:val="32"/>
          <w:szCs w:val="32"/>
        </w:rPr>
      </w:pPr>
      <w:bookmarkStart w:id="45" w:name="_Toc15377217"/>
      <w:r>
        <w:rPr>
          <w:rFonts w:hint="eastAsia" w:ascii="楷体" w:hAnsi="楷体" w:eastAsia="楷体" w:cs="楷体"/>
          <w:b/>
          <w:bCs/>
          <w:color w:val="000000"/>
          <w:sz w:val="32"/>
          <w:szCs w:val="32"/>
          <w:lang w:eastAsia="zh-CN"/>
        </w:rPr>
        <w:drawing>
          <wp:anchor distT="0" distB="0" distL="114300" distR="114300" simplePos="0" relativeHeight="251659264" behindDoc="0" locked="0" layoutInCell="1" allowOverlap="1">
            <wp:simplePos x="0" y="0"/>
            <wp:positionH relativeFrom="column">
              <wp:posOffset>515620</wp:posOffset>
            </wp:positionH>
            <wp:positionV relativeFrom="paragraph">
              <wp:posOffset>3013710</wp:posOffset>
            </wp:positionV>
            <wp:extent cx="4051300" cy="2686685"/>
            <wp:effectExtent l="4445" t="4445" r="20955"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楷体" w:hAnsi="楷体" w:eastAsia="楷体" w:cs="楷体"/>
          <w:b/>
          <w:bCs/>
          <w:color w:val="000000"/>
          <w:sz w:val="32"/>
          <w:szCs w:val="32"/>
        </w:rPr>
        <w:t>（二）“三公”经费财政拨款支出决算具体情况说明</w:t>
      </w:r>
      <w:bookmarkEnd w:id="45"/>
    </w:p>
    <w:p>
      <w:pPr>
        <w:pageBreakBefore w:val="0"/>
        <w:kinsoku/>
        <w:wordWrap/>
        <w:overflowPunct/>
        <w:topLinePunct w:val="0"/>
        <w:bidi w:val="0"/>
        <w:spacing w:line="578"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年“三公”经费财政拨款支出决算中，因公出国（境）费支出决算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；公务用车购置及运行维护费支出决算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；公务接待费支出决算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r>
        <w:rPr>
          <w:rFonts w:hint="eastAsia" w:ascii="仿宋" w:hAnsi="仿宋" w:eastAsia="仿宋" w:cs="仿宋"/>
          <w:color w:val="000000"/>
          <w:sz w:val="32"/>
          <w:szCs w:val="32"/>
        </w:rPr>
        <w:t>。具体情况如下：</w:t>
      </w:r>
    </w:p>
    <w:p>
      <w:pPr>
        <w:pageBreakBefore w:val="0"/>
        <w:kinsoku/>
        <w:wordWrap/>
        <w:overflowPunct/>
        <w:topLinePunct w:val="0"/>
        <w:bidi w:val="0"/>
        <w:spacing w:line="578"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（图8：“三公”经费财政拨款支出结构）（饼状图）</w:t>
      </w:r>
    </w:p>
    <w:p>
      <w:pPr>
        <w:pageBreakBefore w:val="0"/>
        <w:kinsoku/>
        <w:wordWrap/>
        <w:overflowPunct/>
        <w:topLinePunct w:val="0"/>
        <w:bidi w:val="0"/>
        <w:spacing w:line="578" w:lineRule="exact"/>
        <w:ind w:firstLine="640"/>
        <w:rPr>
          <w:rFonts w:hint="eastAsia" w:ascii="仿宋" w:hAnsi="仿宋" w:eastAsia="仿宋" w:cs="仿宋"/>
          <w:color w:val="000000"/>
          <w:sz w:val="32"/>
          <w:szCs w:val="32"/>
          <w:lang w:eastAsia="zh-CN"/>
        </w:rPr>
      </w:pPr>
    </w:p>
    <w:p>
      <w:pPr>
        <w:pageBreakBefore w:val="0"/>
        <w:numPr>
          <w:ilvl w:val="0"/>
          <w:numId w:val="3"/>
        </w:numPr>
        <w:kinsoku/>
        <w:wordWrap/>
        <w:overflowPunct/>
        <w:topLinePunct w:val="0"/>
        <w:bidi w:val="0"/>
        <w:spacing w:line="578" w:lineRule="exact"/>
        <w:ind w:firstLine="640"/>
        <w:rPr>
          <w:rFonts w:hint="eastAsia" w:ascii="仿宋" w:hAnsi="仿宋" w:eastAsia="仿宋" w:cs="仿宋"/>
          <w:b w:val="0"/>
          <w:bCs/>
          <w:color w:val="000000"/>
          <w:sz w:val="32"/>
          <w:szCs w:val="32"/>
        </w:rPr>
      </w:pPr>
      <w:bookmarkStart w:id="46" w:name="_Toc15377218"/>
      <w:bookmarkStart w:id="47" w:name="_Toc15396610"/>
      <w:r>
        <w:rPr>
          <w:rFonts w:hint="eastAsia" w:ascii="仿宋" w:hAnsi="仿宋" w:eastAsia="仿宋" w:cs="仿宋"/>
          <w:b w:val="0"/>
          <w:bCs/>
          <w:color w:val="000000"/>
          <w:sz w:val="32"/>
          <w:szCs w:val="32"/>
        </w:rPr>
        <w:t>因公出国（境）经费支出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0</w:t>
      </w:r>
      <w:r>
        <w:rPr>
          <w:rStyle w:val="15"/>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rPr>
        <w:t>全年安排因公出国（境）团组</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次，出国（境）</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人。</w:t>
      </w:r>
    </w:p>
    <w:p>
      <w:pPr>
        <w:pageBreakBefore w:val="0"/>
        <w:kinsoku/>
        <w:wordWrap/>
        <w:overflowPunct/>
        <w:topLinePunct w:val="0"/>
        <w:bidi w:val="0"/>
        <w:spacing w:line="578"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2.公务用车购置及运行维护费支出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r>
        <w:rPr>
          <w:rStyle w:val="15"/>
          <w:rFonts w:hint="eastAsia" w:ascii="仿宋" w:hAnsi="仿宋" w:eastAsia="仿宋" w:cs="仿宋"/>
          <w:b w:val="0"/>
          <w:bCs/>
          <w:color w:val="000000"/>
          <w:sz w:val="32"/>
          <w:szCs w:val="32"/>
        </w:rPr>
        <w:t>完成预算</w:t>
      </w:r>
      <w:r>
        <w:rPr>
          <w:rStyle w:val="15"/>
          <w:rFonts w:hint="eastAsia" w:ascii="仿宋" w:hAnsi="仿宋" w:eastAsia="仿宋" w:cs="仿宋"/>
          <w:b w:val="0"/>
          <w:bCs/>
          <w:color w:val="000000"/>
          <w:sz w:val="32"/>
          <w:szCs w:val="32"/>
          <w:lang w:val="en-US" w:eastAsia="zh-CN"/>
        </w:rPr>
        <w:t>0</w:t>
      </w:r>
      <w:r>
        <w:rPr>
          <w:rStyle w:val="15"/>
          <w:rFonts w:hint="eastAsia" w:ascii="仿宋" w:hAnsi="仿宋" w:eastAsia="仿宋" w:cs="仿宋"/>
          <w:b w:val="0"/>
          <w:bCs/>
          <w:color w:val="000000"/>
          <w:sz w:val="32"/>
          <w:szCs w:val="32"/>
        </w:rPr>
        <w:t>%。</w:t>
      </w:r>
    </w:p>
    <w:p>
      <w:pPr>
        <w:pageBreakBefore w:val="0"/>
        <w:kinsoku/>
        <w:wordWrap/>
        <w:overflowPunct/>
        <w:topLinePunct w:val="0"/>
        <w:bidi w:val="0"/>
        <w:spacing w:line="578" w:lineRule="exact"/>
        <w:ind w:firstLine="640" w:firstLineChars="20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其中：公务用车购置支出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万元。全年按规定更新购置公务用车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辆，其中：轿车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辆、金额</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万元，越野车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辆、金额</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万元，载客汽车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辆、金额</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万元。截至20</w:t>
      </w:r>
      <w:r>
        <w:rPr>
          <w:rFonts w:hint="eastAsia" w:ascii="仿宋" w:hAnsi="仿宋" w:eastAsia="仿宋" w:cs="仿宋"/>
          <w:b w:val="0"/>
          <w:bCs/>
          <w:color w:val="000000"/>
          <w:sz w:val="32"/>
          <w:szCs w:val="32"/>
          <w:lang w:val="en-US" w:eastAsia="zh-CN"/>
        </w:rPr>
        <w:t>20</w:t>
      </w:r>
      <w:r>
        <w:rPr>
          <w:rFonts w:hint="eastAsia" w:ascii="仿宋" w:hAnsi="仿宋" w:eastAsia="仿宋" w:cs="仿宋"/>
          <w:b w:val="0"/>
          <w:bCs/>
          <w:color w:val="000000"/>
          <w:sz w:val="32"/>
          <w:szCs w:val="32"/>
        </w:rPr>
        <w:t>年12月底，单位共有公务用车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辆，其中：轿车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辆、越野车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辆、载客汽车</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辆。</w:t>
      </w:r>
    </w:p>
    <w:p>
      <w:pPr>
        <w:pageBreakBefore w:val="0"/>
        <w:kinsoku/>
        <w:wordWrap/>
        <w:overflowPunct/>
        <w:topLinePunct w:val="0"/>
        <w:bidi w:val="0"/>
        <w:spacing w:line="578"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公务用车运行维护费支出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p>
    <w:p>
      <w:pPr>
        <w:pageBreakBefore w:val="0"/>
        <w:kinsoku/>
        <w:wordWrap/>
        <w:overflowPunct/>
        <w:topLinePunct w:val="0"/>
        <w:bidi w:val="0"/>
        <w:spacing w:line="578"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3.公务接待费支出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r>
        <w:rPr>
          <w:rStyle w:val="15"/>
          <w:rFonts w:hint="eastAsia" w:ascii="仿宋" w:hAnsi="仿宋" w:eastAsia="仿宋" w:cs="仿宋"/>
          <w:b w:val="0"/>
          <w:bCs/>
          <w:color w:val="000000"/>
          <w:sz w:val="32"/>
          <w:szCs w:val="32"/>
        </w:rPr>
        <w:t>。</w:t>
      </w:r>
    </w:p>
    <w:p>
      <w:pPr>
        <w:pageBreakBefore w:val="0"/>
        <w:kinsoku/>
        <w:wordWrap/>
        <w:overflowPunct/>
        <w:topLinePunct w:val="0"/>
        <w:bidi w:val="0"/>
        <w:spacing w:line="578" w:lineRule="exact"/>
        <w:ind w:firstLine="640" w:firstLineChars="20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sz w:val="32"/>
          <w:szCs w:val="32"/>
        </w:rPr>
        <w:t>主要用于执行公务、开展业务活动开支的交通费、住宿费、用餐费等。国内公务接待</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批次，</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人次（不包括陪同人员），共计支出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万元，其中：</w:t>
      </w:r>
      <w:r>
        <w:rPr>
          <w:rFonts w:hint="eastAsia" w:ascii="仿宋" w:hAnsi="仿宋" w:eastAsia="仿宋" w:cs="仿宋"/>
          <w:b w:val="0"/>
          <w:bCs/>
          <w:color w:val="000000"/>
          <w:sz w:val="32"/>
          <w:szCs w:val="32"/>
        </w:rPr>
        <w:t>外事接待支出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r>
        <w:rPr>
          <w:rFonts w:hint="eastAsia" w:ascii="仿宋" w:hAnsi="仿宋" w:eastAsia="仿宋" w:cs="仿宋"/>
          <w:b w:val="0"/>
          <w:bCs/>
          <w:color w:val="000000" w:themeColor="text1"/>
          <w:sz w:val="32"/>
          <w:szCs w:val="32"/>
          <w14:textFill>
            <w14:solidFill>
              <w14:schemeClr w14:val="tx1"/>
            </w14:solidFill>
          </w14:textFill>
        </w:rPr>
        <w:t>，外事接待</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批次，</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人，共计支出</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万元。</w:t>
      </w:r>
    </w:p>
    <w:p>
      <w:pPr>
        <w:pageBreakBefore w:val="0"/>
        <w:kinsoku/>
        <w:wordWrap/>
        <w:overflowPunct/>
        <w:topLinePunct w:val="0"/>
        <w:bidi w:val="0"/>
        <w:spacing w:line="578" w:lineRule="exact"/>
        <w:ind w:firstLine="640"/>
        <w:rPr>
          <w:rFonts w:hint="eastAsia" w:ascii="仿宋" w:hAnsi="仿宋" w:eastAsia="仿宋" w:cs="仿宋"/>
          <w:color w:val="000000"/>
          <w:sz w:val="32"/>
          <w:szCs w:val="32"/>
          <w:lang w:eastAsia="zh-CN"/>
        </w:rPr>
      </w:pPr>
      <w:r>
        <w:rPr>
          <w:rFonts w:hint="eastAsia" w:ascii="仿宋" w:hAnsi="仿宋" w:eastAsia="仿宋" w:cs="仿宋"/>
          <w:b w:val="0"/>
          <w:bCs/>
          <w:color w:val="000000"/>
          <w:sz w:val="32"/>
          <w:szCs w:val="32"/>
        </w:rPr>
        <w:t>其他国内公务接待支出</w:t>
      </w:r>
      <w:r>
        <w:rPr>
          <w:rFonts w:hint="eastAsia" w:ascii="仿宋" w:hAnsi="仿宋" w:eastAsia="仿宋" w:cs="仿宋"/>
          <w:b w:val="0"/>
          <w:bCs/>
          <w:color w:val="000000"/>
          <w:sz w:val="32"/>
          <w:szCs w:val="32"/>
          <w:lang w:val="en-US" w:eastAsia="zh-CN"/>
        </w:rPr>
        <w:t>0</w:t>
      </w:r>
      <w:r>
        <w:rPr>
          <w:rFonts w:hint="eastAsia" w:ascii="仿宋" w:hAnsi="仿宋" w:eastAsia="仿宋" w:cs="仿宋"/>
          <w:b w:val="0"/>
          <w:bCs/>
          <w:color w:val="000000"/>
          <w:sz w:val="32"/>
          <w:szCs w:val="32"/>
        </w:rPr>
        <w:t>万元</w:t>
      </w:r>
      <w:r>
        <w:rPr>
          <w:rFonts w:hint="eastAsia" w:ascii="仿宋" w:hAnsi="仿宋" w:eastAsia="仿宋" w:cs="仿宋"/>
          <w:b w:val="0"/>
          <w:bCs/>
          <w:color w:val="000000"/>
          <w:sz w:val="32"/>
          <w:szCs w:val="32"/>
          <w:lang w:eastAsia="zh-CN"/>
        </w:rPr>
        <w:t>。</w:t>
      </w:r>
    </w:p>
    <w:p>
      <w:pPr>
        <w:pageBreakBefore w:val="0"/>
        <w:kinsoku/>
        <w:wordWrap/>
        <w:overflowPunct/>
        <w:topLinePunct w:val="0"/>
        <w:bidi w:val="0"/>
        <w:spacing w:line="578" w:lineRule="exact"/>
        <w:ind w:firstLine="640"/>
        <w:outlineLvl w:val="1"/>
        <w:rPr>
          <w:rStyle w:val="28"/>
          <w:rFonts w:hint="eastAsia" w:ascii="仿宋" w:hAnsi="仿宋" w:eastAsia="仿宋" w:cs="仿宋"/>
          <w:sz w:val="32"/>
          <w:szCs w:val="32"/>
        </w:rPr>
      </w:pPr>
      <w:r>
        <w:rPr>
          <w:rFonts w:hint="eastAsia" w:ascii="仿宋" w:hAnsi="仿宋" w:eastAsia="仿宋" w:cs="仿宋"/>
          <w:color w:val="000000"/>
          <w:sz w:val="32"/>
          <w:szCs w:val="32"/>
        </w:rPr>
        <w:t>八、</w:t>
      </w:r>
      <w:r>
        <w:rPr>
          <w:rStyle w:val="28"/>
          <w:rFonts w:hint="eastAsia" w:ascii="仿宋" w:hAnsi="仿宋" w:eastAsia="仿宋" w:cs="仿宋"/>
          <w:b w:val="0"/>
          <w:sz w:val="32"/>
          <w:szCs w:val="32"/>
        </w:rPr>
        <w:t>政府性基金预算支出决算情况说明</w:t>
      </w:r>
      <w:bookmarkEnd w:id="46"/>
      <w:bookmarkEnd w:id="47"/>
    </w:p>
    <w:p>
      <w:pPr>
        <w:pageBreakBefore w:val="0"/>
        <w:kinsoku/>
        <w:wordWrap/>
        <w:overflowPunct/>
        <w:topLinePunct w:val="0"/>
        <w:bidi w:val="0"/>
        <w:spacing w:line="578"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pageBreakBefore w:val="0"/>
        <w:numPr>
          <w:ilvl w:val="0"/>
          <w:numId w:val="4"/>
        </w:numPr>
        <w:kinsoku/>
        <w:wordWrap/>
        <w:overflowPunct/>
        <w:topLinePunct w:val="0"/>
        <w:bidi w:val="0"/>
        <w:spacing w:line="578" w:lineRule="exact"/>
        <w:ind w:firstLine="640"/>
        <w:outlineLvl w:val="1"/>
        <w:rPr>
          <w:rStyle w:val="28"/>
          <w:rFonts w:hint="eastAsia" w:ascii="仿宋" w:hAnsi="仿宋" w:eastAsia="仿宋" w:cs="仿宋"/>
          <w:b w:val="0"/>
          <w:sz w:val="32"/>
          <w:szCs w:val="32"/>
        </w:rPr>
      </w:pPr>
      <w:bookmarkStart w:id="48" w:name="_Toc15377219"/>
      <w:bookmarkStart w:id="49" w:name="_Toc15396611"/>
      <w:r>
        <w:rPr>
          <w:rStyle w:val="28"/>
          <w:rFonts w:hint="eastAsia" w:ascii="仿宋" w:hAnsi="仿宋" w:eastAsia="仿宋" w:cs="仿宋"/>
          <w:b w:val="0"/>
          <w:sz w:val="32"/>
          <w:szCs w:val="32"/>
        </w:rPr>
        <w:t>国有资本经营预算支出决算情况说明</w:t>
      </w:r>
      <w:bookmarkEnd w:id="48"/>
      <w:bookmarkEnd w:id="49"/>
    </w:p>
    <w:p>
      <w:pPr>
        <w:pageBreakBefore w:val="0"/>
        <w:kinsoku/>
        <w:wordWrap/>
        <w:overflowPunct/>
        <w:topLinePunct w:val="0"/>
        <w:bidi w:val="0"/>
        <w:spacing w:line="578"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pStyle w:val="26"/>
        <w:pageBreakBefore w:val="0"/>
        <w:numPr>
          <w:ilvl w:val="0"/>
          <w:numId w:val="5"/>
        </w:numPr>
        <w:kinsoku/>
        <w:wordWrap/>
        <w:overflowPunct/>
        <w:topLinePunct w:val="0"/>
        <w:bidi w:val="0"/>
        <w:spacing w:line="578" w:lineRule="exact"/>
        <w:ind w:firstLineChars="0"/>
        <w:rPr>
          <w:rStyle w:val="28"/>
          <w:rFonts w:hint="eastAsia" w:ascii="方正小标宋简体" w:hAnsi="方正小标宋简体" w:eastAsia="方正小标宋简体" w:cs="方正小标宋简体"/>
          <w:b w:val="0"/>
          <w:sz w:val="44"/>
          <w:szCs w:val="44"/>
        </w:rPr>
      </w:pPr>
      <w:r>
        <w:rPr>
          <w:rStyle w:val="28"/>
          <w:rFonts w:hint="eastAsia" w:ascii="方正小标宋简体" w:hAnsi="方正小标宋简体" w:eastAsia="方正小标宋简体" w:cs="方正小标宋简体"/>
          <w:b w:val="0"/>
          <w:sz w:val="44"/>
          <w:szCs w:val="44"/>
        </w:rPr>
        <w:t>预算绩效情况说明</w:t>
      </w:r>
    </w:p>
    <w:p>
      <w:pPr>
        <w:pageBreakBefore w:val="0"/>
        <w:numPr>
          <w:ilvl w:val="0"/>
          <w:numId w:val="6"/>
        </w:numPr>
        <w:kinsoku/>
        <w:wordWrap/>
        <w:overflowPunct/>
        <w:topLinePunct w:val="0"/>
        <w:bidi w:val="0"/>
        <w:spacing w:line="578" w:lineRule="exact"/>
        <w:ind w:left="-13" w:leftChars="0" w:firstLine="643" w:firstLineChars="0"/>
        <w:rPr>
          <w:rFonts w:hint="eastAsia" w:ascii="仿宋" w:hAnsi="仿宋" w:eastAsia="仿宋" w:cs="仿宋"/>
          <w:b/>
          <w:bCs/>
          <w:sz w:val="32"/>
          <w:szCs w:val="32"/>
        </w:rPr>
      </w:pPr>
      <w:r>
        <w:rPr>
          <w:rFonts w:hint="eastAsia" w:ascii="楷体" w:hAnsi="楷体" w:eastAsia="楷体" w:cs="楷体"/>
          <w:b/>
          <w:bCs/>
          <w:sz w:val="32"/>
          <w:szCs w:val="32"/>
        </w:rPr>
        <w:t>预算绩效管理工作开展情况。</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根据预算绩效管理要求，本部门（单位）在年初预算编制阶段，组织对</w:t>
      </w:r>
      <w:r>
        <w:rPr>
          <w:rFonts w:hint="eastAsia" w:ascii="仿宋" w:hAnsi="仿宋" w:eastAsia="仿宋" w:cs="仿宋"/>
          <w:sz w:val="32"/>
          <w:szCs w:val="32"/>
          <w:lang w:val="en-US" w:eastAsia="zh-CN"/>
        </w:rPr>
        <w:t>2020年一般公共预算</w:t>
      </w:r>
      <w:r>
        <w:rPr>
          <w:rFonts w:hint="eastAsia" w:ascii="仿宋" w:hAnsi="仿宋" w:eastAsia="仿宋" w:cs="仿宋"/>
          <w:sz w:val="32"/>
          <w:szCs w:val="32"/>
        </w:rPr>
        <w:t>项目开展了预算事前绩效评估，对</w:t>
      </w:r>
      <w:r>
        <w:rPr>
          <w:rFonts w:hint="eastAsia" w:ascii="仿宋" w:hAnsi="仿宋" w:eastAsia="仿宋" w:cs="仿宋"/>
          <w:sz w:val="32"/>
          <w:szCs w:val="32"/>
          <w:lang w:eastAsia="zh-CN"/>
        </w:rPr>
        <w:t>人员经费、公用经费</w:t>
      </w:r>
      <w:r>
        <w:rPr>
          <w:rFonts w:hint="eastAsia" w:ascii="仿宋" w:hAnsi="仿宋" w:eastAsia="仿宋" w:cs="仿宋"/>
          <w:sz w:val="32"/>
          <w:szCs w:val="32"/>
        </w:rPr>
        <w:t>项目编制了绩效目标，预算执行过程中，选取</w:t>
      </w:r>
      <w:r>
        <w:rPr>
          <w:rFonts w:hint="eastAsia" w:ascii="仿宋" w:hAnsi="仿宋" w:eastAsia="仿宋" w:cs="仿宋"/>
          <w:sz w:val="32"/>
          <w:szCs w:val="32"/>
          <w:lang w:eastAsia="zh-CN"/>
        </w:rPr>
        <w:t>人员经费</w:t>
      </w:r>
      <w:r>
        <w:rPr>
          <w:rFonts w:hint="eastAsia" w:ascii="仿宋" w:hAnsi="仿宋" w:eastAsia="仿宋" w:cs="仿宋"/>
          <w:sz w:val="32"/>
          <w:szCs w:val="32"/>
        </w:rPr>
        <w:t>项目开展绩效监控，年终执行完毕后，对</w:t>
      </w:r>
      <w:r>
        <w:rPr>
          <w:rFonts w:hint="eastAsia" w:ascii="仿宋" w:hAnsi="仿宋" w:eastAsia="仿宋" w:cs="仿宋"/>
          <w:sz w:val="32"/>
          <w:szCs w:val="32"/>
          <w:lang w:eastAsia="zh-CN"/>
        </w:rPr>
        <w:t>人员经费</w:t>
      </w:r>
      <w:r>
        <w:rPr>
          <w:rFonts w:hint="eastAsia" w:ascii="仿宋" w:hAnsi="仿宋" w:eastAsia="仿宋" w:cs="仿宋"/>
          <w:sz w:val="32"/>
          <w:szCs w:val="32"/>
        </w:rPr>
        <w:t>项目开展了绩效目标完成情况梳理填报。</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年部门整体支出开展绩效自评，从评价情况来看积极履职，强化管理，较好地完成了年度工作目标</w:t>
      </w:r>
      <w:r>
        <w:rPr>
          <w:rFonts w:hint="eastAsia" w:ascii="仿宋" w:hAnsi="仿宋" w:eastAsia="仿宋" w:cs="仿宋"/>
          <w:sz w:val="32"/>
          <w:szCs w:val="32"/>
          <w:lang w:eastAsia="zh-CN"/>
        </w:rPr>
        <w:t>，</w:t>
      </w:r>
      <w:r>
        <w:rPr>
          <w:rFonts w:hint="eastAsia" w:ascii="仿宋" w:hAnsi="仿宋" w:eastAsia="仿宋" w:cs="仿宋"/>
          <w:sz w:val="32"/>
          <w:szCs w:val="32"/>
        </w:rPr>
        <w:t>本部门还自行组织了</w:t>
      </w:r>
      <w:r>
        <w:rPr>
          <w:rFonts w:hint="eastAsia" w:ascii="仿宋" w:hAnsi="仿宋" w:eastAsia="仿宋" w:cs="仿宋"/>
          <w:sz w:val="32"/>
          <w:szCs w:val="32"/>
          <w:lang w:val="en-US" w:eastAsia="zh-CN"/>
        </w:rPr>
        <w:t>人员经费</w:t>
      </w:r>
      <w:r>
        <w:rPr>
          <w:rFonts w:hint="eastAsia" w:ascii="仿宋" w:hAnsi="仿宋" w:eastAsia="仿宋" w:cs="仿宋"/>
          <w:sz w:val="32"/>
          <w:szCs w:val="32"/>
        </w:rPr>
        <w:t>项目绩效评价，从评价情况来看</w:t>
      </w:r>
      <w:r>
        <w:rPr>
          <w:rFonts w:hint="eastAsia" w:ascii="仿宋" w:hAnsi="仿宋" w:eastAsia="仿宋" w:cs="仿宋"/>
          <w:sz w:val="32"/>
          <w:szCs w:val="32"/>
          <w:lang w:eastAsia="zh-CN"/>
        </w:rPr>
        <w:t>圆满完成了该项目的预算目标，数量指标、质量指标、时效指标、满意度指标均达</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pageBreakBefore w:val="0"/>
        <w:numPr>
          <w:ilvl w:val="0"/>
          <w:numId w:val="6"/>
        </w:numPr>
        <w:kinsoku/>
        <w:wordWrap/>
        <w:overflowPunct/>
        <w:topLinePunct w:val="0"/>
        <w:bidi w:val="0"/>
        <w:spacing w:line="578" w:lineRule="exact"/>
        <w:ind w:left="-13" w:leftChars="0" w:firstLine="643" w:firstLineChars="0"/>
        <w:rPr>
          <w:rFonts w:hint="eastAsia" w:ascii="仿宋" w:hAnsi="仿宋" w:eastAsia="仿宋" w:cs="仿宋"/>
          <w:sz w:val="32"/>
          <w:szCs w:val="32"/>
        </w:rPr>
      </w:pPr>
      <w:r>
        <w:rPr>
          <w:rFonts w:hint="eastAsia" w:ascii="楷体" w:hAnsi="楷体" w:eastAsia="楷体" w:cs="楷体"/>
          <w:b/>
          <w:bCs/>
          <w:sz w:val="32"/>
          <w:szCs w:val="32"/>
        </w:rPr>
        <w:t>项目绩效目标完成情况。</w:t>
      </w:r>
    </w:p>
    <w:p>
      <w:pPr>
        <w:pageBreakBefore w:val="0"/>
        <w:numPr>
          <w:ilvl w:val="0"/>
          <w:numId w:val="6"/>
        </w:numPr>
        <w:kinsoku/>
        <w:wordWrap/>
        <w:overflowPunct/>
        <w:topLinePunct w:val="0"/>
        <w:bidi w:val="0"/>
        <w:spacing w:line="578" w:lineRule="exact"/>
        <w:ind w:left="-13" w:leftChars="0" w:firstLine="640" w:firstLineChars="0"/>
        <w:rPr>
          <w:rFonts w:hint="eastAsia" w:ascii="仿宋" w:hAnsi="仿宋" w:eastAsia="仿宋" w:cs="仿宋"/>
          <w:sz w:val="32"/>
          <w:szCs w:val="32"/>
        </w:rPr>
      </w:pPr>
      <w:r>
        <w:rPr>
          <w:rFonts w:hint="eastAsia" w:ascii="楷体" w:hAnsi="楷体" w:eastAsia="楷体" w:cs="楷体"/>
          <w:b/>
          <w:bCs/>
          <w:sz w:val="32"/>
          <w:szCs w:val="32"/>
        </w:rPr>
        <w:t>本部门在20</w:t>
      </w: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年度部门决算中反映“</w:t>
      </w:r>
      <w:r>
        <w:rPr>
          <w:rFonts w:hint="eastAsia" w:ascii="楷体" w:hAnsi="楷体" w:eastAsia="楷体" w:cs="楷体"/>
          <w:b/>
          <w:bCs/>
          <w:sz w:val="32"/>
          <w:szCs w:val="32"/>
          <w:lang w:eastAsia="zh-CN"/>
        </w:rPr>
        <w:t>人员经费</w:t>
      </w:r>
      <w:r>
        <w:rPr>
          <w:rFonts w:hint="eastAsia" w:ascii="楷体" w:hAnsi="楷体" w:eastAsia="楷体" w:cs="楷体"/>
          <w:b/>
          <w:bCs/>
          <w:sz w:val="32"/>
          <w:szCs w:val="32"/>
        </w:rPr>
        <w:t>”</w:t>
      </w:r>
      <w:r>
        <w:rPr>
          <w:rFonts w:hint="eastAsia" w:ascii="楷体" w:hAnsi="楷体" w:eastAsia="楷体" w:cs="楷体"/>
          <w:b/>
          <w:bCs/>
          <w:sz w:val="32"/>
          <w:szCs w:val="32"/>
          <w:lang w:eastAsia="zh-CN"/>
        </w:rPr>
        <w:t>“公用经费</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个项目绩效目标实际完成情况。</w:t>
      </w:r>
    </w:p>
    <w:p>
      <w:pPr>
        <w:pageBreakBefore w:val="0"/>
        <w:numPr>
          <w:numId w:val="0"/>
        </w:numPr>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人员经费</w:t>
      </w:r>
      <w:r>
        <w:rPr>
          <w:rFonts w:hint="eastAsia" w:ascii="仿宋" w:hAnsi="仿宋" w:eastAsia="仿宋" w:cs="仿宋"/>
          <w:sz w:val="32"/>
          <w:szCs w:val="32"/>
        </w:rPr>
        <w:t>项目绩效目标完成情况综述。项目全年预算数万元</w:t>
      </w:r>
      <w:r>
        <w:rPr>
          <w:rFonts w:hint="eastAsia" w:ascii="仿宋" w:hAnsi="仿宋" w:eastAsia="仿宋" w:cs="仿宋"/>
          <w:sz w:val="32"/>
          <w:szCs w:val="32"/>
          <w:lang w:val="en-US" w:eastAsia="zh-CN"/>
        </w:rPr>
        <w:t>54.53</w:t>
      </w:r>
      <w:r>
        <w:rPr>
          <w:rFonts w:hint="eastAsia" w:ascii="仿宋" w:hAnsi="仿宋" w:eastAsia="仿宋" w:cs="仿宋"/>
          <w:sz w:val="32"/>
          <w:szCs w:val="32"/>
        </w:rPr>
        <w:t>，执行数为</w:t>
      </w:r>
      <w:r>
        <w:rPr>
          <w:rFonts w:hint="eastAsia" w:ascii="仿宋" w:hAnsi="仿宋" w:eastAsia="仿宋" w:cs="仿宋"/>
          <w:color w:val="000000"/>
          <w:sz w:val="32"/>
          <w:szCs w:val="32"/>
          <w:lang w:val="en-US" w:eastAsia="zh-CN"/>
        </w:rPr>
        <w:t>97.37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170.56</w:t>
      </w:r>
      <w:r>
        <w:rPr>
          <w:rFonts w:hint="eastAsia" w:ascii="仿宋" w:hAnsi="仿宋" w:eastAsia="仿宋" w:cs="仿宋"/>
          <w:sz w:val="32"/>
          <w:szCs w:val="32"/>
        </w:rPr>
        <w:t>%。通过项目实施，保障了</w:t>
      </w:r>
      <w:r>
        <w:rPr>
          <w:rFonts w:hint="eastAsia" w:ascii="仿宋" w:hAnsi="仿宋" w:eastAsia="仿宋" w:cs="仿宋"/>
          <w:sz w:val="32"/>
          <w:szCs w:val="32"/>
          <w:lang w:eastAsia="zh-CN"/>
        </w:rPr>
        <w:t>教职工的各项合法权益，调动了全体教职工的工作积极性。全园人员经费的支出</w:t>
      </w:r>
      <w:r>
        <w:rPr>
          <w:rFonts w:hint="eastAsia" w:ascii="仿宋" w:hAnsi="仿宋" w:eastAsia="仿宋" w:cs="仿宋"/>
          <w:sz w:val="32"/>
          <w:szCs w:val="32"/>
        </w:rPr>
        <w:t>，发现的主要问题：</w:t>
      </w:r>
      <w:r>
        <w:rPr>
          <w:rFonts w:hint="eastAsia" w:ascii="仿宋" w:hAnsi="仿宋" w:eastAsia="仿宋" w:cs="仿宋"/>
          <w:sz w:val="32"/>
          <w:szCs w:val="32"/>
          <w:lang w:eastAsia="zh-CN"/>
        </w:rPr>
        <w:t>无。</w:t>
      </w:r>
    </w:p>
    <w:p>
      <w:pPr>
        <w:pageBreakBefore w:val="0"/>
        <w:numPr>
          <w:numId w:val="0"/>
        </w:numPr>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公用经费</w:t>
      </w:r>
      <w:r>
        <w:rPr>
          <w:rFonts w:hint="eastAsia" w:ascii="仿宋" w:hAnsi="仿宋" w:eastAsia="仿宋" w:cs="仿宋"/>
          <w:sz w:val="32"/>
          <w:szCs w:val="32"/>
        </w:rPr>
        <w:t>项目绩效目标完成情况综述。项目全年预算数</w:t>
      </w:r>
      <w:r>
        <w:rPr>
          <w:rFonts w:hint="eastAsia" w:ascii="仿宋" w:hAnsi="仿宋" w:eastAsia="仿宋" w:cs="仿宋"/>
          <w:sz w:val="32"/>
          <w:szCs w:val="32"/>
          <w:lang w:val="en-US" w:eastAsia="zh-CN"/>
        </w:rPr>
        <w:t>182.47</w:t>
      </w:r>
      <w:r>
        <w:rPr>
          <w:rFonts w:hint="eastAsia" w:ascii="仿宋" w:hAnsi="仿宋" w:eastAsia="仿宋" w:cs="仿宋"/>
          <w:sz w:val="32"/>
          <w:szCs w:val="32"/>
        </w:rPr>
        <w:t>万元，执行数为</w:t>
      </w:r>
      <w:r>
        <w:rPr>
          <w:rFonts w:hint="eastAsia" w:ascii="仿宋" w:hAnsi="仿宋" w:eastAsia="仿宋" w:cs="仿宋"/>
          <w:color w:val="000000"/>
          <w:sz w:val="32"/>
          <w:szCs w:val="32"/>
          <w:lang w:val="en-US" w:eastAsia="zh-CN"/>
        </w:rPr>
        <w:t>104.84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57.46</w:t>
      </w:r>
      <w:r>
        <w:rPr>
          <w:rFonts w:hint="eastAsia" w:ascii="仿宋" w:hAnsi="仿宋" w:eastAsia="仿宋" w:cs="仿宋"/>
          <w:sz w:val="32"/>
          <w:szCs w:val="32"/>
        </w:rPr>
        <w:t>%。通过项目实施，保障了</w:t>
      </w:r>
      <w:r>
        <w:rPr>
          <w:rFonts w:hint="eastAsia" w:ascii="仿宋" w:hAnsi="仿宋" w:eastAsia="仿宋" w:cs="仿宋"/>
          <w:sz w:val="32"/>
          <w:szCs w:val="32"/>
          <w:lang w:eastAsia="zh-CN"/>
        </w:rPr>
        <w:t>学校教育教学活动的实施</w:t>
      </w:r>
      <w:r>
        <w:rPr>
          <w:rFonts w:hint="eastAsia" w:ascii="仿宋" w:hAnsi="仿宋" w:eastAsia="仿宋" w:cs="仿宋"/>
          <w:sz w:val="32"/>
          <w:szCs w:val="32"/>
        </w:rPr>
        <w:t>，发现的主要问题</w:t>
      </w:r>
      <w:r>
        <w:rPr>
          <w:rFonts w:hint="eastAsia" w:ascii="仿宋" w:hAnsi="仿宋" w:eastAsia="仿宋" w:cs="仿宋"/>
          <w:sz w:val="32"/>
          <w:szCs w:val="32"/>
          <w:lang w:eastAsia="zh-CN"/>
        </w:rPr>
        <w:t>：无。</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27"/>
        <w:gridCol w:w="930"/>
        <w:gridCol w:w="1375"/>
        <w:gridCol w:w="2042"/>
        <w:gridCol w:w="2472"/>
        <w:gridCol w:w="2314"/>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pageBreakBefore w:val="0"/>
              <w:widowControl/>
              <w:kinsoku/>
              <w:wordWrap/>
              <w:overflowPunct/>
              <w:topLinePunct w:val="0"/>
              <w:bidi w:val="0"/>
              <w:spacing w:line="578" w:lineRule="exact"/>
              <w:ind w:left="4015" w:leftChars="1310" w:hanging="1264" w:hangingChars="395"/>
              <w:textAlignment w:val="center"/>
              <w:rPr>
                <w:rFonts w:hint="eastAsia" w:ascii="仿宋" w:hAnsi="仿宋" w:eastAsia="仿宋" w:cs="仿宋"/>
                <w:bCs/>
                <w:color w:val="000000"/>
                <w:kern w:val="0"/>
                <w:sz w:val="32"/>
                <w:szCs w:val="32"/>
                <w:lang w:eastAsia="zh-CN" w:bidi="ar"/>
              </w:rPr>
            </w:pPr>
            <w:r>
              <w:rPr>
                <w:rFonts w:hint="eastAsia" w:ascii="仿宋" w:hAnsi="仿宋" w:eastAsia="仿宋" w:cs="仿宋"/>
                <w:bCs/>
                <w:color w:val="000000"/>
                <w:kern w:val="0"/>
                <w:sz w:val="32"/>
                <w:szCs w:val="32"/>
                <w:lang w:bidi="ar"/>
              </w:rPr>
              <w:t>项目支出绩效目标完成情况表</w:t>
            </w:r>
          </w:p>
          <w:p>
            <w:pPr>
              <w:pStyle w:val="26"/>
              <w:pageBreakBefore w:val="0"/>
              <w:widowControl/>
              <w:kinsoku/>
              <w:wordWrap/>
              <w:overflowPunct/>
              <w:topLinePunct w:val="0"/>
              <w:bidi w:val="0"/>
              <w:spacing w:line="578" w:lineRule="exact"/>
              <w:ind w:left="4015" w:leftChars="1310" w:hanging="1264" w:hangingChars="395"/>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(20</w:t>
            </w:r>
            <w:r>
              <w:rPr>
                <w:rFonts w:hint="eastAsia" w:ascii="仿宋" w:hAnsi="仿宋" w:eastAsia="仿宋" w:cs="仿宋"/>
                <w:color w:val="000000"/>
                <w:kern w:val="0"/>
                <w:sz w:val="32"/>
                <w:szCs w:val="32"/>
                <w:lang w:val="en-US" w:eastAsia="zh-CN" w:bidi="ar"/>
              </w:rPr>
              <w:t>20</w:t>
            </w:r>
            <w:r>
              <w:rPr>
                <w:rFonts w:hint="eastAsia" w:ascii="仿宋" w:hAnsi="仿宋" w:eastAsia="仿宋" w:cs="仿宋"/>
                <w:color w:val="000000"/>
                <w:kern w:val="0"/>
                <w:sz w:val="32"/>
                <w:szCs w:val="32"/>
                <w:lang w:bidi="ar"/>
              </w:rPr>
              <w:t>年度)</w:t>
            </w:r>
          </w:p>
        </w:tc>
      </w:tr>
      <w:tr>
        <w:tblPrEx>
          <w:tblCellMar>
            <w:top w:w="0" w:type="dxa"/>
            <w:left w:w="0" w:type="dxa"/>
            <w:bottom w:w="0" w:type="dxa"/>
            <w:right w:w="0" w:type="dxa"/>
          </w:tblCellMar>
        </w:tblPrEx>
        <w:trPr>
          <w:trHeight w:val="276" w:hRule="atLeast"/>
        </w:trPr>
        <w:tc>
          <w:tcPr>
            <w:tcW w:w="31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人员经费</w:t>
            </w:r>
          </w:p>
        </w:tc>
      </w:tr>
      <w:tr>
        <w:tblPrEx>
          <w:tblCellMar>
            <w:top w:w="0" w:type="dxa"/>
            <w:left w:w="0" w:type="dxa"/>
            <w:bottom w:w="0" w:type="dxa"/>
            <w:right w:w="0" w:type="dxa"/>
          </w:tblCellMar>
        </w:tblPrEx>
        <w:trPr>
          <w:trHeight w:val="276" w:hRule="atLeast"/>
        </w:trPr>
        <w:tc>
          <w:tcPr>
            <w:tcW w:w="31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达川区第二幼儿园</w:t>
            </w:r>
          </w:p>
        </w:tc>
      </w:tr>
      <w:tr>
        <w:tblPrEx>
          <w:tblCellMar>
            <w:top w:w="0" w:type="dxa"/>
            <w:left w:w="0" w:type="dxa"/>
            <w:bottom w:w="0" w:type="dxa"/>
            <w:right w:w="0" w:type="dxa"/>
          </w:tblCellMar>
        </w:tblPrEx>
        <w:trPr>
          <w:trHeight w:val="276" w:hRule="atLeast"/>
        </w:trPr>
        <w:tc>
          <w:tcPr>
            <w:tcW w:w="82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230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54.53</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93.37</w:t>
            </w:r>
          </w:p>
        </w:tc>
      </w:tr>
      <w:tr>
        <w:tblPrEx>
          <w:tblCellMar>
            <w:top w:w="0" w:type="dxa"/>
            <w:left w:w="0" w:type="dxa"/>
            <w:bottom w:w="0" w:type="dxa"/>
            <w:right w:w="0" w:type="dxa"/>
          </w:tblCellMar>
        </w:tblPrEx>
        <w:trPr>
          <w:trHeight w:val="276"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230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54.53</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93.37</w:t>
            </w:r>
          </w:p>
        </w:tc>
      </w:tr>
      <w:tr>
        <w:tblPrEx>
          <w:tblCellMar>
            <w:top w:w="0" w:type="dxa"/>
            <w:left w:w="0" w:type="dxa"/>
            <w:bottom w:w="0" w:type="dxa"/>
            <w:right w:w="0" w:type="dxa"/>
          </w:tblCellMar>
        </w:tblPrEx>
        <w:trPr>
          <w:trHeight w:val="1511"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230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wordWrap/>
              <w:overflowPunct/>
              <w:topLinePunct w:val="0"/>
              <w:bidi w:val="0"/>
              <w:spacing w:line="578"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276" w:hRule="atLeast"/>
        </w:trPr>
        <w:tc>
          <w:tcPr>
            <w:tcW w:w="82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159"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43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按既定目标全额发放</w:t>
            </w:r>
          </w:p>
        </w:tc>
      </w:tr>
      <w:tr>
        <w:tblPrEx>
          <w:tblCellMar>
            <w:top w:w="0" w:type="dxa"/>
            <w:left w:w="0" w:type="dxa"/>
            <w:bottom w:w="0" w:type="dxa"/>
            <w:right w:w="0" w:type="dxa"/>
          </w:tblCellMar>
        </w:tblPrEx>
        <w:trPr>
          <w:trHeight w:val="1042" w:hRule="atLeast"/>
        </w:trPr>
        <w:tc>
          <w:tcPr>
            <w:tcW w:w="82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二级指标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数量指标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lang w:eastAsia="zh-CN"/>
              </w:rPr>
              <w:t>人员经费</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应享尽享</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应享尽享</w:t>
            </w:r>
          </w:p>
        </w:tc>
      </w:tr>
      <w:tr>
        <w:tblPrEx>
          <w:tblCellMar>
            <w:top w:w="0" w:type="dxa"/>
            <w:left w:w="0" w:type="dxa"/>
            <w:bottom w:w="0" w:type="dxa"/>
            <w:right w:w="0" w:type="dxa"/>
          </w:tblCellMar>
        </w:tblPrEx>
        <w:trPr>
          <w:trHeight w:val="1297"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质量指标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专款专用</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足额发放及时发放</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足额发放及时发放</w:t>
            </w:r>
          </w:p>
        </w:tc>
      </w:tr>
      <w:tr>
        <w:tblPrEx>
          <w:tblCellMar>
            <w:top w:w="0" w:type="dxa"/>
            <w:left w:w="0" w:type="dxa"/>
            <w:bottom w:w="0" w:type="dxa"/>
            <w:right w:w="0" w:type="dxa"/>
          </w:tblCellMar>
        </w:tblPrEx>
        <w:trPr>
          <w:trHeight w:val="1042"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时效指标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及时补助</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全部及时补助</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全部及时补助</w:t>
            </w:r>
          </w:p>
        </w:tc>
      </w:tr>
      <w:tr>
        <w:tblPrEx>
          <w:tblCellMar>
            <w:top w:w="0" w:type="dxa"/>
            <w:left w:w="0" w:type="dxa"/>
            <w:bottom w:w="0" w:type="dxa"/>
            <w:right w:w="0" w:type="dxa"/>
          </w:tblCellMar>
        </w:tblPrEx>
        <w:trPr>
          <w:trHeight w:val="1042"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项目完成指标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财政拨款及时到位</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财政拨款及时到位</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财政拨款及时到位</w:t>
            </w:r>
          </w:p>
        </w:tc>
      </w:tr>
      <w:tr>
        <w:tblPrEx>
          <w:tblCellMar>
            <w:top w:w="0" w:type="dxa"/>
            <w:left w:w="0" w:type="dxa"/>
            <w:bottom w:w="0" w:type="dxa"/>
            <w:right w:w="0" w:type="dxa"/>
          </w:tblCellMar>
        </w:tblPrEx>
        <w:trPr>
          <w:trHeight w:val="1042"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rPr>
              <w:t>享受补助情况</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全部及时得到补助</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全部及时得到补助</w:t>
            </w:r>
          </w:p>
        </w:tc>
      </w:tr>
      <w:tr>
        <w:tblPrEx>
          <w:tblCellMar>
            <w:top w:w="0" w:type="dxa"/>
            <w:left w:w="0" w:type="dxa"/>
            <w:bottom w:w="0" w:type="dxa"/>
            <w:right w:w="0" w:type="dxa"/>
          </w:tblCellMar>
        </w:tblPrEx>
        <w:trPr>
          <w:trHeight w:val="1297" w:hRule="atLeast"/>
        </w:trPr>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color w:val="000000"/>
                <w:sz w:val="32"/>
                <w:szCs w:val="32"/>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eastAsia="zh-CN" w:bidi="ar"/>
              </w:rPr>
              <w:t>满意度指标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满意度指标</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满意度指标</w:t>
            </w:r>
          </w:p>
        </w:tc>
        <w:tc>
          <w:tcPr>
            <w:tcW w:w="24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满意</w:t>
            </w:r>
          </w:p>
        </w:tc>
        <w:tc>
          <w:tcPr>
            <w:tcW w:w="23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rPr>
              <w:t>满意</w:t>
            </w:r>
          </w:p>
        </w:tc>
      </w:tr>
    </w:tbl>
    <w:p>
      <w:pPr>
        <w:pageBreakBefore w:val="0"/>
        <w:kinsoku/>
        <w:wordWrap/>
        <w:overflowPunct/>
        <w:topLinePunct w:val="0"/>
        <w:bidi w:val="0"/>
        <w:spacing w:line="578" w:lineRule="exact"/>
        <w:rPr>
          <w:rFonts w:hint="eastAsia" w:ascii="仿宋" w:hAnsi="仿宋" w:eastAsia="仿宋" w:cs="仿宋"/>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46"/>
        <w:gridCol w:w="1011"/>
        <w:gridCol w:w="1443"/>
        <w:gridCol w:w="1974"/>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pageBreakBefore w:val="0"/>
              <w:widowControl/>
              <w:kinsoku/>
              <w:wordWrap/>
              <w:overflowPunct/>
              <w:topLinePunct w:val="0"/>
              <w:bidi w:val="0"/>
              <w:spacing w:line="578" w:lineRule="exact"/>
              <w:ind w:left="4015" w:leftChars="1310" w:hanging="1264" w:hangingChars="395"/>
              <w:textAlignment w:val="center"/>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项目支出绩效目标完成情况表</w:t>
            </w:r>
          </w:p>
          <w:p>
            <w:pPr>
              <w:pStyle w:val="26"/>
              <w:pageBreakBefore w:val="0"/>
              <w:widowControl/>
              <w:kinsoku/>
              <w:wordWrap/>
              <w:overflowPunct/>
              <w:topLinePunct w:val="0"/>
              <w:bidi w:val="0"/>
              <w:spacing w:line="578" w:lineRule="exact"/>
              <w:ind w:left="4015" w:leftChars="1310" w:hanging="1264" w:hangingChars="395"/>
              <w:textAlignment w:val="center"/>
              <w:rPr>
                <w:rFonts w:hint="eastAsia" w:ascii="仿宋" w:hAnsi="仿宋" w:eastAsia="仿宋" w:cs="仿宋"/>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 xml:space="preserve"> 年度)</w:t>
            </w:r>
          </w:p>
        </w:tc>
      </w:tr>
      <w:tr>
        <w:tblPrEx>
          <w:tblCellMar>
            <w:top w:w="0" w:type="dxa"/>
            <w:left w:w="0" w:type="dxa"/>
            <w:bottom w:w="0" w:type="dxa"/>
            <w:right w:w="0" w:type="dxa"/>
          </w:tblCellMar>
        </w:tblPrEx>
        <w:trPr>
          <w:trHeight w:val="276" w:hRule="atLeast"/>
        </w:trPr>
        <w:tc>
          <w:tcPr>
            <w:tcW w:w="320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项目名称</w:t>
            </w:r>
          </w:p>
        </w:tc>
        <w:tc>
          <w:tcPr>
            <w:tcW w:w="676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lang w:eastAsia="zh-CN"/>
              </w:rPr>
              <w:t>公用</w:t>
            </w:r>
            <w:r>
              <w:rPr>
                <w:rFonts w:hint="eastAsia" w:ascii="仿宋" w:hAnsi="仿宋" w:eastAsia="仿宋" w:cs="仿宋"/>
                <w:sz w:val="32"/>
                <w:szCs w:val="32"/>
              </w:rPr>
              <w:t>经费</w:t>
            </w:r>
          </w:p>
        </w:tc>
      </w:tr>
      <w:tr>
        <w:tblPrEx>
          <w:tblCellMar>
            <w:top w:w="0" w:type="dxa"/>
            <w:left w:w="0" w:type="dxa"/>
            <w:bottom w:w="0" w:type="dxa"/>
            <w:right w:w="0" w:type="dxa"/>
          </w:tblCellMar>
        </w:tblPrEx>
        <w:trPr>
          <w:trHeight w:val="276" w:hRule="atLeast"/>
        </w:trPr>
        <w:tc>
          <w:tcPr>
            <w:tcW w:w="320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预算单位</w:t>
            </w:r>
          </w:p>
        </w:tc>
        <w:tc>
          <w:tcPr>
            <w:tcW w:w="676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达川区</w:t>
            </w:r>
            <w:r>
              <w:rPr>
                <w:rFonts w:hint="eastAsia" w:ascii="仿宋" w:hAnsi="仿宋" w:eastAsia="仿宋" w:cs="仿宋"/>
                <w:sz w:val="32"/>
                <w:szCs w:val="32"/>
                <w:lang w:eastAsia="zh-CN"/>
              </w:rPr>
              <w:t>第二</w:t>
            </w:r>
            <w:r>
              <w:rPr>
                <w:rFonts w:hint="eastAsia" w:ascii="仿宋" w:hAnsi="仿宋" w:eastAsia="仿宋" w:cs="仿宋"/>
                <w:sz w:val="32"/>
                <w:szCs w:val="32"/>
              </w:rPr>
              <w:t>幼儿园</w:t>
            </w:r>
          </w:p>
        </w:tc>
      </w:tr>
      <w:tr>
        <w:tblPrEx>
          <w:tblCellMar>
            <w:top w:w="0" w:type="dxa"/>
            <w:left w:w="0" w:type="dxa"/>
            <w:bottom w:w="0" w:type="dxa"/>
            <w:right w:w="0" w:type="dxa"/>
          </w:tblCellMar>
        </w:tblPrEx>
        <w:trPr>
          <w:trHeight w:val="276"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预算执行情况(万元)</w:t>
            </w:r>
          </w:p>
        </w:tc>
        <w:tc>
          <w:tcPr>
            <w:tcW w:w="24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预算数:</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182.47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104.84</w:t>
            </w:r>
          </w:p>
        </w:tc>
      </w:tr>
      <w:tr>
        <w:tblPrEx>
          <w:tblCellMar>
            <w:top w:w="0" w:type="dxa"/>
            <w:left w:w="0" w:type="dxa"/>
            <w:bottom w:w="0" w:type="dxa"/>
            <w:right w:w="0" w:type="dxa"/>
          </w:tblCellMar>
        </w:tblPrEx>
        <w:trPr>
          <w:trHeight w:val="27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24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其中-财政拨款:</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182.47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104.84</w:t>
            </w:r>
          </w:p>
        </w:tc>
      </w:tr>
      <w:tr>
        <w:tblPrEx>
          <w:tblCellMar>
            <w:top w:w="0" w:type="dxa"/>
            <w:left w:w="0" w:type="dxa"/>
            <w:bottom w:w="0" w:type="dxa"/>
            <w:right w:w="0" w:type="dxa"/>
          </w:tblCellMar>
        </w:tblPrEx>
        <w:trPr>
          <w:trHeight w:val="1511"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24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其它资金:</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wordWrap/>
              <w:overflowPunct/>
              <w:topLinePunct w:val="0"/>
              <w:bidi w:val="0"/>
              <w:spacing w:line="578" w:lineRule="exact"/>
              <w:jc w:val="center"/>
              <w:rPr>
                <w:rFonts w:hint="eastAsia" w:ascii="仿宋" w:hAnsi="仿宋" w:eastAsia="仿宋" w:cs="仿宋"/>
                <w:sz w:val="32"/>
                <w:szCs w:val="32"/>
              </w:rPr>
            </w:pPr>
            <w:r>
              <w:rPr>
                <w:rFonts w:hint="eastAsia" w:ascii="仿宋" w:hAnsi="仿宋" w:eastAsia="仿宋" w:cs="仿宋"/>
                <w:sz w:val="32"/>
                <w:szCs w:val="32"/>
              </w:rPr>
              <w:t>0</w:t>
            </w:r>
          </w:p>
        </w:tc>
      </w:tr>
      <w:tr>
        <w:tblPrEx>
          <w:tblCellMar>
            <w:top w:w="0" w:type="dxa"/>
            <w:left w:w="0" w:type="dxa"/>
            <w:bottom w:w="0" w:type="dxa"/>
            <w:right w:w="0" w:type="dxa"/>
          </w:tblCellMar>
        </w:tblPrEx>
        <w:trPr>
          <w:trHeight w:val="276"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年度目标完成情况</w:t>
            </w:r>
          </w:p>
        </w:tc>
        <w:tc>
          <w:tcPr>
            <w:tcW w:w="44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实际完成目标</w:t>
            </w:r>
          </w:p>
        </w:tc>
      </w:tr>
      <w:tr>
        <w:tblPrEx>
          <w:tblCellMar>
            <w:top w:w="0" w:type="dxa"/>
            <w:left w:w="0" w:type="dxa"/>
            <w:bottom w:w="0" w:type="dxa"/>
            <w:right w:w="0" w:type="dxa"/>
          </w:tblCellMar>
        </w:tblPrEx>
        <w:trPr>
          <w:trHeight w:val="1159"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44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足额补助学校的公</w:t>
            </w:r>
            <w:r>
              <w:rPr>
                <w:rFonts w:hint="eastAsia" w:ascii="仿宋" w:hAnsi="仿宋" w:eastAsia="仿宋" w:cs="仿宋"/>
                <w:sz w:val="32"/>
                <w:szCs w:val="32"/>
                <w:lang w:eastAsia="zh-CN"/>
              </w:rPr>
              <w:t>用</w:t>
            </w:r>
            <w:r>
              <w:rPr>
                <w:rFonts w:hint="eastAsia" w:ascii="仿宋" w:hAnsi="仿宋" w:eastAsia="仿宋" w:cs="仿宋"/>
                <w:sz w:val="32"/>
                <w:szCs w:val="32"/>
              </w:rPr>
              <w:t>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按既定目标全额补助</w:t>
            </w:r>
          </w:p>
        </w:tc>
      </w:tr>
      <w:tr>
        <w:tblPrEx>
          <w:tblCellMar>
            <w:top w:w="0" w:type="dxa"/>
            <w:left w:w="0" w:type="dxa"/>
            <w:bottom w:w="0" w:type="dxa"/>
            <w:right w:w="0" w:type="dxa"/>
          </w:tblCellMar>
        </w:tblPrEx>
        <w:trPr>
          <w:trHeight w:val="1042"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绩效指标完成情况</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一级指标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二级指标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实际完成指标值(包含数字及文字描述)</w:t>
            </w:r>
          </w:p>
        </w:tc>
      </w:tr>
      <w:tr>
        <w:tblPrEx>
          <w:tblCellMar>
            <w:top w:w="0" w:type="dxa"/>
            <w:left w:w="0" w:type="dxa"/>
            <w:bottom w:w="0" w:type="dxa"/>
            <w:right w:w="0" w:type="dxa"/>
          </w:tblCellMar>
        </w:tblPrEx>
        <w:trPr>
          <w:trHeight w:val="95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项目完成指标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数量指标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应补尽补</w:t>
            </w:r>
          </w:p>
        </w:tc>
      </w:tr>
      <w:tr>
        <w:tblPrEx>
          <w:tblCellMar>
            <w:top w:w="0" w:type="dxa"/>
            <w:left w:w="0" w:type="dxa"/>
            <w:bottom w:w="0" w:type="dxa"/>
            <w:right w:w="0" w:type="dxa"/>
          </w:tblCellMar>
        </w:tblPrEx>
        <w:trPr>
          <w:trHeight w:val="1297"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项目完成指标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质量指标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足额补助</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项目完成指标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时效批标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全部及时补助</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kern w:val="0"/>
                <w:sz w:val="32"/>
                <w:szCs w:val="32"/>
              </w:rPr>
            </w:pPr>
            <w:r>
              <w:rPr>
                <w:rFonts w:hint="eastAsia" w:ascii="仿宋" w:hAnsi="仿宋" w:eastAsia="仿宋" w:cs="仿宋"/>
                <w:kern w:val="0"/>
                <w:sz w:val="32"/>
                <w:szCs w:val="32"/>
              </w:rPr>
              <w:t>项目完成指标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成本指标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财政拨款及时到位</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效益指标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效益指标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及时得到补助</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78" w:lineRule="exact"/>
              <w:jc w:val="left"/>
              <w:rPr>
                <w:rFonts w:hint="eastAsia" w:ascii="仿宋" w:hAnsi="仿宋" w:eastAsia="仿宋" w:cs="仿宋"/>
                <w:sz w:val="32"/>
                <w:szCs w:val="32"/>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rPr>
              <w:t>满意度指标</w:t>
            </w:r>
          </w:p>
        </w:tc>
        <w:tc>
          <w:tcPr>
            <w:tcW w:w="1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满意度指标</w:t>
            </w:r>
          </w:p>
        </w:tc>
        <w:tc>
          <w:tcPr>
            <w:tcW w:w="19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78"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满意</w:t>
            </w:r>
          </w:p>
        </w:tc>
      </w:tr>
    </w:tbl>
    <w:p>
      <w:pPr>
        <w:pageBreakBefore w:val="0"/>
        <w:kinsoku/>
        <w:wordWrap/>
        <w:overflowPunct/>
        <w:topLinePunct w:val="0"/>
        <w:bidi w:val="0"/>
        <w:spacing w:line="578" w:lineRule="exact"/>
        <w:rPr>
          <w:rFonts w:hint="eastAsia" w:ascii="仿宋" w:hAnsi="仿宋" w:eastAsia="仿宋" w:cs="仿宋"/>
          <w:sz w:val="32"/>
          <w:szCs w:val="32"/>
        </w:rPr>
      </w:pPr>
    </w:p>
    <w:p>
      <w:pPr>
        <w:pageBreakBefore w:val="0"/>
        <w:numPr>
          <w:ilvl w:val="0"/>
          <w:numId w:val="6"/>
        </w:numPr>
        <w:kinsoku/>
        <w:wordWrap/>
        <w:overflowPunct/>
        <w:topLinePunct w:val="0"/>
        <w:bidi w:val="0"/>
        <w:spacing w:line="578" w:lineRule="exact"/>
        <w:ind w:left="-13" w:leftChars="0" w:firstLine="643" w:firstLineChars="0"/>
        <w:rPr>
          <w:rFonts w:hint="eastAsia" w:ascii="楷体" w:hAnsi="楷体" w:eastAsia="楷体" w:cs="楷体"/>
          <w:b/>
          <w:bCs/>
          <w:sz w:val="32"/>
          <w:szCs w:val="32"/>
        </w:rPr>
      </w:pPr>
      <w:r>
        <w:rPr>
          <w:rFonts w:hint="eastAsia" w:ascii="楷体" w:hAnsi="楷体" w:eastAsia="楷体" w:cs="楷体"/>
          <w:b/>
          <w:bCs/>
          <w:sz w:val="32"/>
          <w:szCs w:val="32"/>
        </w:rPr>
        <w:t>部门开展绩效评价结果。</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年部门整体支出绩效评价情况开展自评，《</w:t>
      </w:r>
      <w:r>
        <w:rPr>
          <w:rFonts w:hint="eastAsia" w:ascii="仿宋" w:hAnsi="仿宋" w:eastAsia="仿宋" w:cs="仿宋"/>
          <w:sz w:val="32"/>
          <w:szCs w:val="32"/>
          <w:lang w:eastAsia="zh-CN"/>
        </w:rPr>
        <w:t>达川区第二幼儿园</w:t>
      </w:r>
      <w:r>
        <w:rPr>
          <w:rFonts w:hint="eastAsia" w:ascii="仿宋" w:hAnsi="仿宋" w:eastAsia="仿宋" w:cs="仿宋"/>
          <w:sz w:val="32"/>
          <w:szCs w:val="32"/>
        </w:rPr>
        <w:t>部门20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年部门整体支出绩效评价报告》见附件。</w:t>
      </w:r>
    </w:p>
    <w:p>
      <w:pPr>
        <w:pageBreakBefore w:val="0"/>
        <w:kinsoku/>
        <w:wordWrap/>
        <w:overflowPunct/>
        <w:topLinePunct w:val="0"/>
        <w:bidi w:val="0"/>
        <w:spacing w:line="578" w:lineRule="exact"/>
        <w:ind w:firstLine="800" w:firstLineChars="250"/>
        <w:outlineLvl w:val="1"/>
        <w:rPr>
          <w:rFonts w:hint="eastAsia" w:ascii="仿宋" w:hAnsi="仿宋" w:eastAsia="仿宋" w:cs="仿宋"/>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lang w:eastAsia="zh-CN"/>
        </w:rPr>
        <w:t>人员经费</w:t>
      </w:r>
      <w:r>
        <w:rPr>
          <w:rFonts w:hint="eastAsia" w:ascii="仿宋" w:hAnsi="仿宋" w:eastAsia="仿宋" w:cs="仿宋"/>
          <w:sz w:val="32"/>
          <w:szCs w:val="32"/>
        </w:rPr>
        <w:t>项目、</w:t>
      </w:r>
      <w:r>
        <w:rPr>
          <w:rFonts w:hint="eastAsia" w:ascii="仿宋" w:hAnsi="仿宋" w:eastAsia="仿宋" w:cs="仿宋"/>
          <w:sz w:val="32"/>
          <w:szCs w:val="32"/>
          <w:lang w:eastAsia="zh-CN"/>
        </w:rPr>
        <w:t>公用经费</w:t>
      </w:r>
      <w:r>
        <w:rPr>
          <w:rFonts w:hint="eastAsia" w:ascii="仿宋" w:hAnsi="仿宋" w:eastAsia="仿宋" w:cs="仿宋"/>
          <w:sz w:val="32"/>
          <w:szCs w:val="32"/>
        </w:rPr>
        <w:t>项目开展了绩效评价，《</w:t>
      </w:r>
      <w:r>
        <w:rPr>
          <w:rFonts w:hint="eastAsia" w:ascii="仿宋" w:hAnsi="仿宋" w:eastAsia="仿宋" w:cs="仿宋"/>
          <w:sz w:val="32"/>
          <w:szCs w:val="32"/>
          <w:lang w:eastAsia="zh-CN"/>
        </w:rPr>
        <w:t>达川区第二幼儿园20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年人员经费项目支出绩效评价报告</w:t>
      </w:r>
      <w:r>
        <w:rPr>
          <w:rFonts w:hint="eastAsia" w:ascii="仿宋" w:hAnsi="仿宋" w:eastAsia="仿宋" w:cs="仿宋"/>
          <w:sz w:val="32"/>
          <w:szCs w:val="32"/>
        </w:rPr>
        <w:t>》见附件。</w:t>
      </w:r>
      <w:bookmarkStart w:id="50" w:name="_Toc15377221"/>
      <w:bookmarkStart w:id="51" w:name="_Toc15396612"/>
    </w:p>
    <w:p>
      <w:pPr>
        <w:pageBreakBefore w:val="0"/>
        <w:kinsoku/>
        <w:wordWrap/>
        <w:overflowPunct/>
        <w:topLinePunct w:val="0"/>
        <w:bidi w:val="0"/>
        <w:spacing w:line="578" w:lineRule="exact"/>
        <w:ind w:firstLine="800" w:firstLineChars="250"/>
        <w:outlineLvl w:val="1"/>
        <w:rPr>
          <w:rStyle w:val="28"/>
          <w:rFonts w:hint="eastAsia" w:ascii="黑体" w:hAnsi="黑体" w:eastAsia="黑体" w:cs="黑体"/>
          <w:sz w:val="32"/>
          <w:szCs w:val="32"/>
        </w:rPr>
      </w:pPr>
      <w:r>
        <w:rPr>
          <w:rFonts w:hint="eastAsia" w:ascii="黑体" w:hAnsi="黑体" w:eastAsia="黑体" w:cs="黑体"/>
          <w:color w:val="000000"/>
          <w:sz w:val="32"/>
          <w:szCs w:val="32"/>
        </w:rPr>
        <w:t>十</w:t>
      </w:r>
      <w:r>
        <w:rPr>
          <w:rStyle w:val="28"/>
          <w:rFonts w:hint="eastAsia" w:ascii="黑体" w:hAnsi="黑体" w:eastAsia="黑体" w:cs="黑体"/>
          <w:sz w:val="32"/>
          <w:szCs w:val="32"/>
        </w:rPr>
        <w:t>一、</w:t>
      </w:r>
      <w:r>
        <w:rPr>
          <w:rStyle w:val="28"/>
          <w:rFonts w:hint="eastAsia" w:ascii="黑体" w:hAnsi="黑体" w:eastAsia="黑体" w:cs="黑体"/>
          <w:b w:val="0"/>
          <w:sz w:val="32"/>
          <w:szCs w:val="32"/>
        </w:rPr>
        <w:t>其他重要事项的情况说明</w:t>
      </w:r>
      <w:bookmarkEnd w:id="50"/>
      <w:bookmarkEnd w:id="51"/>
    </w:p>
    <w:p>
      <w:pPr>
        <w:pageBreakBefore w:val="0"/>
        <w:kinsoku/>
        <w:wordWrap/>
        <w:overflowPunct/>
        <w:topLinePunct w:val="0"/>
        <w:bidi w:val="0"/>
        <w:spacing w:line="578" w:lineRule="exact"/>
        <w:ind w:firstLine="643" w:firstLineChars="200"/>
        <w:outlineLvl w:val="2"/>
        <w:rPr>
          <w:rFonts w:hint="eastAsia" w:ascii="仿宋" w:hAnsi="仿宋" w:eastAsia="仿宋" w:cs="仿宋"/>
          <w:color w:val="000000"/>
          <w:sz w:val="32"/>
          <w:szCs w:val="32"/>
        </w:rPr>
      </w:pPr>
      <w:bookmarkStart w:id="52" w:name="_Toc15377222"/>
      <w:r>
        <w:rPr>
          <w:rFonts w:hint="eastAsia" w:ascii="仿宋" w:hAnsi="仿宋" w:eastAsia="仿宋" w:cs="仿宋"/>
          <w:b/>
          <w:color w:val="000000"/>
          <w:sz w:val="32"/>
          <w:szCs w:val="32"/>
        </w:rPr>
        <w:t>（一）</w:t>
      </w:r>
      <w:r>
        <w:rPr>
          <w:rFonts w:hint="eastAsia" w:ascii="楷体" w:hAnsi="楷体" w:eastAsia="楷体" w:cs="楷体"/>
          <w:b/>
          <w:color w:val="000000"/>
          <w:sz w:val="32"/>
          <w:szCs w:val="32"/>
        </w:rPr>
        <w:t>机关运行经费支出情况</w:t>
      </w:r>
      <w:bookmarkEnd w:id="52"/>
    </w:p>
    <w:p>
      <w:pPr>
        <w:pageBreakBefore w:val="0"/>
        <w:kinsoku/>
        <w:wordWrap/>
        <w:overflowPunct/>
        <w:topLinePunct w:val="0"/>
        <w:autoSpaceDE w:val="0"/>
        <w:autoSpaceDN w:val="0"/>
        <w:bidi w:val="0"/>
        <w:adjustRightInd w:val="0"/>
        <w:spacing w:line="578" w:lineRule="exact"/>
        <w:ind w:firstLine="640" w:firstLineChars="200"/>
        <w:jc w:val="left"/>
        <w:outlineLvl w:val="2"/>
        <w:rPr>
          <w:rFonts w:hint="eastAsia" w:ascii="仿宋" w:hAnsi="仿宋" w:eastAsia="仿宋" w:cs="仿宋"/>
          <w:color w:val="000000"/>
          <w:sz w:val="32"/>
          <w:szCs w:val="32"/>
          <w:lang w:eastAsia="zh-CN"/>
        </w:rPr>
      </w:pPr>
      <w:bookmarkStart w:id="53" w:name="_Toc15377223"/>
      <w:r>
        <w:rPr>
          <w:rFonts w:hint="eastAsia" w:ascii="仿宋" w:hAnsi="仿宋" w:eastAsia="仿宋" w:cs="仿宋"/>
          <w:color w:val="000000"/>
          <w:sz w:val="32"/>
          <w:szCs w:val="32"/>
          <w:lang w:eastAsia="zh-CN"/>
        </w:rPr>
        <w:t>无</w:t>
      </w:r>
    </w:p>
    <w:p>
      <w:pPr>
        <w:pageBreakBefore w:val="0"/>
        <w:kinsoku/>
        <w:wordWrap/>
        <w:overflowPunct/>
        <w:topLinePunct w:val="0"/>
        <w:autoSpaceDE w:val="0"/>
        <w:autoSpaceDN w:val="0"/>
        <w:bidi w:val="0"/>
        <w:adjustRightInd w:val="0"/>
        <w:spacing w:line="578" w:lineRule="exact"/>
        <w:ind w:firstLine="643" w:firstLineChars="200"/>
        <w:jc w:val="left"/>
        <w:outlineLvl w:val="2"/>
        <w:rPr>
          <w:rFonts w:hint="eastAsia" w:ascii="仿宋" w:hAnsi="仿宋" w:eastAsia="仿宋" w:cs="仿宋"/>
          <w:b/>
          <w:color w:val="000000"/>
          <w:sz w:val="32"/>
          <w:szCs w:val="32"/>
        </w:rPr>
      </w:pPr>
      <w:r>
        <w:rPr>
          <w:rFonts w:hint="eastAsia" w:ascii="仿宋" w:hAnsi="仿宋" w:eastAsia="仿宋" w:cs="仿宋"/>
          <w:b/>
          <w:color w:val="000000"/>
          <w:sz w:val="32"/>
          <w:szCs w:val="32"/>
        </w:rPr>
        <w:t>（二）</w:t>
      </w:r>
      <w:r>
        <w:rPr>
          <w:rFonts w:hint="eastAsia" w:ascii="楷体" w:hAnsi="楷体" w:eastAsia="楷体" w:cs="楷体"/>
          <w:b/>
          <w:color w:val="000000"/>
          <w:sz w:val="32"/>
          <w:szCs w:val="32"/>
        </w:rPr>
        <w:t>政府采购支出情况</w:t>
      </w:r>
      <w:bookmarkEnd w:id="53"/>
    </w:p>
    <w:p>
      <w:pPr>
        <w:pageBreakBefore w:val="0"/>
        <w:kinsoku/>
        <w:wordWrap/>
        <w:overflowPunct/>
        <w:topLinePunct w:val="0"/>
        <w:bidi w:val="0"/>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达川区第二幼儿园</w:t>
      </w:r>
      <w:r>
        <w:rPr>
          <w:rFonts w:hint="eastAsia" w:ascii="仿宋" w:hAnsi="仿宋" w:eastAsia="仿宋" w:cs="仿宋"/>
          <w:color w:val="000000"/>
          <w:sz w:val="32"/>
          <w:szCs w:val="32"/>
        </w:rPr>
        <w:t>政府采购支出总额</w:t>
      </w:r>
      <w:r>
        <w:rPr>
          <w:rFonts w:hint="eastAsia" w:ascii="仿宋" w:hAnsi="仿宋" w:eastAsia="仿宋" w:cs="仿宋"/>
          <w:color w:val="000000"/>
          <w:sz w:val="32"/>
          <w:szCs w:val="32"/>
          <w:lang w:val="en-US" w:eastAsia="zh-CN"/>
        </w:rPr>
        <w:t>74.94</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3.74</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12.4</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eastAsia="zh-CN"/>
        </w:rPr>
        <w:t>教育教学设备购置</w:t>
      </w:r>
      <w:r>
        <w:rPr>
          <w:rFonts w:hint="eastAsia" w:ascii="仿宋" w:hAnsi="仿宋" w:eastAsia="仿宋" w:cs="仿宋"/>
          <w:color w:val="000000"/>
          <w:sz w:val="32"/>
          <w:szCs w:val="32"/>
        </w:rPr>
        <w:t>（具体工作）。授予中小企业合同金额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74.94</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pageBreakBefore w:val="0"/>
        <w:kinsoku/>
        <w:wordWrap/>
        <w:overflowPunct/>
        <w:topLinePunct w:val="0"/>
        <w:autoSpaceDE w:val="0"/>
        <w:autoSpaceDN w:val="0"/>
        <w:bidi w:val="0"/>
        <w:adjustRightInd w:val="0"/>
        <w:spacing w:line="578" w:lineRule="exact"/>
        <w:ind w:firstLine="643" w:firstLineChars="200"/>
        <w:jc w:val="left"/>
        <w:outlineLvl w:val="2"/>
        <w:rPr>
          <w:rFonts w:hint="eastAsia" w:ascii="楷体" w:hAnsi="楷体" w:eastAsia="楷体" w:cs="楷体"/>
          <w:b/>
          <w:color w:val="000000"/>
          <w:sz w:val="32"/>
          <w:szCs w:val="32"/>
        </w:rPr>
      </w:pPr>
      <w:bookmarkStart w:id="54" w:name="_Toc15377224"/>
      <w:r>
        <w:rPr>
          <w:rFonts w:hint="eastAsia" w:ascii="楷体" w:hAnsi="楷体" w:eastAsia="楷体" w:cs="楷体"/>
          <w:b/>
          <w:color w:val="000000"/>
          <w:sz w:val="32"/>
          <w:szCs w:val="32"/>
        </w:rPr>
        <w:t>（三）国有资产占有使用情况</w:t>
      </w:r>
      <w:bookmarkEnd w:id="54"/>
    </w:p>
    <w:p>
      <w:pPr>
        <w:pageBreakBefore w:val="0"/>
        <w:kinsoku/>
        <w:wordWrap/>
        <w:overflowPunct/>
        <w:topLinePunct w:val="0"/>
        <w:autoSpaceDE w:val="0"/>
        <w:autoSpaceDN w:val="0"/>
        <w:bidi w:val="0"/>
        <w:adjustRightInd w:val="0"/>
        <w:spacing w:line="578" w:lineRule="exact"/>
        <w:ind w:firstLine="640" w:firstLineChars="200"/>
        <w:jc w:val="left"/>
        <w:outlineLvl w:val="2"/>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无</w:t>
      </w:r>
    </w:p>
    <w:p>
      <w:pPr>
        <w:pageBreakBefore w:val="0"/>
        <w:kinsoku/>
        <w:wordWrap/>
        <w:overflowPunct/>
        <w:topLinePunct w:val="0"/>
        <w:bidi w:val="0"/>
        <w:spacing w:line="578" w:lineRule="exact"/>
        <w:ind w:firstLine="643" w:firstLineChars="200"/>
        <w:rPr>
          <w:rFonts w:hint="eastAsia" w:ascii="仿宋" w:hAnsi="仿宋" w:eastAsia="仿宋" w:cs="仿宋"/>
          <w:b/>
          <w:color w:val="000000"/>
          <w:sz w:val="32"/>
          <w:szCs w:val="32"/>
        </w:rPr>
      </w:pPr>
    </w:p>
    <w:p>
      <w:pPr>
        <w:pageBreakBefore w:val="0"/>
        <w:widowControl/>
        <w:kinsoku/>
        <w:wordWrap/>
        <w:overflowPunct/>
        <w:topLinePunct w:val="0"/>
        <w:bidi w:val="0"/>
        <w:spacing w:line="578" w:lineRule="exact"/>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br w:type="page"/>
      </w:r>
    </w:p>
    <w:p>
      <w:pPr>
        <w:pageBreakBefore w:val="0"/>
        <w:numPr>
          <w:ilvl w:val="0"/>
          <w:numId w:val="7"/>
        </w:numPr>
        <w:kinsoku/>
        <w:wordWrap/>
        <w:overflowPunct/>
        <w:topLinePunct w:val="0"/>
        <w:bidi w:val="0"/>
        <w:spacing w:line="578" w:lineRule="exact"/>
        <w:ind w:firstLine="660" w:firstLineChars="150"/>
        <w:jc w:val="center"/>
        <w:outlineLvl w:val="0"/>
        <w:rPr>
          <w:rStyle w:val="27"/>
          <w:rFonts w:hint="eastAsia" w:ascii="方正小标宋简体" w:hAnsi="方正小标宋简体" w:eastAsia="方正小标宋简体" w:cs="方正小标宋简体"/>
          <w:b w:val="0"/>
          <w:bCs/>
          <w:sz w:val="44"/>
          <w:szCs w:val="44"/>
        </w:rPr>
      </w:pPr>
      <w:bookmarkStart w:id="55" w:name="_Toc15377225"/>
      <w:bookmarkStart w:id="56" w:name="_Toc15396613"/>
      <w:r>
        <w:rPr>
          <w:rFonts w:hint="eastAsia" w:ascii="方正小标宋简体" w:hAnsi="方正小标宋简体" w:eastAsia="方正小标宋简体" w:cs="方正小标宋简体"/>
          <w:b w:val="0"/>
          <w:bCs/>
          <w:color w:val="000000"/>
          <w:sz w:val="44"/>
          <w:szCs w:val="44"/>
        </w:rPr>
        <w:t>名</w:t>
      </w:r>
      <w:r>
        <w:rPr>
          <w:rStyle w:val="27"/>
          <w:rFonts w:hint="eastAsia" w:ascii="方正小标宋简体" w:hAnsi="方正小标宋简体" w:eastAsia="方正小标宋简体" w:cs="方正小标宋简体"/>
          <w:b w:val="0"/>
          <w:bCs/>
          <w:sz w:val="44"/>
          <w:szCs w:val="44"/>
        </w:rPr>
        <w:t>词解释</w:t>
      </w:r>
      <w:bookmarkEnd w:id="55"/>
      <w:bookmarkEnd w:id="56"/>
    </w:p>
    <w:p>
      <w:pPr>
        <w:pageBreakBefore w:val="0"/>
        <w:kinsoku/>
        <w:wordWrap/>
        <w:overflowPunct/>
        <w:topLinePunct w:val="0"/>
        <w:bidi w:val="0"/>
        <w:spacing w:line="578" w:lineRule="exact"/>
        <w:jc w:val="left"/>
        <w:rPr>
          <w:rFonts w:hint="eastAsia" w:ascii="仿宋" w:hAnsi="仿宋" w:eastAsia="仿宋" w:cs="仿宋"/>
          <w:b w:val="0"/>
          <w:bCs/>
          <w:color w:val="000000"/>
          <w:sz w:val="32"/>
          <w:szCs w:val="32"/>
        </w:rPr>
      </w:pP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1.财政拨款收入：指单位从同级财政部门取得的财政预算资金。</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2.事业收入：指事业单位开展专业业务活动及辅助活动取得的收入。学校保教费收入等。</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3.其他收入：指单位取得的除上述收入以外的各项收入。</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5.年初结转和结余：指以前年度尚未完成、结转到本年按有关规定继续使用的资金。</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6.结余分配：指事业单位按照事业单位会计制度的规定从非财政补助结余中分配的事业基金和职工福利基金等。</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7、年末结转和结余：指单位按有关规定结转到下年或以后年度继续使用的资金。</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 xml:space="preserve">8.一般公共服务 </w:t>
      </w:r>
      <w:r>
        <w:rPr>
          <w:rFonts w:hint="eastAsia" w:ascii="仿宋" w:hAnsi="仿宋" w:eastAsia="仿宋" w:cs="仿宋"/>
          <w:b w:val="0"/>
          <w:bCs/>
          <w:color w:val="auto"/>
          <w:kern w:val="2"/>
          <w:sz w:val="32"/>
          <w:szCs w:val="32"/>
        </w:rPr>
        <w:t>2011099</w:t>
      </w:r>
      <w:r>
        <w:rPr>
          <w:rFonts w:hint="eastAsia" w:ascii="仿宋" w:hAnsi="仿宋" w:eastAsia="仿宋" w:cs="仿宋"/>
          <w:b w:val="0"/>
          <w:bCs/>
          <w:color w:val="auto"/>
          <w:sz w:val="32"/>
          <w:szCs w:val="32"/>
        </w:rPr>
        <w:t>：指学校聘用三支一扶人员的一次性补贴支出。</w:t>
      </w:r>
    </w:p>
    <w:p>
      <w:pPr>
        <w:pageBreakBefore w:val="0"/>
        <w:kinsoku/>
        <w:wordWrap/>
        <w:overflowPunct/>
        <w:topLinePunct w:val="0"/>
        <w:bidi w:val="0"/>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9.教育2050201：指学校举办的学前教育支出。2050202：指学校举办的小前教育支出。2050203：指学校举办的初中教育支出。</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10.社会保障和就业 2080505：指学校在社会保障与就业方面的支出。</w:t>
      </w:r>
    </w:p>
    <w:p>
      <w:pPr>
        <w:pageBreakBefore w:val="0"/>
        <w:kinsoku/>
        <w:wordWrap/>
        <w:overflowPunct/>
        <w:topLinePunct w:val="0"/>
        <w:bidi w:val="0"/>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11.医疗卫生与计划生育 2100502：指学校用于教职工医疗保险方面的支出。</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12.住房保障2210201：指学校用于住房方面的支出。学校按人力资源和社会保障部、财政部规定的基本工资和津贴补贴以及规定比例为职工缴纳的住房公积金。</w:t>
      </w:r>
    </w:p>
    <w:p>
      <w:pPr>
        <w:pageBreakBefore w:val="0"/>
        <w:kinsoku/>
        <w:wordWrap/>
        <w:overflowPunct/>
        <w:topLinePunct w:val="0"/>
        <w:bidi w:val="0"/>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13.基本支出：指为保障机构正常运转、完成日常工作任务而发生的人员支出和公用支出。</w:t>
      </w:r>
    </w:p>
    <w:p>
      <w:pPr>
        <w:pageBreakBefore w:val="0"/>
        <w:kinsoku/>
        <w:wordWrap/>
        <w:overflowPunct/>
        <w:topLinePunct w:val="0"/>
        <w:bidi w:val="0"/>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14.项目支出：指在基本支出之外为完成特定行政任务和事业发展目标所发生的支出。</w:t>
      </w:r>
    </w:p>
    <w:p>
      <w:pPr>
        <w:pStyle w:val="25"/>
        <w:pageBreakBefore w:val="0"/>
        <w:kinsoku/>
        <w:wordWrap/>
        <w:overflowPunct/>
        <w:topLinePunct w:val="0"/>
        <w:bidi w:val="0"/>
        <w:spacing w:line="578"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78" w:lineRule="exact"/>
        <w:ind w:firstLine="640" w:firstLineChars="200"/>
        <w:rPr>
          <w:rFonts w:hint="eastAsia" w:ascii="仿宋" w:hAnsi="仿宋" w:eastAsia="仿宋" w:cs="仿宋"/>
          <w:b w:val="0"/>
          <w:bCs/>
          <w:color w:val="000000"/>
          <w:sz w:val="32"/>
          <w:szCs w:val="32"/>
        </w:rPr>
      </w:pPr>
    </w:p>
    <w:p>
      <w:pPr>
        <w:pageBreakBefore w:val="0"/>
        <w:kinsoku/>
        <w:wordWrap/>
        <w:overflowPunct/>
        <w:topLinePunct w:val="0"/>
        <w:bidi w:val="0"/>
        <w:spacing w:line="578" w:lineRule="exact"/>
        <w:ind w:firstLine="640" w:firstLineChars="20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Style w:val="27"/>
          <w:rFonts w:hint="eastAsia" w:ascii="方正小标宋简体" w:hAnsi="方正小标宋简体" w:eastAsia="方正小标宋简体" w:cs="方正小标宋简体"/>
          <w:b w:val="0"/>
          <w:sz w:val="44"/>
          <w:szCs w:val="44"/>
        </w:rPr>
      </w:pPr>
      <w:bookmarkStart w:id="57" w:name="_Toc15377226"/>
      <w:r>
        <w:rPr>
          <w:rFonts w:hint="eastAsia" w:ascii="仿宋" w:hAnsi="仿宋" w:eastAsia="仿宋" w:cs="仿宋"/>
          <w:b/>
          <w:color w:val="000000"/>
          <w:sz w:val="32"/>
          <w:szCs w:val="32"/>
        </w:rPr>
        <w:br w:type="page"/>
      </w:r>
      <w:bookmarkStart w:id="58" w:name="_Toc15396614"/>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sz w:val="44"/>
          <w:szCs w:val="44"/>
        </w:rPr>
        <w:t>四部分 附件</w:t>
      </w:r>
      <w:bookmarkEnd w:id="58"/>
    </w:p>
    <w:p>
      <w:pPr>
        <w:pageBreakBefore w:val="0"/>
        <w:kinsoku/>
        <w:wordWrap/>
        <w:overflowPunct/>
        <w:topLinePunct w:val="0"/>
        <w:bidi w:val="0"/>
        <w:spacing w:line="578" w:lineRule="exact"/>
        <w:jc w:val="center"/>
        <w:outlineLvl w:val="0"/>
        <w:rPr>
          <w:rStyle w:val="27"/>
          <w:rFonts w:hint="eastAsia" w:ascii="仿宋" w:hAnsi="仿宋" w:eastAsia="仿宋" w:cs="仿宋"/>
          <w:sz w:val="32"/>
          <w:szCs w:val="32"/>
        </w:rPr>
      </w:pPr>
    </w:p>
    <w:p>
      <w:pPr>
        <w:pStyle w:val="3"/>
        <w:pageBreakBefore w:val="0"/>
        <w:kinsoku/>
        <w:wordWrap/>
        <w:overflowPunct/>
        <w:topLinePunct w:val="0"/>
        <w:bidi w:val="0"/>
        <w:spacing w:before="0" w:after="0" w:line="578" w:lineRule="exact"/>
        <w:rPr>
          <w:rStyle w:val="27"/>
          <w:rFonts w:hint="eastAsia" w:ascii="仿宋" w:hAnsi="仿宋" w:eastAsia="仿宋" w:cs="仿宋"/>
          <w:b w:val="0"/>
          <w:bCs w:val="0"/>
          <w:sz w:val="32"/>
          <w:szCs w:val="32"/>
        </w:rPr>
      </w:pPr>
      <w:bookmarkStart w:id="59" w:name="_Toc15396615"/>
      <w:r>
        <w:rPr>
          <w:rStyle w:val="27"/>
          <w:rFonts w:hint="eastAsia" w:ascii="仿宋" w:hAnsi="仿宋" w:eastAsia="仿宋" w:cs="仿宋"/>
          <w:b w:val="0"/>
          <w:bCs w:val="0"/>
          <w:sz w:val="32"/>
          <w:szCs w:val="32"/>
        </w:rPr>
        <w:t>附件1</w:t>
      </w:r>
      <w:bookmarkEnd w:id="59"/>
    </w:p>
    <w:p>
      <w:pPr>
        <w:pageBreakBefore w:val="0"/>
        <w:kinsoku/>
        <w:wordWrap/>
        <w:overflowPunct/>
        <w:topLinePunct w:val="0"/>
        <w:bidi w:val="0"/>
        <w:spacing w:line="578"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达川区第二幼儿园</w:t>
      </w:r>
    </w:p>
    <w:p>
      <w:pPr>
        <w:pageBreakBefore w:val="0"/>
        <w:kinsoku/>
        <w:wordWrap/>
        <w:overflowPunct/>
        <w:topLinePunct w:val="0"/>
        <w:bidi w:val="0"/>
        <w:spacing w:line="578"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年部门整体支出绩效报告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（一）机构组成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学校设有办公室、保教处、安全办、后勤处。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仿宋" w:hAnsi="仿宋" w:eastAsia="仿宋" w:cs="仿宋"/>
          <w:b/>
          <w:bCs/>
          <w:sz w:val="32"/>
          <w:szCs w:val="32"/>
        </w:rPr>
        <w:t>（</w:t>
      </w:r>
      <w:r>
        <w:rPr>
          <w:rFonts w:hint="eastAsia" w:ascii="楷体" w:hAnsi="楷体" w:eastAsia="楷体" w:cs="楷体"/>
          <w:b/>
          <w:bCs/>
          <w:sz w:val="32"/>
          <w:szCs w:val="32"/>
        </w:rPr>
        <w:t>二）机构职能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1.遵照国家的教育方针和保教工作的客观规律，采用科学的工作方法和管理手段，将人、财、物等各因素合理组织起来，调动各方面的积极性，优质高效的实现国家所规定的培养目标的各种一般职能活动。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2.实行保育和教育相结合的原则，对幼儿实施体、智、德、美诸方面全面发展的教育，促进其身心和谐发展，同时为家长工作、学习提供便利条件。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3.充分利用幼儿和社区的资源优势，面向家长开展多种形式的早期教育宣传、指导等服务，促进家庭教育质量的不断提高。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4.贯彻幼儿教育法规、传播科学教育理念、开展教育科学研究、培训师资，发挥示范性幼儿园的示范、辐射作用加强师资培养培训工作，做好学前教育工作。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5.完成上级主管部门下达的各项任务和指示。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人员概况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达川区第二幼儿园事业编制5人，在职专业技术教师5人。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（一）部门财政资金收入情况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w:t>
      </w:r>
      <w:r>
        <w:rPr>
          <w:rFonts w:hint="eastAsia" w:ascii="仿宋" w:hAnsi="仿宋" w:eastAsia="仿宋" w:cs="仿宋"/>
          <w:sz w:val="32"/>
          <w:szCs w:val="32"/>
          <w:lang w:eastAsia="zh-CN"/>
        </w:rPr>
        <w:t>总收入</w:t>
      </w:r>
      <w:r>
        <w:rPr>
          <w:rFonts w:hint="eastAsia" w:ascii="仿宋" w:hAnsi="仿宋" w:eastAsia="仿宋" w:cs="仿宋"/>
          <w:color w:val="000000"/>
          <w:sz w:val="32"/>
          <w:szCs w:val="32"/>
          <w:lang w:val="en-US" w:eastAsia="zh-CN"/>
        </w:rPr>
        <w:t>144.16</w:t>
      </w:r>
      <w:r>
        <w:rPr>
          <w:rFonts w:hint="eastAsia" w:ascii="仿宋" w:hAnsi="仿宋" w:eastAsia="仿宋" w:cs="仿宋"/>
          <w:sz w:val="32"/>
          <w:szCs w:val="32"/>
          <w:lang w:val="en-US" w:eastAsia="zh-CN"/>
        </w:rPr>
        <w:t>万元（其中：</w:t>
      </w:r>
      <w:r>
        <w:rPr>
          <w:rFonts w:hint="eastAsia" w:ascii="仿宋" w:hAnsi="仿宋" w:eastAsia="仿宋" w:cs="仿宋"/>
          <w:sz w:val="32"/>
          <w:szCs w:val="32"/>
        </w:rPr>
        <w:t>财政拨款</w:t>
      </w:r>
      <w:r>
        <w:rPr>
          <w:rFonts w:hint="eastAsia" w:ascii="仿宋" w:hAnsi="仿宋" w:eastAsia="仿宋" w:cs="仿宋"/>
          <w:sz w:val="32"/>
          <w:szCs w:val="32"/>
          <w:lang w:val="en-US" w:eastAsia="zh-CN"/>
        </w:rPr>
        <w:t>93.01</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事业收入</w:t>
      </w:r>
      <w:r>
        <w:rPr>
          <w:rFonts w:hint="eastAsia" w:ascii="仿宋" w:hAnsi="仿宋" w:eastAsia="仿宋" w:cs="仿宋"/>
          <w:color w:val="000000"/>
          <w:sz w:val="32"/>
          <w:szCs w:val="32"/>
          <w:lang w:val="en-US" w:eastAsia="zh-CN"/>
        </w:rPr>
        <w:t>51.15</w:t>
      </w:r>
      <w:r>
        <w:rPr>
          <w:rFonts w:hint="eastAsia" w:ascii="仿宋" w:hAnsi="仿宋" w:eastAsia="仿宋" w:cs="仿宋"/>
          <w:sz w:val="32"/>
          <w:szCs w:val="32"/>
          <w:lang w:val="en-US" w:eastAsia="zh-CN"/>
        </w:rPr>
        <w:t>万元）,其中社会保障与就业预算5.37万元，</w:t>
      </w:r>
      <w:r>
        <w:rPr>
          <w:rFonts w:hint="eastAsia" w:ascii="仿宋" w:hAnsi="仿宋" w:eastAsia="仿宋" w:cs="仿宋"/>
          <w:sz w:val="32"/>
          <w:szCs w:val="32"/>
        </w:rPr>
        <w:t>事业单位医疗预算资金</w:t>
      </w:r>
      <w:r>
        <w:rPr>
          <w:rFonts w:hint="eastAsia" w:ascii="仿宋" w:hAnsi="仿宋" w:eastAsia="仿宋" w:cs="仿宋"/>
          <w:sz w:val="32"/>
          <w:szCs w:val="32"/>
          <w:lang w:val="en-US" w:eastAsia="zh-CN"/>
        </w:rPr>
        <w:t>2.27万</w:t>
      </w:r>
      <w:r>
        <w:rPr>
          <w:rFonts w:hint="eastAsia" w:ascii="仿宋" w:hAnsi="仿宋" w:eastAsia="仿宋" w:cs="仿宋"/>
          <w:sz w:val="32"/>
          <w:szCs w:val="32"/>
        </w:rPr>
        <w:t>元，住房公积金预算资金</w:t>
      </w:r>
      <w:r>
        <w:rPr>
          <w:rFonts w:hint="eastAsia" w:ascii="仿宋" w:hAnsi="仿宋" w:eastAsia="仿宋" w:cs="仿宋"/>
          <w:sz w:val="32"/>
          <w:szCs w:val="32"/>
          <w:lang w:val="en-US" w:eastAsia="zh-CN"/>
        </w:rPr>
        <w:t>4.03万</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（二）部门财政资金支出情况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年达川区</w:t>
      </w:r>
      <w:r>
        <w:rPr>
          <w:rFonts w:hint="eastAsia" w:ascii="仿宋" w:hAnsi="仿宋" w:eastAsia="仿宋" w:cs="仿宋"/>
          <w:sz w:val="32"/>
          <w:szCs w:val="32"/>
          <w:lang w:eastAsia="zh-CN"/>
        </w:rPr>
        <w:t>第二幼儿园</w:t>
      </w:r>
      <w:r>
        <w:rPr>
          <w:rFonts w:hint="eastAsia" w:ascii="仿宋" w:hAnsi="仿宋" w:eastAsia="仿宋" w:cs="仿宋"/>
          <w:sz w:val="32"/>
          <w:szCs w:val="32"/>
        </w:rPr>
        <w:t>本级本年支出</w:t>
      </w:r>
      <w:r>
        <w:rPr>
          <w:rFonts w:hint="eastAsia" w:ascii="仿宋" w:hAnsi="仿宋" w:eastAsia="仿宋" w:cs="仿宋"/>
          <w:color w:val="000000"/>
          <w:sz w:val="32"/>
          <w:szCs w:val="32"/>
          <w:lang w:val="en-US" w:eastAsia="zh-CN"/>
        </w:rPr>
        <w:t>202.21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159.26</w:t>
      </w:r>
      <w:r>
        <w:rPr>
          <w:rFonts w:hint="eastAsia" w:ascii="仿宋" w:hAnsi="仿宋" w:eastAsia="仿宋" w:cs="仿宋"/>
          <w:sz w:val="32"/>
          <w:szCs w:val="32"/>
        </w:rPr>
        <w:t>万元（人员经费</w:t>
      </w:r>
      <w:r>
        <w:rPr>
          <w:rFonts w:hint="eastAsia" w:ascii="仿宋" w:hAnsi="仿宋" w:eastAsia="仿宋" w:cs="仿宋"/>
          <w:sz w:val="32"/>
          <w:szCs w:val="32"/>
          <w:lang w:val="en-US" w:eastAsia="zh-CN"/>
        </w:rPr>
        <w:t>62.34</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21.97</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74.94</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下属单位20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年支出总额</w:t>
      </w:r>
      <w:r>
        <w:rPr>
          <w:rFonts w:hint="eastAsia" w:ascii="仿宋" w:hAnsi="仿宋" w:eastAsia="仿宋" w:cs="仿宋"/>
          <w:sz w:val="32"/>
          <w:szCs w:val="32"/>
          <w:lang w:val="en-US" w:eastAsia="zh-CN"/>
        </w:rPr>
        <w:t>202.21</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（三）部门财政收入结转结余情况。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年本级单位结转下年资金</w:t>
      </w:r>
      <w:r>
        <w:rPr>
          <w:rFonts w:hint="eastAsia" w:ascii="仿宋" w:hAnsi="仿宋" w:eastAsia="仿宋" w:cs="仿宋"/>
          <w:sz w:val="32"/>
          <w:szCs w:val="32"/>
          <w:lang w:val="en-US" w:eastAsia="zh-CN"/>
        </w:rPr>
        <w:t>124.42</w:t>
      </w:r>
      <w:r>
        <w:rPr>
          <w:rFonts w:hint="eastAsia" w:ascii="仿宋" w:hAnsi="仿宋" w:eastAsia="仿宋" w:cs="仿宋"/>
          <w:sz w:val="32"/>
          <w:szCs w:val="32"/>
        </w:rPr>
        <w:t>万元。结余分配</w:t>
      </w:r>
      <w:r>
        <w:rPr>
          <w:rFonts w:hint="eastAsia" w:ascii="仿宋" w:hAnsi="仿宋" w:eastAsia="仿宋" w:cs="仿宋"/>
          <w:sz w:val="32"/>
          <w:szCs w:val="32"/>
          <w:lang w:val="en-US" w:eastAsia="zh-CN"/>
        </w:rPr>
        <w:t>0</w:t>
      </w:r>
      <w:r>
        <w:rPr>
          <w:rFonts w:hint="eastAsia" w:ascii="仿宋" w:hAnsi="仿宋" w:eastAsia="仿宋" w:cs="仿宋"/>
          <w:sz w:val="32"/>
          <w:szCs w:val="32"/>
        </w:rPr>
        <w:t>万元，结转下年</w:t>
      </w:r>
      <w:r>
        <w:rPr>
          <w:rFonts w:hint="eastAsia" w:ascii="仿宋" w:hAnsi="仿宋" w:eastAsia="仿宋" w:cs="仿宋"/>
          <w:sz w:val="32"/>
          <w:szCs w:val="32"/>
          <w:lang w:val="en-US" w:eastAsia="zh-CN"/>
        </w:rPr>
        <w:t>124.42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三、部门整体预算绩效管理情况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（一）部门预算管理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制定了切实有效的绩效预算目标并严格按照既定目标实施，执行总体较为有效、效果良好。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（二）专项预算管理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专项预算项目程序严密、规划合理、结果符合、分配科学、分配及时、专项预算绩效目标完成情况良好。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（三）综合管理情况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政府性债务管理情况。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我单位无</w:t>
      </w:r>
      <w:r>
        <w:rPr>
          <w:rFonts w:hint="eastAsia" w:ascii="仿宋" w:hAnsi="仿宋" w:eastAsia="仿宋" w:cs="仿宋"/>
          <w:sz w:val="32"/>
          <w:szCs w:val="32"/>
          <w:lang w:eastAsia="zh-CN"/>
        </w:rPr>
        <w:t>政府性债务</w:t>
      </w:r>
      <w:r>
        <w:rPr>
          <w:rFonts w:hint="eastAsia" w:ascii="仿宋" w:hAnsi="仿宋" w:eastAsia="仿宋" w:cs="仿宋"/>
          <w:sz w:val="32"/>
          <w:szCs w:val="32"/>
        </w:rPr>
        <w:t>性资金支出。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非税收入管理情况。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严格按照发改委批复文件收费，编制学校收支预算，严格加强资金管理，实行收支两条线管理，严格执行国家规定的开支范围及标准，各项支出均按实际发生数列支，无虚列虚报，无白条作为报销凭证。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政府采购实施情况。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按照《预算法》和《政府采购法》规定编制政府采购预算和实施政府采购计划，按规定做好备案工作。20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年政府采购预算为</w:t>
      </w:r>
      <w:r>
        <w:rPr>
          <w:rFonts w:hint="eastAsia" w:ascii="仿宋" w:hAnsi="仿宋" w:eastAsia="仿宋" w:cs="仿宋"/>
          <w:sz w:val="32"/>
          <w:szCs w:val="32"/>
          <w:lang w:val="en-US" w:eastAsia="zh-CN"/>
        </w:rPr>
        <w:t>171.88</w:t>
      </w:r>
      <w:r>
        <w:rPr>
          <w:rFonts w:hint="eastAsia" w:ascii="仿宋" w:hAnsi="仿宋" w:eastAsia="仿宋" w:cs="仿宋"/>
          <w:sz w:val="32"/>
          <w:szCs w:val="32"/>
        </w:rPr>
        <w:t>万元，20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年政府采购实际执行</w:t>
      </w:r>
      <w:r>
        <w:rPr>
          <w:rFonts w:hint="eastAsia" w:ascii="仿宋" w:hAnsi="仿宋" w:eastAsia="仿宋" w:cs="仿宋"/>
          <w:sz w:val="32"/>
          <w:szCs w:val="32"/>
          <w:lang w:val="en-US" w:eastAsia="zh-CN"/>
        </w:rPr>
        <w:t>74.94</w:t>
      </w:r>
      <w:r>
        <w:rPr>
          <w:rFonts w:hint="eastAsia" w:ascii="仿宋" w:hAnsi="仿宋" w:eastAsia="仿宋" w:cs="仿宋"/>
          <w:sz w:val="32"/>
          <w:szCs w:val="32"/>
        </w:rPr>
        <w:t>万元，全部为货物类采购，实际执行与政府采购预算的一致性为</w:t>
      </w:r>
      <w:r>
        <w:rPr>
          <w:rFonts w:hint="eastAsia" w:ascii="仿宋" w:hAnsi="仿宋" w:eastAsia="仿宋" w:cs="仿宋"/>
          <w:sz w:val="32"/>
          <w:szCs w:val="32"/>
          <w:lang w:val="en-US" w:eastAsia="zh-CN"/>
        </w:rPr>
        <w:t>43.6</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资产管理。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达川区第二幼儿园</w:t>
      </w:r>
      <w:r>
        <w:rPr>
          <w:rFonts w:hint="eastAsia" w:ascii="仿宋" w:hAnsi="仿宋" w:eastAsia="仿宋" w:cs="仿宋"/>
          <w:sz w:val="32"/>
          <w:szCs w:val="32"/>
        </w:rPr>
        <w:t>固定资产实行“统一管理，分级负责”。设置固定资产的管理部门，统一建账、核算，统一登记、监督管理和维修。各科室是固定资产的使用部门，并负责固定资产的保管和使用。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（1）资产管理信息系统建设情况。已将所有资产全部录入行政事业单位资产管理系统，并指定专人负责管理系统。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（2）资产清查情况。在</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月启动全单位以及下属单位的资产清查，并将资产清查结果及差错调整说明上报了相关主管部门。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（3）资产报表上报情况。成立了国有资产清查工作小组，并安排专人负责国有资产清查及报表上报工作。在资产清查结束后，已上报清查报表、清查工作报告等国有资产报表数据。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内控制度管理。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成立了财务监督小组，加强内部控制和监督。对各项资金的管理、经费收支审批等均做了明确规定，正确组织资金的筹集、调度和使用，债权债务及时结算、结清。各项经费支出实行限额把关、一支笔审批制度。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信息公开。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建立内部财务信息的相关标准、报告制度及披露机制。每年召开内部审计会，在教代会上公布本年度开支收入情况。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绩效管理。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年，我单位积极履职，强化管理，较好地完成了年度工作目标。通过加强预算收支管理，不断建立健全内部管理制度，梳理内部管理流程，部门整体支出管理水平得到提升。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依法接受财政监督情况。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按照财政部门相关要求，开展了20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年度财政监督检查的自查自纠工作，并报送了自查自纠报告及报表。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（四）绩效结果应用情况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专项预算项目程序严密、规划合理、结果符合、分配科学、分配及时、专项预算绩效目标完成情况良好。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（五）整体效益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经济效益评价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预算执行方面，支出总额控制在预算总额以内；预算管理方面，制度执行总体较为有效</w:t>
      </w:r>
      <w:r>
        <w:rPr>
          <w:rFonts w:hint="eastAsia" w:ascii="仿宋" w:hAnsi="仿宋" w:eastAsia="仿宋" w:cs="仿宋"/>
          <w:sz w:val="32"/>
          <w:szCs w:val="32"/>
          <w:lang w:eastAsia="zh-CN"/>
        </w:rPr>
        <w:t>；</w:t>
      </w:r>
      <w:r>
        <w:rPr>
          <w:rFonts w:hint="eastAsia" w:ascii="仿宋" w:hAnsi="仿宋" w:eastAsia="仿宋" w:cs="仿宋"/>
          <w:sz w:val="32"/>
          <w:szCs w:val="32"/>
        </w:rPr>
        <w:t>资产管理方面，建立了资产管理制度，定期进行了盘点和资产清理，总体执行较好。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效率性评价和有效性评价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社会公众满意度评价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w:t>
      </w:r>
      <w:r>
        <w:rPr>
          <w:rFonts w:hint="eastAsia" w:ascii="仿宋" w:hAnsi="仿宋" w:eastAsia="仿宋" w:cs="仿宋"/>
          <w:sz w:val="32"/>
          <w:szCs w:val="32"/>
          <w:lang w:eastAsia="zh-CN"/>
        </w:rPr>
        <w:t>园</w:t>
      </w:r>
      <w:r>
        <w:rPr>
          <w:rFonts w:hint="eastAsia" w:ascii="仿宋" w:hAnsi="仿宋" w:eastAsia="仿宋" w:cs="仿宋"/>
          <w:sz w:val="32"/>
          <w:szCs w:val="32"/>
        </w:rPr>
        <w:t>认真贯彻落实党的十九届三中全会精神勤奋工作，创先争优，通过</w:t>
      </w:r>
      <w:r>
        <w:rPr>
          <w:rFonts w:hint="eastAsia" w:ascii="仿宋" w:hAnsi="仿宋" w:eastAsia="仿宋" w:cs="仿宋"/>
          <w:sz w:val="32"/>
          <w:szCs w:val="32"/>
          <w:lang w:eastAsia="zh-CN"/>
        </w:rPr>
        <w:t>半年的努力，我园赢得了家长的认可，社会的满意。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（一）评价结论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sz w:val="32"/>
          <w:szCs w:val="32"/>
          <w:lang w:val="en-US" w:eastAsia="zh-CN"/>
        </w:rPr>
        <w:t>89</w:t>
      </w:r>
      <w:r>
        <w:rPr>
          <w:rFonts w:hint="eastAsia" w:ascii="仿宋" w:hAnsi="仿宋" w:eastAsia="仿宋" w:cs="仿宋"/>
          <w:sz w:val="32"/>
          <w:szCs w:val="32"/>
        </w:rPr>
        <w:t>分。（得分明细表附后）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行业管理还比较粗放。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财务制度执行力有待加强，资金使用计划有待细化。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财政预算资金到位比较迟缓，各项目经费支付不能及时到位。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（三）改进建议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继续从严控制出国(境)经费、车辆购置及运行费、公务接待费等一般性支出。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加强财务管理，严格财务审核。在费用报账支付时，按照预算规定的费用项目和用途进行资金使用审核、列报支付、财务核算，杜绝超支现象的发生。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加强项目开展进度的跟踪，开展项目绩效评价，确保项目绩效目标的完成。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pageBreakBefore w:val="0"/>
        <w:widowControl/>
        <w:kinsoku/>
        <w:wordWrap/>
        <w:overflowPunct/>
        <w:topLinePunct w:val="0"/>
        <w:bidi w:val="0"/>
        <w:spacing w:line="578" w:lineRule="exact"/>
        <w:jc w:val="left"/>
        <w:rPr>
          <w:rFonts w:hint="eastAsia" w:ascii="仿宋" w:hAnsi="仿宋" w:eastAsia="仿宋" w:cs="仿宋"/>
          <w:sz w:val="32"/>
          <w:szCs w:val="32"/>
        </w:rPr>
      </w:pPr>
    </w:p>
    <w:p>
      <w:pPr>
        <w:pageBreakBefore w:val="0"/>
        <w:widowControl/>
        <w:kinsoku/>
        <w:wordWrap/>
        <w:overflowPunct/>
        <w:topLinePunct w:val="0"/>
        <w:bidi w:val="0"/>
        <w:spacing w:line="578" w:lineRule="exact"/>
        <w:jc w:val="left"/>
        <w:rPr>
          <w:rFonts w:hint="eastAsia" w:ascii="仿宋" w:hAnsi="仿宋" w:eastAsia="仿宋" w:cs="仿宋"/>
          <w:sz w:val="32"/>
          <w:szCs w:val="32"/>
        </w:rPr>
      </w:pPr>
    </w:p>
    <w:p>
      <w:pPr>
        <w:pStyle w:val="3"/>
        <w:pageBreakBefore w:val="0"/>
        <w:kinsoku/>
        <w:wordWrap/>
        <w:overflowPunct/>
        <w:topLinePunct w:val="0"/>
        <w:bidi w:val="0"/>
        <w:spacing w:before="0" w:after="0" w:line="578" w:lineRule="exact"/>
        <w:rPr>
          <w:rStyle w:val="27"/>
          <w:rFonts w:hint="eastAsia" w:ascii="仿宋" w:hAnsi="仿宋" w:eastAsia="仿宋" w:cs="仿宋"/>
          <w:b w:val="0"/>
          <w:bCs w:val="0"/>
          <w:sz w:val="32"/>
          <w:szCs w:val="32"/>
        </w:rPr>
      </w:pPr>
      <w:bookmarkStart w:id="60" w:name="_Toc15396617"/>
      <w:r>
        <w:rPr>
          <w:rStyle w:val="27"/>
          <w:rFonts w:hint="eastAsia" w:ascii="仿宋" w:hAnsi="仿宋" w:eastAsia="仿宋" w:cs="仿宋"/>
          <w:b w:val="0"/>
          <w:bCs w:val="0"/>
          <w:sz w:val="32"/>
          <w:szCs w:val="32"/>
        </w:rPr>
        <w:t>附件2</w:t>
      </w:r>
      <w:bookmarkEnd w:id="60"/>
    </w:p>
    <w:p>
      <w:pPr>
        <w:pageBreakBefore w:val="0"/>
        <w:kinsoku/>
        <w:wordWrap/>
        <w:overflowPunct/>
        <w:topLinePunct w:val="0"/>
        <w:bidi w:val="0"/>
        <w:spacing w:line="578" w:lineRule="exact"/>
        <w:jc w:val="center"/>
        <w:rPr>
          <w:rFonts w:hint="eastAsia" w:ascii="仿宋" w:hAnsi="仿宋" w:eastAsia="仿宋" w:cs="仿宋"/>
          <w:sz w:val="32"/>
          <w:szCs w:val="32"/>
        </w:rPr>
      </w:pPr>
    </w:p>
    <w:p>
      <w:pPr>
        <w:pageBreakBefore w:val="0"/>
        <w:kinsoku/>
        <w:wordWrap/>
        <w:overflowPunct/>
        <w:topLinePunct w:val="0"/>
        <w:bidi w:val="0"/>
        <w:spacing w:line="578"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达川区第二幼儿园</w:t>
      </w:r>
    </w:p>
    <w:p>
      <w:pPr>
        <w:pageBreakBefore w:val="0"/>
        <w:kinsoku/>
        <w:wordWrap/>
        <w:overflowPunct/>
        <w:topLinePunct w:val="0"/>
        <w:bidi w:val="0"/>
        <w:spacing w:line="578"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人员经费</w:t>
      </w:r>
      <w:r>
        <w:rPr>
          <w:rFonts w:hint="eastAsia" w:ascii="方正小标宋简体" w:hAnsi="方正小标宋简体" w:eastAsia="方正小标宋简体" w:cs="方正小标宋简体"/>
          <w:sz w:val="44"/>
          <w:szCs w:val="44"/>
        </w:rPr>
        <w:t>项目支出绩效评价报告</w:t>
      </w:r>
    </w:p>
    <w:p>
      <w:pPr>
        <w:pageBreakBefore w:val="0"/>
        <w:kinsoku/>
        <w:wordWrap/>
        <w:overflowPunct/>
        <w:topLinePunct w:val="0"/>
        <w:bidi w:val="0"/>
        <w:spacing w:line="57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一、评价工作开展及项目情况</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pageBreakBefore w:val="0"/>
        <w:kinsoku/>
        <w:wordWrap/>
        <w:overflowPunct/>
        <w:topLinePunct w:val="0"/>
        <w:bidi w:val="0"/>
        <w:spacing w:line="578" w:lineRule="exact"/>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二、评价结论及绩效分析</w:t>
      </w:r>
    </w:p>
    <w:p>
      <w:pPr>
        <w:pageBreakBefore w:val="0"/>
        <w:kinsoku/>
        <w:wordWrap/>
        <w:overflowPunct/>
        <w:topLinePunct w:val="0"/>
        <w:bidi w:val="0"/>
        <w:spacing w:line="578"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（一）评价结论</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项目绩效评价总体结论</w:t>
      </w:r>
      <w:r>
        <w:rPr>
          <w:rFonts w:hint="eastAsia" w:ascii="仿宋" w:hAnsi="仿宋" w:eastAsia="仿宋" w:cs="仿宋"/>
          <w:sz w:val="32"/>
          <w:szCs w:val="32"/>
        </w:rPr>
        <w:t>良好。</w:t>
      </w:r>
    </w:p>
    <w:p>
      <w:pPr>
        <w:pageBreakBefore w:val="0"/>
        <w:kinsoku/>
        <w:wordWrap/>
        <w:overflowPunct/>
        <w:topLinePunct w:val="0"/>
        <w:bidi w:val="0"/>
        <w:spacing w:line="578"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（二）绩效分析</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项目决策</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人员经费，涉及全体教职员工的权益和福利，因此学校把这项费用纳入项目支出绩效评价。</w:t>
      </w:r>
      <w:r>
        <w:rPr>
          <w:rFonts w:hint="eastAsia" w:ascii="仿宋" w:hAnsi="仿宋" w:eastAsia="仿宋" w:cs="仿宋"/>
          <w:sz w:val="32"/>
          <w:szCs w:val="32"/>
        </w:rPr>
        <w:t>绩效目标设置</w:t>
      </w:r>
      <w:r>
        <w:rPr>
          <w:rFonts w:hint="eastAsia" w:ascii="仿宋" w:hAnsi="仿宋" w:eastAsia="仿宋" w:cs="仿宋"/>
          <w:sz w:val="32"/>
          <w:szCs w:val="32"/>
        </w:rPr>
        <w:t>为是否足额发放在职教师工资、购买养老保险、职业年金、医保、工伤、住房公积金、工会经费及临聘人员的工资补助。</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项目管理</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资金分配情况</w:t>
      </w:r>
      <w:r>
        <w:rPr>
          <w:rFonts w:hint="eastAsia" w:ascii="仿宋" w:hAnsi="仿宋" w:eastAsia="仿宋" w:cs="仿宋"/>
          <w:sz w:val="32"/>
          <w:szCs w:val="32"/>
        </w:rPr>
        <w:t>分配</w:t>
      </w:r>
      <w:r>
        <w:rPr>
          <w:rFonts w:hint="eastAsia" w:ascii="仿宋" w:hAnsi="仿宋" w:eastAsia="仿宋" w:cs="仿宋"/>
          <w:sz w:val="32"/>
          <w:szCs w:val="32"/>
          <w:lang w:val="en-US" w:eastAsia="zh-CN"/>
        </w:rPr>
        <w:t>93.01</w:t>
      </w:r>
      <w:r>
        <w:rPr>
          <w:rFonts w:hint="eastAsia" w:ascii="仿宋" w:hAnsi="仿宋" w:eastAsia="仿宋" w:cs="仿宋"/>
          <w:sz w:val="32"/>
          <w:szCs w:val="32"/>
        </w:rPr>
        <w:t>万元，足额用于发放学校教职员工的工资、五险一金。</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项目绩效</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项目目标完成情况</w:t>
      </w:r>
      <w:r>
        <w:rPr>
          <w:rFonts w:hint="eastAsia" w:ascii="仿宋" w:hAnsi="仿宋" w:eastAsia="仿宋" w:cs="仿宋"/>
          <w:sz w:val="32"/>
          <w:szCs w:val="32"/>
        </w:rPr>
        <w:t>数量指标做到应享尽享，质量指标做到足额及时补助，时效指标做到全部及时补助，成本指标做到财政拨款及时到位</w:t>
      </w:r>
      <w:r>
        <w:rPr>
          <w:rFonts w:hint="eastAsia" w:ascii="仿宋" w:hAnsi="仿宋" w:eastAsia="仿宋" w:cs="仿宋"/>
          <w:sz w:val="32"/>
          <w:szCs w:val="32"/>
        </w:rPr>
        <w:t>，经济效益</w:t>
      </w:r>
      <w:r>
        <w:rPr>
          <w:rFonts w:hint="eastAsia" w:ascii="仿宋" w:hAnsi="仿宋" w:eastAsia="仿宋" w:cs="仿宋"/>
          <w:sz w:val="32"/>
          <w:szCs w:val="32"/>
        </w:rPr>
        <w:t>为让全体教职员工全部及时得到补助，</w:t>
      </w:r>
      <w:r>
        <w:rPr>
          <w:rFonts w:hint="eastAsia" w:ascii="仿宋" w:hAnsi="仿宋" w:eastAsia="仿宋" w:cs="仿宋"/>
          <w:sz w:val="32"/>
          <w:szCs w:val="32"/>
        </w:rPr>
        <w:t>受益群体满意度</w:t>
      </w:r>
      <w:r>
        <w:rPr>
          <w:rFonts w:hint="eastAsia" w:ascii="仿宋" w:hAnsi="仿宋" w:eastAsia="仿宋" w:cs="仿宋"/>
          <w:sz w:val="32"/>
          <w:szCs w:val="32"/>
        </w:rPr>
        <w:t>为满意</w:t>
      </w:r>
      <w:r>
        <w:rPr>
          <w:rFonts w:hint="eastAsia" w:ascii="仿宋" w:hAnsi="仿宋" w:eastAsia="仿宋" w:cs="仿宋"/>
          <w:sz w:val="32"/>
          <w:szCs w:val="32"/>
        </w:rPr>
        <w:t>。</w:t>
      </w:r>
    </w:p>
    <w:p>
      <w:pPr>
        <w:pageBreakBefore w:val="0"/>
        <w:numPr>
          <w:ilvl w:val="0"/>
          <w:numId w:val="0"/>
        </w:numPr>
        <w:kinsoku/>
        <w:wordWrap/>
        <w:overflowPunct/>
        <w:topLinePunct w:val="0"/>
        <w:bidi w:val="0"/>
        <w:spacing w:line="578" w:lineRule="exact"/>
        <w:ind w:left="640" w:lef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存在主要问题</w:t>
      </w:r>
    </w:p>
    <w:p>
      <w:pPr>
        <w:pageBreakBefore w:val="0"/>
        <w:numPr>
          <w:ilvl w:val="0"/>
          <w:numId w:val="0"/>
        </w:numPr>
        <w:kinsoku/>
        <w:wordWrap/>
        <w:overflowPunct/>
        <w:topLinePunct w:val="0"/>
        <w:bidi w:val="0"/>
        <w:spacing w:line="578" w:lineRule="exact"/>
        <w:ind w:left="640" w:leftChars="0"/>
        <w:rPr>
          <w:rFonts w:hint="eastAsia" w:ascii="仿宋" w:hAnsi="仿宋" w:eastAsia="仿宋" w:cs="仿宋"/>
          <w:sz w:val="32"/>
          <w:szCs w:val="32"/>
        </w:rPr>
      </w:pPr>
      <w:r>
        <w:rPr>
          <w:rFonts w:hint="eastAsia" w:ascii="仿宋" w:hAnsi="仿宋" w:eastAsia="仿宋" w:cs="仿宋"/>
          <w:sz w:val="32"/>
          <w:szCs w:val="32"/>
        </w:rPr>
        <w:t>暂未发现问题。</w:t>
      </w:r>
    </w:p>
    <w:p>
      <w:pPr>
        <w:pageBreakBefore w:val="0"/>
        <w:kinsoku/>
        <w:wordWrap/>
        <w:overflowPunct/>
        <w:topLinePunct w:val="0"/>
        <w:bidi w:val="0"/>
        <w:spacing w:line="57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四、相关措施建议</w:t>
      </w:r>
    </w:p>
    <w:p>
      <w:pPr>
        <w:pageBreakBefore w:val="0"/>
        <w:kinsoku/>
        <w:wordWrap/>
        <w:overflowPunct/>
        <w:topLinePunct w:val="0"/>
        <w:bidi w:val="0"/>
        <w:spacing w:line="578" w:lineRule="exact"/>
        <w:ind w:left="640"/>
        <w:rPr>
          <w:rStyle w:val="27"/>
          <w:rFonts w:hint="eastAsia" w:ascii="仿宋" w:hAnsi="仿宋" w:eastAsia="仿宋" w:cs="仿宋"/>
          <w:b w:val="0"/>
          <w:bCs w:val="0"/>
          <w:kern w:val="2"/>
          <w:sz w:val="32"/>
          <w:szCs w:val="32"/>
        </w:rPr>
      </w:pPr>
      <w:r>
        <w:rPr>
          <w:rStyle w:val="27"/>
          <w:rFonts w:hint="eastAsia" w:ascii="仿宋" w:hAnsi="仿宋" w:eastAsia="仿宋" w:cs="仿宋"/>
          <w:b w:val="0"/>
          <w:bCs w:val="0"/>
          <w:kern w:val="2"/>
          <w:sz w:val="32"/>
          <w:szCs w:val="32"/>
        </w:rPr>
        <w:t>无。</w:t>
      </w:r>
    </w:p>
    <w:p>
      <w:pPr>
        <w:pageBreakBefore w:val="0"/>
        <w:kinsoku/>
        <w:wordWrap/>
        <w:overflowPunct/>
        <w:topLinePunct w:val="0"/>
        <w:bidi w:val="0"/>
        <w:spacing w:line="578" w:lineRule="exact"/>
        <w:ind w:firstLine="640" w:firstLineChars="200"/>
        <w:rPr>
          <w:rFonts w:hint="eastAsia" w:ascii="仿宋" w:hAnsi="仿宋" w:eastAsia="仿宋" w:cs="仿宋"/>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bookmarkStart w:id="61" w:name="_Toc15396618"/>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both"/>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Fonts w:hint="eastAsia" w:ascii="仿宋" w:hAnsi="仿宋" w:eastAsia="仿宋" w:cs="仿宋"/>
          <w:color w:val="000000"/>
          <w:sz w:val="32"/>
          <w:szCs w:val="32"/>
        </w:rPr>
      </w:pPr>
    </w:p>
    <w:p>
      <w:pPr>
        <w:pageBreakBefore w:val="0"/>
        <w:kinsoku/>
        <w:wordWrap/>
        <w:overflowPunct/>
        <w:topLinePunct w:val="0"/>
        <w:bidi w:val="0"/>
        <w:spacing w:line="578" w:lineRule="exact"/>
        <w:jc w:val="center"/>
        <w:outlineLvl w:val="0"/>
        <w:rPr>
          <w:rStyle w:val="27"/>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sz w:val="44"/>
          <w:szCs w:val="44"/>
        </w:rPr>
        <w:t>五部分 附表</w:t>
      </w:r>
      <w:bookmarkEnd w:id="57"/>
      <w:bookmarkEnd w:id="61"/>
    </w:p>
    <w:p>
      <w:pPr>
        <w:pageBreakBefore w:val="0"/>
        <w:kinsoku/>
        <w:wordWrap/>
        <w:overflowPunct/>
        <w:topLinePunct w:val="0"/>
        <w:bidi w:val="0"/>
        <w:spacing w:line="578" w:lineRule="exact"/>
        <w:jc w:val="center"/>
        <w:outlineLvl w:val="0"/>
        <w:rPr>
          <w:rFonts w:hint="eastAsia" w:ascii="仿宋" w:hAnsi="仿宋" w:eastAsia="仿宋" w:cs="仿宋"/>
          <w:b/>
          <w:color w:val="000000"/>
          <w:sz w:val="32"/>
          <w:szCs w:val="32"/>
        </w:rPr>
      </w:pPr>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62" w:name="_Toc15396619"/>
      <w:r>
        <w:rPr>
          <w:rFonts w:hint="eastAsia" w:ascii="仿宋" w:hAnsi="仿宋" w:eastAsia="仿宋" w:cs="仿宋"/>
          <w:b w:val="0"/>
          <w:color w:val="000000"/>
          <w:sz w:val="32"/>
          <w:szCs w:val="32"/>
        </w:rPr>
        <w:t>一、收</w:t>
      </w:r>
      <w:r>
        <w:rPr>
          <w:rStyle w:val="28"/>
          <w:rFonts w:hint="eastAsia" w:ascii="仿宋" w:hAnsi="仿宋" w:eastAsia="仿宋" w:cs="仿宋"/>
          <w:b w:val="0"/>
          <w:bCs w:val="0"/>
          <w:sz w:val="32"/>
          <w:szCs w:val="32"/>
        </w:rPr>
        <w:t>入支出决算总表</w:t>
      </w:r>
      <w:bookmarkEnd w:id="62"/>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lang w:val="en-US" w:eastAsia="zh-CN"/>
        </w:rPr>
      </w:pPr>
      <w:bookmarkStart w:id="63" w:name="_Toc15396620"/>
      <w:r>
        <w:rPr>
          <w:rFonts w:hint="eastAsia" w:ascii="仿宋" w:hAnsi="仿宋" w:eastAsia="仿宋" w:cs="仿宋"/>
          <w:b w:val="0"/>
          <w:color w:val="000000"/>
          <w:sz w:val="32"/>
          <w:szCs w:val="32"/>
        </w:rPr>
        <w:t>二、收</w:t>
      </w:r>
      <w:r>
        <w:rPr>
          <w:rStyle w:val="28"/>
          <w:rFonts w:hint="eastAsia" w:ascii="仿宋" w:hAnsi="仿宋" w:eastAsia="仿宋" w:cs="仿宋"/>
          <w:b w:val="0"/>
          <w:bCs w:val="0"/>
          <w:sz w:val="32"/>
          <w:szCs w:val="32"/>
        </w:rPr>
        <w:t>入</w:t>
      </w:r>
      <w:bookmarkEnd w:id="63"/>
      <w:r>
        <w:rPr>
          <w:rStyle w:val="28"/>
          <w:rFonts w:hint="eastAsia" w:ascii="仿宋" w:hAnsi="仿宋" w:eastAsia="仿宋" w:cs="仿宋"/>
          <w:b w:val="0"/>
          <w:bCs w:val="0"/>
          <w:sz w:val="32"/>
          <w:szCs w:val="32"/>
          <w:lang w:eastAsia="zh-CN"/>
        </w:rPr>
        <w:t>决算表</w:t>
      </w:r>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lang w:eastAsia="zh-CN"/>
        </w:rPr>
      </w:pPr>
      <w:bookmarkStart w:id="64" w:name="_Toc15396621"/>
      <w:r>
        <w:rPr>
          <w:rStyle w:val="28"/>
          <w:rFonts w:hint="eastAsia" w:ascii="仿宋" w:hAnsi="仿宋" w:eastAsia="仿宋" w:cs="仿宋"/>
          <w:b w:val="0"/>
          <w:bCs w:val="0"/>
          <w:sz w:val="32"/>
          <w:szCs w:val="32"/>
        </w:rPr>
        <w:t>三、</w:t>
      </w:r>
      <w:r>
        <w:rPr>
          <w:rFonts w:hint="eastAsia" w:ascii="仿宋" w:hAnsi="仿宋" w:eastAsia="仿宋" w:cs="仿宋"/>
          <w:b w:val="0"/>
          <w:color w:val="000000"/>
          <w:sz w:val="32"/>
          <w:szCs w:val="32"/>
        </w:rPr>
        <w:t>支</w:t>
      </w:r>
      <w:r>
        <w:rPr>
          <w:rStyle w:val="28"/>
          <w:rFonts w:hint="eastAsia" w:ascii="仿宋" w:hAnsi="仿宋" w:eastAsia="仿宋" w:cs="仿宋"/>
          <w:b w:val="0"/>
          <w:bCs w:val="0"/>
          <w:sz w:val="32"/>
          <w:szCs w:val="32"/>
        </w:rPr>
        <w:t>出</w:t>
      </w:r>
      <w:bookmarkEnd w:id="64"/>
      <w:r>
        <w:rPr>
          <w:rStyle w:val="28"/>
          <w:rFonts w:hint="eastAsia" w:ascii="仿宋" w:hAnsi="仿宋" w:eastAsia="仿宋" w:cs="仿宋"/>
          <w:b w:val="0"/>
          <w:bCs w:val="0"/>
          <w:sz w:val="32"/>
          <w:szCs w:val="32"/>
          <w:lang w:eastAsia="zh-CN"/>
        </w:rPr>
        <w:t>决算表</w:t>
      </w:r>
    </w:p>
    <w:p>
      <w:pPr>
        <w:pStyle w:val="3"/>
        <w:pageBreakBefore w:val="0"/>
        <w:kinsoku/>
        <w:wordWrap/>
        <w:overflowPunct/>
        <w:topLinePunct w:val="0"/>
        <w:bidi w:val="0"/>
        <w:spacing w:before="0" w:after="0" w:line="578" w:lineRule="exact"/>
        <w:rPr>
          <w:rFonts w:hint="eastAsia" w:ascii="仿宋" w:hAnsi="仿宋" w:eastAsia="仿宋" w:cs="仿宋"/>
          <w:b w:val="0"/>
          <w:color w:val="000000"/>
          <w:sz w:val="32"/>
          <w:szCs w:val="32"/>
        </w:rPr>
      </w:pPr>
      <w:bookmarkStart w:id="65" w:name="_Toc15396622"/>
      <w:r>
        <w:rPr>
          <w:rStyle w:val="28"/>
          <w:rFonts w:hint="eastAsia" w:ascii="仿宋" w:hAnsi="仿宋" w:eastAsia="仿宋" w:cs="仿宋"/>
          <w:b w:val="0"/>
          <w:bCs w:val="0"/>
          <w:sz w:val="32"/>
          <w:szCs w:val="32"/>
        </w:rPr>
        <w:t>四、</w:t>
      </w:r>
      <w:r>
        <w:rPr>
          <w:rFonts w:hint="eastAsia" w:ascii="仿宋" w:hAnsi="仿宋" w:eastAsia="仿宋" w:cs="仿宋"/>
          <w:b w:val="0"/>
          <w:color w:val="000000"/>
          <w:sz w:val="32"/>
          <w:szCs w:val="32"/>
        </w:rPr>
        <w:t>财</w:t>
      </w:r>
      <w:r>
        <w:rPr>
          <w:rStyle w:val="28"/>
          <w:rFonts w:hint="eastAsia" w:ascii="仿宋" w:hAnsi="仿宋" w:eastAsia="仿宋" w:cs="仿宋"/>
          <w:b w:val="0"/>
          <w:bCs w:val="0"/>
          <w:sz w:val="32"/>
          <w:szCs w:val="32"/>
        </w:rPr>
        <w:t>政拨款收入支出决算总表</w:t>
      </w:r>
      <w:bookmarkEnd w:id="65"/>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66" w:name="_Toc15396623"/>
      <w:r>
        <w:rPr>
          <w:rStyle w:val="28"/>
          <w:rFonts w:hint="eastAsia" w:ascii="仿宋" w:hAnsi="仿宋" w:eastAsia="仿宋" w:cs="仿宋"/>
          <w:b w:val="0"/>
          <w:bCs w:val="0"/>
          <w:sz w:val="32"/>
          <w:szCs w:val="32"/>
        </w:rPr>
        <w:t>五、</w:t>
      </w:r>
      <w:r>
        <w:rPr>
          <w:rFonts w:hint="eastAsia" w:ascii="仿宋" w:hAnsi="仿宋" w:eastAsia="仿宋" w:cs="仿宋"/>
          <w:b w:val="0"/>
          <w:color w:val="000000"/>
          <w:sz w:val="32"/>
          <w:szCs w:val="32"/>
        </w:rPr>
        <w:t>财</w:t>
      </w:r>
      <w:r>
        <w:rPr>
          <w:rStyle w:val="28"/>
          <w:rFonts w:hint="eastAsia" w:ascii="仿宋" w:hAnsi="仿宋" w:eastAsia="仿宋" w:cs="仿宋"/>
          <w:b w:val="0"/>
          <w:bCs w:val="0"/>
          <w:sz w:val="32"/>
          <w:szCs w:val="32"/>
        </w:rPr>
        <w:t>政拨款支出决算明细表（政府经济分类科目）</w:t>
      </w:r>
      <w:bookmarkEnd w:id="66"/>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67" w:name="_Toc15396624"/>
      <w:r>
        <w:rPr>
          <w:rStyle w:val="28"/>
          <w:rFonts w:hint="eastAsia" w:ascii="仿宋" w:hAnsi="仿宋" w:eastAsia="仿宋" w:cs="仿宋"/>
          <w:b w:val="0"/>
          <w:bCs w:val="0"/>
          <w:sz w:val="32"/>
          <w:szCs w:val="32"/>
        </w:rPr>
        <w:t>六、</w:t>
      </w:r>
      <w:r>
        <w:rPr>
          <w:rFonts w:hint="eastAsia" w:ascii="仿宋" w:hAnsi="仿宋" w:eastAsia="仿宋" w:cs="仿宋"/>
          <w:b w:val="0"/>
          <w:color w:val="000000"/>
          <w:sz w:val="32"/>
          <w:szCs w:val="32"/>
        </w:rPr>
        <w:t>一</w:t>
      </w:r>
      <w:r>
        <w:rPr>
          <w:rStyle w:val="28"/>
          <w:rFonts w:hint="eastAsia" w:ascii="仿宋" w:hAnsi="仿宋" w:eastAsia="仿宋" w:cs="仿宋"/>
          <w:b w:val="0"/>
          <w:bCs w:val="0"/>
          <w:sz w:val="32"/>
          <w:szCs w:val="32"/>
        </w:rPr>
        <w:t>般公共预算财政拨款支出决算表</w:t>
      </w:r>
      <w:bookmarkEnd w:id="67"/>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68" w:name="_Toc15396625"/>
      <w:r>
        <w:rPr>
          <w:rStyle w:val="28"/>
          <w:rFonts w:hint="eastAsia" w:ascii="仿宋" w:hAnsi="仿宋" w:eastAsia="仿宋" w:cs="仿宋"/>
          <w:b w:val="0"/>
          <w:bCs w:val="0"/>
          <w:sz w:val="32"/>
          <w:szCs w:val="32"/>
        </w:rPr>
        <w:t>七、</w:t>
      </w:r>
      <w:r>
        <w:rPr>
          <w:rFonts w:hint="eastAsia" w:ascii="仿宋" w:hAnsi="仿宋" w:eastAsia="仿宋" w:cs="仿宋"/>
          <w:b w:val="0"/>
          <w:color w:val="000000"/>
          <w:sz w:val="32"/>
          <w:szCs w:val="32"/>
        </w:rPr>
        <w:t>一</w:t>
      </w:r>
      <w:r>
        <w:rPr>
          <w:rStyle w:val="28"/>
          <w:rFonts w:hint="eastAsia" w:ascii="仿宋" w:hAnsi="仿宋" w:eastAsia="仿宋" w:cs="仿宋"/>
          <w:b w:val="0"/>
          <w:bCs w:val="0"/>
          <w:sz w:val="32"/>
          <w:szCs w:val="32"/>
        </w:rPr>
        <w:t>般公共预算财政拨款支出决算明细表</w:t>
      </w:r>
      <w:bookmarkEnd w:id="68"/>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69" w:name="_Toc15396626"/>
      <w:r>
        <w:rPr>
          <w:rStyle w:val="28"/>
          <w:rFonts w:hint="eastAsia" w:ascii="仿宋" w:hAnsi="仿宋" w:eastAsia="仿宋" w:cs="仿宋"/>
          <w:b w:val="0"/>
          <w:bCs w:val="0"/>
          <w:sz w:val="32"/>
          <w:szCs w:val="32"/>
        </w:rPr>
        <w:t>八、</w:t>
      </w:r>
      <w:r>
        <w:rPr>
          <w:rFonts w:hint="eastAsia" w:ascii="仿宋" w:hAnsi="仿宋" w:eastAsia="仿宋" w:cs="仿宋"/>
          <w:b w:val="0"/>
          <w:color w:val="000000"/>
          <w:sz w:val="32"/>
          <w:szCs w:val="32"/>
        </w:rPr>
        <w:t>一</w:t>
      </w:r>
      <w:r>
        <w:rPr>
          <w:rStyle w:val="28"/>
          <w:rFonts w:hint="eastAsia" w:ascii="仿宋" w:hAnsi="仿宋" w:eastAsia="仿宋" w:cs="仿宋"/>
          <w:b w:val="0"/>
          <w:bCs w:val="0"/>
          <w:sz w:val="32"/>
          <w:szCs w:val="32"/>
        </w:rPr>
        <w:t>般公共预算财政拨款基本支出决算表</w:t>
      </w:r>
      <w:bookmarkEnd w:id="69"/>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70" w:name="_Toc15396627"/>
      <w:r>
        <w:rPr>
          <w:rStyle w:val="28"/>
          <w:rFonts w:hint="eastAsia" w:ascii="仿宋" w:hAnsi="仿宋" w:eastAsia="仿宋" w:cs="仿宋"/>
          <w:b w:val="0"/>
          <w:bCs w:val="0"/>
          <w:sz w:val="32"/>
          <w:szCs w:val="32"/>
        </w:rPr>
        <w:t>九、</w:t>
      </w:r>
      <w:r>
        <w:rPr>
          <w:rFonts w:hint="eastAsia" w:ascii="仿宋" w:hAnsi="仿宋" w:eastAsia="仿宋" w:cs="仿宋"/>
          <w:b w:val="0"/>
          <w:color w:val="000000"/>
          <w:sz w:val="32"/>
          <w:szCs w:val="32"/>
        </w:rPr>
        <w:t>一</w:t>
      </w:r>
      <w:r>
        <w:rPr>
          <w:rStyle w:val="28"/>
          <w:rFonts w:hint="eastAsia" w:ascii="仿宋" w:hAnsi="仿宋" w:eastAsia="仿宋" w:cs="仿宋"/>
          <w:b w:val="0"/>
          <w:bCs w:val="0"/>
          <w:sz w:val="32"/>
          <w:szCs w:val="32"/>
        </w:rPr>
        <w:t>般公共预算财政拨款项目支出决算表</w:t>
      </w:r>
      <w:bookmarkEnd w:id="70"/>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71" w:name="_Toc15396628"/>
      <w:r>
        <w:rPr>
          <w:rStyle w:val="28"/>
          <w:rFonts w:hint="eastAsia" w:ascii="仿宋" w:hAnsi="仿宋" w:eastAsia="仿宋" w:cs="仿宋"/>
          <w:b w:val="0"/>
          <w:bCs w:val="0"/>
          <w:sz w:val="32"/>
          <w:szCs w:val="32"/>
        </w:rPr>
        <w:t>十、</w:t>
      </w:r>
      <w:r>
        <w:rPr>
          <w:rFonts w:hint="eastAsia" w:ascii="仿宋" w:hAnsi="仿宋" w:eastAsia="仿宋" w:cs="仿宋"/>
          <w:b w:val="0"/>
          <w:color w:val="000000"/>
          <w:sz w:val="32"/>
          <w:szCs w:val="32"/>
        </w:rPr>
        <w:t>一</w:t>
      </w:r>
      <w:r>
        <w:rPr>
          <w:rStyle w:val="28"/>
          <w:rFonts w:hint="eastAsia" w:ascii="仿宋" w:hAnsi="仿宋" w:eastAsia="仿宋" w:cs="仿宋"/>
          <w:b w:val="0"/>
          <w:bCs w:val="0"/>
          <w:sz w:val="32"/>
          <w:szCs w:val="32"/>
        </w:rPr>
        <w:t>般公共预算财政拨款“三公”经费支出决算表</w:t>
      </w:r>
      <w:bookmarkEnd w:id="71"/>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72" w:name="_Toc15396629"/>
      <w:r>
        <w:rPr>
          <w:rStyle w:val="28"/>
          <w:rFonts w:hint="eastAsia" w:ascii="仿宋" w:hAnsi="仿宋" w:eastAsia="仿宋" w:cs="仿宋"/>
          <w:b w:val="0"/>
          <w:bCs w:val="0"/>
          <w:sz w:val="32"/>
          <w:szCs w:val="32"/>
        </w:rPr>
        <w:t>十一、</w:t>
      </w:r>
      <w:r>
        <w:rPr>
          <w:rFonts w:hint="eastAsia" w:ascii="仿宋" w:hAnsi="仿宋" w:eastAsia="仿宋" w:cs="仿宋"/>
          <w:b w:val="0"/>
          <w:color w:val="000000"/>
          <w:sz w:val="32"/>
          <w:szCs w:val="32"/>
        </w:rPr>
        <w:t>政</w:t>
      </w:r>
      <w:r>
        <w:rPr>
          <w:rStyle w:val="28"/>
          <w:rFonts w:hint="eastAsia" w:ascii="仿宋" w:hAnsi="仿宋" w:eastAsia="仿宋" w:cs="仿宋"/>
          <w:b w:val="0"/>
          <w:bCs w:val="0"/>
          <w:sz w:val="32"/>
          <w:szCs w:val="32"/>
        </w:rPr>
        <w:t>府性基金预算财政拨款收入支出决算表</w:t>
      </w:r>
      <w:bookmarkEnd w:id="72"/>
    </w:p>
    <w:p>
      <w:pPr>
        <w:pStyle w:val="3"/>
        <w:pageBreakBefore w:val="0"/>
        <w:kinsoku/>
        <w:wordWrap/>
        <w:overflowPunct/>
        <w:topLinePunct w:val="0"/>
        <w:bidi w:val="0"/>
        <w:spacing w:before="0" w:after="0" w:line="578" w:lineRule="exact"/>
        <w:rPr>
          <w:rFonts w:hint="eastAsia" w:ascii="仿宋" w:hAnsi="仿宋" w:eastAsia="仿宋" w:cs="仿宋"/>
          <w:color w:val="000000"/>
          <w:sz w:val="32"/>
          <w:szCs w:val="32"/>
        </w:rPr>
      </w:pPr>
      <w:bookmarkStart w:id="73" w:name="_Toc15396630"/>
      <w:r>
        <w:rPr>
          <w:rStyle w:val="28"/>
          <w:rFonts w:hint="eastAsia" w:ascii="仿宋" w:hAnsi="仿宋" w:eastAsia="仿宋" w:cs="仿宋"/>
          <w:b w:val="0"/>
          <w:bCs w:val="0"/>
          <w:sz w:val="32"/>
          <w:szCs w:val="32"/>
        </w:rPr>
        <w:t>十二、</w:t>
      </w:r>
      <w:r>
        <w:rPr>
          <w:rFonts w:hint="eastAsia" w:ascii="仿宋" w:hAnsi="仿宋" w:eastAsia="仿宋" w:cs="仿宋"/>
          <w:b w:val="0"/>
          <w:color w:val="000000"/>
          <w:sz w:val="32"/>
          <w:szCs w:val="32"/>
        </w:rPr>
        <w:t>政</w:t>
      </w:r>
      <w:r>
        <w:rPr>
          <w:rStyle w:val="28"/>
          <w:rFonts w:hint="eastAsia" w:ascii="仿宋" w:hAnsi="仿宋" w:eastAsia="仿宋" w:cs="仿宋"/>
          <w:b w:val="0"/>
          <w:bCs w:val="0"/>
          <w:sz w:val="32"/>
          <w:szCs w:val="32"/>
        </w:rPr>
        <w:t>府性基金预算财政拨款“三公”经费支出决算表</w:t>
      </w:r>
      <w:bookmarkEnd w:id="73"/>
    </w:p>
    <w:p>
      <w:pPr>
        <w:pStyle w:val="3"/>
        <w:pageBreakBefore w:val="0"/>
        <w:kinsoku/>
        <w:wordWrap/>
        <w:overflowPunct/>
        <w:topLinePunct w:val="0"/>
        <w:bidi w:val="0"/>
        <w:spacing w:before="0" w:after="0" w:line="578" w:lineRule="exact"/>
        <w:rPr>
          <w:rStyle w:val="28"/>
          <w:rFonts w:hint="eastAsia" w:ascii="仿宋" w:hAnsi="仿宋" w:eastAsia="仿宋" w:cs="仿宋"/>
          <w:b w:val="0"/>
          <w:bCs w:val="0"/>
          <w:sz w:val="32"/>
          <w:szCs w:val="32"/>
        </w:rPr>
      </w:pPr>
      <w:bookmarkStart w:id="74" w:name="_Toc15396631"/>
      <w:r>
        <w:rPr>
          <w:rStyle w:val="28"/>
          <w:rFonts w:hint="eastAsia" w:ascii="仿宋" w:hAnsi="仿宋" w:eastAsia="仿宋" w:cs="仿宋"/>
          <w:b w:val="0"/>
          <w:bCs w:val="0"/>
          <w:sz w:val="32"/>
          <w:szCs w:val="32"/>
        </w:rPr>
        <w:t>十三、</w:t>
      </w:r>
      <w:r>
        <w:rPr>
          <w:rFonts w:hint="eastAsia" w:ascii="仿宋" w:hAnsi="仿宋" w:eastAsia="仿宋" w:cs="仿宋"/>
          <w:b w:val="0"/>
          <w:color w:val="000000"/>
          <w:sz w:val="32"/>
          <w:szCs w:val="32"/>
        </w:rPr>
        <w:t>国</w:t>
      </w:r>
      <w:r>
        <w:rPr>
          <w:rStyle w:val="28"/>
          <w:rFonts w:hint="eastAsia" w:ascii="仿宋" w:hAnsi="仿宋" w:eastAsia="仿宋" w:cs="仿宋"/>
          <w:b w:val="0"/>
          <w:bCs w:val="0"/>
          <w:sz w:val="32"/>
          <w:szCs w:val="32"/>
        </w:rPr>
        <w:t>有资本经营预算</w:t>
      </w:r>
      <w:r>
        <w:rPr>
          <w:rStyle w:val="28"/>
          <w:rFonts w:hint="eastAsia" w:ascii="仿宋" w:hAnsi="仿宋" w:eastAsia="仿宋" w:cs="仿宋"/>
          <w:b w:val="0"/>
          <w:bCs w:val="0"/>
          <w:sz w:val="32"/>
          <w:szCs w:val="32"/>
          <w:lang w:eastAsia="zh-CN"/>
        </w:rPr>
        <w:t>财政拨款收入</w:t>
      </w:r>
      <w:r>
        <w:rPr>
          <w:rStyle w:val="28"/>
          <w:rFonts w:hint="eastAsia" w:ascii="仿宋" w:hAnsi="仿宋" w:eastAsia="仿宋" w:cs="仿宋"/>
          <w:b w:val="0"/>
          <w:bCs w:val="0"/>
          <w:sz w:val="32"/>
          <w:szCs w:val="32"/>
        </w:rPr>
        <w:t>支出决算表</w:t>
      </w:r>
      <w:bookmarkEnd w:id="74"/>
    </w:p>
    <w:p>
      <w:pPr>
        <w:pStyle w:val="3"/>
        <w:pageBreakBefore w:val="0"/>
        <w:kinsoku/>
        <w:wordWrap/>
        <w:overflowPunct/>
        <w:topLinePunct w:val="0"/>
        <w:bidi w:val="0"/>
        <w:spacing w:before="0" w:after="0" w:line="578" w:lineRule="exact"/>
        <w:rPr>
          <w:rStyle w:val="28"/>
          <w:rFonts w:hint="eastAsia" w:ascii="仿宋" w:hAnsi="仿宋" w:eastAsia="仿宋" w:cs="仿宋"/>
          <w:b w:val="0"/>
          <w:bCs w:val="0"/>
          <w:sz w:val="32"/>
          <w:szCs w:val="32"/>
        </w:rPr>
      </w:pPr>
      <w:r>
        <w:rPr>
          <w:rFonts w:hint="eastAsia" w:ascii="仿宋" w:hAnsi="仿宋" w:eastAsia="仿宋" w:cs="仿宋"/>
          <w:b w:val="0"/>
          <w:color w:val="000000"/>
          <w:sz w:val="32"/>
          <w:szCs w:val="32"/>
          <w:lang w:eastAsia="zh-CN"/>
        </w:rPr>
        <w:t>十四、</w:t>
      </w:r>
      <w:bookmarkStart w:id="75" w:name="_GoBack"/>
      <w:bookmarkEnd w:id="75"/>
      <w:r>
        <w:rPr>
          <w:rFonts w:hint="eastAsia" w:ascii="仿宋" w:hAnsi="仿宋" w:eastAsia="仿宋" w:cs="仿宋"/>
          <w:b w:val="0"/>
          <w:color w:val="000000"/>
          <w:sz w:val="32"/>
          <w:szCs w:val="32"/>
        </w:rPr>
        <w:t>国</w:t>
      </w:r>
      <w:r>
        <w:rPr>
          <w:rStyle w:val="28"/>
          <w:rFonts w:hint="eastAsia" w:ascii="仿宋" w:hAnsi="仿宋" w:eastAsia="仿宋" w:cs="仿宋"/>
          <w:b w:val="0"/>
          <w:bCs w:val="0"/>
          <w:sz w:val="32"/>
          <w:szCs w:val="32"/>
        </w:rPr>
        <w:t>有资本经营预算</w:t>
      </w:r>
      <w:r>
        <w:rPr>
          <w:rStyle w:val="28"/>
          <w:rFonts w:hint="eastAsia" w:ascii="仿宋" w:hAnsi="仿宋" w:eastAsia="仿宋" w:cs="仿宋"/>
          <w:b w:val="0"/>
          <w:bCs w:val="0"/>
          <w:sz w:val="32"/>
          <w:szCs w:val="32"/>
          <w:lang w:eastAsia="zh-CN"/>
        </w:rPr>
        <w:t>财政拨款</w:t>
      </w:r>
      <w:r>
        <w:rPr>
          <w:rStyle w:val="28"/>
          <w:rFonts w:hint="eastAsia" w:ascii="仿宋" w:hAnsi="仿宋" w:eastAsia="仿宋" w:cs="仿宋"/>
          <w:b w:val="0"/>
          <w:bCs w:val="0"/>
          <w:sz w:val="32"/>
          <w:szCs w:val="32"/>
        </w:rPr>
        <w:t>支出决算表</w:t>
      </w:r>
    </w:p>
    <w:p>
      <w:pPr>
        <w:rPr>
          <w:rFonts w:hint="eastAsia"/>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68ED2"/>
    <w:multiLevelType w:val="singleLevel"/>
    <w:tmpl w:val="BA168ED2"/>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ABACA17"/>
    <w:multiLevelType w:val="singleLevel"/>
    <w:tmpl w:val="EABACA17"/>
    <w:lvl w:ilvl="0" w:tentative="0">
      <w:start w:val="1"/>
      <w:numFmt w:val="decimal"/>
      <w:lvlText w:val="%1."/>
      <w:lvlJc w:val="left"/>
      <w:pPr>
        <w:tabs>
          <w:tab w:val="left" w:pos="312"/>
        </w:tabs>
      </w:pPr>
    </w:lvl>
  </w:abstractNum>
  <w:abstractNum w:abstractNumId="4">
    <w:nsid w:val="EC0BEF30"/>
    <w:multiLevelType w:val="singleLevel"/>
    <w:tmpl w:val="EC0BEF30"/>
    <w:lvl w:ilvl="0" w:tentative="0">
      <w:start w:val="1"/>
      <w:numFmt w:val="chineseCounting"/>
      <w:suff w:val="nothing"/>
      <w:lvlText w:val="（%1）"/>
      <w:lvlJc w:val="left"/>
      <w:pPr>
        <w:ind w:left="-13"/>
      </w:pPr>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482BB0"/>
    <w:rsid w:val="01B26596"/>
    <w:rsid w:val="050979CA"/>
    <w:rsid w:val="06A0612D"/>
    <w:rsid w:val="06F428CC"/>
    <w:rsid w:val="0EF250C7"/>
    <w:rsid w:val="0F716558"/>
    <w:rsid w:val="10C055FF"/>
    <w:rsid w:val="16BB723D"/>
    <w:rsid w:val="16C60F76"/>
    <w:rsid w:val="17367EF1"/>
    <w:rsid w:val="179C1ED9"/>
    <w:rsid w:val="17C40EC5"/>
    <w:rsid w:val="19D86929"/>
    <w:rsid w:val="1FB401EF"/>
    <w:rsid w:val="21320B01"/>
    <w:rsid w:val="21F50727"/>
    <w:rsid w:val="231E47E9"/>
    <w:rsid w:val="236C0866"/>
    <w:rsid w:val="240371BF"/>
    <w:rsid w:val="24171981"/>
    <w:rsid w:val="2654593F"/>
    <w:rsid w:val="29412512"/>
    <w:rsid w:val="29FD04D3"/>
    <w:rsid w:val="2A992DFE"/>
    <w:rsid w:val="2BEF6179"/>
    <w:rsid w:val="2C7A10AE"/>
    <w:rsid w:val="2ECF1C4D"/>
    <w:rsid w:val="2F09270A"/>
    <w:rsid w:val="319F7F4E"/>
    <w:rsid w:val="328A4ECF"/>
    <w:rsid w:val="34F31411"/>
    <w:rsid w:val="373C4174"/>
    <w:rsid w:val="3914131B"/>
    <w:rsid w:val="3951731B"/>
    <w:rsid w:val="39FE5FAC"/>
    <w:rsid w:val="3A084BCA"/>
    <w:rsid w:val="3A0B1F96"/>
    <w:rsid w:val="3BC74390"/>
    <w:rsid w:val="3CF437D7"/>
    <w:rsid w:val="3DE83779"/>
    <w:rsid w:val="3FF93093"/>
    <w:rsid w:val="405C098F"/>
    <w:rsid w:val="406A2879"/>
    <w:rsid w:val="417E457B"/>
    <w:rsid w:val="41A573A8"/>
    <w:rsid w:val="450F7234"/>
    <w:rsid w:val="45A71E95"/>
    <w:rsid w:val="461618A7"/>
    <w:rsid w:val="465806C9"/>
    <w:rsid w:val="47090FBD"/>
    <w:rsid w:val="4D2403B9"/>
    <w:rsid w:val="4EAB324E"/>
    <w:rsid w:val="4FA279D8"/>
    <w:rsid w:val="4FBB509D"/>
    <w:rsid w:val="4FD02B34"/>
    <w:rsid w:val="50B6429C"/>
    <w:rsid w:val="51F70E84"/>
    <w:rsid w:val="527C754C"/>
    <w:rsid w:val="53007FA0"/>
    <w:rsid w:val="59FC2848"/>
    <w:rsid w:val="5BCD57BF"/>
    <w:rsid w:val="5CA22178"/>
    <w:rsid w:val="5CB21335"/>
    <w:rsid w:val="5CC934CD"/>
    <w:rsid w:val="5EB14EB8"/>
    <w:rsid w:val="654E5FE6"/>
    <w:rsid w:val="68BE0663"/>
    <w:rsid w:val="6AEE3514"/>
    <w:rsid w:val="6B3F63FB"/>
    <w:rsid w:val="6E325B7C"/>
    <w:rsid w:val="6E754179"/>
    <w:rsid w:val="6F2B2FC4"/>
    <w:rsid w:val="71895D08"/>
    <w:rsid w:val="76274F58"/>
    <w:rsid w:val="785E3392"/>
    <w:rsid w:val="787841E5"/>
    <w:rsid w:val="7C282C79"/>
    <w:rsid w:val="7E316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0"/>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5">
    <w:name w:val="Strong"/>
    <w:basedOn w:val="14"/>
    <w:qFormat/>
    <w:uiPriority w:val="99"/>
    <w:rPr>
      <w:b/>
    </w:rPr>
  </w:style>
  <w:style w:type="character" w:styleId="16">
    <w:name w:val="FollowedHyperlink"/>
    <w:basedOn w:val="14"/>
    <w:semiHidden/>
    <w:unhideWhenUsed/>
    <w:qFormat/>
    <w:uiPriority w:val="99"/>
    <w:rPr>
      <w:color w:val="333333"/>
      <w:u w:val="none"/>
    </w:rPr>
  </w:style>
  <w:style w:type="character" w:styleId="17">
    <w:name w:val="Emphasis"/>
    <w:basedOn w:val="14"/>
    <w:qFormat/>
    <w:uiPriority w:val="20"/>
    <w:rPr>
      <w:rFonts w:hint="eastAsia" w:ascii="微软雅黑" w:hAnsi="微软雅黑" w:eastAsia="微软雅黑" w:cs="微软雅黑"/>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customStyle="1" w:styleId="19">
    <w:name w:val="Header Char"/>
    <w:basedOn w:val="14"/>
    <w:semiHidden/>
    <w:qFormat/>
    <w:uiPriority w:val="99"/>
    <w:rPr>
      <w:rFonts w:ascii="Times New Roman" w:hAnsi="Times New Roman"/>
      <w:sz w:val="18"/>
      <w:szCs w:val="18"/>
    </w:rPr>
  </w:style>
  <w:style w:type="character" w:customStyle="1" w:styleId="20">
    <w:name w:val="页眉 Char"/>
    <w:link w:val="9"/>
    <w:semiHidden/>
    <w:qFormat/>
    <w:locked/>
    <w:uiPriority w:val="99"/>
    <w:rPr>
      <w:sz w:val="18"/>
    </w:rPr>
  </w:style>
  <w:style w:type="character" w:customStyle="1" w:styleId="21">
    <w:name w:val="Footer Char"/>
    <w:basedOn w:val="14"/>
    <w:semiHidden/>
    <w:qFormat/>
    <w:uiPriority w:val="99"/>
    <w:rPr>
      <w:rFonts w:ascii="Times New Roman" w:hAnsi="Times New Roman"/>
      <w:sz w:val="18"/>
      <w:szCs w:val="18"/>
    </w:rPr>
  </w:style>
  <w:style w:type="character" w:customStyle="1" w:styleId="22">
    <w:name w:val="页脚 Char"/>
    <w:link w:val="8"/>
    <w:qFormat/>
    <w:locked/>
    <w:uiPriority w:val="99"/>
    <w:rPr>
      <w:sz w:val="18"/>
    </w:rPr>
  </w:style>
  <w:style w:type="character" w:customStyle="1" w:styleId="23">
    <w:name w:val="Body Text Char"/>
    <w:basedOn w:val="14"/>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4"/>
    <w:link w:val="2"/>
    <w:qFormat/>
    <w:uiPriority w:val="9"/>
    <w:rPr>
      <w:rFonts w:ascii="Times New Roman" w:hAnsi="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4"/>
    <w:link w:val="7"/>
    <w:semiHidden/>
    <w:qFormat/>
    <w:uiPriority w:val="99"/>
    <w:rPr>
      <w:rFonts w:ascii="Times New Roman" w:hAnsi="Times New Roman"/>
      <w:kern w:val="2"/>
      <w:sz w:val="18"/>
      <w:szCs w:val="18"/>
    </w:rPr>
  </w:style>
  <w:style w:type="character" w:customStyle="1" w:styleId="31">
    <w:name w:val="标题 3 Char"/>
    <w:basedOn w:val="14"/>
    <w:link w:val="4"/>
    <w:qFormat/>
    <w:uiPriority w:val="9"/>
    <w:rPr>
      <w:rFonts w:ascii="Times New Roman" w:hAnsi="Times New Roman"/>
      <w:b/>
      <w:bCs/>
      <w:kern w:val="2"/>
      <w:sz w:val="32"/>
      <w:szCs w:val="32"/>
    </w:rPr>
  </w:style>
  <w:style w:type="character" w:customStyle="1" w:styleId="32">
    <w:name w:val="text"/>
    <w:basedOn w:val="14"/>
    <w:qFormat/>
    <w:uiPriority w:val="0"/>
    <w:rPr>
      <w:color w:val="666666"/>
    </w:rPr>
  </w:style>
  <w:style w:type="character" w:customStyle="1" w:styleId="33">
    <w:name w:val="after"/>
    <w:basedOn w:val="14"/>
    <w:qFormat/>
    <w:uiPriority w:val="0"/>
    <w:rPr>
      <w:shd w:val="clear" w:fill="FFFFFF"/>
    </w:rPr>
  </w:style>
  <w:style w:type="character" w:customStyle="1" w:styleId="34">
    <w:name w:val="last"/>
    <w:basedOn w:val="14"/>
    <w:qFormat/>
    <w:uiPriority w:val="0"/>
  </w:style>
  <w:style w:type="character" w:customStyle="1" w:styleId="35">
    <w:name w:val="wx-space"/>
    <w:basedOn w:val="14"/>
    <w:qFormat/>
    <w:uiPriority w:val="0"/>
  </w:style>
  <w:style w:type="character" w:customStyle="1" w:styleId="36">
    <w:name w:val="wx-space1"/>
    <w:basedOn w:val="14"/>
    <w:qFormat/>
    <w:uiPriority w:val="0"/>
  </w:style>
  <w:style w:type="character" w:customStyle="1" w:styleId="37">
    <w:name w:val="hover20"/>
    <w:basedOn w:val="14"/>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微软雅黑" panose="020B0503020204020204" charset="-122"/>
                <a:ea typeface="微软雅黑" panose="020B0503020204020204" charset="-122"/>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elete val="1"/>
          </c:dLbls>
          <c:cat>
            <c:strRef>
              <c:f>Sheet1!$A$2:$A$3</c:f>
              <c:strCache>
                <c:ptCount val="2"/>
                <c:pt idx="0">
                  <c:v>收入数</c:v>
                </c:pt>
                <c:pt idx="1">
                  <c:v>支出数</c:v>
                </c:pt>
              </c:strCache>
            </c:strRef>
          </c:cat>
          <c:val>
            <c:numRef>
              <c:f>Sheet1!$B$2:$B$3</c:f>
              <c:numCache>
                <c:formatCode>General</c:formatCode>
                <c:ptCount val="2"/>
                <c:pt idx="0">
                  <c:v>114.38</c:v>
                </c:pt>
                <c:pt idx="1">
                  <c:v>304.74</c:v>
                </c:pt>
              </c:numCache>
            </c:numRef>
          </c:val>
        </c:ser>
        <c:ser>
          <c:idx val="1"/>
          <c:order val="1"/>
          <c:tx>
            <c:strRef>
              <c:f>Sheet1!$C$1</c:f>
              <c:strCache>
                <c:ptCount val="1"/>
                <c:pt idx="0">
                  <c:v>2020年度</c:v>
                </c:pt>
              </c:strCache>
            </c:strRef>
          </c:tx>
          <c:spPr>
            <a:solidFill>
              <a:schemeClr val="accent2"/>
            </a:solidFill>
            <a:ln>
              <a:noFill/>
            </a:ln>
            <a:effectLst/>
          </c:spPr>
          <c:invertIfNegative val="0"/>
          <c:dLbls>
            <c:delete val="1"/>
          </c:dLbls>
          <c:cat>
            <c:strRef>
              <c:f>Sheet1!$A$2:$A$3</c:f>
              <c:strCache>
                <c:ptCount val="2"/>
                <c:pt idx="0">
                  <c:v>收入数</c:v>
                </c:pt>
                <c:pt idx="1">
                  <c:v>支出数</c:v>
                </c:pt>
              </c:strCache>
            </c:strRef>
          </c:cat>
          <c:val>
            <c:numRef>
              <c:f>Sheet1!$C$2:$C$3</c:f>
              <c:numCache>
                <c:formatCode>General</c:formatCode>
                <c:ptCount val="2"/>
                <c:pt idx="0">
                  <c:v>144.16</c:v>
                </c:pt>
                <c:pt idx="1">
                  <c:v>202.21</c:v>
                </c:pt>
              </c:numCache>
            </c:numRef>
          </c:val>
        </c:ser>
        <c:dLbls>
          <c:showLegendKey val="0"/>
          <c:showVal val="0"/>
          <c:showCatName val="0"/>
          <c:showSerName val="0"/>
          <c:showPercent val="0"/>
          <c:showBubbleSize val="0"/>
        </c:dLbls>
        <c:gapWidth val="219"/>
        <c:overlap val="-27"/>
        <c:axId val="313828745"/>
        <c:axId val="379956758"/>
      </c:barChart>
      <c:catAx>
        <c:axId val="31382874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crossAx val="379956758"/>
        <c:crosses val="autoZero"/>
        <c:auto val="1"/>
        <c:lblAlgn val="ctr"/>
        <c:lblOffset val="100"/>
        <c:noMultiLvlLbl val="0"/>
      </c:catAx>
      <c:valAx>
        <c:axId val="3799567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crossAx val="3138287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收入决算结构图</a:t>
            </a:r>
          </a:p>
        </c:rich>
      </c:tx>
      <c:layout/>
      <c:overlay val="0"/>
      <c:spPr>
        <a:noFill/>
        <a:ln>
          <a:noFill/>
        </a:ln>
        <a:effectLst/>
      </c:spPr>
    </c:title>
    <c:autoTitleDeleted val="0"/>
    <c:plotArea>
      <c:layout>
        <c:manualLayout>
          <c:layoutTarget val="inner"/>
          <c:xMode val="edge"/>
          <c:yMode val="edge"/>
          <c:x val="0.26465889612255"/>
          <c:y val="0.211675094816688"/>
          <c:w val="0.400959024181846"/>
          <c:h val="0.669068338249754"/>
        </c:manualLayout>
      </c:layout>
      <c:pieChart>
        <c:varyColors val="1"/>
        <c:ser>
          <c:idx val="0"/>
          <c:order val="0"/>
          <c:tx>
            <c:strRef>
              <c:f>Sheet1!$B$1</c:f>
              <c:strCache>
                <c:ptCount val="1"/>
                <c:pt idx="0">
                  <c:v>系列 1</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numFmt formatCode="General" sourceLinked="1"/>
              <c:spPr>
                <a:solidFill>
                  <a:srgbClr val="F3BF61"/>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614726713884806"/>
                  <c:y val="-0.0401390644753478"/>
                </c:manualLayout>
              </c:layout>
              <c:numFmt formatCode="General" sourceLinked="1"/>
              <c:spPr>
                <a:solidFill>
                  <a:srgbClr val="00CCD5"/>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事业收入</c:v>
                </c:pt>
              </c:strCache>
            </c:strRef>
          </c:cat>
          <c:val>
            <c:numRef>
              <c:f>Sheet1!$B$2:$B$3</c:f>
              <c:numCache>
                <c:formatCode>0.00%</c:formatCode>
                <c:ptCount val="2"/>
                <c:pt idx="0">
                  <c:v>0.6452</c:v>
                </c:pt>
                <c:pt idx="1">
                  <c:v>0.3548</c:v>
                </c:pt>
              </c:numCache>
            </c:numRef>
          </c:val>
        </c:ser>
        <c:ser>
          <c:idx val="1"/>
          <c:order val="1"/>
          <c:tx>
            <c:strRef>
              <c:f>Sheet1!#REF!</c:f>
              <c:strCache>
                <c:ptCount val="1"/>
                <c:pt idx="0">
                  <c:v/>
                </c:pt>
              </c:strCache>
            </c:strRef>
          </c:tx>
          <c:spPr>
            <a:effectLst/>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事业收入</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effectLst/>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事业收入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839771283354511"/>
          <c:y val="0.293166506256015"/>
          <c:w val="0.131766200762389"/>
          <c:h val="0.451588065447546"/>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noFill/>
    <a:ln w="9525" cap="flat" cmpd="sng" algn="ctr">
      <a:solidFill>
        <a:schemeClr val="tx1"/>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manualLayout>
          <c:xMode val="edge"/>
          <c:yMode val="edge"/>
          <c:x val="0.350571791613723"/>
          <c:y val="0.0196342637151107"/>
        </c:manualLayout>
      </c:layout>
      <c:overlay val="0"/>
      <c:spPr>
        <a:noFill/>
        <a:ln>
          <a:noFill/>
        </a:ln>
        <a:effectLst/>
      </c:spPr>
    </c:title>
    <c:autoTitleDeleted val="0"/>
    <c:plotArea>
      <c:layout>
        <c:manualLayout>
          <c:layoutTarget val="inner"/>
          <c:xMode val="edge"/>
          <c:yMode val="edge"/>
          <c:x val="0.26465889612255"/>
          <c:y val="0.211675094816688"/>
          <c:w val="0.400959024181846"/>
          <c:h val="0.669068338249754"/>
        </c:manualLayout>
      </c:layout>
      <c:pieChart>
        <c:varyColors val="1"/>
        <c:ser>
          <c:idx val="0"/>
          <c:order val="0"/>
          <c:tx>
            <c:strRef>
              <c:f>Sheet1!$B$1</c:f>
              <c:strCache>
                <c:ptCount val="1"/>
                <c:pt idx="0">
                  <c:v>系列 1</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numFmt formatCode="General" sourceLinked="1"/>
              <c:spPr>
                <a:solidFill>
                  <a:srgbClr val="F3BF61"/>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614726713884806"/>
                  <c:y val="-0.0401390644753478"/>
                </c:manualLayout>
              </c:layout>
              <c:numFmt formatCode="General" sourceLinked="1"/>
              <c:spPr>
                <a:solidFill>
                  <a:srgbClr val="00CCD5"/>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0.6293</c:v>
                </c:pt>
                <c:pt idx="1">
                  <c:v>0.3707</c:v>
                </c:pt>
              </c:numCache>
            </c:numRef>
          </c:val>
        </c:ser>
        <c:ser>
          <c:idx val="1"/>
          <c:order val="1"/>
          <c:tx>
            <c:strRef>
              <c:f>Sheet1!#REF!</c:f>
              <c:strCache>
                <c:ptCount val="1"/>
                <c:pt idx="0">
                  <c:v/>
                </c:pt>
              </c:strCache>
            </c:strRef>
          </c:tx>
          <c:spPr>
            <a:effectLst/>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effectLst/>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844599745870394"/>
          <c:y val="0.296631376323388"/>
          <c:w val="0.121855146124523"/>
          <c:h val="0.451588065447546"/>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noFill/>
    <a:ln w="9525" cap="flat" cmpd="sng" algn="ctr">
      <a:solidFill>
        <a:schemeClr val="tx1"/>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微软雅黑" panose="020B0503020204020204" charset="-122"/>
                <a:ea typeface="微软雅黑" panose="020B0503020204020204" charset="-122"/>
                <a:cs typeface="+mn-cs"/>
              </a:defRPr>
            </a:pPr>
            <a:r>
              <a:t>财政拨款收、支决算总计变动情况</a:t>
            </a:r>
          </a:p>
        </c:rich>
      </c:tx>
      <c:layout>
        <c:manualLayout>
          <c:xMode val="edge"/>
          <c:yMode val="edge"/>
          <c:x val="0.261730261253438"/>
          <c:y val="0.065401384970505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elete val="1"/>
          </c:dLbls>
          <c:cat>
            <c:strRef>
              <c:f>Sheet1!$A$2:$A$3</c:f>
              <c:strCache>
                <c:ptCount val="2"/>
                <c:pt idx="0">
                  <c:v>收入数</c:v>
                </c:pt>
                <c:pt idx="1">
                  <c:v>支出数</c:v>
                </c:pt>
              </c:strCache>
            </c:strRef>
          </c:cat>
          <c:val>
            <c:numRef>
              <c:f>Sheet1!$B$2:$B$3</c:f>
              <c:numCache>
                <c:formatCode>General</c:formatCode>
                <c:ptCount val="2"/>
                <c:pt idx="0">
                  <c:v>67.79</c:v>
                </c:pt>
                <c:pt idx="1">
                  <c:v>258.15</c:v>
                </c:pt>
              </c:numCache>
            </c:numRef>
          </c:val>
        </c:ser>
        <c:ser>
          <c:idx val="1"/>
          <c:order val="1"/>
          <c:tx>
            <c:strRef>
              <c:f>Sheet1!$C$1</c:f>
              <c:strCache>
                <c:ptCount val="1"/>
                <c:pt idx="0">
                  <c:v>2020年度</c:v>
                </c:pt>
              </c:strCache>
            </c:strRef>
          </c:tx>
          <c:spPr>
            <a:solidFill>
              <a:schemeClr val="accent2"/>
            </a:solidFill>
            <a:ln>
              <a:noFill/>
            </a:ln>
            <a:effectLst/>
          </c:spPr>
          <c:invertIfNegative val="0"/>
          <c:dLbls>
            <c:delete val="1"/>
          </c:dLbls>
          <c:cat>
            <c:strRef>
              <c:f>Sheet1!$A$2:$A$3</c:f>
              <c:strCache>
                <c:ptCount val="2"/>
                <c:pt idx="0">
                  <c:v>收入数</c:v>
                </c:pt>
                <c:pt idx="1">
                  <c:v>支出数</c:v>
                </c:pt>
              </c:strCache>
            </c:strRef>
          </c:cat>
          <c:val>
            <c:numRef>
              <c:f>Sheet1!$C$2:$C$3</c:f>
              <c:numCache>
                <c:formatCode>General</c:formatCode>
                <c:ptCount val="2"/>
                <c:pt idx="0">
                  <c:v>93.01</c:v>
                </c:pt>
                <c:pt idx="1">
                  <c:v>159.26</c:v>
                </c:pt>
              </c:numCache>
            </c:numRef>
          </c:val>
        </c:ser>
        <c:dLbls>
          <c:showLegendKey val="0"/>
          <c:showVal val="0"/>
          <c:showCatName val="0"/>
          <c:showSerName val="0"/>
          <c:showPercent val="0"/>
          <c:showBubbleSize val="0"/>
        </c:dLbls>
        <c:gapWidth val="219"/>
        <c:overlap val="-27"/>
        <c:axId val="313828745"/>
        <c:axId val="379956758"/>
      </c:barChart>
      <c:catAx>
        <c:axId val="31382874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crossAx val="379956758"/>
        <c:crosses val="autoZero"/>
        <c:auto val="1"/>
        <c:lblAlgn val="ctr"/>
        <c:lblOffset val="100"/>
        <c:noMultiLvlLbl val="0"/>
      </c:catAx>
      <c:valAx>
        <c:axId val="3799567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crossAx val="3138287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258.15</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159.26</c:v>
                </c:pt>
              </c:numCache>
            </c:numRef>
          </c:val>
        </c:ser>
        <c:dLbls>
          <c:showLegendKey val="0"/>
          <c:showVal val="0"/>
          <c:showCatName val="0"/>
          <c:showSerName val="0"/>
          <c:showPercent val="0"/>
          <c:showBubbleSize val="0"/>
        </c:dLbls>
        <c:gapWidth val="219"/>
        <c:overlap val="-27"/>
        <c:axId val="797240580"/>
        <c:axId val="68811786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972405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117862"/>
        <c:crosses val="autoZero"/>
        <c:auto val="1"/>
        <c:lblAlgn val="ctr"/>
        <c:lblOffset val="100"/>
        <c:noMultiLvlLbl val="0"/>
      </c:catAx>
      <c:valAx>
        <c:axId val="6881178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2405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1" i="0" u="none" strike="noStrike" kern="1200" spc="0" normalizeH="0" baseline="0">
                <a:solidFill>
                  <a:schemeClr val="dk1">
                    <a:lumMod val="50000"/>
                    <a:lumOff val="50000"/>
                  </a:schemeClr>
                </a:solidFill>
                <a:latin typeface="+mj-lt"/>
                <a:ea typeface="+mj-ea"/>
                <a:cs typeface="+mj-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系列 1</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elete val="1"/>
          </c:dLbls>
          <c:cat>
            <c:strRef>
              <c:f>Sheet1!$A$2:$A$5</c:f>
              <c:strCache>
                <c:ptCount val="4"/>
                <c:pt idx="0">
                  <c:v>教育支出</c:v>
                </c:pt>
                <c:pt idx="1">
                  <c:v>社会保障和就业</c:v>
                </c:pt>
                <c:pt idx="2">
                  <c:v>医疗卫生</c:v>
                </c:pt>
                <c:pt idx="3">
                  <c:v>住房保障</c:v>
                </c:pt>
              </c:strCache>
            </c:strRef>
          </c:cat>
          <c:val>
            <c:numRef>
              <c:f>Sheet1!$B$2:$B$5</c:f>
              <c:numCache>
                <c:formatCode>0.00%</c:formatCode>
                <c:ptCount val="4"/>
                <c:pt idx="0">
                  <c:v>0.9266</c:v>
                </c:pt>
                <c:pt idx="1">
                  <c:v>0.0337</c:v>
                </c:pt>
                <c:pt idx="2">
                  <c:v>0.0142</c:v>
                </c:pt>
                <c:pt idx="3">
                  <c:v>0.025</c:v>
                </c:pt>
              </c:numCache>
            </c:numRef>
          </c:val>
        </c:ser>
        <c:ser>
          <c:idx val="1"/>
          <c:order val="1"/>
          <c:tx>
            <c:strRef>
              <c:f>Sheet1!#REF!</c:f>
              <c:strCache>
                <c:ptCount val="1"/>
                <c:pt idx="0">
                  <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教育支出</c:v>
                </c:pt>
                <c:pt idx="1">
                  <c:v>社会保障和就业</c:v>
                </c:pt>
                <c:pt idx="2">
                  <c:v>医疗卫生</c:v>
                </c:pt>
                <c:pt idx="3">
                  <c:v>住房保障</c:v>
                </c:pt>
              </c:strCache>
            </c:strRef>
          </c:cat>
          <c:val>
            <c:numRef>
              <c:f>Sheet1!#REF!</c:f>
              <c:numCache>
                <c:formatCode>General</c:formatCode>
                <c:ptCount val="1"/>
                <c:pt idx="0">
                  <c:v>1</c:v>
                </c:pt>
              </c:numCache>
            </c:numRef>
          </c:val>
        </c:ser>
        <c:ser>
          <c:idx val="2"/>
          <c:order val="2"/>
          <c:tx>
            <c:strRef>
              <c:f>Sheet1!#REF!</c:f>
              <c:strCache>
                <c:ptCount val="1"/>
                <c:pt idx="0">
                  <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教育支出</c:v>
                </c:pt>
                <c:pt idx="1">
                  <c:v>社会保障和就业</c:v>
                </c:pt>
                <c:pt idx="2">
                  <c:v>医疗卫生</c:v>
                </c:pt>
                <c:pt idx="3">
                  <c:v>住房保障</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9425"/>
          <c:y val="0.4355"/>
        </c:manualLayout>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0"/>
            <c:spPr>
              <a:solidFill>
                <a:schemeClr val="bg1"/>
              </a:solidFill>
              <a:ln w="19050">
                <a:solidFill>
                  <a:schemeClr val="tx1"/>
                </a:solidFill>
              </a:ln>
              <a:effectLst/>
            </c:spPr>
          </c:dPt>
          <c:dLbls>
            <c:delete val="1"/>
          </c:dLbls>
          <c:cat>
            <c:strRef>
              <c:f>Sheet1!$A$2:$A$5</c:f>
              <c:strCache>
                <c:ptCount val="4"/>
                <c:pt idx="0">
                  <c:v>因公出国（境）费支出决算</c:v>
                </c:pt>
                <c:pt idx="1">
                  <c:v>公务用车购置及运行维护费支出决算</c:v>
                </c:pt>
                <c:pt idx="2">
                  <c:v>公务接待费支出决算</c:v>
                </c:pt>
                <c:pt idx="3">
                  <c:v>0</c:v>
                </c:pt>
              </c:strCache>
            </c:strRef>
          </c:cat>
          <c:val>
            <c:numRef>
              <c:f>Sheet1!$B$2:$B$5</c:f>
              <c:numCache>
                <c:formatCode>General</c:formatCode>
                <c:ptCount val="4"/>
                <c:pt idx="0">
                  <c:v>0</c:v>
                </c:pt>
                <c:pt idx="1">
                  <c:v>0</c:v>
                </c:pt>
                <c:pt idx="2">
                  <c:v>0</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0</TotalTime>
  <ScaleCrop>false</ScaleCrop>
  <LinksUpToDate>false</LinksUpToDate>
  <CharactersWithSpaces>9641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印度"西施"</cp:lastModifiedBy>
  <cp:lastPrinted>2019-08-01T00:48:00Z</cp:lastPrinted>
  <dcterms:modified xsi:type="dcterms:W3CDTF">2021-09-17T06:56:48Z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03E327AA2F8A436398C7347356D44CFC</vt:lpwstr>
  </property>
</Properties>
</file>