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Theme="minorEastAsia" w:hAnsiTheme="minorEastAsia" w:eastAsiaTheme="minorEastAsia"/>
          <w:color w:val="000000"/>
          <w:sz w:val="72"/>
          <w:szCs w:val="72"/>
        </w:rPr>
      </w:pPr>
      <w:bookmarkStart w:id="1" w:name="_Toc15377425"/>
      <w:bookmarkStart w:id="2" w:name="_Toc15377193"/>
      <w:bookmarkStart w:id="3" w:name="_Toc15378441"/>
      <w:bookmarkStart w:id="4" w:name="_Toc15396597"/>
      <w:bookmarkStart w:id="5" w:name="_Toc15396475"/>
      <w:r>
        <w:rPr>
          <w:rFonts w:asciiTheme="minorEastAsia" w:hAnsiTheme="minorEastAsia" w:eastAsiaTheme="minorEastAsia"/>
          <w:color w:val="000000"/>
          <w:sz w:val="72"/>
          <w:szCs w:val="72"/>
        </w:rPr>
        <w:t>20</w:t>
      </w:r>
      <w:r>
        <w:rPr>
          <w:rFonts w:hint="eastAsia" w:asciiTheme="minorEastAsia" w:hAnsiTheme="minorEastAsia" w:eastAsiaTheme="minorEastAsia"/>
          <w:color w:val="000000"/>
          <w:sz w:val="72"/>
          <w:szCs w:val="72"/>
          <w:lang w:val="en-US" w:eastAsia="zh-CN"/>
        </w:rPr>
        <w:t>20</w:t>
      </w:r>
      <w:r>
        <w:rPr>
          <w:rFonts w:hint="eastAsia" w:asciiTheme="minorEastAsia" w:hAnsiTheme="minorEastAsia" w:eastAsiaTheme="minorEastAsia"/>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Theme="minorEastAsia" w:hAnsiTheme="minorEastAsia" w:eastAsiaTheme="minorEastAsia"/>
          <w:color w:val="000000"/>
          <w:sz w:val="72"/>
          <w:szCs w:val="72"/>
          <w:lang w:val="en-US" w:eastAsia="zh-CN"/>
        </w:rPr>
      </w:pPr>
      <w:bookmarkStart w:id="6" w:name="_Toc15377426"/>
      <w:bookmarkStart w:id="7" w:name="_Toc15396476"/>
      <w:bookmarkStart w:id="8" w:name="_Toc15378442"/>
      <w:bookmarkStart w:id="9" w:name="_Toc15377194"/>
      <w:bookmarkStart w:id="10" w:name="_Toc15396598"/>
      <w:r>
        <w:rPr>
          <w:rFonts w:hint="eastAsia" w:asciiTheme="minorEastAsia" w:hAnsiTheme="minorEastAsia" w:eastAsiaTheme="minorEastAsia"/>
          <w:color w:val="000000"/>
          <w:sz w:val="72"/>
          <w:szCs w:val="72"/>
        </w:rPr>
        <w:t>四川省</w:t>
      </w:r>
      <w:bookmarkEnd w:id="0"/>
      <w:bookmarkStart w:id="11" w:name="_Toc15306268"/>
      <w:r>
        <w:rPr>
          <w:rFonts w:hint="eastAsia" w:asciiTheme="minorEastAsia" w:hAnsiTheme="minorEastAsia" w:eastAsiaTheme="minorEastAsia"/>
          <w:color w:val="000000"/>
          <w:sz w:val="72"/>
          <w:szCs w:val="72"/>
        </w:rPr>
        <w:t>达州市达川区虎让乡卫生院部门决算</w:t>
      </w:r>
      <w:bookmarkEnd w:id="6"/>
      <w:bookmarkEnd w:id="7"/>
      <w:bookmarkEnd w:id="8"/>
      <w:bookmarkEnd w:id="9"/>
      <w:bookmarkEnd w:id="10"/>
      <w:bookmarkEnd w:id="11"/>
      <w:r>
        <w:rPr>
          <w:rFonts w:hint="eastAsia" w:asciiTheme="minorEastAsia" w:hAnsiTheme="minorEastAsia" w:eastAsiaTheme="minorEastAsia"/>
          <w:color w:val="000000"/>
          <w:sz w:val="72"/>
          <w:szCs w:val="72"/>
          <w:lang w:val="en-US" w:eastAsia="zh-CN"/>
        </w:rPr>
        <w:t>公开</w:t>
      </w:r>
    </w:p>
    <w:p>
      <w:pPr>
        <w:widowControl/>
        <w:jc w:val="center"/>
        <w:rPr>
          <w:rFonts w:ascii="黑体" w:hAnsi="黑体" w:eastAsia="黑体"/>
          <w:color w:val="000000"/>
          <w:sz w:val="48"/>
          <w:szCs w:val="48"/>
        </w:rPr>
      </w:pPr>
      <w:r>
        <w:rPr>
          <w:rFonts w:hint="eastAsia" w:ascii="方正小标宋简体" w:hAnsi="宋体" w:eastAsia="方正小标宋简体"/>
          <w:color w:val="000000"/>
          <w:sz w:val="36"/>
          <w:szCs w:val="36"/>
          <w:lang w:val="en-US" w:eastAsia="zh-CN"/>
        </w:rPr>
        <w:t xml:space="preserve">   </w:t>
      </w:r>
      <w:r>
        <w:rPr>
          <w:rFonts w:hint="eastAsia" w:ascii="方正小标宋简体" w:hAnsi="宋体" w:eastAsia="方正小标宋简体"/>
          <w:color w:val="000000"/>
          <w:sz w:val="72"/>
          <w:szCs w:val="72"/>
        </w:rPr>
        <w:t>编制说明</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年9月10日</w:t>
      </w:r>
    </w:p>
    <w:p/>
    <w:p>
      <w:pPr>
        <w:pStyle w:val="10"/>
        <w:rPr>
          <w:rFonts w:cstheme="minorBidi"/>
        </w:rPr>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w:t>
      </w:r>
      <w:r>
        <w:rPr>
          <w:rStyle w:val="16"/>
          <w:rFonts w:hint="eastAsia"/>
          <w:lang w:val="en-US" w:eastAsia="zh-CN"/>
        </w:rPr>
        <w:t>20</w:t>
      </w:r>
      <w:r>
        <w:rPr>
          <w:rStyle w:val="16"/>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1</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w:t>
      </w:r>
      <w:r>
        <w:rPr>
          <w:rStyle w:val="16"/>
          <w:bCs/>
          <w:kern w:val="44"/>
        </w:rPr>
        <w:t xml:space="preserve"> </w:t>
      </w:r>
      <w:r>
        <w:rPr>
          <w:rStyle w:val="16"/>
          <w:rFonts w:hint="eastAsia"/>
          <w:bCs/>
          <w:kern w:val="44"/>
        </w:rPr>
        <w:t>附件</w:t>
      </w:r>
      <w:r>
        <w:tab/>
      </w:r>
      <w:r>
        <w:fldChar w:fldCharType="begin"/>
      </w:r>
      <w:r>
        <w:instrText xml:space="preserve"> PAGEREF _Toc15396614 \h </w:instrText>
      </w:r>
      <w:r>
        <w:fldChar w:fldCharType="separate"/>
      </w:r>
      <w:r>
        <w:t>1</w:t>
      </w:r>
      <w:r>
        <w:rPr>
          <w:rFonts w:hint="eastAsia"/>
          <w:lang w:val="en-US" w:eastAsia="zh-CN"/>
        </w:rPr>
        <w:t>8</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5</w:t>
      </w:r>
      <w:r>
        <w:rPr>
          <w:rFonts w:ascii="仿宋" w:hAnsi="仿宋" w:eastAsia="仿宋"/>
          <w:sz w:val="28"/>
          <w:szCs w:val="28"/>
        </w:rPr>
        <w:fldChar w:fldCharType="end"/>
      </w:r>
      <w:r>
        <w:rPr>
          <w:rFonts w:ascii="仿宋" w:hAnsi="仿宋" w:eastAsia="仿宋"/>
          <w:sz w:val="28"/>
          <w:szCs w:val="28"/>
        </w:rPr>
        <w:fldChar w:fldCharType="end"/>
      </w:r>
    </w:p>
    <w:p>
      <w:pPr>
        <w:pStyle w:val="10"/>
        <w:rPr>
          <w:rFonts w:hint="default" w:eastAsia="仿宋" w:cstheme="minorBidi"/>
          <w:lang w:val="en-US" w:eastAsia="zh-CN"/>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rPr>
          <w:rFonts w:hint="eastAsia"/>
          <w:lang w:val="en-US" w:eastAsia="zh-CN"/>
        </w:rPr>
        <w:t>3</w:t>
      </w:r>
      <w:r>
        <w:fldChar w:fldCharType="end"/>
      </w:r>
      <w:r>
        <w:rPr>
          <w:rFonts w:hint="eastAsia"/>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adjustRightInd w:val="0"/>
        <w:snapToGrid w:val="0"/>
        <w:spacing w:line="360" w:lineRule="auto"/>
        <w:jc w:val="left"/>
        <w:rPr>
          <w:rFonts w:hint="default" w:ascii="仿宋" w:hAnsi="仿宋" w:eastAsia="仿宋"/>
          <w:sz w:val="28"/>
          <w:szCs w:val="28"/>
          <w:lang w:val="en-US" w:eastAsia="zh-CN"/>
        </w:rPr>
      </w:pPr>
      <w:r>
        <w:rPr>
          <w:rFonts w:hint="eastAsia" w:ascii="仿宋" w:hAnsi="仿宋" w:eastAsia="仿宋"/>
          <w:sz w:val="28"/>
          <w:szCs w:val="28"/>
        </w:rPr>
        <w:t>十三、国有资本经营预算财政拨款收入支出决算表</w:t>
      </w:r>
      <w:r>
        <w:rPr>
          <w:rFonts w:ascii="仿宋" w:hAnsi="仿宋" w:eastAsia="仿宋"/>
          <w:sz w:val="28"/>
          <w:szCs w:val="28"/>
        </w:rPr>
        <w:tab/>
      </w:r>
      <w:r>
        <w:rPr>
          <w:rFonts w:hint="eastAsia" w:ascii="仿宋" w:hAnsi="仿宋" w:eastAsia="仿宋"/>
          <w:sz w:val="28"/>
          <w:szCs w:val="28"/>
          <w:lang w:val="en-US" w:eastAsia="zh-CN"/>
        </w:rPr>
        <w:t>35</w:t>
      </w:r>
    </w:p>
    <w:p>
      <w:pPr>
        <w:pStyle w:val="11"/>
        <w:adjustRightInd w:val="0"/>
        <w:snapToGrid w:val="0"/>
        <w:spacing w:line="360" w:lineRule="auto"/>
        <w:jc w:val="left"/>
        <w:rPr>
          <w:rFonts w:hint="default" w:ascii="仿宋" w:hAnsi="仿宋" w:eastAsia="仿宋"/>
          <w:sz w:val="28"/>
          <w:szCs w:val="28"/>
          <w:lang w:val="en-US" w:eastAsia="zh-CN"/>
        </w:rPr>
      </w:pPr>
      <w:r>
        <w:rPr>
          <w:rFonts w:hint="eastAsia" w:ascii="仿宋" w:hAnsi="仿宋" w:eastAsia="仿宋"/>
          <w:sz w:val="28"/>
          <w:szCs w:val="28"/>
        </w:rPr>
        <w:t>十四、国有资本经营预算财政拨款支出决算表</w:t>
      </w:r>
      <w:r>
        <w:rPr>
          <w:rFonts w:ascii="仿宋" w:hAnsi="仿宋" w:eastAsia="仿宋"/>
          <w:sz w:val="28"/>
          <w:szCs w:val="28"/>
        </w:rPr>
        <w:tab/>
      </w:r>
      <w:r>
        <w:rPr>
          <w:rFonts w:hint="eastAsia" w:ascii="仿宋" w:hAnsi="仿宋" w:eastAsia="仿宋"/>
          <w:sz w:val="28"/>
          <w:szCs w:val="28"/>
          <w:lang w:val="en-US" w:eastAsia="zh-CN"/>
        </w:rPr>
        <w:t>35</w:t>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pacing w:line="440" w:lineRule="exact"/>
        <w:ind w:firstLine="640" w:firstLineChars="200"/>
        <w:rPr>
          <w:rFonts w:ascii="仿宋_GB2312" w:hAnsi="宋体" w:eastAsia="仿宋_GB2312"/>
          <w:sz w:val="32"/>
          <w:szCs w:val="32"/>
        </w:rPr>
      </w:pPr>
      <w:bookmarkStart w:id="16" w:name="_Toc15377198"/>
      <w:bookmarkStart w:id="17" w:name="_Toc15378445"/>
      <w:bookmarkStart w:id="18" w:name="_Toc15396601"/>
      <w:bookmarkStart w:id="19" w:name="_Toc15377200"/>
      <w:r>
        <w:rPr>
          <w:rFonts w:hint="eastAsia" w:ascii="仿宋" w:hAnsi="仿宋" w:eastAsia="仿宋"/>
          <w:bCs/>
          <w:color w:val="000000"/>
          <w:sz w:val="32"/>
          <w:szCs w:val="32"/>
        </w:rPr>
        <w:t>（一）主要职能。</w:t>
      </w:r>
      <w:bookmarkEnd w:id="16"/>
      <w:bookmarkEnd w:id="17"/>
      <w:bookmarkStart w:id="20" w:name="_Toc15377199"/>
      <w:bookmarkStart w:id="21" w:name="_Toc15378446"/>
      <w:r>
        <w:rPr>
          <w:rFonts w:hint="eastAsia" w:ascii="仿宋_GB2312" w:hAnsi="宋体" w:eastAsia="仿宋_GB2312"/>
          <w:sz w:val="32"/>
          <w:szCs w:val="32"/>
        </w:rPr>
        <w:t>在地方政府和卫</w:t>
      </w:r>
      <w:r>
        <w:rPr>
          <w:rFonts w:hint="eastAsia" w:ascii="仿宋_GB2312" w:hAnsi="宋体" w:eastAsia="仿宋_GB2312"/>
          <w:sz w:val="32"/>
          <w:szCs w:val="32"/>
          <w:lang w:val="en-US" w:eastAsia="zh-CN"/>
        </w:rPr>
        <w:t>健</w:t>
      </w:r>
      <w:r>
        <w:rPr>
          <w:rFonts w:hint="eastAsia" w:ascii="仿宋_GB2312" w:hAnsi="宋体" w:eastAsia="仿宋_GB2312"/>
          <w:sz w:val="32"/>
          <w:szCs w:val="32"/>
        </w:rPr>
        <w:t>行政部门领导下，根据党的方针、政策及市</w:t>
      </w:r>
      <w:r>
        <w:rPr>
          <w:rFonts w:hint="eastAsia" w:ascii="仿宋_GB2312" w:hAnsi="宋体" w:eastAsia="仿宋_GB2312"/>
          <w:sz w:val="32"/>
          <w:szCs w:val="32"/>
          <w:lang w:val="en-US" w:eastAsia="zh-CN"/>
        </w:rPr>
        <w:t>卫健委</w:t>
      </w:r>
      <w:r>
        <w:rPr>
          <w:rFonts w:hint="eastAsia" w:ascii="仿宋_GB2312" w:hAnsi="宋体" w:eastAsia="仿宋_GB2312"/>
          <w:sz w:val="32"/>
          <w:szCs w:val="32"/>
        </w:rPr>
        <w:t>、区卫</w:t>
      </w:r>
      <w:r>
        <w:rPr>
          <w:rFonts w:hint="eastAsia" w:ascii="仿宋_GB2312" w:hAnsi="宋体" w:eastAsia="仿宋_GB2312"/>
          <w:sz w:val="32"/>
          <w:szCs w:val="32"/>
          <w:lang w:val="en-US" w:eastAsia="zh-CN"/>
        </w:rPr>
        <w:t>健</w:t>
      </w:r>
      <w:r>
        <w:rPr>
          <w:rFonts w:hint="eastAsia" w:ascii="仿宋_GB2312" w:hAnsi="宋体" w:eastAsia="仿宋_GB2312"/>
          <w:sz w:val="32"/>
          <w:szCs w:val="32"/>
        </w:rPr>
        <w:t>局对</w:t>
      </w:r>
      <w:r>
        <w:rPr>
          <w:rFonts w:hint="eastAsia" w:ascii="仿宋_GB2312" w:hAnsi="宋体" w:eastAsia="仿宋_GB2312"/>
          <w:sz w:val="32"/>
          <w:szCs w:val="32"/>
          <w:lang w:val="en-US" w:eastAsia="zh-CN"/>
        </w:rPr>
        <w:t>基层</w:t>
      </w:r>
      <w:r>
        <w:rPr>
          <w:rFonts w:hint="eastAsia" w:ascii="仿宋_GB2312" w:hAnsi="宋体" w:eastAsia="仿宋_GB2312"/>
          <w:sz w:val="32"/>
          <w:szCs w:val="32"/>
        </w:rPr>
        <w:t>卫生服务工作的总体要求、做好</w:t>
      </w:r>
      <w:r>
        <w:rPr>
          <w:rFonts w:hint="eastAsia" w:ascii="仿宋_GB2312" w:hAnsi="宋体" w:eastAsia="仿宋_GB2312"/>
          <w:sz w:val="32"/>
          <w:szCs w:val="32"/>
          <w:lang w:val="en-US" w:eastAsia="zh-CN"/>
        </w:rPr>
        <w:t>基层</w:t>
      </w:r>
      <w:r>
        <w:rPr>
          <w:rFonts w:hint="eastAsia" w:ascii="仿宋_GB2312" w:hAnsi="宋体" w:eastAsia="仿宋_GB2312"/>
          <w:sz w:val="32"/>
          <w:szCs w:val="32"/>
        </w:rPr>
        <w:t>卫生服务行政业务工作，积极开展以保护、促进人民健康，不断提高居民生活质量为目的的卫生保健，认真落实各项卫生工作指标。开展以社区为范围，家庭为单位，健康为中心，人的生命为过程的以老年、妇女、儿童和慢性病人为重点的集预防、医疗、保健、康复、健康教育、计划生育指导为一体的综合性</w:t>
      </w:r>
      <w:r>
        <w:rPr>
          <w:rFonts w:hint="eastAsia" w:ascii="仿宋_GB2312" w:hAnsi="宋体" w:eastAsia="仿宋_GB2312"/>
          <w:sz w:val="32"/>
          <w:szCs w:val="32"/>
          <w:lang w:val="en-US" w:eastAsia="zh-CN"/>
        </w:rPr>
        <w:t>基层</w:t>
      </w:r>
      <w:r>
        <w:rPr>
          <w:rFonts w:hint="eastAsia" w:ascii="仿宋_GB2312" w:hAnsi="宋体" w:eastAsia="仿宋_GB2312"/>
          <w:sz w:val="32"/>
          <w:szCs w:val="32"/>
        </w:rPr>
        <w:t>卫生服务。</w:t>
      </w:r>
    </w:p>
    <w:p>
      <w:pPr>
        <w:pStyle w:val="5"/>
        <w:adjustRightInd w:val="0"/>
        <w:snapToGrid w:val="0"/>
        <w:spacing w:before="93" w:line="600" w:lineRule="exact"/>
        <w:ind w:firstLine="672" w:firstLineChars="210"/>
        <w:rPr>
          <w:bCs/>
          <w:color w:val="000000"/>
          <w:sz w:val="32"/>
          <w:szCs w:val="32"/>
        </w:rPr>
      </w:pPr>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20"/>
      <w:bookmarkEnd w:id="21"/>
      <w:r>
        <w:rPr>
          <w:rFonts w:hint="eastAsia" w:eastAsia="仿宋"/>
          <w:bCs/>
          <w:color w:val="000000"/>
          <w:sz w:val="32"/>
          <w:szCs w:val="32"/>
          <w:lang w:eastAsia="zh-CN"/>
        </w:rPr>
        <w:t>20</w:t>
      </w:r>
      <w:r>
        <w:rPr>
          <w:rFonts w:hint="eastAsia" w:eastAsia="仿宋"/>
          <w:bCs/>
          <w:color w:val="000000"/>
          <w:sz w:val="32"/>
          <w:szCs w:val="32"/>
          <w:lang w:val="en-US" w:eastAsia="zh-CN"/>
        </w:rPr>
        <w:t>20</w:t>
      </w:r>
      <w:r>
        <w:rPr>
          <w:rFonts w:hint="eastAsia"/>
          <w:bCs/>
          <w:color w:val="000000"/>
          <w:sz w:val="32"/>
          <w:szCs w:val="32"/>
        </w:rPr>
        <w:t>年在区卫</w:t>
      </w:r>
      <w:r>
        <w:rPr>
          <w:rFonts w:hint="eastAsia"/>
          <w:bCs/>
          <w:color w:val="000000"/>
          <w:sz w:val="32"/>
          <w:szCs w:val="32"/>
          <w:lang w:val="en-US" w:eastAsia="zh-CN"/>
        </w:rPr>
        <w:t>健</w:t>
      </w:r>
      <w:r>
        <w:rPr>
          <w:rFonts w:hint="eastAsia"/>
          <w:bCs/>
          <w:color w:val="000000"/>
          <w:sz w:val="32"/>
          <w:szCs w:val="32"/>
        </w:rPr>
        <w:t>局和局党</w:t>
      </w:r>
      <w:r>
        <w:rPr>
          <w:rFonts w:hint="eastAsia"/>
          <w:bCs/>
          <w:color w:val="000000"/>
          <w:sz w:val="32"/>
          <w:szCs w:val="32"/>
          <w:lang w:eastAsia="zh-CN"/>
        </w:rPr>
        <w:t>委</w:t>
      </w:r>
      <w:r>
        <w:rPr>
          <w:rFonts w:hint="eastAsia"/>
          <w:bCs/>
          <w:color w:val="000000"/>
          <w:sz w:val="32"/>
          <w:szCs w:val="32"/>
        </w:rPr>
        <w:t>的正确领导下，深入学习贯彻习近平总书记系列重要讲话精神，以深化</w:t>
      </w:r>
      <w:r>
        <w:rPr>
          <w:rFonts w:hint="eastAsia"/>
          <w:bCs/>
          <w:color w:val="000000"/>
          <w:sz w:val="32"/>
          <w:szCs w:val="32"/>
          <w:lang w:eastAsia="zh-CN"/>
        </w:rPr>
        <w:t>卫生健康</w:t>
      </w:r>
      <w:r>
        <w:rPr>
          <w:rFonts w:hint="eastAsia"/>
          <w:bCs/>
          <w:color w:val="000000"/>
          <w:sz w:val="32"/>
          <w:szCs w:val="32"/>
        </w:rPr>
        <w:t>体制改革为契机，积极进取，勇于创新，思想稳定，团结一致，按照年初制定的工作计划，扎实开展各项工作，顺利完成本年度业务、综合管理、公共卫生服务、党风廉政建设等工作目标，社会效益不断提高。</w:t>
      </w:r>
    </w:p>
    <w:p>
      <w:pPr>
        <w:pStyle w:val="3"/>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8"/>
      <w:bookmarkEnd w:id="19"/>
    </w:p>
    <w:p>
      <w:pPr>
        <w:snapToGrid w:val="0"/>
        <w:spacing w:line="588" w:lineRule="exact"/>
        <w:ind w:firstLine="640" w:firstLineChars="200"/>
        <w:rPr>
          <w:rFonts w:hint="eastAsia" w:ascii="仿宋_GB2312" w:hAnsi="仿宋" w:eastAsia="仿宋_GB2312"/>
          <w:sz w:val="32"/>
          <w:szCs w:val="32"/>
        </w:rPr>
      </w:pPr>
      <w:bookmarkStart w:id="22" w:name="_Toc15377204"/>
      <w:bookmarkStart w:id="23" w:name="_Toc15396602"/>
      <w:r>
        <w:rPr>
          <w:rFonts w:hint="eastAsia" w:ascii="仿宋_GB2312" w:hAnsi="仿宋" w:eastAsia="仿宋_GB2312"/>
          <w:sz w:val="32"/>
          <w:szCs w:val="32"/>
          <w:lang w:val="en-US" w:eastAsia="zh-CN"/>
        </w:rPr>
        <w:t>1.</w:t>
      </w:r>
      <w:r>
        <w:rPr>
          <w:rFonts w:hint="eastAsia" w:ascii="仿宋_GB2312" w:hAnsi="仿宋" w:eastAsia="仿宋_GB2312"/>
          <w:sz w:val="32"/>
          <w:szCs w:val="32"/>
        </w:rPr>
        <w:t>达川区虎让乡卫生院年末实有人数1</w:t>
      </w:r>
      <w:r>
        <w:rPr>
          <w:rFonts w:hint="eastAsia" w:ascii="仿宋_GB2312" w:hAnsi="仿宋" w:eastAsia="仿宋_GB2312"/>
          <w:sz w:val="32"/>
          <w:szCs w:val="32"/>
          <w:lang w:val="en-US" w:eastAsia="zh-CN"/>
        </w:rPr>
        <w:t>5</w:t>
      </w:r>
      <w:r>
        <w:rPr>
          <w:rFonts w:hint="eastAsia" w:ascii="仿宋_GB2312" w:hAnsi="仿宋" w:eastAsia="仿宋_GB2312"/>
          <w:sz w:val="32"/>
          <w:szCs w:val="32"/>
        </w:rPr>
        <w:t>人，其中事业专技人员</w:t>
      </w:r>
      <w:r>
        <w:rPr>
          <w:rFonts w:hint="eastAsia" w:ascii="仿宋_GB2312" w:hAnsi="仿宋" w:eastAsia="仿宋_GB2312"/>
          <w:sz w:val="32"/>
          <w:szCs w:val="32"/>
          <w:lang w:val="en-US" w:eastAsia="zh-CN"/>
        </w:rPr>
        <w:t>8</w:t>
      </w:r>
      <w:r>
        <w:rPr>
          <w:rFonts w:hint="eastAsia" w:ascii="仿宋_GB2312" w:hAnsi="仿宋" w:eastAsia="仿宋_GB2312"/>
          <w:sz w:val="32"/>
          <w:szCs w:val="32"/>
        </w:rPr>
        <w:t>人、临聘人员7人（其中三支一扶1人）；退休人员</w:t>
      </w:r>
      <w:r>
        <w:rPr>
          <w:rFonts w:hint="eastAsia" w:ascii="仿宋_GB2312" w:hAnsi="仿宋" w:eastAsia="仿宋_GB2312"/>
          <w:sz w:val="32"/>
          <w:szCs w:val="32"/>
          <w:lang w:val="en-US" w:eastAsia="zh-CN"/>
        </w:rPr>
        <w:t>8</w:t>
      </w:r>
      <w:r>
        <w:rPr>
          <w:rFonts w:hint="eastAsia" w:ascii="仿宋_GB2312" w:hAnsi="仿宋" w:eastAsia="仿宋_GB2312"/>
          <w:sz w:val="32"/>
          <w:szCs w:val="32"/>
        </w:rPr>
        <w:t>人。</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．机构人员当年变动情况及原因。</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2020</w:t>
      </w:r>
      <w:r>
        <w:rPr>
          <w:rFonts w:hint="eastAsia" w:ascii="仿宋_GB2312" w:hAnsi="仿宋" w:eastAsia="仿宋_GB2312"/>
          <w:sz w:val="32"/>
          <w:szCs w:val="32"/>
        </w:rPr>
        <w:t>年我</w:t>
      </w:r>
      <w:r>
        <w:rPr>
          <w:rFonts w:hint="eastAsia" w:ascii="仿宋_GB2312" w:hAnsi="仿宋" w:eastAsia="仿宋_GB2312"/>
          <w:sz w:val="32"/>
          <w:szCs w:val="32"/>
          <w:lang w:eastAsia="zh-CN"/>
        </w:rPr>
        <w:t>院</w:t>
      </w:r>
      <w:r>
        <w:rPr>
          <w:rFonts w:hint="eastAsia" w:ascii="仿宋_GB2312" w:hAnsi="仿宋" w:eastAsia="仿宋_GB2312"/>
          <w:sz w:val="32"/>
          <w:szCs w:val="32"/>
        </w:rPr>
        <w:t>属区财政局</w:t>
      </w:r>
      <w:r>
        <w:rPr>
          <w:rFonts w:hint="eastAsia" w:ascii="仿宋_GB2312" w:hAnsi="仿宋" w:eastAsia="仿宋_GB2312"/>
          <w:sz w:val="32"/>
          <w:szCs w:val="32"/>
          <w:lang w:eastAsia="zh-CN"/>
        </w:rPr>
        <w:t>二级</w:t>
      </w:r>
      <w:r>
        <w:rPr>
          <w:rFonts w:hint="eastAsia" w:ascii="仿宋_GB2312" w:hAnsi="仿宋" w:eastAsia="仿宋_GB2312"/>
          <w:sz w:val="32"/>
          <w:szCs w:val="32"/>
        </w:rPr>
        <w:t>预算单位。</w:t>
      </w:r>
      <w:r>
        <w:rPr>
          <w:rFonts w:hint="eastAsia" w:ascii="仿宋_GB2312" w:hAnsi="仿宋" w:eastAsia="仿宋_GB2312"/>
          <w:sz w:val="32"/>
          <w:szCs w:val="32"/>
          <w:lang w:eastAsia="zh-CN"/>
        </w:rPr>
        <w:t>2020</w:t>
      </w:r>
      <w:r>
        <w:rPr>
          <w:rFonts w:hint="eastAsia" w:ascii="仿宋_GB2312" w:hAnsi="仿宋" w:eastAsia="仿宋_GB2312"/>
          <w:sz w:val="32"/>
          <w:szCs w:val="32"/>
        </w:rPr>
        <w:t>年年末实有在职在编人数与上年持平，系</w:t>
      </w:r>
      <w:r>
        <w:rPr>
          <w:rFonts w:hint="eastAsia" w:ascii="仿宋_GB2312" w:hAnsi="仿宋" w:eastAsia="仿宋_GB2312"/>
          <w:sz w:val="32"/>
          <w:szCs w:val="32"/>
          <w:lang w:eastAsia="zh-CN"/>
        </w:rPr>
        <w:t>2020</w:t>
      </w:r>
      <w:r>
        <w:rPr>
          <w:rFonts w:hint="eastAsia" w:ascii="仿宋_GB2312" w:hAnsi="仿宋" w:eastAsia="仿宋_GB2312"/>
          <w:sz w:val="32"/>
          <w:szCs w:val="32"/>
        </w:rPr>
        <w:t>年调入1 人；调离1人。</w:t>
      </w:r>
    </w:p>
    <w:p>
      <w:pPr>
        <w:pStyle w:val="2"/>
        <w:ind w:right="440"/>
        <w:jc w:val="right"/>
        <w:rPr>
          <w:rStyle w:val="25"/>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lang w:eastAsia="zh-CN"/>
        </w:rPr>
        <w:t>20</w:t>
      </w:r>
      <w:r>
        <w:rPr>
          <w:rStyle w:val="25"/>
          <w:rFonts w:hint="eastAsia" w:ascii="黑体" w:hAnsi="黑体" w:eastAsia="黑体"/>
          <w:b w:val="0"/>
          <w:bCs w:val="0"/>
          <w:lang w:val="en-US" w:eastAsia="zh-CN"/>
        </w:rPr>
        <w:t>20</w:t>
      </w:r>
      <w:r>
        <w:rPr>
          <w:rStyle w:val="25"/>
          <w:rFonts w:hint="eastAsia" w:ascii="黑体" w:hAnsi="黑体" w:eastAsia="黑体"/>
          <w:b w:val="0"/>
          <w:bCs w:val="0"/>
        </w:rPr>
        <w:t>年度部门决算情况说明</w:t>
      </w:r>
      <w:bookmarkEnd w:id="22"/>
      <w:bookmarkEnd w:id="23"/>
    </w:p>
    <w:p/>
    <w:p>
      <w:pPr>
        <w:pStyle w:val="24"/>
        <w:numPr>
          <w:ilvl w:val="0"/>
          <w:numId w:val="1"/>
        </w:numPr>
        <w:spacing w:line="600" w:lineRule="exact"/>
        <w:ind w:left="720" w:leftChars="0"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2020</w:t>
      </w:r>
      <w:r>
        <w:rPr>
          <w:rFonts w:hint="eastAsia" w:ascii="仿宋_GB2312" w:hAnsi="仿宋" w:eastAsia="仿宋_GB2312"/>
          <w:sz w:val="32"/>
          <w:szCs w:val="32"/>
        </w:rPr>
        <w:t>年财政预算收入</w:t>
      </w:r>
      <w:r>
        <w:rPr>
          <w:rFonts w:hint="eastAsia" w:ascii="仿宋_GB2312" w:hAnsi="仿宋" w:eastAsia="仿宋_GB2312"/>
          <w:sz w:val="32"/>
          <w:szCs w:val="32"/>
          <w:lang w:val="en-US" w:eastAsia="zh-CN"/>
        </w:rPr>
        <w:t>177.91</w:t>
      </w:r>
      <w:r>
        <w:rPr>
          <w:rFonts w:hint="eastAsia" w:ascii="仿宋_GB2312" w:hAnsi="仿宋" w:eastAsia="仿宋_GB2312"/>
          <w:sz w:val="32"/>
          <w:szCs w:val="32"/>
        </w:rPr>
        <w:t>万元，事业收入</w:t>
      </w:r>
      <w:r>
        <w:rPr>
          <w:rFonts w:hint="eastAsia" w:ascii="仿宋_GB2312" w:hAnsi="仿宋" w:eastAsia="仿宋_GB2312"/>
          <w:sz w:val="32"/>
          <w:szCs w:val="32"/>
          <w:lang w:val="en-US" w:eastAsia="zh-CN"/>
        </w:rPr>
        <w:t>103.99</w:t>
      </w:r>
      <w:r>
        <w:rPr>
          <w:rFonts w:hint="eastAsia" w:ascii="仿宋_GB2312" w:hAnsi="仿宋" w:eastAsia="仿宋_GB2312"/>
          <w:sz w:val="32"/>
          <w:szCs w:val="32"/>
        </w:rPr>
        <w:t>万元，其他收入0.0万元，</w:t>
      </w:r>
      <w:r>
        <w:rPr>
          <w:rFonts w:hint="eastAsia" w:ascii="仿宋_GB2312" w:hAnsi="仿宋" w:eastAsia="仿宋_GB2312"/>
          <w:sz w:val="32"/>
          <w:szCs w:val="32"/>
          <w:lang w:eastAsia="zh-CN"/>
        </w:rPr>
        <w:t>2019</w:t>
      </w:r>
      <w:r>
        <w:rPr>
          <w:rFonts w:hint="eastAsia" w:ascii="仿宋_GB2312" w:hAnsi="仿宋" w:eastAsia="仿宋_GB2312"/>
          <w:sz w:val="32"/>
          <w:szCs w:val="32"/>
        </w:rPr>
        <w:t>年财政预算收入156.9万元，事业收入72.58万元，同期相比财政预算收入增加</w:t>
      </w:r>
      <w:r>
        <w:rPr>
          <w:rFonts w:hint="eastAsia" w:ascii="仿宋_GB2312" w:hAnsi="仿宋" w:eastAsia="仿宋_GB2312"/>
          <w:sz w:val="32"/>
          <w:szCs w:val="32"/>
          <w:lang w:val="en-US" w:eastAsia="zh-CN"/>
        </w:rPr>
        <w:t>21.01</w:t>
      </w:r>
      <w:r>
        <w:rPr>
          <w:rFonts w:hint="eastAsia" w:ascii="仿宋_GB2312" w:hAnsi="仿宋" w:eastAsia="仿宋_GB2312"/>
          <w:sz w:val="32"/>
          <w:szCs w:val="32"/>
        </w:rPr>
        <w:t>万元，事业收入增加</w:t>
      </w:r>
      <w:r>
        <w:rPr>
          <w:rFonts w:hint="eastAsia" w:ascii="仿宋_GB2312" w:hAnsi="仿宋" w:eastAsia="仿宋_GB2312"/>
          <w:sz w:val="32"/>
          <w:szCs w:val="32"/>
          <w:lang w:val="en-US" w:eastAsia="zh-CN"/>
        </w:rPr>
        <w:t>31.41</w:t>
      </w:r>
      <w:r>
        <w:rPr>
          <w:rFonts w:hint="eastAsia" w:ascii="仿宋_GB2312" w:hAnsi="仿宋" w:eastAsia="仿宋_GB2312"/>
          <w:sz w:val="32"/>
          <w:szCs w:val="32"/>
        </w:rPr>
        <w:t>万元；收入增加主要是由于业务收入增加和财政补助收入增加。</w:t>
      </w:r>
    </w:p>
    <w:p>
      <w:pPr>
        <w:widowControl/>
        <w:jc w:val="left"/>
        <w:rPr>
          <w:rFonts w:ascii="宋体" w:hAnsi="宋体" w:cs="宋体"/>
          <w:kern w:val="0"/>
          <w:sz w:val="24"/>
        </w:rPr>
      </w:pPr>
    </w:p>
    <w:p>
      <w:pPr>
        <w:widowControl/>
        <w:jc w:val="left"/>
        <w:rPr>
          <w:rFonts w:ascii="宋体" w:hAnsi="宋体" w:cs="宋体"/>
          <w:kern w:val="0"/>
          <w:sz w:val="24"/>
        </w:rPr>
      </w:pPr>
      <w:r>
        <w:drawing>
          <wp:anchor distT="0" distB="0" distL="114300" distR="114300" simplePos="0" relativeHeight="251659264" behindDoc="1" locked="0" layoutInCell="1" allowOverlap="1">
            <wp:simplePos x="0" y="0"/>
            <wp:positionH relativeFrom="column">
              <wp:posOffset>-146685</wp:posOffset>
            </wp:positionH>
            <wp:positionV relativeFrom="paragraph">
              <wp:posOffset>109220</wp:posOffset>
            </wp:positionV>
            <wp:extent cx="5647690" cy="3423920"/>
            <wp:effectExtent l="5080" t="4445" r="5080" b="19685"/>
            <wp:wrapNone/>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4"/>
        <w:numPr>
          <w:ilvl w:val="0"/>
          <w:numId w:val="0"/>
        </w:numPr>
        <w:spacing w:line="600" w:lineRule="exact"/>
        <w:ind w:left="640" w:leftChars="0"/>
        <w:outlineLvl w:val="1"/>
        <w:rPr>
          <w:rStyle w:val="26"/>
          <w:rFonts w:ascii="黑体" w:hAnsi="黑体" w:eastAsia="黑体"/>
          <w:b w:val="0"/>
        </w:rPr>
      </w:pPr>
      <w:bookmarkStart w:id="26" w:name="_Toc15396604"/>
      <w:bookmarkStart w:id="27" w:name="_Toc15377206"/>
    </w:p>
    <w:p>
      <w:pPr>
        <w:pStyle w:val="24"/>
        <w:numPr>
          <w:ilvl w:val="0"/>
          <w:numId w:val="0"/>
        </w:numPr>
        <w:spacing w:line="600" w:lineRule="exact"/>
        <w:ind w:left="640" w:leftChars="0"/>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outlineLvl w:val="1"/>
        <w:rPr>
          <w:rStyle w:val="26"/>
          <w:rFonts w:ascii="黑体" w:hAnsi="黑体" w:eastAsia="黑体"/>
          <w:b w:val="0"/>
        </w:rPr>
      </w:pPr>
    </w:p>
    <w:p>
      <w:pPr>
        <w:pStyle w:val="24"/>
        <w:numPr>
          <w:ilvl w:val="0"/>
          <w:numId w:val="0"/>
        </w:numPr>
        <w:spacing w:line="600" w:lineRule="exact"/>
        <w:ind w:leftChars="0"/>
        <w:outlineLvl w:val="1"/>
        <w:rPr>
          <w:rStyle w:val="26"/>
          <w:rFonts w:ascii="黑体" w:hAnsi="黑体" w:eastAsia="黑体"/>
          <w:b w:val="0"/>
        </w:rPr>
      </w:pPr>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themeColor="text1"/>
          <w:sz w:val="32"/>
          <w:szCs w:val="32"/>
        </w:rPr>
      </w:pP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281.9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177.91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63</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_GB2312" w:hAnsi="仿宋" w:eastAsia="仿宋_GB2312"/>
          <w:sz w:val="32"/>
          <w:szCs w:val="32"/>
          <w:lang w:val="en-US" w:eastAsia="zh-CN"/>
        </w:rPr>
        <w:t>103.99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59264" behindDoc="1" locked="0" layoutInCell="1" allowOverlap="1">
            <wp:simplePos x="0" y="0"/>
            <wp:positionH relativeFrom="column">
              <wp:posOffset>333375</wp:posOffset>
            </wp:positionH>
            <wp:positionV relativeFrom="paragraph">
              <wp:posOffset>133350</wp:posOffset>
            </wp:positionV>
            <wp:extent cx="4791075" cy="2743200"/>
            <wp:effectExtent l="0" t="0" r="9525" b="5715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pStyle w:val="24"/>
        <w:numPr>
          <w:ilvl w:val="0"/>
          <w:numId w:val="1"/>
        </w:numPr>
        <w:spacing w:line="600" w:lineRule="exact"/>
        <w:ind w:left="720" w:leftChars="0"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_GB2312" w:hAnsi="仿宋" w:eastAsia="仿宋_GB2312"/>
          <w:sz w:val="32"/>
          <w:szCs w:val="32"/>
          <w:lang w:val="en-US" w:eastAsia="zh-CN"/>
        </w:rPr>
        <w:t>273.72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188.73</w:t>
      </w:r>
      <w:r>
        <w:rPr>
          <w:rFonts w:hint="eastAsia" w:ascii="仿宋" w:hAnsi="仿宋" w:eastAsia="仿宋"/>
          <w:color w:val="000000"/>
          <w:sz w:val="32"/>
          <w:szCs w:val="32"/>
        </w:rPr>
        <w:t>万元，占6</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84.99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59264" behindDoc="1" locked="0" layoutInCell="1" allowOverlap="1">
            <wp:simplePos x="0" y="0"/>
            <wp:positionH relativeFrom="column">
              <wp:posOffset>238125</wp:posOffset>
            </wp:positionH>
            <wp:positionV relativeFrom="paragraph">
              <wp:posOffset>323850</wp:posOffset>
            </wp:positionV>
            <wp:extent cx="4791075" cy="2743200"/>
            <wp:effectExtent l="0" t="0" r="9525" b="5715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年财政拨款收入</w:t>
      </w:r>
      <w:r>
        <w:rPr>
          <w:rFonts w:hint="eastAsia" w:ascii="仿宋" w:hAnsi="仿宋" w:eastAsia="仿宋"/>
          <w:color w:val="000000"/>
          <w:sz w:val="32"/>
          <w:szCs w:val="32"/>
          <w:lang w:val="en-US" w:eastAsia="zh-CN"/>
        </w:rPr>
        <w:t>177.91</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年财政拨款收入</w:t>
      </w:r>
      <w:r>
        <w:rPr>
          <w:rFonts w:hint="eastAsia" w:ascii="仿宋" w:hAnsi="仿宋" w:eastAsia="仿宋"/>
          <w:color w:val="000000"/>
          <w:sz w:val="32"/>
          <w:szCs w:val="32"/>
          <w:lang w:val="en-US" w:eastAsia="zh-CN"/>
        </w:rPr>
        <w:t>156.9</w:t>
      </w:r>
      <w:r>
        <w:rPr>
          <w:rFonts w:hint="eastAsia" w:ascii="仿宋" w:hAnsi="仿宋" w:eastAsia="仿宋"/>
          <w:color w:val="000000"/>
          <w:sz w:val="32"/>
          <w:szCs w:val="32"/>
        </w:rPr>
        <w:t>万元年相比，财政拨款收入</w:t>
      </w:r>
      <w:r>
        <w:rPr>
          <w:rFonts w:hint="eastAsia" w:ascii="仿宋" w:hAnsi="仿宋" w:eastAsia="仿宋"/>
          <w:color w:val="000000"/>
          <w:sz w:val="32"/>
          <w:szCs w:val="32"/>
          <w:lang w:val="en-US" w:eastAsia="zh-CN"/>
        </w:rPr>
        <w:t>增加21.01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年财政拨款支出</w:t>
      </w:r>
      <w:r>
        <w:rPr>
          <w:rFonts w:hint="eastAsia" w:ascii="仿宋" w:hAnsi="仿宋" w:eastAsia="仿宋"/>
          <w:color w:val="000000"/>
          <w:sz w:val="32"/>
          <w:szCs w:val="32"/>
          <w:lang w:val="en-US" w:eastAsia="zh-CN"/>
        </w:rPr>
        <w:t>169.72</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年财政拨款支出</w:t>
      </w:r>
      <w:r>
        <w:rPr>
          <w:rFonts w:hint="eastAsia" w:ascii="仿宋" w:hAnsi="仿宋" w:eastAsia="仿宋"/>
          <w:color w:val="000000"/>
          <w:sz w:val="32"/>
          <w:szCs w:val="32"/>
          <w:lang w:val="en-US" w:eastAsia="zh-CN"/>
        </w:rPr>
        <w:t>150.93</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增加18.79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人员工资及公卫补助增加。</w:t>
      </w:r>
    </w:p>
    <w:p>
      <w:pPr>
        <w:spacing w:line="600" w:lineRule="exact"/>
        <w:rPr>
          <w:rFonts w:ascii="仿宋" w:hAnsi="仿宋" w:eastAsia="仿宋"/>
          <w:color w:val="000000" w:themeColor="text1"/>
          <w:sz w:val="32"/>
          <w:szCs w:val="32"/>
        </w:rPr>
      </w:pPr>
      <w:r>
        <w:drawing>
          <wp:anchor distT="0" distB="0" distL="114300" distR="114300" simplePos="0" relativeHeight="251659264" behindDoc="1" locked="0" layoutInCell="1" allowOverlap="1">
            <wp:simplePos x="0" y="0"/>
            <wp:positionH relativeFrom="column">
              <wp:posOffset>166370</wp:posOffset>
            </wp:positionH>
            <wp:positionV relativeFrom="paragraph">
              <wp:posOffset>204470</wp:posOffset>
            </wp:positionV>
            <wp:extent cx="4791075" cy="2743200"/>
            <wp:effectExtent l="4445" t="4445" r="5080" b="1460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169.72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62</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150.93</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val="en-US" w:eastAsia="zh-CN"/>
        </w:rPr>
        <w:t>支出增加18.79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增加12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人员工资及项目支出增加。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hint="eastAsia" w:ascii="仿宋" w:hAnsi="仿宋" w:eastAsia="仿宋"/>
          <w:b/>
          <w:color w:val="000000"/>
          <w:sz w:val="32"/>
          <w:szCs w:val="32"/>
        </w:rPr>
      </w:pPr>
      <w:bookmarkStart w:id="35" w:name="_Toc15377211"/>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420" w:firstLineChars="200"/>
        <w:outlineLvl w:val="2"/>
        <w:rPr>
          <w:rFonts w:hint="eastAsia" w:ascii="仿宋" w:hAnsi="仿宋" w:eastAsia="仿宋"/>
          <w:b/>
          <w:color w:val="000000"/>
          <w:sz w:val="32"/>
          <w:szCs w:val="32"/>
        </w:rPr>
      </w:pPr>
      <w:r>
        <w:drawing>
          <wp:anchor distT="0" distB="0" distL="114300" distR="114300" simplePos="0" relativeHeight="251659264" behindDoc="1" locked="0" layoutInCell="1" allowOverlap="1">
            <wp:simplePos x="0" y="0"/>
            <wp:positionH relativeFrom="column">
              <wp:posOffset>271145</wp:posOffset>
            </wp:positionH>
            <wp:positionV relativeFrom="paragraph">
              <wp:posOffset>-2453005</wp:posOffset>
            </wp:positionV>
            <wp:extent cx="4791075" cy="2743200"/>
            <wp:effectExtent l="4445" t="4445" r="5080" b="1460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lang w:eastAsia="zh-CN"/>
        </w:rPr>
      </w:pPr>
      <w:r>
        <w:rPr>
          <w:rFonts w:hint="eastAsia" w:ascii="仿宋" w:hAnsi="仿宋" w:eastAsia="仿宋"/>
          <w:color w:val="000000"/>
          <w:sz w:val="32"/>
          <w:szCs w:val="32"/>
          <w:lang w:eastAsia="zh-CN"/>
        </w:rPr>
        <w:t>2019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169.72</w:t>
      </w:r>
      <w:r>
        <w:rPr>
          <w:rFonts w:hint="eastAsia" w:ascii="仿宋" w:hAnsi="仿宋" w:eastAsia="仿宋"/>
          <w:color w:val="000000" w:themeColor="text1"/>
          <w:sz w:val="32"/>
          <w:szCs w:val="32"/>
        </w:rPr>
        <w:t>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13.48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卫生健康</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149</w:t>
      </w:r>
      <w:r>
        <w:rPr>
          <w:rFonts w:hint="eastAsia" w:ascii="仿宋" w:hAnsi="仿宋" w:eastAsia="仿宋"/>
          <w:color w:val="000000" w:themeColor="text1"/>
          <w:sz w:val="32"/>
          <w:szCs w:val="32"/>
        </w:rPr>
        <w:t>万元，占8</w:t>
      </w:r>
      <w:r>
        <w:rPr>
          <w:rFonts w:hint="eastAsia" w:ascii="仿宋" w:hAnsi="仿宋" w:eastAsia="仿宋"/>
          <w:color w:val="000000" w:themeColor="text1"/>
          <w:sz w:val="32"/>
          <w:szCs w:val="32"/>
          <w:lang w:val="en-US" w:eastAsia="zh-CN"/>
        </w:rPr>
        <w:t>8</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7.24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0288" behindDoc="1" locked="0" layoutInCell="1" allowOverlap="1">
            <wp:simplePos x="0" y="0"/>
            <wp:positionH relativeFrom="column">
              <wp:posOffset>-24130</wp:posOffset>
            </wp:positionH>
            <wp:positionV relativeFrom="paragraph">
              <wp:posOffset>223520</wp:posOffset>
            </wp:positionV>
            <wp:extent cx="5143500" cy="3133090"/>
            <wp:effectExtent l="4445" t="4445" r="14605" b="6286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lang w:eastAsia="zh-CN"/>
        </w:rPr>
        <w:t>2019</w:t>
      </w:r>
      <w:r>
        <w:rPr>
          <w:rFonts w:hint="eastAsia" w:ascii="仿宋" w:hAnsi="仿宋" w:eastAsia="仿宋"/>
          <w:b/>
          <w:color w:val="000000" w:themeColor="text1"/>
          <w:sz w:val="32"/>
          <w:szCs w:val="32"/>
        </w:rPr>
        <w:t>年一般公共预算支出决算数为</w:t>
      </w:r>
      <w:r>
        <w:rPr>
          <w:rFonts w:hint="eastAsia" w:ascii="仿宋" w:hAnsi="仿宋" w:eastAsia="仿宋"/>
          <w:b/>
          <w:color w:val="000000" w:themeColor="text1"/>
          <w:sz w:val="32"/>
          <w:szCs w:val="32"/>
          <w:lang w:val="en-US" w:eastAsia="zh-CN"/>
        </w:rPr>
        <w:t>169.73</w:t>
      </w:r>
      <w:r>
        <w:rPr>
          <w:rFonts w:hint="eastAsia" w:ascii="仿宋" w:hAnsi="仿宋" w:eastAsia="仿宋"/>
          <w:b/>
          <w:color w:val="000000" w:themeColor="text1"/>
          <w:sz w:val="32"/>
          <w:szCs w:val="32"/>
        </w:rPr>
        <w:t>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95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numPr>
          <w:ilvl w:val="0"/>
          <w:numId w:val="0"/>
        </w:numPr>
        <w:spacing w:line="600" w:lineRule="exact"/>
        <w:ind w:firstLine="643" w:firstLineChars="200"/>
        <w:rPr>
          <w:rStyle w:val="15"/>
          <w:rFonts w:hint="eastAsia" w:ascii="仿宋" w:hAnsi="仿宋" w:eastAsia="仿宋"/>
          <w:bCs/>
          <w:color w:val="000000"/>
          <w:sz w:val="32"/>
          <w:szCs w:val="32"/>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rPr>
        <w:t>社会保障和就业（208）人力资源和社会保障管理事务（208</w:t>
      </w:r>
      <w:r>
        <w:rPr>
          <w:rStyle w:val="15"/>
          <w:rFonts w:hint="eastAsia" w:ascii="仿宋" w:hAnsi="仿宋" w:eastAsia="仿宋"/>
          <w:bCs/>
          <w:color w:val="000000"/>
          <w:sz w:val="32"/>
          <w:szCs w:val="32"/>
          <w:lang w:val="en-US" w:eastAsia="zh-CN"/>
        </w:rPr>
        <w:t>01</w:t>
      </w:r>
      <w:r>
        <w:rPr>
          <w:rStyle w:val="15"/>
          <w:rFonts w:hint="eastAsia" w:ascii="仿宋" w:hAnsi="仿宋" w:eastAsia="仿宋"/>
          <w:bCs/>
          <w:color w:val="000000"/>
          <w:sz w:val="32"/>
          <w:szCs w:val="32"/>
        </w:rPr>
        <w:t>）  其他人力资源和社会保障管理事务支出（2080</w:t>
      </w:r>
      <w:r>
        <w:rPr>
          <w:rStyle w:val="15"/>
          <w:rFonts w:hint="eastAsia" w:ascii="仿宋" w:hAnsi="仿宋" w:eastAsia="仿宋"/>
          <w:bCs/>
          <w:color w:val="000000"/>
          <w:sz w:val="32"/>
          <w:szCs w:val="32"/>
          <w:lang w:val="en-US" w:eastAsia="zh-CN"/>
        </w:rPr>
        <w:t>199</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2.35</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社会保障和就业（208）行政事业单位离退休（20805）机关事业单位基本养老保险缴费支出（2080505）</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8.56</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 xml:space="preserve">。 </w:t>
      </w:r>
      <w:r>
        <w:rPr>
          <w:rStyle w:val="15"/>
          <w:rFonts w:hint="eastAsia" w:ascii="仿宋" w:hAnsi="仿宋" w:eastAsia="仿宋"/>
          <w:b/>
          <w:bCs w:val="0"/>
          <w:color w:val="000000"/>
          <w:sz w:val="32"/>
          <w:szCs w:val="32"/>
        </w:rPr>
        <w:t>机关事业单位职业年金缴费支出（208050</w:t>
      </w:r>
      <w:r>
        <w:rPr>
          <w:rStyle w:val="15"/>
          <w:rFonts w:hint="eastAsia" w:ascii="仿宋" w:hAnsi="仿宋" w:eastAsia="仿宋"/>
          <w:b/>
          <w:bCs w:val="0"/>
          <w:color w:val="000000"/>
          <w:sz w:val="32"/>
          <w:szCs w:val="32"/>
          <w:lang w:val="en-US" w:eastAsia="zh-CN"/>
        </w:rPr>
        <w:t>6</w:t>
      </w:r>
      <w:r>
        <w:rPr>
          <w:rStyle w:val="15"/>
          <w:rFonts w:hint="eastAsia" w:ascii="仿宋" w:hAnsi="仿宋" w:eastAsia="仿宋"/>
          <w:b/>
          <w:bCs w:val="0"/>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2.57</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_GB2312" w:eastAsia="仿宋_GB2312"/>
          <w:color w:val="000000"/>
          <w:sz w:val="32"/>
          <w:szCs w:val="32"/>
        </w:rPr>
      </w:pPr>
      <w:r>
        <w:rPr>
          <w:rStyle w:val="15"/>
          <w:rFonts w:hint="eastAsia" w:ascii="仿宋_GB2312" w:eastAsia="仿宋_GB2312"/>
          <w:color w:val="000000"/>
          <w:sz w:val="32"/>
          <w:szCs w:val="32"/>
        </w:rPr>
        <w:t>3.</w:t>
      </w:r>
      <w:r>
        <w:rPr>
          <w:rStyle w:val="15"/>
          <w:rFonts w:hint="eastAsia" w:ascii="仿宋_GB2312" w:eastAsia="仿宋_GB2312"/>
          <w:color w:val="000000"/>
          <w:sz w:val="32"/>
          <w:szCs w:val="32"/>
          <w:lang w:eastAsia="zh-CN"/>
        </w:rPr>
        <w:t>卫生健康</w:t>
      </w:r>
      <w:r>
        <w:rPr>
          <w:rStyle w:val="15"/>
          <w:rFonts w:hint="eastAsia" w:ascii="仿宋_GB2312" w:eastAsia="仿宋_GB2312"/>
          <w:color w:val="000000"/>
          <w:sz w:val="32"/>
          <w:szCs w:val="32"/>
        </w:rPr>
        <w:t>（210）基层</w:t>
      </w:r>
      <w:r>
        <w:rPr>
          <w:rStyle w:val="15"/>
          <w:rFonts w:hint="eastAsia" w:ascii="仿宋_GB2312" w:eastAsia="仿宋_GB2312"/>
          <w:color w:val="000000"/>
          <w:sz w:val="32"/>
          <w:szCs w:val="32"/>
          <w:lang w:eastAsia="zh-CN"/>
        </w:rPr>
        <w:t>卫生健康</w:t>
      </w:r>
      <w:r>
        <w:rPr>
          <w:rStyle w:val="15"/>
          <w:rFonts w:hint="eastAsia" w:ascii="仿宋_GB2312" w:eastAsia="仿宋_GB2312"/>
          <w:color w:val="000000"/>
          <w:sz w:val="32"/>
          <w:szCs w:val="32"/>
        </w:rPr>
        <w:t>机构（21003）</w:t>
      </w:r>
      <w:r>
        <w:rPr>
          <w:rFonts w:hint="eastAsia" w:ascii="仿宋_GB2312" w:eastAsia="仿宋_GB2312"/>
          <w:b/>
          <w:color w:val="000000"/>
          <w:sz w:val="32"/>
          <w:szCs w:val="32"/>
        </w:rPr>
        <w:t>乡镇卫生院（2100302）</w:t>
      </w:r>
      <w:r>
        <w:rPr>
          <w:rStyle w:val="15"/>
          <w:rFonts w:hint="eastAsia" w:ascii="仿宋_GB2312" w:eastAsia="仿宋_GB2312"/>
          <w:color w:val="000000"/>
          <w:sz w:val="32"/>
          <w:szCs w:val="32"/>
        </w:rPr>
        <w:t>:</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60.58</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%，决算数</w:t>
      </w:r>
      <w:r>
        <w:rPr>
          <w:rFonts w:hint="eastAsia" w:ascii="仿宋_GB2312" w:eastAsia="仿宋_GB2312"/>
          <w:color w:val="000000"/>
          <w:sz w:val="32"/>
          <w:szCs w:val="32"/>
          <w:lang w:val="en-US" w:eastAsia="zh-CN"/>
        </w:rPr>
        <w:t>小</w:t>
      </w:r>
      <w:r>
        <w:rPr>
          <w:rFonts w:hint="eastAsia" w:ascii="仿宋_GB2312" w:eastAsia="仿宋_GB2312"/>
          <w:color w:val="000000"/>
          <w:sz w:val="32"/>
          <w:szCs w:val="32"/>
        </w:rPr>
        <w:t>于预算数的主要原因为存在年初、年末财政结转资金，其中：年初结转</w:t>
      </w:r>
      <w:r>
        <w:rPr>
          <w:rFonts w:hint="eastAsia" w:ascii="仿宋_GB2312" w:eastAsia="仿宋_GB2312"/>
          <w:color w:val="000000"/>
          <w:sz w:val="32"/>
          <w:szCs w:val="32"/>
          <w:lang w:val="en-US" w:eastAsia="zh-CN"/>
        </w:rPr>
        <w:t>69.3</w:t>
      </w:r>
      <w:r>
        <w:rPr>
          <w:rFonts w:hint="eastAsia" w:ascii="仿宋_GB2312" w:eastAsia="仿宋_GB2312"/>
          <w:color w:val="000000"/>
          <w:sz w:val="32"/>
          <w:szCs w:val="32"/>
        </w:rPr>
        <w:t>万元，年末结转</w:t>
      </w:r>
      <w:r>
        <w:rPr>
          <w:rFonts w:hint="eastAsia" w:ascii="仿宋_GB2312" w:eastAsia="仿宋_GB2312"/>
          <w:color w:val="000000"/>
          <w:sz w:val="32"/>
          <w:szCs w:val="32"/>
          <w:lang w:val="en-US" w:eastAsia="zh-CN"/>
        </w:rPr>
        <w:t>77.48</w:t>
      </w:r>
      <w:r>
        <w:rPr>
          <w:rFonts w:hint="eastAsia" w:ascii="仿宋_GB2312" w:eastAsia="仿宋_GB2312"/>
          <w:color w:val="000000"/>
          <w:sz w:val="32"/>
          <w:szCs w:val="32"/>
        </w:rPr>
        <w:t>万元。</w:t>
      </w:r>
    </w:p>
    <w:p>
      <w:pPr>
        <w:spacing w:line="600" w:lineRule="exact"/>
        <w:ind w:firstLine="643" w:firstLineChars="200"/>
        <w:rPr>
          <w:rFonts w:ascii="仿宋" w:hAnsi="仿宋" w:eastAsia="仿宋"/>
          <w:color w:val="000000"/>
          <w:sz w:val="32"/>
          <w:szCs w:val="32"/>
        </w:rPr>
      </w:pPr>
      <w:r>
        <w:rPr>
          <w:rStyle w:val="15"/>
          <w:rFonts w:hint="eastAsia" w:ascii="仿宋" w:hAnsi="仿宋" w:eastAsia="仿宋"/>
          <w:bCs/>
          <w:color w:val="000000"/>
          <w:sz w:val="32"/>
          <w:szCs w:val="32"/>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卫生健康</w:t>
      </w:r>
      <w:r>
        <w:rPr>
          <w:rStyle w:val="15"/>
          <w:rFonts w:hint="eastAsia" w:ascii="仿宋" w:hAnsi="仿宋" w:eastAsia="仿宋"/>
          <w:bCs/>
          <w:color w:val="000000"/>
          <w:sz w:val="32"/>
          <w:szCs w:val="32"/>
        </w:rPr>
        <w:t>（210）基层</w:t>
      </w:r>
      <w:r>
        <w:rPr>
          <w:rStyle w:val="15"/>
          <w:rFonts w:hint="eastAsia" w:ascii="仿宋" w:hAnsi="仿宋" w:eastAsia="仿宋"/>
          <w:bCs/>
          <w:color w:val="000000"/>
          <w:sz w:val="32"/>
          <w:szCs w:val="32"/>
          <w:lang w:eastAsia="zh-CN"/>
        </w:rPr>
        <w:t>卫生健康</w:t>
      </w:r>
      <w:r>
        <w:rPr>
          <w:rStyle w:val="15"/>
          <w:rFonts w:hint="eastAsia" w:ascii="仿宋" w:hAnsi="仿宋" w:eastAsia="仿宋"/>
          <w:bCs/>
          <w:color w:val="000000"/>
          <w:sz w:val="32"/>
          <w:szCs w:val="32"/>
        </w:rPr>
        <w:t>机构（21003）</w:t>
      </w:r>
      <w:r>
        <w:rPr>
          <w:rStyle w:val="15"/>
          <w:rFonts w:hint="eastAsia" w:ascii="仿宋" w:hAnsi="仿宋" w:eastAsia="仿宋"/>
          <w:bCs/>
          <w:color w:val="000000"/>
          <w:sz w:val="32"/>
          <w:szCs w:val="32"/>
          <w:lang w:eastAsia="zh-CN"/>
        </w:rPr>
        <w:t>其他</w:t>
      </w:r>
      <w:r>
        <w:rPr>
          <w:rStyle w:val="15"/>
          <w:rFonts w:hint="eastAsia" w:ascii="仿宋" w:hAnsi="仿宋" w:eastAsia="仿宋"/>
          <w:bCs/>
          <w:color w:val="000000"/>
          <w:sz w:val="32"/>
          <w:szCs w:val="32"/>
        </w:rPr>
        <w:t>基层</w:t>
      </w:r>
      <w:r>
        <w:rPr>
          <w:rStyle w:val="15"/>
          <w:rFonts w:hint="eastAsia" w:ascii="仿宋" w:hAnsi="仿宋" w:eastAsia="仿宋"/>
          <w:bCs/>
          <w:color w:val="000000"/>
          <w:sz w:val="32"/>
          <w:szCs w:val="32"/>
          <w:lang w:eastAsia="zh-CN"/>
        </w:rPr>
        <w:t>卫生健康</w:t>
      </w:r>
      <w:r>
        <w:rPr>
          <w:rStyle w:val="15"/>
          <w:rFonts w:hint="eastAsia" w:ascii="仿宋" w:hAnsi="仿宋" w:eastAsia="仿宋"/>
          <w:bCs/>
          <w:color w:val="000000"/>
          <w:sz w:val="32"/>
          <w:szCs w:val="32"/>
        </w:rPr>
        <w:t>机构支出（2100399）</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13.7</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5、</w:t>
      </w:r>
      <w:r>
        <w:rPr>
          <w:rStyle w:val="15"/>
          <w:rFonts w:hint="eastAsia" w:ascii="仿宋" w:hAnsi="仿宋" w:eastAsia="仿宋"/>
          <w:bCs/>
          <w:color w:val="000000"/>
          <w:sz w:val="32"/>
          <w:szCs w:val="32"/>
          <w:lang w:eastAsia="zh-CN"/>
        </w:rPr>
        <w:t>卫生健康</w:t>
      </w:r>
      <w:r>
        <w:rPr>
          <w:rStyle w:val="15"/>
          <w:rFonts w:hint="eastAsia" w:ascii="仿宋" w:hAnsi="仿宋" w:eastAsia="仿宋"/>
          <w:bCs/>
          <w:color w:val="000000"/>
          <w:sz w:val="32"/>
          <w:szCs w:val="32"/>
        </w:rPr>
        <w:t>（210）公共卫生（21004）基本公共卫生服务（2100408）</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71.29</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6、</w:t>
      </w:r>
      <w:r>
        <w:rPr>
          <w:rStyle w:val="15"/>
          <w:rFonts w:hint="eastAsia" w:ascii="仿宋" w:hAnsi="仿宋" w:eastAsia="仿宋"/>
          <w:bCs/>
          <w:color w:val="000000"/>
          <w:sz w:val="32"/>
          <w:szCs w:val="32"/>
          <w:lang w:eastAsia="zh-CN"/>
        </w:rPr>
        <w:t>卫生健康</w:t>
      </w:r>
      <w:r>
        <w:rPr>
          <w:rStyle w:val="15"/>
          <w:rFonts w:hint="eastAsia" w:ascii="仿宋" w:hAnsi="仿宋" w:eastAsia="仿宋"/>
          <w:bCs/>
          <w:color w:val="000000"/>
          <w:sz w:val="32"/>
          <w:szCs w:val="32"/>
        </w:rPr>
        <w:t>（210）行政事业单位医疗（21011）事业单位医疗（2101102）</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3.42</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7、住房保障支出</w:t>
      </w:r>
      <w:r>
        <w:rPr>
          <w:rStyle w:val="15"/>
          <w:rFonts w:hint="eastAsia" w:ascii="仿宋" w:hAnsi="仿宋" w:eastAsia="仿宋"/>
          <w:bCs/>
          <w:color w:val="000000"/>
          <w:sz w:val="32"/>
          <w:szCs w:val="32"/>
        </w:rPr>
        <w:t>（221）住房改革支出（22102）住房公积金（2210201）</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7.24</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84.74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65.85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18.89</w:t>
      </w:r>
      <w:r>
        <w:rPr>
          <w:rFonts w:hint="eastAsia" w:ascii="仿宋" w:hAnsi="仿宋" w:eastAsia="仿宋"/>
          <w:color w:val="000000"/>
          <w:sz w:val="32"/>
          <w:szCs w:val="32"/>
        </w:rPr>
        <w:t>万元，主要包括：办公费、印刷费、咨询费、手续费、水费、电费、邮电费、取暖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无</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无</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p>
    <w:p>
      <w:pPr>
        <w:spacing w:line="600" w:lineRule="exact"/>
        <w:ind w:firstLine="640"/>
        <w:rPr>
          <w:rFonts w:ascii="仿宋_GB2312" w:eastAsia="仿宋_GB2312"/>
          <w:color w:val="000000" w:themeColor="text1"/>
          <w:sz w:val="32"/>
          <w:szCs w:val="32"/>
        </w:rPr>
      </w:pPr>
      <w:r>
        <w:rPr>
          <w:rFonts w:hint="eastAsia" w:ascii="仿宋_GB2312" w:eastAsia="仿宋_GB2312"/>
          <w:color w:val="000000"/>
          <w:sz w:val="32"/>
          <w:szCs w:val="32"/>
        </w:rPr>
        <w:t>无</w:t>
      </w:r>
      <w:bookmarkStart w:id="46" w:name="_Toc15396610"/>
      <w:bookmarkStart w:id="47" w:name="_Toc15377218"/>
    </w:p>
    <w:p>
      <w:pPr>
        <w:spacing w:line="600" w:lineRule="exact"/>
        <w:ind w:firstLine="640"/>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803" w:firstLineChars="250"/>
        <w:outlineLvl w:val="1"/>
        <w:rPr>
          <w:rFonts w:ascii="黑体" w:hAnsi="黑体" w:eastAsia="黑体" w:cstheme="majorBidi"/>
          <w:bCs/>
          <w:sz w:val="32"/>
          <w:szCs w:val="32"/>
        </w:rPr>
      </w:pPr>
      <w:bookmarkStart w:id="50" w:name="_Toc15377221"/>
      <w:bookmarkStart w:id="51" w:name="_Toc15396612"/>
      <w:r>
        <w:rPr>
          <w:rStyle w:val="26"/>
          <w:rFonts w:hint="eastAsia" w:ascii="黑体" w:hAnsi="黑体" w:eastAsia="黑体"/>
          <w:b/>
          <w:bCs w:val="0"/>
          <w:lang w:val="en-US" w:eastAsia="zh-CN"/>
        </w:rPr>
        <w:t>十</w:t>
      </w:r>
      <w:r>
        <w:rPr>
          <w:rStyle w:val="26"/>
          <w:rFonts w:hint="eastAsia" w:ascii="黑体" w:hAnsi="黑体" w:eastAsia="黑体"/>
          <w:b w:val="0"/>
          <w:lang w:val="en-US" w:eastAsia="zh-CN"/>
        </w:rPr>
        <w:t>、</w:t>
      </w:r>
      <w:r>
        <w:rPr>
          <w:rStyle w:val="26"/>
          <w:rFonts w:hint="eastAsia" w:ascii="黑体" w:hAnsi="黑体" w:eastAsia="黑体"/>
          <w:b w:val="0"/>
        </w:rPr>
        <w:t>其他重要事项的情况说明</w:t>
      </w:r>
    </w:p>
    <w:p>
      <w:pPr>
        <w:pStyle w:val="24"/>
        <w:numPr>
          <w:ilvl w:val="0"/>
          <w:numId w:val="0"/>
        </w:numPr>
        <w:spacing w:line="580" w:lineRule="exact"/>
        <w:ind w:firstLine="643" w:firstLineChars="200"/>
        <w:rPr>
          <w:rFonts w:ascii="黑体" w:hAnsi="黑体" w:eastAsia="黑体" w:cstheme="majorBidi"/>
          <w:bCs/>
          <w:sz w:val="32"/>
          <w:szCs w:val="32"/>
        </w:rPr>
      </w:pPr>
      <w:r>
        <w:rPr>
          <w:rStyle w:val="26"/>
          <w:rFonts w:hint="eastAsia" w:ascii="黑体" w:hAnsi="黑体" w:eastAsia="黑体"/>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年部门整体支出开展绩效自评，从评价情况来看本单位按要求对 </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年单位整体支出开展绩效自评，从评价情况来看，本单位 </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3"/>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年度部门决算中反映“基本公共卫生服务”“基本药物补助”等2个项目绩效目标实际完成情况。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eastAsia="zh-CN"/>
        </w:rPr>
        <w:t>13.7</w:t>
      </w:r>
      <w:r>
        <w:rPr>
          <w:rFonts w:hint="eastAsia" w:ascii="仿宋_GB2312" w:hAnsi="仿宋_GB2312" w:eastAsia="仿宋_GB2312" w:cs="仿宋_GB2312"/>
          <w:sz w:val="32"/>
          <w:szCs w:val="32"/>
        </w:rPr>
        <w:t>万元，完成预算的100%。通过项目实施，保障了</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年我院基本药物采购资金的保障，发现的主要问题：对专项项目推进工作重视度有待加强，对。下一步改进措施：与财政部门衔接，在单位预算编制中从细从严，切实推进预算。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71.29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eastAsia="zh-CN"/>
        </w:rPr>
        <w:t>71.29</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lang w:eastAsia="zh-CN"/>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达州市达川区虎让乡卫生院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预算执行情况</w:t>
            </w: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rPr>
              <w:t>万元</w:t>
            </w:r>
            <w:r>
              <w:rPr>
                <w:rFonts w:hint="eastAsia" w:cs="宋体" w:asciiTheme="minorEastAsia" w:hAnsiTheme="minorEastAsia" w:eastAsiaTheme="minorEastAsia"/>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预算数</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lang w:eastAsia="zh-CN"/>
              </w:rPr>
              <w:t>13.7</w:t>
            </w:r>
            <w:r>
              <w:rPr>
                <w:rFonts w:hint="eastAsia" w:cs="宋体" w:asciiTheme="minorEastAsia" w:hAnsiTheme="minorEastAsia" w:eastAsiaTheme="minorEastAsia"/>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执行数</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lang w:eastAsia="zh-CN"/>
              </w:rPr>
              <w:t>13.7</w:t>
            </w:r>
            <w:r>
              <w:rPr>
                <w:rFonts w:hint="eastAsia" w:cs="宋体" w:asciiTheme="minorEastAsia" w:hAnsiTheme="minorEastAsia" w:eastAsiaTheme="minorEastAsia"/>
                <w:color w:val="000000"/>
                <w:sz w:val="24"/>
              </w:rPr>
              <w:t>万元</w:t>
            </w:r>
          </w:p>
        </w:tc>
      </w:tr>
      <w:tr>
        <w:tblPrEx>
          <w:tblCellMar>
            <w:top w:w="0" w:type="dxa"/>
            <w:left w:w="0" w:type="dxa"/>
            <w:bottom w:w="0" w:type="dxa"/>
            <w:right w:w="0" w:type="dxa"/>
          </w:tblCellMar>
        </w:tblPrEx>
        <w:trPr>
          <w:trHeight w:val="276"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其中</w:t>
            </w: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rPr>
              <w:t>财政拨款</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lang w:eastAsia="zh-CN"/>
              </w:rPr>
              <w:t>13.7</w:t>
            </w:r>
            <w:r>
              <w:rPr>
                <w:rFonts w:hint="eastAsia" w:cs="宋体" w:asciiTheme="minorEastAsia" w:hAnsiTheme="minorEastAsia" w:eastAsiaTheme="minorEastAsia"/>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其中</w:t>
            </w:r>
            <w:r>
              <w:rPr>
                <w:rFonts w:hint="eastAsia" w:cs="宋体" w:asciiTheme="minorEastAsia" w:hAnsiTheme="minorEastAsia" w:eastAsiaTheme="minorEastAsia"/>
                <w:color w:val="000000"/>
                <w:kern w:val="0"/>
                <w:sz w:val="24"/>
                <w:lang w:eastAsia="zh-CN"/>
              </w:rPr>
              <w:t>－</w:t>
            </w:r>
            <w:r>
              <w:rPr>
                <w:rFonts w:hint="eastAsia" w:cs="宋体" w:asciiTheme="minorEastAsia" w:hAnsiTheme="minorEastAsia" w:eastAsiaTheme="minorEastAsia"/>
                <w:color w:val="000000"/>
                <w:kern w:val="0"/>
                <w:sz w:val="24"/>
              </w:rPr>
              <w:t>财政拨款</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lang w:eastAsia="zh-CN"/>
              </w:rPr>
              <w:t>13.7</w:t>
            </w:r>
            <w:r>
              <w:rPr>
                <w:rFonts w:hint="eastAsia" w:cs="宋体" w:asciiTheme="minorEastAsia" w:hAnsiTheme="minorEastAsia" w:eastAsiaTheme="minorEastAsia"/>
                <w:color w:val="000000"/>
                <w:sz w:val="24"/>
              </w:rPr>
              <w:t>万元</w:t>
            </w:r>
          </w:p>
        </w:tc>
      </w:tr>
      <w:tr>
        <w:tblPrEx>
          <w:tblCellMar>
            <w:top w:w="0" w:type="dxa"/>
            <w:left w:w="0" w:type="dxa"/>
            <w:bottom w:w="0" w:type="dxa"/>
            <w:right w:w="0" w:type="dxa"/>
          </w:tblCellMar>
        </w:tblPrEx>
        <w:trPr>
          <w:trHeight w:val="1511"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lang w:eastAsia="zh-CN"/>
              </w:rPr>
              <w:t>其他</w:t>
            </w:r>
            <w:r>
              <w:rPr>
                <w:rFonts w:hint="eastAsia" w:cs="宋体" w:asciiTheme="minorEastAsia" w:hAnsiTheme="minorEastAsia" w:eastAsiaTheme="minorEastAsia"/>
                <w:color w:val="000000"/>
                <w:kern w:val="0"/>
                <w:sz w:val="24"/>
              </w:rPr>
              <w:t>资金</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lang w:eastAsia="zh-CN"/>
              </w:rPr>
              <w:t>其他</w:t>
            </w:r>
            <w:r>
              <w:rPr>
                <w:rFonts w:hint="eastAsia" w:cs="宋体" w:asciiTheme="minorEastAsia" w:hAnsiTheme="minorEastAsia" w:eastAsiaTheme="minorEastAsia"/>
                <w:color w:val="000000"/>
                <w:kern w:val="0"/>
                <w:sz w:val="24"/>
              </w:rPr>
              <w:t>资金</w:t>
            </w:r>
            <w:r>
              <w:rPr>
                <w:rFonts w:hint="eastAsia" w:cs="宋体" w:asciiTheme="minorEastAsia" w:hAnsiTheme="minorEastAsia" w:eastAsiaTheme="minorEastAsia"/>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实际完成目标</w:t>
            </w:r>
          </w:p>
        </w:tc>
      </w:tr>
      <w:tr>
        <w:tblPrEx>
          <w:tblCellMar>
            <w:top w:w="0" w:type="dxa"/>
            <w:left w:w="0" w:type="dxa"/>
            <w:bottom w:w="0" w:type="dxa"/>
            <w:right w:w="0" w:type="dxa"/>
          </w:tblCellMar>
        </w:tblPrEx>
        <w:trPr>
          <w:trHeight w:val="1159"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预计20</w:t>
            </w:r>
            <w:r>
              <w:rPr>
                <w:rFonts w:hint="eastAsia" w:cs="宋体" w:asciiTheme="minorEastAsia" w:hAnsiTheme="minorEastAsia" w:eastAsiaTheme="minorEastAsia"/>
                <w:color w:val="000000"/>
                <w:sz w:val="24"/>
                <w:lang w:val="en-US" w:eastAsia="zh-CN"/>
              </w:rPr>
              <w:t>20</w:t>
            </w:r>
            <w:r>
              <w:rPr>
                <w:rFonts w:hint="eastAsia" w:cs="宋体" w:asciiTheme="minorEastAsia" w:hAnsiTheme="minorEastAsia" w:eastAsiaTheme="minorEastAsia"/>
                <w:color w:val="000000"/>
                <w:sz w:val="24"/>
              </w:rPr>
              <w:t>年完成基本药物资金补助</w:t>
            </w:r>
            <w:r>
              <w:rPr>
                <w:rFonts w:hint="eastAsia" w:cs="仿宋_GB2312" w:asciiTheme="minorEastAsia" w:hAnsiTheme="minorEastAsia" w:eastAsiaTheme="minorEastAsia"/>
                <w:sz w:val="24"/>
                <w:lang w:eastAsia="zh-CN"/>
              </w:rPr>
              <w:t>13.7</w:t>
            </w:r>
            <w:r>
              <w:rPr>
                <w:rFonts w:hint="eastAsia" w:cs="宋体" w:asciiTheme="minorEastAsia" w:hAnsiTheme="minorEastAsia" w:eastAsiaTheme="minorEastAsia"/>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完成</w:t>
            </w:r>
            <w:r>
              <w:rPr>
                <w:rFonts w:hint="eastAsia" w:cs="宋体" w:asciiTheme="minorEastAsia" w:hAnsiTheme="minorEastAsia" w:eastAsiaTheme="minorEastAsia"/>
                <w:color w:val="000000"/>
                <w:sz w:val="24"/>
                <w:lang w:eastAsia="zh-CN"/>
              </w:rPr>
              <w:t>20</w:t>
            </w:r>
            <w:r>
              <w:rPr>
                <w:rFonts w:hint="eastAsia" w:cs="宋体" w:asciiTheme="minorEastAsia" w:hAnsiTheme="minorEastAsia" w:eastAsiaTheme="minorEastAsia"/>
                <w:color w:val="000000"/>
                <w:sz w:val="24"/>
                <w:lang w:val="en-US" w:eastAsia="zh-CN"/>
              </w:rPr>
              <w:t>20</w:t>
            </w:r>
            <w:r>
              <w:rPr>
                <w:rFonts w:hint="eastAsia" w:cs="宋体" w:asciiTheme="minorEastAsia" w:hAnsiTheme="minorEastAsia" w:eastAsiaTheme="minorEastAsia"/>
                <w:color w:val="000000"/>
                <w:sz w:val="24"/>
              </w:rPr>
              <w:t>年基本药物资金补助</w:t>
            </w:r>
            <w:r>
              <w:rPr>
                <w:rFonts w:hint="eastAsia" w:cs="仿宋_GB2312" w:asciiTheme="minorEastAsia" w:hAnsiTheme="minorEastAsia" w:eastAsiaTheme="minorEastAsia"/>
                <w:sz w:val="24"/>
                <w:lang w:eastAsia="zh-CN"/>
              </w:rPr>
              <w:t>13.7</w:t>
            </w:r>
            <w:r>
              <w:rPr>
                <w:rFonts w:hint="eastAsia" w:cs="宋体" w:asciiTheme="minorEastAsia" w:hAnsiTheme="minorEastAsia" w:eastAsiaTheme="minorEastAsia"/>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953"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2019</w:t>
            </w:r>
            <w:r>
              <w:rPr>
                <w:rFonts w:hint="eastAsia" w:ascii="宋体" w:hAnsi="宋体" w:cs="宋体"/>
                <w:color w:val="000000"/>
                <w:sz w:val="24"/>
              </w:rPr>
              <w:t>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lang w:eastAsia="zh-CN"/>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达州市达川区虎让乡卫生院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71.29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71.29</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71.29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71.29</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 w:val="24"/>
                <w:lang w:eastAsia="zh-CN"/>
              </w:rPr>
              <w:t>预计20</w:t>
            </w:r>
            <w:r>
              <w:rPr>
                <w:rFonts w:hint="eastAsia" w:cs="宋体" w:asciiTheme="minorEastAsia" w:hAnsiTheme="minorEastAsia" w:eastAsiaTheme="minorEastAsia"/>
                <w:color w:val="000000"/>
                <w:sz w:val="24"/>
                <w:lang w:val="en-US" w:eastAsia="zh-CN"/>
              </w:rPr>
              <w:t>20</w:t>
            </w:r>
            <w:r>
              <w:rPr>
                <w:rFonts w:hint="eastAsia" w:cs="宋体" w:asciiTheme="minorEastAsia" w:hAnsiTheme="minorEastAsia" w:eastAsiaTheme="minorEastAsia"/>
                <w:color w:val="000000"/>
                <w:sz w:val="24"/>
              </w:rPr>
              <w:t>年完成</w:t>
            </w:r>
            <w:r>
              <w:rPr>
                <w:rFonts w:hint="eastAsia" w:ascii="宋体" w:hAnsi="宋体" w:cs="宋体"/>
                <w:color w:val="000000"/>
                <w:sz w:val="24"/>
              </w:rPr>
              <w:t>基本公共卫生服务</w:t>
            </w:r>
            <w:r>
              <w:rPr>
                <w:rFonts w:hint="eastAsia" w:ascii="宋体" w:hAnsi="宋体" w:cs="宋体"/>
                <w:color w:val="000000"/>
                <w:sz w:val="24"/>
                <w:lang w:eastAsia="zh-CN"/>
              </w:rPr>
              <w:t>71.29</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w:t>
            </w:r>
            <w:r>
              <w:rPr>
                <w:rFonts w:hint="eastAsia" w:ascii="宋体" w:hAnsi="宋体" w:cs="宋体"/>
                <w:color w:val="000000"/>
                <w:sz w:val="24"/>
                <w:lang w:val="en-US" w:eastAsia="zh-CN"/>
              </w:rPr>
              <w:t>20</w:t>
            </w:r>
            <w:r>
              <w:rPr>
                <w:rFonts w:hint="eastAsia" w:ascii="宋体" w:hAnsi="宋体" w:cs="宋体"/>
                <w:color w:val="000000"/>
                <w:sz w:val="24"/>
              </w:rPr>
              <w:t>年基本公共卫生服务</w:t>
            </w:r>
            <w:r>
              <w:rPr>
                <w:rFonts w:hint="eastAsia" w:ascii="宋体" w:hAnsi="宋体" w:cs="宋体"/>
                <w:color w:val="000000"/>
                <w:sz w:val="24"/>
                <w:lang w:eastAsia="zh-CN"/>
              </w:rPr>
              <w:t>71.29</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953"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w:t>
            </w:r>
            <w:r>
              <w:rPr>
                <w:rFonts w:hint="eastAsia" w:ascii="宋体" w:hAnsi="宋体" w:cs="宋体"/>
                <w:color w:val="000000"/>
                <w:sz w:val="24"/>
                <w:lang w:val="en-US" w:eastAsia="zh-CN"/>
              </w:rPr>
              <w:t>20</w:t>
            </w:r>
            <w:r>
              <w:rPr>
                <w:rFonts w:hint="eastAsia" w:ascii="宋体" w:hAnsi="宋体" w:cs="宋体"/>
                <w:color w:val="000000"/>
                <w:sz w:val="24"/>
              </w:rPr>
              <w:t>年基本公共卫生服</w:t>
            </w:r>
            <w:r>
              <w:rPr>
                <w:rFonts w:hint="eastAsia" w:ascii="宋体" w:hAnsi="宋体" w:cs="宋体"/>
                <w:color w:val="000000"/>
                <w:sz w:val="24"/>
                <w:lang w:eastAsia="zh-CN"/>
              </w:rPr>
              <w:t>71.29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w:t>
            </w:r>
            <w:r>
              <w:rPr>
                <w:rFonts w:hint="eastAsia" w:ascii="宋体" w:hAnsi="宋体" w:cs="宋体"/>
                <w:color w:val="000000"/>
                <w:sz w:val="24"/>
                <w:lang w:eastAsia="zh-CN"/>
              </w:rPr>
              <w:t>该</w:t>
            </w:r>
            <w:r>
              <w:rPr>
                <w:rFonts w:hint="eastAsia" w:ascii="宋体" w:hAnsi="宋体" w:cs="宋体"/>
                <w:color w:val="000000"/>
                <w:sz w:val="24"/>
              </w:rPr>
              <w:t>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3"/>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年部门整体支出绩效评价情况开展自评，《四川省达州市达川区虎让乡卫生院</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bookmarkStart w:id="76" w:name="_GoBack"/>
      <w:bookmarkEnd w:id="76"/>
      <w:r>
        <w:rPr>
          <w:rFonts w:hint="eastAsia" w:ascii="仿宋_GB2312" w:hAnsi="仿宋_GB2312" w:eastAsia="仿宋_GB2312" w:cs="仿宋_GB2312"/>
          <w:sz w:val="32"/>
          <w:szCs w:val="32"/>
        </w:rPr>
        <w:t>整体支出绩效评价报告》见附件。本部门未自行组织其他项目绩效评价。</w:t>
      </w:r>
    </w:p>
    <w:p/>
    <w:p/>
    <w:p>
      <w:pPr>
        <w:spacing w:line="600" w:lineRule="exact"/>
        <w:ind w:firstLine="800" w:firstLineChars="250"/>
        <w:outlineLvl w:val="1"/>
        <w:rPr>
          <w:rStyle w:val="26"/>
          <w:rFonts w:ascii="黑体" w:hAnsi="黑体" w:eastAsia="黑体"/>
        </w:rPr>
      </w:pPr>
      <w:r>
        <w:rPr>
          <w:rFonts w:hint="eastAsia" w:ascii="黑体" w:hAnsi="黑体" w:eastAsia="黑体"/>
          <w:color w:val="000000"/>
          <w:sz w:val="32"/>
          <w:szCs w:val="32"/>
        </w:rPr>
        <w:t>十</w:t>
      </w:r>
      <w:r>
        <w:rPr>
          <w:rStyle w:val="26"/>
          <w:rFonts w:hint="eastAsia" w:ascii="黑体" w:hAnsi="黑体" w:eastAsia="黑体"/>
        </w:rPr>
        <w:t>一、其他重要事项的情况说明</w:t>
      </w:r>
      <w:bookmarkEnd w:id="50"/>
      <w:bookmarkEnd w:id="51"/>
    </w:p>
    <w:p>
      <w:pPr>
        <w:spacing w:line="600" w:lineRule="exact"/>
        <w:ind w:firstLine="643" w:firstLineChars="200"/>
        <w:outlineLvl w:val="2"/>
        <w:rPr>
          <w:rFonts w:ascii="仿宋" w:hAnsi="仿宋" w:eastAsia="仿宋"/>
          <w:color w:val="000000"/>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3" w:firstLineChars="200"/>
        <w:rPr>
          <w:rFonts w:ascii="仿宋_GB2312" w:eastAsia="仿宋_GB2312"/>
          <w:b/>
          <w:color w:val="000000" w:themeColor="text1"/>
          <w:sz w:val="32"/>
          <w:szCs w:val="32"/>
        </w:rPr>
      </w:pPr>
      <w:r>
        <w:rPr>
          <w:rFonts w:hint="eastAsia" w:ascii="仿宋_GB2312" w:eastAsia="仿宋_GB2312"/>
          <w:b/>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年12月31日，达州市达川区虎让乡卫生院共有车辆1辆，其中：特种专业技术用车1辆，特种专业技术用</w:t>
      </w:r>
      <w:r>
        <w:rPr>
          <w:rFonts w:hint="eastAsia" w:ascii="仿宋_GB2312" w:eastAsia="仿宋_GB2312"/>
          <w:color w:val="000000" w:themeColor="text1"/>
          <w:sz w:val="32"/>
          <w:szCs w:val="32"/>
        </w:rPr>
        <w:t>车主要是用于单位急救病人使用。</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hint="eastAsia" w:ascii="仿宋_GB2312" w:eastAsia="仿宋_GB2312"/>
          <w:b/>
          <w:color w:val="000000"/>
          <w:sz w:val="32"/>
          <w:szCs w:val="32"/>
        </w:rPr>
        <w:br w:type="page"/>
      </w:r>
    </w:p>
    <w:p>
      <w:pPr>
        <w:numPr>
          <w:ilvl w:val="0"/>
          <w:numId w:val="4"/>
        </w:numPr>
        <w:spacing w:line="600" w:lineRule="exact"/>
        <w:ind w:firstLine="663" w:firstLineChars="150"/>
        <w:jc w:val="center"/>
        <w:outlineLvl w:val="0"/>
        <w:rPr>
          <w:rStyle w:val="25"/>
          <w:rFonts w:ascii="黑体" w:hAnsi="黑体" w:eastAsia="黑体"/>
        </w:rPr>
      </w:pPr>
      <w:bookmarkStart w:id="55" w:name="_Toc15396613"/>
      <w:bookmarkStart w:id="56" w:name="_Toc15377225"/>
      <w:r>
        <w:rPr>
          <w:rFonts w:hint="eastAsia" w:ascii="黑体" w:hAnsi="黑体" w:eastAsia="黑体"/>
          <w:b/>
          <w:color w:val="000000"/>
          <w:sz w:val="44"/>
          <w:szCs w:val="44"/>
        </w:rPr>
        <w:t>名</w:t>
      </w:r>
      <w:r>
        <w:rPr>
          <w:rStyle w:val="25"/>
          <w:rFonts w:hint="eastAsia" w:ascii="黑体" w:hAnsi="黑体" w:eastAsia="黑体"/>
        </w:rPr>
        <w:t>词解释</w:t>
      </w:r>
      <w:bookmarkEnd w:id="55"/>
      <w:bookmarkEnd w:id="56"/>
    </w:p>
    <w:p>
      <w:pPr>
        <w:spacing w:line="600" w:lineRule="exact"/>
        <w:jc w:val="left"/>
        <w:rPr>
          <w:rFonts w:ascii="宋体"/>
          <w:b/>
          <w:color w:val="000000"/>
        </w:rPr>
      </w:pP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4.其他收入：指单位取得的除上述收入以外的各项收入。主要是利息等。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9.社会保障和就业（208）人力资源</w:t>
      </w:r>
      <w:r>
        <w:rPr>
          <w:rFonts w:hint="eastAsia" w:ascii="仿宋_GB2312" w:eastAsia="仿宋_GB2312"/>
          <w:sz w:val="32"/>
          <w:szCs w:val="32"/>
          <w:lang w:val="en-US" w:eastAsia="zh-CN"/>
        </w:rPr>
        <w:t>和社会保障</w:t>
      </w:r>
      <w:r>
        <w:rPr>
          <w:rFonts w:hint="eastAsia" w:ascii="仿宋_GB2312" w:eastAsia="仿宋_GB2312"/>
          <w:sz w:val="32"/>
          <w:szCs w:val="32"/>
        </w:rPr>
        <w:t>事务（20</w:t>
      </w:r>
      <w:r>
        <w:rPr>
          <w:rFonts w:hint="eastAsia" w:ascii="仿宋_GB2312" w:eastAsia="仿宋_GB2312"/>
          <w:sz w:val="32"/>
          <w:szCs w:val="32"/>
          <w:lang w:val="en-US" w:eastAsia="zh-CN"/>
        </w:rPr>
        <w:t>801</w:t>
      </w:r>
      <w:r>
        <w:rPr>
          <w:rFonts w:hint="eastAsia" w:ascii="仿宋_GB2312" w:eastAsia="仿宋_GB2312"/>
          <w:sz w:val="32"/>
          <w:szCs w:val="32"/>
        </w:rPr>
        <w:t>）</w:t>
      </w:r>
      <w:r>
        <w:rPr>
          <w:rFonts w:hint="eastAsia" w:ascii="仿宋_GB2312" w:eastAsia="仿宋_GB2312"/>
          <w:sz w:val="32"/>
          <w:szCs w:val="32"/>
          <w:lang w:eastAsia="zh-CN"/>
        </w:rPr>
        <w:t>其他</w:t>
      </w:r>
      <w:r>
        <w:rPr>
          <w:rFonts w:hint="eastAsia" w:ascii="仿宋_GB2312" w:eastAsia="仿宋_GB2312"/>
          <w:sz w:val="32"/>
          <w:szCs w:val="32"/>
        </w:rPr>
        <w:t>人力资源</w:t>
      </w:r>
      <w:r>
        <w:rPr>
          <w:rFonts w:hint="eastAsia" w:ascii="仿宋_GB2312" w:eastAsia="仿宋_GB2312"/>
          <w:sz w:val="32"/>
          <w:szCs w:val="32"/>
          <w:lang w:val="en-US" w:eastAsia="zh-CN"/>
        </w:rPr>
        <w:t>和社会保障管理事务</w:t>
      </w:r>
      <w:r>
        <w:rPr>
          <w:rFonts w:hint="eastAsia" w:ascii="仿宋_GB2312" w:eastAsia="仿宋_GB2312"/>
          <w:sz w:val="32"/>
          <w:szCs w:val="32"/>
        </w:rPr>
        <w:t>支出（20</w:t>
      </w:r>
      <w:r>
        <w:rPr>
          <w:rFonts w:hint="eastAsia" w:ascii="仿宋_GB2312" w:eastAsia="仿宋_GB2312"/>
          <w:sz w:val="32"/>
          <w:szCs w:val="32"/>
          <w:lang w:val="en-US" w:eastAsia="zh-CN"/>
        </w:rPr>
        <w:t>80199</w:t>
      </w:r>
      <w:r>
        <w:rPr>
          <w:rFonts w:hint="eastAsia" w:ascii="仿宋_GB2312" w:eastAsia="仿宋_GB2312"/>
          <w:sz w:val="32"/>
          <w:szCs w:val="32"/>
        </w:rPr>
        <w:t>）: 是指三支一扶人员一般性支出。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10.社会保障和就业（208）行政事业单位离退休（20805）机关事业单位基本养老保险缴费支出（2080505）: 指单位职工养老保险缴费支出。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eastAsia="zh-CN"/>
        </w:rPr>
        <w:t>卫生健康</w:t>
      </w:r>
      <w:r>
        <w:rPr>
          <w:rFonts w:hint="eastAsia" w:ascii="仿宋_GB2312" w:eastAsia="仿宋_GB2312"/>
          <w:sz w:val="32"/>
          <w:szCs w:val="32"/>
        </w:rPr>
        <w:t>（210）基层</w:t>
      </w:r>
      <w:r>
        <w:rPr>
          <w:rFonts w:hint="eastAsia" w:ascii="仿宋_GB2312" w:eastAsia="仿宋_GB2312"/>
          <w:sz w:val="32"/>
          <w:szCs w:val="32"/>
          <w:lang w:eastAsia="zh-CN"/>
        </w:rPr>
        <w:t>卫生健康</w:t>
      </w:r>
      <w:r>
        <w:rPr>
          <w:rFonts w:hint="eastAsia" w:ascii="仿宋_GB2312" w:eastAsia="仿宋_GB2312"/>
          <w:sz w:val="32"/>
          <w:szCs w:val="32"/>
        </w:rPr>
        <w:t>机构（21003）乡镇卫生院（2100302）</w:t>
      </w:r>
      <w:r>
        <w:rPr>
          <w:rFonts w:hint="eastAsia" w:ascii="仿宋_GB2312" w:eastAsia="仿宋_GB2312"/>
          <w:sz w:val="32"/>
          <w:szCs w:val="32"/>
          <w:lang w:eastAsia="zh-CN"/>
        </w:rPr>
        <w:t>：</w:t>
      </w:r>
      <w:r>
        <w:rPr>
          <w:rFonts w:hint="eastAsia" w:ascii="仿宋_GB2312" w:eastAsia="仿宋_GB2312"/>
          <w:sz w:val="32"/>
          <w:szCs w:val="32"/>
        </w:rPr>
        <w:t>指为保障机构正常运转、完成日常工作任务而发生的人员支出和公用支出。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eastAsia="zh-CN"/>
        </w:rPr>
        <w:t>卫生健康</w:t>
      </w:r>
      <w:r>
        <w:rPr>
          <w:rFonts w:hint="eastAsia" w:ascii="仿宋_GB2312" w:eastAsia="仿宋_GB2312"/>
          <w:sz w:val="32"/>
          <w:szCs w:val="32"/>
        </w:rPr>
        <w:t>（210）基层</w:t>
      </w:r>
      <w:r>
        <w:rPr>
          <w:rFonts w:hint="eastAsia" w:ascii="仿宋_GB2312" w:eastAsia="仿宋_GB2312"/>
          <w:sz w:val="32"/>
          <w:szCs w:val="32"/>
          <w:lang w:eastAsia="zh-CN"/>
        </w:rPr>
        <w:t>卫生健康</w:t>
      </w:r>
      <w:r>
        <w:rPr>
          <w:rFonts w:hint="eastAsia" w:ascii="仿宋_GB2312" w:eastAsia="仿宋_GB2312"/>
          <w:sz w:val="32"/>
          <w:szCs w:val="32"/>
        </w:rPr>
        <w:t>机构（21003）</w:t>
      </w:r>
      <w:r>
        <w:rPr>
          <w:rFonts w:hint="eastAsia" w:ascii="仿宋_GB2312" w:eastAsia="仿宋_GB2312"/>
          <w:sz w:val="32"/>
          <w:szCs w:val="32"/>
          <w:lang w:eastAsia="zh-CN"/>
        </w:rPr>
        <w:t>其他</w:t>
      </w:r>
      <w:r>
        <w:rPr>
          <w:rFonts w:hint="eastAsia" w:ascii="仿宋_GB2312" w:eastAsia="仿宋_GB2312"/>
          <w:sz w:val="32"/>
          <w:szCs w:val="32"/>
        </w:rPr>
        <w:t>基层</w:t>
      </w:r>
      <w:r>
        <w:rPr>
          <w:rFonts w:hint="eastAsia" w:ascii="仿宋_GB2312" w:eastAsia="仿宋_GB2312"/>
          <w:sz w:val="32"/>
          <w:szCs w:val="32"/>
          <w:lang w:eastAsia="zh-CN"/>
        </w:rPr>
        <w:t>卫生健康</w:t>
      </w:r>
      <w:r>
        <w:rPr>
          <w:rFonts w:hint="eastAsia" w:ascii="仿宋_GB2312" w:eastAsia="仿宋_GB2312"/>
          <w:sz w:val="32"/>
          <w:szCs w:val="32"/>
        </w:rPr>
        <w:t>机构支出（2100399）</w:t>
      </w:r>
      <w:r>
        <w:rPr>
          <w:rFonts w:hint="eastAsia" w:ascii="仿宋_GB2312" w:eastAsia="仿宋_GB2312"/>
          <w:sz w:val="32"/>
          <w:szCs w:val="32"/>
          <w:lang w:eastAsia="zh-CN"/>
        </w:rPr>
        <w:t>：</w:t>
      </w:r>
      <w:r>
        <w:rPr>
          <w:rFonts w:hint="eastAsia" w:ascii="仿宋_GB2312" w:eastAsia="仿宋_GB2312"/>
          <w:sz w:val="32"/>
          <w:szCs w:val="32"/>
        </w:rPr>
        <w:t>指单位实施国家基本药物制度支出。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ascii="仿宋_GB2312" w:eastAsia="仿宋_GB2312"/>
          <w:sz w:val="32"/>
          <w:szCs w:val="32"/>
          <w:lang w:eastAsia="zh-CN"/>
        </w:rPr>
        <w:t>卫生健康</w:t>
      </w:r>
      <w:r>
        <w:rPr>
          <w:rFonts w:hint="eastAsia" w:ascii="仿宋_GB2312" w:eastAsia="仿宋_GB2312"/>
          <w:sz w:val="32"/>
          <w:szCs w:val="32"/>
        </w:rPr>
        <w:t>（210）公共卫生（21004）基本公共卫生服务（2100408）</w:t>
      </w:r>
      <w:r>
        <w:rPr>
          <w:rFonts w:hint="eastAsia" w:ascii="仿宋_GB2312" w:eastAsia="仿宋_GB2312"/>
          <w:sz w:val="32"/>
          <w:szCs w:val="32"/>
          <w:lang w:eastAsia="zh-CN"/>
        </w:rPr>
        <w:t>：</w:t>
      </w:r>
      <w:r>
        <w:rPr>
          <w:rFonts w:hint="eastAsia" w:ascii="仿宋_GB2312" w:eastAsia="仿宋_GB2312"/>
          <w:sz w:val="32"/>
          <w:szCs w:val="32"/>
        </w:rPr>
        <w:t>指单位实施基本公共卫生服务支出。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14、</w:t>
      </w:r>
      <w:r>
        <w:rPr>
          <w:rFonts w:hint="eastAsia" w:ascii="仿宋_GB2312" w:eastAsia="仿宋_GB2312"/>
          <w:sz w:val="32"/>
          <w:szCs w:val="32"/>
          <w:lang w:eastAsia="zh-CN"/>
        </w:rPr>
        <w:t>卫生健康</w:t>
      </w:r>
      <w:r>
        <w:rPr>
          <w:rFonts w:hint="eastAsia" w:ascii="仿宋_GB2312" w:eastAsia="仿宋_GB2312"/>
          <w:sz w:val="32"/>
          <w:szCs w:val="32"/>
        </w:rPr>
        <w:t>（210）行政事业单位医疗（21011）事业单位医疗（2101102）</w:t>
      </w:r>
      <w:r>
        <w:rPr>
          <w:rFonts w:hint="eastAsia" w:ascii="仿宋_GB2312" w:eastAsia="仿宋_GB2312"/>
          <w:sz w:val="32"/>
          <w:szCs w:val="32"/>
          <w:lang w:eastAsia="zh-CN"/>
        </w:rPr>
        <w:t>：</w:t>
      </w:r>
      <w:r>
        <w:rPr>
          <w:rFonts w:hint="eastAsia" w:ascii="仿宋_GB2312" w:eastAsia="仿宋_GB2312"/>
          <w:sz w:val="32"/>
          <w:szCs w:val="32"/>
        </w:rPr>
        <w:t>指单位基本医疗保险服务支出。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15、住房保障支出（221）住房改革支出（22102）住房公积金（2210201）</w:t>
      </w:r>
      <w:r>
        <w:rPr>
          <w:rFonts w:hint="eastAsia" w:ascii="仿宋_GB2312" w:eastAsia="仿宋_GB2312"/>
          <w:sz w:val="32"/>
          <w:szCs w:val="32"/>
          <w:lang w:eastAsia="zh-CN"/>
        </w:rPr>
        <w:t>：</w:t>
      </w:r>
      <w:r>
        <w:rPr>
          <w:rFonts w:hint="eastAsia" w:ascii="仿宋_GB2312" w:eastAsia="仿宋_GB2312"/>
          <w:sz w:val="32"/>
          <w:szCs w:val="32"/>
        </w:rPr>
        <w:t>指单位保障住房性支出。</w:t>
      </w:r>
    </w:p>
    <w:p>
      <w:pPr>
        <w:pStyle w:val="23"/>
        <w:spacing w:line="560" w:lineRule="exact"/>
        <w:ind w:firstLine="640" w:firstLineChars="200"/>
        <w:rPr>
          <w:rFonts w:ascii="仿宋_GB2312" w:eastAsia="仿宋_GB2312"/>
          <w:sz w:val="32"/>
          <w:szCs w:val="32"/>
        </w:rPr>
      </w:pPr>
      <w:bookmarkStart w:id="57" w:name="_Toc15396614"/>
      <w:bookmarkStart w:id="58"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5"/>
          <w:rFonts w:ascii="黑体" w:hAnsi="黑体"/>
          <w:b w:val="0"/>
        </w:rPr>
      </w:pPr>
      <w:r>
        <w:rPr>
          <w:rFonts w:hint="eastAsia" w:ascii="黑体" w:hAnsi="黑体" w:eastAsia="黑体"/>
          <w:color w:val="000000"/>
          <w:sz w:val="44"/>
          <w:szCs w:val="44"/>
        </w:rPr>
        <w:t>第</w:t>
      </w:r>
      <w:r>
        <w:rPr>
          <w:rStyle w:val="25"/>
          <w:rFonts w:hint="eastAsia" w:ascii="黑体" w:hAnsi="黑体" w:eastAsia="黑体"/>
        </w:rPr>
        <w:t>四部分 附件</w:t>
      </w:r>
      <w:bookmarkEnd w:id="57"/>
    </w:p>
    <w:p>
      <w:pPr>
        <w:spacing w:line="600" w:lineRule="exact"/>
        <w:jc w:val="center"/>
        <w:outlineLvl w:val="0"/>
        <w:rPr>
          <w:rStyle w:val="25"/>
        </w:rPr>
      </w:pPr>
    </w:p>
    <w:p>
      <w:pPr>
        <w:pStyle w:val="3"/>
        <w:rPr>
          <w:rStyle w:val="25"/>
          <w:rFonts w:hint="eastAsia" w:ascii="仿宋" w:hAnsi="仿宋" w:eastAsia="仿宋"/>
          <w:b/>
          <w:bCs/>
        </w:rPr>
      </w:pPr>
      <w:bookmarkStart w:id="59" w:name="_Toc15396615"/>
      <w:r>
        <w:rPr>
          <w:rStyle w:val="25"/>
          <w:rFonts w:hint="eastAsia" w:ascii="仿宋" w:hAnsi="仿宋" w:eastAsia="仿宋"/>
          <w:b/>
          <w:bCs/>
        </w:rPr>
        <w:t>附件1</w:t>
      </w:r>
      <w:bookmarkEnd w:id="59"/>
    </w:p>
    <w:p>
      <w:pPr>
        <w:widowControl/>
        <w:spacing w:line="578" w:lineRule="exact"/>
        <w:jc w:val="center"/>
        <w:rPr>
          <w:rFonts w:hint="default" w:ascii="方正小标宋简体" w:hAnsi="黑体" w:eastAsia="方正小标宋简体" w:cs="黑体"/>
          <w:bCs/>
          <w:color w:val="auto"/>
          <w:sz w:val="44"/>
          <w:szCs w:val="44"/>
          <w:lang w:val="en-US" w:eastAsia="zh-CN"/>
        </w:rPr>
      </w:pPr>
      <w:r>
        <w:rPr>
          <w:rFonts w:hint="eastAsia" w:ascii="方正小标宋简体" w:hAnsi="黑体" w:eastAsia="方正小标宋简体" w:cs="黑体"/>
          <w:bCs/>
          <w:color w:val="auto"/>
          <w:sz w:val="44"/>
          <w:szCs w:val="44"/>
          <w:lang w:val="en-US" w:eastAsia="zh-CN"/>
        </w:rPr>
        <w:t>达州市达川区虎让乡卫生院</w:t>
      </w:r>
    </w:p>
    <w:p>
      <w:pPr>
        <w:ind w:firstLine="1320" w:firstLineChars="300"/>
      </w:pPr>
      <w:r>
        <w:rPr>
          <w:rFonts w:hint="eastAsia" w:ascii="方正小标宋简体" w:hAnsi="黑体" w:eastAsia="方正小标宋简体" w:cs="黑体"/>
          <w:bCs/>
          <w:color w:val="auto"/>
          <w:sz w:val="44"/>
          <w:szCs w:val="44"/>
        </w:rPr>
        <w:t>20</w:t>
      </w:r>
      <w:r>
        <w:rPr>
          <w:rFonts w:hint="eastAsia" w:ascii="方正小标宋简体" w:hAnsi="黑体" w:eastAsia="方正小标宋简体" w:cs="黑体"/>
          <w:bCs/>
          <w:color w:val="auto"/>
          <w:sz w:val="44"/>
          <w:szCs w:val="44"/>
          <w:lang w:val="en-US" w:eastAsia="zh-CN"/>
        </w:rPr>
        <w:t>20</w:t>
      </w:r>
      <w:r>
        <w:rPr>
          <w:rFonts w:hint="eastAsia" w:ascii="方正小标宋简体" w:hAnsi="黑体" w:eastAsia="方正小标宋简体" w:cs="黑体"/>
          <w:bCs/>
          <w:color w:val="auto"/>
          <w:sz w:val="44"/>
          <w:szCs w:val="44"/>
        </w:rPr>
        <w:t>年整体支出绩效报告</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bookmarkStart w:id="60" w:name="_Toc15396617"/>
      <w:r>
        <w:rPr>
          <w:rFonts w:hint="eastAsia" w:ascii="黑体" w:hAnsi="黑体" w:eastAsia="黑体" w:cs="宋体"/>
          <w:color w:val="auto"/>
          <w:kern w:val="0"/>
          <w:sz w:val="32"/>
          <w:szCs w:val="32"/>
          <w:shd w:val="clear" w:color="auto" w:fill="FFFFFF"/>
        </w:rPr>
        <w:t>一、部门概况</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auto"/>
          <w:kern w:val="0"/>
          <w:sz w:val="32"/>
          <w:szCs w:val="32"/>
          <w:shd w:val="clear" w:color="auto" w:fill="FFFFFF"/>
        </w:rPr>
      </w:pPr>
      <w:r>
        <w:rPr>
          <w:rFonts w:hint="eastAsia" w:ascii="楷体_GB2312" w:hAnsi="宋体" w:eastAsia="楷体_GB2312" w:cs="宋体"/>
          <w:b/>
          <w:color w:val="auto"/>
          <w:kern w:val="0"/>
          <w:sz w:val="32"/>
          <w:szCs w:val="32"/>
          <w:shd w:val="clear" w:color="auto" w:fill="FFFFFF"/>
        </w:rPr>
        <w:t>（一）机构组成</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达州市</w:t>
      </w:r>
      <w:r>
        <w:rPr>
          <w:rFonts w:hint="eastAsia" w:ascii="仿宋_GB2312" w:hAnsi="仿宋_GB2312" w:eastAsia="仿宋_GB2312" w:cs="仿宋_GB2312"/>
          <w:color w:val="auto"/>
          <w:kern w:val="2"/>
          <w:sz w:val="32"/>
          <w:szCs w:val="32"/>
          <w:lang w:val="en-US" w:eastAsia="zh-CN" w:bidi="ar"/>
        </w:rPr>
        <w:t>达</w:t>
      </w:r>
      <w:r>
        <w:rPr>
          <w:rFonts w:hint="eastAsia" w:ascii="仿宋_GB2312" w:hAnsi="仿宋_GB2312" w:eastAsia="仿宋_GB2312" w:cs="仿宋_GB2312"/>
          <w:color w:val="auto"/>
          <w:kern w:val="2"/>
          <w:sz w:val="32"/>
          <w:szCs w:val="32"/>
          <w:lang w:val="zh-CN" w:eastAsia="zh-CN" w:bidi="ar"/>
        </w:rPr>
        <w:t>川区</w:t>
      </w:r>
      <w:r>
        <w:rPr>
          <w:rFonts w:hint="eastAsia" w:ascii="仿宋_GB2312" w:hAnsi="仿宋_GB2312" w:eastAsia="仿宋_GB2312" w:cs="仿宋_GB2312"/>
          <w:color w:val="auto"/>
          <w:kern w:val="2"/>
          <w:sz w:val="32"/>
          <w:szCs w:val="32"/>
          <w:lang w:val="en-US" w:eastAsia="zh-CN" w:bidi="ar"/>
        </w:rPr>
        <w:t>虎让乡</w:t>
      </w:r>
      <w:r>
        <w:rPr>
          <w:rFonts w:hint="eastAsia" w:ascii="仿宋_GB2312" w:hAnsi="仿宋_GB2312" w:eastAsia="仿宋_GB2312" w:cs="仿宋_GB2312"/>
          <w:color w:val="auto"/>
          <w:kern w:val="2"/>
          <w:sz w:val="32"/>
          <w:szCs w:val="32"/>
          <w:lang w:val="zh-CN" w:eastAsia="zh-CN" w:bidi="ar"/>
        </w:rPr>
        <w:t>生院位于</w:t>
      </w:r>
      <w:r>
        <w:rPr>
          <w:rFonts w:hint="eastAsia" w:ascii="仿宋_GB2312" w:hAnsi="仿宋_GB2312" w:eastAsia="仿宋_GB2312" w:cs="仿宋_GB2312"/>
          <w:color w:val="auto"/>
          <w:kern w:val="2"/>
          <w:sz w:val="32"/>
          <w:szCs w:val="32"/>
          <w:lang w:val="en-US" w:eastAsia="zh-CN" w:bidi="ar"/>
        </w:rPr>
        <w:t>达川</w:t>
      </w:r>
      <w:r>
        <w:rPr>
          <w:rFonts w:hint="eastAsia" w:ascii="仿宋_GB2312" w:hAnsi="仿宋_GB2312" w:eastAsia="仿宋_GB2312" w:cs="仿宋_GB2312"/>
          <w:color w:val="auto"/>
          <w:kern w:val="2"/>
          <w:sz w:val="32"/>
          <w:szCs w:val="32"/>
          <w:lang w:val="zh-CN" w:eastAsia="zh-CN" w:bidi="ar"/>
        </w:rPr>
        <w:t>区</w:t>
      </w:r>
      <w:r>
        <w:rPr>
          <w:rFonts w:hint="eastAsia" w:ascii="仿宋_GB2312" w:hAnsi="仿宋_GB2312" w:eastAsia="仿宋_GB2312" w:cs="仿宋_GB2312"/>
          <w:color w:val="auto"/>
          <w:kern w:val="2"/>
          <w:sz w:val="32"/>
          <w:szCs w:val="32"/>
          <w:lang w:val="en-US" w:eastAsia="zh-CN" w:bidi="ar"/>
        </w:rPr>
        <w:t>虎让乡</w:t>
      </w:r>
      <w:r>
        <w:rPr>
          <w:rFonts w:hint="eastAsia" w:ascii="仿宋_GB2312" w:hAnsi="仿宋_GB2312" w:eastAsia="仿宋_GB2312" w:cs="仿宋_GB2312"/>
          <w:color w:val="auto"/>
          <w:kern w:val="2"/>
          <w:sz w:val="32"/>
          <w:szCs w:val="32"/>
          <w:lang w:val="zh-CN" w:eastAsia="zh-CN" w:bidi="ar"/>
        </w:rPr>
        <w:t>街</w:t>
      </w:r>
      <w:r>
        <w:rPr>
          <w:rFonts w:hint="eastAsia" w:ascii="仿宋_GB2312" w:hAnsi="仿宋_GB2312" w:eastAsia="仿宋_GB2312" w:cs="仿宋_GB2312"/>
          <w:color w:val="auto"/>
          <w:kern w:val="2"/>
          <w:sz w:val="32"/>
          <w:szCs w:val="32"/>
          <w:lang w:val="en-US" w:eastAsia="zh-CN" w:bidi="ar"/>
        </w:rPr>
        <w:t>道</w:t>
      </w:r>
      <w:r>
        <w:rPr>
          <w:rFonts w:hint="eastAsia" w:ascii="仿宋_GB2312" w:hAnsi="仿宋_GB2312" w:eastAsia="仿宋_GB2312" w:cs="仿宋_GB2312"/>
          <w:color w:val="auto"/>
          <w:kern w:val="2"/>
          <w:sz w:val="32"/>
          <w:szCs w:val="32"/>
          <w:lang w:val="zh-CN" w:eastAsia="zh-CN" w:bidi="ar"/>
        </w:rPr>
        <w:t>，2013年12月20日取得经中共达州市</w:t>
      </w:r>
      <w:r>
        <w:rPr>
          <w:rFonts w:hint="eastAsia" w:ascii="仿宋_GB2312" w:hAnsi="仿宋_GB2312" w:eastAsia="仿宋_GB2312" w:cs="仿宋_GB2312"/>
          <w:color w:val="auto"/>
          <w:kern w:val="2"/>
          <w:sz w:val="32"/>
          <w:szCs w:val="32"/>
          <w:lang w:val="en-US" w:eastAsia="zh-CN" w:bidi="ar"/>
        </w:rPr>
        <w:t>达</w:t>
      </w:r>
      <w:r>
        <w:rPr>
          <w:rFonts w:hint="eastAsia" w:ascii="仿宋_GB2312" w:hAnsi="仿宋_GB2312" w:eastAsia="仿宋_GB2312" w:cs="仿宋_GB2312"/>
          <w:color w:val="auto"/>
          <w:kern w:val="2"/>
          <w:sz w:val="32"/>
          <w:szCs w:val="32"/>
          <w:lang w:val="zh-CN" w:eastAsia="zh-CN" w:bidi="ar"/>
        </w:rPr>
        <w:t>川区委机构编制委员会办公室颁发的统一社会信用代码证书，信用代码为：125114</w:t>
      </w:r>
      <w:r>
        <w:rPr>
          <w:rFonts w:hint="eastAsia" w:ascii="仿宋_GB2312" w:hAnsi="仿宋_GB2312" w:eastAsia="仿宋_GB2312" w:cs="仿宋_GB2312"/>
          <w:color w:val="auto"/>
          <w:kern w:val="2"/>
          <w:sz w:val="32"/>
          <w:szCs w:val="32"/>
          <w:lang w:val="en-US" w:eastAsia="zh-CN" w:bidi="ar"/>
        </w:rPr>
        <w:t>21G56738721</w:t>
      </w:r>
      <w:r>
        <w:rPr>
          <w:rFonts w:hint="eastAsia" w:ascii="仿宋_GB2312" w:hAnsi="仿宋_GB2312" w:eastAsia="仿宋_GB2312" w:cs="仿宋_GB2312"/>
          <w:color w:val="auto"/>
          <w:kern w:val="2"/>
          <w:sz w:val="32"/>
          <w:szCs w:val="32"/>
          <w:lang w:val="zh-CN" w:eastAsia="zh-CN" w:bidi="ar"/>
        </w:rPr>
        <w:t>，机构负责人为</w:t>
      </w:r>
      <w:bookmarkStart w:id="61" w:name="_Toc530497932"/>
      <w:r>
        <w:rPr>
          <w:rFonts w:hint="eastAsia" w:ascii="仿宋_GB2312" w:hAnsi="仿宋_GB2312" w:eastAsia="仿宋_GB2312" w:cs="仿宋_GB2312"/>
          <w:color w:val="auto"/>
          <w:kern w:val="2"/>
          <w:sz w:val="32"/>
          <w:szCs w:val="32"/>
          <w:lang w:val="en-US" w:eastAsia="zh-CN" w:bidi="ar"/>
        </w:rPr>
        <w:t>桂成剑</w:t>
      </w:r>
      <w:r>
        <w:rPr>
          <w:rFonts w:hint="eastAsia" w:ascii="仿宋_GB2312" w:hAnsi="仿宋_GB2312" w:eastAsia="仿宋_GB2312" w:cs="仿宋_GB2312"/>
          <w:color w:val="auto"/>
          <w:kern w:val="2"/>
          <w:sz w:val="32"/>
          <w:szCs w:val="32"/>
          <w:lang w:val="zh-CN" w:eastAsia="zh-CN" w:bidi="ar"/>
        </w:rPr>
        <w:t>。</w:t>
      </w:r>
      <w:bookmarkEnd w:id="61"/>
      <w:r>
        <w:rPr>
          <w:rFonts w:hint="eastAsia" w:ascii="仿宋_GB2312" w:hAnsi="仿宋_GB2312" w:eastAsia="仿宋_GB2312" w:cs="仿宋_GB2312"/>
          <w:color w:val="auto"/>
          <w:kern w:val="2"/>
          <w:sz w:val="32"/>
          <w:szCs w:val="32"/>
          <w:lang w:val="en-US" w:eastAsia="zh-CN" w:bidi="ar"/>
        </w:rPr>
        <w:t>达</w:t>
      </w:r>
      <w:r>
        <w:rPr>
          <w:rFonts w:hint="eastAsia" w:ascii="仿宋_GB2312" w:hAnsi="仿宋_GB2312" w:eastAsia="仿宋_GB2312" w:cs="仿宋_GB2312"/>
          <w:color w:val="auto"/>
          <w:kern w:val="2"/>
          <w:sz w:val="32"/>
          <w:szCs w:val="32"/>
          <w:lang w:val="zh-CN" w:eastAsia="zh-CN" w:bidi="ar"/>
        </w:rPr>
        <w:t>川区</w:t>
      </w:r>
      <w:r>
        <w:rPr>
          <w:rFonts w:hint="eastAsia" w:ascii="仿宋_GB2312" w:hAnsi="仿宋_GB2312" w:eastAsia="仿宋_GB2312" w:cs="仿宋_GB2312"/>
          <w:color w:val="auto"/>
          <w:kern w:val="2"/>
          <w:sz w:val="32"/>
          <w:szCs w:val="32"/>
          <w:lang w:val="en-US" w:eastAsia="zh-CN" w:bidi="ar"/>
        </w:rPr>
        <w:t>虎让乡</w:t>
      </w:r>
      <w:r>
        <w:rPr>
          <w:rFonts w:hint="eastAsia" w:ascii="仿宋_GB2312" w:hAnsi="仿宋_GB2312" w:eastAsia="仿宋_GB2312" w:cs="仿宋_GB2312"/>
          <w:color w:val="auto"/>
          <w:kern w:val="2"/>
          <w:sz w:val="32"/>
          <w:szCs w:val="32"/>
          <w:lang w:val="zh-CN" w:eastAsia="zh-CN" w:bidi="ar"/>
        </w:rPr>
        <w:t>卫生院未设下属二级预算单位。科室开设有内科、门诊外科、中医科、康复理疗科、预防接种门诊、公共卫生科等科室。</w:t>
      </w:r>
    </w:p>
    <w:p>
      <w:pPr>
        <w:widowControl/>
        <w:numPr>
          <w:ilvl w:val="0"/>
          <w:numId w:val="5"/>
        </w:numPr>
        <w:adjustRightInd w:val="0"/>
        <w:snapToGrid w:val="0"/>
        <w:spacing w:line="580" w:lineRule="exact"/>
        <w:ind w:firstLine="643" w:firstLineChars="200"/>
        <w:contextualSpacing/>
        <w:jc w:val="left"/>
        <w:rPr>
          <w:rFonts w:hint="eastAsia" w:ascii="楷体_GB2312" w:hAnsi="宋体" w:eastAsia="楷体_GB2312" w:cs="宋体"/>
          <w:b/>
          <w:color w:val="auto"/>
          <w:kern w:val="0"/>
          <w:sz w:val="32"/>
          <w:szCs w:val="32"/>
          <w:shd w:val="clear" w:color="auto" w:fill="FFFFFF"/>
        </w:rPr>
      </w:pPr>
      <w:r>
        <w:rPr>
          <w:rFonts w:hint="eastAsia" w:ascii="楷体_GB2312" w:hAnsi="宋体" w:eastAsia="楷体_GB2312" w:cs="宋体"/>
          <w:b/>
          <w:color w:val="auto"/>
          <w:kern w:val="0"/>
          <w:sz w:val="32"/>
          <w:szCs w:val="32"/>
          <w:shd w:val="clear" w:color="auto" w:fill="FFFFFF"/>
        </w:rPr>
        <w:t>机构职能</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我院应承担本乡的各项卫生健康服务和一定的卫健行政管理工作，具体工作职责如下：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en-US" w:eastAsia="zh-CN" w:bidi="ar"/>
        </w:rPr>
        <w:t>A.</w:t>
      </w:r>
      <w:r>
        <w:rPr>
          <w:rFonts w:hint="eastAsia" w:ascii="仿宋_GB2312" w:hAnsi="仿宋_GB2312" w:eastAsia="仿宋_GB2312" w:cs="仿宋_GB2312"/>
          <w:color w:val="auto"/>
          <w:kern w:val="2"/>
          <w:sz w:val="32"/>
          <w:szCs w:val="32"/>
          <w:lang w:val="zh-CN" w:eastAsia="zh-CN" w:bidi="ar"/>
        </w:rPr>
        <w:t xml:space="preserve">提供公共卫生服务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1、承担本乡农村居民健康档案规范建档指导、管理及服务。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2、普及卫生保健常识，在重点人群和重点场所开展健康教育，帮助居民形成有利于维护和增进健康的行为方式；指导开展爱国卫生运动。</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3、 提供并组织实施本乡预防接种服务，落实国家免疫规划。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4、及时发现、登记并报告本乡内发现的传染病病例和疑似病例，参与现场疫情处理。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5、开展新生儿访视及儿童保健系统管理，进行体格检查和生长发育监测及评价，开展健康指导。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6、开展孕产妇保健系统管理和产后访视，进行一般体格检查及孕期营养、心理等健康指导。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7、对本乡65岁及以上老年人进行登记管理，进行健康危险因素调查和一般体格检查，开展健康指导。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8、对高血压、糖尿病等慢性病高危人群进行指导，对确诊高血压、糖尿病等慢性病病例进行登记管理、定期随访和健康指导。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 9、对本乡严重精神障碍患者进行登记管理、治疗随访和康复指导。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 10、负责本乡内突发公共卫生事件的报告并协助处理。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 11、做好卫健行政部门规定的其他公共卫生服务。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en-US" w:eastAsia="zh-CN" w:bidi="ar"/>
        </w:rPr>
        <w:t>B.</w:t>
      </w:r>
      <w:r>
        <w:rPr>
          <w:rFonts w:hint="eastAsia" w:ascii="仿宋_GB2312" w:hAnsi="仿宋_GB2312" w:eastAsia="仿宋_GB2312" w:cs="仿宋_GB2312"/>
          <w:color w:val="auto"/>
          <w:kern w:val="2"/>
          <w:sz w:val="32"/>
          <w:szCs w:val="32"/>
          <w:lang w:val="zh-CN" w:eastAsia="zh-CN" w:bidi="ar"/>
        </w:rPr>
        <w:t xml:space="preserve">提供基本医疗服务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1、使用农村适宜医疗技术和中医药技术，正确处理常见病、多发病，对疑难重症进行恰当的处理并转诊。承担乡村现场应急救护、转诊服务和康复服务。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2、能完成外科的止血、缝合、包扎、等处置。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3、健全消毒、隔离制度，遵守无菌操作规程，加强医疗质量管理。做好医疗废物处理和污水、污物无害化处理。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4、执行国家基本药物制度药品集中采购、零差率销售等政策，为实施一体化管理的村卫生室统一代购药品。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5、提供政府卫</w:t>
      </w:r>
      <w:r>
        <w:rPr>
          <w:rFonts w:hint="eastAsia" w:ascii="仿宋_GB2312" w:hAnsi="仿宋_GB2312" w:eastAsia="仿宋_GB2312" w:cs="仿宋_GB2312"/>
          <w:color w:val="auto"/>
          <w:kern w:val="2"/>
          <w:sz w:val="32"/>
          <w:szCs w:val="32"/>
          <w:lang w:val="en-US" w:eastAsia="zh-CN" w:bidi="ar"/>
        </w:rPr>
        <w:t>健</w:t>
      </w:r>
      <w:r>
        <w:rPr>
          <w:rFonts w:hint="eastAsia" w:ascii="仿宋_GB2312" w:hAnsi="仿宋_GB2312" w:eastAsia="仿宋_GB2312" w:cs="仿宋_GB2312"/>
          <w:color w:val="auto"/>
          <w:kern w:val="2"/>
          <w:sz w:val="32"/>
          <w:szCs w:val="32"/>
          <w:lang w:val="zh-CN" w:eastAsia="zh-CN" w:bidi="ar"/>
        </w:rPr>
        <w:t xml:space="preserve">行政部门批准的其他适宜的医疗服务。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en-US" w:eastAsia="zh-CN" w:bidi="ar"/>
        </w:rPr>
        <w:t>C.</w:t>
      </w:r>
      <w:r>
        <w:rPr>
          <w:rFonts w:hint="eastAsia" w:ascii="仿宋_GB2312" w:hAnsi="仿宋_GB2312" w:eastAsia="仿宋_GB2312" w:cs="仿宋_GB2312"/>
          <w:color w:val="auto"/>
          <w:kern w:val="2"/>
          <w:sz w:val="32"/>
          <w:szCs w:val="32"/>
          <w:lang w:val="zh-CN" w:eastAsia="zh-CN" w:bidi="ar"/>
        </w:rPr>
        <w:t xml:space="preserve">承担公共卫生管理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1、对本乡内传染病防治、学校卫生、食品卫生、饮水卫生、职业卫生，以及村级预防保健工作进行指导、培训、考核与监督。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2、严格医</w:t>
      </w:r>
      <w:r>
        <w:rPr>
          <w:rFonts w:hint="eastAsia" w:ascii="仿宋_GB2312" w:hAnsi="仿宋_GB2312" w:eastAsia="仿宋_GB2312" w:cs="仿宋_GB2312"/>
          <w:color w:val="auto"/>
          <w:kern w:val="2"/>
          <w:sz w:val="32"/>
          <w:szCs w:val="32"/>
          <w:lang w:val="en-US" w:eastAsia="zh-CN" w:bidi="ar"/>
        </w:rPr>
        <w:t>保</w:t>
      </w:r>
      <w:r>
        <w:rPr>
          <w:rFonts w:hint="eastAsia" w:ascii="仿宋_GB2312" w:hAnsi="仿宋_GB2312" w:eastAsia="仿宋_GB2312" w:cs="仿宋_GB2312"/>
          <w:color w:val="auto"/>
          <w:kern w:val="2"/>
          <w:sz w:val="32"/>
          <w:szCs w:val="32"/>
          <w:lang w:val="zh-CN" w:eastAsia="zh-CN" w:bidi="ar"/>
        </w:rPr>
        <w:t xml:space="preserve">政策规定，履行定点医疗机构职责，做好有关的政策宣传、监督及服务工作。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3. 深入推进乡村卫生服务一体化管理，对村卫生室实行以行政、人员、业务、药品、财产为基本内容的“五统一”规范管理；负责村卫生室的技术指导和乡村医生培训等工作。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en-US" w:eastAsia="zh-CN" w:bidi="ar"/>
        </w:rPr>
        <w:t>D.</w:t>
      </w:r>
      <w:r>
        <w:rPr>
          <w:rFonts w:hint="eastAsia" w:ascii="仿宋_GB2312" w:hAnsi="仿宋_GB2312" w:eastAsia="仿宋_GB2312" w:cs="仿宋_GB2312"/>
          <w:color w:val="auto"/>
          <w:kern w:val="2"/>
          <w:sz w:val="32"/>
          <w:szCs w:val="32"/>
          <w:lang w:val="zh-CN" w:eastAsia="zh-CN" w:bidi="ar"/>
        </w:rPr>
        <w:t xml:space="preserve">卫健行政管理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1、在当地政府和上级卫</w:t>
      </w:r>
      <w:r>
        <w:rPr>
          <w:rFonts w:hint="eastAsia" w:ascii="仿宋_GB2312" w:hAnsi="仿宋_GB2312" w:eastAsia="仿宋_GB2312" w:cs="仿宋_GB2312"/>
          <w:color w:val="auto"/>
          <w:kern w:val="2"/>
          <w:sz w:val="32"/>
          <w:szCs w:val="32"/>
          <w:lang w:val="en-US" w:eastAsia="zh-CN" w:bidi="ar"/>
        </w:rPr>
        <w:t>健</w:t>
      </w:r>
      <w:r>
        <w:rPr>
          <w:rFonts w:hint="eastAsia" w:ascii="仿宋_GB2312" w:hAnsi="仿宋_GB2312" w:eastAsia="仿宋_GB2312" w:cs="仿宋_GB2312"/>
          <w:color w:val="auto"/>
          <w:kern w:val="2"/>
          <w:sz w:val="32"/>
          <w:szCs w:val="32"/>
          <w:lang w:val="zh-CN" w:eastAsia="zh-CN" w:bidi="ar"/>
        </w:rPr>
        <w:t xml:space="preserve">行政部门领导下，依据当地社会经济发展规划，协助制定和实施社区的初级卫生规划。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2、配合有关部门动员组织群众开展爱国卫生活动，逐步改善本乡卫生状况。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 xml:space="preserve">3、贯彻执行国家各种卫生法规，对本乡内有关行业实行监督管理。  </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zh-CN" w:eastAsia="zh-CN" w:bidi="ar"/>
        </w:rPr>
        <w:t>4、负责本乡内村级卫生服务站的管理和培训工作。</w:t>
      </w:r>
    </w:p>
    <w:p>
      <w:pPr>
        <w:widowControl/>
        <w:numPr>
          <w:ilvl w:val="0"/>
          <w:numId w:val="0"/>
        </w:numPr>
        <w:adjustRightInd w:val="0"/>
        <w:snapToGrid w:val="0"/>
        <w:spacing w:line="580" w:lineRule="exact"/>
        <w:contextualSpacing/>
        <w:jc w:val="left"/>
        <w:rPr>
          <w:rFonts w:hint="eastAsia" w:ascii="楷体_GB2312" w:hAnsi="宋体" w:eastAsia="楷体_GB2312" w:cs="宋体"/>
          <w:b/>
          <w:color w:val="auto"/>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仿宋_GB2312" w:hAnsi="宋体" w:cs="宋体"/>
          <w:color w:val="auto"/>
          <w:kern w:val="0"/>
          <w:sz w:val="32"/>
          <w:szCs w:val="32"/>
          <w:shd w:val="clear" w:color="auto" w:fill="FFFFFF"/>
        </w:rPr>
      </w:pPr>
      <w:r>
        <w:rPr>
          <w:rFonts w:hint="eastAsia" w:ascii="仿宋_GB2312" w:hAnsi="宋体" w:cs="宋体"/>
          <w:color w:val="auto"/>
          <w:kern w:val="0"/>
          <w:sz w:val="32"/>
          <w:szCs w:val="32"/>
          <w:shd w:val="clear" w:color="auto" w:fill="FFFFFF"/>
        </w:rPr>
        <w:t>（</w:t>
      </w:r>
      <w:r>
        <w:rPr>
          <w:rFonts w:hint="eastAsia" w:ascii="楷体_GB2312" w:hAnsi="宋体" w:eastAsia="楷体_GB2312" w:cs="宋体"/>
          <w:b/>
          <w:color w:val="auto"/>
          <w:kern w:val="0"/>
          <w:sz w:val="32"/>
          <w:szCs w:val="32"/>
          <w:shd w:val="clear" w:color="auto" w:fill="FFFFFF"/>
        </w:rPr>
        <w:t>三）人员概况</w:t>
      </w:r>
    </w:p>
    <w:p>
      <w:pPr>
        <w:spacing w:line="578" w:lineRule="exact"/>
        <w:ind w:firstLine="627" w:firstLineChars="196"/>
        <w:rPr>
          <w:rFonts w:hint="eastAsia" w:ascii="仿宋_GB2312" w:hAnsi="仿宋_GB2312" w:eastAsia="仿宋_GB2312" w:cs="仿宋_GB2312"/>
          <w:color w:val="auto"/>
          <w:kern w:val="2"/>
          <w:sz w:val="32"/>
          <w:szCs w:val="32"/>
          <w:lang w:val="zh-CN" w:eastAsia="zh-CN" w:bidi="ar"/>
        </w:rPr>
      </w:pPr>
      <w:r>
        <w:rPr>
          <w:rFonts w:hint="eastAsia" w:ascii="仿宋_GB2312" w:hAnsi="仿宋_GB2312" w:eastAsia="仿宋_GB2312" w:cs="仿宋_GB2312"/>
          <w:color w:val="auto"/>
          <w:kern w:val="2"/>
          <w:sz w:val="32"/>
          <w:szCs w:val="32"/>
          <w:lang w:val="en-US" w:eastAsia="zh-CN" w:bidi="ar"/>
        </w:rPr>
        <w:t>1、</w:t>
      </w:r>
      <w:r>
        <w:rPr>
          <w:rFonts w:hint="eastAsia" w:ascii="仿宋_GB2312" w:hAnsi="仿宋_GB2312" w:eastAsia="仿宋_GB2312" w:cs="仿宋_GB2312"/>
          <w:color w:val="auto"/>
          <w:kern w:val="2"/>
          <w:sz w:val="32"/>
          <w:szCs w:val="32"/>
          <w:lang w:val="zh-CN" w:eastAsia="zh-CN" w:bidi="ar"/>
        </w:rPr>
        <w:t>达川区虎让乡卫生院年末实有人数1</w:t>
      </w:r>
      <w:r>
        <w:rPr>
          <w:rFonts w:hint="eastAsia" w:ascii="仿宋_GB2312" w:hAnsi="仿宋_GB2312" w:eastAsia="仿宋_GB2312" w:cs="仿宋_GB2312"/>
          <w:color w:val="auto"/>
          <w:kern w:val="2"/>
          <w:sz w:val="32"/>
          <w:szCs w:val="32"/>
          <w:lang w:val="en-US" w:eastAsia="zh-CN" w:bidi="ar"/>
        </w:rPr>
        <w:t>5</w:t>
      </w:r>
      <w:r>
        <w:rPr>
          <w:rFonts w:hint="eastAsia" w:ascii="仿宋_GB2312" w:hAnsi="仿宋_GB2312" w:eastAsia="仿宋_GB2312" w:cs="仿宋_GB2312"/>
          <w:color w:val="auto"/>
          <w:kern w:val="2"/>
          <w:sz w:val="32"/>
          <w:szCs w:val="32"/>
          <w:lang w:val="zh-CN" w:eastAsia="zh-CN" w:bidi="ar"/>
        </w:rPr>
        <w:t>人，其中事业专技人员</w:t>
      </w:r>
      <w:r>
        <w:rPr>
          <w:rFonts w:hint="eastAsia" w:ascii="仿宋_GB2312" w:hAnsi="仿宋_GB2312" w:eastAsia="仿宋_GB2312" w:cs="仿宋_GB2312"/>
          <w:color w:val="auto"/>
          <w:kern w:val="2"/>
          <w:sz w:val="32"/>
          <w:szCs w:val="32"/>
          <w:lang w:val="en-US" w:eastAsia="zh-CN" w:bidi="ar"/>
        </w:rPr>
        <w:t>8</w:t>
      </w:r>
      <w:r>
        <w:rPr>
          <w:rFonts w:hint="eastAsia" w:ascii="仿宋_GB2312" w:hAnsi="仿宋_GB2312" w:eastAsia="仿宋_GB2312" w:cs="仿宋_GB2312"/>
          <w:color w:val="auto"/>
          <w:kern w:val="2"/>
          <w:sz w:val="32"/>
          <w:szCs w:val="32"/>
          <w:lang w:val="zh-CN" w:eastAsia="zh-CN" w:bidi="ar"/>
        </w:rPr>
        <w:t>人、临聘人员7人（其中三支一扶1人）；退休人员</w:t>
      </w:r>
      <w:r>
        <w:rPr>
          <w:rFonts w:hint="eastAsia" w:ascii="仿宋_GB2312" w:hAnsi="仿宋_GB2312" w:eastAsia="仿宋_GB2312" w:cs="仿宋_GB2312"/>
          <w:color w:val="auto"/>
          <w:kern w:val="2"/>
          <w:sz w:val="32"/>
          <w:szCs w:val="32"/>
          <w:lang w:val="en-US" w:eastAsia="zh-CN" w:bidi="ar"/>
        </w:rPr>
        <w:t>8</w:t>
      </w:r>
      <w:r>
        <w:rPr>
          <w:rFonts w:hint="eastAsia" w:ascii="仿宋_GB2312" w:hAnsi="仿宋_GB2312" w:eastAsia="仿宋_GB2312" w:cs="仿宋_GB2312"/>
          <w:color w:val="auto"/>
          <w:kern w:val="2"/>
          <w:sz w:val="32"/>
          <w:szCs w:val="32"/>
          <w:lang w:val="zh-CN" w:eastAsia="zh-CN" w:bidi="ar"/>
        </w:rPr>
        <w:t>人。</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2、机构人员当年变动情况及原因。</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2020年我中心属区财政局预算单位。2020年年末实有在职在编人数与上年持平，系2020年调入1 人；调离1人。</w:t>
      </w:r>
    </w:p>
    <w:p>
      <w:pPr>
        <w:widowControl/>
        <w:adjustRightInd w:val="0"/>
        <w:snapToGrid w:val="0"/>
        <w:spacing w:line="580" w:lineRule="exact"/>
        <w:ind w:firstLine="640" w:firstLineChars="200"/>
        <w:contextualSpacing/>
        <w:jc w:val="left"/>
        <w:rPr>
          <w:rFonts w:hint="eastAsia" w:ascii="黑体" w:hAnsi="宋体" w:eastAsia="黑体" w:cs="宋体"/>
          <w:color w:val="auto"/>
          <w:kern w:val="0"/>
          <w:sz w:val="32"/>
          <w:szCs w:val="32"/>
          <w:shd w:val="clear" w:color="auto" w:fill="FFFFFF"/>
        </w:rPr>
      </w:pPr>
      <w:r>
        <w:rPr>
          <w:rFonts w:hint="eastAsia" w:ascii="黑体" w:hAnsi="黑体" w:eastAsia="黑体" w:cs="宋体"/>
          <w:color w:val="auto"/>
          <w:kern w:val="0"/>
          <w:sz w:val="32"/>
          <w:szCs w:val="32"/>
          <w:shd w:val="clear" w:color="auto" w:fill="FFFFFF"/>
        </w:rPr>
        <w:t>二、部门财政资金收支情况</w:t>
      </w:r>
    </w:p>
    <w:p>
      <w:pPr>
        <w:spacing w:line="578" w:lineRule="exact"/>
        <w:ind w:firstLine="630" w:firstLineChars="196"/>
        <w:rPr>
          <w:rFonts w:eastAsia="方正楷体_GBK"/>
          <w:b/>
          <w:color w:val="auto"/>
          <w:sz w:val="32"/>
          <w:szCs w:val="32"/>
        </w:rPr>
      </w:pPr>
      <w:r>
        <w:rPr>
          <w:rFonts w:eastAsia="方正楷体_GBK"/>
          <w:b/>
          <w:color w:val="auto"/>
          <w:sz w:val="32"/>
          <w:szCs w:val="32"/>
        </w:rPr>
        <w:t>（一）部门财政资金收入情况</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2020年财政预算收入177.91万元，其中基本公共卫生服务收入71.29万元，实施基本药物制度13.7万元。</w:t>
      </w:r>
    </w:p>
    <w:p>
      <w:pPr>
        <w:spacing w:line="578" w:lineRule="exact"/>
        <w:ind w:firstLine="630" w:firstLineChars="196"/>
        <w:rPr>
          <w:rFonts w:eastAsia="方正楷体_GBK"/>
          <w:b/>
          <w:color w:val="auto"/>
          <w:sz w:val="32"/>
          <w:szCs w:val="32"/>
        </w:rPr>
      </w:pPr>
      <w:r>
        <w:rPr>
          <w:rFonts w:eastAsia="方正楷体_GBK"/>
          <w:b/>
          <w:color w:val="auto"/>
          <w:sz w:val="32"/>
          <w:szCs w:val="32"/>
        </w:rPr>
        <w:t>（二）部门财政资金支出情况</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2020年达州市达川区虎让乡卫生院本级本年支出169.73万元，其中：基本支出84.74万元（人员经费66.54万元和日常公用经费18.2万元），项目支出84.99万元。</w:t>
      </w:r>
    </w:p>
    <w:p>
      <w:pPr>
        <w:spacing w:line="578" w:lineRule="exact"/>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下属单位2020年支出总额0万元。</w:t>
      </w:r>
    </w:p>
    <w:p>
      <w:pPr>
        <w:spacing w:line="578" w:lineRule="exact"/>
        <w:ind w:firstLine="627" w:firstLineChars="196"/>
        <w:rPr>
          <w:rFonts w:eastAsia="方正楷体_GBK"/>
          <w:color w:val="auto"/>
          <w:sz w:val="32"/>
          <w:szCs w:val="32"/>
        </w:rPr>
      </w:pPr>
      <w:r>
        <w:rPr>
          <w:rFonts w:eastAsia="方正楷体_GBK"/>
          <w:color w:val="auto"/>
          <w:sz w:val="32"/>
          <w:szCs w:val="32"/>
        </w:rPr>
        <w:t>（三）部门财政收入结转结余情况。</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2019年上年结转资金69.3万元，2020年本级单位结转下年资金77.48万元。结余分配0万元，结转下年0万元。</w:t>
      </w:r>
    </w:p>
    <w:p>
      <w:pPr>
        <w:widowControl/>
        <w:adjustRightInd w:val="0"/>
        <w:snapToGrid w:val="0"/>
        <w:spacing w:line="580" w:lineRule="exact"/>
        <w:ind w:firstLine="640" w:firstLineChars="200"/>
        <w:contextualSpacing/>
        <w:jc w:val="left"/>
        <w:rPr>
          <w:rFonts w:hint="eastAsia" w:ascii="黑体" w:hAnsi="宋体" w:eastAsia="黑体" w:cs="宋体"/>
          <w:color w:val="auto"/>
          <w:kern w:val="0"/>
          <w:sz w:val="32"/>
          <w:szCs w:val="32"/>
          <w:shd w:val="clear" w:color="auto" w:fill="FFFFFF"/>
        </w:rPr>
      </w:pPr>
      <w:r>
        <w:rPr>
          <w:rFonts w:hint="eastAsia" w:ascii="黑体" w:hAnsi="黑体" w:eastAsia="黑体" w:cs="宋体"/>
          <w:color w:val="auto"/>
          <w:kern w:val="0"/>
          <w:sz w:val="32"/>
          <w:szCs w:val="32"/>
          <w:shd w:val="clear" w:color="auto" w:fill="FFFFFF"/>
        </w:rPr>
        <w:t>三、部门整体预算绩效管理情况</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auto"/>
          <w:kern w:val="0"/>
          <w:sz w:val="32"/>
          <w:szCs w:val="32"/>
          <w:shd w:val="clear" w:color="auto" w:fill="FFFFFF"/>
        </w:rPr>
      </w:pPr>
      <w:r>
        <w:rPr>
          <w:rFonts w:hint="eastAsia" w:ascii="楷体_GB2312" w:hAnsi="宋体" w:eastAsia="楷体_GB2312" w:cs="宋体"/>
          <w:b/>
          <w:color w:val="auto"/>
          <w:kern w:val="0"/>
          <w:sz w:val="32"/>
          <w:szCs w:val="32"/>
          <w:shd w:val="clear" w:color="auto" w:fill="FFFFFF"/>
        </w:rPr>
        <w:t>（一）部门预算管理</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我院2020年严格按照上级部门要求开展绩效自评工作，并按目标要求完成各项工作。</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1、基本医疗取得稳步发展，医疗业务收入稳步增长，全年无医疗纠纷及事故发生，2、公共卫生居民健康建档率100%，开展健康讲座</w:t>
      </w:r>
      <w:r>
        <w:rPr>
          <w:rFonts w:hint="eastAsia" w:ascii="仿宋_GB2312" w:hAnsi="仿宋_GB2312" w:cs="仿宋_GB2312"/>
          <w:color w:val="auto"/>
          <w:kern w:val="2"/>
          <w:sz w:val="32"/>
          <w:szCs w:val="32"/>
          <w:lang w:val="en-US" w:eastAsia="zh-CN" w:bidi="ar"/>
        </w:rPr>
        <w:t>11</w:t>
      </w:r>
      <w:r>
        <w:rPr>
          <w:rFonts w:hint="eastAsia" w:ascii="仿宋_GB2312" w:hAnsi="仿宋_GB2312" w:eastAsia="仿宋_GB2312" w:cs="仿宋_GB2312"/>
          <w:color w:val="auto"/>
          <w:kern w:val="2"/>
          <w:sz w:val="32"/>
          <w:szCs w:val="32"/>
          <w:lang w:val="en-US" w:eastAsia="zh-CN" w:bidi="ar"/>
        </w:rPr>
        <w:t>期，发放健康资料</w:t>
      </w:r>
      <w:r>
        <w:rPr>
          <w:rFonts w:hint="eastAsia" w:ascii="仿宋_GB2312" w:hAnsi="仿宋_GB2312" w:cs="仿宋_GB2312"/>
          <w:color w:val="auto"/>
          <w:kern w:val="2"/>
          <w:sz w:val="32"/>
          <w:szCs w:val="32"/>
          <w:lang w:val="en-US" w:eastAsia="zh-CN" w:bidi="ar"/>
        </w:rPr>
        <w:t>6000</w:t>
      </w:r>
      <w:r>
        <w:rPr>
          <w:rFonts w:hint="eastAsia" w:ascii="仿宋_GB2312" w:hAnsi="仿宋_GB2312" w:eastAsia="仿宋_GB2312" w:cs="仿宋_GB2312"/>
          <w:color w:val="auto"/>
          <w:kern w:val="2"/>
          <w:sz w:val="32"/>
          <w:szCs w:val="32"/>
          <w:lang w:val="en-US" w:eastAsia="zh-CN" w:bidi="ar"/>
        </w:rPr>
        <w:t>多份，报告处置传染病0例，0-6岁儿童856人，免费体检65岁老年人</w:t>
      </w:r>
      <w:r>
        <w:rPr>
          <w:rFonts w:hint="eastAsia" w:ascii="仿宋_GB2312" w:hAnsi="仿宋_GB2312" w:cs="仿宋_GB2312"/>
          <w:color w:val="auto"/>
          <w:kern w:val="2"/>
          <w:sz w:val="32"/>
          <w:szCs w:val="32"/>
          <w:lang w:val="en-US" w:eastAsia="zh-CN" w:bidi="ar"/>
        </w:rPr>
        <w:t>1030</w:t>
      </w:r>
      <w:r>
        <w:rPr>
          <w:rFonts w:hint="eastAsia" w:ascii="仿宋_GB2312" w:hAnsi="仿宋_GB2312" w:eastAsia="仿宋_GB2312" w:cs="仿宋_GB2312"/>
          <w:color w:val="auto"/>
          <w:kern w:val="2"/>
          <w:sz w:val="32"/>
          <w:szCs w:val="32"/>
          <w:lang w:val="en-US" w:eastAsia="zh-CN" w:bidi="ar"/>
        </w:rPr>
        <w:t>人，管理高血压</w:t>
      </w:r>
      <w:r>
        <w:rPr>
          <w:rFonts w:hint="eastAsia" w:ascii="仿宋_GB2312" w:hAnsi="仿宋_GB2312" w:cs="仿宋_GB2312"/>
          <w:color w:val="auto"/>
          <w:kern w:val="2"/>
          <w:sz w:val="32"/>
          <w:szCs w:val="32"/>
          <w:lang w:val="en-US" w:eastAsia="zh-CN" w:bidi="ar"/>
        </w:rPr>
        <w:t>474</w:t>
      </w:r>
      <w:r>
        <w:rPr>
          <w:rFonts w:hint="eastAsia" w:ascii="仿宋_GB2312" w:hAnsi="仿宋_GB2312" w:eastAsia="仿宋_GB2312" w:cs="仿宋_GB2312"/>
          <w:color w:val="auto"/>
          <w:kern w:val="2"/>
          <w:sz w:val="32"/>
          <w:szCs w:val="32"/>
          <w:lang w:val="en-US" w:eastAsia="zh-CN" w:bidi="ar"/>
        </w:rPr>
        <w:t>人，糖尿病</w:t>
      </w:r>
      <w:r>
        <w:rPr>
          <w:rFonts w:hint="eastAsia" w:ascii="仿宋_GB2312" w:hAnsi="仿宋_GB2312" w:cs="仿宋_GB2312"/>
          <w:color w:val="auto"/>
          <w:kern w:val="2"/>
          <w:sz w:val="32"/>
          <w:szCs w:val="32"/>
          <w:lang w:val="en-US" w:eastAsia="zh-CN" w:bidi="ar"/>
        </w:rPr>
        <w:t>63</w:t>
      </w:r>
      <w:r>
        <w:rPr>
          <w:rFonts w:hint="eastAsia" w:ascii="仿宋_GB2312" w:hAnsi="仿宋_GB2312" w:eastAsia="仿宋_GB2312" w:cs="仿宋_GB2312"/>
          <w:color w:val="auto"/>
          <w:kern w:val="2"/>
          <w:sz w:val="32"/>
          <w:szCs w:val="32"/>
          <w:lang w:val="en-US" w:eastAsia="zh-CN" w:bidi="ar"/>
        </w:rPr>
        <w:t>人，精神病</w:t>
      </w:r>
      <w:r>
        <w:rPr>
          <w:rFonts w:hint="eastAsia" w:ascii="仿宋_GB2312" w:hAnsi="仿宋_GB2312" w:cs="仿宋_GB2312"/>
          <w:color w:val="auto"/>
          <w:kern w:val="2"/>
          <w:sz w:val="32"/>
          <w:szCs w:val="32"/>
          <w:lang w:val="en-US" w:eastAsia="zh-CN" w:bidi="ar"/>
        </w:rPr>
        <w:t>40</w:t>
      </w:r>
      <w:r>
        <w:rPr>
          <w:rFonts w:hint="eastAsia" w:ascii="仿宋_GB2312" w:hAnsi="仿宋_GB2312" w:eastAsia="仿宋_GB2312" w:cs="仿宋_GB2312"/>
          <w:color w:val="auto"/>
          <w:kern w:val="2"/>
          <w:sz w:val="32"/>
          <w:szCs w:val="32"/>
          <w:lang w:val="en-US" w:eastAsia="zh-CN" w:bidi="ar"/>
        </w:rPr>
        <w:t>人，卫生协管4次，乡村医生签约10</w:t>
      </w:r>
      <w:r>
        <w:rPr>
          <w:rFonts w:hint="eastAsia" w:ascii="仿宋_GB2312" w:hAnsi="仿宋_GB2312" w:cs="仿宋_GB2312"/>
          <w:color w:val="auto"/>
          <w:kern w:val="2"/>
          <w:sz w:val="32"/>
          <w:szCs w:val="32"/>
          <w:lang w:val="en-US" w:eastAsia="zh-CN" w:bidi="ar"/>
        </w:rPr>
        <w:t>75</w:t>
      </w:r>
      <w:r>
        <w:rPr>
          <w:rFonts w:hint="eastAsia" w:ascii="仿宋_GB2312" w:hAnsi="仿宋_GB2312" w:eastAsia="仿宋_GB2312" w:cs="仿宋_GB2312"/>
          <w:color w:val="auto"/>
          <w:kern w:val="2"/>
          <w:sz w:val="32"/>
          <w:szCs w:val="32"/>
          <w:lang w:val="en-US" w:eastAsia="zh-CN" w:bidi="ar"/>
        </w:rPr>
        <w:t>人。</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同时圆满完成了辖区内脱贫攻坚工作任务，配合全区顺利开展了贫困人口医疗救助服务等。</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通过对单位的工作和运营目标进行分解，设定各级的绩效 目标，对部门和个人的绩效进行沟通、反馈、考评，从而将个人、部门与单位目标有机结合，提高单位整体绩效，促进职工发展和增强单位竞争力。</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auto"/>
          <w:kern w:val="0"/>
          <w:sz w:val="32"/>
          <w:szCs w:val="32"/>
          <w:shd w:val="clear" w:color="auto" w:fill="FFFFFF"/>
        </w:rPr>
      </w:pPr>
      <w:r>
        <w:rPr>
          <w:rFonts w:hint="eastAsia" w:ascii="楷体_GB2312" w:hAnsi="宋体" w:eastAsia="楷体_GB2312" w:cs="宋体"/>
          <w:b/>
          <w:color w:val="auto"/>
          <w:kern w:val="0"/>
          <w:sz w:val="32"/>
          <w:szCs w:val="32"/>
          <w:shd w:val="clear" w:color="auto" w:fill="FFFFFF"/>
        </w:rPr>
        <w:t>（二）专项预算管理</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专项预算项目按照专款专用的原则，使用程序严密、规划合理、结果符合、分配科学、分配及时、专项资金全部用于基本公共卫生服务和基本药物制度。</w:t>
      </w:r>
    </w:p>
    <w:p>
      <w:pPr>
        <w:spacing w:line="578" w:lineRule="exact"/>
        <w:ind w:firstLine="630" w:firstLineChars="196"/>
        <w:rPr>
          <w:rFonts w:eastAsia="方正仿宋_GBK"/>
          <w:b/>
          <w:color w:val="auto"/>
          <w:sz w:val="32"/>
          <w:szCs w:val="32"/>
        </w:rPr>
      </w:pPr>
      <w:r>
        <w:rPr>
          <w:rFonts w:eastAsia="方正楷体_GBK"/>
          <w:b/>
          <w:color w:val="auto"/>
          <w:sz w:val="32"/>
          <w:szCs w:val="32"/>
        </w:rPr>
        <w:t>（三）综合管理情况</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1、政府性债务管理情况。</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无</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非税收入管理情况。</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无</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政府采购实施情况。按照《预算法》和《政府采购法》规定编制政府采购预算和实施政府采购计划，按规定做好备案工作。2020年政府采购预算为0万元，</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4、资产管理。单位固定资产实行“统一管理，分级负责”。设置固定资产的管理部门，统一建账、核算，统一登记、监督管理和维修。各科室是固定资产的使用部门，并负责固定资产的保管和使用。</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（1）资产管理信息系统建设情况。已将所有资产全部录入行政事业单位资产管理系统，并指定专人负责管理系统。</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（2）资产清查情况。在2021年1月启动全单位以及下属单位的资产清查，并将资产清查结果及差错调整说明上报了相关主管部门。</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 xml:space="preserve">（3）资产报表上报情况。成立了国有资产清查工作小组，并安排专人负责国有资产清查及报表上报工作。在资产清查结束后，已上报清查报表、清查工作报告等国有资产报表数据。 </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5、内控制度管理。</w:t>
      </w:r>
    </w:p>
    <w:p>
      <w:pPr>
        <w:spacing w:line="578" w:lineRule="exact"/>
        <w:ind w:firstLine="627" w:firstLineChars="196"/>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按照要求按时完成单位内部控制编报工作。</w:t>
      </w:r>
    </w:p>
    <w:p>
      <w:pPr>
        <w:spacing w:line="578" w:lineRule="exact"/>
        <w:ind w:firstLine="627" w:firstLineChars="196"/>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6、信息公开。按要求及时对单位预算，决算进行公开。</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7、绩效管理。按照要求对所有下属预算单位开展整体绩效评价，按要求向财政部门报送自评报告等相关绩效信息。并根据绩效评价发现问题制定整改措施，并将整改落实到位。</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8、依法接受财政监督情况。</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按照财政部门相关要求，开展了2020年度财政监督检查的自查自纠工作，并报送了自查自纠报告及报表。</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auto"/>
          <w:kern w:val="0"/>
          <w:sz w:val="32"/>
          <w:szCs w:val="32"/>
          <w:shd w:val="clear" w:color="auto" w:fill="FFFFFF"/>
        </w:rPr>
      </w:pPr>
      <w:r>
        <w:rPr>
          <w:rFonts w:hint="eastAsia" w:ascii="楷体_GB2312" w:hAnsi="宋体" w:eastAsia="楷体_GB2312" w:cs="宋体"/>
          <w:b/>
          <w:color w:val="auto"/>
          <w:kern w:val="0"/>
          <w:sz w:val="32"/>
          <w:szCs w:val="32"/>
          <w:shd w:val="clear" w:color="auto" w:fill="FFFFFF"/>
        </w:rPr>
        <w:t>（四）绩效结果应用情况</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包括部门自评质量、绩效目标公开和自评公开、评价结果整改和应用结果反馈等情况。</w:t>
      </w:r>
    </w:p>
    <w:p>
      <w:pPr>
        <w:spacing w:line="578" w:lineRule="exact"/>
        <w:ind w:firstLine="630" w:firstLineChars="196"/>
        <w:rPr>
          <w:rFonts w:ascii="楷体_GB2312" w:hAnsi="宋体" w:eastAsia="楷体_GB2312" w:cs="宋体"/>
          <w:b/>
          <w:color w:val="auto"/>
          <w:kern w:val="0"/>
          <w:sz w:val="32"/>
          <w:szCs w:val="32"/>
          <w:shd w:val="clear" w:color="auto" w:fill="FFFFFF"/>
        </w:rPr>
      </w:pPr>
      <w:r>
        <w:rPr>
          <w:rFonts w:ascii="楷体_GB2312" w:hAnsi="宋体" w:eastAsia="楷体_GB2312" w:cs="宋体"/>
          <w:b/>
          <w:color w:val="auto"/>
          <w:kern w:val="0"/>
          <w:sz w:val="32"/>
          <w:szCs w:val="32"/>
          <w:shd w:val="clear" w:color="auto" w:fill="FFFFFF"/>
        </w:rPr>
        <w:t>（</w:t>
      </w:r>
      <w:r>
        <w:rPr>
          <w:rFonts w:hint="eastAsia" w:ascii="楷体_GB2312" w:hAnsi="宋体" w:eastAsia="楷体_GB2312" w:cs="宋体"/>
          <w:b/>
          <w:color w:val="auto"/>
          <w:kern w:val="0"/>
          <w:sz w:val="32"/>
          <w:szCs w:val="32"/>
          <w:shd w:val="clear" w:color="auto" w:fill="FFFFFF"/>
        </w:rPr>
        <w:t>五</w:t>
      </w:r>
      <w:r>
        <w:rPr>
          <w:rFonts w:ascii="楷体_GB2312" w:hAnsi="宋体" w:eastAsia="楷体_GB2312" w:cs="宋体"/>
          <w:b/>
          <w:color w:val="auto"/>
          <w:kern w:val="0"/>
          <w:sz w:val="32"/>
          <w:szCs w:val="32"/>
          <w:shd w:val="clear" w:color="auto" w:fill="FFFFFF"/>
        </w:rPr>
        <w:t>）整体效益</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通过对单位的工作和运营目标进行分解，设定各级的绩效 目标，对部门和个人的绩效进行沟通、反馈、考评，从而将个人、部门与单位目标有机结合，提高单位整体绩效，促进职工发展和增强单位竞争力。</w:t>
      </w:r>
    </w:p>
    <w:p>
      <w:pPr>
        <w:widowControl/>
        <w:adjustRightInd w:val="0"/>
        <w:snapToGrid w:val="0"/>
        <w:spacing w:line="580" w:lineRule="exact"/>
        <w:ind w:firstLine="640" w:firstLineChars="200"/>
        <w:contextualSpacing/>
        <w:jc w:val="left"/>
        <w:rPr>
          <w:rFonts w:hint="eastAsia" w:ascii="黑体" w:hAnsi="宋体" w:eastAsia="黑体" w:cs="宋体"/>
          <w:color w:val="auto"/>
          <w:kern w:val="0"/>
          <w:sz w:val="32"/>
          <w:szCs w:val="32"/>
          <w:shd w:val="clear" w:color="auto" w:fill="FFFFFF"/>
        </w:rPr>
      </w:pPr>
      <w:r>
        <w:rPr>
          <w:rFonts w:hint="eastAsia" w:ascii="黑体" w:hAnsi="黑体" w:eastAsia="黑体" w:cs="宋体"/>
          <w:color w:val="auto"/>
          <w:kern w:val="0"/>
          <w:sz w:val="32"/>
          <w:szCs w:val="32"/>
          <w:shd w:val="clear" w:color="auto" w:fill="FFFFFF"/>
        </w:rPr>
        <w:t>四、评价结论及建议</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（一）评价结论</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总体看，我单位预算编制及执行决策较为准确，支出管理较为规范，财务管理制度较完善，部门整体绩效较好。部门支出绩效自评得分为</w:t>
      </w:r>
      <w:r>
        <w:rPr>
          <w:rFonts w:hint="eastAsia" w:ascii="仿宋_GB2312" w:hAnsi="仿宋_GB2312" w:cs="仿宋_GB2312"/>
          <w:color w:val="auto"/>
          <w:kern w:val="2"/>
          <w:sz w:val="32"/>
          <w:szCs w:val="32"/>
          <w:lang w:val="en-US" w:eastAsia="zh-CN" w:bidi="ar"/>
        </w:rPr>
        <w:t>80</w:t>
      </w:r>
      <w:r>
        <w:rPr>
          <w:rFonts w:hint="eastAsia" w:ascii="仿宋_GB2312" w:hAnsi="仿宋_GB2312" w:eastAsia="仿宋_GB2312" w:cs="仿宋_GB2312"/>
          <w:color w:val="auto"/>
          <w:kern w:val="2"/>
          <w:sz w:val="32"/>
          <w:szCs w:val="32"/>
          <w:lang w:val="en-US" w:eastAsia="zh-CN" w:bidi="ar"/>
        </w:rPr>
        <w:t>分。</w:t>
      </w:r>
    </w:p>
    <w:p>
      <w:pPr>
        <w:widowControl/>
        <w:numPr>
          <w:ilvl w:val="0"/>
          <w:numId w:val="5"/>
        </w:numPr>
        <w:adjustRightInd w:val="0"/>
        <w:snapToGrid w:val="0"/>
        <w:spacing w:line="580" w:lineRule="exact"/>
        <w:ind w:left="0" w:leftChars="0" w:firstLine="643" w:firstLineChars="200"/>
        <w:contextualSpacing/>
        <w:jc w:val="left"/>
        <w:rPr>
          <w:rFonts w:hint="eastAsia" w:ascii="楷体_GB2312" w:hAnsi="宋体" w:eastAsia="楷体_GB2312" w:cs="宋体"/>
          <w:b/>
          <w:color w:val="auto"/>
          <w:kern w:val="0"/>
          <w:sz w:val="32"/>
          <w:szCs w:val="32"/>
          <w:shd w:val="clear" w:color="auto" w:fill="FFFFFF"/>
        </w:rPr>
      </w:pPr>
      <w:r>
        <w:rPr>
          <w:rFonts w:hint="eastAsia" w:ascii="楷体_GB2312" w:hAnsi="宋体" w:eastAsia="楷体_GB2312" w:cs="宋体"/>
          <w:b/>
          <w:color w:val="auto"/>
          <w:kern w:val="0"/>
          <w:sz w:val="32"/>
          <w:szCs w:val="32"/>
          <w:shd w:val="clear" w:color="auto" w:fill="FFFFFF"/>
        </w:rPr>
        <w:t>存在问题</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部分专项资金配套不足，缺口较大，不能满足工作的需求。比如：基本公共卫生资金，不应该纳入收支核算。</w:t>
      </w:r>
    </w:p>
    <w:p>
      <w:pPr>
        <w:widowControl/>
        <w:numPr>
          <w:ilvl w:val="0"/>
          <w:numId w:val="5"/>
        </w:numPr>
        <w:adjustRightInd w:val="0"/>
        <w:snapToGrid w:val="0"/>
        <w:spacing w:line="580" w:lineRule="exact"/>
        <w:ind w:left="0" w:leftChars="0" w:firstLine="643" w:firstLineChars="200"/>
        <w:contextualSpacing/>
        <w:jc w:val="left"/>
        <w:rPr>
          <w:rFonts w:hint="eastAsia" w:ascii="楷体_GB2312" w:hAnsi="宋体" w:eastAsia="楷体_GB2312" w:cs="宋体"/>
          <w:b/>
          <w:color w:val="auto"/>
          <w:kern w:val="0"/>
          <w:sz w:val="32"/>
          <w:szCs w:val="32"/>
          <w:shd w:val="clear" w:color="auto" w:fill="FFFFFF"/>
        </w:rPr>
      </w:pPr>
      <w:r>
        <w:rPr>
          <w:rFonts w:hint="eastAsia" w:ascii="楷体_GB2312" w:hAnsi="宋体" w:eastAsia="楷体_GB2312" w:cs="宋体"/>
          <w:b/>
          <w:color w:val="auto"/>
          <w:kern w:val="0"/>
          <w:sz w:val="32"/>
          <w:szCs w:val="32"/>
          <w:shd w:val="clear" w:color="auto" w:fill="FFFFFF"/>
        </w:rPr>
        <w:t>改进建议</w:t>
      </w:r>
    </w:p>
    <w:p>
      <w:pPr>
        <w:spacing w:line="578" w:lineRule="exact"/>
        <w:ind w:firstLine="627" w:firstLineChars="196"/>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近几年我院的基础设施规模及就医环境条件有了较大改善，但还是不能适应医院诊疗规模发展的要求和广大群众日益增长的医疗保健需求，已成为医院新一轮发展的瓶颈。同时，我国社会经济发展正在进入新的时期，乡镇卫生院建设对基层医疗提出了新的更高的要求和期待，加强和完善乡镇卫生院体系建设，是乡镇卫生院建设与发展中的一个迫切而重要的任务。特别是面对资源匮乏的农村，更需要重视，因此，上级加大基层乡镇卫生院事业经费投入将对我院事业发展起到积极有效提升。使党的惠民利民政策在卫生工作中得到进一步体现。</w:t>
      </w:r>
    </w:p>
    <w:p>
      <w:pPr>
        <w:pStyle w:val="3"/>
        <w:rPr>
          <w:rStyle w:val="25"/>
          <w:rFonts w:ascii="仿宋" w:hAnsi="仿宋" w:eastAsia="仿宋"/>
          <w:b/>
          <w:bCs/>
          <w:sz w:val="32"/>
          <w:szCs w:val="32"/>
        </w:rPr>
      </w:pPr>
    </w:p>
    <w:p>
      <w:pPr>
        <w:pStyle w:val="3"/>
        <w:rPr>
          <w:rStyle w:val="25"/>
          <w:rFonts w:ascii="仿宋" w:hAnsi="仿宋" w:eastAsia="仿宋"/>
          <w:b/>
          <w:bCs/>
          <w:sz w:val="32"/>
          <w:szCs w:val="32"/>
        </w:rPr>
      </w:pPr>
    </w:p>
    <w:p>
      <w:pPr>
        <w:pStyle w:val="3"/>
        <w:rPr>
          <w:rStyle w:val="25"/>
          <w:rFonts w:ascii="仿宋" w:hAnsi="仿宋" w:eastAsia="仿宋"/>
          <w:b/>
          <w:bCs/>
          <w:sz w:val="32"/>
          <w:szCs w:val="32"/>
        </w:rPr>
      </w:pPr>
      <w:r>
        <w:rPr>
          <w:rStyle w:val="25"/>
          <w:rFonts w:hint="eastAsia" w:ascii="仿宋" w:hAnsi="仿宋" w:eastAsia="仿宋"/>
          <w:b/>
          <w:bCs/>
          <w:sz w:val="32"/>
          <w:szCs w:val="32"/>
        </w:rPr>
        <w:t>附件2</w:t>
      </w:r>
      <w:bookmarkEnd w:id="60"/>
    </w:p>
    <w:p>
      <w:pPr>
        <w:spacing w:line="580" w:lineRule="exact"/>
        <w:jc w:val="center"/>
        <w:rPr>
          <w:rFonts w:ascii="黑体" w:hAnsi="黑体" w:eastAsia="黑体" w:cs="方正小标宋简体"/>
          <w:sz w:val="32"/>
          <w:szCs w:val="32"/>
        </w:rPr>
      </w:pPr>
      <w:r>
        <w:rPr>
          <w:rFonts w:hint="eastAsia" w:ascii="黑体" w:hAnsi="黑体" w:eastAsia="黑体" w:cs="方正小标宋简体"/>
          <w:sz w:val="32"/>
          <w:szCs w:val="32"/>
          <w:lang w:eastAsia="zh-CN"/>
        </w:rPr>
        <w:t>20</w:t>
      </w:r>
      <w:r>
        <w:rPr>
          <w:rFonts w:hint="eastAsia" w:ascii="黑体" w:hAnsi="黑体" w:eastAsia="黑体" w:cs="方正小标宋简体"/>
          <w:sz w:val="32"/>
          <w:szCs w:val="32"/>
          <w:lang w:val="en-US" w:eastAsia="zh-CN"/>
        </w:rPr>
        <w:t>20</w:t>
      </w:r>
      <w:r>
        <w:rPr>
          <w:rFonts w:hint="eastAsia" w:ascii="黑体" w:hAnsi="黑体" w:eastAsia="黑体" w:cs="方正小标宋简体"/>
          <w:sz w:val="32"/>
          <w:szCs w:val="32"/>
        </w:rPr>
        <w:t>年虎让乡卫生院项目支出绩效评价报告</w:t>
      </w:r>
    </w:p>
    <w:p>
      <w:pPr>
        <w:spacing w:line="580" w:lineRule="exact"/>
        <w:ind w:firstLine="640" w:firstLineChars="200"/>
        <w:rPr>
          <w:rFonts w:ascii="仿宋" w:hAnsi="仿宋" w:eastAsia="仿宋" w:cs="仿宋_GB2312"/>
          <w:sz w:val="32"/>
          <w:szCs w:val="32"/>
        </w:rPr>
      </w:pPr>
    </w:p>
    <w:p>
      <w:pPr>
        <w:spacing w:line="600" w:lineRule="exact"/>
        <w:jc w:val="center"/>
        <w:rPr>
          <w:rFonts w:ascii="仿宋_GB2312" w:hAnsi="宋体"/>
          <w:color w:val="auto"/>
          <w:sz w:val="32"/>
          <w:szCs w:val="32"/>
        </w:rPr>
      </w:pPr>
      <w:bookmarkStart w:id="62" w:name="_Toc15396618"/>
      <w:r>
        <w:rPr>
          <w:rFonts w:hint="eastAsia" w:ascii="仿宋_GB2312" w:hAnsi="宋体"/>
          <w:color w:val="auto"/>
          <w:sz w:val="32"/>
          <w:szCs w:val="32"/>
        </w:rPr>
        <w:t>（基本公共卫生服务项目）</w:t>
      </w:r>
    </w:p>
    <w:p>
      <w:pPr>
        <w:pStyle w:val="30"/>
        <w:spacing w:line="600" w:lineRule="exact"/>
        <w:rPr>
          <w:rFonts w:ascii="宋体" w:hAnsi="宋体"/>
          <w:color w:val="auto"/>
          <w:kern w:val="2"/>
          <w:sz w:val="32"/>
          <w:szCs w:val="32"/>
        </w:rPr>
      </w:pPr>
    </w:p>
    <w:p>
      <w:pPr>
        <w:adjustRightInd w:val="0"/>
        <w:snapToGrid w:val="0"/>
        <w:spacing w:line="360" w:lineRule="auto"/>
        <w:ind w:firstLine="720"/>
        <w:rPr>
          <w:rFonts w:hint="eastAsia" w:ascii="仿宋_GB2312" w:hAnsi="仿宋_GB2312" w:cs="仿宋_GB2312"/>
          <w:b/>
          <w:bCs/>
          <w:color w:val="auto"/>
          <w:sz w:val="32"/>
          <w:szCs w:val="32"/>
          <w:lang w:val="zh-CN"/>
        </w:rPr>
      </w:pPr>
      <w:r>
        <w:rPr>
          <w:rFonts w:hint="eastAsia" w:ascii="仿宋_GB2312" w:hAnsi="仿宋_GB2312" w:cs="仿宋_GB2312"/>
          <w:b/>
          <w:bCs/>
          <w:color w:val="auto"/>
          <w:sz w:val="32"/>
          <w:szCs w:val="32"/>
        </w:rPr>
        <w:t>一、</w:t>
      </w:r>
      <w:r>
        <w:rPr>
          <w:rFonts w:hint="eastAsia" w:ascii="仿宋_GB2312" w:hAnsi="仿宋_GB2312" w:cs="仿宋_GB2312"/>
          <w:b/>
          <w:bCs/>
          <w:color w:val="auto"/>
          <w:sz w:val="32"/>
          <w:szCs w:val="32"/>
          <w:lang w:val="zh-CN"/>
        </w:rPr>
        <w:t>项目概况</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根据医改实施方案，基本公共卫生服务项目免费为城乡居民提供。至此，我国推进基本公共卫生服务均等化成为国家和省市卫</w:t>
      </w:r>
      <w:r>
        <w:rPr>
          <w:rFonts w:hint="eastAsia" w:ascii="仿宋_GB2312" w:hAnsi="仿宋_GB2312" w:cs="仿宋_GB2312"/>
          <w:color w:val="auto"/>
          <w:sz w:val="32"/>
          <w:szCs w:val="32"/>
          <w:lang w:val="en-US" w:eastAsia="zh-CN"/>
        </w:rPr>
        <w:t>健</w:t>
      </w:r>
      <w:r>
        <w:rPr>
          <w:rFonts w:hint="eastAsia" w:ascii="仿宋_GB2312" w:hAnsi="仿宋_GB2312" w:cs="仿宋_GB2312"/>
          <w:color w:val="auto"/>
          <w:sz w:val="32"/>
          <w:szCs w:val="32"/>
          <w:lang w:val="zh-CN"/>
        </w:rPr>
        <w:t>部门的实际行动。基本公共卫生服务均等化的机制基本完善，重大疾病和主要健康危害因素得到有效控制，人民健康水平得到进一步提高。</w:t>
      </w:r>
    </w:p>
    <w:p>
      <w:pPr>
        <w:adjustRightInd w:val="0"/>
        <w:snapToGrid w:val="0"/>
        <w:spacing w:line="360" w:lineRule="auto"/>
        <w:ind w:firstLine="720"/>
        <w:rPr>
          <w:rFonts w:hint="eastAsia" w:ascii="仿宋_GB2312" w:hAnsi="仿宋_GB2312" w:cs="仿宋_GB2312"/>
          <w:color w:val="auto"/>
          <w:sz w:val="32"/>
          <w:szCs w:val="32"/>
        </w:rPr>
      </w:pPr>
      <w:r>
        <w:rPr>
          <w:rFonts w:hint="eastAsia" w:ascii="仿宋_GB2312" w:hAnsi="仿宋_GB2312" w:cs="仿宋_GB2312"/>
          <w:color w:val="auto"/>
          <w:sz w:val="32"/>
          <w:szCs w:val="32"/>
          <w:lang w:val="zh-CN"/>
        </w:rPr>
        <w:t>基本公共卫生服务是各级财政共同提供经费保障，是党和政府实施的惠民政策，项目本质就是政府购买公共卫生服务，交由基层卫生健康机构实施，让居民享受国家基本卫生保健制度。它是我国政府针对当前城乡居民存在的主要健康问题，以儿童、孕产妇、老年人、慢性疾病患者为重点人群，面向全体居民免费提供的最基本的公共卫生服务。我院对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年基本公共卫生服务项目专项资金开展绩效评价，进行了自评，现将自评情况报告如下。</w:t>
      </w:r>
    </w:p>
    <w:p>
      <w:pPr>
        <w:numPr>
          <w:ilvl w:val="0"/>
          <w:numId w:val="6"/>
        </w:num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项目资金申报及批复情况。</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color w:val="auto"/>
          <w:sz w:val="32"/>
          <w:szCs w:val="32"/>
          <w:lang w:val="zh-CN"/>
        </w:rPr>
        <w:t>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年基本公共卫生服务项目共到位资金</w:t>
      </w:r>
      <w:r>
        <w:rPr>
          <w:rFonts w:hint="eastAsia" w:ascii="仿宋_GB2312" w:hAnsi="仿宋_GB2312" w:cs="仿宋_GB2312"/>
          <w:color w:val="auto"/>
          <w:sz w:val="32"/>
          <w:szCs w:val="32"/>
          <w:lang w:val="en-US" w:eastAsia="zh-CN"/>
        </w:rPr>
        <w:t>71.29</w:t>
      </w:r>
      <w:r>
        <w:rPr>
          <w:rFonts w:hint="eastAsia" w:ascii="仿宋_GB2312" w:hAnsi="仿宋_GB2312" w:cs="仿宋_GB2312"/>
          <w:color w:val="auto"/>
          <w:sz w:val="32"/>
          <w:szCs w:val="32"/>
          <w:lang w:val="zh-CN"/>
        </w:rPr>
        <w:t>万元，其中本级财政配套资金</w:t>
      </w:r>
      <w:r>
        <w:rPr>
          <w:rFonts w:hint="eastAsia" w:ascii="仿宋_GB2312" w:hAnsi="仿宋_GB2312" w:cs="仿宋_GB2312"/>
          <w:color w:val="auto"/>
          <w:sz w:val="32"/>
          <w:szCs w:val="32"/>
          <w:lang w:val="en-US" w:eastAsia="zh-CN"/>
        </w:rPr>
        <w:t>6.5</w:t>
      </w:r>
      <w:r>
        <w:rPr>
          <w:rFonts w:hint="eastAsia" w:ascii="仿宋_GB2312" w:hAnsi="仿宋_GB2312" w:cs="仿宋_GB2312"/>
          <w:color w:val="auto"/>
          <w:sz w:val="32"/>
          <w:szCs w:val="32"/>
          <w:lang w:val="zh-CN"/>
        </w:rPr>
        <w:t>万元，上级财政配套资金</w:t>
      </w:r>
      <w:r>
        <w:rPr>
          <w:rFonts w:hint="eastAsia" w:ascii="仿宋_GB2312" w:hAnsi="仿宋_GB2312" w:cs="仿宋_GB2312"/>
          <w:color w:val="auto"/>
          <w:sz w:val="32"/>
          <w:szCs w:val="32"/>
          <w:lang w:val="en-US" w:eastAsia="zh-CN"/>
        </w:rPr>
        <w:t>64.79</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zh-CN"/>
        </w:rPr>
        <w:t>。公卫项目资金严格按照项目财务管理制度执行，按照项目要求设置，财务处理及时，会计核算规范。财政主管部门严格目标、任务、指标，</w:t>
      </w:r>
      <w:r>
        <w:rPr>
          <w:rFonts w:hint="eastAsia" w:ascii="仿宋_GB2312" w:hAnsi="仿宋_GB2312" w:cs="仿宋_GB2312"/>
          <w:color w:val="auto"/>
          <w:sz w:val="32"/>
          <w:szCs w:val="32"/>
        </w:rPr>
        <w:t>10</w:t>
      </w:r>
      <w:r>
        <w:rPr>
          <w:rFonts w:hint="eastAsia" w:ascii="仿宋_GB2312" w:hAnsi="仿宋_GB2312" w:cs="仿宋_GB2312"/>
          <w:color w:val="auto"/>
          <w:sz w:val="32"/>
          <w:szCs w:val="32"/>
          <w:lang w:val="zh-CN"/>
        </w:rPr>
        <w:t>月底前预拨</w:t>
      </w:r>
      <w:r>
        <w:rPr>
          <w:rFonts w:hint="eastAsia" w:ascii="仿宋_GB2312" w:hAnsi="仿宋_GB2312" w:cs="仿宋_GB2312"/>
          <w:color w:val="auto"/>
          <w:sz w:val="32"/>
          <w:szCs w:val="32"/>
        </w:rPr>
        <w:t>80%</w:t>
      </w:r>
      <w:r>
        <w:rPr>
          <w:rFonts w:hint="eastAsia" w:ascii="仿宋_GB2312" w:hAnsi="仿宋_GB2312" w:cs="仿宋_GB2312"/>
          <w:color w:val="auto"/>
          <w:sz w:val="32"/>
          <w:szCs w:val="32"/>
          <w:lang w:val="zh-CN"/>
        </w:rPr>
        <w:t>资金，年终按考核结果结算拨付项目经费到各村卫生站。</w:t>
      </w:r>
    </w:p>
    <w:p>
      <w:pPr>
        <w:numPr>
          <w:ilvl w:val="0"/>
          <w:numId w:val="6"/>
        </w:numPr>
        <w:tabs>
          <w:tab w:val="left" w:pos="696"/>
        </w:tabs>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项目绩效目标。</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年完成基本公共卫生服务项目工作目标，较好实施国家基本公共卫生服务项目，保障本</w:t>
      </w:r>
      <w:r>
        <w:rPr>
          <w:rFonts w:hint="eastAsia" w:ascii="仿宋_GB2312" w:hAnsi="仿宋_GB2312" w:cs="仿宋_GB2312"/>
          <w:color w:val="auto"/>
          <w:sz w:val="32"/>
          <w:szCs w:val="32"/>
          <w:lang w:val="en-US" w:eastAsia="zh-CN"/>
        </w:rPr>
        <w:t>乡</w:t>
      </w:r>
      <w:r>
        <w:rPr>
          <w:rFonts w:hint="eastAsia" w:ascii="仿宋_GB2312" w:hAnsi="仿宋_GB2312" w:cs="仿宋_GB2312"/>
          <w:color w:val="auto"/>
          <w:sz w:val="32"/>
          <w:szCs w:val="32"/>
          <w:lang w:val="zh-CN"/>
        </w:rPr>
        <w:t>人民身体健康。</w:t>
      </w:r>
    </w:p>
    <w:p>
      <w:pPr>
        <w:numPr>
          <w:ilvl w:val="0"/>
          <w:numId w:val="6"/>
        </w:num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项目资金申报相符性。</w:t>
      </w:r>
    </w:p>
    <w:p>
      <w:pPr>
        <w:adjustRightInd w:val="0"/>
        <w:snapToGrid w:val="0"/>
        <w:spacing w:line="360" w:lineRule="auto"/>
        <w:ind w:firstLine="640" w:firstLineChars="200"/>
        <w:rPr>
          <w:rFonts w:hint="eastAsia" w:ascii="仿宋_GB2312" w:hAnsi="仿宋_GB2312" w:cs="仿宋_GB2312"/>
          <w:color w:val="auto"/>
          <w:sz w:val="32"/>
          <w:szCs w:val="32"/>
          <w:lang w:val="zh-CN"/>
        </w:rPr>
      </w:pPr>
      <w:r>
        <w:rPr>
          <w:rFonts w:hint="eastAsia" w:ascii="仿宋_GB2312" w:hAnsi="仿宋_GB2312" w:cs="仿宋_GB2312"/>
          <w:color w:val="auto"/>
          <w:sz w:val="32"/>
          <w:szCs w:val="32"/>
        </w:rPr>
        <w:t>项目年初预算数</w:t>
      </w:r>
      <w:r>
        <w:rPr>
          <w:rFonts w:hint="eastAsia" w:ascii="仿宋_GB2312" w:hAnsi="仿宋_GB2312" w:cs="仿宋_GB2312"/>
          <w:color w:val="auto"/>
          <w:sz w:val="32"/>
          <w:szCs w:val="32"/>
          <w:lang w:val="en-US" w:eastAsia="zh-CN"/>
        </w:rPr>
        <w:t>6.5</w:t>
      </w:r>
      <w:r>
        <w:rPr>
          <w:rFonts w:hint="eastAsia" w:ascii="仿宋_GB2312" w:hAnsi="仿宋_GB2312" w:cs="仿宋_GB2312"/>
          <w:color w:val="auto"/>
          <w:sz w:val="32"/>
          <w:szCs w:val="32"/>
        </w:rPr>
        <w:t>万元，执行数为</w:t>
      </w:r>
      <w:r>
        <w:rPr>
          <w:rFonts w:hint="eastAsia" w:ascii="仿宋_GB2312" w:hAnsi="仿宋_GB2312" w:cs="仿宋_GB2312"/>
          <w:color w:val="auto"/>
          <w:sz w:val="32"/>
          <w:szCs w:val="32"/>
          <w:lang w:val="en-US" w:eastAsia="zh-CN"/>
        </w:rPr>
        <w:t>71.29</w:t>
      </w:r>
      <w:r>
        <w:rPr>
          <w:rFonts w:hint="eastAsia" w:ascii="仿宋_GB2312" w:hAnsi="仿宋_GB2312" w:cs="仿宋_GB2312"/>
          <w:color w:val="auto"/>
          <w:sz w:val="32"/>
          <w:szCs w:val="32"/>
        </w:rPr>
        <w:t>万元，完成预算的100%。通过项目实施，保障了我院基本公共卫生服务的运行，</w:t>
      </w:r>
      <w:r>
        <w:rPr>
          <w:rFonts w:hint="eastAsia" w:ascii="仿宋_GB2312" w:hAnsi="仿宋_GB2312" w:cs="仿宋_GB2312"/>
          <w:color w:val="auto"/>
          <w:sz w:val="32"/>
          <w:szCs w:val="32"/>
          <w:lang w:val="zh-CN"/>
        </w:rPr>
        <w:t>申报内容是用于基本公共卫生服务与具体实施内容相符、申报目标合理可行。</w:t>
      </w:r>
    </w:p>
    <w:p>
      <w:pPr>
        <w:adjustRightInd w:val="0"/>
        <w:snapToGrid w:val="0"/>
        <w:spacing w:line="360" w:lineRule="auto"/>
        <w:ind w:firstLine="720"/>
        <w:rPr>
          <w:rFonts w:hint="eastAsia" w:ascii="仿宋_GB2312" w:hAnsi="仿宋_GB2312" w:cs="仿宋_GB2312"/>
          <w:color w:val="auto"/>
          <w:sz w:val="32"/>
          <w:szCs w:val="32"/>
        </w:rPr>
      </w:pPr>
      <w:r>
        <w:rPr>
          <w:rFonts w:hint="eastAsia" w:ascii="仿宋_GB2312" w:hAnsi="仿宋_GB2312" w:cs="仿宋_GB2312"/>
          <w:color w:val="auto"/>
          <w:sz w:val="32"/>
          <w:szCs w:val="32"/>
        </w:rPr>
        <w:t>二、项目实施及管理情况</w:t>
      </w:r>
    </w:p>
    <w:p>
      <w:pPr>
        <w:adjustRightInd w:val="0"/>
        <w:snapToGrid w:val="0"/>
        <w:spacing w:line="360" w:lineRule="auto"/>
        <w:ind w:firstLine="720"/>
        <w:rPr>
          <w:rFonts w:hint="eastAsia" w:ascii="仿宋_GB2312" w:hAnsi="仿宋_GB2312" w:cs="仿宋_GB2312"/>
          <w:color w:val="auto"/>
          <w:sz w:val="32"/>
          <w:szCs w:val="32"/>
        </w:rPr>
      </w:pPr>
      <w:r>
        <w:rPr>
          <w:rFonts w:hint="eastAsia" w:ascii="仿宋_GB2312" w:hAnsi="仿宋_GB2312" w:cs="仿宋_GB2312"/>
          <w:b/>
          <w:color w:val="auto"/>
          <w:sz w:val="32"/>
          <w:szCs w:val="32"/>
          <w:lang w:val="zh-CN"/>
        </w:rPr>
        <w:t>（一）资金计划、到位及使用情况</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1、资金计划及到位。20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年我辖区基本公共卫生服务</w:t>
      </w:r>
      <w:r>
        <w:rPr>
          <w:rFonts w:hint="eastAsia" w:ascii="仿宋_GB2312" w:hAnsi="仿宋_GB2312" w:cs="仿宋_GB2312"/>
          <w:color w:val="auto"/>
          <w:sz w:val="32"/>
          <w:szCs w:val="32"/>
          <w:lang w:val="en-US" w:eastAsia="zh-CN"/>
        </w:rPr>
        <w:t>71.29</w:t>
      </w:r>
      <w:r>
        <w:rPr>
          <w:rFonts w:hint="eastAsia" w:ascii="仿宋_GB2312" w:hAnsi="仿宋_GB2312" w:cs="仿宋_GB2312"/>
          <w:color w:val="auto"/>
          <w:sz w:val="32"/>
          <w:szCs w:val="32"/>
          <w:lang w:val="zh-CN"/>
        </w:rPr>
        <w:t>万元，其中中央、省级、市级安排补助经费</w:t>
      </w:r>
      <w:r>
        <w:rPr>
          <w:rFonts w:hint="eastAsia" w:ascii="仿宋_GB2312" w:hAnsi="仿宋_GB2312" w:cs="仿宋_GB2312"/>
          <w:color w:val="auto"/>
          <w:sz w:val="32"/>
          <w:szCs w:val="32"/>
          <w:lang w:val="en-US" w:eastAsia="zh-CN"/>
        </w:rPr>
        <w:t>64.79</w:t>
      </w:r>
      <w:r>
        <w:rPr>
          <w:rFonts w:hint="eastAsia" w:ascii="仿宋_GB2312" w:hAnsi="仿宋_GB2312" w:cs="仿宋_GB2312"/>
          <w:color w:val="auto"/>
          <w:sz w:val="32"/>
          <w:szCs w:val="32"/>
          <w:lang w:val="zh-CN"/>
        </w:rPr>
        <w:t>万元，区本级安排补助经费</w:t>
      </w:r>
      <w:r>
        <w:rPr>
          <w:rFonts w:hint="eastAsia" w:ascii="仿宋_GB2312" w:hAnsi="仿宋_GB2312" w:cs="仿宋_GB2312"/>
          <w:color w:val="auto"/>
          <w:sz w:val="32"/>
          <w:szCs w:val="32"/>
          <w:lang w:val="en-US" w:eastAsia="zh-CN"/>
        </w:rPr>
        <w:t>6.5</w:t>
      </w:r>
      <w:r>
        <w:rPr>
          <w:rFonts w:hint="eastAsia" w:ascii="仿宋_GB2312" w:hAnsi="仿宋_GB2312" w:cs="仿宋_GB2312"/>
          <w:color w:val="auto"/>
          <w:sz w:val="32"/>
          <w:szCs w:val="32"/>
          <w:lang w:val="zh-CN"/>
        </w:rPr>
        <w:t>万元。单位职工的工资得到了保障，乡村医生的补助也及时足额下发，资金到位率100%。</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2、资金使用。20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年我辖区实行基本公共卫生服务实际支出</w:t>
      </w:r>
      <w:r>
        <w:rPr>
          <w:rFonts w:hint="eastAsia" w:ascii="仿宋_GB2312" w:hAnsi="仿宋_GB2312" w:cs="仿宋_GB2312"/>
          <w:color w:val="auto"/>
          <w:sz w:val="32"/>
          <w:szCs w:val="32"/>
          <w:lang w:val="en-US" w:eastAsia="zh-CN"/>
        </w:rPr>
        <w:t>71.29</w:t>
      </w:r>
      <w:r>
        <w:rPr>
          <w:rFonts w:hint="eastAsia" w:ascii="仿宋_GB2312" w:hAnsi="仿宋_GB2312" w:cs="仿宋_GB2312"/>
          <w:color w:val="auto"/>
          <w:sz w:val="32"/>
          <w:szCs w:val="32"/>
        </w:rPr>
        <w:t>万元</w:t>
      </w:r>
      <w:r>
        <w:rPr>
          <w:rFonts w:hint="eastAsia" w:ascii="仿宋_GB2312" w:hAnsi="仿宋_GB2312" w:cs="仿宋_GB2312"/>
          <w:color w:val="auto"/>
          <w:sz w:val="32"/>
          <w:szCs w:val="32"/>
          <w:lang w:val="zh-CN"/>
        </w:rPr>
        <w:t>，资金开支范围乡村医生基本公共卫生服务补助和开展基本公共卫生服务材料费支出，公共卫生人员工资支出，支付合规合法，资金支付与预算相符，基本公共卫生服务补助资金专款专用，资金使用安全有效。</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（二）项目财务管理情况</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我辖区实行基本公共卫生服务项目财务管理制度健全、机构设置合理、会计核算及账务处理严格按照专款专用管理。按照实行基本药物制度项目资金管理办法，我院严格执行财务管理制度、财务处理及时、会计核算规范。</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（三）项目组织实施情况</w:t>
      </w:r>
    </w:p>
    <w:p>
      <w:pPr>
        <w:adjustRightInd w:val="0"/>
        <w:snapToGrid w:val="0"/>
        <w:spacing w:line="360" w:lineRule="auto"/>
        <w:ind w:firstLine="640" w:firstLineChars="200"/>
        <w:rPr>
          <w:rFonts w:hint="eastAsia" w:ascii="仿宋_GB2312" w:hAnsi="仿宋_GB2312" w:cs="仿宋_GB2312"/>
          <w:b/>
          <w:color w:val="auto"/>
          <w:sz w:val="32"/>
          <w:szCs w:val="32"/>
          <w:lang w:val="zh-CN"/>
        </w:rPr>
      </w:pPr>
      <w:r>
        <w:rPr>
          <w:rFonts w:hint="eastAsia" w:ascii="仿宋_GB2312" w:hAnsi="仿宋_GB2312" w:cs="仿宋_GB2312"/>
          <w:bCs/>
          <w:color w:val="auto"/>
          <w:sz w:val="32"/>
          <w:szCs w:val="32"/>
          <w:lang w:val="zh-CN"/>
        </w:rPr>
        <w:t>项目专项资金主要用于乡镇卫生院、村卫生室，为全</w:t>
      </w:r>
      <w:r>
        <w:rPr>
          <w:rFonts w:hint="eastAsia" w:ascii="仿宋_GB2312" w:hAnsi="仿宋_GB2312" w:cs="仿宋_GB2312"/>
          <w:bCs/>
          <w:color w:val="auto"/>
          <w:sz w:val="32"/>
          <w:szCs w:val="32"/>
          <w:lang w:val="en-US" w:eastAsia="zh-CN"/>
        </w:rPr>
        <w:t>乡</w:t>
      </w:r>
      <w:r>
        <w:rPr>
          <w:rFonts w:hint="eastAsia" w:ascii="仿宋_GB2312" w:hAnsi="仿宋_GB2312" w:cs="仿宋_GB2312"/>
          <w:bCs/>
          <w:color w:val="auto"/>
          <w:sz w:val="32"/>
          <w:szCs w:val="32"/>
          <w:lang w:val="zh-CN"/>
        </w:rPr>
        <w:t>城乡居民提供基本公共卫生服务项目的工作成本补助。项目主要由本单位公共卫生科人员、村卫生室人员及其他科室相关业务人员配合完成。</w:t>
      </w:r>
    </w:p>
    <w:p>
      <w:pPr>
        <w:adjustRightInd w:val="0"/>
        <w:snapToGrid w:val="0"/>
        <w:spacing w:line="360" w:lineRule="auto"/>
        <w:ind w:firstLine="720"/>
        <w:rPr>
          <w:rFonts w:hint="eastAsia" w:ascii="仿宋_GB2312" w:hAnsi="仿宋_GB2312" w:cs="仿宋_GB2312"/>
          <w:b/>
          <w:bCs/>
          <w:color w:val="auto"/>
          <w:sz w:val="32"/>
          <w:szCs w:val="32"/>
          <w:lang w:val="zh-CN"/>
        </w:rPr>
      </w:pPr>
      <w:r>
        <w:rPr>
          <w:rFonts w:hint="eastAsia" w:ascii="仿宋_GB2312" w:hAnsi="仿宋_GB2312" w:cs="仿宋_GB2312"/>
          <w:b/>
          <w:bCs/>
          <w:color w:val="auto"/>
          <w:sz w:val="32"/>
          <w:szCs w:val="32"/>
        </w:rPr>
        <w:t>三、项目绩效情况</w:t>
      </w:r>
      <w:r>
        <w:rPr>
          <w:rFonts w:hint="eastAsia" w:ascii="仿宋_GB2312" w:hAnsi="仿宋_GB2312" w:cs="仿宋_GB2312"/>
          <w:b/>
          <w:bCs/>
          <w:color w:val="auto"/>
          <w:sz w:val="32"/>
          <w:szCs w:val="32"/>
          <w:lang w:val="zh-CN"/>
        </w:rPr>
        <w:tab/>
      </w:r>
    </w:p>
    <w:p>
      <w:pPr>
        <w:pStyle w:val="12"/>
        <w:widowControl/>
        <w:shd w:val="clear" w:color="auto" w:fill="FFFFFF"/>
        <w:spacing w:before="0" w:beforeAutospacing="0" w:after="0" w:afterAutospacing="0" w:line="360" w:lineRule="auto"/>
        <w:ind w:firstLine="420"/>
        <w:jc w:val="both"/>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（一）项目完成情况。</w:t>
      </w:r>
    </w:p>
    <w:p>
      <w:pPr>
        <w:adjustRightInd w:val="0"/>
        <w:snapToGrid w:val="0"/>
        <w:spacing w:line="360" w:lineRule="auto"/>
        <w:ind w:firstLine="720"/>
        <w:rPr>
          <w:rFonts w:hint="eastAsia" w:ascii="仿宋_GB2312" w:hAnsi="仿宋_GB2312" w:cs="仿宋_GB2312"/>
          <w:bCs/>
          <w:color w:val="auto"/>
          <w:sz w:val="32"/>
          <w:szCs w:val="32"/>
        </w:rPr>
      </w:pPr>
      <w:r>
        <w:rPr>
          <w:rFonts w:hint="eastAsia" w:ascii="仿宋_GB2312" w:hAnsi="仿宋_GB2312" w:cs="仿宋_GB2312"/>
          <w:bCs/>
          <w:color w:val="auto"/>
          <w:sz w:val="32"/>
          <w:szCs w:val="32"/>
        </w:rPr>
        <w:t>2020年基本公共卫生服务项目资金</w:t>
      </w:r>
      <w:r>
        <w:rPr>
          <w:rFonts w:hint="eastAsia" w:ascii="仿宋_GB2312" w:hAnsi="仿宋_GB2312" w:cs="仿宋_GB2312"/>
          <w:bCs/>
          <w:color w:val="auto"/>
          <w:sz w:val="32"/>
          <w:szCs w:val="32"/>
          <w:lang w:val="en-US" w:eastAsia="zh-CN"/>
        </w:rPr>
        <w:t>71.29</w:t>
      </w:r>
      <w:r>
        <w:rPr>
          <w:rFonts w:hint="eastAsia" w:ascii="仿宋_GB2312" w:hAnsi="仿宋_GB2312" w:cs="仿宋_GB2312"/>
          <w:bCs/>
          <w:color w:val="auto"/>
          <w:sz w:val="32"/>
          <w:szCs w:val="32"/>
        </w:rPr>
        <w:t>万元，</w:t>
      </w:r>
      <w:r>
        <w:rPr>
          <w:rFonts w:hint="eastAsia" w:ascii="仿宋_GB2312" w:hAnsi="仿宋_GB2312" w:cs="仿宋_GB2312"/>
          <w:bCs/>
          <w:color w:val="auto"/>
          <w:sz w:val="32"/>
          <w:szCs w:val="32"/>
          <w:lang w:val="zh-CN"/>
        </w:rPr>
        <w:t>项目目标经济指标达到</w:t>
      </w:r>
      <w:r>
        <w:rPr>
          <w:rFonts w:hint="eastAsia" w:ascii="仿宋_GB2312" w:hAnsi="仿宋_GB2312" w:cs="仿宋_GB2312"/>
          <w:bCs/>
          <w:color w:val="auto"/>
          <w:sz w:val="32"/>
          <w:szCs w:val="32"/>
        </w:rPr>
        <w:t>100%，完成100%；通过基本公共卫生服务开展达到对辖区居民建档目标达到95%以上，已完成95%；按时完成公卫相关工作及相关报表的上报工作目标达到100%，已完成100%；严格控制基本公共卫生服务经费支出做到专款专用目标达到100%，已完成100%；通过基本公共卫生服务的开展让群众知道该项目的开展目的，目标达到80%以上，已完成100%；通过基本公共卫生服务的开展使群众对该项目的认可度目标达到85%以上，已完成100%。</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（二）项目效益情况。</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居民健康档案管理。规范建立城乡居民健康档案，2020年，我院农村居民规范化建档</w:t>
      </w:r>
      <w:r>
        <w:rPr>
          <w:rFonts w:hint="eastAsia" w:ascii="仿宋_GB2312" w:hAnsi="仿宋_GB2312" w:cs="仿宋_GB2312"/>
          <w:color w:val="auto"/>
          <w:sz w:val="32"/>
          <w:szCs w:val="32"/>
          <w:lang w:val="en-US" w:eastAsia="zh-CN"/>
        </w:rPr>
        <w:t>10968</w:t>
      </w:r>
      <w:r>
        <w:rPr>
          <w:rFonts w:hint="eastAsia" w:ascii="仿宋_GB2312" w:hAnsi="仿宋_GB2312" w:cs="仿宋_GB2312"/>
          <w:color w:val="auto"/>
          <w:sz w:val="32"/>
          <w:szCs w:val="32"/>
        </w:rPr>
        <w:t>人，建档率达到100%。</w:t>
      </w:r>
    </w:p>
    <w:p>
      <w:pPr>
        <w:spacing w:line="360" w:lineRule="auto"/>
        <w:rPr>
          <w:rFonts w:hint="eastAsia" w:ascii="仿宋_GB2312" w:hAnsi="仿宋_GB2312" w:cs="仿宋_GB2312"/>
          <w:color w:val="auto"/>
          <w:sz w:val="32"/>
          <w:szCs w:val="32"/>
        </w:rPr>
      </w:pPr>
      <w:r>
        <w:rPr>
          <w:rFonts w:hint="eastAsia" w:ascii="仿宋_GB2312" w:hAnsi="仿宋_GB2312" w:cs="仿宋_GB2312"/>
          <w:color w:val="auto"/>
          <w:sz w:val="32"/>
          <w:szCs w:val="32"/>
        </w:rPr>
        <w:t xml:space="preserve">   65 岁以上老年人健康管理。1-12月份全镇</w:t>
      </w:r>
      <w:r>
        <w:rPr>
          <w:rFonts w:hint="eastAsia" w:ascii="仿宋_GB2312" w:hAnsi="仿宋_GB2312" w:cs="仿宋_GB2312"/>
          <w:color w:val="auto"/>
          <w:sz w:val="32"/>
          <w:szCs w:val="32"/>
          <w:lang w:val="en-US" w:eastAsia="zh-CN"/>
        </w:rPr>
        <w:t>11</w:t>
      </w:r>
      <w:r>
        <w:rPr>
          <w:rFonts w:hint="eastAsia" w:ascii="仿宋_GB2312" w:hAnsi="仿宋_GB2312" w:cs="仿宋_GB2312"/>
          <w:color w:val="auto"/>
          <w:sz w:val="32"/>
          <w:szCs w:val="32"/>
        </w:rPr>
        <w:t>个行政村登记管理65岁及以上老年人</w:t>
      </w:r>
      <w:r>
        <w:rPr>
          <w:rFonts w:hint="eastAsia" w:ascii="仿宋_GB2312" w:hAnsi="仿宋_GB2312" w:cs="仿宋_GB2312"/>
          <w:color w:val="auto"/>
          <w:sz w:val="32"/>
          <w:szCs w:val="32"/>
          <w:lang w:val="en-US" w:eastAsia="zh-CN"/>
        </w:rPr>
        <w:t>1266</w:t>
      </w:r>
      <w:r>
        <w:rPr>
          <w:rFonts w:hint="eastAsia" w:ascii="仿宋_GB2312" w:hAnsi="仿宋_GB2312" w:cs="仿宋_GB2312"/>
          <w:color w:val="auto"/>
          <w:sz w:val="32"/>
          <w:szCs w:val="32"/>
        </w:rPr>
        <w:t>人，健康体检人数</w:t>
      </w:r>
      <w:r>
        <w:rPr>
          <w:rFonts w:hint="eastAsia" w:ascii="仿宋_GB2312" w:hAnsi="仿宋_GB2312" w:cs="仿宋_GB2312"/>
          <w:color w:val="auto"/>
          <w:sz w:val="32"/>
          <w:szCs w:val="32"/>
          <w:lang w:val="en-US" w:eastAsia="zh-CN"/>
        </w:rPr>
        <w:t>1030</w:t>
      </w:r>
      <w:r>
        <w:rPr>
          <w:rFonts w:hint="eastAsia" w:ascii="仿宋_GB2312" w:hAnsi="仿宋_GB2312" w:cs="仿宋_GB2312"/>
          <w:color w:val="auto"/>
          <w:sz w:val="32"/>
          <w:szCs w:val="32"/>
        </w:rPr>
        <w:t>人。家庭医生签约服务</w:t>
      </w:r>
      <w:r>
        <w:rPr>
          <w:rFonts w:hint="eastAsia" w:ascii="仿宋_GB2312" w:hAnsi="仿宋_GB2312" w:cs="仿宋_GB2312"/>
          <w:color w:val="auto"/>
          <w:sz w:val="32"/>
          <w:szCs w:val="32"/>
          <w:lang w:val="en-US" w:eastAsia="zh-CN"/>
        </w:rPr>
        <w:t>1075</w:t>
      </w:r>
      <w:r>
        <w:rPr>
          <w:rFonts w:hint="eastAsia" w:ascii="仿宋_GB2312" w:hAnsi="仿宋_GB2312" w:cs="仿宋_GB2312"/>
          <w:color w:val="auto"/>
          <w:sz w:val="32"/>
          <w:szCs w:val="32"/>
        </w:rPr>
        <w:t xml:space="preserve">人。 </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慢性病完成情况。自公共卫生服务工作启动以来，我们采取积极有效的措施，充分调动乡村医生的积极性，深入村户，对35岁以上人群进行逐一筛查，全镇高血压患者</w:t>
      </w:r>
      <w:r>
        <w:rPr>
          <w:rFonts w:hint="eastAsia" w:ascii="仿宋_GB2312" w:hAnsi="仿宋_GB2312" w:cs="仿宋_GB2312"/>
          <w:color w:val="auto"/>
          <w:sz w:val="32"/>
          <w:szCs w:val="32"/>
          <w:lang w:val="en-US" w:eastAsia="zh-CN"/>
        </w:rPr>
        <w:t>474</w:t>
      </w:r>
      <w:r>
        <w:rPr>
          <w:rFonts w:hint="eastAsia" w:ascii="仿宋_GB2312" w:hAnsi="仿宋_GB2312" w:cs="仿宋_GB2312"/>
          <w:color w:val="auto"/>
          <w:sz w:val="32"/>
          <w:szCs w:val="32"/>
        </w:rPr>
        <w:t>人，精神病人在管</w:t>
      </w:r>
      <w:r>
        <w:rPr>
          <w:rFonts w:hint="eastAsia" w:ascii="仿宋_GB2312" w:hAnsi="仿宋_GB2312" w:cs="仿宋_GB2312"/>
          <w:color w:val="auto"/>
          <w:sz w:val="32"/>
          <w:szCs w:val="32"/>
          <w:lang w:val="en-US" w:eastAsia="zh-CN"/>
        </w:rPr>
        <w:t>40</w:t>
      </w:r>
      <w:r>
        <w:rPr>
          <w:rFonts w:hint="eastAsia" w:ascii="仿宋_GB2312" w:hAnsi="仿宋_GB2312" w:cs="仿宋_GB2312"/>
          <w:color w:val="auto"/>
          <w:sz w:val="32"/>
          <w:szCs w:val="32"/>
        </w:rPr>
        <w:t>例，糖尿病患者</w:t>
      </w:r>
      <w:r>
        <w:rPr>
          <w:rFonts w:hint="eastAsia" w:ascii="仿宋_GB2312" w:hAnsi="仿宋_GB2312" w:cs="仿宋_GB2312"/>
          <w:color w:val="auto"/>
          <w:sz w:val="32"/>
          <w:szCs w:val="32"/>
          <w:lang w:val="en-US" w:eastAsia="zh-CN"/>
        </w:rPr>
        <w:t>63</w:t>
      </w:r>
      <w:r>
        <w:rPr>
          <w:rFonts w:hint="eastAsia" w:ascii="仿宋_GB2312" w:hAnsi="仿宋_GB2312" w:cs="仿宋_GB2312"/>
          <w:color w:val="auto"/>
          <w:sz w:val="32"/>
          <w:szCs w:val="32"/>
        </w:rPr>
        <w:t>人 ，对慢性病患者实行6</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rPr>
        <w:t xml:space="preserve">%的管理。 </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孕产妇管理。辖区孕产妇</w:t>
      </w:r>
      <w:r>
        <w:rPr>
          <w:rFonts w:hint="eastAsia" w:ascii="仿宋_GB2312" w:hAnsi="仿宋_GB2312" w:cs="仿宋_GB2312"/>
          <w:color w:val="auto"/>
          <w:sz w:val="32"/>
          <w:szCs w:val="32"/>
          <w:lang w:val="en-US" w:eastAsia="zh-CN"/>
        </w:rPr>
        <w:t>51</w:t>
      </w:r>
      <w:r>
        <w:rPr>
          <w:rFonts w:hint="eastAsia" w:ascii="仿宋_GB2312" w:hAnsi="仿宋_GB2312" w:cs="仿宋_GB2312"/>
          <w:color w:val="auto"/>
          <w:sz w:val="32"/>
          <w:szCs w:val="32"/>
        </w:rPr>
        <w:t>人，其中在家居住</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人，在外地居住</w:t>
      </w:r>
      <w:r>
        <w:rPr>
          <w:rFonts w:hint="eastAsia" w:ascii="仿宋_GB2312" w:hAnsi="仿宋_GB2312" w:cs="仿宋_GB2312"/>
          <w:color w:val="auto"/>
          <w:sz w:val="32"/>
          <w:szCs w:val="32"/>
          <w:lang w:val="en-US" w:eastAsia="zh-CN"/>
        </w:rPr>
        <w:t>48</w:t>
      </w:r>
      <w:r>
        <w:rPr>
          <w:rFonts w:hint="eastAsia" w:ascii="仿宋_GB2312" w:hAnsi="仿宋_GB2312" w:cs="仿宋_GB2312"/>
          <w:color w:val="auto"/>
          <w:sz w:val="32"/>
          <w:szCs w:val="32"/>
        </w:rPr>
        <w:t>人，完成孕产妇建档管理</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人，孕产妇管理率达100 %。无一例高危产妇及婴儿出生缺陷，无孕产妇死亡。同时，大力宣传各种免费项目，提高目标人群的知晓率。认真做好“农村妇女增补叶酸预防神经管畸形”宣传落实工作。目标人群知晓率100%，叶酸服用依从率</w:t>
      </w:r>
      <w:r>
        <w:rPr>
          <w:rFonts w:hint="eastAsia" w:ascii="仿宋_GB2312" w:hAnsi="仿宋_GB2312" w:cs="仿宋_GB2312"/>
          <w:color w:val="auto"/>
          <w:sz w:val="32"/>
          <w:szCs w:val="32"/>
          <w:lang w:val="en-US" w:eastAsia="zh-CN"/>
        </w:rPr>
        <w:t>99</w:t>
      </w:r>
      <w:r>
        <w:rPr>
          <w:rFonts w:hint="eastAsia" w:ascii="仿宋_GB2312" w:hAnsi="仿宋_GB2312" w:cs="仿宋_GB2312"/>
          <w:color w:val="auto"/>
          <w:sz w:val="32"/>
          <w:szCs w:val="32"/>
        </w:rPr>
        <w:t>%。</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0</w:t>
      </w:r>
      <w:r>
        <w:rPr>
          <w:rFonts w:hint="eastAsia" w:ascii="仿宋_GB2312" w:hAnsi="仿宋_GB2312" w:cs="仿宋_GB2312"/>
          <w:color w:val="auto"/>
          <w:sz w:val="32"/>
          <w:szCs w:val="32"/>
        </w:rPr>
        <w:softHyphen/>
      </w:r>
      <w:r>
        <w:rPr>
          <w:rFonts w:hint="eastAsia" w:ascii="仿宋_GB2312" w:hAnsi="仿宋_GB2312" w:cs="仿宋_GB2312"/>
          <w:color w:val="auto"/>
          <w:sz w:val="32"/>
          <w:szCs w:val="32"/>
        </w:rPr>
        <w:t>—6岁儿童健康管理。0</w:t>
      </w:r>
      <w:r>
        <w:rPr>
          <w:rFonts w:hint="eastAsia" w:ascii="仿宋_GB2312" w:hAnsi="仿宋_GB2312" w:cs="仿宋_GB2312"/>
          <w:color w:val="auto"/>
          <w:sz w:val="32"/>
          <w:szCs w:val="32"/>
        </w:rPr>
        <w:softHyphen/>
      </w:r>
      <w:r>
        <w:rPr>
          <w:rFonts w:hint="eastAsia" w:ascii="仿宋_GB2312" w:hAnsi="仿宋_GB2312" w:cs="仿宋_GB2312"/>
          <w:color w:val="auto"/>
          <w:sz w:val="32"/>
          <w:szCs w:val="32"/>
        </w:rPr>
        <w:t>—6岁儿童健康体检</w:t>
      </w:r>
      <w:r>
        <w:rPr>
          <w:rFonts w:hint="eastAsia" w:ascii="仿宋_GB2312" w:hAnsi="仿宋_GB2312" w:cs="仿宋_GB2312"/>
          <w:color w:val="auto"/>
          <w:sz w:val="32"/>
          <w:szCs w:val="32"/>
          <w:lang w:val="en-US" w:eastAsia="zh-CN"/>
        </w:rPr>
        <w:t>74</w:t>
      </w:r>
      <w:r>
        <w:rPr>
          <w:rFonts w:hint="eastAsia" w:ascii="仿宋_GB2312" w:hAnsi="仿宋_GB2312" w:cs="仿宋_GB2312"/>
          <w:color w:val="auto"/>
          <w:sz w:val="32"/>
          <w:szCs w:val="32"/>
        </w:rPr>
        <w:t>人，无体弱儿及重度贫血儿童。</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免疫规划工作。预防接种应建卡</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人，实建卡</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人，建卡率</w:t>
      </w:r>
      <w:r>
        <w:rPr>
          <w:rFonts w:hint="eastAsia" w:ascii="仿宋_GB2312" w:hAnsi="仿宋_GB2312" w:cs="仿宋_GB2312"/>
          <w:color w:val="auto"/>
          <w:sz w:val="32"/>
          <w:szCs w:val="32"/>
          <w:lang w:val="en-US" w:eastAsia="zh-CN"/>
        </w:rPr>
        <w:t>100</w:t>
      </w:r>
      <w:r>
        <w:rPr>
          <w:rFonts w:hint="eastAsia" w:ascii="仿宋_GB2312" w:hAnsi="仿宋_GB2312" w:cs="仿宋_GB2312"/>
          <w:color w:val="auto"/>
          <w:sz w:val="32"/>
          <w:szCs w:val="32"/>
        </w:rPr>
        <w:t>%。</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结核病管理。认真落实疑似结核病人转诊制度，认真规范的管理确诊的结核病患者。</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传染病管理。加强预检分诊、发热哨点诊室、门诊监测对传染病人做到“早发现、早上报、早治疗”，今年我院传染病报告</w:t>
      </w:r>
      <w:r>
        <w:rPr>
          <w:rFonts w:hint="eastAsia" w:ascii="仿宋_GB2312" w:hAnsi="仿宋_GB2312" w:cs="仿宋_GB2312"/>
          <w:color w:val="auto"/>
          <w:sz w:val="32"/>
          <w:szCs w:val="32"/>
          <w:lang w:val="en-US" w:eastAsia="zh-CN"/>
        </w:rPr>
        <w:t>0</w:t>
      </w:r>
      <w:r>
        <w:rPr>
          <w:rFonts w:hint="eastAsia" w:ascii="仿宋_GB2312" w:hAnsi="仿宋_GB2312" w:cs="仿宋_GB2312"/>
          <w:color w:val="auto"/>
          <w:sz w:val="32"/>
          <w:szCs w:val="32"/>
        </w:rPr>
        <w:t>例。</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加大健康教育宣传力度，普及健康知识，提高健康素养。全年发放居民健康教育宣传材料</w:t>
      </w:r>
      <w:r>
        <w:rPr>
          <w:rFonts w:hint="eastAsia" w:ascii="仿宋_GB2312" w:hAnsi="仿宋_GB2312" w:cs="仿宋_GB2312"/>
          <w:color w:val="auto"/>
          <w:sz w:val="32"/>
          <w:szCs w:val="32"/>
          <w:lang w:val="en-US" w:eastAsia="zh-CN"/>
        </w:rPr>
        <w:t>26</w:t>
      </w:r>
      <w:r>
        <w:rPr>
          <w:rFonts w:hint="eastAsia" w:ascii="仿宋_GB2312" w:hAnsi="仿宋_GB2312" w:cs="仿宋_GB2312"/>
          <w:color w:val="auto"/>
          <w:sz w:val="32"/>
          <w:szCs w:val="32"/>
        </w:rPr>
        <w:t>种，在门诊播放</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种宣传视频，在卫生院及村卫</w:t>
      </w:r>
      <w:r>
        <w:rPr>
          <w:rFonts w:hint="eastAsia" w:ascii="仿宋_GB2312" w:hAnsi="仿宋_GB2312" w:cs="仿宋_GB2312"/>
          <w:color w:val="auto"/>
          <w:sz w:val="32"/>
          <w:szCs w:val="32"/>
          <w:lang w:val="en-US" w:eastAsia="zh-CN"/>
        </w:rPr>
        <w:t>生</w:t>
      </w:r>
      <w:r>
        <w:rPr>
          <w:rFonts w:hint="eastAsia" w:ascii="仿宋_GB2312" w:hAnsi="仿宋_GB2312" w:cs="仿宋_GB2312"/>
          <w:color w:val="auto"/>
          <w:sz w:val="32"/>
          <w:szCs w:val="32"/>
        </w:rPr>
        <w:t>室内设立宣传栏，并及时更换宣传内容</w:t>
      </w:r>
      <w:r>
        <w:rPr>
          <w:rFonts w:hint="eastAsia" w:ascii="仿宋_GB2312" w:hAnsi="仿宋_GB2312" w:cs="仿宋_GB2312"/>
          <w:color w:val="auto"/>
          <w:sz w:val="32"/>
          <w:szCs w:val="32"/>
          <w:lang w:val="en-US" w:eastAsia="zh-CN"/>
        </w:rPr>
        <w:t>8</w:t>
      </w:r>
      <w:r>
        <w:rPr>
          <w:rFonts w:hint="eastAsia" w:ascii="仿宋_GB2312" w:hAnsi="仿宋_GB2312" w:cs="仿宋_GB2312"/>
          <w:color w:val="auto"/>
          <w:sz w:val="32"/>
          <w:szCs w:val="32"/>
        </w:rPr>
        <w:t>次，举办</w:t>
      </w:r>
      <w:r>
        <w:rPr>
          <w:rFonts w:hint="eastAsia" w:ascii="仿宋_GB2312" w:hAnsi="仿宋_GB2312" w:cs="仿宋_GB2312"/>
          <w:color w:val="auto"/>
          <w:sz w:val="32"/>
          <w:szCs w:val="32"/>
          <w:lang w:eastAsia="zh-CN"/>
        </w:rPr>
        <w:t>讲座</w:t>
      </w:r>
      <w:r>
        <w:rPr>
          <w:rFonts w:hint="eastAsia" w:ascii="仿宋_GB2312" w:hAnsi="仿宋_GB2312" w:cs="仿宋_GB2312"/>
          <w:color w:val="auto"/>
          <w:sz w:val="32"/>
          <w:szCs w:val="32"/>
          <w:lang w:val="en-US" w:eastAsia="zh-CN"/>
        </w:rPr>
        <w:t>11</w:t>
      </w:r>
      <w:r>
        <w:rPr>
          <w:rFonts w:hint="eastAsia" w:ascii="仿宋_GB2312" w:hAnsi="仿宋_GB2312" w:cs="仿宋_GB2312"/>
          <w:color w:val="auto"/>
          <w:sz w:val="32"/>
          <w:szCs w:val="32"/>
        </w:rPr>
        <w:t>次，通过办板报、发放宣传单、举办讲座的形式进一步提高辖区居民的健康意识和保健意识。</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艾滋病防治管理工作。继续加强艾滋病防治工作，重点推进宣传教育、检测发现、随访管理等工</w:t>
      </w:r>
      <w:r>
        <w:rPr>
          <w:rFonts w:hint="eastAsia" w:ascii="仿宋_GB2312" w:hAnsi="仿宋_GB2312" w:cs="仿宋_GB2312"/>
          <w:color w:val="auto"/>
          <w:sz w:val="32"/>
          <w:szCs w:val="32"/>
          <w:lang w:eastAsia="zh-CN"/>
        </w:rPr>
        <w:t>截至</w:t>
      </w:r>
      <w:r>
        <w:rPr>
          <w:rFonts w:hint="eastAsia" w:ascii="仿宋_GB2312" w:hAnsi="仿宋_GB2312" w:cs="仿宋_GB2312"/>
          <w:color w:val="auto"/>
          <w:sz w:val="32"/>
          <w:szCs w:val="32"/>
        </w:rPr>
        <w:t>11月底我院总共对</w:t>
      </w:r>
      <w:r>
        <w:rPr>
          <w:rFonts w:hint="eastAsia" w:ascii="仿宋_GB2312" w:hAnsi="仿宋_GB2312" w:cs="仿宋_GB2312"/>
          <w:color w:val="auto"/>
          <w:sz w:val="32"/>
          <w:szCs w:val="32"/>
          <w:lang w:val="en-US" w:eastAsia="zh-CN"/>
        </w:rPr>
        <w:t>1871</w:t>
      </w:r>
      <w:r>
        <w:rPr>
          <w:rFonts w:hint="eastAsia" w:ascii="仿宋_GB2312" w:hAnsi="仿宋_GB2312" w:cs="仿宋_GB2312"/>
          <w:color w:val="auto"/>
          <w:sz w:val="32"/>
          <w:szCs w:val="32"/>
        </w:rPr>
        <w:t>人进行了艾滋病病毒抗体检测，阳性检测</w:t>
      </w:r>
      <w:r>
        <w:rPr>
          <w:rFonts w:hint="eastAsia" w:ascii="仿宋_GB2312" w:hAnsi="仿宋_GB2312" w:cs="仿宋_GB2312"/>
          <w:color w:val="auto"/>
          <w:sz w:val="32"/>
          <w:szCs w:val="32"/>
          <w:lang w:val="en-US" w:eastAsia="zh-CN"/>
        </w:rPr>
        <w:t>0</w:t>
      </w:r>
      <w:r>
        <w:rPr>
          <w:rFonts w:hint="eastAsia" w:ascii="仿宋_GB2312" w:hAnsi="仿宋_GB2312" w:cs="仿宋_GB2312"/>
          <w:color w:val="auto"/>
          <w:sz w:val="32"/>
          <w:szCs w:val="32"/>
        </w:rPr>
        <w:t>人。各人群艾滋病防治知识知晓率达95%，公共场所安全套摆放率达100%。</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rPr>
        <w:t>卫生监督管理。每季度协助卫生监督中队开展食品安全检查、职业病防治、打击非法行医工作及饮用水管理、学校传染病监测等工作。</w:t>
      </w:r>
    </w:p>
    <w:p>
      <w:pPr>
        <w:adjustRightInd w:val="0"/>
        <w:snapToGrid w:val="0"/>
        <w:spacing w:line="360" w:lineRule="auto"/>
        <w:ind w:firstLine="720"/>
        <w:rPr>
          <w:rFonts w:hint="eastAsia" w:ascii="仿宋_GB2312" w:hAnsi="仿宋_GB2312" w:cs="仿宋_GB2312"/>
          <w:b/>
          <w:bCs/>
          <w:color w:val="auto"/>
          <w:sz w:val="32"/>
          <w:szCs w:val="32"/>
        </w:rPr>
      </w:pPr>
      <w:r>
        <w:rPr>
          <w:rFonts w:hint="eastAsia" w:ascii="仿宋_GB2312" w:hAnsi="仿宋_GB2312" w:cs="仿宋_GB2312"/>
          <w:b/>
          <w:bCs/>
          <w:color w:val="auto"/>
          <w:sz w:val="32"/>
          <w:szCs w:val="32"/>
        </w:rPr>
        <w:t>四、问题及建议</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（一）存在的问题</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1.强化宣传。进一步加大宣传力度，让广大城乡居民更全面了解项目的益处，提高群众知晓率，鼓励群众积极参与，配合基本公共卫生服务工作的开展。</w:t>
      </w:r>
    </w:p>
    <w:p>
      <w:pPr>
        <w:pStyle w:val="12"/>
        <w:widowControl/>
        <w:shd w:val="clear" w:color="auto" w:fill="FFFFFF"/>
        <w:spacing w:before="0" w:beforeAutospacing="0" w:after="0" w:afterAutospacing="0" w:line="360" w:lineRule="auto"/>
        <w:ind w:firstLine="420"/>
        <w:jc w:val="both"/>
        <w:rPr>
          <w:rFonts w:hint="eastAsia" w:ascii="仿宋_GB2312" w:hAnsi="仿宋_GB2312" w:cs="仿宋_GB2312"/>
          <w:color w:val="auto"/>
          <w:kern w:val="2"/>
          <w:sz w:val="32"/>
          <w:szCs w:val="32"/>
          <w:lang w:val="zh-CN"/>
        </w:rPr>
      </w:pPr>
      <w:r>
        <w:rPr>
          <w:rFonts w:hint="eastAsia" w:ascii="仿宋_GB2312" w:hAnsi="仿宋_GB2312" w:cs="仿宋_GB2312"/>
          <w:color w:val="auto"/>
          <w:kern w:val="2"/>
          <w:sz w:val="32"/>
          <w:szCs w:val="32"/>
          <w:lang w:val="zh-CN"/>
        </w:rPr>
        <w:t>2.强化培训。切实加强乡、村两级基本公共卫生服务人员培训，重点培训《国家基本公共卫生服务项目绩效考核指导方案》和《肺结核患者健康管理规范》，切实做到全员培训、全员知晓。</w:t>
      </w:r>
    </w:p>
    <w:p>
      <w:pPr>
        <w:pStyle w:val="12"/>
        <w:widowControl/>
        <w:shd w:val="clear" w:color="auto" w:fill="FFFFFF"/>
        <w:spacing w:before="0" w:beforeAutospacing="0" w:after="0" w:afterAutospacing="0" w:line="360" w:lineRule="auto"/>
        <w:ind w:firstLine="420"/>
        <w:jc w:val="both"/>
        <w:rPr>
          <w:rFonts w:hint="eastAsia" w:ascii="仿宋_GB2312" w:hAnsi="仿宋_GB2312" w:cs="仿宋_GB2312"/>
          <w:color w:val="auto"/>
          <w:kern w:val="2"/>
          <w:sz w:val="32"/>
          <w:szCs w:val="32"/>
          <w:lang w:val="zh-CN"/>
        </w:rPr>
      </w:pPr>
      <w:r>
        <w:rPr>
          <w:rFonts w:hint="eastAsia" w:ascii="仿宋_GB2312" w:hAnsi="仿宋_GB2312" w:cs="仿宋_GB2312"/>
          <w:color w:val="auto"/>
          <w:kern w:val="2"/>
          <w:sz w:val="32"/>
          <w:szCs w:val="32"/>
          <w:lang w:val="zh-CN"/>
        </w:rPr>
        <w:t>3.强化督导。对照《国家基本公共卫生服务规范第三版》要求和国家、省考核标准，督促、指导乡镇卫生院针对各自的不足之处进行整改，确保14大类53项基本公共卫生服务项目逐一过关、逐一达标，促进全区基本公共卫生工作再上新台阶。</w:t>
      </w:r>
    </w:p>
    <w:p>
      <w:pPr>
        <w:pStyle w:val="12"/>
        <w:widowControl/>
        <w:shd w:val="clear" w:color="auto" w:fill="FFFFFF"/>
        <w:spacing w:before="0" w:beforeAutospacing="0" w:after="0" w:afterAutospacing="0" w:line="360" w:lineRule="auto"/>
        <w:ind w:firstLine="420"/>
        <w:jc w:val="both"/>
        <w:rPr>
          <w:rFonts w:hint="eastAsia" w:ascii="仿宋_GB2312" w:hAnsi="仿宋_GB2312" w:cs="仿宋_GB2312"/>
          <w:color w:val="auto"/>
          <w:kern w:val="2"/>
          <w:sz w:val="32"/>
          <w:szCs w:val="32"/>
          <w:lang w:val="zh-CN"/>
        </w:rPr>
      </w:pPr>
      <w:r>
        <w:rPr>
          <w:rFonts w:hint="eastAsia" w:ascii="仿宋_GB2312" w:hAnsi="仿宋_GB2312" w:cs="仿宋_GB2312"/>
          <w:color w:val="auto"/>
          <w:kern w:val="2"/>
          <w:sz w:val="32"/>
          <w:szCs w:val="32"/>
          <w:lang w:val="zh-CN"/>
        </w:rPr>
        <w:t>4.强化考核。进一步完善基本公共卫生服务项目绩效考核标准和考核结果应用，实际购买服务模式，做到钱随事走，工作数量、质量牢牢与经费补助挂钩，实行专款专用，奖罚兑现，建立基本公共卫生服务管理的长效机制。</w:t>
      </w:r>
    </w:p>
    <w:p>
      <w:pPr>
        <w:spacing w:line="360" w:lineRule="auto"/>
        <w:ind w:firstLine="643" w:firstLineChars="20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（二）相关建议。</w:t>
      </w:r>
    </w:p>
    <w:p>
      <w:pPr>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lang w:val="zh-CN"/>
        </w:rPr>
        <w:t>大力加强宣传力度，让更多的老百姓知道国家基本公共卫生服务政策带来的实惠；强化培训制度和考核制度，让国家专项资金切实落到实处。</w:t>
      </w:r>
      <w:r>
        <w:rPr>
          <w:rFonts w:hint="eastAsia" w:ascii="仿宋_GB2312" w:hAnsi="仿宋_GB2312" w:cs="仿宋_GB2312"/>
          <w:color w:val="auto"/>
          <w:sz w:val="32"/>
          <w:szCs w:val="32"/>
        </w:rPr>
        <w:t>我院将以预防保健为中心，创建一流乡镇卫生院；以改革为动力，倡导竞争、敬业、进取精神；以人才培养为根本，努力提高全员素质。</w:t>
      </w:r>
    </w:p>
    <w:p>
      <w:pPr>
        <w:widowControl/>
        <w:spacing w:line="600" w:lineRule="exact"/>
        <w:jc w:val="left"/>
        <w:rPr>
          <w:rFonts w:hint="eastAsia" w:ascii="黑体" w:hAnsi="黑体" w:eastAsia="黑体"/>
          <w:color w:val="auto"/>
          <w:sz w:val="32"/>
          <w:szCs w:val="32"/>
        </w:rPr>
      </w:pPr>
    </w:p>
    <w:p>
      <w:pPr>
        <w:pStyle w:val="30"/>
        <w:spacing w:line="600" w:lineRule="exact"/>
        <w:jc w:val="center"/>
        <w:rPr>
          <w:rFonts w:ascii="方正小标宋简体" w:hAnsi="宋体" w:eastAsia="方正小标宋简体"/>
          <w:color w:val="auto"/>
          <w:sz w:val="32"/>
          <w:szCs w:val="32"/>
        </w:rPr>
      </w:pPr>
      <w:r>
        <w:rPr>
          <w:rFonts w:hint="eastAsia" w:ascii="方正小标宋简体" w:hAnsi="宋体" w:eastAsia="方正小标宋简体"/>
          <w:color w:val="auto"/>
          <w:sz w:val="32"/>
          <w:szCs w:val="32"/>
        </w:rPr>
        <w:t>达川区</w:t>
      </w:r>
      <w:r>
        <w:rPr>
          <w:rFonts w:hint="eastAsia" w:ascii="方正小标宋简体" w:hAnsi="宋体" w:eastAsia="方正小标宋简体"/>
          <w:color w:val="auto"/>
          <w:sz w:val="32"/>
          <w:szCs w:val="32"/>
          <w:lang w:val="en-US" w:eastAsia="zh-CN"/>
        </w:rPr>
        <w:t>虎让乡</w:t>
      </w:r>
      <w:r>
        <w:rPr>
          <w:rFonts w:hint="eastAsia" w:ascii="方正小标宋简体" w:hAnsi="宋体" w:eastAsia="方正小标宋简体"/>
          <w:color w:val="auto"/>
          <w:sz w:val="32"/>
          <w:szCs w:val="32"/>
        </w:rPr>
        <w:t>卫生院项目支出绩效自评报告</w:t>
      </w:r>
    </w:p>
    <w:p>
      <w:pPr>
        <w:spacing w:line="600" w:lineRule="exact"/>
        <w:jc w:val="center"/>
        <w:rPr>
          <w:rFonts w:ascii="仿宋_GB2312" w:hAnsi="宋体"/>
          <w:color w:val="auto"/>
          <w:sz w:val="32"/>
          <w:szCs w:val="32"/>
        </w:rPr>
      </w:pPr>
      <w:r>
        <w:rPr>
          <w:rFonts w:hint="eastAsia" w:ascii="仿宋_GB2312" w:hAnsi="宋体"/>
          <w:color w:val="auto"/>
          <w:sz w:val="32"/>
          <w:szCs w:val="32"/>
        </w:rPr>
        <w:t>（实施基本药物制度项目）</w:t>
      </w:r>
    </w:p>
    <w:p>
      <w:pPr>
        <w:pStyle w:val="30"/>
        <w:spacing w:line="600" w:lineRule="exact"/>
        <w:rPr>
          <w:rFonts w:ascii="宋体" w:hAnsi="宋体"/>
          <w:color w:val="auto"/>
          <w:kern w:val="2"/>
          <w:sz w:val="32"/>
          <w:szCs w:val="32"/>
        </w:rPr>
      </w:pP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rPr>
        <w:t>一、</w:t>
      </w:r>
      <w:r>
        <w:rPr>
          <w:rFonts w:hint="eastAsia" w:ascii="仿宋_GB2312" w:hAnsi="仿宋_GB2312" w:cs="仿宋_GB2312"/>
          <w:color w:val="auto"/>
          <w:sz w:val="32"/>
          <w:szCs w:val="32"/>
          <w:lang w:val="zh-CN"/>
        </w:rPr>
        <w:t>项目概况</w:t>
      </w:r>
    </w:p>
    <w:p>
      <w:pPr>
        <w:adjustRightInd w:val="0"/>
        <w:snapToGrid w:val="0"/>
        <w:spacing w:line="360" w:lineRule="auto"/>
        <w:ind w:firstLine="720"/>
        <w:rPr>
          <w:rFonts w:hint="eastAsia" w:ascii="仿宋_GB2312" w:hAnsi="仿宋_GB2312" w:cs="仿宋_GB2312"/>
          <w:color w:val="auto"/>
          <w:sz w:val="32"/>
          <w:szCs w:val="32"/>
        </w:rPr>
      </w:pPr>
      <w:r>
        <w:rPr>
          <w:rFonts w:hint="eastAsia" w:ascii="仿宋_GB2312" w:hAnsi="仿宋_GB2312" w:cs="仿宋_GB2312"/>
          <w:color w:val="auto"/>
          <w:sz w:val="32"/>
          <w:szCs w:val="32"/>
          <w:lang w:val="zh-CN"/>
        </w:rPr>
        <w:t>按照《达川区建立国家基本药物制度实施方案（试行）》文件要求，全区乡镇卫生社区卫生区卫服务中心、村卫生室使用的基本药物100%通过四川省药品集中采购平台进行采购（村卫生室的基本药物由社区卫生服务中心和乡镇卫生院代采购），采购的基本药物全部零差率销售，药品差价由中央、省、市、区财政部门制定补偿方案进行补偿。</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我院对20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年实施基本药物制度项目专项资金开展绩效评价，进行了自评，现将自评情况报告如下</w:t>
      </w:r>
    </w:p>
    <w:p>
      <w:pPr>
        <w:adjustRightInd w:val="0"/>
        <w:snapToGrid w:val="0"/>
        <w:spacing w:line="360" w:lineRule="auto"/>
        <w:ind w:firstLine="643" w:firstLineChars="20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（一）项目资金申报及批复情况。</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color w:val="auto"/>
          <w:sz w:val="32"/>
          <w:szCs w:val="32"/>
          <w:lang w:val="zh-CN"/>
        </w:rPr>
        <w:t>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年实施基本药物制度项目共到位资金</w:t>
      </w:r>
      <w:r>
        <w:rPr>
          <w:rFonts w:hint="eastAsia" w:ascii="仿宋_GB2312" w:hAnsi="仿宋_GB2312" w:cs="仿宋_GB2312"/>
          <w:color w:val="auto"/>
          <w:sz w:val="32"/>
          <w:szCs w:val="32"/>
          <w:lang w:val="en-US" w:eastAsia="zh-CN"/>
        </w:rPr>
        <w:t>13.7</w:t>
      </w:r>
      <w:r>
        <w:rPr>
          <w:rFonts w:hint="eastAsia" w:ascii="仿宋_GB2312" w:hAnsi="仿宋_GB2312" w:cs="仿宋_GB2312"/>
          <w:color w:val="auto"/>
          <w:sz w:val="32"/>
          <w:szCs w:val="32"/>
          <w:lang w:val="zh-CN"/>
        </w:rPr>
        <w:t>万元，其中本级财政配套资金</w:t>
      </w:r>
      <w:r>
        <w:rPr>
          <w:rFonts w:hint="eastAsia" w:ascii="仿宋_GB2312" w:hAnsi="仿宋_GB2312" w:cs="仿宋_GB2312"/>
          <w:color w:val="auto"/>
          <w:sz w:val="32"/>
          <w:szCs w:val="32"/>
          <w:lang w:val="en-US" w:eastAsia="zh-CN"/>
        </w:rPr>
        <w:t>3.25</w:t>
      </w:r>
      <w:r>
        <w:rPr>
          <w:rFonts w:hint="eastAsia" w:ascii="仿宋_GB2312" w:hAnsi="仿宋_GB2312" w:cs="仿宋_GB2312"/>
          <w:color w:val="auto"/>
          <w:sz w:val="32"/>
          <w:szCs w:val="32"/>
          <w:lang w:val="zh-CN"/>
        </w:rPr>
        <w:t>万元、上级财政配套资金</w:t>
      </w:r>
      <w:r>
        <w:rPr>
          <w:rFonts w:hint="eastAsia" w:ascii="仿宋_GB2312" w:hAnsi="仿宋_GB2312" w:cs="仿宋_GB2312"/>
          <w:color w:val="auto"/>
          <w:sz w:val="32"/>
          <w:szCs w:val="32"/>
          <w:lang w:val="en-US" w:eastAsia="zh-CN"/>
        </w:rPr>
        <w:t>10.45</w:t>
      </w:r>
      <w:r>
        <w:rPr>
          <w:rFonts w:hint="eastAsia" w:ascii="仿宋_GB2312" w:hAnsi="仿宋_GB2312" w:cs="仿宋_GB2312"/>
          <w:color w:val="auto"/>
          <w:sz w:val="32"/>
          <w:szCs w:val="32"/>
        </w:rPr>
        <w:t xml:space="preserve">   万元</w:t>
      </w:r>
      <w:r>
        <w:rPr>
          <w:rFonts w:hint="eastAsia" w:ascii="仿宋_GB2312" w:hAnsi="仿宋_GB2312" w:cs="仿宋_GB2312"/>
          <w:color w:val="auto"/>
          <w:sz w:val="32"/>
          <w:szCs w:val="32"/>
          <w:lang w:val="zh-CN"/>
        </w:rPr>
        <w:t>。基本药物制度项目资金严格按照项目财务管理制度执行，按照项目要求设置，财务处理及时，会计核算规范。财政主管部门严格目标、任务、指标，财政按年拨付项目经费到各乡镇卫生院。</w:t>
      </w:r>
    </w:p>
    <w:p>
      <w:pPr>
        <w:adjustRightInd w:val="0"/>
        <w:snapToGrid w:val="0"/>
        <w:spacing w:line="360" w:lineRule="auto"/>
        <w:ind w:firstLine="643" w:firstLineChars="20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（二）项目绩效目标。</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年我院严格按照上级要求实施基本药物制度，药品实行网上采购和零差率销售。</w:t>
      </w:r>
    </w:p>
    <w:p>
      <w:pPr>
        <w:numPr>
          <w:ilvl w:val="0"/>
          <w:numId w:val="6"/>
        </w:num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项目资金申报相符性。</w:t>
      </w:r>
    </w:p>
    <w:p>
      <w:pPr>
        <w:adjustRightInd w:val="0"/>
        <w:snapToGrid w:val="0"/>
        <w:spacing w:line="360" w:lineRule="auto"/>
        <w:ind w:firstLine="640" w:firstLineChars="200"/>
        <w:rPr>
          <w:rFonts w:hint="eastAsia" w:ascii="仿宋_GB2312" w:hAnsi="仿宋_GB2312" w:cs="仿宋_GB2312"/>
          <w:color w:val="auto"/>
          <w:sz w:val="32"/>
          <w:szCs w:val="32"/>
        </w:rPr>
      </w:pPr>
      <w:r>
        <w:rPr>
          <w:rFonts w:hint="eastAsia" w:ascii="仿宋_GB2312" w:hAnsi="仿宋_GB2312" w:cs="仿宋_GB2312"/>
          <w:color w:val="auto"/>
          <w:sz w:val="32"/>
          <w:szCs w:val="32"/>
          <w:lang w:val="zh-CN"/>
        </w:rPr>
        <w:t>我院20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年实施基本药物制度项目申报资金</w:t>
      </w:r>
      <w:r>
        <w:rPr>
          <w:rFonts w:hint="eastAsia" w:ascii="仿宋_GB2312" w:hAnsi="仿宋_GB2312" w:cs="仿宋_GB2312"/>
          <w:color w:val="auto"/>
          <w:sz w:val="32"/>
          <w:szCs w:val="32"/>
          <w:lang w:val="en-US" w:eastAsia="zh-CN"/>
        </w:rPr>
        <w:t>13.7</w:t>
      </w:r>
      <w:r>
        <w:rPr>
          <w:rFonts w:hint="eastAsia" w:ascii="仿宋_GB2312" w:hAnsi="仿宋_GB2312" w:cs="仿宋_GB2312"/>
          <w:color w:val="auto"/>
          <w:sz w:val="32"/>
          <w:szCs w:val="32"/>
        </w:rPr>
        <w:t>万元，年终到位资金</w:t>
      </w:r>
      <w:r>
        <w:rPr>
          <w:rFonts w:hint="eastAsia" w:ascii="仿宋_GB2312" w:hAnsi="仿宋_GB2312" w:cs="仿宋_GB2312"/>
          <w:color w:val="auto"/>
          <w:sz w:val="32"/>
          <w:szCs w:val="32"/>
          <w:lang w:val="en-US" w:eastAsia="zh-CN"/>
        </w:rPr>
        <w:t>13.7</w:t>
      </w:r>
      <w:r>
        <w:rPr>
          <w:rFonts w:hint="eastAsia" w:ascii="仿宋_GB2312" w:hAnsi="仿宋_GB2312" w:cs="仿宋_GB2312"/>
          <w:color w:val="auto"/>
          <w:sz w:val="32"/>
          <w:szCs w:val="32"/>
        </w:rPr>
        <w:t>万元，全部用于实施基本药物制度开支，年终无结转结余。</w:t>
      </w:r>
    </w:p>
    <w:p>
      <w:pPr>
        <w:adjustRightInd w:val="0"/>
        <w:snapToGrid w:val="0"/>
        <w:spacing w:line="360" w:lineRule="auto"/>
        <w:ind w:firstLine="720"/>
        <w:rPr>
          <w:rFonts w:hint="eastAsia" w:ascii="仿宋_GB2312" w:hAnsi="仿宋_GB2312" w:cs="仿宋_GB2312"/>
          <w:color w:val="auto"/>
          <w:sz w:val="32"/>
          <w:szCs w:val="32"/>
        </w:rPr>
      </w:pPr>
      <w:r>
        <w:rPr>
          <w:rFonts w:hint="eastAsia" w:ascii="仿宋_GB2312" w:hAnsi="仿宋_GB2312" w:cs="仿宋_GB2312"/>
          <w:color w:val="auto"/>
          <w:sz w:val="32"/>
          <w:szCs w:val="32"/>
        </w:rPr>
        <w:t>二、项目实施及管理情况</w:t>
      </w:r>
    </w:p>
    <w:p>
      <w:pPr>
        <w:adjustRightInd w:val="0"/>
        <w:snapToGrid w:val="0"/>
        <w:spacing w:line="360" w:lineRule="auto"/>
        <w:ind w:firstLine="720"/>
        <w:rPr>
          <w:rFonts w:hint="eastAsia" w:ascii="仿宋_GB2312" w:hAnsi="仿宋_GB2312" w:cs="仿宋_GB2312"/>
          <w:color w:val="auto"/>
          <w:sz w:val="32"/>
          <w:szCs w:val="32"/>
        </w:rPr>
      </w:pPr>
      <w:r>
        <w:rPr>
          <w:rFonts w:hint="eastAsia" w:ascii="仿宋_GB2312" w:hAnsi="仿宋_GB2312" w:cs="仿宋_GB2312"/>
          <w:b/>
          <w:color w:val="auto"/>
          <w:sz w:val="32"/>
          <w:szCs w:val="32"/>
          <w:lang w:val="zh-CN"/>
        </w:rPr>
        <w:t>（一）资金计划、到位及使用情况</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1、资金计划及到位。20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年我辖区实行基本药物制度补助</w:t>
      </w:r>
      <w:r>
        <w:rPr>
          <w:rFonts w:hint="eastAsia" w:ascii="仿宋_GB2312" w:hAnsi="仿宋_GB2312" w:cs="仿宋_GB2312"/>
          <w:color w:val="auto"/>
          <w:sz w:val="32"/>
          <w:szCs w:val="32"/>
          <w:lang w:val="en-US" w:eastAsia="zh-CN"/>
        </w:rPr>
        <w:t>13.7</w:t>
      </w:r>
      <w:r>
        <w:rPr>
          <w:rFonts w:hint="eastAsia" w:ascii="仿宋_GB2312" w:hAnsi="仿宋_GB2312" w:cs="仿宋_GB2312"/>
          <w:color w:val="auto"/>
          <w:sz w:val="32"/>
          <w:szCs w:val="32"/>
          <w:lang w:val="zh-CN"/>
        </w:rPr>
        <w:t>万元，其中中央、省级、市级安排补助经费</w:t>
      </w:r>
      <w:r>
        <w:rPr>
          <w:rFonts w:hint="eastAsia" w:ascii="仿宋_GB2312" w:hAnsi="仿宋_GB2312" w:cs="仿宋_GB2312"/>
          <w:color w:val="auto"/>
          <w:sz w:val="32"/>
          <w:szCs w:val="32"/>
          <w:lang w:val="en-US" w:eastAsia="zh-CN"/>
        </w:rPr>
        <w:t>10.45</w:t>
      </w:r>
      <w:r>
        <w:rPr>
          <w:rFonts w:hint="eastAsia" w:ascii="仿宋_GB2312" w:hAnsi="仿宋_GB2312" w:cs="仿宋_GB2312"/>
          <w:color w:val="auto"/>
          <w:sz w:val="32"/>
          <w:szCs w:val="32"/>
          <w:lang w:val="zh-CN"/>
        </w:rPr>
        <w:t>万元，区本级安排补助经费</w:t>
      </w:r>
      <w:r>
        <w:rPr>
          <w:rFonts w:hint="eastAsia" w:ascii="仿宋_GB2312" w:hAnsi="仿宋_GB2312" w:cs="仿宋_GB2312"/>
          <w:color w:val="auto"/>
          <w:sz w:val="32"/>
          <w:szCs w:val="32"/>
          <w:lang w:val="en-US" w:eastAsia="zh-CN"/>
        </w:rPr>
        <w:t>3.25</w:t>
      </w:r>
      <w:r>
        <w:rPr>
          <w:rFonts w:hint="eastAsia" w:ascii="仿宋_GB2312" w:hAnsi="仿宋_GB2312" w:cs="仿宋_GB2312"/>
          <w:color w:val="auto"/>
          <w:sz w:val="32"/>
          <w:szCs w:val="32"/>
          <w:lang w:val="zh-CN"/>
        </w:rPr>
        <w:t>万元。单位职工的工资得到了保障，乡村医生的补助也及时足额下发，资金到位率100%。</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2、资金使用。20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年我辖区实行基本药物制度实际支出</w:t>
      </w:r>
      <w:r>
        <w:rPr>
          <w:rFonts w:hint="eastAsia" w:ascii="仿宋_GB2312" w:hAnsi="仿宋_GB2312" w:cs="仿宋_GB2312"/>
          <w:color w:val="auto"/>
          <w:sz w:val="32"/>
          <w:szCs w:val="32"/>
          <w:lang w:val="en-US" w:eastAsia="zh-CN"/>
        </w:rPr>
        <w:t>13.7万元</w:t>
      </w:r>
      <w:r>
        <w:rPr>
          <w:rFonts w:hint="eastAsia" w:ascii="仿宋_GB2312" w:hAnsi="仿宋_GB2312" w:cs="仿宋_GB2312"/>
          <w:color w:val="auto"/>
          <w:sz w:val="32"/>
          <w:szCs w:val="32"/>
          <w:lang w:val="zh-CN"/>
        </w:rPr>
        <w:t>，资金开支范围乡村医生基药补助和本院职工工资补助，支付合规合法，资金支付与预算相符，基药补助资金专款专用，资金使用安全有效。</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（二）项目财务管理情况</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我辖区实行基本药物制度项目财务管理制度健全、机构设置合理、会计核算及账务处理严格按照专款专用管理。按照实行基本药物制度项目资金管理办法，我院严格执行财务管理制度、财务处理及时、会计核算规范。</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（三）项目组织实施情况</w:t>
      </w:r>
    </w:p>
    <w:p>
      <w:pPr>
        <w:adjustRightInd w:val="0"/>
        <w:snapToGrid w:val="0"/>
        <w:spacing w:line="360" w:lineRule="auto"/>
        <w:ind w:firstLine="720"/>
        <w:rPr>
          <w:rFonts w:hint="eastAsia" w:ascii="仿宋_GB2312" w:hAnsi="仿宋_GB2312" w:cs="仿宋_GB2312"/>
          <w:color w:val="auto"/>
          <w:sz w:val="32"/>
          <w:szCs w:val="32"/>
        </w:rPr>
      </w:pPr>
      <w:r>
        <w:rPr>
          <w:rFonts w:hint="eastAsia" w:ascii="仿宋_GB2312" w:hAnsi="仿宋_GB2312" w:cs="仿宋_GB2312"/>
          <w:color w:val="auto"/>
          <w:sz w:val="32"/>
          <w:szCs w:val="32"/>
          <w:lang w:val="zh-CN"/>
        </w:rPr>
        <w:t xml:space="preserve">我院成立专门工作小组，加强组织领导，配备使用国家基本药物及省增补药物情况 我院严格按照要求配备使用国家基本药物及省增补药物，无私自购药情况。基本药物集中采购，我院基本药物统一网上集中采购、基本药物订单发送、周转金及时汇缴、货款统一支付。药品的采购和配送渠道逐步趋于统一，药品质量管理更加规范，特别是切断药品购销领域利益链后，根据疾病诊治需要“按需配药”，滥用抗生素、激素和大输液现象得到有效遏制，大处方的现象基本上得到控制。基本药物价格情况  我院基本药物全部按照相关加成率进行加成后销售，无乱加价现象存在，定期对配备使用的基本药物价格进行公示，老百姓用药普遍得到实惠。  </w:t>
      </w:r>
      <w:r>
        <w:rPr>
          <w:rFonts w:hint="eastAsia" w:ascii="仿宋_GB2312" w:hAnsi="仿宋_GB2312" w:cs="仿宋_GB2312"/>
          <w:color w:val="auto"/>
          <w:sz w:val="32"/>
          <w:szCs w:val="32"/>
        </w:rPr>
        <w:t xml:space="preserve">                  </w:t>
      </w:r>
    </w:p>
    <w:p>
      <w:pPr>
        <w:adjustRightInd w:val="0"/>
        <w:snapToGrid w:val="0"/>
        <w:spacing w:line="360" w:lineRule="auto"/>
        <w:ind w:firstLine="720"/>
        <w:rPr>
          <w:rFonts w:hint="eastAsia" w:ascii="仿宋_GB2312" w:hAnsi="仿宋_GB2312" w:cs="仿宋_GB2312"/>
          <w:b/>
          <w:bCs/>
          <w:color w:val="auto"/>
          <w:sz w:val="32"/>
          <w:szCs w:val="32"/>
        </w:rPr>
      </w:pPr>
      <w:r>
        <w:rPr>
          <w:rFonts w:hint="eastAsia" w:ascii="仿宋_GB2312" w:hAnsi="仿宋_GB2312" w:cs="仿宋_GB2312"/>
          <w:b/>
          <w:bCs/>
          <w:color w:val="auto"/>
          <w:sz w:val="32"/>
          <w:szCs w:val="32"/>
        </w:rPr>
        <w:t>三、项目绩效情况</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（一）项目完成情况。</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按照中央、省市实施国家基本药物制度的相关文件规定，我院成立了基本药物采购领导小组，并结合我院实际制定了基本药物采购制度和管理规定。在采购程序上，村卫生室购药计划报我院汇总后通过采购平台统一网上采购。为保障基药制度的顺利实施，我院重点抓了以下工作。一是加强对医务人员合理使用基本药物的宣传培训工作，组织开展了基层医务人员基本药物临床应用指南和基本药物处方集的培训工作，确保了基层医务人员临床首选、合理使用基本药物；二是加强督导，20</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zh-CN"/>
        </w:rPr>
        <w:t>年，组织相关人员到村卫生机构进行专项督查</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lang w:val="zh-CN"/>
        </w:rPr>
        <w:t>次，及时发现和改进执行过程中存在的问题；三是严格落实上级有关补偿政策补助到村，我院使用基本药物达</w:t>
      </w:r>
      <w:r>
        <w:rPr>
          <w:rFonts w:hint="eastAsia" w:ascii="仿宋_GB2312" w:hAnsi="仿宋_GB2312" w:cs="仿宋_GB2312"/>
          <w:color w:val="auto"/>
          <w:sz w:val="32"/>
          <w:szCs w:val="32"/>
        </w:rPr>
        <w:t>100%</w:t>
      </w:r>
      <w:r>
        <w:rPr>
          <w:rFonts w:hint="eastAsia" w:ascii="仿宋_GB2312" w:hAnsi="仿宋_GB2312" w:cs="仿宋_GB2312"/>
          <w:color w:val="auto"/>
          <w:sz w:val="32"/>
          <w:szCs w:val="32"/>
          <w:lang w:val="zh-CN"/>
        </w:rPr>
        <w:t>，统一在省药品集中采购平台上采购并严格执行药品零差率销售。</w:t>
      </w:r>
    </w:p>
    <w:p>
      <w:pPr>
        <w:adjustRightInd w:val="0"/>
        <w:snapToGrid w:val="0"/>
        <w:spacing w:line="360" w:lineRule="auto"/>
        <w:ind w:firstLine="643" w:firstLineChars="20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（二）项目效益情况。</w:t>
      </w:r>
    </w:p>
    <w:p>
      <w:pPr>
        <w:adjustRightInd w:val="0"/>
        <w:snapToGrid w:val="0"/>
        <w:spacing w:line="360" w:lineRule="auto"/>
        <w:ind w:firstLine="72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基本药物制度得到推广，基本药物制度项目得到较好落实，老百姓获得感不断增强，群众满意度不断提高。人民群众健康意识进一步得到增强，使人人享受到基本药物制度带来的健康实惠。</w:t>
      </w:r>
    </w:p>
    <w:p>
      <w:pPr>
        <w:adjustRightInd w:val="0"/>
        <w:snapToGrid w:val="0"/>
        <w:spacing w:line="360" w:lineRule="auto"/>
        <w:ind w:firstLine="720"/>
        <w:rPr>
          <w:rFonts w:hint="eastAsia" w:ascii="仿宋_GB2312" w:hAnsi="仿宋_GB2312" w:cs="仿宋_GB2312"/>
          <w:color w:val="auto"/>
          <w:sz w:val="32"/>
          <w:szCs w:val="32"/>
        </w:rPr>
      </w:pPr>
      <w:r>
        <w:rPr>
          <w:rFonts w:hint="eastAsia" w:ascii="仿宋_GB2312" w:hAnsi="仿宋_GB2312" w:cs="仿宋_GB2312"/>
          <w:color w:val="auto"/>
          <w:sz w:val="32"/>
          <w:szCs w:val="32"/>
        </w:rPr>
        <w:t>四、问题及建议</w:t>
      </w:r>
    </w:p>
    <w:p>
      <w:pPr>
        <w:adjustRightInd w:val="0"/>
        <w:snapToGrid w:val="0"/>
        <w:spacing w:line="360" w:lineRule="auto"/>
        <w:ind w:firstLine="72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（一）存在的问题</w:t>
      </w:r>
    </w:p>
    <w:p>
      <w:pPr>
        <w:pStyle w:val="12"/>
        <w:widowControl/>
        <w:shd w:val="clear" w:color="auto" w:fill="FFFFFF"/>
        <w:spacing w:before="0" w:beforeAutospacing="0" w:after="0" w:afterAutospacing="0" w:line="360" w:lineRule="auto"/>
        <w:ind w:firstLine="739" w:firstLineChars="231"/>
        <w:jc w:val="both"/>
        <w:rPr>
          <w:rFonts w:hint="eastAsia" w:ascii="仿宋_GB2312" w:hAnsi="仿宋_GB2312" w:cs="仿宋_GB2312"/>
          <w:color w:val="auto"/>
          <w:kern w:val="2"/>
          <w:sz w:val="32"/>
          <w:szCs w:val="32"/>
          <w:lang w:val="zh-CN"/>
        </w:rPr>
      </w:pPr>
      <w:r>
        <w:rPr>
          <w:rFonts w:hint="eastAsia" w:ascii="仿宋_GB2312" w:hAnsi="仿宋_GB2312" w:cs="仿宋_GB2312"/>
          <w:color w:val="auto"/>
          <w:kern w:val="2"/>
          <w:sz w:val="32"/>
          <w:szCs w:val="32"/>
          <w:lang w:val="zh-CN"/>
        </w:rPr>
        <w:t>1.强化宣传。进一步加大宣传力度，让广大城乡居民更全面了解项目的益处，提高群众知晓率保证基本药物制度工作的顺利开展。</w:t>
      </w:r>
    </w:p>
    <w:p>
      <w:pPr>
        <w:pStyle w:val="12"/>
        <w:widowControl/>
        <w:shd w:val="clear" w:color="auto" w:fill="FFFFFF"/>
        <w:spacing w:before="0" w:beforeAutospacing="0" w:after="0" w:afterAutospacing="0" w:line="360" w:lineRule="auto"/>
        <w:ind w:firstLine="739" w:firstLineChars="231"/>
        <w:jc w:val="both"/>
        <w:rPr>
          <w:rFonts w:hint="eastAsia" w:ascii="仿宋_GB2312" w:hAnsi="仿宋_GB2312" w:cs="仿宋_GB2312"/>
          <w:color w:val="auto"/>
          <w:kern w:val="2"/>
          <w:sz w:val="32"/>
          <w:szCs w:val="32"/>
          <w:lang w:val="zh-CN"/>
        </w:rPr>
      </w:pPr>
      <w:r>
        <w:rPr>
          <w:rFonts w:hint="eastAsia" w:ascii="仿宋_GB2312" w:hAnsi="仿宋_GB2312" w:cs="仿宋_GB2312"/>
          <w:color w:val="auto"/>
          <w:kern w:val="2"/>
          <w:sz w:val="32"/>
          <w:szCs w:val="32"/>
          <w:lang w:val="zh-CN"/>
        </w:rPr>
        <w:t>2.强化督导。对照要求和国家、省考核标准，督促、指导乡镇卫生院针对各自的不足之处进行整改，基本药物制度得到更好的发展，真正让老百姓得到实惠。</w:t>
      </w:r>
    </w:p>
    <w:p>
      <w:pPr>
        <w:adjustRightInd w:val="0"/>
        <w:snapToGrid w:val="0"/>
        <w:spacing w:line="360" w:lineRule="auto"/>
        <w:ind w:firstLine="643" w:firstLineChars="200"/>
        <w:rPr>
          <w:rFonts w:hint="eastAsia" w:ascii="仿宋_GB2312" w:hAnsi="仿宋_GB2312" w:cs="仿宋_GB2312"/>
          <w:b/>
          <w:color w:val="auto"/>
          <w:sz w:val="32"/>
          <w:szCs w:val="32"/>
          <w:lang w:val="zh-CN"/>
        </w:rPr>
      </w:pPr>
      <w:r>
        <w:rPr>
          <w:rFonts w:hint="eastAsia" w:ascii="仿宋_GB2312" w:hAnsi="仿宋_GB2312" w:cs="仿宋_GB2312"/>
          <w:b/>
          <w:color w:val="auto"/>
          <w:sz w:val="32"/>
          <w:szCs w:val="32"/>
          <w:lang w:val="zh-CN"/>
        </w:rPr>
        <w:t>（二）相关建议。</w:t>
      </w:r>
    </w:p>
    <w:p>
      <w:pPr>
        <w:adjustRightInd w:val="0"/>
        <w:snapToGrid w:val="0"/>
        <w:spacing w:line="360" w:lineRule="auto"/>
        <w:ind w:firstLine="640" w:firstLineChars="200"/>
        <w:rPr>
          <w:rFonts w:hint="eastAsia" w:ascii="仿宋_GB2312" w:hAnsi="仿宋_GB2312" w:cs="仿宋_GB2312"/>
          <w:color w:val="auto"/>
          <w:sz w:val="32"/>
          <w:szCs w:val="32"/>
          <w:lang w:val="zh-CN"/>
        </w:rPr>
      </w:pPr>
      <w:r>
        <w:rPr>
          <w:rFonts w:hint="eastAsia" w:ascii="仿宋_GB2312" w:hAnsi="仿宋_GB2312" w:cs="仿宋_GB2312"/>
          <w:color w:val="auto"/>
          <w:sz w:val="32"/>
          <w:szCs w:val="32"/>
          <w:lang w:val="zh-CN"/>
        </w:rPr>
        <w:t>大力加强宣传力度，让更多的老百姓知道国家的医改政策带来的实惠；加强药品市场的调节和整顿，规范医药行业，让医改政策落到实处。</w:t>
      </w:r>
    </w:p>
    <w:p>
      <w:pPr>
        <w:spacing w:line="600" w:lineRule="exact"/>
        <w:outlineLvl w:val="0"/>
        <w:rPr>
          <w:rFonts w:ascii="黑体" w:hAnsi="黑体" w:eastAsia="黑体"/>
          <w:color w:val="000000"/>
          <w:sz w:val="44"/>
          <w:szCs w:val="44"/>
        </w:rPr>
      </w:pPr>
    </w:p>
    <w:p>
      <w:pPr>
        <w:spacing w:line="600" w:lineRule="exact"/>
        <w:jc w:val="center"/>
        <w:outlineLvl w:val="0"/>
        <w:rPr>
          <w:rStyle w:val="25"/>
          <w:rFonts w:ascii="黑体" w:hAnsi="黑体"/>
          <w:b w:val="0"/>
        </w:rPr>
      </w:pPr>
      <w:r>
        <w:rPr>
          <w:rFonts w:hint="eastAsia" w:ascii="黑体" w:hAnsi="黑体" w:eastAsia="黑体"/>
          <w:color w:val="000000"/>
          <w:sz w:val="44"/>
          <w:szCs w:val="44"/>
        </w:rPr>
        <w:t>第</w:t>
      </w:r>
      <w:r>
        <w:rPr>
          <w:rStyle w:val="25"/>
          <w:rFonts w:hint="eastAsia" w:ascii="黑体" w:hAnsi="黑体" w:eastAsia="黑体"/>
        </w:rPr>
        <w:t>五部分 附表</w:t>
      </w:r>
      <w:bookmarkEnd w:id="58"/>
      <w:bookmarkEnd w:id="62"/>
    </w:p>
    <w:p>
      <w:pPr>
        <w:spacing w:line="600" w:lineRule="exact"/>
        <w:jc w:val="center"/>
        <w:outlineLvl w:val="0"/>
        <w:rPr>
          <w:rFonts w:ascii="仿宋" w:hAnsi="仿宋" w:eastAsia="仿宋"/>
          <w:b/>
          <w:color w:val="000000"/>
        </w:rPr>
      </w:pPr>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63" w:name="_Toc15396619"/>
      <w:r>
        <w:rPr>
          <w:rFonts w:hint="eastAsia" w:ascii="仿宋" w:hAnsi="仿宋" w:eastAsia="仿宋"/>
          <w:b w:val="0"/>
          <w:color w:val="000000"/>
        </w:rPr>
        <w:t>一、收</w:t>
      </w:r>
      <w:r>
        <w:rPr>
          <w:rStyle w:val="31"/>
          <w:rFonts w:hint="eastAsia" w:ascii="仿宋" w:hAnsi="仿宋" w:eastAsia="仿宋"/>
          <w:b w:val="0"/>
          <w:bCs w:val="0"/>
        </w:rPr>
        <w:t>入支出决算总表</w:t>
      </w:r>
      <w:bookmarkEnd w:id="63"/>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64" w:name="_Toc15396620"/>
      <w:r>
        <w:rPr>
          <w:rFonts w:hint="eastAsia" w:ascii="仿宋" w:hAnsi="仿宋" w:eastAsia="仿宋"/>
          <w:b w:val="0"/>
          <w:color w:val="000000"/>
        </w:rPr>
        <w:t>二、收</w:t>
      </w:r>
      <w:r>
        <w:rPr>
          <w:rStyle w:val="31"/>
          <w:rFonts w:hint="eastAsia" w:ascii="仿宋" w:hAnsi="仿宋" w:eastAsia="仿宋"/>
          <w:b w:val="0"/>
          <w:bCs w:val="0"/>
        </w:rPr>
        <w:t>入决算表</w:t>
      </w:r>
      <w:bookmarkEnd w:id="64"/>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65" w:name="_Toc15396621"/>
      <w:r>
        <w:rPr>
          <w:rStyle w:val="31"/>
          <w:rFonts w:hint="eastAsia" w:ascii="仿宋" w:hAnsi="仿宋" w:eastAsia="仿宋"/>
          <w:b w:val="0"/>
          <w:bCs w:val="0"/>
        </w:rPr>
        <w:t>三、</w:t>
      </w:r>
      <w:r>
        <w:rPr>
          <w:rFonts w:hint="eastAsia" w:ascii="仿宋" w:hAnsi="仿宋" w:eastAsia="仿宋"/>
          <w:b w:val="0"/>
          <w:color w:val="000000"/>
        </w:rPr>
        <w:t>支</w:t>
      </w:r>
      <w:r>
        <w:rPr>
          <w:rStyle w:val="31"/>
          <w:rFonts w:hint="eastAsia" w:ascii="仿宋" w:hAnsi="仿宋" w:eastAsia="仿宋"/>
          <w:b w:val="0"/>
          <w:bCs w:val="0"/>
        </w:rPr>
        <w:t>出决算表</w:t>
      </w:r>
      <w:bookmarkEnd w:id="65"/>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b w:val="0"/>
          <w:color w:val="000000"/>
        </w:rPr>
      </w:pPr>
      <w:bookmarkStart w:id="66" w:name="_Toc15396622"/>
      <w:r>
        <w:rPr>
          <w:rStyle w:val="31"/>
          <w:rFonts w:hint="eastAsia" w:ascii="仿宋" w:hAnsi="仿宋" w:eastAsia="仿宋"/>
          <w:b w:val="0"/>
          <w:bCs w:val="0"/>
        </w:rPr>
        <w:t>四、</w:t>
      </w:r>
      <w:r>
        <w:rPr>
          <w:rFonts w:hint="eastAsia" w:ascii="仿宋" w:hAnsi="仿宋" w:eastAsia="仿宋"/>
          <w:b w:val="0"/>
          <w:color w:val="000000"/>
        </w:rPr>
        <w:t>财</w:t>
      </w:r>
      <w:r>
        <w:rPr>
          <w:rStyle w:val="31"/>
          <w:rFonts w:hint="eastAsia" w:ascii="仿宋" w:hAnsi="仿宋" w:eastAsia="仿宋"/>
          <w:b w:val="0"/>
          <w:bCs w:val="0"/>
        </w:rPr>
        <w:t>政拨款收入支出决算总表</w:t>
      </w:r>
      <w:bookmarkEnd w:id="66"/>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Style w:val="31"/>
          <w:rFonts w:ascii="仿宋" w:hAnsi="仿宋" w:eastAsia="仿宋"/>
          <w:b w:val="0"/>
          <w:bCs w:val="0"/>
        </w:rPr>
      </w:pPr>
      <w:bookmarkStart w:id="67" w:name="_Toc15396623"/>
      <w:r>
        <w:rPr>
          <w:rStyle w:val="31"/>
          <w:rFonts w:hint="eastAsia" w:ascii="仿宋" w:hAnsi="仿宋" w:eastAsia="仿宋"/>
          <w:b w:val="0"/>
          <w:bCs w:val="0"/>
        </w:rPr>
        <w:t>五、</w:t>
      </w:r>
      <w:r>
        <w:rPr>
          <w:rFonts w:hint="eastAsia" w:ascii="仿宋" w:hAnsi="仿宋" w:eastAsia="仿宋"/>
          <w:b w:val="0"/>
          <w:color w:val="000000"/>
        </w:rPr>
        <w:t>财</w:t>
      </w:r>
      <w:r>
        <w:rPr>
          <w:rStyle w:val="31"/>
          <w:rFonts w:hint="eastAsia" w:ascii="仿宋" w:hAnsi="仿宋" w:eastAsia="仿宋"/>
          <w:b w:val="0"/>
          <w:bCs w:val="0"/>
        </w:rPr>
        <w:t>政拨款支出决算明细表</w:t>
      </w:r>
      <w:bookmarkEnd w:id="67"/>
      <w:bookmarkStart w:id="68" w:name="_Toc15396624"/>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r>
        <w:rPr>
          <w:rStyle w:val="31"/>
          <w:rFonts w:hint="eastAsia" w:ascii="仿宋" w:hAnsi="仿宋" w:eastAsia="仿宋"/>
          <w:b w:val="0"/>
          <w:bCs w:val="0"/>
        </w:rPr>
        <w:t>六、</w:t>
      </w:r>
      <w:r>
        <w:rPr>
          <w:rFonts w:hint="eastAsia" w:ascii="仿宋" w:hAnsi="仿宋" w:eastAsia="仿宋"/>
          <w:b w:val="0"/>
          <w:color w:val="000000"/>
        </w:rPr>
        <w:t>一</w:t>
      </w:r>
      <w:r>
        <w:rPr>
          <w:rStyle w:val="31"/>
          <w:rFonts w:hint="eastAsia" w:ascii="仿宋" w:hAnsi="仿宋" w:eastAsia="仿宋"/>
          <w:b w:val="0"/>
          <w:bCs w:val="0"/>
        </w:rPr>
        <w:t>般公共预算财政拨款支出决算表</w:t>
      </w:r>
      <w:bookmarkEnd w:id="68"/>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69" w:name="_Toc15396625"/>
      <w:r>
        <w:rPr>
          <w:rStyle w:val="31"/>
          <w:rFonts w:hint="eastAsia" w:ascii="仿宋" w:hAnsi="仿宋" w:eastAsia="仿宋"/>
          <w:b w:val="0"/>
          <w:bCs w:val="0"/>
        </w:rPr>
        <w:t>七、</w:t>
      </w:r>
      <w:r>
        <w:rPr>
          <w:rFonts w:hint="eastAsia" w:ascii="仿宋" w:hAnsi="仿宋" w:eastAsia="仿宋"/>
          <w:b w:val="0"/>
          <w:color w:val="000000"/>
        </w:rPr>
        <w:t>一</w:t>
      </w:r>
      <w:r>
        <w:rPr>
          <w:rStyle w:val="31"/>
          <w:rFonts w:hint="eastAsia" w:ascii="仿宋" w:hAnsi="仿宋" w:eastAsia="仿宋"/>
          <w:b w:val="0"/>
          <w:bCs w:val="0"/>
        </w:rPr>
        <w:t>般公共预算财政拨款支出决算明细表</w:t>
      </w:r>
      <w:bookmarkEnd w:id="69"/>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70" w:name="_Toc15396626"/>
      <w:r>
        <w:rPr>
          <w:rStyle w:val="31"/>
          <w:rFonts w:hint="eastAsia" w:ascii="仿宋" w:hAnsi="仿宋" w:eastAsia="仿宋"/>
          <w:b w:val="0"/>
          <w:bCs w:val="0"/>
        </w:rPr>
        <w:t>八、</w:t>
      </w:r>
      <w:r>
        <w:rPr>
          <w:rFonts w:hint="eastAsia" w:ascii="仿宋" w:hAnsi="仿宋" w:eastAsia="仿宋"/>
          <w:b w:val="0"/>
          <w:color w:val="000000"/>
        </w:rPr>
        <w:t>一</w:t>
      </w:r>
      <w:r>
        <w:rPr>
          <w:rStyle w:val="31"/>
          <w:rFonts w:hint="eastAsia" w:ascii="仿宋" w:hAnsi="仿宋" w:eastAsia="仿宋"/>
          <w:b w:val="0"/>
          <w:bCs w:val="0"/>
        </w:rPr>
        <w:t>般公共预算财政拨款基本支出决算表</w:t>
      </w:r>
      <w:bookmarkEnd w:id="70"/>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71" w:name="_Toc15396627"/>
      <w:r>
        <w:rPr>
          <w:rStyle w:val="31"/>
          <w:rFonts w:hint="eastAsia" w:ascii="仿宋" w:hAnsi="仿宋" w:eastAsia="仿宋"/>
          <w:b w:val="0"/>
          <w:bCs w:val="0"/>
        </w:rPr>
        <w:t>九、</w:t>
      </w:r>
      <w:r>
        <w:rPr>
          <w:rFonts w:hint="eastAsia" w:ascii="仿宋" w:hAnsi="仿宋" w:eastAsia="仿宋"/>
          <w:b w:val="0"/>
          <w:color w:val="000000"/>
        </w:rPr>
        <w:t>一</w:t>
      </w:r>
      <w:r>
        <w:rPr>
          <w:rStyle w:val="31"/>
          <w:rFonts w:hint="eastAsia" w:ascii="仿宋" w:hAnsi="仿宋" w:eastAsia="仿宋"/>
          <w:b w:val="0"/>
          <w:bCs w:val="0"/>
        </w:rPr>
        <w:t>般公共预算财政拨款项目支出决算表</w:t>
      </w:r>
      <w:bookmarkEnd w:id="71"/>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72" w:name="_Toc15396628"/>
      <w:r>
        <w:rPr>
          <w:rStyle w:val="31"/>
          <w:rFonts w:hint="eastAsia" w:ascii="仿宋" w:hAnsi="仿宋" w:eastAsia="仿宋"/>
          <w:b w:val="0"/>
          <w:bCs w:val="0"/>
        </w:rPr>
        <w:t>十、</w:t>
      </w:r>
      <w:r>
        <w:rPr>
          <w:rFonts w:hint="eastAsia" w:ascii="仿宋" w:hAnsi="仿宋" w:eastAsia="仿宋"/>
          <w:b w:val="0"/>
          <w:color w:val="000000"/>
        </w:rPr>
        <w:t>一</w:t>
      </w:r>
      <w:r>
        <w:rPr>
          <w:rStyle w:val="31"/>
          <w:rFonts w:hint="eastAsia" w:ascii="仿宋" w:hAnsi="仿宋" w:eastAsia="仿宋"/>
          <w:b w:val="0"/>
          <w:bCs w:val="0"/>
        </w:rPr>
        <w:t>般公共预算财政拨款“三公”经费支出决算表</w:t>
      </w:r>
      <w:bookmarkEnd w:id="72"/>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73" w:name="_Toc15396629"/>
      <w:r>
        <w:rPr>
          <w:rStyle w:val="31"/>
          <w:rFonts w:hint="eastAsia" w:ascii="仿宋" w:hAnsi="仿宋" w:eastAsia="仿宋"/>
          <w:b w:val="0"/>
          <w:bCs w:val="0"/>
        </w:rPr>
        <w:t>十一、</w:t>
      </w:r>
      <w:r>
        <w:rPr>
          <w:rFonts w:hint="eastAsia" w:ascii="仿宋" w:hAnsi="仿宋" w:eastAsia="仿宋"/>
          <w:b w:val="0"/>
          <w:color w:val="000000"/>
        </w:rPr>
        <w:t>政</w:t>
      </w:r>
      <w:r>
        <w:rPr>
          <w:rStyle w:val="31"/>
          <w:rFonts w:hint="eastAsia" w:ascii="仿宋" w:hAnsi="仿宋" w:eastAsia="仿宋"/>
          <w:b w:val="0"/>
          <w:bCs w:val="0"/>
        </w:rPr>
        <w:t>府性基金预算财政拨款收入支出决算表</w:t>
      </w:r>
      <w:bookmarkEnd w:id="73"/>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Fonts w:ascii="仿宋" w:hAnsi="仿宋" w:eastAsia="仿宋"/>
          <w:color w:val="000000"/>
        </w:rPr>
      </w:pPr>
      <w:bookmarkStart w:id="74" w:name="_Toc15396630"/>
      <w:r>
        <w:rPr>
          <w:rStyle w:val="31"/>
          <w:rFonts w:hint="eastAsia" w:ascii="仿宋" w:hAnsi="仿宋" w:eastAsia="仿宋"/>
          <w:b w:val="0"/>
          <w:bCs w:val="0"/>
        </w:rPr>
        <w:t>十二、</w:t>
      </w:r>
      <w:r>
        <w:rPr>
          <w:rFonts w:hint="eastAsia" w:ascii="仿宋" w:hAnsi="仿宋" w:eastAsia="仿宋"/>
          <w:b w:val="0"/>
          <w:color w:val="000000"/>
        </w:rPr>
        <w:t>政</w:t>
      </w:r>
      <w:r>
        <w:rPr>
          <w:rStyle w:val="31"/>
          <w:rFonts w:hint="eastAsia" w:ascii="仿宋" w:hAnsi="仿宋" w:eastAsia="仿宋"/>
          <w:b w:val="0"/>
          <w:bCs w:val="0"/>
        </w:rPr>
        <w:t>府性基金预算财政拨款“三公”经费支出决算表</w:t>
      </w:r>
      <w:bookmarkEnd w:id="74"/>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Style w:val="31"/>
          <w:rFonts w:hint="eastAsia" w:ascii="仿宋" w:hAnsi="仿宋" w:eastAsia="仿宋"/>
          <w:b w:val="0"/>
          <w:bCs w:val="0"/>
        </w:rPr>
      </w:pPr>
      <w:bookmarkStart w:id="75" w:name="_Toc15396631"/>
      <w:r>
        <w:rPr>
          <w:rStyle w:val="31"/>
          <w:rFonts w:hint="eastAsia" w:ascii="仿宋" w:hAnsi="仿宋" w:eastAsia="仿宋"/>
          <w:b w:val="0"/>
          <w:bCs w:val="0"/>
        </w:rPr>
        <w:t>十三、</w:t>
      </w:r>
      <w:r>
        <w:rPr>
          <w:rFonts w:hint="eastAsia" w:ascii="仿宋" w:hAnsi="仿宋" w:eastAsia="仿宋"/>
          <w:b w:val="0"/>
          <w:color w:val="000000"/>
        </w:rPr>
        <w:t>国</w:t>
      </w:r>
      <w:r>
        <w:rPr>
          <w:rStyle w:val="31"/>
          <w:rFonts w:hint="eastAsia" w:ascii="仿宋" w:hAnsi="仿宋" w:eastAsia="仿宋"/>
          <w:b w:val="0"/>
          <w:bCs w:val="0"/>
        </w:rPr>
        <w:t>有资本经营预算财政拨款</w:t>
      </w:r>
      <w:r>
        <w:rPr>
          <w:rStyle w:val="31"/>
          <w:rFonts w:hint="eastAsia" w:ascii="仿宋" w:hAnsi="仿宋" w:eastAsia="仿宋"/>
          <w:b w:val="0"/>
          <w:bCs w:val="0"/>
          <w:lang w:eastAsia="zh-CN"/>
        </w:rPr>
        <w:t>收入</w:t>
      </w:r>
      <w:r>
        <w:rPr>
          <w:rStyle w:val="31"/>
          <w:rFonts w:hint="eastAsia" w:ascii="仿宋" w:hAnsi="仿宋" w:eastAsia="仿宋"/>
          <w:b w:val="0"/>
          <w:bCs w:val="0"/>
        </w:rPr>
        <w:t>支出决算表</w:t>
      </w:r>
      <w:bookmarkEnd w:id="75"/>
    </w:p>
    <w:p>
      <w:pPr>
        <w:pStyle w:val="3"/>
        <w:keepNext/>
        <w:keepLines/>
        <w:pageBreakBefore w:val="0"/>
        <w:widowControl w:val="0"/>
        <w:kinsoku/>
        <w:wordWrap/>
        <w:overflowPunct/>
        <w:topLinePunct w:val="0"/>
        <w:autoSpaceDE/>
        <w:autoSpaceDN/>
        <w:bidi w:val="0"/>
        <w:adjustRightInd/>
        <w:snapToGrid/>
        <w:spacing w:line="300" w:lineRule="exact"/>
        <w:textAlignment w:val="auto"/>
        <w:outlineLvl w:val="1"/>
        <w:rPr>
          <w:rStyle w:val="31"/>
          <w:rFonts w:hint="eastAsia" w:ascii="仿宋" w:hAnsi="仿宋" w:eastAsia="仿宋"/>
          <w:b w:val="0"/>
          <w:bCs w:val="0"/>
        </w:rPr>
      </w:pPr>
      <w:r>
        <w:rPr>
          <w:rStyle w:val="31"/>
          <w:rFonts w:hint="eastAsia" w:ascii="仿宋" w:hAnsi="仿宋" w:eastAsia="仿宋"/>
          <w:b w:val="0"/>
          <w:bCs w:val="0"/>
          <w:lang w:eastAsia="zh-CN"/>
        </w:rPr>
        <w:t>十四、</w:t>
      </w:r>
      <w:r>
        <w:rPr>
          <w:rFonts w:hint="eastAsia" w:ascii="仿宋" w:hAnsi="仿宋" w:eastAsia="仿宋"/>
          <w:b w:val="0"/>
          <w:color w:val="000000"/>
        </w:rPr>
        <w:t>国</w:t>
      </w:r>
      <w:r>
        <w:rPr>
          <w:rStyle w:val="31"/>
          <w:rFonts w:hint="eastAsia" w:ascii="仿宋" w:hAnsi="仿宋" w:eastAsia="仿宋"/>
          <w:b w:val="0"/>
          <w:bCs w:val="0"/>
        </w:rPr>
        <w:t>有资本经营预算财政拨款支出决算表</w:t>
      </w:r>
    </w:p>
    <w:p>
      <w:pPr>
        <w:pStyle w:val="24"/>
        <w:spacing w:line="580" w:lineRule="exact"/>
        <w:ind w:left="1429" w:firstLine="0" w:firstLineChars="0"/>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altName w:val="黑体"/>
    <w:panose1 w:val="020B0503020204020204"/>
    <w:charset w:val="86"/>
    <w:family w:val="swiss"/>
    <w:pitch w:val="variable"/>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楷体_GBK">
    <w:altName w:val="楷体_GB2312"/>
    <w:panose1 w:val="03000509000000000000"/>
    <w:charset w:val="86"/>
    <w:family w:val="script"/>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ACD3A"/>
    <w:multiLevelType w:val="singleLevel"/>
    <w:tmpl w:val="C42ACD3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46E070F"/>
    <w:multiLevelType w:val="singleLevel"/>
    <w:tmpl w:val="546E070F"/>
    <w:lvl w:ilvl="0" w:tentative="0">
      <w:start w:val="2"/>
      <w:numFmt w:val="chineseCounting"/>
      <w:suff w:val="nothing"/>
      <w:lvlText w:val="（%1）"/>
      <w:lvlJc w:val="left"/>
      <w:rPr>
        <w:rFonts w:hint="eastAsia"/>
      </w:rPr>
    </w:lvl>
  </w:abstractNum>
  <w:num w:numId="1">
    <w:abstractNumId w:val="4"/>
  </w:num>
  <w:num w:numId="2">
    <w:abstractNumId w:val="1"/>
  </w:num>
  <w:num w:numId="3">
    <w:abstractNumId w:val="3"/>
    <w:lvlOverride w:ilvl="0">
      <w:startOverride w:val="1"/>
    </w:lvlOverride>
  </w:num>
  <w:num w:numId="4">
    <w:abstractNumId w:val="2"/>
    <w:lvlOverride w:ilvl="0">
      <w:startOverride w:val="3"/>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0F1279"/>
    <w:rsid w:val="00114E9B"/>
    <w:rsid w:val="0014729F"/>
    <w:rsid w:val="00157BAB"/>
    <w:rsid w:val="001654D1"/>
    <w:rsid w:val="0018106D"/>
    <w:rsid w:val="001877A7"/>
    <w:rsid w:val="00191536"/>
    <w:rsid w:val="001947D9"/>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7662D"/>
    <w:rsid w:val="00280496"/>
    <w:rsid w:val="00295495"/>
    <w:rsid w:val="002B2613"/>
    <w:rsid w:val="002F1818"/>
    <w:rsid w:val="002F567B"/>
    <w:rsid w:val="003216A9"/>
    <w:rsid w:val="0037013F"/>
    <w:rsid w:val="00380C92"/>
    <w:rsid w:val="003A484F"/>
    <w:rsid w:val="003B0BE0"/>
    <w:rsid w:val="003B0C1B"/>
    <w:rsid w:val="003B2995"/>
    <w:rsid w:val="003B688C"/>
    <w:rsid w:val="003C0291"/>
    <w:rsid w:val="003C39AE"/>
    <w:rsid w:val="003C7B60"/>
    <w:rsid w:val="003D1FB2"/>
    <w:rsid w:val="003D66DA"/>
    <w:rsid w:val="003E1310"/>
    <w:rsid w:val="003E6F55"/>
    <w:rsid w:val="003F1C7F"/>
    <w:rsid w:val="00406254"/>
    <w:rsid w:val="004223DE"/>
    <w:rsid w:val="00434489"/>
    <w:rsid w:val="00435819"/>
    <w:rsid w:val="0043637D"/>
    <w:rsid w:val="00437085"/>
    <w:rsid w:val="00443880"/>
    <w:rsid w:val="004464F4"/>
    <w:rsid w:val="00471401"/>
    <w:rsid w:val="00473F31"/>
    <w:rsid w:val="00477C58"/>
    <w:rsid w:val="0048263A"/>
    <w:rsid w:val="00487E5D"/>
    <w:rsid w:val="004A711F"/>
    <w:rsid w:val="004B199D"/>
    <w:rsid w:val="004B4690"/>
    <w:rsid w:val="004E0A2D"/>
    <w:rsid w:val="004E206B"/>
    <w:rsid w:val="004E6DF7"/>
    <w:rsid w:val="004F0FBD"/>
    <w:rsid w:val="00505A47"/>
    <w:rsid w:val="00512FDA"/>
    <w:rsid w:val="0051630B"/>
    <w:rsid w:val="00520DA0"/>
    <w:rsid w:val="005664BB"/>
    <w:rsid w:val="0057481D"/>
    <w:rsid w:val="0058385D"/>
    <w:rsid w:val="0058486E"/>
    <w:rsid w:val="005D1C8B"/>
    <w:rsid w:val="005D5CED"/>
    <w:rsid w:val="005F1A4C"/>
    <w:rsid w:val="00605688"/>
    <w:rsid w:val="00605D5B"/>
    <w:rsid w:val="006070AF"/>
    <w:rsid w:val="00607E6C"/>
    <w:rsid w:val="006101B1"/>
    <w:rsid w:val="00614E44"/>
    <w:rsid w:val="00622830"/>
    <w:rsid w:val="00623785"/>
    <w:rsid w:val="00630AEF"/>
    <w:rsid w:val="006325F8"/>
    <w:rsid w:val="00634C9A"/>
    <w:rsid w:val="006440E4"/>
    <w:rsid w:val="0065103B"/>
    <w:rsid w:val="00654AA8"/>
    <w:rsid w:val="0066343B"/>
    <w:rsid w:val="00664777"/>
    <w:rsid w:val="006748A4"/>
    <w:rsid w:val="00683E73"/>
    <w:rsid w:val="006A3141"/>
    <w:rsid w:val="006A5E34"/>
    <w:rsid w:val="006B2422"/>
    <w:rsid w:val="006B2B9A"/>
    <w:rsid w:val="006C1937"/>
    <w:rsid w:val="006C2645"/>
    <w:rsid w:val="006D0049"/>
    <w:rsid w:val="006D580B"/>
    <w:rsid w:val="006F020C"/>
    <w:rsid w:val="007127B7"/>
    <w:rsid w:val="007416B6"/>
    <w:rsid w:val="00746F48"/>
    <w:rsid w:val="0075404D"/>
    <w:rsid w:val="00760CCA"/>
    <w:rsid w:val="0076182A"/>
    <w:rsid w:val="00767B7E"/>
    <w:rsid w:val="007770C3"/>
    <w:rsid w:val="00784D24"/>
    <w:rsid w:val="00785FBA"/>
    <w:rsid w:val="00786E4A"/>
    <w:rsid w:val="007875EB"/>
    <w:rsid w:val="00793B6A"/>
    <w:rsid w:val="0079426B"/>
    <w:rsid w:val="007C4C32"/>
    <w:rsid w:val="007D312A"/>
    <w:rsid w:val="007D3F19"/>
    <w:rsid w:val="007E23B0"/>
    <w:rsid w:val="007E79F4"/>
    <w:rsid w:val="007F1991"/>
    <w:rsid w:val="007F2C2F"/>
    <w:rsid w:val="007F55FC"/>
    <w:rsid w:val="007F5665"/>
    <w:rsid w:val="00800112"/>
    <w:rsid w:val="008253BB"/>
    <w:rsid w:val="0083706E"/>
    <w:rsid w:val="008423A5"/>
    <w:rsid w:val="00847FB2"/>
    <w:rsid w:val="00850625"/>
    <w:rsid w:val="00853718"/>
    <w:rsid w:val="00855221"/>
    <w:rsid w:val="00860645"/>
    <w:rsid w:val="00871F71"/>
    <w:rsid w:val="00885AF4"/>
    <w:rsid w:val="008939CD"/>
    <w:rsid w:val="008B768C"/>
    <w:rsid w:val="008C4DB1"/>
    <w:rsid w:val="008C4EAF"/>
    <w:rsid w:val="008C5176"/>
    <w:rsid w:val="008C7FD0"/>
    <w:rsid w:val="008D2D2F"/>
    <w:rsid w:val="008E1DE7"/>
    <w:rsid w:val="008E707C"/>
    <w:rsid w:val="008F5E04"/>
    <w:rsid w:val="00900B08"/>
    <w:rsid w:val="00902155"/>
    <w:rsid w:val="00902FA3"/>
    <w:rsid w:val="00923564"/>
    <w:rsid w:val="0092392E"/>
    <w:rsid w:val="009315F9"/>
    <w:rsid w:val="00943E2E"/>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72956"/>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2AD"/>
    <w:rsid w:val="00C61BFC"/>
    <w:rsid w:val="00C62B85"/>
    <w:rsid w:val="00C65438"/>
    <w:rsid w:val="00C679B0"/>
    <w:rsid w:val="00C85720"/>
    <w:rsid w:val="00C91CBB"/>
    <w:rsid w:val="00CA681D"/>
    <w:rsid w:val="00CB4D7F"/>
    <w:rsid w:val="00CB5C26"/>
    <w:rsid w:val="00CC09B6"/>
    <w:rsid w:val="00CC666F"/>
    <w:rsid w:val="00CD1E3F"/>
    <w:rsid w:val="00CE44F6"/>
    <w:rsid w:val="00CE49DA"/>
    <w:rsid w:val="00CE7B61"/>
    <w:rsid w:val="00D00095"/>
    <w:rsid w:val="00D20620"/>
    <w:rsid w:val="00D26091"/>
    <w:rsid w:val="00D34E7C"/>
    <w:rsid w:val="00D35489"/>
    <w:rsid w:val="00D51276"/>
    <w:rsid w:val="00D5400F"/>
    <w:rsid w:val="00D7035F"/>
    <w:rsid w:val="00D8152F"/>
    <w:rsid w:val="00DA65AC"/>
    <w:rsid w:val="00DB1913"/>
    <w:rsid w:val="00DC410D"/>
    <w:rsid w:val="00DC68CA"/>
    <w:rsid w:val="00DC7CBA"/>
    <w:rsid w:val="00DD02B0"/>
    <w:rsid w:val="00DD3ACF"/>
    <w:rsid w:val="00DD73B7"/>
    <w:rsid w:val="00DF28BC"/>
    <w:rsid w:val="00DF34B9"/>
    <w:rsid w:val="00E01053"/>
    <w:rsid w:val="00E07ACF"/>
    <w:rsid w:val="00E228DC"/>
    <w:rsid w:val="00E249D5"/>
    <w:rsid w:val="00E331A1"/>
    <w:rsid w:val="00E33202"/>
    <w:rsid w:val="00E336A9"/>
    <w:rsid w:val="00E46351"/>
    <w:rsid w:val="00E50624"/>
    <w:rsid w:val="00E568DF"/>
    <w:rsid w:val="00E61807"/>
    <w:rsid w:val="00E64269"/>
    <w:rsid w:val="00E82267"/>
    <w:rsid w:val="00E92390"/>
    <w:rsid w:val="00EA010F"/>
    <w:rsid w:val="00ED1B63"/>
    <w:rsid w:val="00ED3C1F"/>
    <w:rsid w:val="00ED4085"/>
    <w:rsid w:val="00ED420E"/>
    <w:rsid w:val="00EE2F57"/>
    <w:rsid w:val="00EF4C34"/>
    <w:rsid w:val="00EF77C6"/>
    <w:rsid w:val="00F05438"/>
    <w:rsid w:val="00F1361C"/>
    <w:rsid w:val="00F160C7"/>
    <w:rsid w:val="00F31827"/>
    <w:rsid w:val="00F36D8F"/>
    <w:rsid w:val="00F417B1"/>
    <w:rsid w:val="00F602DF"/>
    <w:rsid w:val="00F81FD9"/>
    <w:rsid w:val="00F841AA"/>
    <w:rsid w:val="00FA23E8"/>
    <w:rsid w:val="00FC2F87"/>
    <w:rsid w:val="00FD3CC1"/>
    <w:rsid w:val="00FF1E02"/>
    <w:rsid w:val="00FF268B"/>
    <w:rsid w:val="00FF30B4"/>
    <w:rsid w:val="01C91CB0"/>
    <w:rsid w:val="03593641"/>
    <w:rsid w:val="036A7733"/>
    <w:rsid w:val="054B7C83"/>
    <w:rsid w:val="05EE2567"/>
    <w:rsid w:val="06F11E6B"/>
    <w:rsid w:val="07D5375A"/>
    <w:rsid w:val="0885790D"/>
    <w:rsid w:val="0D233E11"/>
    <w:rsid w:val="0F435D27"/>
    <w:rsid w:val="10C055FF"/>
    <w:rsid w:val="11E537A4"/>
    <w:rsid w:val="16BB723D"/>
    <w:rsid w:val="1AAD748B"/>
    <w:rsid w:val="1CAC41A0"/>
    <w:rsid w:val="1DA73668"/>
    <w:rsid w:val="1DF97A81"/>
    <w:rsid w:val="1EEB6157"/>
    <w:rsid w:val="22CB7DA7"/>
    <w:rsid w:val="240371BF"/>
    <w:rsid w:val="259B6FC4"/>
    <w:rsid w:val="274F63A8"/>
    <w:rsid w:val="280C6463"/>
    <w:rsid w:val="2871517D"/>
    <w:rsid w:val="29FD04D3"/>
    <w:rsid w:val="2ED34919"/>
    <w:rsid w:val="301A24F2"/>
    <w:rsid w:val="319F7F4E"/>
    <w:rsid w:val="331C3E8A"/>
    <w:rsid w:val="362E4DB1"/>
    <w:rsid w:val="38C25E33"/>
    <w:rsid w:val="3D49140B"/>
    <w:rsid w:val="3E6F2DD4"/>
    <w:rsid w:val="42DB6B59"/>
    <w:rsid w:val="43787A2F"/>
    <w:rsid w:val="438B0A2C"/>
    <w:rsid w:val="4555487E"/>
    <w:rsid w:val="4B875730"/>
    <w:rsid w:val="4BDF458C"/>
    <w:rsid w:val="4CB12A01"/>
    <w:rsid w:val="4DAD692D"/>
    <w:rsid w:val="538E4E8B"/>
    <w:rsid w:val="56EF5300"/>
    <w:rsid w:val="57E97C99"/>
    <w:rsid w:val="5CB3294B"/>
    <w:rsid w:val="5CD77139"/>
    <w:rsid w:val="5CF400BF"/>
    <w:rsid w:val="5CFF1163"/>
    <w:rsid w:val="5E9D1EEB"/>
    <w:rsid w:val="5EB30278"/>
    <w:rsid w:val="600E785C"/>
    <w:rsid w:val="637F3E7D"/>
    <w:rsid w:val="639301F4"/>
    <w:rsid w:val="6C341753"/>
    <w:rsid w:val="6EF049AF"/>
    <w:rsid w:val="6F9078F7"/>
    <w:rsid w:val="71957A92"/>
    <w:rsid w:val="72BF53BD"/>
    <w:rsid w:val="74864D10"/>
    <w:rsid w:val="77AC299F"/>
    <w:rsid w:val="7F2D0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22"/>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四号正文"/>
    <w:basedOn w:val="1"/>
    <w:qFormat/>
    <w:uiPriority w:val="0"/>
    <w:pPr>
      <w:spacing w:line="360" w:lineRule="auto"/>
    </w:pPr>
    <w:rPr>
      <w:rFonts w:ascii="??" w:hAnsi="??" w:eastAsia="宋体"/>
      <w:color w:val="000000"/>
      <w:kern w:val="0"/>
      <w:sz w:val="28"/>
      <w:szCs w:val="21"/>
    </w:rPr>
  </w:style>
  <w:style w:type="character" w:customStyle="1" w:styleId="31">
    <w:name w:val=" Char Char5"/>
    <w:basedOn w:val="14"/>
    <w:link w:val="3"/>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K:\2020&#24180;&#37096;&#38376;&#20915;&#31639;\&#20915;&#31639;&#25253;&#34920;&#22270;&#34920;.xlsx" TargetMode="External"/></Relationships>
</file>

<file path=word/charts/_rels/chart2.xml.rels><?xml version="1.0" encoding="UTF-8" standalone="yes"?>
<Relationships xmlns="http://schemas.openxmlformats.org/package/2006/relationships"><Relationship Id="rId5" Type="http://schemas.microsoft.com/office/2011/relationships/chartColorStyle" Target="colors3.xml"/><Relationship Id="rId4" Type="http://schemas.microsoft.com/office/2011/relationships/chartStyle" Target="style3.xml"/><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file:///F:\&#21508;&#31181;&#25253;&#34920;\&#37096;&#38376;&#20915;&#31639;&#20844;&#24320;&#25253;&#34920;\&#22270;&#34920;&#25991;&#20214;.xlsx" TargetMode="External"/></Relationships>
</file>

<file path=word/charts/_rels/chart3.xml.rels><?xml version="1.0" encoding="UTF-8" standalone="yes"?>
<Relationships xmlns="http://schemas.openxmlformats.org/package/2006/relationships"><Relationship Id="rId5" Type="http://schemas.microsoft.com/office/2011/relationships/chartColorStyle" Target="colors6.xml"/><Relationship Id="rId4" Type="http://schemas.microsoft.com/office/2011/relationships/chartStyle" Target="style6.xml"/><Relationship Id="rId3" Type="http://schemas.openxmlformats.org/officeDocument/2006/relationships/image" Target="../media/image1.png"/><Relationship Id="rId2" Type="http://schemas.openxmlformats.org/officeDocument/2006/relationships/themeOverride" Target="../theme/themeOverride3.xml"/><Relationship Id="rId1" Type="http://schemas.openxmlformats.org/officeDocument/2006/relationships/oleObject" Target="file:///F:\&#21508;&#31181;&#25253;&#34920;\&#37096;&#38376;&#20915;&#31639;&#20844;&#24320;&#25253;&#34920;\&#22270;&#34920;&#25991;&#2021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1508;&#31181;&#25253;&#34920;\&#37096;&#38376;&#20915;&#31639;&#20844;&#24320;&#25253;&#34920;\&#22270;&#34920;&#25991;&#2021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1508;&#31181;&#25253;&#34920;\&#37096;&#38376;&#20915;&#31639;&#20844;&#24320;&#25253;&#34920;\&#22270;&#34920;&#25991;&#20214;.xlsx" TargetMode="External"/></Relationships>
</file>

<file path=word/charts/_rels/chart6.xml.rels><?xml version="1.0" encoding="UTF-8" standalone="yes"?>
<Relationships xmlns="http://schemas.openxmlformats.org/package/2006/relationships"><Relationship Id="rId5" Type="http://schemas.microsoft.com/office/2011/relationships/chartColorStyle" Target="colors4.xml"/><Relationship Id="rId4" Type="http://schemas.microsoft.com/office/2011/relationships/chartStyle" Target="style4.xml"/><Relationship Id="rId3" Type="http://schemas.openxmlformats.org/officeDocument/2006/relationships/image" Target="../media/image2.png"/><Relationship Id="rId2" Type="http://schemas.openxmlformats.org/officeDocument/2006/relationships/themeOverride" Target="../theme/themeOverride2.xml"/><Relationship Id="rId1" Type="http://schemas.openxmlformats.org/officeDocument/2006/relationships/oleObject" Target="file:///F:\&#21508;&#31181;&#25253;&#34920;\&#37096;&#38376;&#20915;&#31639;&#20844;&#24320;&#25253;&#34920;\&#22270;&#34920;&#25991;&#202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收入对比图</a:t>
            </a:r>
          </a:p>
        </c:rich>
      </c:tx>
      <c:layout/>
      <c:overlay val="0"/>
      <c:spPr>
        <a:noFill/>
        <a:ln>
          <a:noFill/>
        </a:ln>
        <a:effectLst/>
      </c:spPr>
    </c:title>
    <c:autoTitleDeleted val="0"/>
    <c:plotArea>
      <c:layout>
        <c:manualLayout>
          <c:layoutTarget val="inner"/>
          <c:xMode val="edge"/>
          <c:yMode val="edge"/>
          <c:x val="0.0595579763276422"/>
          <c:y val="0.2660741301059"/>
          <c:w val="0.920540483921651"/>
          <c:h val="0.678782148260212"/>
        </c:manualLayout>
      </c:layout>
      <c:barChart>
        <c:barDir val="col"/>
        <c:grouping val="clustered"/>
        <c:varyColors val="0"/>
        <c:ser>
          <c:idx val="0"/>
          <c:order val="0"/>
          <c:tx>
            <c:strRef>
              <c:f>[决算报表图表.xlsx]Sheet1!$B$3</c:f>
              <c:strCache>
                <c:ptCount val="1"/>
                <c:pt idx="0">
                  <c:v>2019年</c:v>
                </c:pt>
              </c:strCache>
            </c:strRef>
          </c:tx>
          <c:spPr>
            <a:solidFill>
              <a:srgbClr val="4F81BD"/>
            </a:solidFill>
            <a:ln>
              <a:noFill/>
            </a:ln>
            <a:effectLst/>
          </c:spPr>
          <c:invertIfNegative val="0"/>
          <c:dLbls>
            <c:delete val="1"/>
          </c:dLbls>
          <c:cat>
            <c:strRef>
              <c:f>[决算报表图表.xlsx]Sheet1!$C$2:$D$2</c:f>
              <c:strCache>
                <c:ptCount val="2"/>
                <c:pt idx="0">
                  <c:v>财政预算收入</c:v>
                </c:pt>
                <c:pt idx="1">
                  <c:v>事业收入</c:v>
                </c:pt>
              </c:strCache>
            </c:strRef>
          </c:cat>
          <c:val>
            <c:numRef>
              <c:f>[决算报表图表.xlsx]Sheet1!$C$3:$D$3</c:f>
              <c:numCache>
                <c:formatCode>General</c:formatCode>
                <c:ptCount val="2"/>
                <c:pt idx="0">
                  <c:v>156.9</c:v>
                </c:pt>
                <c:pt idx="1">
                  <c:v>72.58</c:v>
                </c:pt>
              </c:numCache>
            </c:numRef>
          </c:val>
        </c:ser>
        <c:ser>
          <c:idx val="1"/>
          <c:order val="1"/>
          <c:tx>
            <c:strRef>
              <c:f>[决算报表图表.xlsx]Sheet1!$B$4</c:f>
              <c:strCache>
                <c:ptCount val="1"/>
                <c:pt idx="0">
                  <c:v>2020年</c:v>
                </c:pt>
              </c:strCache>
            </c:strRef>
          </c:tx>
          <c:spPr>
            <a:solidFill>
              <a:srgbClr val="C0504D"/>
            </a:solidFill>
            <a:ln>
              <a:noFill/>
            </a:ln>
            <a:effectLst/>
          </c:spPr>
          <c:invertIfNegative val="0"/>
          <c:dLbls>
            <c:delete val="1"/>
          </c:dLbls>
          <c:cat>
            <c:strRef>
              <c:f>[决算报表图表.xlsx]Sheet1!$C$2:$D$2</c:f>
              <c:strCache>
                <c:ptCount val="2"/>
                <c:pt idx="0">
                  <c:v>财政预算收入</c:v>
                </c:pt>
                <c:pt idx="1">
                  <c:v>事业收入</c:v>
                </c:pt>
              </c:strCache>
            </c:strRef>
          </c:cat>
          <c:val>
            <c:numRef>
              <c:f>[决算报表图表.xlsx]Sheet1!$C$4:$D$4</c:f>
              <c:numCache>
                <c:formatCode>General</c:formatCode>
                <c:ptCount val="2"/>
                <c:pt idx="0">
                  <c:v>177.91</c:v>
                </c:pt>
                <c:pt idx="1">
                  <c:v>103.99</c:v>
                </c:pt>
              </c:numCache>
            </c:numRef>
          </c:val>
        </c:ser>
        <c:dLbls>
          <c:showLegendKey val="0"/>
          <c:showVal val="0"/>
          <c:showCatName val="0"/>
          <c:showSerName val="0"/>
          <c:showPercent val="0"/>
          <c:showBubbleSize val="0"/>
        </c:dLbls>
        <c:gapWidth val="219"/>
        <c:overlap val="-27"/>
        <c:axId val="334121686"/>
        <c:axId val="310451870"/>
      </c:barChart>
      <c:catAx>
        <c:axId val="33412168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0451870"/>
        <c:crosses val="autoZero"/>
        <c:auto val="1"/>
        <c:lblAlgn val="ctr"/>
        <c:lblOffset val="100"/>
        <c:noMultiLvlLbl val="0"/>
      </c:catAx>
      <c:valAx>
        <c:axId val="310451870"/>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341216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6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收入决算结构图</a:t>
            </a:r>
          </a:p>
        </c:rich>
      </c:tx>
      <c:layout>
        <c:manualLayout>
          <c:xMode val="edge"/>
          <c:yMode val="edge"/>
          <c:x val="0.396966457303221"/>
          <c:y val="0.0282752120640905"/>
        </c:manualLayout>
      </c:layout>
      <c:overlay val="0"/>
      <c:spPr>
        <a:noFill/>
        <a:ln>
          <a:noFill/>
        </a:ln>
        <a:effectLst/>
      </c:spPr>
    </c:title>
    <c:autoTitleDeleted val="0"/>
    <c:plotArea>
      <c:layout>
        <c:manualLayout>
          <c:layoutTarget val="inner"/>
          <c:xMode val="edge"/>
          <c:yMode val="edge"/>
          <c:x val="0.298142456234131"/>
          <c:y val="0.200134669686756"/>
          <c:w val="0.401309635173059"/>
          <c:h val="0.66971454058876"/>
        </c:manualLayout>
      </c:layout>
      <c:pieChart>
        <c:varyColors val="1"/>
        <c:ser>
          <c:idx val="0"/>
          <c:order val="0"/>
          <c:spPr>
            <a:solidFill>
              <a:srgbClr val="1E2223"/>
            </a:solidFill>
            <a:ln w="19050" cap="rnd" cmpd="sng">
              <a:solidFill>
                <a:schemeClr val="tx1">
                  <a:lumMod val="65000"/>
                  <a:lumOff val="35000"/>
                </a:schemeClr>
              </a:solidFill>
              <a:prstDash val="solid"/>
              <a:round/>
            </a:ln>
            <a:effectLst/>
          </c:spPr>
          <c:explosion val="0"/>
          <c:dPt>
            <c:idx val="0"/>
            <c:bubble3D val="0"/>
            <c:spPr>
              <a:solidFill>
                <a:srgbClr val="6CB4FA"/>
              </a:solidFill>
              <a:ln w="19050" cap="rnd" cmpd="sng">
                <a:solidFill>
                  <a:schemeClr val="tx1">
                    <a:lumMod val="65000"/>
                    <a:lumOff val="35000"/>
                  </a:schemeClr>
                </a:solidFill>
                <a:prstDash val="solid"/>
                <a:round/>
              </a:ln>
              <a:effectLst/>
            </c:spPr>
          </c:dPt>
          <c:dPt>
            <c:idx val="1"/>
            <c:bubble3D val="0"/>
            <c:spPr>
              <a:solidFill>
                <a:srgbClr val="BBFCEE"/>
              </a:solidFill>
              <a:ln w="19050" cap="rnd" cmpd="sng">
                <a:solidFill>
                  <a:schemeClr val="tx1">
                    <a:lumMod val="65000"/>
                    <a:lumOff val="35000"/>
                  </a:schemeClr>
                </a:solidFill>
                <a:prstDash val="solid"/>
                <a:round/>
              </a:ln>
              <a:effectLst/>
            </c:spPr>
          </c:dPt>
          <c:dLbls>
            <c:dLbl>
              <c:idx val="0"/>
              <c:layout/>
              <c:numFmt formatCode="General" sourceLinked="1"/>
              <c:spPr>
                <a:solidFill>
                  <a:srgbClr val="6CB4FA"/>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rgbClr val="79EFD3"/>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rgbClr val="FFD588"/>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[图表文件.xlsx]Sheet1!$F$43:$G$43</c:f>
              <c:strCache>
                <c:ptCount val="2"/>
                <c:pt idx="0">
                  <c:v>财政拨款收入</c:v>
                </c:pt>
                <c:pt idx="1">
                  <c:v>事业收入</c:v>
                </c:pt>
              </c:strCache>
            </c:strRef>
          </c:cat>
          <c:val>
            <c:numRef>
              <c:f>[图表文件.xlsx]Sheet1!$F$44:$G$44</c:f>
              <c:numCache>
                <c:formatCode>General</c:formatCode>
                <c:ptCount val="2"/>
                <c:pt idx="0">
                  <c:v>177.91</c:v>
                </c:pt>
                <c:pt idx="1">
                  <c:v>103.9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768055555555556"/>
          <c:y val="0.296759259259259"/>
          <c:w val="0.2"/>
          <c:h val="0.45162037037037"/>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blipFill rotWithShape="1">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6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支出决算结构图</a:t>
            </a:r>
          </a:p>
        </c:rich>
      </c:tx>
      <c:layout>
        <c:manualLayout>
          <c:xMode val="edge"/>
          <c:yMode val="edge"/>
          <c:x val="0.399049790636554"/>
          <c:y val="0.0248029898418683"/>
        </c:manualLayout>
      </c:layout>
      <c:overlay val="0"/>
      <c:spPr>
        <a:noFill/>
        <a:ln>
          <a:noFill/>
        </a:ln>
        <a:effectLst/>
      </c:spPr>
    </c:title>
    <c:autoTitleDeleted val="0"/>
    <c:plotArea>
      <c:layout>
        <c:manualLayout>
          <c:layoutTarget val="inner"/>
          <c:xMode val="edge"/>
          <c:yMode val="edge"/>
          <c:x val="0.298142456234131"/>
          <c:y val="0.200134669686756"/>
          <c:w val="0.401309635173059"/>
          <c:h val="0.66971454058876"/>
        </c:manualLayout>
      </c:layout>
      <c:pieChart>
        <c:varyColors val="1"/>
        <c:ser>
          <c:idx val="0"/>
          <c:order val="0"/>
          <c:spPr>
            <a:solidFill>
              <a:srgbClr val="1E2223"/>
            </a:solidFill>
            <a:ln w="19050" cap="rnd" cmpd="sng">
              <a:solidFill>
                <a:schemeClr val="tx1">
                  <a:lumMod val="65000"/>
                  <a:lumOff val="35000"/>
                </a:schemeClr>
              </a:solidFill>
              <a:prstDash val="solid"/>
              <a:round/>
            </a:ln>
            <a:effectLst/>
          </c:spPr>
          <c:explosion val="0"/>
          <c:dPt>
            <c:idx val="0"/>
            <c:bubble3D val="0"/>
            <c:spPr>
              <a:solidFill>
                <a:srgbClr val="6CB4FA"/>
              </a:solidFill>
              <a:ln w="19050" cap="rnd" cmpd="sng">
                <a:solidFill>
                  <a:schemeClr val="tx1">
                    <a:lumMod val="65000"/>
                    <a:lumOff val="35000"/>
                  </a:schemeClr>
                </a:solidFill>
                <a:prstDash val="solid"/>
                <a:round/>
              </a:ln>
              <a:effectLst/>
            </c:spPr>
          </c:dPt>
          <c:dPt>
            <c:idx val="1"/>
            <c:bubble3D val="0"/>
            <c:spPr>
              <a:solidFill>
                <a:srgbClr val="BBFCEE"/>
              </a:solidFill>
              <a:ln w="19050" cap="rnd" cmpd="sng">
                <a:solidFill>
                  <a:schemeClr val="tx1">
                    <a:lumMod val="65000"/>
                    <a:lumOff val="35000"/>
                  </a:schemeClr>
                </a:solidFill>
                <a:prstDash val="solid"/>
                <a:round/>
              </a:ln>
              <a:effectLst/>
            </c:spPr>
          </c:dPt>
          <c:dLbls>
            <c:dLbl>
              <c:idx val="0"/>
              <c:layout/>
              <c:numFmt formatCode="General" sourceLinked="1"/>
              <c:spPr>
                <a:solidFill>
                  <a:srgbClr val="6CB4FA"/>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rgbClr val="79EFD3"/>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rgbClr val="FFD588"/>
              </a:solidFill>
              <a:ln>
                <a:solidFill>
                  <a:schemeClr val="tx1">
                    <a:lumMod val="65000"/>
                    <a:lumOff val="3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[图表文件.xlsx]Sheet1!$G$75:$H$75</c:f>
              <c:strCache>
                <c:ptCount val="2"/>
                <c:pt idx="0">
                  <c:v>基本支出</c:v>
                </c:pt>
                <c:pt idx="1">
                  <c:v>项目支出</c:v>
                </c:pt>
              </c:strCache>
            </c:strRef>
          </c:cat>
          <c:val>
            <c:numRef>
              <c:f>[图表文件.xlsx]Sheet1!$G$76:$H$76</c:f>
              <c:numCache>
                <c:formatCode>General</c:formatCode>
                <c:ptCount val="2"/>
                <c:pt idx="0">
                  <c:v>188.73</c:v>
                </c:pt>
                <c:pt idx="1">
                  <c:v>84.99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00795228628231"/>
          <c:y val="0.296759259259259"/>
          <c:w val="0.134923790589795"/>
          <c:h val="0.45162037037037"/>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blipFill rotWithShape="1">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财政拨款收、支决算变动情况表</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[图表文件.xlsx]Sheet1!$G$107:$J$107</c:f>
              <c:strCache>
                <c:ptCount val="4"/>
                <c:pt idx="0">
                  <c:v>2019年财政拨款收入</c:v>
                </c:pt>
                <c:pt idx="1">
                  <c:v>2020年财政拨款收入</c:v>
                </c:pt>
                <c:pt idx="2">
                  <c:v>2019年财政拨款支出</c:v>
                </c:pt>
                <c:pt idx="3">
                  <c:v>2020年财政拨款支出</c:v>
                </c:pt>
              </c:strCache>
            </c:strRef>
          </c:cat>
          <c:val>
            <c:numRef>
              <c:f>[图表文件.xlsx]Sheet1!$G$108:$J$108</c:f>
              <c:numCache>
                <c:formatCode>General</c:formatCode>
                <c:ptCount val="4"/>
                <c:pt idx="0">
                  <c:v>156.9</c:v>
                </c:pt>
                <c:pt idx="1">
                  <c:v>177.91</c:v>
                </c:pt>
                <c:pt idx="2">
                  <c:v>150.93</c:v>
                </c:pt>
                <c:pt idx="3">
                  <c:v>169.72</c:v>
                </c:pt>
              </c:numCache>
            </c:numRef>
          </c:val>
        </c:ser>
        <c:dLbls>
          <c:showLegendKey val="0"/>
          <c:showVal val="0"/>
          <c:showCatName val="0"/>
          <c:showSerName val="0"/>
          <c:showPercent val="0"/>
          <c:showBubbleSize val="0"/>
        </c:dLbls>
        <c:gapWidth val="219"/>
        <c:overlap val="-27"/>
        <c:axId val="812780325"/>
        <c:axId val="44405500"/>
      </c:barChart>
      <c:catAx>
        <c:axId val="8127803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405500"/>
        <c:crosses val="autoZero"/>
        <c:auto val="1"/>
        <c:lblAlgn val="ctr"/>
        <c:lblOffset val="100"/>
        <c:noMultiLvlLbl val="0"/>
      </c:catAx>
      <c:valAx>
        <c:axId val="444055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7803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rgbClr val="00B050"/>
                </a:solidFill>
              </a:rPr>
              <a:t>一般公共预算财政拨款支出决算变动情况表</a:t>
            </a:r>
            <a:endParaRPr>
              <a:solidFill>
                <a:srgbClr val="00B050"/>
              </a:solidFill>
            </a:endParaRPr>
          </a:p>
        </c:rich>
      </c:tx>
      <c:layout/>
      <c:overlay val="0"/>
      <c:spPr>
        <a:noFill/>
        <a:ln>
          <a:noFill/>
        </a:ln>
        <a:effectLst/>
      </c:spPr>
    </c:title>
    <c:autoTitleDeleted val="0"/>
    <c:plotArea>
      <c:layout>
        <c:manualLayout>
          <c:layoutTarget val="inner"/>
          <c:xMode val="edge"/>
          <c:yMode val="edge"/>
          <c:x val="0.0498055555555556"/>
          <c:y val="0.22037037037037"/>
          <c:w val="0.894638888888889"/>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[图表文件.xlsx]Sheet1!$G$134:$H$134</c:f>
              <c:strCache>
                <c:ptCount val="2"/>
                <c:pt idx="0">
                  <c:v>2019年</c:v>
                </c:pt>
                <c:pt idx="1">
                  <c:v>2020年</c:v>
                </c:pt>
              </c:strCache>
            </c:strRef>
          </c:cat>
          <c:val>
            <c:numRef>
              <c:f>[图表文件.xlsx]Sheet1!$G$135:$H$135</c:f>
              <c:numCache>
                <c:formatCode>General</c:formatCode>
                <c:ptCount val="2"/>
                <c:pt idx="0">
                  <c:v>150.93</c:v>
                </c:pt>
                <c:pt idx="1">
                  <c:v>169.72</c:v>
                </c:pt>
              </c:numCache>
            </c:numRef>
          </c:val>
        </c:ser>
        <c:dLbls>
          <c:showLegendKey val="0"/>
          <c:showVal val="0"/>
          <c:showCatName val="0"/>
          <c:showSerName val="0"/>
          <c:showPercent val="0"/>
          <c:showBubbleSize val="0"/>
        </c:dLbls>
        <c:gapWidth val="219"/>
        <c:overlap val="-27"/>
        <c:axId val="391478674"/>
        <c:axId val="948023752"/>
      </c:barChart>
      <c:catAx>
        <c:axId val="3914786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023752"/>
        <c:crosses val="autoZero"/>
        <c:auto val="1"/>
        <c:lblAlgn val="ctr"/>
        <c:lblOffset val="100"/>
        <c:noMultiLvlLbl val="0"/>
      </c:catAx>
      <c:valAx>
        <c:axId val="948023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4786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一般公共预算财政拨款支出决算结构图</a:t>
            </a:r>
          </a:p>
        </c:rich>
      </c:tx>
      <c:layout>
        <c:manualLayout>
          <c:xMode val="edge"/>
          <c:yMode val="edge"/>
          <c:x val="0.217916666666667"/>
          <c:y val="0.0208333333333333"/>
        </c:manualLayout>
      </c:layout>
      <c:overlay val="0"/>
      <c:spPr>
        <a:noFill/>
        <a:ln>
          <a:noFill/>
        </a:ln>
        <a:effectLst/>
      </c:spPr>
    </c:title>
    <c:autoTitleDeleted val="0"/>
    <c:plotArea>
      <c:layout>
        <c:manualLayout>
          <c:layoutTarget val="inner"/>
          <c:xMode val="edge"/>
          <c:yMode val="edge"/>
          <c:x val="0.301944444444444"/>
          <c:y val="0.197222222222222"/>
          <c:w val="0.374444444444444"/>
          <c:h val="0.624074074074074"/>
        </c:manualLayout>
      </c:layout>
      <c:pieChart>
        <c:varyColors val="1"/>
        <c:ser>
          <c:idx val="0"/>
          <c:order val="0"/>
          <c:spPr/>
          <c:explosion val="0"/>
          <c:dPt>
            <c:idx val="0"/>
            <c:bubble3D val="0"/>
            <c:spPr>
              <a:solidFill>
                <a:srgbClr val="E87071"/>
              </a:solidFill>
              <a:ln w="19050">
                <a:solidFill>
                  <a:schemeClr val="lt1"/>
                </a:solidFill>
              </a:ln>
              <a:effectLst/>
            </c:spPr>
          </c:dPt>
          <c:dPt>
            <c:idx val="1"/>
            <c:bubble3D val="0"/>
            <c:spPr>
              <a:solidFill>
                <a:srgbClr val="663A77"/>
              </a:solidFill>
              <a:ln w="19050">
                <a:solidFill>
                  <a:schemeClr val="lt1"/>
                </a:solidFill>
              </a:ln>
              <a:effectLst/>
            </c:spPr>
          </c:dPt>
          <c:dPt>
            <c:idx val="2"/>
            <c:bubble3D val="0"/>
            <c:spPr>
              <a:solidFill>
                <a:srgbClr val="01ACBE"/>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[图表文件.xlsx]Sheet1!$G$162:$I$162</c:f>
              <c:strCache>
                <c:ptCount val="3"/>
                <c:pt idx="0">
                  <c:v>社会保障和就业</c:v>
                </c:pt>
                <c:pt idx="1">
                  <c:v>医疗卫生</c:v>
                </c:pt>
                <c:pt idx="2">
                  <c:v>住房保障</c:v>
                </c:pt>
              </c:strCache>
            </c:strRef>
          </c:cat>
          <c:val>
            <c:numRef>
              <c:f>[图表文件.xlsx]Sheet1!$G$163:$I$163</c:f>
              <c:numCache>
                <c:formatCode>General</c:formatCode>
                <c:ptCount val="3"/>
                <c:pt idx="0">
                  <c:v>13.48</c:v>
                </c:pt>
                <c:pt idx="1">
                  <c:v>149</c:v>
                </c:pt>
                <c:pt idx="2">
                  <c:v>7.24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7638888888889"/>
          <c:y val="0.584953703703704"/>
          <c:w val="0.225694444444444"/>
          <c:h val="0.36481481481481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blipFill rotWithShape="1">
      <a:blip xmlns:r="http://schemas.openxmlformats.org/officeDocument/2006/relationships" r:embed="rId3"/>
      <a:stretch>
        <a:fillRect/>
      </a:stretch>
    </a:blip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EF7C6-C532-499B-BC5B-6B892B9CFF9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6951</Words>
  <Characters>3091</Characters>
  <Lines>25</Lines>
  <Paragraphs>20</Paragraphs>
  <TotalTime>0</TotalTime>
  <ScaleCrop>false</ScaleCrop>
  <LinksUpToDate>false</LinksUpToDate>
  <CharactersWithSpaces>10022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2019-09-17T13:36:00Z</dcterms:created>
  <dc:creator>张彬茜</dc:creator>
  <cp:lastModifiedBy>今朝相思语明日欲念空</cp:lastModifiedBy>
  <cp:lastPrinted>2020-09-14T06:25:00Z</cp:lastPrinted>
  <dcterms:modified xsi:type="dcterms:W3CDTF">2021-09-14T01:31:36Z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02303CA3B1554E2FA1F48D26A1F987EE</vt:lpwstr>
  </property>
</Properties>
</file>