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Style16"/>
        <w:spacing w:lineRule="exact" w:line="600"/>
        <w:jc w:val="center"/>
        <w:rPr>
          <w:rFonts w:ascii="方正小标宋简体" w:hAnsi="方正小标宋简体" w:eastAsia="方正小标宋简体"/>
          <w:color w:val="000000"/>
          <w:sz w:val="72"/>
          <w:szCs w:val="72"/>
        </w:rPr>
      </w:pPr>
      <w:r>
        <w:rPr>
          <w:rFonts w:eastAsia="方正小标宋简体" w:ascii="方正小标宋简体" w:hAnsi="方正小标宋简体"/>
          <w:color w:val="000000"/>
          <w:sz w:val="72"/>
          <w:szCs w:val="72"/>
        </w:rPr>
      </w:r>
      <w:bookmarkStart w:id="0" w:name="_Toc15306267"/>
      <w:bookmarkStart w:id="1" w:name="_Toc15306267"/>
    </w:p>
    <w:p>
      <w:pPr>
        <w:pStyle w:val="Style16"/>
        <w:spacing w:lineRule="exact" w:line="600"/>
        <w:jc w:val="center"/>
        <w:rPr>
          <w:rFonts w:ascii="方正小标宋简体" w:hAnsi="方正小标宋简体" w:eastAsia="方正小标宋简体"/>
          <w:color w:val="000000"/>
          <w:sz w:val="72"/>
          <w:szCs w:val="72"/>
        </w:rPr>
      </w:pPr>
      <w:r>
        <w:rPr>
          <w:rFonts w:eastAsia="方正小标宋简体" w:ascii="方正小标宋简体" w:hAnsi="方正小标宋简体"/>
          <w:color w:val="000000"/>
          <w:sz w:val="72"/>
          <w:szCs w:val="72"/>
        </w:rPr>
      </w:r>
    </w:p>
    <w:p>
      <w:pPr>
        <w:pStyle w:val="Style16"/>
        <w:spacing w:lineRule="exact" w:line="600"/>
        <w:jc w:val="center"/>
        <w:rPr>
          <w:rFonts w:ascii="方正小标宋简体" w:hAnsi="方正小标宋简体" w:eastAsia="方正小标宋简体"/>
          <w:color w:val="000000"/>
          <w:sz w:val="72"/>
          <w:szCs w:val="72"/>
        </w:rPr>
      </w:pPr>
      <w:r>
        <w:rPr>
          <w:rFonts w:eastAsia="方正小标宋简体" w:ascii="方正小标宋简体" w:hAnsi="方正小标宋简体"/>
          <w:color w:val="000000"/>
          <w:sz w:val="72"/>
          <w:szCs w:val="72"/>
        </w:rPr>
      </w:r>
    </w:p>
    <w:p>
      <w:pPr>
        <w:pStyle w:val="Style16"/>
        <w:spacing w:lineRule="exact" w:line="600"/>
        <w:jc w:val="center"/>
        <w:rPr>
          <w:rFonts w:ascii="方正小标宋简体" w:hAnsi="方正小标宋简体" w:eastAsia="方正小标宋简体"/>
          <w:color w:val="000000"/>
          <w:sz w:val="72"/>
          <w:szCs w:val="72"/>
        </w:rPr>
      </w:pPr>
      <w:r>
        <w:rPr>
          <w:rFonts w:eastAsia="方正小标宋简体" w:ascii="方正小标宋简体" w:hAnsi="方正小标宋简体"/>
          <w:color w:val="000000"/>
          <w:sz w:val="72"/>
          <w:szCs w:val="72"/>
        </w:rPr>
      </w:r>
    </w:p>
    <w:p>
      <w:pPr>
        <w:pStyle w:val="Style16"/>
        <w:numPr>
          <w:ilvl w:val="0"/>
          <w:numId w:val="0"/>
        </w:numPr>
        <w:snapToGrid w:val="false"/>
        <w:spacing w:lineRule="auto" w:line="360"/>
        <w:jc w:val="center"/>
        <w:outlineLvl w:val="0"/>
        <w:rPr>
          <w:rFonts w:ascii="方正小标宋简体" w:hAnsi="方正小标宋简体" w:eastAsia="方正小标宋简体"/>
          <w:color w:val="000000"/>
          <w:sz w:val="72"/>
          <w:szCs w:val="72"/>
        </w:rPr>
      </w:pPr>
      <w:bookmarkStart w:id="2" w:name="_Toc16184"/>
      <w:bookmarkStart w:id="3" w:name="_Toc15396475"/>
      <w:bookmarkStart w:id="4" w:name="_Toc15377193"/>
      <w:bookmarkStart w:id="5" w:name="_Toc15377425"/>
      <w:bookmarkStart w:id="6" w:name="_Toc15396597"/>
      <w:bookmarkStart w:id="7" w:name="_Toc15378441"/>
      <w:r>
        <w:rPr>
          <w:rFonts w:eastAsia="黑体" w:ascii="黑体" w:hAnsi="黑体"/>
          <w:color w:val="000000"/>
          <w:sz w:val="72"/>
          <w:szCs w:val="72"/>
        </w:rPr>
        <w:t>20</w:t>
      </w:r>
      <w:r>
        <w:rPr>
          <w:rFonts w:eastAsia="黑体" w:ascii="黑体" w:hAnsi="黑体"/>
          <w:color w:val="000000"/>
          <w:sz w:val="72"/>
          <w:szCs w:val="72"/>
          <w:lang w:val="en-US" w:eastAsia="zh-CN"/>
        </w:rPr>
        <w:t>20</w:t>
      </w:r>
      <w:r>
        <w:rPr>
          <w:rFonts w:ascii="方正小标宋简体" w:hAnsi="方正小标宋简体" w:eastAsia="方正小标宋简体"/>
          <w:color w:val="000000"/>
          <w:sz w:val="72"/>
          <w:szCs w:val="72"/>
        </w:rPr>
        <w:t>年度</w:t>
      </w:r>
      <w:bookmarkEnd w:id="2"/>
      <w:bookmarkEnd w:id="3"/>
      <w:bookmarkEnd w:id="4"/>
      <w:bookmarkEnd w:id="5"/>
      <w:bookmarkEnd w:id="6"/>
      <w:bookmarkEnd w:id="7"/>
    </w:p>
    <w:p>
      <w:pPr>
        <w:pStyle w:val="Style16"/>
        <w:numPr>
          <w:ilvl w:val="0"/>
          <w:numId w:val="0"/>
        </w:numPr>
        <w:snapToGrid w:val="false"/>
        <w:spacing w:lineRule="auto" w:line="360"/>
        <w:jc w:val="center"/>
        <w:outlineLvl w:val="0"/>
        <w:rPr>
          <w:rFonts w:ascii="方正小标宋简体" w:hAnsi="方正小标宋简体" w:eastAsia="方正小标宋简体"/>
          <w:color w:val="000000"/>
          <w:sz w:val="72"/>
          <w:szCs w:val="72"/>
        </w:rPr>
      </w:pPr>
      <w:bookmarkStart w:id="8" w:name="_Toc15378442"/>
      <w:bookmarkStart w:id="9" w:name="_Toc15396598"/>
      <w:bookmarkStart w:id="10" w:name="_Toc15377194"/>
      <w:bookmarkStart w:id="11" w:name="_Toc15377426"/>
      <w:bookmarkStart w:id="12" w:name="_Toc15396476"/>
      <w:bookmarkStart w:id="13" w:name="_Toc11713"/>
      <w:r>
        <w:rPr>
          <w:rFonts w:ascii="方正小标宋简体" w:hAnsi="方正小标宋简体" w:eastAsia="方正小标宋简体"/>
          <w:color w:val="000000"/>
          <w:sz w:val="72"/>
          <w:szCs w:val="72"/>
          <w:lang w:val="en-US" w:eastAsia="zh-CN"/>
        </w:rPr>
        <w:t>四川省</w:t>
      </w:r>
      <w:r>
        <w:rPr>
          <w:rFonts w:ascii="方正小标宋简体" w:hAnsi="方正小标宋简体" w:eastAsia="方正小标宋简体"/>
          <w:color w:val="000000"/>
          <w:sz w:val="72"/>
          <w:szCs w:val="72"/>
        </w:rPr>
        <w:t>达州市达川区</w:t>
      </w:r>
      <w:bookmarkStart w:id="14" w:name="_Toc15306268"/>
      <w:bookmarkEnd w:id="1"/>
      <w:r>
        <w:rPr>
          <w:rFonts w:ascii="方正小标宋简体" w:hAnsi="方正小标宋简体" w:eastAsia="方正小标宋简体"/>
          <w:color w:val="000000"/>
          <w:sz w:val="72"/>
          <w:szCs w:val="72"/>
          <w:lang w:val="en-US" w:eastAsia="zh-CN"/>
        </w:rPr>
        <w:t>城乡规划</w:t>
      </w:r>
      <w:bookmarkStart w:id="15" w:name="_Toc10133"/>
      <w:bookmarkStart w:id="16" w:name="_GoBack"/>
      <w:bookmarkEnd w:id="13"/>
      <w:bookmarkEnd w:id="16"/>
      <w:r>
        <w:rPr>
          <w:rFonts w:ascii="方正小标宋简体" w:hAnsi="方正小标宋简体" w:eastAsia="方正小标宋简体"/>
          <w:color w:val="000000"/>
          <w:sz w:val="72"/>
          <w:szCs w:val="72"/>
          <w:lang w:val="en-US" w:eastAsia="zh-CN"/>
        </w:rPr>
        <w:t>编制中心</w:t>
      </w:r>
      <w:r>
        <w:rPr>
          <w:rFonts w:ascii="方正小标宋简体" w:hAnsi="方正小标宋简体" w:eastAsia="方正小标宋简体"/>
          <w:color w:val="000000"/>
          <w:sz w:val="72"/>
          <w:szCs w:val="72"/>
        </w:rPr>
        <w:t>部门决算</w:t>
      </w:r>
      <w:bookmarkEnd w:id="8"/>
      <w:bookmarkEnd w:id="9"/>
      <w:bookmarkEnd w:id="10"/>
      <w:bookmarkEnd w:id="11"/>
      <w:bookmarkEnd w:id="12"/>
      <w:bookmarkEnd w:id="14"/>
      <w:bookmarkEnd w:id="15"/>
    </w:p>
    <w:p>
      <w:pPr>
        <w:sectPr>
          <w:headerReference w:type="default" r:id="rId2"/>
          <w:type w:val="nextPage"/>
          <w:pgSz w:w="11906" w:h="16838"/>
          <w:pgMar w:left="1800" w:right="1800" w:header="851" w:top="1440" w:footer="0" w:bottom="1440" w:gutter="0"/>
          <w:pgNumType w:start="1" w:fmt="decimal"/>
          <w:formProt w:val="false"/>
          <w:textDirection w:val="lrTb"/>
          <w:docGrid w:type="lines" w:linePitch="312" w:charSpace="43007"/>
        </w:sectPr>
        <w:pStyle w:val="Style16"/>
        <w:numPr>
          <w:ilvl w:val="0"/>
          <w:numId w:val="0"/>
        </w:numPr>
        <w:snapToGrid w:val="false"/>
        <w:spacing w:lineRule="auto" w:line="360"/>
        <w:jc w:val="center"/>
        <w:outlineLvl w:val="0"/>
        <w:rPr>
          <w:rFonts w:ascii="方正小标宋简体" w:hAnsi="方正小标宋简体" w:eastAsia="方正小标宋简体"/>
          <w:color w:val="000000"/>
          <w:sz w:val="72"/>
          <w:szCs w:val="72"/>
        </w:rPr>
      </w:pPr>
      <w:r>
        <w:rPr>
          <w:rFonts w:eastAsia="方正小标宋简体" w:ascii="方正小标宋简体" w:hAnsi="方正小标宋简体"/>
          <w:color w:val="000000"/>
          <w:sz w:val="72"/>
          <w:szCs w:val="72"/>
        </w:rPr>
      </w:r>
    </w:p>
    <w:p>
      <w:pPr>
        <w:pStyle w:val="Style16"/>
        <w:widowControl/>
        <w:jc w:val="center"/>
        <w:rPr>
          <w:rFonts w:ascii="黑体" w:hAnsi="黑体" w:eastAsia="黑体"/>
          <w:color w:val="000000"/>
          <w:sz w:val="48"/>
          <w:szCs w:val="48"/>
        </w:rPr>
      </w:pPr>
      <w:r>
        <w:rPr>
          <w:rFonts w:ascii="黑体" w:hAnsi="黑体" w:eastAsia="黑体"/>
          <w:color w:val="000000"/>
          <w:sz w:val="48"/>
          <w:szCs w:val="48"/>
        </w:rPr>
        <w:t>目录</w:t>
      </w:r>
    </w:p>
    <w:p>
      <w:pPr>
        <w:pStyle w:val="21"/>
        <w:ind w:leftChars="200" w:left="420"/>
        <w:jc w:val="center"/>
        <w:rPr>
          <w:rFonts w:ascii="宋体" w:hAnsi="宋体" w:eastAsia="宋体" w:cs="宋体"/>
          <w:color w:val="000000"/>
          <w:sz w:val="21"/>
          <w:szCs w:val="21"/>
          <w:lang w:val="en-US" w:eastAsia="zh-CN"/>
        </w:rPr>
      </w:pPr>
      <w:r>
        <w:rPr>
          <w:rFonts w:ascii="宋体" w:hAnsi="宋体" w:cs="宋体"/>
          <w:color w:val="000000"/>
          <w:sz w:val="21"/>
          <w:szCs w:val="21"/>
          <w:lang w:val="en-US" w:eastAsia="zh-CN"/>
        </w:rPr>
        <w:t>公开时间</w:t>
      </w:r>
      <w:r>
        <w:rPr>
          <w:rFonts w:eastAsia="宋体" w:cs="宋体" w:ascii="宋体" w:hAnsi="宋体"/>
          <w:color w:val="000000"/>
          <w:sz w:val="21"/>
          <w:szCs w:val="21"/>
          <w:lang w:val="en-US" w:eastAsia="zh-CN"/>
        </w:rPr>
        <w:t>2021</w:t>
      </w:r>
      <w:r>
        <w:rPr>
          <w:rFonts w:ascii="宋体" w:hAnsi="宋体" w:cs="宋体"/>
          <w:color w:val="000000"/>
          <w:sz w:val="21"/>
          <w:szCs w:val="21"/>
          <w:lang w:val="en-US" w:eastAsia="zh-CN"/>
        </w:rPr>
        <w:t>年</w:t>
      </w:r>
      <w:r>
        <w:rPr>
          <w:rFonts w:eastAsia="宋体" w:cs="宋体" w:ascii="宋体" w:hAnsi="宋体"/>
          <w:color w:val="000000"/>
          <w:sz w:val="21"/>
          <w:szCs w:val="21"/>
          <w:lang w:val="en-US" w:eastAsia="zh-CN"/>
        </w:rPr>
        <w:t>9</w:t>
      </w:r>
      <w:r>
        <w:rPr>
          <w:rFonts w:ascii="宋体" w:hAnsi="宋体" w:cs="宋体"/>
          <w:color w:val="000000"/>
          <w:sz w:val="21"/>
          <w:szCs w:val="21"/>
          <w:lang w:val="en-US" w:eastAsia="zh-CN"/>
        </w:rPr>
        <w:t>月</w:t>
      </w:r>
      <w:r>
        <w:rPr>
          <w:rFonts w:cs="宋体" w:ascii="宋体" w:hAnsi="宋体"/>
          <w:color w:val="000000"/>
          <w:sz w:val="21"/>
          <w:szCs w:val="21"/>
          <w:lang w:val="en-US" w:eastAsia="zh-CN"/>
        </w:rPr>
        <w:t>9</w:t>
      </w:r>
      <w:r>
        <w:rPr>
          <w:rFonts w:ascii="宋体" w:hAnsi="宋体" w:cs="宋体"/>
          <w:color w:val="000000"/>
          <w:sz w:val="21"/>
          <w:szCs w:val="21"/>
          <w:lang w:val="en-US" w:eastAsia="zh-CN"/>
        </w:rPr>
        <w:t>日</w:t>
      </w:r>
    </w:p>
    <w:sdt>
      <w:sdtPr>
        <w:docPartObj>
          <w:docPartGallery w:val="Table of Contents"/>
          <w:docPartUnique w:val="true"/>
        </w:docPartObj>
      </w:sdtPr>
      <w:sdtContent>
        <w:p>
          <w:pPr>
            <w:pStyle w:val="21"/>
            <w:ind w:leftChars="200" w:left="420"/>
            <w:rPr>
              <w:rStyle w:val="Internet"/>
              <w:rFonts w:ascii="方正黑体简体" w:hAnsi="方正黑体简体" w:eastAsia="方正黑体简体" w:cs="" w:cstheme="majorBidi"/>
              <w:bCs/>
              <w:szCs w:val="22"/>
            </w:rPr>
          </w:pPr>
          <w:r>
            <w:fldChar w:fldCharType="begin"/>
          </w:r>
          <w:r>
            <w:rPr>
              <w:szCs w:val="22"/>
              <w:bCs/>
              <w:rFonts w:eastAsia="方正黑体简体" w:cs="" w:ascii="方正黑体简体" w:hAnsi="方正黑体简体"/>
            </w:rPr>
            <w:instrText> TOC \o "1-2" \u \h</w:instrText>
          </w:r>
          <w:r>
            <w:rPr>
              <w:szCs w:val="22"/>
              <w:bCs/>
              <w:rFonts w:eastAsia="方正黑体简体" w:cs="" w:ascii="方正黑体简体" w:hAnsi="方正黑体简体"/>
            </w:rPr>
            <w:fldChar w:fldCharType="separate"/>
          </w:r>
          <w:r>
            <w:rPr>
              <w:rFonts w:eastAsia="方正黑体简体" w:cs="" w:cstheme="majorBidi" w:ascii="方正黑体简体" w:hAnsi="方正黑体简体"/>
              <w:bCs/>
              <w:szCs w:val="22"/>
            </w:rPr>
          </w:r>
        </w:p>
        <w:p>
          <w:pPr>
            <w:pStyle w:val="21"/>
            <w:ind w:leftChars="200" w:left="420"/>
            <w:rPr>
              <w:rFonts w:ascii="方正黑体简体" w:hAnsi="方正黑体简体" w:eastAsia="方正黑体简体" w:cs="" w:cstheme="majorBidi"/>
              <w:bCs/>
              <w:szCs w:val="22"/>
            </w:rPr>
          </w:pPr>
          <w:r>
            <w:rPr>
              <w:rFonts w:eastAsia="方正黑体简体" w:cs="" w:cstheme="majorBidi" w:ascii="方正黑体简体" w:hAnsi="方正黑体简体"/>
              <w:bCs/>
              <w:szCs w:val="22"/>
            </w:rPr>
          </w:r>
        </w:p>
        <w:p>
          <w:pPr>
            <w:pStyle w:val="21"/>
            <w:ind w:leftChars="200" w:left="420"/>
            <w:rPr>
              <w:rFonts w:ascii="方正黑体简体" w:hAnsi="方正黑体简体" w:eastAsia="方正黑体简体" w:cs="" w:cstheme="majorBidi"/>
              <w:bCs/>
              <w:szCs w:val="22"/>
            </w:rPr>
          </w:pPr>
          <w:hyperlink w:anchor="_Toc1145">
            <w:r>
              <w:rPr>
                <w:rFonts w:ascii="方正黑体简体" w:hAnsi="方正黑体简体" w:cs="" w:eastAsia="方正黑体简体" w:cstheme="majorBidi"/>
                <w:bCs/>
                <w:szCs w:val="22"/>
              </w:rPr>
              <w:t>第一部分 部门概况</w:t>
            </w:r>
            <w:r>
              <w:rPr>
                <w:webHidden/>
              </w:rPr>
              <w:fldChar w:fldCharType="begin"/>
            </w:r>
            <w:r>
              <w:rPr>
                <w:webHidden/>
              </w:rPr>
              <w:instrText>PAGEREF _Toc1145 \h</w:instrText>
            </w:r>
            <w:r>
              <w:rPr>
                <w:webHidden/>
              </w:rPr>
              <w:fldChar w:fldCharType="separate"/>
            </w:r>
            <w:r>
              <w:rPr>
                <w:rFonts w:eastAsia="方正黑体简体" w:cs="" w:ascii="方正黑体简体" w:hAnsi="方正黑体简体" w:cstheme="majorBidi"/>
                <w:bCs/>
                <w:szCs w:val="22"/>
              </w:rPr>
              <w:tab/>
              <w:t>3</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1275">
            <w:r>
              <w:rPr>
                <w:rFonts w:ascii="方正黑体简体" w:hAnsi="方正黑体简体" w:cs="" w:eastAsia="方正黑体简体" w:cstheme="majorBidi"/>
                <w:bCs/>
                <w:szCs w:val="22"/>
              </w:rPr>
              <w:t>一、基本职能及主要工作</w:t>
            </w:r>
            <w:r>
              <w:rPr>
                <w:webHidden/>
              </w:rPr>
              <w:fldChar w:fldCharType="begin"/>
            </w:r>
            <w:r>
              <w:rPr>
                <w:webHidden/>
              </w:rPr>
              <w:instrText>PAGEREF _Toc11275 \h</w:instrText>
            </w:r>
            <w:r>
              <w:rPr>
                <w:webHidden/>
              </w:rPr>
              <w:fldChar w:fldCharType="separate"/>
            </w:r>
            <w:r>
              <w:rPr>
                <w:rFonts w:eastAsia="方正黑体简体" w:cs="" w:ascii="方正黑体简体" w:hAnsi="方正黑体简体" w:cstheme="majorBidi"/>
                <w:bCs/>
                <w:szCs w:val="22"/>
              </w:rPr>
              <w:tab/>
              <w:t>3</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5310">
            <w:r>
              <w:rPr>
                <w:rFonts w:ascii="方正黑体简体" w:hAnsi="方正黑体简体" w:cs="" w:eastAsia="方正黑体简体" w:cstheme="majorBidi"/>
                <w:bCs/>
                <w:szCs w:val="22"/>
              </w:rPr>
              <w:t>二、机构设置</w:t>
            </w:r>
            <w:r>
              <w:rPr>
                <w:webHidden/>
              </w:rPr>
              <w:fldChar w:fldCharType="begin"/>
            </w:r>
            <w:r>
              <w:rPr>
                <w:webHidden/>
              </w:rPr>
              <w:instrText>PAGEREF _Toc15310 \h</w:instrText>
            </w:r>
            <w:r>
              <w:rPr>
                <w:webHidden/>
              </w:rPr>
              <w:fldChar w:fldCharType="separate"/>
            </w:r>
            <w:r>
              <w:rPr>
                <w:rFonts w:eastAsia="方正黑体简体" w:cs="" w:ascii="方正黑体简体" w:hAnsi="方正黑体简体" w:cstheme="majorBidi"/>
                <w:bCs/>
                <w:szCs w:val="22"/>
              </w:rPr>
              <w:tab/>
              <w:t>3</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8172">
            <w:r>
              <w:rPr>
                <w:rFonts w:ascii="方正黑体简体" w:hAnsi="方正黑体简体" w:cs="" w:eastAsia="方正黑体简体" w:cstheme="majorBidi"/>
                <w:bCs/>
                <w:szCs w:val="22"/>
              </w:rPr>
              <w:t xml:space="preserve">第二部分 </w:t>
            </w:r>
            <w:r>
              <w:rPr>
                <w:rFonts w:eastAsia="方正黑体简体" w:cs="" w:ascii="方正黑体简体" w:hAnsi="方正黑体简体" w:cstheme="majorBidi"/>
                <w:bCs/>
                <w:szCs w:val="22"/>
              </w:rPr>
              <w:t>20</w:t>
            </w:r>
            <w:r>
              <w:rPr>
                <w:rFonts w:eastAsia="方正黑体简体" w:cs="" w:ascii="方正黑体简体" w:hAnsi="方正黑体简体" w:cstheme="majorBidi"/>
                <w:bCs/>
                <w:szCs w:val="22"/>
                <w:lang w:val="en-US" w:eastAsia="zh-CN"/>
              </w:rPr>
              <w:t>20</w:t>
            </w:r>
            <w:r>
              <w:rPr>
                <w:rFonts w:ascii="方正黑体简体" w:hAnsi="方正黑体简体" w:cs="" w:eastAsia="方正黑体简体" w:cstheme="majorBidi"/>
                <w:bCs/>
                <w:szCs w:val="22"/>
              </w:rPr>
              <w:t>年度部门决算情况说明</w:t>
            </w:r>
            <w:r>
              <w:rPr>
                <w:webHidden/>
              </w:rPr>
              <w:fldChar w:fldCharType="begin"/>
            </w:r>
            <w:r>
              <w:rPr>
                <w:webHidden/>
              </w:rPr>
              <w:instrText>PAGEREF _Toc28172 \h</w:instrText>
            </w:r>
            <w:r>
              <w:rPr>
                <w:webHidden/>
              </w:rPr>
              <w:fldChar w:fldCharType="separate"/>
            </w:r>
            <w:r>
              <w:rPr>
                <w:rFonts w:eastAsia="方正黑体简体" w:cs="" w:ascii="方正黑体简体" w:hAnsi="方正黑体简体" w:cstheme="majorBidi"/>
                <w:bCs/>
                <w:szCs w:val="22"/>
              </w:rPr>
              <w:tab/>
              <w:t>6</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5102">
            <w:r>
              <w:rPr>
                <w:rFonts w:ascii="方正黑体简体" w:hAnsi="方正黑体简体" w:cs="" w:eastAsia="方正黑体简体" w:cstheme="majorBidi"/>
                <w:bCs/>
                <w:szCs w:val="22"/>
              </w:rPr>
              <w:t>一、 收入支出决算总体情况说明</w:t>
            </w:r>
            <w:r>
              <w:rPr>
                <w:webHidden/>
              </w:rPr>
              <w:fldChar w:fldCharType="begin"/>
            </w:r>
            <w:r>
              <w:rPr>
                <w:webHidden/>
              </w:rPr>
              <w:instrText>PAGEREF _Toc5102 \h</w:instrText>
            </w:r>
            <w:r>
              <w:rPr>
                <w:webHidden/>
              </w:rPr>
              <w:fldChar w:fldCharType="separate"/>
            </w:r>
            <w:r>
              <w:rPr>
                <w:rFonts w:eastAsia="方正黑体简体" w:cs="" w:ascii="方正黑体简体" w:hAnsi="方正黑体简体" w:cstheme="majorBidi"/>
                <w:bCs/>
                <w:szCs w:val="22"/>
              </w:rPr>
              <w:tab/>
              <w:t>6</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277">
            <w:r>
              <w:rPr>
                <w:rFonts w:ascii="方正黑体简体" w:hAnsi="方正黑体简体" w:cs="" w:eastAsia="方正黑体简体" w:cstheme="majorBidi"/>
                <w:bCs/>
                <w:szCs w:val="22"/>
              </w:rPr>
              <w:t>二、 收入决算情况说明</w:t>
            </w:r>
            <w:r>
              <w:rPr>
                <w:webHidden/>
              </w:rPr>
              <w:fldChar w:fldCharType="begin"/>
            </w:r>
            <w:r>
              <w:rPr>
                <w:webHidden/>
              </w:rPr>
              <w:instrText>PAGEREF _Toc2277 \h</w:instrText>
            </w:r>
            <w:r>
              <w:rPr>
                <w:webHidden/>
              </w:rPr>
              <w:fldChar w:fldCharType="separate"/>
            </w:r>
            <w:r>
              <w:rPr>
                <w:rFonts w:eastAsia="方正黑体简体" w:cs="" w:ascii="方正黑体简体" w:hAnsi="方正黑体简体" w:cstheme="majorBidi"/>
                <w:bCs/>
                <w:szCs w:val="22"/>
              </w:rPr>
              <w:tab/>
              <w:t>6</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3381">
            <w:r>
              <w:rPr>
                <w:rFonts w:ascii="方正黑体简体" w:hAnsi="方正黑体简体" w:cs="" w:eastAsia="方正黑体简体" w:cstheme="majorBidi"/>
                <w:bCs/>
                <w:szCs w:val="22"/>
              </w:rPr>
              <w:t>三、 支出决算情况说明</w:t>
            </w:r>
            <w:r>
              <w:rPr>
                <w:webHidden/>
              </w:rPr>
              <w:fldChar w:fldCharType="begin"/>
            </w:r>
            <w:r>
              <w:rPr>
                <w:webHidden/>
              </w:rPr>
              <w:instrText>PAGEREF _Toc13381 \h</w:instrText>
            </w:r>
            <w:r>
              <w:rPr>
                <w:webHidden/>
              </w:rPr>
              <w:fldChar w:fldCharType="separate"/>
            </w:r>
            <w:r>
              <w:rPr>
                <w:rFonts w:eastAsia="方正黑体简体" w:cs="" w:ascii="方正黑体简体" w:hAnsi="方正黑体简体" w:cstheme="majorBidi"/>
                <w:bCs/>
                <w:szCs w:val="22"/>
              </w:rPr>
              <w:tab/>
              <w:t>6</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6639">
            <w:r>
              <w:rPr>
                <w:rFonts w:ascii="方正黑体简体" w:hAnsi="方正黑体简体" w:cs="" w:eastAsia="方正黑体简体" w:cstheme="majorBidi"/>
                <w:bCs/>
                <w:szCs w:val="22"/>
              </w:rPr>
              <w:t>四、财政拨款收入支出决算总体情况说明</w:t>
            </w:r>
            <w:r>
              <w:rPr>
                <w:webHidden/>
              </w:rPr>
              <w:fldChar w:fldCharType="begin"/>
            </w:r>
            <w:r>
              <w:rPr>
                <w:webHidden/>
              </w:rPr>
              <w:instrText>PAGEREF _Toc16639 \h</w:instrText>
            </w:r>
            <w:r>
              <w:rPr>
                <w:webHidden/>
              </w:rPr>
              <w:fldChar w:fldCharType="separate"/>
            </w:r>
            <w:r>
              <w:rPr>
                <w:rFonts w:eastAsia="方正黑体简体" w:cs="" w:ascii="方正黑体简体" w:hAnsi="方正黑体简体" w:cstheme="majorBidi"/>
                <w:bCs/>
                <w:szCs w:val="22"/>
              </w:rPr>
              <w:tab/>
              <w:t>6</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6722">
            <w:r>
              <w:rPr>
                <w:rFonts w:ascii="方正黑体简体" w:hAnsi="方正黑体简体" w:cs="" w:eastAsia="方正黑体简体" w:cstheme="majorBidi"/>
                <w:bCs/>
                <w:szCs w:val="22"/>
              </w:rPr>
              <w:t>五、一般公共预算财政拨款支出决算情况说明</w:t>
            </w:r>
            <w:r>
              <w:rPr>
                <w:webHidden/>
              </w:rPr>
              <w:fldChar w:fldCharType="begin"/>
            </w:r>
            <w:r>
              <w:rPr>
                <w:webHidden/>
              </w:rPr>
              <w:instrText>PAGEREF _Toc6722 \h</w:instrText>
            </w:r>
            <w:r>
              <w:rPr>
                <w:webHidden/>
              </w:rPr>
              <w:fldChar w:fldCharType="separate"/>
            </w:r>
            <w:r>
              <w:rPr>
                <w:rFonts w:eastAsia="方正黑体简体" w:cs="" w:ascii="方正黑体简体" w:hAnsi="方正黑体简体" w:cstheme="majorBidi"/>
                <w:bCs/>
                <w:szCs w:val="22"/>
              </w:rPr>
              <w:tab/>
              <w:t>7</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4388">
            <w:r>
              <w:rPr>
                <w:rFonts w:ascii="方正黑体简体" w:hAnsi="方正黑体简体" w:cs="" w:eastAsia="方正黑体简体" w:cstheme="majorBidi"/>
                <w:bCs/>
                <w:szCs w:val="22"/>
              </w:rPr>
              <w:t>六、一般公共预算财政拨款基本支出决算情况说明</w:t>
            </w:r>
            <w:r>
              <w:rPr>
                <w:webHidden/>
              </w:rPr>
              <w:fldChar w:fldCharType="begin"/>
            </w:r>
            <w:r>
              <w:rPr>
                <w:webHidden/>
              </w:rPr>
              <w:instrText>PAGEREF _Toc24388 \h</w:instrText>
            </w:r>
            <w:r>
              <w:rPr>
                <w:webHidden/>
              </w:rPr>
              <w:fldChar w:fldCharType="separate"/>
            </w:r>
            <w:r>
              <w:rPr>
                <w:rFonts w:eastAsia="方正黑体简体" w:cs="" w:ascii="方正黑体简体" w:hAnsi="方正黑体简体" w:cstheme="majorBidi"/>
                <w:bCs/>
                <w:szCs w:val="22"/>
              </w:rPr>
              <w:tab/>
              <w:t>7</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7920">
            <w:r>
              <w:rPr>
                <w:rFonts w:ascii="方正黑体简体" w:hAnsi="方正黑体简体" w:cs="" w:eastAsia="方正黑体简体" w:cstheme="majorBidi"/>
                <w:bCs/>
                <w:szCs w:val="22"/>
              </w:rPr>
              <w:t>七、“三公”经费财政拨款支出决算情况说明</w:t>
            </w:r>
            <w:r>
              <w:rPr>
                <w:webHidden/>
              </w:rPr>
              <w:fldChar w:fldCharType="begin"/>
            </w:r>
            <w:r>
              <w:rPr>
                <w:webHidden/>
              </w:rPr>
              <w:instrText>PAGEREF _Toc27920 \h</w:instrText>
            </w:r>
            <w:r>
              <w:rPr>
                <w:webHidden/>
              </w:rPr>
              <w:fldChar w:fldCharType="separate"/>
            </w:r>
            <w:r>
              <w:rPr>
                <w:rFonts w:eastAsia="方正黑体简体" w:cs="" w:ascii="方正黑体简体" w:hAnsi="方正黑体简体" w:cstheme="majorBidi"/>
                <w:bCs/>
                <w:szCs w:val="22"/>
              </w:rPr>
              <w:tab/>
              <w:t>8</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32678">
            <w:r>
              <w:rPr>
                <w:rFonts w:ascii="方正黑体简体" w:hAnsi="方正黑体简体" w:cs="" w:eastAsia="方正黑体简体" w:cstheme="majorBidi"/>
                <w:bCs/>
                <w:szCs w:val="22"/>
              </w:rPr>
              <w:t>八、政府性基金预算支出决算情况说明</w:t>
            </w:r>
            <w:r>
              <w:rPr>
                <w:webHidden/>
              </w:rPr>
              <w:fldChar w:fldCharType="begin"/>
            </w:r>
            <w:r>
              <w:rPr>
                <w:webHidden/>
              </w:rPr>
              <w:instrText>PAGEREF _Toc32678 \h</w:instrText>
            </w:r>
            <w:r>
              <w:rPr>
                <w:webHidden/>
              </w:rPr>
              <w:fldChar w:fldCharType="separate"/>
            </w:r>
            <w:r>
              <w:rPr>
                <w:rFonts w:eastAsia="方正黑体简体" w:cs="" w:ascii="方正黑体简体" w:hAnsi="方正黑体简体" w:cstheme="majorBidi"/>
                <w:bCs/>
                <w:szCs w:val="22"/>
              </w:rPr>
              <w:tab/>
              <w:t>8</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3716">
            <w:r>
              <w:rPr>
                <w:rFonts w:ascii="方正黑体简体" w:hAnsi="方正黑体简体" w:cs="" w:eastAsia="方正黑体简体" w:cstheme="majorBidi"/>
                <w:bCs/>
                <w:szCs w:val="22"/>
              </w:rPr>
              <w:t>九、 国有资本经营预算支出决算情况说明</w:t>
            </w:r>
            <w:r>
              <w:rPr>
                <w:webHidden/>
              </w:rPr>
              <w:fldChar w:fldCharType="begin"/>
            </w:r>
            <w:r>
              <w:rPr>
                <w:webHidden/>
              </w:rPr>
              <w:instrText>PAGEREF _Toc23716 \h</w:instrText>
            </w:r>
            <w:r>
              <w:rPr>
                <w:webHidden/>
              </w:rPr>
              <w:fldChar w:fldCharType="separate"/>
            </w:r>
            <w:r>
              <w:rPr>
                <w:rFonts w:eastAsia="方正黑体简体" w:cs="" w:ascii="方正黑体简体" w:hAnsi="方正黑体简体" w:cstheme="majorBidi"/>
                <w:bCs/>
                <w:szCs w:val="22"/>
              </w:rPr>
              <w:tab/>
              <w:t>8</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7993">
            <w:r>
              <w:rPr>
                <w:rFonts w:ascii="方正黑体简体" w:hAnsi="方正黑体简体" w:cs="" w:eastAsia="方正黑体简体" w:cstheme="majorBidi"/>
                <w:bCs/>
                <w:szCs w:val="22"/>
              </w:rPr>
              <w:t>十、其他重要事项的情况说明</w:t>
            </w:r>
            <w:r>
              <w:rPr>
                <w:webHidden/>
              </w:rPr>
              <w:fldChar w:fldCharType="begin"/>
            </w:r>
            <w:r>
              <w:rPr>
                <w:webHidden/>
              </w:rPr>
              <w:instrText>PAGEREF _Toc27993 \h</w:instrText>
            </w:r>
            <w:r>
              <w:rPr>
                <w:webHidden/>
              </w:rPr>
              <w:fldChar w:fldCharType="separate"/>
            </w:r>
            <w:r>
              <w:rPr>
                <w:rFonts w:eastAsia="方正黑体简体" w:cs="" w:ascii="方正黑体简体" w:hAnsi="方正黑体简体" w:cstheme="majorBidi"/>
                <w:bCs/>
                <w:szCs w:val="22"/>
              </w:rPr>
              <w:tab/>
              <w:t>8</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1088">
            <w:r>
              <w:rPr>
                <w:rFonts w:ascii="方正黑体简体" w:hAnsi="方正黑体简体" w:cs="" w:eastAsia="方正黑体简体" w:cstheme="majorBidi"/>
                <w:bCs/>
                <w:szCs w:val="22"/>
              </w:rPr>
              <w:t>第三部分 名词解释</w:t>
            </w:r>
            <w:r>
              <w:rPr>
                <w:webHidden/>
              </w:rPr>
              <w:fldChar w:fldCharType="begin"/>
            </w:r>
            <w:r>
              <w:rPr>
                <w:webHidden/>
              </w:rPr>
              <w:instrText>PAGEREF _Toc21088 \h</w:instrText>
            </w:r>
            <w:r>
              <w:rPr>
                <w:webHidden/>
              </w:rPr>
              <w:fldChar w:fldCharType="separate"/>
            </w:r>
            <w:r>
              <w:rPr>
                <w:rFonts w:eastAsia="方正黑体简体" w:cs="" w:ascii="方正黑体简体" w:hAnsi="方正黑体简体" w:cstheme="majorBidi"/>
                <w:bCs/>
                <w:szCs w:val="22"/>
              </w:rPr>
              <w:tab/>
              <w:t>12</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9510">
            <w:r>
              <w:rPr>
                <w:rFonts w:ascii="方正黑体简体" w:hAnsi="方正黑体简体" w:cs="" w:eastAsia="方正黑体简体" w:cstheme="majorBidi"/>
                <w:bCs/>
                <w:szCs w:val="22"/>
              </w:rPr>
              <w:t>第四部分 附件</w:t>
            </w:r>
            <w:r>
              <w:rPr>
                <w:webHidden/>
              </w:rPr>
              <w:fldChar w:fldCharType="begin"/>
            </w:r>
            <w:r>
              <w:rPr>
                <w:webHidden/>
              </w:rPr>
              <w:instrText>PAGEREF _Toc29510 \h</w:instrText>
            </w:r>
            <w:r>
              <w:rPr>
                <w:webHidden/>
              </w:rPr>
              <w:fldChar w:fldCharType="separate"/>
            </w:r>
            <w:r>
              <w:rPr>
                <w:rFonts w:eastAsia="方正黑体简体" w:cs="" w:ascii="方正黑体简体" w:hAnsi="方正黑体简体" w:cstheme="majorBidi"/>
                <w:bCs/>
                <w:szCs w:val="22"/>
              </w:rPr>
              <w:tab/>
              <w:t>14</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8273">
            <w:r>
              <w:rPr>
                <w:rFonts w:ascii="方正黑体简体" w:hAnsi="方正黑体简体" w:cs="" w:eastAsia="方正黑体简体" w:cstheme="majorBidi"/>
                <w:bCs/>
                <w:szCs w:val="22"/>
              </w:rPr>
              <w:t>附件</w:t>
            </w:r>
            <w:r>
              <w:rPr>
                <w:webHidden/>
              </w:rPr>
              <w:fldChar w:fldCharType="begin"/>
            </w:r>
            <w:r>
              <w:rPr>
                <w:webHidden/>
              </w:rPr>
              <w:instrText>PAGEREF _Toc8273 \h</w:instrText>
            </w:r>
            <w:r>
              <w:rPr>
                <w:webHidden/>
              </w:rPr>
              <w:fldChar w:fldCharType="separate"/>
            </w:r>
            <w:r>
              <w:rPr>
                <w:rFonts w:eastAsia="方正黑体简体" w:cs="" w:ascii="方正黑体简体" w:hAnsi="方正黑体简体" w:cstheme="majorBidi"/>
                <w:bCs/>
                <w:szCs w:val="22"/>
              </w:rPr>
              <w:t>1</w:t>
              <w:tab/>
              <w:t>14</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0989">
            <w:r>
              <w:rPr>
                <w:rFonts w:ascii="方正黑体简体" w:hAnsi="方正黑体简体" w:cs="" w:eastAsia="方正黑体简体" w:cstheme="majorBidi"/>
                <w:bCs/>
                <w:szCs w:val="22"/>
              </w:rPr>
              <w:t>第五部分 附表</w:t>
            </w:r>
            <w:r>
              <w:rPr>
                <w:webHidden/>
              </w:rPr>
              <w:fldChar w:fldCharType="begin"/>
            </w:r>
            <w:r>
              <w:rPr>
                <w:webHidden/>
              </w:rPr>
              <w:instrText>PAGEREF _Toc10989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1265">
            <w:r>
              <w:rPr>
                <w:rFonts w:ascii="方正黑体简体" w:hAnsi="方正黑体简体" w:cs="" w:eastAsia="方正黑体简体" w:cstheme="majorBidi"/>
                <w:bCs/>
                <w:szCs w:val="22"/>
              </w:rPr>
              <w:t>一、收入支出决算总表</w:t>
            </w:r>
            <w:r>
              <w:rPr>
                <w:webHidden/>
              </w:rPr>
              <w:fldChar w:fldCharType="begin"/>
            </w:r>
            <w:r>
              <w:rPr>
                <w:webHidden/>
              </w:rPr>
              <w:instrText>PAGEREF _Toc21265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9245">
            <w:r>
              <w:rPr>
                <w:rFonts w:ascii="方正黑体简体" w:hAnsi="方正黑体简体" w:cs="" w:eastAsia="方正黑体简体" w:cstheme="majorBidi"/>
                <w:bCs/>
                <w:szCs w:val="22"/>
              </w:rPr>
              <w:t>二、收入决算表</w:t>
            </w:r>
            <w:r>
              <w:rPr>
                <w:webHidden/>
              </w:rPr>
              <w:fldChar w:fldCharType="begin"/>
            </w:r>
            <w:r>
              <w:rPr>
                <w:webHidden/>
              </w:rPr>
              <w:instrText>PAGEREF _Toc19245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30701">
            <w:r>
              <w:rPr>
                <w:rFonts w:ascii="方正黑体简体" w:hAnsi="方正黑体简体" w:cs="" w:eastAsia="方正黑体简体" w:cstheme="majorBidi"/>
                <w:bCs/>
                <w:szCs w:val="22"/>
              </w:rPr>
              <w:t>三、支出决算表</w:t>
            </w:r>
            <w:r>
              <w:rPr>
                <w:webHidden/>
              </w:rPr>
              <w:fldChar w:fldCharType="begin"/>
            </w:r>
            <w:r>
              <w:rPr>
                <w:webHidden/>
              </w:rPr>
              <w:instrText>PAGEREF _Toc30701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5973">
            <w:r>
              <w:rPr>
                <w:rFonts w:ascii="方正黑体简体" w:hAnsi="方正黑体简体" w:cs="" w:eastAsia="方正黑体简体" w:cstheme="majorBidi"/>
                <w:bCs/>
                <w:szCs w:val="22"/>
              </w:rPr>
              <w:t>四、财政拨款收入支出决算总表</w:t>
            </w:r>
            <w:r>
              <w:rPr>
                <w:webHidden/>
              </w:rPr>
              <w:fldChar w:fldCharType="begin"/>
            </w:r>
            <w:r>
              <w:rPr>
                <w:webHidden/>
              </w:rPr>
              <w:instrText>PAGEREF _Toc15973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8449">
            <w:r>
              <w:rPr>
                <w:rFonts w:ascii="方正黑体简体" w:hAnsi="方正黑体简体" w:cs="" w:eastAsia="方正黑体简体" w:cstheme="majorBidi"/>
                <w:bCs/>
                <w:szCs w:val="22"/>
              </w:rPr>
              <w:t>五、财政拨款支出决算明细表</w:t>
            </w:r>
            <w:r>
              <w:rPr>
                <w:webHidden/>
              </w:rPr>
              <w:fldChar w:fldCharType="begin"/>
            </w:r>
            <w:r>
              <w:rPr>
                <w:webHidden/>
              </w:rPr>
              <w:instrText>PAGEREF _Toc8449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7041">
            <w:r>
              <w:rPr>
                <w:rFonts w:ascii="方正黑体简体" w:hAnsi="方正黑体简体" w:cs="" w:eastAsia="方正黑体简体" w:cstheme="majorBidi"/>
                <w:bCs/>
                <w:szCs w:val="22"/>
              </w:rPr>
              <w:t>六、一般公共预算财政拨款支出决算表</w:t>
            </w:r>
            <w:r>
              <w:rPr>
                <w:webHidden/>
              </w:rPr>
              <w:fldChar w:fldCharType="begin"/>
            </w:r>
            <w:r>
              <w:rPr>
                <w:webHidden/>
              </w:rPr>
              <w:instrText>PAGEREF _Toc17041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32614">
            <w:r>
              <w:rPr>
                <w:rFonts w:ascii="方正黑体简体" w:hAnsi="方正黑体简体" w:cs="" w:eastAsia="方正黑体简体" w:cstheme="majorBidi"/>
                <w:bCs/>
                <w:szCs w:val="22"/>
              </w:rPr>
              <w:t>七、一般公共预算财政拨款支出决算明细表</w:t>
            </w:r>
            <w:r>
              <w:rPr>
                <w:webHidden/>
              </w:rPr>
              <w:fldChar w:fldCharType="begin"/>
            </w:r>
            <w:r>
              <w:rPr>
                <w:webHidden/>
              </w:rPr>
              <w:instrText>PAGEREF _Toc32614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1082">
            <w:r>
              <w:rPr>
                <w:rFonts w:ascii="方正黑体简体" w:hAnsi="方正黑体简体" w:cs="" w:eastAsia="方正黑体简体" w:cstheme="majorBidi"/>
                <w:bCs/>
                <w:szCs w:val="22"/>
              </w:rPr>
              <w:t>八、一般公共预算财政拨款基本支出决算表</w:t>
            </w:r>
            <w:r>
              <w:rPr>
                <w:webHidden/>
              </w:rPr>
              <w:fldChar w:fldCharType="begin"/>
            </w:r>
            <w:r>
              <w:rPr>
                <w:webHidden/>
              </w:rPr>
              <w:instrText>PAGEREF _Toc11082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7561">
            <w:r>
              <w:rPr>
                <w:rFonts w:ascii="方正黑体简体" w:hAnsi="方正黑体简体" w:cs="" w:eastAsia="方正黑体简体" w:cstheme="majorBidi"/>
                <w:bCs/>
                <w:szCs w:val="22"/>
              </w:rPr>
              <w:t>九、一般公共预算财政拨款项目支出决算表</w:t>
            </w:r>
            <w:r>
              <w:rPr>
                <w:webHidden/>
              </w:rPr>
              <w:fldChar w:fldCharType="begin"/>
            </w:r>
            <w:r>
              <w:rPr>
                <w:webHidden/>
              </w:rPr>
              <w:instrText>PAGEREF _Toc27561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23765">
            <w:r>
              <w:rPr>
                <w:rFonts w:ascii="方正黑体简体" w:hAnsi="方正黑体简体" w:cs="" w:eastAsia="方正黑体简体" w:cstheme="majorBidi"/>
                <w:bCs/>
                <w:szCs w:val="22"/>
              </w:rPr>
              <w:t>十、一般公共预算财政拨款“三公”经费支出决算表</w:t>
            </w:r>
            <w:r>
              <w:rPr>
                <w:webHidden/>
              </w:rPr>
              <w:fldChar w:fldCharType="begin"/>
            </w:r>
            <w:r>
              <w:rPr>
                <w:webHidden/>
              </w:rPr>
              <w:instrText>PAGEREF _Toc23765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14118">
            <w:r>
              <w:rPr>
                <w:rFonts w:ascii="方正黑体简体" w:hAnsi="方正黑体简体" w:cs="" w:eastAsia="方正黑体简体" w:cstheme="majorBidi"/>
                <w:bCs/>
                <w:szCs w:val="22"/>
              </w:rPr>
              <w:t>十一、政府性基金预算财政拨款收入支出决算表</w:t>
            </w:r>
            <w:r>
              <w:rPr>
                <w:webHidden/>
              </w:rPr>
              <w:fldChar w:fldCharType="begin"/>
            </w:r>
            <w:r>
              <w:rPr>
                <w:webHidden/>
              </w:rPr>
              <w:instrText>PAGEREF _Toc14118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21"/>
            <w:ind w:leftChars="200" w:left="420"/>
            <w:rPr>
              <w:rFonts w:ascii="方正黑体简体" w:hAnsi="方正黑体简体" w:eastAsia="方正黑体简体" w:cs="" w:cstheme="majorBidi"/>
              <w:bCs/>
              <w:szCs w:val="22"/>
            </w:rPr>
          </w:pPr>
          <w:hyperlink w:anchor="_Toc4263">
            <w:r>
              <w:rPr>
                <w:rFonts w:ascii="方正黑体简体" w:hAnsi="方正黑体简体" w:cs="" w:eastAsia="方正黑体简体" w:cstheme="majorBidi"/>
                <w:bCs/>
                <w:szCs w:val="22"/>
              </w:rPr>
              <w:t>十二、政府性基金预算财政拨款“三公”经费支出决算表</w:t>
            </w:r>
            <w:r>
              <w:rPr>
                <w:webHidden/>
              </w:rPr>
              <w:fldChar w:fldCharType="begin"/>
            </w:r>
            <w:r>
              <w:rPr>
                <w:webHidden/>
              </w:rPr>
              <w:instrText>PAGEREF _Toc4263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p>
        <w:p>
          <w:pPr>
            <w:pStyle w:val="Style16"/>
            <w:rPr>
              <w:rFonts w:eastAsia="方正黑体简体"/>
              <w:lang w:val="en-US" w:eastAsia="zh-CN"/>
            </w:rPr>
          </w:pPr>
          <w:r>
            <w:rPr>
              <w:rFonts w:ascii="方正黑体简体" w:hAnsi="方正黑体简体" w:cs="" w:eastAsia="方正黑体简体" w:cstheme="majorBidi"/>
              <w:bCs/>
              <w:szCs w:val="22"/>
              <w:lang w:val="en-US" w:eastAsia="zh-CN"/>
            </w:rPr>
            <w:t xml:space="preserve">    </w:t>
          </w:r>
          <w:r>
            <w:rPr>
              <w:rFonts w:ascii="方正黑体简体" w:hAnsi="方正黑体简体" w:cs="" w:eastAsia="方正黑体简体" w:cstheme="majorBidi"/>
              <w:bCs/>
              <w:szCs w:val="22"/>
              <w:lang w:val="en-US" w:eastAsia="zh-CN"/>
            </w:rPr>
            <w:t>十三、</w:t>
          </w:r>
          <w:r>
            <w:rPr>
              <w:rFonts w:ascii="方正黑体简体" w:hAnsi="方正黑体简体" w:cs="" w:eastAsia="方正黑体简体" w:cstheme="majorBidi"/>
              <w:bCs/>
              <w:szCs w:val="22"/>
            </w:rPr>
            <w:t>国有资本经营预算</w:t>
          </w:r>
          <w:r>
            <w:rPr>
              <w:rFonts w:ascii="方正黑体简体" w:hAnsi="方正黑体简体" w:cs="" w:eastAsia="方正黑体简体" w:cstheme="majorBidi"/>
              <w:bCs/>
              <w:szCs w:val="22"/>
              <w:lang w:val="en-US" w:eastAsia="zh-CN"/>
            </w:rPr>
            <w:t>财政拨款收入</w:t>
          </w:r>
          <w:r>
            <w:rPr>
              <w:rFonts w:ascii="方正黑体简体" w:hAnsi="方正黑体简体" w:cs="" w:eastAsia="方正黑体简体" w:cstheme="majorBidi"/>
              <w:bCs/>
              <w:szCs w:val="22"/>
            </w:rPr>
            <w:t>支出决算表</w:t>
          </w:r>
          <w:r>
            <w:rPr>
              <w:rFonts w:eastAsia="方正黑体简体" w:cs="" w:ascii="方正黑体简体" w:hAnsi="方正黑体简体" w:cstheme="majorBidi"/>
              <w:bCs/>
              <w:szCs w:val="22"/>
              <w:lang w:val="en-US" w:eastAsia="zh-CN"/>
            </w:rPr>
            <w:t>............................................................20</w:t>
          </w:r>
        </w:p>
        <w:p>
          <w:pPr>
            <w:pStyle w:val="21"/>
            <w:ind w:leftChars="200" w:left="420"/>
            <w:rPr>
              <w:rFonts w:ascii="方正黑体简体" w:hAnsi="方正黑体简体" w:eastAsia="方正黑体简体" w:cs="" w:cstheme="majorBidi"/>
              <w:bCs/>
              <w:szCs w:val="22"/>
            </w:rPr>
          </w:pPr>
          <w:hyperlink w:anchor="_Toc13557">
            <w:r>
              <w:rPr>
                <w:rFonts w:ascii="方正黑体简体" w:hAnsi="方正黑体简体" w:cs="" w:eastAsia="方正黑体简体" w:cstheme="majorBidi"/>
                <w:bCs/>
                <w:szCs w:val="22"/>
              </w:rPr>
              <w:t>十</w:t>
            </w:r>
            <w:r>
              <w:rPr>
                <w:rFonts w:ascii="方正黑体简体" w:hAnsi="方正黑体简体" w:cs="" w:eastAsia="方正黑体简体" w:cstheme="majorBidi"/>
                <w:bCs/>
                <w:szCs w:val="22"/>
                <w:lang w:val="en-US" w:eastAsia="zh-CN"/>
              </w:rPr>
              <w:t>四</w:t>
            </w:r>
            <w:r>
              <w:rPr>
                <w:rFonts w:ascii="方正黑体简体" w:hAnsi="方正黑体简体" w:cs="" w:eastAsia="方正黑体简体" w:cstheme="majorBidi"/>
                <w:bCs/>
                <w:szCs w:val="22"/>
              </w:rPr>
              <w:t>、国有资本经营预算</w:t>
            </w:r>
            <w:r>
              <w:rPr>
                <w:rFonts w:ascii="方正黑体简体" w:hAnsi="方正黑体简体" w:cs="" w:eastAsia="方正黑体简体" w:cstheme="majorBidi"/>
                <w:bCs/>
                <w:szCs w:val="22"/>
                <w:lang w:val="en-US" w:eastAsia="zh-CN"/>
              </w:rPr>
              <w:t>财政拨款</w:t>
            </w:r>
            <w:r>
              <w:rPr>
                <w:rFonts w:ascii="方正黑体简体" w:hAnsi="方正黑体简体" w:cs="" w:eastAsia="方正黑体简体" w:cstheme="majorBidi"/>
                <w:bCs/>
                <w:szCs w:val="22"/>
              </w:rPr>
              <w:t>支出决算表</w:t>
            </w:r>
            <w:r>
              <w:rPr>
                <w:webHidden/>
              </w:rPr>
              <w:fldChar w:fldCharType="begin"/>
            </w:r>
            <w:r>
              <w:rPr>
                <w:webHidden/>
              </w:rPr>
              <w:instrText>PAGEREF _Toc13557 \h</w:instrText>
            </w:r>
            <w:r>
              <w:rPr>
                <w:webHidden/>
              </w:rPr>
              <w:fldChar w:fldCharType="separate"/>
            </w:r>
            <w:r>
              <w:rPr>
                <w:rFonts w:eastAsia="方正黑体简体" w:cs="" w:ascii="方正黑体简体" w:hAnsi="方正黑体简体" w:cstheme="majorBidi"/>
                <w:bCs/>
                <w:szCs w:val="22"/>
              </w:rPr>
              <w:tab/>
              <w:t>20</w:t>
            </w:r>
            <w:r>
              <w:rPr>
                <w:webHidden/>
              </w:rPr>
              <w:fldChar w:fldCharType="end"/>
            </w:r>
          </w:hyperlink>
          <w:r>
            <w:rPr>
              <w:szCs w:val="22"/>
              <w:bCs/>
              <w:rFonts w:ascii="方正黑体简体" w:hAnsi="方正黑体简体" w:cs="" w:eastAsia="方正黑体简体"/>
            </w:rPr>
            <w:fldChar w:fldCharType="end"/>
          </w:r>
        </w:p>
      </w:sdtContent>
    </w:sdt>
    <w:p>
      <w:pPr>
        <w:pStyle w:val="21"/>
        <w:ind w:leftChars="200" w:left="420"/>
        <w:rPr>
          <w:rFonts w:ascii="黑体" w:hAnsi="黑体" w:eastAsia="黑体"/>
          <w:color w:val="000000"/>
          <w:sz w:val="48"/>
          <w:szCs w:val="48"/>
        </w:rPr>
      </w:pPr>
      <w:r>
        <w:rPr>
          <w:rFonts w:eastAsia="黑体" w:ascii="黑体" w:hAnsi="黑体"/>
          <w:color w:val="000000"/>
          <w:sz w:val="48"/>
          <w:szCs w:val="48"/>
        </w:rPr>
      </w:r>
    </w:p>
    <w:p>
      <w:pPr>
        <w:pStyle w:val="Style16"/>
        <w:widowControl/>
        <w:jc w:val="center"/>
        <w:rPr>
          <w:rFonts w:ascii="黑体" w:hAnsi="黑体" w:eastAsia="黑体"/>
          <w:color w:val="000000"/>
          <w:sz w:val="48"/>
          <w:szCs w:val="48"/>
        </w:rPr>
      </w:pPr>
      <w:r>
        <w:rPr>
          <w:rFonts w:eastAsia="黑体" w:ascii="黑体" w:hAnsi="黑体"/>
          <w:color w:val="000000"/>
          <w:sz w:val="48"/>
          <w:szCs w:val="48"/>
        </w:rPr>
      </w:r>
    </w:p>
    <w:p>
      <w:pPr>
        <w:pStyle w:val="Style16"/>
        <w:widowControl/>
        <w:jc w:val="center"/>
        <w:rPr>
          <w:rFonts w:ascii="黑体" w:hAnsi="黑体" w:eastAsia="黑体"/>
          <w:color w:val="000000"/>
          <w:sz w:val="48"/>
          <w:szCs w:val="48"/>
        </w:rPr>
      </w:pPr>
      <w:r>
        <w:rPr>
          <w:rFonts w:eastAsia="黑体" w:ascii="黑体" w:hAnsi="黑体"/>
          <w:color w:val="000000"/>
          <w:sz w:val="48"/>
          <w:szCs w:val="48"/>
        </w:rPr>
      </w:r>
    </w:p>
    <w:p>
      <w:pPr>
        <w:pStyle w:val="Style16"/>
        <w:widowControl/>
        <w:jc w:val="center"/>
        <w:rPr>
          <w:rFonts w:ascii="黑体" w:hAnsi="黑体" w:eastAsia="黑体"/>
          <w:color w:val="000000"/>
          <w:sz w:val="48"/>
          <w:szCs w:val="48"/>
        </w:rPr>
      </w:pPr>
      <w:r>
        <w:rPr>
          <w:rFonts w:eastAsia="黑体" w:ascii="黑体" w:hAnsi="黑体"/>
          <w:color w:val="000000"/>
          <w:sz w:val="48"/>
          <w:szCs w:val="48"/>
        </w:rPr>
      </w:r>
    </w:p>
    <w:p>
      <w:pPr>
        <w:pStyle w:val="Style16"/>
        <w:widowControl/>
        <w:jc w:val="center"/>
        <w:rPr>
          <w:rFonts w:ascii="黑体" w:hAnsi="黑体" w:eastAsia="黑体"/>
          <w:color w:val="000000"/>
          <w:sz w:val="48"/>
          <w:szCs w:val="48"/>
        </w:rPr>
      </w:pPr>
      <w:r>
        <w:rPr>
          <w:rFonts w:eastAsia="黑体" w:ascii="黑体" w:hAnsi="黑体"/>
          <w:color w:val="000000"/>
          <w:sz w:val="48"/>
          <w:szCs w:val="48"/>
        </w:rPr>
      </w:r>
    </w:p>
    <w:p>
      <w:pPr>
        <w:pStyle w:val="Style16"/>
        <w:widowControl/>
        <w:jc w:val="center"/>
        <w:rPr>
          <w:rFonts w:ascii="黑体" w:hAnsi="黑体" w:eastAsia="黑体"/>
          <w:color w:val="000000"/>
          <w:sz w:val="48"/>
          <w:szCs w:val="48"/>
        </w:rPr>
      </w:pPr>
      <w:r>
        <w:rPr>
          <w:rFonts w:eastAsia="黑体" w:ascii="黑体" w:hAnsi="黑体"/>
          <w:color w:val="000000"/>
          <w:sz w:val="48"/>
          <w:szCs w:val="48"/>
        </w:rPr>
      </w:r>
    </w:p>
    <w:p>
      <w:pPr>
        <w:pStyle w:val="1"/>
        <w:jc w:val="both"/>
        <w:rPr>
          <w:rFonts w:ascii="黑体" w:hAnsi="黑体" w:eastAsia="黑体"/>
          <w:b w:val="false"/>
          <w:b w:val="false"/>
        </w:rPr>
      </w:pPr>
      <w:r>
        <w:rPr>
          <w:rFonts w:eastAsia="黑体" w:ascii="黑体" w:hAnsi="黑体"/>
          <w:b w:val="false"/>
        </w:rPr>
      </w:r>
      <w:bookmarkStart w:id="17" w:name="_Toc1145"/>
      <w:bookmarkStart w:id="18" w:name="_Toc15377196"/>
      <w:bookmarkStart w:id="19" w:name="_Toc15396599"/>
      <w:bookmarkStart w:id="20" w:name="_Toc1145"/>
      <w:bookmarkStart w:id="21" w:name="_Toc15377196"/>
      <w:bookmarkStart w:id="22" w:name="_Toc15396599"/>
    </w:p>
    <w:p>
      <w:pPr>
        <w:pStyle w:val="Style16"/>
        <w:rPr/>
      </w:pPr>
      <w:r>
        <w:rPr/>
      </w:r>
    </w:p>
    <w:p>
      <w:pPr>
        <w:pStyle w:val="1"/>
        <w:jc w:val="center"/>
        <w:rPr>
          <w:rStyle w:val="1Char"/>
          <w:rFonts w:ascii="黑体" w:hAnsi="黑体" w:eastAsia="黑体"/>
          <w:b/>
          <w:b/>
          <w:bCs w:val="false"/>
        </w:rPr>
      </w:pPr>
      <w:r>
        <w:rPr>
          <w:rFonts w:ascii="黑体" w:hAnsi="黑体" w:eastAsia="黑体"/>
          <w:b w:val="false"/>
        </w:rPr>
        <w:t xml:space="preserve">第一部分 </w:t>
      </w:r>
      <w:r>
        <w:rPr>
          <w:rStyle w:val="1Char"/>
          <w:rFonts w:ascii="黑体" w:hAnsi="黑体" w:eastAsia="黑体"/>
          <w:b w:val="false"/>
          <w:bCs w:val="false"/>
        </w:rPr>
        <w:t>部门概况</w:t>
      </w:r>
      <w:bookmarkEnd w:id="20"/>
      <w:bookmarkEnd w:id="21"/>
      <w:bookmarkEnd w:id="22"/>
    </w:p>
    <w:p>
      <w:pPr>
        <w:pStyle w:val="Style16"/>
        <w:widowControl/>
        <w:jc w:val="left"/>
        <w:rPr>
          <w:rFonts w:ascii="黑体" w:hAnsi="黑体" w:eastAsia="黑体"/>
          <w:color w:val="000000"/>
          <w:sz w:val="32"/>
          <w:szCs w:val="32"/>
        </w:rPr>
      </w:pPr>
      <w:r>
        <w:rPr>
          <w:rFonts w:eastAsia="黑体" w:ascii="黑体" w:hAnsi="黑体"/>
          <w:color w:val="000000"/>
          <w:sz w:val="32"/>
          <w:szCs w:val="32"/>
        </w:rPr>
      </w:r>
    </w:p>
    <w:p>
      <w:pPr>
        <w:pStyle w:val="2"/>
        <w:rPr>
          <w:rStyle w:val="2Char"/>
          <w:rFonts w:ascii="仿宋" w:hAnsi="仿宋" w:eastAsia="仿宋"/>
          <w:b w:val="false"/>
          <w:b w:val="false"/>
          <w:bCs w:val="false"/>
        </w:rPr>
      </w:pPr>
      <w:bookmarkStart w:id="23" w:name="_Toc15396600"/>
      <w:bookmarkStart w:id="24" w:name="_Toc15377197"/>
      <w:bookmarkStart w:id="25" w:name="_Toc11275"/>
      <w:r>
        <w:rPr>
          <w:rFonts w:ascii="黑体" w:hAnsi="黑体" w:eastAsia="黑体"/>
          <w:b w:val="false"/>
          <w:color w:val="000000"/>
        </w:rPr>
        <w:t>一、基</w:t>
      </w:r>
      <w:r>
        <w:rPr>
          <w:rStyle w:val="2Char"/>
          <w:rFonts w:ascii="黑体" w:hAnsi="黑体" w:eastAsia="黑体"/>
          <w:b w:val="false"/>
          <w:bCs w:val="false"/>
        </w:rPr>
        <w:t>本职能及主要工作</w:t>
      </w:r>
      <w:bookmarkEnd w:id="23"/>
      <w:bookmarkEnd w:id="24"/>
      <w:bookmarkEnd w:id="25"/>
    </w:p>
    <w:p>
      <w:pPr>
        <w:pStyle w:val="Style17"/>
        <w:numPr>
          <w:ilvl w:val="0"/>
          <w:numId w:val="0"/>
        </w:numPr>
        <w:snapToGrid w:val="false"/>
        <w:spacing w:lineRule="exact" w:line="600" w:before="93" w:beforeAutospacing="0" w:afterLines="0" w:afterAutospacing="0"/>
        <w:ind w:firstLineChars="210" w:firstLine="0"/>
        <w:outlineLvl w:val="2"/>
        <w:rPr>
          <w:rFonts w:ascii="仿宋" w:hAnsi="仿宋" w:eastAsia="仿宋"/>
          <w:bCs/>
          <w:color w:val="000000"/>
          <w:sz w:val="32"/>
          <w:szCs w:val="32"/>
        </w:rPr>
      </w:pPr>
      <w:bookmarkStart w:id="26" w:name="_Toc15377198"/>
      <w:bookmarkStart w:id="27" w:name="_Toc15378445"/>
      <w:r>
        <w:rPr>
          <w:rFonts w:ascii="仿宋" w:hAnsi="仿宋" w:eastAsia="仿宋"/>
          <w:bCs/>
          <w:color w:val="000000"/>
          <w:sz w:val="32"/>
          <w:szCs w:val="32"/>
        </w:rPr>
        <w:t>（一）主要职能。</w:t>
      </w:r>
      <w:bookmarkEnd w:id="26"/>
      <w:bookmarkEnd w:id="27"/>
    </w:p>
    <w:p>
      <w:pPr>
        <w:pStyle w:val="Style16"/>
        <w:snapToGrid w:val="false"/>
        <w:spacing w:lineRule="exact" w:line="520"/>
        <w:ind w:firstLineChars="200" w:firstLine="0"/>
        <w:rPr>
          <w:rFonts w:ascii="仿宋" w:hAnsi="仿宋" w:eastAsia="仿宋"/>
          <w:bCs/>
          <w:color w:val="000000"/>
          <w:sz w:val="32"/>
          <w:szCs w:val="32"/>
        </w:rPr>
      </w:pPr>
      <w:r>
        <w:rPr>
          <w:rFonts w:ascii="Times New Roman" w:hAnsi="Times New Roman" w:cs="Times New Roman" w:eastAsia="方正仿宋_GBK"/>
          <w:color w:val="333333"/>
          <w:kern w:val="0"/>
          <w:sz w:val="32"/>
          <w:szCs w:val="32"/>
          <w:lang w:val="en-US" w:eastAsia="zh-CN"/>
        </w:rPr>
        <w:t>主管全区城乡规划编制工作。</w:t>
      </w:r>
    </w:p>
    <w:p>
      <w:pPr>
        <w:pStyle w:val="Style17"/>
        <w:numPr>
          <w:ilvl w:val="0"/>
          <w:numId w:val="0"/>
        </w:numPr>
        <w:snapToGrid w:val="false"/>
        <w:spacing w:lineRule="exact" w:line="600" w:before="93" w:beforeAutospacing="0" w:afterLines="0" w:afterAutospacing="0"/>
        <w:ind w:firstLineChars="210" w:firstLine="0"/>
        <w:outlineLvl w:val="2"/>
        <w:rPr>
          <w:rFonts w:ascii="仿宋" w:hAnsi="仿宋" w:eastAsia="仿宋"/>
          <w:bCs/>
          <w:color w:val="000000"/>
          <w:sz w:val="32"/>
          <w:szCs w:val="32"/>
        </w:rPr>
      </w:pPr>
      <w:bookmarkStart w:id="28" w:name="_Toc15378446"/>
      <w:bookmarkStart w:id="29" w:name="_Toc15377199"/>
      <w:r>
        <w:rPr>
          <w:rFonts w:ascii="仿宋" w:hAnsi="仿宋" w:eastAsia="仿宋"/>
          <w:bCs/>
          <w:color w:val="000000"/>
          <w:sz w:val="32"/>
          <w:szCs w:val="32"/>
        </w:rPr>
        <w:t>（二）</w:t>
      </w:r>
      <w:r>
        <w:rPr>
          <w:rFonts w:eastAsia="仿宋" w:ascii="仿宋" w:hAnsi="仿宋"/>
          <w:bCs/>
          <w:color w:val="000000"/>
          <w:sz w:val="32"/>
          <w:szCs w:val="32"/>
        </w:rPr>
        <w:t>20</w:t>
      </w:r>
      <w:r>
        <w:rPr>
          <w:rFonts w:eastAsia="仿宋" w:ascii="仿宋" w:hAnsi="仿宋"/>
          <w:bCs/>
          <w:color w:val="000000"/>
          <w:sz w:val="32"/>
          <w:szCs w:val="32"/>
          <w:lang w:val="en-US" w:eastAsia="zh-CN"/>
        </w:rPr>
        <w:t>20</w:t>
      </w:r>
      <w:r>
        <w:rPr>
          <w:rFonts w:ascii="仿宋" w:hAnsi="仿宋" w:eastAsia="仿宋"/>
          <w:bCs/>
          <w:color w:val="000000"/>
          <w:sz w:val="32"/>
          <w:szCs w:val="32"/>
        </w:rPr>
        <w:t>年重点工作完成情况。</w:t>
      </w:r>
      <w:bookmarkEnd w:id="28"/>
      <w:bookmarkEnd w:id="29"/>
    </w:p>
    <w:p>
      <w:pPr>
        <w:pStyle w:val="Style16"/>
        <w:ind w:firstLine="630"/>
        <w:rPr>
          <w:rFonts w:ascii="仿宋" w:hAnsi="仿宋" w:eastAsia="仿宋" w:cs="Times New Roman"/>
          <w:sz w:val="32"/>
          <w:szCs w:val="32"/>
        </w:rPr>
      </w:pPr>
      <w:bookmarkStart w:id="30" w:name="_Toc15396601"/>
      <w:bookmarkStart w:id="31" w:name="_Toc15310"/>
      <w:bookmarkStart w:id="32" w:name="_Toc15377200"/>
      <w:r>
        <w:rPr>
          <w:rFonts w:eastAsia="仿宋" w:cs="Times New Roman" w:ascii="仿宋" w:hAnsi="仿宋"/>
          <w:sz w:val="32"/>
          <w:szCs w:val="32"/>
        </w:rPr>
        <w:t>1.</w:t>
      </w:r>
      <w:r>
        <w:rPr>
          <w:rFonts w:ascii="仿宋" w:hAnsi="仿宋" w:cs="Times New Roman" w:eastAsia="仿宋"/>
          <w:sz w:val="32"/>
          <w:szCs w:val="32"/>
        </w:rPr>
        <w:t>推进编制三大片区规划</w:t>
      </w:r>
    </w:p>
    <w:p>
      <w:pPr>
        <w:pStyle w:val="Style16"/>
        <w:ind w:firstLine="630"/>
        <w:rPr>
          <w:rFonts w:ascii="仿宋" w:hAnsi="仿宋" w:eastAsia="仿宋" w:cs="Times New Roman"/>
          <w:sz w:val="32"/>
          <w:szCs w:val="32"/>
        </w:rPr>
      </w:pPr>
      <w:r>
        <w:rPr>
          <w:rFonts w:ascii="仿宋" w:hAnsi="仿宋" w:cs="Times New Roman" w:eastAsia="仿宋"/>
          <w:sz w:val="32"/>
          <w:szCs w:val="32"/>
        </w:rPr>
        <w:t>编制《达川区次区域发展战略规划》、《达川区东部片区（麻柳）城市副中心全域规划》、《达川区南部片区（空港）城市副中心全域规划》、《达川区西部片区（石桥）城市副中心全域规划》。开展白马产业新区及铜钵河东侧修编工作。</w:t>
      </w:r>
    </w:p>
    <w:p>
      <w:pPr>
        <w:pStyle w:val="Style16"/>
        <w:ind w:firstLine="630"/>
        <w:rPr>
          <w:rFonts w:ascii="仿宋" w:hAnsi="仿宋" w:eastAsia="仿宋" w:cs="Times New Roman"/>
          <w:sz w:val="32"/>
          <w:szCs w:val="32"/>
        </w:rPr>
      </w:pPr>
      <w:r>
        <w:rPr>
          <w:rFonts w:eastAsia="仿宋" w:cs="Times New Roman" w:ascii="仿宋" w:hAnsi="仿宋"/>
          <w:sz w:val="32"/>
          <w:szCs w:val="32"/>
        </w:rPr>
        <w:t>2.</w:t>
      </w:r>
      <w:r>
        <w:rPr>
          <w:rFonts w:ascii="仿宋" w:hAnsi="仿宋" w:cs="Times New Roman" w:eastAsia="仿宋"/>
          <w:sz w:val="32"/>
          <w:szCs w:val="32"/>
        </w:rPr>
        <w:t>加快亭子文旅新城规划编制</w:t>
      </w:r>
    </w:p>
    <w:p>
      <w:pPr>
        <w:pStyle w:val="Style16"/>
        <w:ind w:firstLine="630"/>
        <w:rPr>
          <w:rFonts w:ascii="仿宋" w:hAnsi="仿宋" w:eastAsia="仿宋" w:cs="Times New Roman"/>
          <w:sz w:val="32"/>
          <w:szCs w:val="32"/>
        </w:rPr>
      </w:pPr>
      <w:r>
        <w:rPr>
          <w:rFonts w:ascii="仿宋" w:hAnsi="仿宋" w:cs="Times New Roman" w:eastAsia="仿宋"/>
          <w:sz w:val="32"/>
          <w:szCs w:val="32"/>
        </w:rPr>
        <w:t>亭子片区控制性详细规划经达州市</w:t>
      </w:r>
      <w:r>
        <w:rPr>
          <w:rFonts w:eastAsia="仿宋" w:cs="Times New Roman" w:ascii="仿宋" w:hAnsi="仿宋"/>
          <w:sz w:val="32"/>
          <w:szCs w:val="32"/>
        </w:rPr>
        <w:t>2020</w:t>
      </w:r>
      <w:r>
        <w:rPr>
          <w:rFonts w:ascii="仿宋" w:hAnsi="仿宋" w:cs="Times New Roman" w:eastAsia="仿宋"/>
          <w:sz w:val="32"/>
          <w:szCs w:val="32"/>
        </w:rPr>
        <w:t>年第</w:t>
      </w:r>
      <w:r>
        <w:rPr>
          <w:rFonts w:eastAsia="仿宋" w:cs="Times New Roman" w:ascii="仿宋" w:hAnsi="仿宋"/>
          <w:sz w:val="32"/>
          <w:szCs w:val="32"/>
        </w:rPr>
        <w:t>19</w:t>
      </w:r>
      <w:r>
        <w:rPr>
          <w:rFonts w:ascii="仿宋" w:hAnsi="仿宋" w:cs="Times New Roman" w:eastAsia="仿宋"/>
          <w:sz w:val="32"/>
          <w:szCs w:val="32"/>
        </w:rPr>
        <w:t>次专家会审查通过，修改完善后上报市规委会审查。完成亭子片区前期启动道路竖向规划，配合市规编中心加快开展麻柳第二工业园区选址等相关工作。</w:t>
      </w:r>
    </w:p>
    <w:p>
      <w:pPr>
        <w:pStyle w:val="Style16"/>
        <w:ind w:firstLine="630"/>
        <w:rPr>
          <w:rFonts w:ascii="仿宋" w:hAnsi="仿宋" w:eastAsia="仿宋" w:cs="Times New Roman"/>
          <w:sz w:val="32"/>
          <w:szCs w:val="32"/>
        </w:rPr>
      </w:pPr>
      <w:r>
        <w:rPr>
          <w:rFonts w:eastAsia="仿宋" w:cs="Times New Roman" w:ascii="仿宋" w:hAnsi="仿宋"/>
          <w:sz w:val="32"/>
          <w:szCs w:val="32"/>
        </w:rPr>
        <w:t>3.</w:t>
      </w:r>
      <w:r>
        <w:rPr>
          <w:rFonts w:ascii="仿宋" w:hAnsi="仿宋" w:cs="Times New Roman" w:eastAsia="仿宋"/>
          <w:sz w:val="32"/>
          <w:szCs w:val="32"/>
        </w:rPr>
        <w:t>完善主城区规划</w:t>
      </w:r>
    </w:p>
    <w:p>
      <w:pPr>
        <w:pStyle w:val="Style16"/>
        <w:ind w:firstLine="630"/>
        <w:rPr>
          <w:rFonts w:ascii="仿宋" w:hAnsi="仿宋" w:eastAsia="仿宋" w:cs="Times New Roman"/>
          <w:sz w:val="32"/>
          <w:szCs w:val="32"/>
        </w:rPr>
      </w:pPr>
      <w:r>
        <w:rPr>
          <w:rFonts w:ascii="仿宋" w:hAnsi="仿宋" w:cs="Times New Roman" w:eastAsia="仿宋"/>
          <w:sz w:val="32"/>
          <w:szCs w:val="32"/>
        </w:rPr>
        <w:t>《翠屏山北片区控制性详细规划审视与完善》报市规委会审查通过，已完成公示。三里坪片区、小河嘴片区、杨柳垭片区、翠屏山南片区修改完善报市规委会审查通过并公示。</w:t>
      </w:r>
    </w:p>
    <w:p>
      <w:pPr>
        <w:pStyle w:val="Style16"/>
        <w:ind w:firstLine="630"/>
        <w:rPr>
          <w:rFonts w:ascii="仿宋" w:hAnsi="仿宋" w:eastAsia="仿宋" w:cs="Times New Roman"/>
          <w:sz w:val="32"/>
          <w:szCs w:val="32"/>
        </w:rPr>
      </w:pPr>
      <w:r>
        <w:rPr>
          <w:rFonts w:eastAsia="仿宋" w:cs="Times New Roman" w:ascii="仿宋" w:hAnsi="仿宋"/>
          <w:sz w:val="32"/>
          <w:szCs w:val="32"/>
        </w:rPr>
        <w:t>4.</w:t>
      </w:r>
      <w:r>
        <w:rPr>
          <w:rFonts w:ascii="仿宋" w:hAnsi="仿宋" w:cs="Times New Roman" w:eastAsia="仿宋"/>
          <w:sz w:val="32"/>
          <w:szCs w:val="32"/>
        </w:rPr>
        <w:t>大力开展专项规划编制工作</w:t>
      </w:r>
    </w:p>
    <w:p>
      <w:pPr>
        <w:pStyle w:val="Style16"/>
        <w:ind w:firstLine="630"/>
        <w:rPr>
          <w:rFonts w:ascii="仿宋" w:hAnsi="仿宋" w:eastAsia="仿宋" w:cs="Times New Roman"/>
          <w:sz w:val="32"/>
          <w:szCs w:val="32"/>
        </w:rPr>
      </w:pPr>
      <w:r>
        <w:rPr>
          <w:rFonts w:ascii="仿宋" w:hAnsi="仿宋" w:cs="Times New Roman" w:eastAsia="仿宋"/>
          <w:sz w:val="32"/>
          <w:szCs w:val="32"/>
        </w:rPr>
        <w:t>完成了《达川建材产业园区控制性详细规划》《乌梅山旅游景区总体规划》，经达川区</w:t>
      </w:r>
      <w:r>
        <w:rPr>
          <w:rFonts w:eastAsia="仿宋" w:cs="Times New Roman" w:ascii="仿宋" w:hAnsi="仿宋"/>
          <w:sz w:val="32"/>
          <w:szCs w:val="32"/>
        </w:rPr>
        <w:t>2020</w:t>
      </w:r>
      <w:r>
        <w:rPr>
          <w:rFonts w:ascii="仿宋" w:hAnsi="仿宋" w:cs="Times New Roman" w:eastAsia="仿宋"/>
          <w:sz w:val="32"/>
          <w:szCs w:val="32"/>
        </w:rPr>
        <w:t>年第</w:t>
      </w:r>
      <w:r>
        <w:rPr>
          <w:rFonts w:eastAsia="仿宋" w:cs="Times New Roman" w:ascii="仿宋" w:hAnsi="仿宋"/>
          <w:sz w:val="32"/>
          <w:szCs w:val="32"/>
        </w:rPr>
        <w:t>3</w:t>
      </w:r>
      <w:r>
        <w:rPr>
          <w:rFonts w:ascii="仿宋" w:hAnsi="仿宋" w:cs="Times New Roman" w:eastAsia="仿宋"/>
          <w:sz w:val="32"/>
          <w:szCs w:val="32"/>
        </w:rPr>
        <w:t>次规委会审查通过。完成了《达川区公共厕所专项规划（</w:t>
      </w:r>
      <w:r>
        <w:rPr>
          <w:rFonts w:eastAsia="仿宋" w:cs="Times New Roman" w:ascii="仿宋" w:hAnsi="仿宋"/>
          <w:sz w:val="32"/>
          <w:szCs w:val="32"/>
        </w:rPr>
        <w:t>2018-2030</w:t>
      </w:r>
      <w:r>
        <w:rPr>
          <w:rFonts w:ascii="仿宋" w:hAnsi="仿宋" w:cs="Times New Roman" w:eastAsia="仿宋"/>
          <w:sz w:val="32"/>
          <w:szCs w:val="32"/>
        </w:rPr>
        <w:t>）》。编制《达川区城市综合交通体系规划》、《达川区城市“蓝线”“紫线”规划》、《达川区城市湿地资源保护规划》，年前报区规委会审查。配合市上编制《城市综合交通体系》等专项规划。配合区文旅局做好石桥古镇等旅游区规划。</w:t>
      </w:r>
    </w:p>
    <w:p>
      <w:pPr>
        <w:pStyle w:val="Style16"/>
        <w:ind w:firstLine="630"/>
        <w:rPr>
          <w:rFonts w:ascii="仿宋" w:hAnsi="仿宋" w:eastAsia="仿宋" w:cs="Times New Roman"/>
          <w:sz w:val="32"/>
          <w:szCs w:val="32"/>
        </w:rPr>
      </w:pPr>
      <w:r>
        <w:rPr>
          <w:rFonts w:eastAsia="仿宋" w:cs="Times New Roman" w:ascii="仿宋" w:hAnsi="仿宋"/>
          <w:sz w:val="32"/>
          <w:szCs w:val="32"/>
        </w:rPr>
        <w:t>5.</w:t>
      </w:r>
      <w:r>
        <w:rPr>
          <w:rFonts w:ascii="仿宋" w:hAnsi="仿宋" w:cs="Times New Roman" w:eastAsia="仿宋"/>
          <w:sz w:val="32"/>
          <w:szCs w:val="32"/>
        </w:rPr>
        <w:t>修改完善规划审批制度</w:t>
      </w:r>
    </w:p>
    <w:p>
      <w:pPr>
        <w:pStyle w:val="Style16"/>
        <w:ind w:firstLine="630"/>
        <w:rPr>
          <w:rFonts w:ascii="仿宋" w:hAnsi="仿宋" w:eastAsia="仿宋" w:cs="Times New Roman"/>
          <w:sz w:val="32"/>
          <w:szCs w:val="32"/>
        </w:rPr>
      </w:pPr>
      <w:r>
        <w:rPr>
          <w:rFonts w:ascii="仿宋" w:hAnsi="仿宋" w:cs="Times New Roman" w:eastAsia="仿宋"/>
          <w:sz w:val="32"/>
          <w:szCs w:val="32"/>
        </w:rPr>
        <w:t>对</w:t>
      </w:r>
      <w:r>
        <w:rPr>
          <w:rFonts w:eastAsia="仿宋" w:cs="Times New Roman" w:ascii="仿宋" w:hAnsi="仿宋"/>
          <w:sz w:val="32"/>
          <w:szCs w:val="32"/>
        </w:rPr>
        <w:t>2014</w:t>
      </w:r>
      <w:r>
        <w:rPr>
          <w:rFonts w:ascii="仿宋" w:hAnsi="仿宋" w:cs="Times New Roman" w:eastAsia="仿宋"/>
          <w:sz w:val="32"/>
          <w:szCs w:val="32"/>
        </w:rPr>
        <w:t>年出台的《达州市达川区城乡规划和土地管理委员会议事制度》进行修订，并修定为《达州市达川区城乡规划管理委员会章程》，重新修订了新一届规委会成员名单，已报送区政府审定。</w:t>
      </w:r>
    </w:p>
    <w:p>
      <w:pPr>
        <w:pStyle w:val="Style16"/>
        <w:ind w:firstLine="630"/>
        <w:rPr>
          <w:rFonts w:ascii="仿宋" w:hAnsi="仿宋" w:eastAsia="仿宋" w:cs="Times New Roman"/>
          <w:sz w:val="32"/>
          <w:szCs w:val="32"/>
        </w:rPr>
      </w:pPr>
      <w:r>
        <w:rPr>
          <w:rFonts w:eastAsia="仿宋" w:cs="Times New Roman" w:ascii="仿宋" w:hAnsi="仿宋"/>
          <w:sz w:val="32"/>
          <w:szCs w:val="32"/>
        </w:rPr>
        <w:t>6.</w:t>
      </w:r>
      <w:r>
        <w:rPr>
          <w:rFonts w:ascii="仿宋" w:hAnsi="仿宋" w:cs="Times New Roman" w:eastAsia="仿宋"/>
          <w:sz w:val="32"/>
          <w:szCs w:val="32"/>
        </w:rPr>
        <w:t>严格规划管理</w:t>
      </w:r>
    </w:p>
    <w:p>
      <w:pPr>
        <w:pStyle w:val="Style16"/>
        <w:ind w:firstLine="630"/>
        <w:rPr>
          <w:rFonts w:ascii="仿宋" w:hAnsi="仿宋" w:eastAsia="仿宋" w:cs="Times New Roman"/>
          <w:sz w:val="32"/>
          <w:szCs w:val="32"/>
        </w:rPr>
      </w:pPr>
      <w:r>
        <w:rPr>
          <w:rFonts w:ascii="仿宋" w:hAnsi="仿宋" w:cs="Times New Roman" w:eastAsia="仿宋"/>
          <w:sz w:val="32"/>
          <w:szCs w:val="32"/>
        </w:rPr>
        <w:t>积极做好专家会和规委会筹备工作。召开了</w:t>
      </w:r>
      <w:r>
        <w:rPr>
          <w:rFonts w:eastAsia="仿宋" w:cs="Times New Roman" w:ascii="仿宋" w:hAnsi="仿宋"/>
          <w:sz w:val="32"/>
          <w:szCs w:val="32"/>
        </w:rPr>
        <w:t>15</w:t>
      </w:r>
      <w:r>
        <w:rPr>
          <w:rFonts w:ascii="仿宋" w:hAnsi="仿宋" w:cs="Times New Roman" w:eastAsia="仿宋"/>
          <w:sz w:val="32"/>
          <w:szCs w:val="32"/>
        </w:rPr>
        <w:t>次专家会议，</w:t>
      </w:r>
      <w:r>
        <w:rPr>
          <w:rFonts w:eastAsia="仿宋" w:cs="Times New Roman" w:ascii="仿宋" w:hAnsi="仿宋"/>
          <w:sz w:val="32"/>
          <w:szCs w:val="32"/>
        </w:rPr>
        <w:t>4</w:t>
      </w:r>
      <w:r>
        <w:rPr>
          <w:rFonts w:ascii="仿宋" w:hAnsi="仿宋" w:cs="Times New Roman" w:eastAsia="仿宋"/>
          <w:sz w:val="32"/>
          <w:szCs w:val="32"/>
        </w:rPr>
        <w:t>次规委会。研究了达川区鹰嘴岩公园、汉兴公园、南府公园、乌梅山景区旅游、小河嘴片区凤雷路等市政道路和一批重点民生及区政府交办事项的规划方案审查。协调相关部门参与项目开工放线</w:t>
      </w:r>
      <w:r>
        <w:rPr>
          <w:rFonts w:eastAsia="仿宋" w:cs="Times New Roman" w:ascii="仿宋" w:hAnsi="仿宋"/>
          <w:sz w:val="32"/>
          <w:szCs w:val="32"/>
        </w:rPr>
        <w:t>18</w:t>
      </w:r>
      <w:r>
        <w:rPr>
          <w:rFonts w:ascii="仿宋" w:hAnsi="仿宋" w:cs="Times New Roman" w:eastAsia="仿宋"/>
          <w:sz w:val="32"/>
          <w:szCs w:val="32"/>
        </w:rPr>
        <w:t>次，规划验线</w:t>
      </w:r>
      <w:r>
        <w:rPr>
          <w:rFonts w:eastAsia="仿宋" w:cs="Times New Roman" w:ascii="仿宋" w:hAnsi="仿宋"/>
          <w:sz w:val="32"/>
          <w:szCs w:val="32"/>
        </w:rPr>
        <w:t>48</w:t>
      </w:r>
      <w:r>
        <w:rPr>
          <w:rFonts w:ascii="仿宋" w:hAnsi="仿宋" w:cs="Times New Roman" w:eastAsia="仿宋"/>
          <w:sz w:val="32"/>
          <w:szCs w:val="32"/>
        </w:rPr>
        <w:t>次；规划验收</w:t>
      </w:r>
      <w:r>
        <w:rPr>
          <w:rFonts w:eastAsia="仿宋" w:cs="Times New Roman" w:ascii="仿宋" w:hAnsi="仿宋"/>
          <w:sz w:val="32"/>
          <w:szCs w:val="32"/>
        </w:rPr>
        <w:t>10</w:t>
      </w:r>
      <w:r>
        <w:rPr>
          <w:rFonts w:ascii="仿宋" w:hAnsi="仿宋" w:cs="Times New Roman" w:eastAsia="仿宋"/>
          <w:sz w:val="32"/>
          <w:szCs w:val="32"/>
        </w:rPr>
        <w:t>个；核发工程规划图</w:t>
      </w:r>
      <w:r>
        <w:rPr>
          <w:rFonts w:eastAsia="仿宋" w:cs="Times New Roman" w:ascii="仿宋" w:hAnsi="仿宋"/>
          <w:sz w:val="32"/>
          <w:szCs w:val="32"/>
        </w:rPr>
        <w:t>16</w:t>
      </w:r>
      <w:r>
        <w:rPr>
          <w:rFonts w:ascii="仿宋" w:hAnsi="仿宋" w:cs="Times New Roman" w:eastAsia="仿宋"/>
          <w:sz w:val="32"/>
          <w:szCs w:val="32"/>
        </w:rPr>
        <w:t>份。</w:t>
      </w:r>
    </w:p>
    <w:p>
      <w:pPr>
        <w:pStyle w:val="2"/>
        <w:rPr>
          <w:rStyle w:val="2Char"/>
          <w:b w:val="false"/>
          <w:b w:val="false"/>
          <w:bCs w:val="false"/>
        </w:rPr>
      </w:pPr>
      <w:r>
        <w:rPr>
          <w:rFonts w:ascii="黑体" w:hAnsi="黑体" w:eastAsia="黑体"/>
          <w:b w:val="false"/>
          <w:color w:val="000000"/>
        </w:rPr>
        <w:t>二、机</w:t>
      </w:r>
      <w:r>
        <w:rPr>
          <w:rStyle w:val="2Char"/>
          <w:rFonts w:ascii="黑体" w:hAnsi="黑体" w:eastAsia="黑体"/>
          <w:b w:val="false"/>
          <w:bCs w:val="false"/>
        </w:rPr>
        <w:t>构设置</w:t>
      </w:r>
      <w:bookmarkEnd w:id="30"/>
      <w:bookmarkEnd w:id="31"/>
      <w:bookmarkEnd w:id="32"/>
    </w:p>
    <w:p>
      <w:pPr>
        <w:pStyle w:val="Style16"/>
        <w:ind w:firstLineChars="250" w:firstLine="0"/>
        <w:rPr>
          <w:rFonts w:ascii="仿宋" w:hAnsi="仿宋" w:eastAsia="仿宋"/>
          <w:sz w:val="32"/>
          <w:szCs w:val="32"/>
        </w:rPr>
      </w:pPr>
      <w:r>
        <w:rPr>
          <w:rFonts w:ascii="仿宋" w:hAnsi="仿宋" w:eastAsia="仿宋"/>
          <w:sz w:val="32"/>
          <w:szCs w:val="32"/>
          <w:lang w:val="en-US" w:eastAsia="zh-CN"/>
        </w:rPr>
        <w:t>达川区城乡规划编制中心为独立核算的一级事业单位，</w:t>
      </w:r>
      <w:r>
        <w:rPr>
          <w:rFonts w:ascii="仿宋" w:hAnsi="仿宋" w:eastAsia="仿宋"/>
          <w:sz w:val="32"/>
          <w:szCs w:val="32"/>
        </w:rPr>
        <w:t>下属二级单位</w:t>
      </w:r>
      <w:r>
        <w:rPr>
          <w:rFonts w:eastAsia="仿宋" w:ascii="仿宋" w:hAnsi="仿宋"/>
          <w:sz w:val="32"/>
          <w:szCs w:val="32"/>
          <w:lang w:val="en-US" w:eastAsia="zh-CN"/>
        </w:rPr>
        <w:t>0</w:t>
      </w:r>
      <w:r>
        <w:rPr>
          <w:rFonts w:ascii="仿宋" w:hAnsi="仿宋" w:eastAsia="仿宋"/>
          <w:sz w:val="32"/>
          <w:szCs w:val="32"/>
        </w:rPr>
        <w:t>个，其中行政单位</w:t>
      </w:r>
      <w:r>
        <w:rPr>
          <w:rFonts w:eastAsia="仿宋" w:ascii="仿宋" w:hAnsi="仿宋"/>
          <w:sz w:val="32"/>
          <w:szCs w:val="32"/>
          <w:lang w:val="en-US" w:eastAsia="zh-CN"/>
        </w:rPr>
        <w:t>0</w:t>
      </w:r>
      <w:r>
        <w:rPr>
          <w:rFonts w:ascii="仿宋" w:hAnsi="仿宋" w:eastAsia="仿宋"/>
          <w:sz w:val="32"/>
          <w:szCs w:val="32"/>
        </w:rPr>
        <w:t>个，参照公务员法管理的事业单位</w:t>
      </w:r>
      <w:r>
        <w:rPr>
          <w:rFonts w:eastAsia="仿宋" w:ascii="仿宋" w:hAnsi="仿宋"/>
          <w:bCs/>
          <w:sz w:val="32"/>
          <w:szCs w:val="32"/>
          <w:lang w:val="en-US" w:eastAsia="zh-CN"/>
        </w:rPr>
        <w:t>0</w:t>
      </w:r>
      <w:r>
        <w:rPr>
          <w:rFonts w:ascii="仿宋" w:hAnsi="仿宋" w:eastAsia="仿宋"/>
          <w:sz w:val="32"/>
          <w:szCs w:val="32"/>
        </w:rPr>
        <w:t>个，其他事业单位</w:t>
      </w:r>
      <w:r>
        <w:rPr>
          <w:rFonts w:eastAsia="仿宋" w:ascii="仿宋" w:hAnsi="仿宋"/>
          <w:sz w:val="32"/>
          <w:szCs w:val="32"/>
          <w:lang w:val="en-US" w:eastAsia="zh-CN"/>
        </w:rPr>
        <w:t>0</w:t>
      </w:r>
      <w:r>
        <w:rPr>
          <w:rFonts w:ascii="仿宋" w:hAnsi="仿宋" w:eastAsia="仿宋"/>
          <w:sz w:val="32"/>
          <w:szCs w:val="32"/>
        </w:rPr>
        <w:t>个。</w:t>
      </w:r>
    </w:p>
    <w:p>
      <w:pPr>
        <w:pStyle w:val="Style17"/>
        <w:snapToGrid w:val="false"/>
        <w:spacing w:lineRule="exact" w:line="600" w:before="93" w:beforeAutospacing="0" w:afterLines="0" w:afterAutospacing="0"/>
        <w:ind w:firstLineChars="210" w:firstLine="0"/>
        <w:rPr>
          <w:rFonts w:ascii="仿宋" w:hAnsi="仿宋" w:eastAsia="仿宋"/>
          <w:color w:val="000000"/>
          <w:sz w:val="32"/>
          <w:szCs w:val="32"/>
          <w:lang w:val="en-US" w:eastAsia="zh-CN"/>
        </w:rPr>
      </w:pPr>
      <w:r>
        <w:rPr>
          <w:rFonts w:ascii="仿宋" w:hAnsi="仿宋" w:eastAsia="仿宋"/>
          <w:color w:val="000000"/>
          <w:sz w:val="32"/>
          <w:szCs w:val="32"/>
        </w:rPr>
        <w:t>纳入城乡规划编制中心</w:t>
      </w: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年度部门决算编制范围的二级预算单位</w:t>
      </w:r>
      <w:r>
        <w:rPr>
          <w:rFonts w:eastAsia="仿宋" w:ascii="仿宋" w:hAnsi="仿宋"/>
          <w:color w:val="000000"/>
          <w:sz w:val="32"/>
          <w:szCs w:val="32"/>
          <w:lang w:val="en-US" w:eastAsia="zh-CN"/>
        </w:rPr>
        <w:t>0</w:t>
      </w:r>
      <w:r>
        <w:rPr>
          <w:rFonts w:ascii="仿宋" w:hAnsi="仿宋" w:eastAsia="仿宋"/>
          <w:color w:val="000000"/>
          <w:sz w:val="32"/>
          <w:szCs w:val="32"/>
          <w:lang w:val="en-US" w:eastAsia="zh-CN"/>
        </w:rPr>
        <w:t>个。</w:t>
      </w:r>
    </w:p>
    <w:p>
      <w:pPr>
        <w:pStyle w:val="Style16"/>
        <w:widowControl/>
        <w:jc w:val="left"/>
        <w:rPr>
          <w:rFonts w:ascii="仿宋" w:hAnsi="仿宋" w:eastAsia="仿宋"/>
          <w:color w:val="000000"/>
          <w:kern w:val="0"/>
          <w:sz w:val="32"/>
          <w:szCs w:val="32"/>
        </w:rPr>
      </w:pPr>
      <w:r>
        <w:rPr>
          <w:rFonts w:eastAsia="仿宋" w:ascii="仿宋" w:hAnsi="仿宋"/>
          <w:color w:val="000000"/>
          <w:kern w:val="0"/>
          <w:sz w:val="32"/>
          <w:szCs w:val="32"/>
        </w:rPr>
      </w:r>
      <w:r>
        <w:br w:type="page"/>
      </w:r>
    </w:p>
    <w:p>
      <w:pPr>
        <w:pStyle w:val="1"/>
        <w:ind w:right="440"/>
        <w:jc w:val="right"/>
        <w:rPr>
          <w:rStyle w:val="1Char"/>
          <w:rFonts w:ascii="黑体" w:hAnsi="黑体" w:eastAsia="黑体"/>
          <w:b w:val="false"/>
          <w:b w:val="false"/>
          <w:bCs w:val="false"/>
        </w:rPr>
      </w:pPr>
      <w:bookmarkStart w:id="33" w:name="_Toc15377204"/>
      <w:bookmarkStart w:id="34" w:name="_Toc15396602"/>
      <w:bookmarkStart w:id="35" w:name="_Toc28172"/>
      <w:r>
        <w:rPr>
          <w:rFonts w:ascii="黑体" w:hAnsi="黑体" w:eastAsia="黑体"/>
          <w:b w:val="false"/>
          <w:color w:val="000000"/>
        </w:rPr>
        <w:t>第二部分</w:t>
      </w:r>
      <w:r>
        <w:rPr>
          <w:rFonts w:ascii="黑体" w:hAnsi="黑体" w:eastAsia="黑体"/>
          <w:color w:val="000000"/>
        </w:rPr>
        <w:t xml:space="preserve"> </w:t>
      </w:r>
      <w:r>
        <w:rPr>
          <w:rStyle w:val="1Char"/>
          <w:rFonts w:eastAsia="黑体" w:ascii="黑体" w:hAnsi="黑体"/>
          <w:b w:val="false"/>
          <w:bCs w:val="false"/>
        </w:rPr>
        <w:t>20</w:t>
      </w:r>
      <w:r>
        <w:rPr>
          <w:rStyle w:val="1Char"/>
          <w:rFonts w:eastAsia="黑体" w:ascii="黑体" w:hAnsi="黑体"/>
          <w:b w:val="false"/>
          <w:bCs w:val="false"/>
          <w:lang w:val="en-US" w:eastAsia="zh-CN"/>
        </w:rPr>
        <w:t>20</w:t>
      </w:r>
      <w:r>
        <w:rPr>
          <w:rStyle w:val="1Char"/>
          <w:rFonts w:ascii="黑体" w:hAnsi="黑体" w:eastAsia="黑体"/>
          <w:b w:val="false"/>
          <w:bCs w:val="false"/>
        </w:rPr>
        <w:t>年度部门决算情况说明</w:t>
      </w:r>
      <w:bookmarkEnd w:id="33"/>
      <w:bookmarkEnd w:id="34"/>
      <w:bookmarkEnd w:id="35"/>
    </w:p>
    <w:p>
      <w:pPr>
        <w:pStyle w:val="Style16"/>
        <w:rPr/>
      </w:pPr>
      <w:r>
        <w:rPr/>
      </w:r>
    </w:p>
    <w:p>
      <w:pPr>
        <w:pStyle w:val="Style20"/>
        <w:numPr>
          <w:ilvl w:val="0"/>
          <w:numId w:val="2"/>
        </w:numPr>
        <w:spacing w:lineRule="exact" w:line="600"/>
        <w:ind/>
        <w:outlineLvl w:val="1"/>
        <w:rPr>
          <w:rStyle w:val="2Char"/>
          <w:rFonts w:ascii="黑体" w:hAnsi="黑体" w:eastAsia="黑体"/>
          <w:b w:val="false"/>
          <w:b w:val="false"/>
        </w:rPr>
      </w:pPr>
      <w:bookmarkStart w:id="36" w:name="_Toc15377205"/>
      <w:bookmarkStart w:id="37" w:name="_Toc15396603"/>
      <w:bookmarkStart w:id="38" w:name="_Toc5102"/>
      <w:r>
        <w:rPr>
          <w:rFonts w:ascii="黑体" w:hAnsi="黑体" w:eastAsia="黑体"/>
          <w:color w:val="000000"/>
          <w:sz w:val="32"/>
          <w:szCs w:val="32"/>
        </w:rPr>
        <w:t>收</w:t>
      </w:r>
      <w:r>
        <w:rPr>
          <w:rStyle w:val="2Char"/>
          <w:rFonts w:ascii="黑体" w:hAnsi="黑体" w:eastAsia="黑体"/>
          <w:b w:val="false"/>
        </w:rPr>
        <w:t>入支出决算总体情况说明</w:t>
      </w:r>
      <w:bookmarkEnd w:id="36"/>
      <w:bookmarkEnd w:id="37"/>
      <w:bookmarkEnd w:id="38"/>
    </w:p>
    <w:p>
      <w:pPr>
        <w:pStyle w:val="Style16"/>
        <w:spacing w:lineRule="auto" w:line="240"/>
        <w:ind w:firstLineChars="200" w:firstLine="0"/>
        <w:rPr>
          <w:rFonts w:ascii="仿宋" w:hAnsi="仿宋" w:eastAsia="仿宋"/>
          <w:color w:val="000000"/>
          <w:sz w:val="32"/>
          <w:szCs w:val="32"/>
          <w:lang w:val="en-US" w:eastAsia="zh-CN"/>
        </w:rPr>
      </w:pP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年度收、支总计</w:t>
      </w:r>
      <w:r>
        <w:rPr>
          <w:rFonts w:eastAsia="仿宋" w:ascii="仿宋" w:hAnsi="仿宋"/>
          <w:color w:val="000000"/>
          <w:sz w:val="32"/>
          <w:szCs w:val="32"/>
          <w:lang w:val="en-US" w:eastAsia="zh-CN"/>
        </w:rPr>
        <w:t>359.19</w:t>
      </w:r>
      <w:r>
        <w:rPr>
          <w:rFonts w:ascii="仿宋" w:hAnsi="仿宋" w:eastAsia="仿宋"/>
          <w:color w:val="000000"/>
          <w:sz w:val="32"/>
          <w:szCs w:val="32"/>
        </w:rPr>
        <w:t>万元。与</w:t>
      </w:r>
      <w:r>
        <w:rPr>
          <w:rFonts w:eastAsia="仿宋" w:ascii="仿宋" w:hAnsi="仿宋"/>
          <w:color w:val="000000"/>
          <w:sz w:val="32"/>
          <w:szCs w:val="32"/>
        </w:rPr>
        <w:t>20</w:t>
      </w:r>
      <w:r>
        <w:rPr>
          <w:rFonts w:eastAsia="仿宋" w:ascii="仿宋" w:hAnsi="仿宋"/>
          <w:color w:val="000000"/>
          <w:sz w:val="32"/>
          <w:szCs w:val="32"/>
          <w:lang w:val="en-US" w:eastAsia="zh-CN"/>
        </w:rPr>
        <w:t>19</w:t>
      </w:r>
      <w:r>
        <w:rPr>
          <w:rFonts w:ascii="仿宋" w:hAnsi="仿宋" w:eastAsia="仿宋"/>
          <w:color w:val="000000"/>
          <w:sz w:val="32"/>
          <w:szCs w:val="32"/>
        </w:rPr>
        <w:t>年相比，收、支总计各增加</w:t>
      </w:r>
      <w:r>
        <w:rPr>
          <w:rFonts w:eastAsia="仿宋" w:ascii="仿宋" w:hAnsi="仿宋"/>
          <w:color w:val="000000"/>
          <w:sz w:val="32"/>
          <w:szCs w:val="32"/>
          <w:lang w:val="en-US" w:eastAsia="zh-CN"/>
        </w:rPr>
        <w:t>327.69</w:t>
      </w:r>
      <w:r>
        <w:rPr>
          <w:rFonts w:ascii="仿宋" w:hAnsi="仿宋" w:eastAsia="仿宋"/>
          <w:color w:val="000000"/>
          <w:sz w:val="32"/>
          <w:szCs w:val="32"/>
        </w:rPr>
        <w:t>万元，增长</w:t>
      </w:r>
      <w:r>
        <w:rPr>
          <w:rFonts w:eastAsia="仿宋" w:ascii="仿宋" w:hAnsi="仿宋"/>
          <w:color w:val="000000"/>
          <w:sz w:val="32"/>
          <w:szCs w:val="32"/>
          <w:lang w:val="en-US" w:eastAsia="zh-CN"/>
        </w:rPr>
        <w:t>1040.29</w:t>
      </w:r>
      <w:r>
        <w:rPr>
          <w:rFonts w:eastAsia="仿宋" w:ascii="仿宋" w:hAnsi="仿宋"/>
          <w:color w:val="000000"/>
          <w:sz w:val="32"/>
          <w:szCs w:val="32"/>
        </w:rPr>
        <w:t>%</w:t>
      </w:r>
      <w:r>
        <w:rPr>
          <w:rFonts w:ascii="仿宋" w:hAnsi="仿宋" w:eastAsia="仿宋"/>
          <w:color w:val="000000"/>
          <w:sz w:val="32"/>
          <w:szCs w:val="32"/>
        </w:rPr>
        <w:t>。主要变动原因是</w:t>
      </w:r>
      <w:r>
        <w:rPr>
          <w:rFonts w:eastAsia="仿宋" w:ascii="仿宋" w:hAnsi="仿宋"/>
          <w:color w:val="000000"/>
          <w:sz w:val="32"/>
          <w:szCs w:val="32"/>
          <w:lang w:val="en-US" w:eastAsia="zh-CN"/>
        </w:rPr>
        <w:t>2020</w:t>
      </w:r>
      <w:r>
        <w:rPr>
          <w:rFonts w:ascii="仿宋" w:hAnsi="仿宋" w:eastAsia="仿宋"/>
          <w:color w:val="000000"/>
          <w:sz w:val="32"/>
          <w:szCs w:val="32"/>
          <w:lang w:val="en-US" w:eastAsia="zh-CN"/>
        </w:rPr>
        <w:t>年新增人员及相关规划编制费增加。</w:t>
      </w:r>
    </w:p>
    <w:p>
      <w:pPr>
        <w:pStyle w:val="Style20"/>
        <w:numPr>
          <w:ilvl w:val="0"/>
          <w:numId w:val="2"/>
        </w:numPr>
        <w:spacing w:lineRule="exact" w:line="600"/>
        <w:ind/>
        <w:outlineLvl w:val="1"/>
        <w:rPr>
          <w:rStyle w:val="2Char"/>
          <w:rFonts w:ascii="黑体" w:hAnsi="黑体" w:eastAsia="黑体"/>
          <w:b w:val="false"/>
          <w:b w:val="false"/>
        </w:rPr>
      </w:pPr>
      <w:bookmarkStart w:id="39" w:name="_Toc2277"/>
      <w:bookmarkStart w:id="40" w:name="_Toc15396604"/>
      <w:bookmarkStart w:id="41" w:name="_Toc15377206"/>
      <w:r>
        <w:rPr>
          <w:rFonts w:ascii="黑体" w:hAnsi="黑体" w:eastAsia="黑体"/>
          <w:color w:val="000000"/>
          <w:sz w:val="32"/>
          <w:szCs w:val="32"/>
        </w:rPr>
        <w:t>收</w:t>
      </w:r>
      <w:r>
        <w:rPr>
          <w:rStyle w:val="2Char"/>
          <w:rFonts w:ascii="黑体" w:hAnsi="黑体" w:eastAsia="黑体"/>
          <w:b w:val="false"/>
        </w:rPr>
        <w:t>入决算情况说明</w:t>
      </w:r>
      <w:bookmarkEnd w:id="39"/>
      <w:bookmarkEnd w:id="40"/>
      <w:bookmarkEnd w:id="41"/>
    </w:p>
    <w:p>
      <w:pPr>
        <w:pStyle w:val="Style16"/>
        <w:numPr>
          <w:ilvl w:val="0"/>
          <w:numId w:val="0"/>
        </w:numPr>
        <w:spacing w:lineRule="exact" w:line="600"/>
        <w:ind w:firstLineChars="200" w:firstLine="0"/>
        <w:outlineLvl w:val="1"/>
        <w:rPr>
          <w:rFonts w:ascii="仿宋" w:hAnsi="仿宋" w:eastAsia="仿宋"/>
          <w:color w:val="000000"/>
          <w:sz w:val="32"/>
          <w:szCs w:val="32"/>
          <w:lang w:eastAsia="zh-CN"/>
        </w:rPr>
      </w:pPr>
      <w:bookmarkStart w:id="42" w:name="_Toc24798"/>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年本年收入合计</w:t>
      </w:r>
      <w:r>
        <w:rPr>
          <w:rFonts w:eastAsia="仿宋" w:ascii="仿宋" w:hAnsi="仿宋"/>
          <w:color w:val="000000"/>
          <w:sz w:val="32"/>
          <w:szCs w:val="32"/>
          <w:lang w:val="en-US" w:eastAsia="zh-CN"/>
        </w:rPr>
        <w:t>359.19</w:t>
      </w:r>
      <w:r>
        <w:rPr>
          <w:rFonts w:ascii="仿宋" w:hAnsi="仿宋" w:eastAsia="仿宋"/>
          <w:color w:val="000000"/>
          <w:sz w:val="32"/>
          <w:szCs w:val="32"/>
        </w:rPr>
        <w:t>万元</w:t>
      </w:r>
      <w:r>
        <w:rPr>
          <w:rFonts w:ascii="仿宋" w:hAnsi="仿宋" w:eastAsia="仿宋"/>
          <w:color w:val="000000"/>
          <w:sz w:val="32"/>
          <w:szCs w:val="32"/>
          <w:lang w:eastAsia="zh-CN"/>
        </w:rPr>
        <w:t>（</w:t>
      </w:r>
      <w:r>
        <w:rPr>
          <w:rFonts w:ascii="仿宋" w:hAnsi="仿宋" w:eastAsia="仿宋"/>
          <w:color w:val="000000"/>
          <w:sz w:val="32"/>
          <w:szCs w:val="32"/>
          <w:lang w:val="en-US" w:eastAsia="zh-CN"/>
        </w:rPr>
        <w:t>不含上年结余</w:t>
      </w:r>
      <w:r>
        <w:rPr>
          <w:rFonts w:ascii="仿宋" w:hAnsi="仿宋" w:eastAsia="仿宋"/>
          <w:color w:val="000000"/>
          <w:sz w:val="32"/>
          <w:szCs w:val="32"/>
          <w:lang w:eastAsia="zh-CN"/>
        </w:rPr>
        <w:t>）</w:t>
      </w:r>
      <w:r>
        <w:rPr>
          <w:rFonts w:ascii="仿宋" w:hAnsi="仿宋" w:eastAsia="仿宋"/>
          <w:color w:val="000000"/>
          <w:sz w:val="32"/>
          <w:szCs w:val="32"/>
        </w:rPr>
        <w:t>，其中：一般公共预算财政拨款收入</w:t>
      </w:r>
      <w:r>
        <w:rPr>
          <w:rFonts w:eastAsia="仿宋" w:ascii="仿宋" w:hAnsi="仿宋"/>
          <w:color w:val="000000"/>
          <w:sz w:val="32"/>
          <w:szCs w:val="32"/>
          <w:lang w:val="en-US" w:eastAsia="zh-CN"/>
        </w:rPr>
        <w:t>193.80</w:t>
      </w:r>
      <w:r>
        <w:rPr>
          <w:rFonts w:ascii="仿宋" w:hAnsi="仿宋" w:eastAsia="仿宋"/>
          <w:color w:val="000000"/>
          <w:sz w:val="32"/>
          <w:szCs w:val="32"/>
        </w:rPr>
        <w:t>万元，占</w:t>
      </w:r>
      <w:r>
        <w:rPr>
          <w:rFonts w:eastAsia="仿宋" w:ascii="仿宋" w:hAnsi="仿宋"/>
          <w:color w:val="000000"/>
          <w:sz w:val="32"/>
          <w:szCs w:val="32"/>
          <w:lang w:val="en-US" w:eastAsia="zh-CN"/>
        </w:rPr>
        <w:t>53.95</w:t>
      </w:r>
      <w:r>
        <w:rPr>
          <w:rFonts w:eastAsia="仿宋" w:ascii="仿宋" w:hAnsi="仿宋"/>
          <w:color w:val="000000"/>
          <w:sz w:val="32"/>
          <w:szCs w:val="32"/>
        </w:rPr>
        <w:t>%</w:t>
      </w:r>
      <w:r>
        <w:rPr>
          <w:rFonts w:ascii="仿宋" w:hAnsi="仿宋" w:eastAsia="仿宋"/>
          <w:color w:val="000000"/>
          <w:sz w:val="32"/>
          <w:szCs w:val="32"/>
        </w:rPr>
        <w:t>；政府性基金预算财政拨款收入</w:t>
      </w:r>
      <w:r>
        <w:rPr>
          <w:rFonts w:eastAsia="仿宋" w:ascii="仿宋" w:hAnsi="仿宋"/>
          <w:color w:val="000000"/>
          <w:sz w:val="32"/>
          <w:szCs w:val="32"/>
          <w:lang w:val="en-US" w:eastAsia="zh-CN"/>
        </w:rPr>
        <w:t>165.39</w:t>
      </w:r>
      <w:r>
        <w:rPr>
          <w:rFonts w:ascii="仿宋" w:hAnsi="仿宋" w:eastAsia="仿宋"/>
          <w:color w:val="000000"/>
          <w:sz w:val="32"/>
          <w:szCs w:val="32"/>
        </w:rPr>
        <w:t>万元，占</w:t>
      </w:r>
      <w:r>
        <w:rPr>
          <w:rFonts w:eastAsia="仿宋" w:ascii="仿宋" w:hAnsi="仿宋"/>
          <w:color w:val="000000"/>
          <w:sz w:val="32"/>
          <w:szCs w:val="32"/>
          <w:lang w:val="en-US" w:eastAsia="zh-CN"/>
        </w:rPr>
        <w:t>46.05</w:t>
      </w:r>
      <w:r>
        <w:rPr>
          <w:rFonts w:eastAsia="仿宋" w:ascii="仿宋" w:hAnsi="仿宋"/>
          <w:color w:val="000000"/>
          <w:sz w:val="32"/>
          <w:szCs w:val="32"/>
        </w:rPr>
        <w:t>%</w:t>
      </w:r>
      <w:r>
        <w:rPr>
          <w:rFonts w:ascii="仿宋" w:hAnsi="仿宋" w:eastAsia="仿宋"/>
          <w:color w:val="000000"/>
          <w:sz w:val="32"/>
          <w:szCs w:val="32"/>
        </w:rPr>
        <w:t>；</w:t>
      </w:r>
      <w:r>
        <w:rPr>
          <w:rFonts w:ascii="仿宋" w:hAnsi="仿宋" w:eastAsia="仿宋"/>
          <w:color w:val="000000" w:themeColor="text1"/>
          <w:sz w:val="32"/>
          <w:szCs w:val="32"/>
        </w:rPr>
        <w:t>上级补助收入</w:t>
      </w:r>
      <w:r>
        <w:rPr>
          <w:rFonts w:eastAsia="仿宋" w:ascii="仿宋" w:hAnsi="仿宋"/>
          <w:color w:val="000000" w:themeColor="text1"/>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；事业收入</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；经营收入</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；附属单位上缴收入</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；其他收入</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w:t>
      </w:r>
      <w:bookmarkEnd w:id="42"/>
    </w:p>
    <w:p>
      <w:pPr>
        <w:pStyle w:val="Style20"/>
        <w:numPr>
          <w:ilvl w:val="0"/>
          <w:numId w:val="2"/>
        </w:numPr>
        <w:spacing w:lineRule="exact" w:line="600"/>
        <w:ind/>
        <w:outlineLvl w:val="1"/>
        <w:rPr>
          <w:rStyle w:val="2Char"/>
          <w:rFonts w:ascii="黑体" w:hAnsi="黑体" w:eastAsia="黑体"/>
          <w:b w:val="false"/>
          <w:b w:val="false"/>
        </w:rPr>
      </w:pPr>
      <w:bookmarkStart w:id="43" w:name="_Toc15396605"/>
      <w:bookmarkStart w:id="44" w:name="_Toc13381"/>
      <w:bookmarkStart w:id="45" w:name="_Toc15377207"/>
      <w:r>
        <w:rPr>
          <w:rFonts w:ascii="黑体" w:hAnsi="黑体" w:eastAsia="黑体"/>
          <w:color w:val="000000"/>
          <w:sz w:val="32"/>
          <w:szCs w:val="32"/>
        </w:rPr>
        <w:t>支</w:t>
      </w:r>
      <w:r>
        <w:rPr>
          <w:rStyle w:val="2Char"/>
          <w:rFonts w:ascii="黑体" w:hAnsi="黑体" w:eastAsia="黑体"/>
          <w:b w:val="false"/>
        </w:rPr>
        <w:t>出决算情况说明</w:t>
      </w:r>
      <w:bookmarkEnd w:id="43"/>
      <w:bookmarkEnd w:id="44"/>
      <w:bookmarkEnd w:id="45"/>
    </w:p>
    <w:p>
      <w:pPr>
        <w:pStyle w:val="Style16"/>
        <w:numPr>
          <w:ilvl w:val="0"/>
          <w:numId w:val="0"/>
        </w:numPr>
        <w:spacing w:lineRule="exact" w:line="600"/>
        <w:ind w:firstLineChars="200" w:firstLine="0"/>
        <w:outlineLvl w:val="1"/>
        <w:rPr>
          <w:rFonts w:ascii="仿宋" w:hAnsi="仿宋" w:eastAsia="仿宋"/>
          <w:color w:val="000000"/>
          <w:sz w:val="32"/>
          <w:szCs w:val="32"/>
        </w:rPr>
      </w:pPr>
      <w:bookmarkStart w:id="46" w:name="_Toc26698"/>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年本年支出合计</w:t>
      </w:r>
      <w:r>
        <w:rPr>
          <w:rFonts w:eastAsia="仿宋" w:ascii="仿宋" w:hAnsi="仿宋"/>
          <w:color w:val="000000"/>
          <w:sz w:val="32"/>
          <w:szCs w:val="32"/>
          <w:lang w:val="en-US" w:eastAsia="zh-CN"/>
        </w:rPr>
        <w:t>382.45</w:t>
      </w:r>
      <w:r>
        <w:rPr>
          <w:rFonts w:ascii="仿宋" w:hAnsi="仿宋" w:eastAsia="仿宋"/>
          <w:color w:val="000000"/>
          <w:sz w:val="32"/>
          <w:szCs w:val="32"/>
        </w:rPr>
        <w:t>万元</w:t>
      </w:r>
      <w:r>
        <w:rPr>
          <w:rFonts w:ascii="仿宋" w:hAnsi="仿宋" w:eastAsia="仿宋"/>
          <w:color w:val="000000"/>
          <w:sz w:val="32"/>
          <w:szCs w:val="32"/>
          <w:lang w:eastAsia="zh-CN"/>
        </w:rPr>
        <w:t>（</w:t>
      </w:r>
      <w:r>
        <w:rPr>
          <w:rFonts w:ascii="仿宋" w:hAnsi="仿宋" w:eastAsia="仿宋"/>
          <w:color w:val="000000"/>
          <w:sz w:val="32"/>
          <w:szCs w:val="32"/>
          <w:lang w:val="en-US" w:eastAsia="zh-CN"/>
        </w:rPr>
        <w:t>含上年结余</w:t>
      </w:r>
      <w:r>
        <w:rPr>
          <w:rFonts w:ascii="仿宋" w:hAnsi="仿宋" w:eastAsia="仿宋"/>
          <w:color w:val="000000"/>
          <w:sz w:val="32"/>
          <w:szCs w:val="32"/>
          <w:lang w:eastAsia="zh-CN"/>
        </w:rPr>
        <w:t>）</w:t>
      </w:r>
      <w:r>
        <w:rPr>
          <w:rFonts w:ascii="仿宋" w:hAnsi="仿宋" w:eastAsia="仿宋"/>
          <w:color w:val="000000"/>
          <w:sz w:val="32"/>
          <w:szCs w:val="32"/>
        </w:rPr>
        <w:t>，其中：基本支出</w:t>
      </w:r>
      <w:r>
        <w:rPr>
          <w:rFonts w:eastAsia="仿宋" w:ascii="仿宋" w:hAnsi="仿宋"/>
          <w:color w:val="000000"/>
          <w:sz w:val="32"/>
          <w:szCs w:val="32"/>
          <w:lang w:val="en-US" w:eastAsia="zh-CN"/>
        </w:rPr>
        <w:t>217.06</w:t>
      </w:r>
      <w:r>
        <w:rPr>
          <w:rFonts w:ascii="仿宋" w:hAnsi="仿宋" w:eastAsia="仿宋"/>
          <w:color w:val="000000"/>
          <w:sz w:val="32"/>
          <w:szCs w:val="32"/>
        </w:rPr>
        <w:t>万元，占</w:t>
      </w:r>
      <w:r>
        <w:rPr>
          <w:rFonts w:eastAsia="仿宋" w:ascii="仿宋" w:hAnsi="仿宋"/>
          <w:color w:val="000000"/>
          <w:sz w:val="32"/>
          <w:szCs w:val="32"/>
          <w:lang w:val="en-US" w:eastAsia="zh-CN"/>
        </w:rPr>
        <w:t>56.76</w:t>
      </w:r>
      <w:r>
        <w:rPr>
          <w:rFonts w:eastAsia="仿宋" w:ascii="仿宋" w:hAnsi="仿宋"/>
          <w:color w:val="000000"/>
          <w:sz w:val="32"/>
          <w:szCs w:val="32"/>
        </w:rPr>
        <w:t>%</w:t>
      </w:r>
      <w:r>
        <w:rPr>
          <w:rFonts w:ascii="仿宋" w:hAnsi="仿宋" w:eastAsia="仿宋"/>
          <w:color w:val="000000"/>
          <w:sz w:val="32"/>
          <w:szCs w:val="32"/>
        </w:rPr>
        <w:t>；项目支出</w:t>
      </w:r>
      <w:r>
        <w:rPr>
          <w:rFonts w:eastAsia="仿宋" w:ascii="仿宋" w:hAnsi="仿宋"/>
          <w:color w:val="000000"/>
          <w:sz w:val="32"/>
          <w:szCs w:val="32"/>
          <w:lang w:val="en-US" w:eastAsia="zh-CN"/>
        </w:rPr>
        <w:t>165.39</w:t>
      </w:r>
      <w:r>
        <w:rPr>
          <w:rFonts w:ascii="仿宋" w:hAnsi="仿宋" w:eastAsia="仿宋"/>
          <w:color w:val="000000"/>
          <w:sz w:val="32"/>
          <w:szCs w:val="32"/>
        </w:rPr>
        <w:t>万元，占</w:t>
      </w:r>
      <w:r>
        <w:rPr>
          <w:rFonts w:eastAsia="仿宋" w:ascii="仿宋" w:hAnsi="仿宋"/>
          <w:color w:val="000000"/>
          <w:sz w:val="32"/>
          <w:szCs w:val="32"/>
          <w:lang w:val="en-US" w:eastAsia="zh-CN"/>
        </w:rPr>
        <w:t>43.24</w:t>
      </w:r>
      <w:r>
        <w:rPr>
          <w:rFonts w:eastAsia="仿宋" w:ascii="仿宋" w:hAnsi="仿宋"/>
          <w:color w:val="000000"/>
          <w:sz w:val="32"/>
          <w:szCs w:val="32"/>
        </w:rPr>
        <w:t>%</w:t>
      </w:r>
      <w:r>
        <w:rPr>
          <w:rFonts w:ascii="仿宋" w:hAnsi="仿宋" w:eastAsia="仿宋"/>
          <w:color w:val="000000"/>
          <w:sz w:val="32"/>
          <w:szCs w:val="32"/>
        </w:rPr>
        <w:t>；上缴上级支出</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；经营支出</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；对附属单位补助支出</w:t>
      </w:r>
      <w:r>
        <w:rPr>
          <w:rFonts w:eastAsia="仿宋" w:ascii="仿宋" w:hAnsi="仿宋"/>
          <w:color w:val="000000"/>
          <w:sz w:val="32"/>
          <w:szCs w:val="32"/>
          <w:lang w:val="en-US" w:eastAsia="zh-CN"/>
        </w:rPr>
        <w:t>0</w:t>
      </w:r>
      <w:r>
        <w:rPr>
          <w:rFonts w:ascii="仿宋" w:hAnsi="仿宋" w:eastAsia="仿宋"/>
          <w:color w:val="000000"/>
          <w:sz w:val="32"/>
          <w:szCs w:val="32"/>
        </w:rPr>
        <w:t>万元，占</w:t>
      </w:r>
      <w:r>
        <w:rPr>
          <w:rFonts w:eastAsia="仿宋" w:ascii="仿宋" w:hAnsi="仿宋"/>
          <w:color w:val="000000"/>
          <w:sz w:val="32"/>
          <w:szCs w:val="32"/>
          <w:lang w:val="en-US" w:eastAsia="zh-CN"/>
        </w:rPr>
        <w:t>0</w:t>
      </w:r>
      <w:r>
        <w:rPr>
          <w:rFonts w:eastAsia="仿宋" w:ascii="仿宋" w:hAnsi="仿宋"/>
          <w:color w:val="000000"/>
          <w:sz w:val="32"/>
          <w:szCs w:val="32"/>
        </w:rPr>
        <w:t>%</w:t>
      </w:r>
      <w:r>
        <w:rPr>
          <w:rFonts w:ascii="仿宋" w:hAnsi="仿宋" w:eastAsia="仿宋"/>
          <w:color w:val="000000"/>
          <w:sz w:val="32"/>
          <w:szCs w:val="32"/>
        </w:rPr>
        <w:t>。</w:t>
      </w:r>
      <w:bookmarkEnd w:id="46"/>
    </w:p>
    <w:p>
      <w:pPr>
        <w:pStyle w:val="Style16"/>
        <w:numPr>
          <w:ilvl w:val="0"/>
          <w:numId w:val="0"/>
        </w:numPr>
        <w:spacing w:lineRule="exact" w:line="600"/>
        <w:ind w:firstLineChars="200" w:firstLine="0"/>
        <w:outlineLvl w:val="1"/>
        <w:rPr>
          <w:rStyle w:val="2Char"/>
          <w:rFonts w:ascii="黑体" w:hAnsi="黑体" w:eastAsia="黑体"/>
          <w:b w:val="false"/>
          <w:b w:val="false"/>
        </w:rPr>
      </w:pPr>
      <w:bookmarkStart w:id="47" w:name="_Toc15396606"/>
      <w:bookmarkStart w:id="48" w:name="_Toc16639"/>
      <w:bookmarkStart w:id="49" w:name="_Toc15377208"/>
      <w:r>
        <w:rPr>
          <w:rFonts w:ascii="黑体" w:hAnsi="黑体" w:eastAsia="黑体"/>
          <w:color w:val="000000"/>
          <w:sz w:val="32"/>
          <w:szCs w:val="32"/>
        </w:rPr>
        <w:t>四、财</w:t>
      </w:r>
      <w:r>
        <w:rPr>
          <w:rStyle w:val="2Char"/>
          <w:rFonts w:ascii="黑体" w:hAnsi="黑体" w:eastAsia="黑体"/>
          <w:b w:val="false"/>
        </w:rPr>
        <w:t>政拨款收入支出决算总体情况说明</w:t>
      </w:r>
      <w:bookmarkEnd w:id="47"/>
      <w:bookmarkEnd w:id="48"/>
      <w:bookmarkEnd w:id="49"/>
    </w:p>
    <w:p>
      <w:pPr>
        <w:pStyle w:val="Style16"/>
        <w:spacing w:lineRule="auto" w:line="240"/>
        <w:ind w:firstLineChars="200" w:firstLine="0"/>
        <w:rPr>
          <w:rFonts w:ascii="仿宋" w:hAnsi="仿宋" w:eastAsia="仿宋"/>
          <w:color w:val="000000"/>
          <w:sz w:val="32"/>
          <w:szCs w:val="32"/>
          <w:lang w:val="en-US" w:eastAsia="zh-CN"/>
        </w:rPr>
      </w:pP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年财政拨款收、支总计</w:t>
      </w:r>
      <w:r>
        <w:rPr>
          <w:rFonts w:eastAsia="仿宋" w:ascii="仿宋" w:hAnsi="仿宋"/>
          <w:color w:val="000000"/>
          <w:sz w:val="32"/>
          <w:szCs w:val="32"/>
          <w:lang w:val="en-US" w:eastAsia="zh-CN"/>
        </w:rPr>
        <w:t>359.19</w:t>
      </w:r>
      <w:r>
        <w:rPr>
          <w:rFonts w:ascii="仿宋" w:hAnsi="仿宋" w:eastAsia="仿宋"/>
          <w:color w:val="000000"/>
          <w:sz w:val="32"/>
          <w:szCs w:val="32"/>
        </w:rPr>
        <w:t>万元。与</w:t>
      </w:r>
      <w:r>
        <w:rPr>
          <w:rFonts w:eastAsia="仿宋" w:ascii="仿宋" w:hAnsi="仿宋"/>
          <w:color w:val="000000"/>
          <w:sz w:val="32"/>
          <w:szCs w:val="32"/>
        </w:rPr>
        <w:t>20</w:t>
      </w:r>
      <w:r>
        <w:rPr>
          <w:rFonts w:eastAsia="仿宋" w:ascii="仿宋" w:hAnsi="仿宋"/>
          <w:color w:val="000000"/>
          <w:sz w:val="32"/>
          <w:szCs w:val="32"/>
          <w:lang w:val="en-US" w:eastAsia="zh-CN"/>
        </w:rPr>
        <w:t>19</w:t>
      </w:r>
      <w:r>
        <w:rPr>
          <w:rFonts w:ascii="仿宋" w:hAnsi="仿宋" w:eastAsia="仿宋"/>
          <w:color w:val="000000"/>
          <w:sz w:val="32"/>
          <w:szCs w:val="32"/>
        </w:rPr>
        <w:t>年相比，财政拨款收、支总计各增加</w:t>
      </w:r>
      <w:r>
        <w:rPr>
          <w:rFonts w:eastAsia="仿宋" w:ascii="仿宋" w:hAnsi="仿宋"/>
          <w:color w:val="000000"/>
          <w:sz w:val="32"/>
          <w:szCs w:val="32"/>
          <w:lang w:val="en-US" w:eastAsia="zh-CN"/>
        </w:rPr>
        <w:t>327.69</w:t>
      </w:r>
      <w:r>
        <w:rPr>
          <w:rFonts w:ascii="仿宋" w:hAnsi="仿宋" w:eastAsia="仿宋"/>
          <w:color w:val="000000"/>
          <w:sz w:val="32"/>
          <w:szCs w:val="32"/>
        </w:rPr>
        <w:t>万元，增长</w:t>
      </w:r>
      <w:r>
        <w:rPr>
          <w:rFonts w:eastAsia="仿宋" w:ascii="仿宋" w:hAnsi="仿宋"/>
          <w:color w:val="000000"/>
          <w:sz w:val="32"/>
          <w:szCs w:val="32"/>
          <w:lang w:val="en-US" w:eastAsia="zh-CN"/>
        </w:rPr>
        <w:t>1040.29</w:t>
      </w:r>
      <w:r>
        <w:rPr>
          <w:rFonts w:eastAsia="仿宋" w:ascii="仿宋" w:hAnsi="仿宋"/>
          <w:color w:val="000000"/>
          <w:sz w:val="32"/>
          <w:szCs w:val="32"/>
        </w:rPr>
        <w:t>%</w:t>
      </w:r>
      <w:r>
        <w:rPr>
          <w:rFonts w:ascii="仿宋" w:hAnsi="仿宋" w:eastAsia="仿宋"/>
          <w:color w:val="000000"/>
          <w:sz w:val="32"/>
          <w:szCs w:val="32"/>
        </w:rPr>
        <w:t>。主要变动原因是</w:t>
      </w:r>
      <w:r>
        <w:rPr>
          <w:rFonts w:eastAsia="仿宋" w:ascii="仿宋" w:hAnsi="仿宋"/>
          <w:color w:val="000000"/>
          <w:sz w:val="32"/>
          <w:szCs w:val="32"/>
          <w:lang w:val="en-US" w:eastAsia="zh-CN"/>
        </w:rPr>
        <w:t>2020</w:t>
      </w:r>
      <w:r>
        <w:rPr>
          <w:rFonts w:ascii="仿宋" w:hAnsi="仿宋" w:eastAsia="仿宋"/>
          <w:color w:val="000000"/>
          <w:sz w:val="32"/>
          <w:szCs w:val="32"/>
          <w:lang w:val="en-US" w:eastAsia="zh-CN"/>
        </w:rPr>
        <w:t>年新增人员及相关规划编制费增加。</w:t>
      </w:r>
    </w:p>
    <w:p>
      <w:pPr>
        <w:pStyle w:val="Style16"/>
        <w:spacing w:lineRule="exact" w:line="600"/>
        <w:ind w:firstLine="640"/>
        <w:rPr>
          <w:rFonts w:ascii="仿宋" w:hAnsi="仿宋" w:eastAsia="仿宋"/>
          <w:color w:val="000000"/>
          <w:sz w:val="32"/>
          <w:szCs w:val="32"/>
          <w:lang w:val="en-US" w:eastAsia="zh-CN"/>
        </w:rPr>
      </w:pPr>
      <w:r>
        <w:rPr>
          <w:rFonts w:eastAsia="仿宋" w:ascii="仿宋" w:hAnsi="仿宋"/>
          <w:color w:val="000000"/>
          <w:sz w:val="32"/>
          <w:szCs w:val="32"/>
          <w:lang w:val="en-US" w:eastAsia="zh-CN"/>
        </w:rPr>
      </w:r>
    </w:p>
    <w:p>
      <w:pPr>
        <w:pStyle w:val="Style16"/>
        <w:numPr>
          <w:ilvl w:val="0"/>
          <w:numId w:val="0"/>
        </w:numPr>
        <w:spacing w:lineRule="exact" w:line="600"/>
        <w:ind w:firstLineChars="200" w:firstLine="0"/>
        <w:outlineLvl w:val="1"/>
        <w:rPr>
          <w:rStyle w:val="2Char"/>
          <w:rFonts w:ascii="黑体" w:hAnsi="黑体" w:eastAsia="黑体"/>
          <w:b w:val="false"/>
          <w:b w:val="false"/>
        </w:rPr>
      </w:pPr>
      <w:bookmarkStart w:id="50" w:name="_Toc15377209"/>
      <w:bookmarkStart w:id="51" w:name="_Toc6722"/>
      <w:bookmarkStart w:id="52" w:name="_Toc15396607"/>
      <w:r>
        <w:rPr>
          <w:rFonts w:ascii="黑体" w:hAnsi="黑体" w:eastAsia="黑体"/>
          <w:color w:val="000000"/>
          <w:sz w:val="32"/>
          <w:szCs w:val="32"/>
        </w:rPr>
        <w:t>五、</w:t>
      </w:r>
      <w:r>
        <w:rPr>
          <w:rFonts w:ascii="黑体" w:hAnsi="黑体" w:eastAsia="黑体"/>
          <w:b/>
          <w:color w:val="000000"/>
          <w:sz w:val="32"/>
          <w:szCs w:val="32"/>
        </w:rPr>
        <w:t>一</w:t>
      </w:r>
      <w:r>
        <w:rPr>
          <w:rStyle w:val="2Char"/>
          <w:rFonts w:ascii="黑体" w:hAnsi="黑体" w:eastAsia="黑体"/>
          <w:b w:val="false"/>
        </w:rPr>
        <w:t>般公共预算财政拨款支出决算情况说明</w:t>
      </w:r>
      <w:bookmarkEnd w:id="50"/>
      <w:bookmarkEnd w:id="51"/>
      <w:bookmarkEnd w:id="52"/>
    </w:p>
    <w:p>
      <w:pPr>
        <w:pStyle w:val="Style16"/>
        <w:numPr>
          <w:ilvl w:val="0"/>
          <w:numId w:val="0"/>
        </w:numPr>
        <w:spacing w:lineRule="exact" w:line="600"/>
        <w:ind w:firstLineChars="200" w:firstLine="0"/>
        <w:outlineLvl w:val="2"/>
        <w:rPr>
          <w:rFonts w:ascii="仿宋" w:hAnsi="仿宋" w:eastAsia="仿宋"/>
          <w:b/>
          <w:b/>
          <w:color w:val="000000"/>
          <w:sz w:val="32"/>
          <w:szCs w:val="32"/>
        </w:rPr>
      </w:pPr>
      <w:bookmarkStart w:id="53" w:name="_Toc15377210"/>
      <w:r>
        <w:rPr>
          <w:rFonts w:ascii="仿宋" w:hAnsi="仿宋" w:eastAsia="仿宋"/>
          <w:b/>
          <w:color w:val="000000"/>
          <w:sz w:val="32"/>
          <w:szCs w:val="32"/>
        </w:rPr>
        <w:t>（一）一般公共预算财政拨款支出决算总体情况</w:t>
      </w:r>
      <w:bookmarkEnd w:id="53"/>
    </w:p>
    <w:p>
      <w:pPr>
        <w:pStyle w:val="Style16"/>
        <w:spacing w:lineRule="auto" w:line="240"/>
        <w:ind w:firstLineChars="200" w:firstLine="0"/>
        <w:rPr>
          <w:rFonts w:ascii="仿宋" w:hAnsi="仿宋" w:eastAsia="仿宋"/>
          <w:color w:val="000000"/>
          <w:sz w:val="32"/>
          <w:szCs w:val="32"/>
        </w:rPr>
      </w:pP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年一般公共预算财政拨款支出</w:t>
      </w:r>
      <w:r>
        <w:rPr>
          <w:rFonts w:eastAsia="仿宋" w:ascii="仿宋" w:hAnsi="仿宋"/>
          <w:color w:val="000000"/>
          <w:sz w:val="32"/>
          <w:szCs w:val="32"/>
          <w:lang w:val="en-US" w:eastAsia="zh-CN"/>
        </w:rPr>
        <w:t>217.06</w:t>
      </w:r>
      <w:r>
        <w:rPr>
          <w:rFonts w:ascii="仿宋" w:hAnsi="仿宋" w:eastAsia="仿宋"/>
          <w:color w:val="000000"/>
          <w:sz w:val="32"/>
          <w:szCs w:val="32"/>
        </w:rPr>
        <w:t>万元</w:t>
      </w:r>
      <w:r>
        <w:rPr>
          <w:rFonts w:ascii="仿宋" w:hAnsi="仿宋" w:eastAsia="仿宋"/>
          <w:color w:val="000000"/>
          <w:sz w:val="32"/>
          <w:szCs w:val="32"/>
          <w:lang w:eastAsia="zh-CN"/>
        </w:rPr>
        <w:t>（</w:t>
      </w:r>
      <w:r>
        <w:rPr>
          <w:rFonts w:ascii="仿宋" w:hAnsi="仿宋" w:eastAsia="仿宋"/>
          <w:color w:val="000000"/>
          <w:sz w:val="32"/>
          <w:szCs w:val="32"/>
          <w:lang w:val="en-US" w:eastAsia="zh-CN"/>
        </w:rPr>
        <w:t>含上年结余</w:t>
      </w:r>
      <w:r>
        <w:rPr>
          <w:rFonts w:ascii="仿宋" w:hAnsi="仿宋" w:eastAsia="仿宋"/>
          <w:color w:val="000000"/>
          <w:sz w:val="32"/>
          <w:szCs w:val="32"/>
          <w:lang w:eastAsia="zh-CN"/>
        </w:rPr>
        <w:t>）</w:t>
      </w:r>
      <w:r>
        <w:rPr>
          <w:rFonts w:ascii="仿宋" w:hAnsi="仿宋" w:eastAsia="仿宋"/>
          <w:color w:val="000000"/>
          <w:sz w:val="32"/>
          <w:szCs w:val="32"/>
        </w:rPr>
        <w:t>，占本年支出合计的</w:t>
      </w:r>
      <w:r>
        <w:rPr>
          <w:rFonts w:eastAsia="仿宋" w:ascii="仿宋" w:hAnsi="仿宋"/>
          <w:color w:val="000000"/>
          <w:sz w:val="32"/>
          <w:szCs w:val="32"/>
          <w:lang w:val="en-US" w:eastAsia="zh-CN"/>
        </w:rPr>
        <w:t>56.76%</w:t>
      </w:r>
      <w:r>
        <w:rPr>
          <w:rFonts w:ascii="仿宋" w:hAnsi="仿宋" w:eastAsia="仿宋"/>
          <w:color w:val="000000"/>
          <w:sz w:val="32"/>
          <w:szCs w:val="32"/>
        </w:rPr>
        <w:t>。与</w:t>
      </w:r>
      <w:r>
        <w:rPr>
          <w:rFonts w:eastAsia="仿宋" w:ascii="仿宋" w:hAnsi="仿宋"/>
          <w:color w:val="000000"/>
          <w:sz w:val="32"/>
          <w:szCs w:val="32"/>
          <w:lang w:val="en-US" w:eastAsia="zh-CN"/>
        </w:rPr>
        <w:t>2019</w:t>
      </w:r>
      <w:r>
        <w:rPr>
          <w:rFonts w:ascii="仿宋" w:hAnsi="仿宋" w:eastAsia="仿宋"/>
          <w:color w:val="000000"/>
          <w:sz w:val="32"/>
          <w:szCs w:val="32"/>
        </w:rPr>
        <w:t>年相比，一般公共预算财政拨款</w:t>
      </w:r>
      <w:r>
        <w:rPr>
          <w:rFonts w:ascii="仿宋" w:hAnsi="仿宋" w:eastAsia="仿宋"/>
          <w:color w:val="000000"/>
          <w:sz w:val="32"/>
          <w:szCs w:val="32"/>
          <w:lang w:val="en-US" w:eastAsia="zh-CN"/>
        </w:rPr>
        <w:t>支出</w:t>
      </w:r>
      <w:r>
        <w:rPr>
          <w:rFonts w:ascii="仿宋" w:hAnsi="仿宋" w:eastAsia="仿宋"/>
          <w:color w:val="000000"/>
          <w:sz w:val="32"/>
          <w:szCs w:val="32"/>
        </w:rPr>
        <w:t>增加</w:t>
      </w:r>
      <w:r>
        <w:rPr>
          <w:rFonts w:eastAsia="仿宋" w:ascii="仿宋" w:hAnsi="仿宋"/>
          <w:color w:val="000000"/>
          <w:sz w:val="32"/>
          <w:szCs w:val="32"/>
          <w:lang w:val="en-US" w:eastAsia="zh-CN"/>
        </w:rPr>
        <w:t>208.82</w:t>
      </w:r>
      <w:r>
        <w:rPr>
          <w:rFonts w:ascii="仿宋" w:hAnsi="仿宋" w:eastAsia="仿宋"/>
          <w:color w:val="000000"/>
          <w:sz w:val="32"/>
          <w:szCs w:val="32"/>
        </w:rPr>
        <w:t>万元，增长</w:t>
      </w:r>
      <w:r>
        <w:rPr>
          <w:rFonts w:eastAsia="仿宋" w:ascii="仿宋" w:hAnsi="仿宋"/>
          <w:color w:val="000000"/>
          <w:sz w:val="32"/>
          <w:szCs w:val="32"/>
          <w:lang w:val="en-US" w:eastAsia="zh-CN"/>
        </w:rPr>
        <w:t>2534.22</w:t>
      </w:r>
      <w:r>
        <w:rPr>
          <w:rFonts w:eastAsia="仿宋" w:ascii="仿宋" w:hAnsi="仿宋"/>
          <w:color w:val="000000"/>
          <w:sz w:val="32"/>
          <w:szCs w:val="32"/>
        </w:rPr>
        <w:t>%</w:t>
      </w:r>
      <w:r>
        <w:rPr>
          <w:rFonts w:ascii="仿宋" w:hAnsi="仿宋" w:eastAsia="仿宋"/>
          <w:color w:val="000000"/>
          <w:sz w:val="32"/>
          <w:szCs w:val="32"/>
        </w:rPr>
        <w:t>。主要变动原因是</w:t>
      </w:r>
      <w:r>
        <w:rPr>
          <w:rFonts w:eastAsia="仿宋" w:ascii="仿宋" w:hAnsi="仿宋"/>
          <w:color w:val="000000"/>
          <w:sz w:val="32"/>
          <w:szCs w:val="32"/>
          <w:lang w:val="en-US" w:eastAsia="zh-CN"/>
        </w:rPr>
        <w:t>2020</w:t>
      </w:r>
      <w:r>
        <w:rPr>
          <w:rFonts w:ascii="仿宋" w:hAnsi="仿宋" w:eastAsia="仿宋"/>
          <w:color w:val="000000"/>
          <w:sz w:val="32"/>
          <w:szCs w:val="32"/>
          <w:lang w:val="en-US" w:eastAsia="zh-CN"/>
        </w:rPr>
        <w:t>年新增人员较多。</w:t>
      </w:r>
    </w:p>
    <w:p>
      <w:pPr>
        <w:pStyle w:val="Style16"/>
        <w:numPr>
          <w:ilvl w:val="0"/>
          <w:numId w:val="0"/>
        </w:numPr>
        <w:spacing w:lineRule="exact" w:line="600"/>
        <w:ind w:firstLineChars="200" w:firstLine="0"/>
        <w:outlineLvl w:val="2"/>
        <w:rPr>
          <w:rFonts w:ascii="仿宋" w:hAnsi="仿宋" w:eastAsia="仿宋"/>
          <w:b/>
          <w:b/>
          <w:color w:val="000000"/>
          <w:sz w:val="32"/>
          <w:szCs w:val="32"/>
        </w:rPr>
      </w:pPr>
      <w:bookmarkStart w:id="54" w:name="_Toc15377211"/>
      <w:r>
        <w:rPr>
          <w:rFonts w:ascii="仿宋" w:hAnsi="仿宋" w:eastAsia="仿宋"/>
          <w:b/>
          <w:color w:val="000000"/>
          <w:sz w:val="32"/>
          <w:szCs w:val="32"/>
        </w:rPr>
        <w:t>（二）一般公共预算财政拨款支出决算结构情况</w:t>
      </w:r>
      <w:bookmarkEnd w:id="54"/>
    </w:p>
    <w:p>
      <w:pPr>
        <w:pStyle w:val="Style16"/>
        <w:spacing w:lineRule="exact" w:line="600"/>
        <w:ind w:firstLine="640"/>
        <w:rPr>
          <w:rFonts w:ascii="仿宋" w:hAnsi="仿宋" w:eastAsia="仿宋"/>
          <w:b w:val="false"/>
          <w:b w:val="false"/>
          <w:bCs w:val="false"/>
          <w:color w:val="000000" w:themeColor="text1"/>
          <w:sz w:val="32"/>
          <w:szCs w:val="32"/>
          <w:lang w:eastAsia="zh-CN"/>
        </w:rPr>
      </w:pP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年一般公共预算财</w:t>
      </w:r>
      <w:r>
        <w:rPr>
          <w:rFonts w:ascii="仿宋" w:hAnsi="仿宋" w:eastAsia="仿宋"/>
          <w:color w:val="000000" w:themeColor="text1"/>
          <w:sz w:val="32"/>
          <w:szCs w:val="32"/>
        </w:rPr>
        <w:t>政拨款支出</w:t>
      </w:r>
      <w:r>
        <w:rPr>
          <w:rFonts w:eastAsia="仿宋" w:ascii="仿宋" w:hAnsi="仿宋"/>
          <w:color w:val="000000" w:themeColor="text1"/>
          <w:sz w:val="32"/>
          <w:szCs w:val="32"/>
          <w:lang w:val="en-US" w:eastAsia="zh-CN"/>
        </w:rPr>
        <w:t>217.06</w:t>
      </w:r>
      <w:r>
        <w:rPr>
          <w:rFonts w:ascii="仿宋" w:hAnsi="仿宋" w:eastAsia="仿宋"/>
          <w:color w:val="000000" w:themeColor="text1"/>
          <w:sz w:val="32"/>
          <w:szCs w:val="32"/>
        </w:rPr>
        <w:t>万元</w:t>
      </w:r>
      <w:r>
        <w:rPr>
          <w:rFonts w:ascii="仿宋" w:hAnsi="仿宋" w:eastAsia="仿宋"/>
          <w:color w:val="000000" w:themeColor="text1"/>
          <w:sz w:val="32"/>
          <w:szCs w:val="32"/>
          <w:lang w:eastAsia="zh-CN"/>
        </w:rPr>
        <w:t>（</w:t>
      </w:r>
      <w:r>
        <w:rPr>
          <w:rFonts w:ascii="仿宋" w:hAnsi="仿宋" w:eastAsia="仿宋"/>
          <w:color w:val="000000" w:themeColor="text1"/>
          <w:sz w:val="32"/>
          <w:szCs w:val="32"/>
          <w:lang w:val="en-US" w:eastAsia="zh-CN"/>
        </w:rPr>
        <w:t>含上年结余</w:t>
      </w:r>
      <w:r>
        <w:rPr>
          <w:rFonts w:ascii="仿宋" w:hAnsi="仿宋" w:eastAsia="仿宋"/>
          <w:color w:val="000000" w:themeColor="text1"/>
          <w:sz w:val="32"/>
          <w:szCs w:val="32"/>
          <w:lang w:eastAsia="zh-CN"/>
        </w:rPr>
        <w:t>）</w:t>
      </w:r>
      <w:r>
        <w:rPr>
          <w:rFonts w:ascii="仿宋" w:hAnsi="仿宋" w:eastAsia="仿宋"/>
          <w:color w:val="000000" w:themeColor="text1"/>
          <w:sz w:val="32"/>
          <w:szCs w:val="32"/>
        </w:rPr>
        <w:t>，主要用于以下方面</w:t>
      </w:r>
      <w:r>
        <w:rPr>
          <w:rFonts w:eastAsia="仿宋" w:ascii="仿宋" w:hAnsi="仿宋"/>
          <w:color w:val="000000" w:themeColor="text1"/>
          <w:sz w:val="32"/>
          <w:szCs w:val="32"/>
        </w:rPr>
        <w:t>:</w:t>
      </w:r>
      <w:r>
        <w:rPr>
          <w:rFonts w:ascii="仿宋" w:hAnsi="仿宋" w:eastAsia="仿宋"/>
          <w:color w:val="000000" w:themeColor="text1"/>
          <w:sz w:val="32"/>
          <w:szCs w:val="32"/>
          <w:lang w:val="en-US" w:eastAsia="zh-CN"/>
        </w:rPr>
        <w:t>社会保障和就业支出</w:t>
      </w:r>
      <w:r>
        <w:rPr>
          <w:rFonts w:eastAsia="仿宋" w:ascii="仿宋" w:hAnsi="仿宋"/>
          <w:color w:val="000000" w:themeColor="text1"/>
          <w:sz w:val="32"/>
          <w:szCs w:val="32"/>
          <w:lang w:val="en-US" w:eastAsia="zh-CN"/>
        </w:rPr>
        <w:t>17.37</w:t>
      </w:r>
      <w:r>
        <w:rPr>
          <w:rFonts w:ascii="仿宋" w:hAnsi="仿宋" w:eastAsia="仿宋"/>
          <w:color w:val="000000" w:themeColor="text1"/>
          <w:sz w:val="32"/>
          <w:szCs w:val="32"/>
          <w:lang w:val="en-US" w:eastAsia="zh-CN"/>
        </w:rPr>
        <w:t>万元，占</w:t>
      </w:r>
      <w:r>
        <w:rPr>
          <w:rFonts w:eastAsia="仿宋" w:ascii="仿宋" w:hAnsi="仿宋"/>
          <w:color w:val="000000" w:themeColor="text1"/>
          <w:sz w:val="32"/>
          <w:szCs w:val="32"/>
          <w:lang w:val="en-US" w:eastAsia="zh-CN"/>
        </w:rPr>
        <w:t>8.00%</w:t>
      </w:r>
      <w:r>
        <w:rPr>
          <w:rFonts w:ascii="仿宋" w:hAnsi="仿宋" w:eastAsia="仿宋"/>
          <w:color w:val="000000" w:themeColor="text1"/>
          <w:sz w:val="32"/>
          <w:szCs w:val="32"/>
          <w:lang w:val="en-US" w:eastAsia="zh-CN"/>
        </w:rPr>
        <w:t>，卫生健康支出</w:t>
      </w:r>
      <w:r>
        <w:rPr>
          <w:rFonts w:eastAsia="仿宋" w:ascii="仿宋" w:hAnsi="仿宋"/>
          <w:color w:val="000000" w:themeColor="text1"/>
          <w:sz w:val="32"/>
          <w:szCs w:val="32"/>
          <w:lang w:val="en-US" w:eastAsia="zh-CN"/>
        </w:rPr>
        <w:t>8.39</w:t>
      </w:r>
      <w:r>
        <w:rPr>
          <w:rFonts w:ascii="仿宋" w:hAnsi="仿宋" w:eastAsia="仿宋"/>
          <w:color w:val="000000" w:themeColor="text1"/>
          <w:sz w:val="32"/>
          <w:szCs w:val="32"/>
          <w:lang w:val="en-US" w:eastAsia="zh-CN"/>
        </w:rPr>
        <w:t>万元，占</w:t>
      </w:r>
      <w:r>
        <w:rPr>
          <w:rFonts w:eastAsia="仿宋" w:ascii="仿宋" w:hAnsi="仿宋"/>
          <w:color w:val="000000" w:themeColor="text1"/>
          <w:sz w:val="32"/>
          <w:szCs w:val="32"/>
          <w:lang w:val="en-US" w:eastAsia="zh-CN"/>
        </w:rPr>
        <w:t>3.87%</w:t>
      </w:r>
      <w:r>
        <w:rPr>
          <w:rFonts w:ascii="仿宋" w:hAnsi="仿宋" w:eastAsia="仿宋"/>
          <w:color w:val="000000" w:themeColor="text1"/>
          <w:sz w:val="32"/>
          <w:szCs w:val="32"/>
          <w:lang w:val="en-US" w:eastAsia="zh-CN"/>
        </w:rPr>
        <w:t>，住房保障支出</w:t>
      </w:r>
      <w:r>
        <w:rPr>
          <w:rFonts w:eastAsia="仿宋" w:ascii="仿宋" w:hAnsi="仿宋"/>
          <w:color w:val="000000" w:themeColor="text1"/>
          <w:sz w:val="32"/>
          <w:szCs w:val="32"/>
          <w:lang w:val="en-US" w:eastAsia="zh-CN"/>
        </w:rPr>
        <w:t>17.45</w:t>
      </w:r>
      <w:r>
        <w:rPr>
          <w:rFonts w:ascii="仿宋" w:hAnsi="仿宋" w:eastAsia="仿宋"/>
          <w:color w:val="000000" w:themeColor="text1"/>
          <w:sz w:val="32"/>
          <w:szCs w:val="32"/>
          <w:lang w:val="en-US" w:eastAsia="zh-CN"/>
        </w:rPr>
        <w:t>万元，占</w:t>
      </w:r>
      <w:r>
        <w:rPr>
          <w:rFonts w:eastAsia="仿宋" w:ascii="仿宋" w:hAnsi="仿宋"/>
          <w:color w:val="000000" w:themeColor="text1"/>
          <w:sz w:val="32"/>
          <w:szCs w:val="32"/>
          <w:lang w:val="en-US" w:eastAsia="zh-CN"/>
        </w:rPr>
        <w:t>8.04%</w:t>
      </w:r>
      <w:r>
        <w:rPr>
          <w:rFonts w:ascii="仿宋" w:hAnsi="仿宋" w:eastAsia="仿宋"/>
          <w:color w:val="000000" w:themeColor="text1"/>
          <w:sz w:val="32"/>
          <w:szCs w:val="32"/>
          <w:lang w:val="en-US" w:eastAsia="zh-CN"/>
        </w:rPr>
        <w:t>，</w:t>
      </w:r>
      <w:r>
        <w:rPr>
          <w:rFonts w:ascii="仿宋" w:hAnsi="仿宋" w:eastAsia="仿宋"/>
          <w:b w:val="false"/>
          <w:bCs w:val="false"/>
          <w:color w:val="000000" w:themeColor="text1"/>
          <w:sz w:val="32"/>
          <w:szCs w:val="32"/>
          <w:lang w:val="en-US" w:eastAsia="zh-CN"/>
        </w:rPr>
        <w:t>城乡社区</w:t>
      </w:r>
      <w:r>
        <w:rPr>
          <w:rFonts w:ascii="仿宋" w:hAnsi="仿宋" w:eastAsia="仿宋"/>
          <w:b w:val="false"/>
          <w:bCs w:val="false"/>
          <w:color w:val="000000" w:themeColor="text1"/>
          <w:sz w:val="32"/>
          <w:szCs w:val="32"/>
        </w:rPr>
        <w:t>（类）支出</w:t>
      </w:r>
      <w:r>
        <w:rPr>
          <w:rFonts w:eastAsia="仿宋" w:ascii="仿宋" w:hAnsi="仿宋"/>
          <w:b w:val="false"/>
          <w:bCs w:val="false"/>
          <w:color w:val="000000" w:themeColor="text1"/>
          <w:sz w:val="32"/>
          <w:szCs w:val="32"/>
          <w:lang w:val="en-US" w:eastAsia="zh-CN"/>
        </w:rPr>
        <w:t>173.85</w:t>
      </w:r>
      <w:r>
        <w:rPr>
          <w:rFonts w:ascii="仿宋" w:hAnsi="仿宋" w:eastAsia="仿宋"/>
          <w:b w:val="false"/>
          <w:bCs w:val="false"/>
          <w:color w:val="000000" w:themeColor="text1"/>
          <w:sz w:val="32"/>
          <w:szCs w:val="32"/>
        </w:rPr>
        <w:t>万元，占</w:t>
      </w:r>
      <w:r>
        <w:rPr>
          <w:rFonts w:eastAsia="仿宋" w:ascii="仿宋" w:hAnsi="仿宋"/>
          <w:b w:val="false"/>
          <w:bCs w:val="false"/>
          <w:color w:val="000000" w:themeColor="text1"/>
          <w:sz w:val="32"/>
          <w:szCs w:val="32"/>
          <w:lang w:val="en-US" w:eastAsia="zh-CN"/>
        </w:rPr>
        <w:t>80.09</w:t>
      </w:r>
      <w:r>
        <w:rPr>
          <w:rFonts w:eastAsia="仿宋" w:ascii="仿宋" w:hAnsi="仿宋"/>
          <w:b w:val="false"/>
          <w:bCs w:val="false"/>
          <w:color w:val="000000" w:themeColor="text1"/>
          <w:sz w:val="32"/>
          <w:szCs w:val="32"/>
        </w:rPr>
        <w:t>%</w:t>
      </w:r>
      <w:r>
        <w:rPr>
          <w:rFonts w:ascii="仿宋" w:hAnsi="仿宋" w:eastAsia="仿宋"/>
          <w:b w:val="false"/>
          <w:bCs w:val="false"/>
          <w:color w:val="000000" w:themeColor="text1"/>
          <w:sz w:val="32"/>
          <w:szCs w:val="32"/>
          <w:lang w:eastAsia="zh-CN"/>
        </w:rPr>
        <w:t>。</w:t>
      </w:r>
    </w:p>
    <w:p>
      <w:pPr>
        <w:pStyle w:val="Style16"/>
        <w:numPr>
          <w:ilvl w:val="0"/>
          <w:numId w:val="0"/>
        </w:numPr>
        <w:tabs>
          <w:tab w:val="clear" w:pos="420"/>
          <w:tab w:val="right" w:pos="8306" w:leader="none"/>
        </w:tabs>
        <w:spacing w:lineRule="exact" w:line="600"/>
        <w:ind w:firstLine="640"/>
        <w:outlineLvl w:val="1"/>
        <w:rPr>
          <w:rStyle w:val="2Char"/>
        </w:rPr>
      </w:pPr>
      <w:bookmarkStart w:id="55" w:name="_Toc24388"/>
      <w:bookmarkStart w:id="56" w:name="_Toc15377214"/>
      <w:bookmarkStart w:id="57" w:name="_Toc15396608"/>
      <w:r>
        <w:rPr>
          <w:rFonts w:ascii="黑体" w:hAnsi="黑体" w:eastAsia="黑体"/>
          <w:color w:val="000000"/>
          <w:sz w:val="32"/>
          <w:szCs w:val="32"/>
        </w:rPr>
        <w:t>六</w:t>
      </w:r>
      <w:r>
        <w:rPr>
          <w:rFonts w:ascii="黑体" w:hAnsi="黑体" w:eastAsia="黑体"/>
          <w:b/>
          <w:color w:val="000000"/>
          <w:sz w:val="32"/>
          <w:szCs w:val="32"/>
        </w:rPr>
        <w:t>、一</w:t>
      </w:r>
      <w:r>
        <w:rPr>
          <w:rStyle w:val="2Char"/>
          <w:rFonts w:ascii="黑体" w:hAnsi="黑体" w:eastAsia="黑体"/>
          <w:b w:val="false"/>
        </w:rPr>
        <w:t>般公共预算财政拨款基本支出决算情况说明</w:t>
      </w:r>
      <w:bookmarkEnd w:id="55"/>
      <w:bookmarkEnd w:id="56"/>
      <w:bookmarkEnd w:id="57"/>
      <w:r>
        <w:rPr>
          <w:rStyle w:val="2Char"/>
          <w:rFonts w:eastAsia="黑体" w:ascii="黑体" w:hAnsi="黑体"/>
          <w:b w:val="false"/>
        </w:rPr>
        <w:tab/>
      </w:r>
    </w:p>
    <w:p>
      <w:pPr>
        <w:pStyle w:val="Style16"/>
        <w:spacing w:lineRule="exact" w:line="600"/>
        <w:ind w:firstLine="645"/>
        <w:rPr>
          <w:rFonts w:ascii="仿宋" w:hAnsi="仿宋" w:eastAsia="仿宋"/>
          <w:color w:val="000000"/>
          <w:sz w:val="32"/>
          <w:szCs w:val="32"/>
        </w:rPr>
      </w:pP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年一般公共预算财政拨款基本支出</w:t>
      </w:r>
      <w:r>
        <w:rPr>
          <w:rFonts w:eastAsia="仿宋" w:ascii="仿宋" w:hAnsi="仿宋"/>
          <w:color w:val="000000"/>
          <w:sz w:val="32"/>
          <w:szCs w:val="32"/>
          <w:lang w:val="en-US" w:eastAsia="zh-CN"/>
        </w:rPr>
        <w:t>217.06</w:t>
      </w:r>
      <w:r>
        <w:rPr>
          <w:rFonts w:ascii="仿宋" w:hAnsi="仿宋" w:eastAsia="仿宋"/>
          <w:color w:val="000000"/>
          <w:sz w:val="32"/>
          <w:szCs w:val="32"/>
        </w:rPr>
        <w:t>万元</w:t>
      </w:r>
      <w:r>
        <w:rPr>
          <w:rFonts w:ascii="仿宋" w:hAnsi="仿宋" w:eastAsia="仿宋"/>
          <w:color w:val="000000"/>
          <w:sz w:val="32"/>
          <w:szCs w:val="32"/>
          <w:lang w:eastAsia="zh-CN"/>
        </w:rPr>
        <w:t>（</w:t>
      </w:r>
      <w:r>
        <w:rPr>
          <w:rFonts w:ascii="仿宋" w:hAnsi="仿宋" w:eastAsia="仿宋"/>
          <w:color w:val="000000"/>
          <w:sz w:val="32"/>
          <w:szCs w:val="32"/>
          <w:lang w:val="en-US" w:eastAsia="zh-CN"/>
        </w:rPr>
        <w:t>含上年结余</w:t>
      </w:r>
      <w:r>
        <w:rPr>
          <w:rFonts w:ascii="仿宋" w:hAnsi="仿宋" w:eastAsia="仿宋"/>
          <w:color w:val="000000"/>
          <w:sz w:val="32"/>
          <w:szCs w:val="32"/>
          <w:lang w:eastAsia="zh-CN"/>
        </w:rPr>
        <w:t>）</w:t>
      </w:r>
      <w:r>
        <w:rPr>
          <w:rFonts w:ascii="仿宋" w:hAnsi="仿宋" w:eastAsia="仿宋"/>
          <w:color w:val="000000"/>
          <w:sz w:val="32"/>
          <w:szCs w:val="32"/>
        </w:rPr>
        <w:t>，其中：</w:t>
      </w:r>
    </w:p>
    <w:p>
      <w:pPr>
        <w:pStyle w:val="Style16"/>
        <w:spacing w:lineRule="exact" w:line="600"/>
        <w:ind w:firstLine="645"/>
        <w:rPr>
          <w:rFonts w:ascii="仿宋" w:hAnsi="仿宋" w:eastAsia="仿宋"/>
          <w:color w:val="000000"/>
          <w:sz w:val="32"/>
          <w:szCs w:val="32"/>
        </w:rPr>
      </w:pPr>
      <w:r>
        <w:rPr>
          <w:rFonts w:ascii="仿宋" w:hAnsi="仿宋" w:eastAsia="仿宋"/>
          <w:color w:val="000000"/>
          <w:sz w:val="32"/>
          <w:szCs w:val="32"/>
        </w:rPr>
        <w:t>人员经费</w:t>
      </w:r>
      <w:r>
        <w:rPr>
          <w:rFonts w:eastAsia="仿宋" w:ascii="仿宋" w:hAnsi="仿宋"/>
          <w:color w:val="000000"/>
          <w:sz w:val="32"/>
          <w:szCs w:val="32"/>
          <w:lang w:val="en-US" w:eastAsia="zh-CN"/>
        </w:rPr>
        <w:t>160.06</w:t>
      </w:r>
      <w:r>
        <w:rPr>
          <w:rFonts w:ascii="仿宋" w:hAnsi="仿宋" w:eastAsia="仿宋"/>
          <w:color w:val="000000"/>
          <w:sz w:val="32"/>
          <w:szCs w:val="32"/>
        </w:rPr>
        <w:t>万元，主要包括：基本工资、津贴补贴、奖金、伙食补助费、绩效工资、机关事业单位基本养老保险缴费、职业年金缴费、其他社会保障缴费、其他工资福利支出、离休费、退休费、抚恤金、生活补助、医疗费补助、奖励金、住房公积金、其他对个人和家庭的补助支出等。</w:t>
      </w:r>
      <w:r>
        <w:rPr>
          <w:rFonts w:eastAsia="仿宋" w:ascii="仿宋" w:hAnsi="仿宋"/>
          <w:color w:val="000000"/>
          <w:sz w:val="32"/>
          <w:szCs w:val="32"/>
        </w:rPr>
        <w:br/>
      </w:r>
      <w:r>
        <w:rPr>
          <w:rFonts w:ascii="仿宋" w:hAnsi="仿宋" w:eastAsia="仿宋"/>
          <w:color w:val="000000"/>
          <w:sz w:val="32"/>
          <w:szCs w:val="32"/>
        </w:rPr>
        <w:t>　　日常公用经费</w:t>
      </w:r>
      <w:r>
        <w:rPr>
          <w:rFonts w:eastAsia="仿宋" w:ascii="仿宋" w:hAnsi="仿宋"/>
          <w:color w:val="000000"/>
          <w:sz w:val="32"/>
          <w:szCs w:val="32"/>
          <w:lang w:val="en-US" w:eastAsia="zh-CN"/>
        </w:rPr>
        <w:t>57.00</w:t>
      </w:r>
      <w:r>
        <w:rPr>
          <w:rFonts w:ascii="仿宋" w:hAnsi="仿宋" w:eastAsia="仿宋"/>
          <w:color w:val="000000"/>
          <w:sz w:val="32"/>
          <w:szCs w:val="32"/>
        </w:rPr>
        <w:t>万元，主要包括：办公费、印刷费、咨询费、手续费、水费、电费、邮电费、取暖费、物业管理费、差旅费、因公出国（境）费用、维修（护）费、租赁费、会议费、培训费、公务接待费、劳务费、委托业务费、工会经费、福利费、公务用车运行维护费、其他交通费、税金及附加费用、其他商品和服务支出、办公设备购置、专用设备购置、信息网络及软件购置更新、其他资本性支出等。</w:t>
      </w:r>
    </w:p>
    <w:p>
      <w:pPr>
        <w:pStyle w:val="Style16"/>
        <w:numPr>
          <w:ilvl w:val="0"/>
          <w:numId w:val="0"/>
        </w:numPr>
        <w:spacing w:lineRule="exact" w:line="600"/>
        <w:ind w:firstLine="640"/>
        <w:outlineLvl w:val="1"/>
        <w:rPr>
          <w:rStyle w:val="2Char"/>
          <w:rFonts w:ascii="黑体" w:hAnsi="黑体" w:eastAsia="黑体"/>
          <w:b w:val="false"/>
          <w:b w:val="false"/>
        </w:rPr>
      </w:pPr>
      <w:bookmarkStart w:id="58" w:name="_Toc15377215"/>
      <w:bookmarkStart w:id="59" w:name="_Toc27920"/>
      <w:bookmarkStart w:id="60" w:name="_Toc15396609"/>
      <w:r>
        <w:rPr>
          <w:rFonts w:ascii="黑体" w:hAnsi="黑体" w:eastAsia="黑体"/>
          <w:color w:val="000000"/>
          <w:sz w:val="32"/>
          <w:szCs w:val="32"/>
        </w:rPr>
        <w:t>七、</w:t>
      </w:r>
      <w:r>
        <w:rPr>
          <w:rStyle w:val="2Char"/>
          <w:rFonts w:ascii="黑体" w:hAnsi="黑体" w:eastAsia="黑体"/>
        </w:rPr>
        <w:t>“</w:t>
      </w:r>
      <w:r>
        <w:rPr>
          <w:rStyle w:val="2Char"/>
          <w:rFonts w:ascii="黑体" w:hAnsi="黑体" w:eastAsia="黑体"/>
          <w:b w:val="false"/>
        </w:rPr>
        <w:t>三公”经费财政拨款支出决算情况说明</w:t>
      </w:r>
      <w:bookmarkEnd w:id="58"/>
      <w:bookmarkEnd w:id="59"/>
      <w:bookmarkEnd w:id="60"/>
    </w:p>
    <w:p>
      <w:pPr>
        <w:pStyle w:val="Style16"/>
        <w:numPr>
          <w:ilvl w:val="0"/>
          <w:numId w:val="0"/>
        </w:numPr>
        <w:spacing w:lineRule="exact" w:line="600"/>
        <w:ind w:firstLine="640"/>
        <w:outlineLvl w:val="2"/>
        <w:rPr>
          <w:rFonts w:ascii="仿宋" w:hAnsi="仿宋" w:eastAsia="仿宋"/>
          <w:b/>
          <w:b/>
          <w:color w:val="000000"/>
          <w:sz w:val="32"/>
          <w:szCs w:val="32"/>
        </w:rPr>
      </w:pPr>
      <w:bookmarkStart w:id="61" w:name="_Toc15396610"/>
      <w:bookmarkStart w:id="62" w:name="_Toc32678"/>
      <w:bookmarkStart w:id="63" w:name="_Toc15377218"/>
      <w:bookmarkStart w:id="64" w:name="_Toc15377216"/>
      <w:r>
        <w:rPr>
          <w:rFonts w:ascii="仿宋" w:hAnsi="仿宋" w:eastAsia="仿宋"/>
          <w:b/>
          <w:color w:val="000000"/>
          <w:sz w:val="32"/>
          <w:szCs w:val="32"/>
        </w:rPr>
        <w:t>（一）“三公”经费财政拨款支出决算总体情况说明</w:t>
      </w:r>
      <w:bookmarkEnd w:id="64"/>
    </w:p>
    <w:p>
      <w:pPr>
        <w:pStyle w:val="Style16"/>
        <w:spacing w:lineRule="exact" w:line="600"/>
        <w:ind w:firstLine="640"/>
        <w:rPr>
          <w:rFonts w:ascii="仿宋" w:hAnsi="仿宋" w:eastAsia="仿宋"/>
          <w:b/>
          <w:b/>
          <w:color w:val="FF0000"/>
          <w:sz w:val="32"/>
          <w:szCs w:val="32"/>
        </w:rPr>
      </w:pPr>
      <w:r>
        <w:rPr>
          <w:rFonts w:eastAsia="仿宋" w:ascii="仿宋" w:hAnsi="仿宋"/>
          <w:color w:val="000000"/>
          <w:sz w:val="32"/>
          <w:szCs w:val="32"/>
        </w:rPr>
        <w:t>20</w:t>
      </w:r>
      <w:r>
        <w:rPr>
          <w:rFonts w:eastAsia="仿宋" w:ascii="仿宋" w:hAnsi="仿宋"/>
          <w:color w:val="000000"/>
          <w:sz w:val="32"/>
          <w:szCs w:val="32"/>
          <w:lang w:val="en-US" w:eastAsia="zh-CN"/>
        </w:rPr>
        <w:t>20</w:t>
      </w:r>
      <w:r>
        <w:rPr>
          <w:rFonts w:ascii="仿宋" w:hAnsi="仿宋" w:eastAsia="仿宋"/>
          <w:color w:val="000000"/>
          <w:sz w:val="32"/>
          <w:szCs w:val="32"/>
        </w:rPr>
        <w:t>年“三公”经费财政拨款支出决算为</w:t>
      </w:r>
      <w:r>
        <w:rPr>
          <w:rFonts w:eastAsia="仿宋" w:ascii="仿宋" w:hAnsi="仿宋"/>
          <w:color w:val="000000"/>
          <w:sz w:val="32"/>
          <w:szCs w:val="32"/>
          <w:lang w:val="en-US" w:eastAsia="zh-CN"/>
        </w:rPr>
        <w:t>0</w:t>
      </w:r>
      <w:r>
        <w:rPr>
          <w:rFonts w:ascii="仿宋" w:hAnsi="仿宋" w:eastAsia="仿宋"/>
          <w:color w:val="000000"/>
          <w:sz w:val="32"/>
          <w:szCs w:val="32"/>
        </w:rPr>
        <w:t>万元。</w:t>
      </w:r>
    </w:p>
    <w:p>
      <w:pPr>
        <w:pStyle w:val="Style16"/>
        <w:numPr>
          <w:ilvl w:val="0"/>
          <w:numId w:val="0"/>
        </w:numPr>
        <w:spacing w:lineRule="exact" w:line="600"/>
        <w:ind w:firstLine="640"/>
        <w:outlineLvl w:val="1"/>
        <w:rPr>
          <w:rStyle w:val="2Char"/>
          <w:rFonts w:ascii="黑体" w:hAnsi="黑体" w:eastAsia="黑体"/>
        </w:rPr>
      </w:pPr>
      <w:r>
        <w:rPr>
          <w:rFonts w:ascii="黑体" w:hAnsi="黑体" w:eastAsia="黑体"/>
          <w:color w:val="000000"/>
          <w:sz w:val="32"/>
          <w:szCs w:val="32"/>
        </w:rPr>
        <w:t>八、</w:t>
      </w:r>
      <w:r>
        <w:rPr>
          <w:rStyle w:val="2Char"/>
          <w:rFonts w:ascii="黑体" w:hAnsi="黑体" w:eastAsia="黑体"/>
          <w:b w:val="false"/>
        </w:rPr>
        <w:t>政府性基金预算支出决算情况说明</w:t>
      </w:r>
      <w:bookmarkEnd w:id="61"/>
      <w:bookmarkEnd w:id="62"/>
      <w:bookmarkEnd w:id="63"/>
    </w:p>
    <w:p>
      <w:pPr>
        <w:pStyle w:val="Style16"/>
        <w:spacing w:lineRule="exact" w:line="600"/>
        <w:ind w:firstLine="640"/>
        <w:rPr>
          <w:rFonts w:ascii="仿宋_GB2312" w:hAnsi="仿宋_GB2312" w:eastAsia="仿宋_GB2312"/>
          <w:color w:val="000000"/>
          <w:sz w:val="32"/>
          <w:szCs w:val="32"/>
        </w:rPr>
      </w:pPr>
      <w:r>
        <w:rPr>
          <w:rFonts w:eastAsia="仿宋_GB2312" w:ascii="仿宋_GB2312" w:hAnsi="仿宋_GB2312"/>
          <w:color w:val="000000"/>
          <w:sz w:val="32"/>
          <w:szCs w:val="32"/>
        </w:rPr>
        <w:t>20</w:t>
      </w:r>
      <w:r>
        <w:rPr>
          <w:rFonts w:eastAsia="仿宋_GB2312" w:ascii="仿宋_GB2312" w:hAnsi="仿宋_GB2312"/>
          <w:color w:val="000000"/>
          <w:sz w:val="32"/>
          <w:szCs w:val="32"/>
          <w:lang w:val="en-US" w:eastAsia="zh-CN"/>
        </w:rPr>
        <w:t>20</w:t>
      </w:r>
      <w:r>
        <w:rPr>
          <w:rFonts w:ascii="仿宋_GB2312" w:hAnsi="仿宋_GB2312" w:eastAsia="仿宋_GB2312"/>
          <w:color w:val="000000"/>
          <w:sz w:val="32"/>
          <w:szCs w:val="32"/>
        </w:rPr>
        <w:t>年政府性基金预算拨款支出</w:t>
      </w:r>
      <w:r>
        <w:rPr>
          <w:rFonts w:eastAsia="仿宋_GB2312" w:ascii="仿宋_GB2312" w:hAnsi="仿宋_GB2312"/>
          <w:color w:val="000000"/>
          <w:sz w:val="32"/>
          <w:szCs w:val="32"/>
          <w:lang w:val="en-US" w:eastAsia="zh-CN"/>
        </w:rPr>
        <w:t>165.39</w:t>
      </w:r>
      <w:r>
        <w:rPr>
          <w:rFonts w:ascii="仿宋_GB2312" w:hAnsi="仿宋_GB2312" w:eastAsia="仿宋_GB2312"/>
          <w:color w:val="000000"/>
          <w:sz w:val="32"/>
          <w:szCs w:val="32"/>
        </w:rPr>
        <w:t>万元。</w:t>
      </w:r>
    </w:p>
    <w:p>
      <w:pPr>
        <w:pStyle w:val="Style16"/>
        <w:numPr>
          <w:ilvl w:val="0"/>
          <w:numId w:val="3"/>
        </w:numPr>
        <w:spacing w:lineRule="exact" w:line="600"/>
        <w:ind w:firstLine="640"/>
        <w:outlineLvl w:val="1"/>
        <w:rPr>
          <w:rStyle w:val="2Char"/>
          <w:rFonts w:ascii="黑体" w:hAnsi="黑体" w:eastAsia="黑体"/>
          <w:b w:val="false"/>
          <w:b w:val="false"/>
        </w:rPr>
      </w:pPr>
      <w:bookmarkStart w:id="65" w:name="_Toc23716"/>
      <w:bookmarkStart w:id="66" w:name="_Toc15377219"/>
      <w:bookmarkStart w:id="67" w:name="_Toc15396611"/>
      <w:r>
        <w:rPr>
          <w:rStyle w:val="2Char"/>
          <w:rFonts w:ascii="黑体" w:hAnsi="黑体" w:eastAsia="黑体"/>
          <w:b w:val="false"/>
        </w:rPr>
        <w:t>国有资本经营预算支出决算情况说明</w:t>
      </w:r>
      <w:bookmarkEnd w:id="65"/>
      <w:bookmarkEnd w:id="66"/>
      <w:bookmarkEnd w:id="67"/>
    </w:p>
    <w:p>
      <w:pPr>
        <w:pStyle w:val="Style16"/>
        <w:spacing w:lineRule="exact" w:line="600"/>
        <w:ind w:firstLine="640"/>
        <w:rPr>
          <w:rFonts w:ascii="方正小标宋简体" w:hAnsi="方正小标宋简体" w:eastAsia="方正小标宋简体" w:cs="方正小标宋简体"/>
          <w:sz w:val="44"/>
          <w:szCs w:val="44"/>
        </w:rPr>
      </w:pPr>
      <w:r>
        <w:rPr>
          <w:rFonts w:eastAsia="仿宋_GB2312" w:ascii="仿宋_GB2312" w:hAnsi="仿宋_GB2312"/>
          <w:color w:val="000000"/>
          <w:sz w:val="32"/>
          <w:szCs w:val="32"/>
        </w:rPr>
        <w:t>20</w:t>
      </w:r>
      <w:r>
        <w:rPr>
          <w:rFonts w:eastAsia="仿宋_GB2312" w:ascii="仿宋_GB2312" w:hAnsi="仿宋_GB2312"/>
          <w:color w:val="000000"/>
          <w:sz w:val="32"/>
          <w:szCs w:val="32"/>
          <w:lang w:val="en-US" w:eastAsia="zh-CN"/>
        </w:rPr>
        <w:t>20</w:t>
      </w:r>
      <w:r>
        <w:rPr>
          <w:rFonts w:ascii="仿宋_GB2312" w:hAnsi="仿宋_GB2312" w:eastAsia="仿宋_GB2312"/>
          <w:color w:val="000000"/>
          <w:sz w:val="32"/>
          <w:szCs w:val="32"/>
        </w:rPr>
        <w:t>年国有资本经营预算拨款支出</w:t>
      </w:r>
      <w:r>
        <w:rPr>
          <w:rFonts w:eastAsia="仿宋_GB2312" w:ascii="仿宋_GB2312" w:hAnsi="仿宋_GB2312"/>
          <w:color w:val="000000"/>
          <w:sz w:val="32"/>
          <w:szCs w:val="32"/>
          <w:lang w:val="en-US" w:eastAsia="zh-CN"/>
        </w:rPr>
        <w:t>0</w:t>
      </w:r>
      <w:r>
        <w:rPr>
          <w:rFonts w:ascii="仿宋_GB2312" w:hAnsi="仿宋_GB2312" w:eastAsia="仿宋_GB2312"/>
          <w:color w:val="000000"/>
          <w:sz w:val="32"/>
          <w:szCs w:val="32"/>
        </w:rPr>
        <w:t>万元。</w:t>
      </w:r>
    </w:p>
    <w:p>
      <w:pPr>
        <w:pStyle w:val="Style16"/>
        <w:numPr>
          <w:ilvl w:val="0"/>
          <w:numId w:val="0"/>
        </w:numPr>
        <w:spacing w:lineRule="exact" w:line="600"/>
        <w:ind w:firstLineChars="250" w:firstLine="0"/>
        <w:outlineLvl w:val="1"/>
        <w:rPr>
          <w:rStyle w:val="2Char"/>
          <w:rFonts w:ascii="黑体" w:hAnsi="黑体" w:eastAsia="黑体"/>
        </w:rPr>
      </w:pPr>
      <w:bookmarkStart w:id="68" w:name="_Toc15396612"/>
      <w:bookmarkStart w:id="69" w:name="_Toc27993"/>
      <w:bookmarkStart w:id="70" w:name="_Toc15377221"/>
      <w:r>
        <w:rPr>
          <w:rFonts w:ascii="黑体" w:hAnsi="黑体" w:eastAsia="黑体"/>
          <w:color w:val="000000"/>
          <w:sz w:val="32"/>
          <w:szCs w:val="32"/>
        </w:rPr>
        <w:t>十</w:t>
      </w:r>
      <w:r>
        <w:rPr>
          <w:rStyle w:val="2Char"/>
          <w:rFonts w:ascii="黑体" w:hAnsi="黑体" w:eastAsia="黑体"/>
        </w:rPr>
        <w:t>、</w:t>
      </w:r>
      <w:r>
        <w:rPr>
          <w:rStyle w:val="2Char"/>
          <w:rFonts w:ascii="黑体" w:hAnsi="黑体" w:eastAsia="黑体"/>
          <w:b w:val="false"/>
        </w:rPr>
        <w:t>其他重要事项的情况说明</w:t>
      </w:r>
      <w:bookmarkEnd w:id="68"/>
      <w:bookmarkEnd w:id="69"/>
      <w:bookmarkEnd w:id="70"/>
    </w:p>
    <w:p>
      <w:pPr>
        <w:pStyle w:val="Style16"/>
        <w:numPr>
          <w:ilvl w:val="0"/>
          <w:numId w:val="0"/>
        </w:numPr>
        <w:spacing w:lineRule="exact" w:line="600"/>
        <w:ind w:firstLineChars="200" w:firstLine="0"/>
        <w:outlineLvl w:val="2"/>
        <w:rPr>
          <w:rFonts w:ascii="仿宋" w:hAnsi="仿宋" w:eastAsia="仿宋"/>
          <w:color w:val="000000"/>
          <w:sz w:val="32"/>
          <w:szCs w:val="32"/>
        </w:rPr>
      </w:pPr>
      <w:bookmarkStart w:id="71" w:name="_Toc15377222"/>
      <w:r>
        <w:rPr>
          <w:rFonts w:ascii="仿宋" w:hAnsi="仿宋" w:eastAsia="仿宋"/>
          <w:b/>
          <w:color w:val="000000"/>
          <w:sz w:val="32"/>
          <w:szCs w:val="32"/>
        </w:rPr>
        <w:t>（一）机关运行经费支出情况</w:t>
      </w:r>
      <w:bookmarkEnd w:id="71"/>
    </w:p>
    <w:p>
      <w:pPr>
        <w:pStyle w:val="Style16"/>
        <w:numPr>
          <w:ilvl w:val="0"/>
          <w:numId w:val="0"/>
        </w:numPr>
        <w:autoSpaceDE w:val="0"/>
        <w:autoSpaceDN w:val="0"/>
        <w:spacing w:lineRule="exact" w:line="600"/>
        <w:ind w:firstLineChars="400" w:firstLine="0"/>
        <w:jc w:val="left"/>
        <w:outlineLvl w:val="2"/>
        <w:rPr>
          <w:rFonts w:ascii="仿宋_GB2312" w:hAnsi="仿宋_GB2312" w:eastAsia="仿宋_GB2312"/>
          <w:color w:val="000000"/>
          <w:sz w:val="32"/>
          <w:szCs w:val="32"/>
          <w:lang w:val="en-US" w:eastAsia="zh-CN"/>
        </w:rPr>
      </w:pPr>
      <w:bookmarkStart w:id="72" w:name="_Toc15377223"/>
      <w:r>
        <w:rPr>
          <w:rFonts w:ascii="仿宋_GB2312" w:hAnsi="仿宋_GB2312" w:eastAsia="仿宋_GB2312"/>
          <w:color w:val="000000"/>
          <w:sz w:val="32"/>
          <w:szCs w:val="32"/>
          <w:lang w:val="en-US" w:eastAsia="zh-CN"/>
        </w:rPr>
        <w:t>无</w:t>
      </w:r>
    </w:p>
    <w:p>
      <w:pPr>
        <w:pStyle w:val="Style16"/>
        <w:numPr>
          <w:ilvl w:val="0"/>
          <w:numId w:val="4"/>
        </w:numPr>
        <w:autoSpaceDE w:val="0"/>
        <w:autoSpaceDN w:val="0"/>
        <w:spacing w:lineRule="exact" w:line="600"/>
        <w:ind w:firstLineChars="200" w:firstLine="0"/>
        <w:jc w:val="left"/>
        <w:outlineLvl w:val="2"/>
        <w:rPr>
          <w:rFonts w:ascii="仿宋" w:hAnsi="仿宋" w:eastAsia="仿宋"/>
          <w:b/>
          <w:b/>
          <w:color w:val="000000"/>
          <w:sz w:val="32"/>
          <w:szCs w:val="32"/>
        </w:rPr>
      </w:pPr>
      <w:bookmarkStart w:id="73" w:name="_Toc15377223"/>
      <w:r>
        <w:rPr>
          <w:rFonts w:ascii="仿宋" w:hAnsi="仿宋" w:eastAsia="仿宋"/>
          <w:b/>
          <w:color w:val="000000"/>
          <w:sz w:val="32"/>
          <w:szCs w:val="32"/>
        </w:rPr>
        <w:t>政府采购支出情况</w:t>
      </w:r>
      <w:bookmarkEnd w:id="73"/>
    </w:p>
    <w:p>
      <w:pPr>
        <w:pStyle w:val="Style16"/>
        <w:numPr>
          <w:ilvl w:val="0"/>
          <w:numId w:val="0"/>
        </w:numPr>
        <w:autoSpaceDE w:val="0"/>
        <w:autoSpaceDN w:val="0"/>
        <w:spacing w:lineRule="exact" w:line="600"/>
        <w:ind/>
        <w:jc w:val="left"/>
        <w:outlineLvl w:val="2"/>
        <w:rPr>
          <w:rFonts w:ascii="仿宋" w:hAnsi="仿宋" w:eastAsia="仿宋"/>
          <w:b/>
          <w:b/>
          <w:color w:val="000000"/>
          <w:sz w:val="32"/>
          <w:szCs w:val="32"/>
          <w:lang w:val="en-US" w:eastAsia="zh-CN"/>
        </w:rPr>
      </w:pPr>
      <w:r>
        <w:rPr>
          <w:rFonts w:ascii="仿宋" w:hAnsi="仿宋" w:eastAsia="仿宋"/>
          <w:b/>
          <w:color w:val="000000"/>
          <w:sz w:val="32"/>
          <w:szCs w:val="32"/>
          <w:lang w:val="en-US" w:eastAsia="zh-CN"/>
        </w:rPr>
        <w:t xml:space="preserve">        </w:t>
      </w:r>
      <w:r>
        <w:rPr>
          <w:rFonts w:ascii="仿宋" w:hAnsi="仿宋" w:eastAsia="仿宋"/>
          <w:b/>
          <w:color w:val="000000"/>
          <w:sz w:val="32"/>
          <w:szCs w:val="32"/>
          <w:lang w:val="en-US" w:eastAsia="zh-CN"/>
        </w:rPr>
        <w:t>无</w:t>
      </w:r>
    </w:p>
    <w:p>
      <w:pPr>
        <w:pStyle w:val="Style16"/>
        <w:numPr>
          <w:ilvl w:val="0"/>
          <w:numId w:val="4"/>
        </w:numPr>
        <w:autoSpaceDE w:val="0"/>
        <w:autoSpaceDN w:val="0"/>
        <w:spacing w:lineRule="exact" w:line="600"/>
        <w:ind w:firstLineChars="200" w:firstLine="0"/>
        <w:jc w:val="left"/>
        <w:outlineLvl w:val="2"/>
        <w:rPr>
          <w:rFonts w:ascii="仿宋" w:hAnsi="仿宋" w:eastAsia="仿宋"/>
          <w:b/>
          <w:b/>
          <w:color w:val="000000"/>
          <w:sz w:val="32"/>
          <w:szCs w:val="32"/>
        </w:rPr>
      </w:pPr>
      <w:bookmarkStart w:id="74" w:name="_Toc15377224"/>
      <w:r>
        <w:rPr>
          <w:rFonts w:ascii="仿宋" w:hAnsi="仿宋" w:eastAsia="仿宋"/>
          <w:b/>
          <w:color w:val="000000"/>
          <w:sz w:val="32"/>
          <w:szCs w:val="32"/>
        </w:rPr>
        <w:t>国有资产占有使用情况</w:t>
      </w:r>
      <w:bookmarkEnd w:id="74"/>
    </w:p>
    <w:p>
      <w:pPr>
        <w:pStyle w:val="Style16"/>
        <w:numPr>
          <w:ilvl w:val="0"/>
          <w:numId w:val="0"/>
        </w:numPr>
        <w:autoSpaceDE w:val="0"/>
        <w:autoSpaceDN w:val="0"/>
        <w:spacing w:lineRule="exact" w:line="600"/>
        <w:ind/>
        <w:jc w:val="left"/>
        <w:outlineLvl w:val="2"/>
        <w:rPr>
          <w:rFonts w:ascii="仿宋" w:hAnsi="仿宋" w:eastAsia="仿宋"/>
          <w:b/>
          <w:b/>
          <w:color w:val="000000"/>
          <w:sz w:val="32"/>
          <w:szCs w:val="32"/>
          <w:lang w:val="en-US" w:eastAsia="zh-CN"/>
        </w:rPr>
      </w:pPr>
      <w:r>
        <w:rPr>
          <w:rFonts w:ascii="仿宋" w:hAnsi="仿宋" w:eastAsia="仿宋"/>
          <w:b/>
          <w:color w:val="000000"/>
          <w:sz w:val="32"/>
          <w:szCs w:val="32"/>
          <w:lang w:val="en-US" w:eastAsia="zh-CN"/>
        </w:rPr>
        <w:t xml:space="preserve">      </w:t>
      </w:r>
      <w:r>
        <w:rPr>
          <w:rFonts w:ascii="仿宋" w:hAnsi="仿宋" w:eastAsia="仿宋"/>
          <w:b/>
          <w:color w:val="000000"/>
          <w:sz w:val="32"/>
          <w:szCs w:val="32"/>
          <w:lang w:val="en-US" w:eastAsia="zh-CN"/>
        </w:rPr>
        <w:t>无</w:t>
      </w:r>
    </w:p>
    <w:p>
      <w:pPr>
        <w:pStyle w:val="Style16"/>
        <w:numPr>
          <w:ilvl w:val="0"/>
          <w:numId w:val="0"/>
        </w:numPr>
        <w:autoSpaceDE w:val="0"/>
        <w:autoSpaceDN w:val="0"/>
        <w:spacing w:lineRule="exact" w:line="600"/>
        <w:ind w:firstLineChars="200" w:firstLine="0"/>
        <w:jc w:val="left"/>
        <w:outlineLvl w:val="2"/>
        <w:rPr>
          <w:rFonts w:ascii="仿宋" w:hAnsi="仿宋" w:eastAsia="仿宋"/>
          <w:b/>
          <w:b/>
          <w:color w:val="000000"/>
          <w:sz w:val="32"/>
          <w:szCs w:val="32"/>
        </w:rPr>
      </w:pPr>
      <w:r>
        <w:rPr>
          <w:rFonts w:ascii="仿宋" w:hAnsi="仿宋" w:eastAsia="仿宋"/>
          <w:b/>
          <w:color w:val="000000"/>
          <w:sz w:val="32"/>
          <w:szCs w:val="32"/>
        </w:rPr>
        <w:t>（四）预算绩效管理情况。</w:t>
      </w:r>
    </w:p>
    <w:p>
      <w:pPr>
        <w:pStyle w:val="Style16"/>
        <w:spacing w:lineRule="exact" w:line="580"/>
        <w:ind w:firstLineChars="200" w:firstLine="0"/>
        <w:rPr>
          <w:rFonts w:ascii="仿宋_GB2312" w:hAnsi="仿宋_GB2312" w:eastAsia="仿宋_GB2312" w:cs="仿宋_GB2312"/>
          <w:sz w:val="32"/>
          <w:szCs w:val="32"/>
        </w:rPr>
      </w:pPr>
      <w:r>
        <w:rPr>
          <w:rFonts w:ascii="仿宋_GB2312" w:hAnsi="仿宋_GB2312" w:cs="仿宋_GB2312" w:eastAsia="仿宋_GB2312"/>
          <w:sz w:val="32"/>
          <w:szCs w:val="32"/>
        </w:rPr>
        <w:t>根据预算绩效管理要求，本部门（单位）在年初预算编制阶段，组织对</w:t>
      </w:r>
      <w:r>
        <w:rPr>
          <w:rFonts w:ascii="仿宋_GB2312" w:hAnsi="仿宋_GB2312" w:cs="仿宋_GB2312" w:eastAsia="仿宋_GB2312"/>
          <w:sz w:val="32"/>
          <w:szCs w:val="32"/>
          <w:lang w:val="en-US" w:eastAsia="zh-CN"/>
        </w:rPr>
        <w:t>规委会专家评审</w:t>
      </w:r>
      <w:r>
        <w:rPr>
          <w:rFonts w:ascii="仿宋_GB2312" w:hAnsi="仿宋_GB2312" w:cs="仿宋_GB2312" w:eastAsia="仿宋_GB2312"/>
          <w:sz w:val="32"/>
          <w:szCs w:val="32"/>
        </w:rPr>
        <w:t>项目（项目名称）开展了预算事前绩效评估，对</w:t>
      </w:r>
      <w:r>
        <w:rPr>
          <w:rFonts w:eastAsia="仿宋_GB2312" w:cs="仿宋_GB2312" w:ascii="仿宋_GB2312" w:hAnsi="仿宋_GB2312"/>
          <w:sz w:val="32"/>
          <w:szCs w:val="32"/>
          <w:lang w:val="en-US" w:eastAsia="zh-CN"/>
        </w:rPr>
        <w:t>1</w:t>
      </w:r>
      <w:r>
        <w:rPr>
          <w:rFonts w:ascii="仿宋_GB2312" w:hAnsi="仿宋_GB2312" w:cs="仿宋_GB2312" w:eastAsia="仿宋_GB2312"/>
          <w:sz w:val="32"/>
          <w:szCs w:val="32"/>
        </w:rPr>
        <w:t>个项目编制了绩效目标，预算执行过程中，选取</w:t>
      </w:r>
      <w:r>
        <w:rPr>
          <w:rFonts w:eastAsia="仿宋_GB2312" w:cs="仿宋_GB2312" w:ascii="仿宋_GB2312" w:hAnsi="仿宋_GB2312"/>
          <w:sz w:val="32"/>
          <w:szCs w:val="32"/>
          <w:lang w:val="en-US" w:eastAsia="zh-CN"/>
        </w:rPr>
        <w:t>1</w:t>
      </w:r>
      <w:r>
        <w:rPr>
          <w:rFonts w:ascii="仿宋_GB2312" w:hAnsi="仿宋_GB2312" w:cs="仿宋_GB2312" w:eastAsia="仿宋_GB2312"/>
          <w:sz w:val="32"/>
          <w:szCs w:val="32"/>
        </w:rPr>
        <w:t>个项目开展绩效监控，年终执行完毕后，对</w:t>
      </w:r>
      <w:r>
        <w:rPr>
          <w:rFonts w:eastAsia="仿宋_GB2312" w:cs="仿宋_GB2312" w:ascii="仿宋_GB2312" w:hAnsi="仿宋_GB2312"/>
          <w:sz w:val="32"/>
          <w:szCs w:val="32"/>
          <w:lang w:val="en-US" w:eastAsia="zh-CN"/>
        </w:rPr>
        <w:t>1</w:t>
      </w:r>
      <w:r>
        <w:rPr>
          <w:rFonts w:ascii="仿宋_GB2312" w:hAnsi="仿宋_GB2312" w:cs="仿宋_GB2312" w:eastAsia="仿宋_GB2312"/>
          <w:sz w:val="32"/>
          <w:szCs w:val="32"/>
        </w:rPr>
        <w:t>个项目开展了绩效目标完成情况自评。</w:t>
      </w:r>
    </w:p>
    <w:p>
      <w:pPr>
        <w:pStyle w:val="Style16"/>
        <w:spacing w:lineRule="exact" w:line="580"/>
        <w:ind w:firstLineChars="200" w:firstLine="0"/>
        <w:rPr>
          <w:rFonts w:ascii="仿宋" w:hAnsi="仿宋" w:eastAsia="仿宋" w:cs="仿宋"/>
          <w:sz w:val="32"/>
          <w:szCs w:val="32"/>
        </w:rPr>
      </w:pPr>
      <w:r>
        <w:rPr>
          <w:rFonts w:ascii="仿宋_GB2312" w:hAnsi="仿宋_GB2312" w:cs="仿宋_GB2312" w:eastAsia="仿宋_GB2312"/>
          <w:sz w:val="32"/>
          <w:szCs w:val="32"/>
        </w:rPr>
        <w:t>本部门按要求对</w:t>
      </w:r>
      <w:r>
        <w:rPr>
          <w:rFonts w:eastAsia="仿宋_GB2312" w:cs="仿宋_GB2312" w:ascii="仿宋_GB2312" w:hAnsi="仿宋_GB2312"/>
          <w:sz w:val="32"/>
          <w:szCs w:val="32"/>
        </w:rPr>
        <w:t>20</w:t>
      </w:r>
      <w:r>
        <w:rPr>
          <w:rFonts w:eastAsia="仿宋_GB2312" w:cs="仿宋_GB2312" w:ascii="仿宋_GB2312" w:hAnsi="仿宋_GB2312"/>
          <w:sz w:val="32"/>
          <w:szCs w:val="32"/>
          <w:lang w:val="en-US" w:eastAsia="zh-CN"/>
        </w:rPr>
        <w:t>20</w:t>
      </w:r>
      <w:r>
        <w:rPr>
          <w:rFonts w:ascii="仿宋_GB2312" w:hAnsi="仿宋_GB2312" w:cs="仿宋_GB2312" w:eastAsia="仿宋_GB2312"/>
          <w:sz w:val="32"/>
          <w:szCs w:val="32"/>
        </w:rPr>
        <w:t>年部门整体支出开展绩效自评，从评价情况来看本部门还自行组织了</w:t>
      </w:r>
      <w:r>
        <w:rPr>
          <w:rFonts w:ascii="仿宋" w:hAnsi="仿宋" w:cs="仿宋" w:eastAsia="仿宋"/>
          <w:sz w:val="32"/>
          <w:szCs w:val="32"/>
        </w:rPr>
        <w:t>本部门按绩效考核要求及时布置项目部门对自己的项目进行自评，对项目逐一进行情况核实，确保自评结果的真实、有效。各部门积极配合，共同按时完成了自评工作。本部门还自行组织了</w:t>
      </w:r>
      <w:r>
        <w:rPr>
          <w:rFonts w:eastAsia="仿宋" w:cs="仿宋" w:ascii="仿宋" w:hAnsi="仿宋"/>
          <w:sz w:val="32"/>
          <w:szCs w:val="32"/>
        </w:rPr>
        <w:t>1</w:t>
      </w:r>
      <w:r>
        <w:rPr>
          <w:rFonts w:ascii="仿宋" w:hAnsi="仿宋" w:cs="仿宋" w:eastAsia="仿宋"/>
          <w:sz w:val="32"/>
          <w:szCs w:val="32"/>
        </w:rPr>
        <w:t>个项目支出绩效评价，从评价情况来看本部门在专项资金的使用上，能够管控风险，合规使用，专款专用，无违规挪作他用。</w:t>
      </w:r>
    </w:p>
    <w:p>
      <w:pPr>
        <w:pStyle w:val="Style16"/>
        <w:spacing w:lineRule="exact" w:line="580"/>
        <w:ind w:firstLineChars="200" w:firstLine="0"/>
        <w:rPr>
          <w:rFonts w:ascii="仿宋_GB2312" w:hAnsi="仿宋_GB2312" w:eastAsia="仿宋_GB2312" w:cs="仿宋_GB2312"/>
          <w:sz w:val="32"/>
          <w:szCs w:val="32"/>
        </w:rPr>
      </w:pPr>
      <w:r>
        <w:rPr>
          <w:rFonts w:eastAsia="楷体_GB2312" w:cs="楷体_GB2312" w:ascii="楷体_GB2312" w:hAnsi="楷体_GB2312"/>
          <w:sz w:val="32"/>
          <w:szCs w:val="32"/>
        </w:rPr>
        <w:t>1.</w:t>
      </w:r>
      <w:r>
        <w:rPr>
          <w:rFonts w:ascii="楷体_GB2312" w:hAnsi="楷体_GB2312" w:cs="楷体_GB2312" w:eastAsia="楷体_GB2312"/>
          <w:sz w:val="32"/>
          <w:szCs w:val="32"/>
        </w:rPr>
        <w:t>项目绩效目标完成情况。</w:t>
      </w:r>
      <w:r>
        <w:rPr>
          <w:rFonts w:eastAsia="楷体_GB2312" w:cs="楷体_GB2312" w:ascii="楷体_GB2312" w:hAnsi="楷体_GB2312"/>
          <w:sz w:val="32"/>
          <w:szCs w:val="32"/>
        </w:rPr>
        <w:br/>
      </w:r>
      <w:r>
        <w:rPr>
          <w:rFonts w:eastAsia="仿宋_GB2312" w:cs="仿宋_GB2312" w:ascii="仿宋_GB2312" w:hAnsi="仿宋_GB2312"/>
          <w:sz w:val="32"/>
          <w:szCs w:val="32"/>
        </w:rPr>
        <w:t xml:space="preserve">    </w:t>
      </w:r>
      <w:r>
        <w:rPr>
          <w:rFonts w:ascii="仿宋_GB2312" w:hAnsi="仿宋_GB2312" w:cs="仿宋_GB2312" w:eastAsia="仿宋_GB2312"/>
          <w:sz w:val="32"/>
          <w:szCs w:val="32"/>
        </w:rPr>
        <w:t>本部门在</w:t>
      </w:r>
      <w:r>
        <w:rPr>
          <w:rFonts w:eastAsia="仿宋_GB2312" w:cs="仿宋_GB2312" w:ascii="仿宋_GB2312" w:hAnsi="仿宋_GB2312"/>
          <w:sz w:val="32"/>
          <w:szCs w:val="32"/>
        </w:rPr>
        <w:t>20</w:t>
      </w:r>
      <w:r>
        <w:rPr>
          <w:rFonts w:eastAsia="仿宋_GB2312" w:cs="仿宋_GB2312" w:ascii="仿宋_GB2312" w:hAnsi="仿宋_GB2312"/>
          <w:sz w:val="32"/>
          <w:szCs w:val="32"/>
          <w:lang w:val="en-US" w:eastAsia="zh-CN"/>
        </w:rPr>
        <w:t>20</w:t>
      </w:r>
      <w:r>
        <w:rPr>
          <w:rFonts w:ascii="仿宋_GB2312" w:hAnsi="仿宋_GB2312" w:cs="仿宋_GB2312" w:eastAsia="仿宋_GB2312"/>
          <w:sz w:val="32"/>
          <w:szCs w:val="32"/>
        </w:rPr>
        <w:t>年度部门决算中反映</w:t>
      </w:r>
      <w:r>
        <w:rPr>
          <w:rFonts w:ascii="仿宋_GB2312" w:hAnsi="仿宋_GB2312" w:cs="仿宋_GB2312" w:eastAsia="仿宋_GB2312"/>
          <w:sz w:val="32"/>
          <w:szCs w:val="32"/>
          <w:lang w:val="en-US" w:eastAsia="zh-CN"/>
        </w:rPr>
        <w:t>规委会专家评审</w:t>
      </w:r>
      <w:r>
        <w:rPr>
          <w:rFonts w:ascii="仿宋_GB2312" w:hAnsi="仿宋_GB2312" w:cs="仿宋_GB2312" w:eastAsia="仿宋_GB2312"/>
          <w:sz w:val="32"/>
          <w:szCs w:val="32"/>
        </w:rPr>
        <w:t>项目绩效目标实际完成情况。（本单位部门项目绩效目标个数在</w:t>
      </w:r>
      <w:r>
        <w:rPr>
          <w:rFonts w:eastAsia="仿宋_GB2312" w:cs="仿宋_GB2312" w:ascii="仿宋_GB2312" w:hAnsi="仿宋_GB2312"/>
          <w:sz w:val="32"/>
          <w:szCs w:val="32"/>
        </w:rPr>
        <w:t>5</w:t>
      </w:r>
      <w:r>
        <w:rPr>
          <w:rFonts w:ascii="仿宋_GB2312" w:hAnsi="仿宋_GB2312" w:cs="仿宋_GB2312" w:eastAsia="仿宋_GB2312"/>
          <w:sz w:val="32"/>
          <w:szCs w:val="32"/>
        </w:rPr>
        <w:t>个以上的，选取</w:t>
      </w:r>
      <w:r>
        <w:rPr>
          <w:rFonts w:eastAsia="仿宋_GB2312" w:cs="仿宋_GB2312" w:ascii="仿宋_GB2312" w:hAnsi="仿宋_GB2312"/>
          <w:sz w:val="32"/>
          <w:szCs w:val="32"/>
        </w:rPr>
        <w:t>5</w:t>
      </w:r>
      <w:r>
        <w:rPr>
          <w:rFonts w:ascii="仿宋_GB2312" w:hAnsi="仿宋_GB2312" w:cs="仿宋_GB2312" w:eastAsia="仿宋_GB2312"/>
          <w:sz w:val="32"/>
          <w:szCs w:val="32"/>
        </w:rPr>
        <w:t>个项目进行公开，目标个数在</w:t>
      </w:r>
      <w:r>
        <w:rPr>
          <w:rFonts w:eastAsia="仿宋_GB2312" w:cs="仿宋_GB2312" w:ascii="仿宋_GB2312" w:hAnsi="仿宋_GB2312"/>
          <w:sz w:val="32"/>
          <w:szCs w:val="32"/>
        </w:rPr>
        <w:t>5</w:t>
      </w:r>
      <w:r>
        <w:rPr>
          <w:rFonts w:ascii="仿宋_GB2312" w:hAnsi="仿宋_GB2312" w:cs="仿宋_GB2312" w:eastAsia="仿宋_GB2312"/>
          <w:sz w:val="32"/>
          <w:szCs w:val="32"/>
        </w:rPr>
        <w:t>个以下的，全部进行公开，公开内容包括选取的全部项目完成情况综述和完成情况表）。</w:t>
      </w:r>
    </w:p>
    <w:p>
      <w:pPr>
        <w:pStyle w:val="Style16"/>
        <w:spacing w:lineRule="exact" w:line="580"/>
        <w:ind w:firstLineChars="200" w:firstLine="0"/>
        <w:rPr>
          <w:rFonts w:ascii="仿宋_GB2312" w:hAnsi="仿宋_GB2312" w:eastAsia="仿宋_GB2312" w:cs="仿宋_GB2312"/>
          <w:sz w:val="32"/>
          <w:szCs w:val="32"/>
        </w:rPr>
      </w:pPr>
      <w:r>
        <w:rPr>
          <w:rFonts w:ascii="仿宋_GB2312" w:hAnsi="仿宋_GB2312" w:cs="仿宋_GB2312" w:eastAsia="仿宋_GB2312"/>
          <w:sz w:val="32"/>
          <w:szCs w:val="32"/>
        </w:rPr>
        <w:t>（</w:t>
      </w:r>
      <w:r>
        <w:rPr>
          <w:rFonts w:eastAsia="仿宋_GB2312" w:cs="仿宋_GB2312" w:ascii="仿宋_GB2312" w:hAnsi="仿宋_GB2312"/>
          <w:sz w:val="32"/>
          <w:szCs w:val="32"/>
          <w:lang w:val="en-US" w:eastAsia="zh-CN"/>
        </w:rPr>
        <w:t>1</w:t>
      </w:r>
      <w:r>
        <w:rPr>
          <w:rFonts w:ascii="仿宋_GB2312" w:hAnsi="仿宋_GB2312" w:cs="仿宋_GB2312" w:eastAsia="仿宋_GB2312"/>
          <w:sz w:val="32"/>
          <w:szCs w:val="32"/>
        </w:rPr>
        <w:t>）</w:t>
      </w:r>
      <w:r>
        <w:rPr>
          <w:rFonts w:ascii="仿宋_GB2312" w:hAnsi="仿宋_GB2312" w:cs="仿宋_GB2312" w:eastAsia="仿宋_GB2312"/>
          <w:sz w:val="32"/>
          <w:szCs w:val="32"/>
          <w:lang w:val="en-US" w:eastAsia="zh-CN"/>
        </w:rPr>
        <w:t>规委会专家评审</w:t>
      </w:r>
      <w:r>
        <w:rPr>
          <w:rFonts w:ascii="仿宋_GB2312" w:hAnsi="仿宋_GB2312" w:cs="仿宋_GB2312" w:eastAsia="仿宋_GB2312"/>
          <w:sz w:val="32"/>
          <w:szCs w:val="32"/>
        </w:rPr>
        <w:t>项目绩效目标完成情况综述。项目全年预算数</w:t>
      </w:r>
      <w:r>
        <w:rPr>
          <w:rFonts w:eastAsia="仿宋_GB2312" w:cs="仿宋_GB2312" w:ascii="仿宋_GB2312" w:hAnsi="仿宋_GB2312"/>
          <w:sz w:val="32"/>
          <w:szCs w:val="32"/>
          <w:lang w:val="en-US" w:eastAsia="zh-CN"/>
        </w:rPr>
        <w:t>10</w:t>
      </w:r>
      <w:r>
        <w:rPr>
          <w:rFonts w:ascii="仿宋_GB2312" w:hAnsi="仿宋_GB2312" w:cs="仿宋_GB2312" w:eastAsia="仿宋_GB2312"/>
          <w:sz w:val="32"/>
          <w:szCs w:val="32"/>
        </w:rPr>
        <w:t>万元，执行数为</w:t>
      </w:r>
      <w:r>
        <w:rPr>
          <w:rFonts w:eastAsia="仿宋_GB2312" w:cs="仿宋_GB2312" w:ascii="仿宋_GB2312" w:hAnsi="仿宋_GB2312"/>
          <w:sz w:val="32"/>
          <w:szCs w:val="32"/>
          <w:lang w:val="en-US" w:eastAsia="zh-CN"/>
        </w:rPr>
        <w:t>10</w:t>
      </w:r>
      <w:r>
        <w:rPr>
          <w:rFonts w:ascii="仿宋_GB2312" w:hAnsi="仿宋_GB2312" w:cs="仿宋_GB2312" w:eastAsia="仿宋_GB2312"/>
          <w:sz w:val="32"/>
          <w:szCs w:val="32"/>
        </w:rPr>
        <w:t>万元，完成预算的</w:t>
      </w:r>
      <w:r>
        <w:rPr>
          <w:rFonts w:eastAsia="仿宋_GB2312" w:cs="仿宋_GB2312" w:ascii="仿宋_GB2312" w:hAnsi="仿宋_GB2312"/>
          <w:sz w:val="32"/>
          <w:szCs w:val="32"/>
          <w:lang w:val="en-US" w:eastAsia="zh-CN"/>
        </w:rPr>
        <w:t>100</w:t>
      </w:r>
      <w:r>
        <w:rPr>
          <w:rFonts w:eastAsia="仿宋_GB2312" w:cs="仿宋_GB2312" w:ascii="仿宋_GB2312" w:hAnsi="仿宋_GB2312"/>
          <w:sz w:val="32"/>
          <w:szCs w:val="32"/>
        </w:rPr>
        <w:t>%</w:t>
      </w:r>
      <w:r>
        <w:rPr>
          <w:rFonts w:ascii="仿宋_GB2312" w:hAnsi="仿宋_GB2312" w:cs="仿宋_GB2312" w:eastAsia="仿宋_GB2312"/>
          <w:sz w:val="32"/>
          <w:szCs w:val="32"/>
        </w:rPr>
        <w:t>。通过项目实施，保障</w:t>
      </w:r>
      <w:r>
        <w:rPr>
          <w:rFonts w:ascii="仿宋_GB2312" w:hAnsi="仿宋_GB2312" w:cs="仿宋_GB2312" w:eastAsia="仿宋_GB2312"/>
          <w:sz w:val="32"/>
          <w:szCs w:val="32"/>
          <w:lang w:val="en-US" w:eastAsia="zh-CN"/>
        </w:rPr>
        <w:t>了全区规划方案设计的质量</w:t>
      </w:r>
      <w:r>
        <w:rPr>
          <w:rFonts w:ascii="仿宋_GB2312" w:hAnsi="仿宋_GB2312" w:cs="仿宋_GB2312" w:eastAsia="仿宋_GB2312"/>
          <w:sz w:val="32"/>
          <w:szCs w:val="32"/>
        </w:rPr>
        <w:t>，发现的主要问题：项目进行的部分流程还需改进。下一步改进措施：加强专项资金的监管，提高专项资金使用后带来的效益，加强部门沟通使得工作流程效率增加。</w:t>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tbl>
      <w:tblPr>
        <w:tblStyle w:val="12"/>
        <w:tblpPr w:bottomFromText="0" w:horzAnchor="page" w:leftFromText="180" w:rightFromText="180" w:tblpX="0" w:tblpXSpec="center" w:tblpY="423" w:topFromText="0" w:vertAnchor="text"/>
        <w:tblW w:w="9960" w:type="dxa"/>
        <w:jc w:val="center"/>
        <w:tblInd w:w="0" w:type="dxa"/>
        <w:tblLayout w:type="fixed"/>
        <w:tblCellMar>
          <w:top w:w="15" w:type="dxa"/>
          <w:left w:w="15" w:type="dxa"/>
          <w:bottom w:w="0" w:type="dxa"/>
          <w:right w:w="15" w:type="dxa"/>
        </w:tblCellMar>
      </w:tblPr>
      <w:tblGrid>
        <w:gridCol w:w="390"/>
        <w:gridCol w:w="1366"/>
        <w:gridCol w:w="1025"/>
        <w:gridCol w:w="2393"/>
        <w:gridCol w:w="2393"/>
        <w:gridCol w:w="2392"/>
      </w:tblGrid>
      <w:tr>
        <w:trPr>
          <w:trHeight w:val="1034" w:hRule="atLeast"/>
        </w:trPr>
        <w:tc>
          <w:tcPr>
            <w:tcW w:w="9959" w:type="dxa"/>
            <w:gridSpan w:val="6"/>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36"/>
                <w:szCs w:val="36"/>
              </w:rPr>
            </w:pPr>
            <w:r>
              <w:rPr>
                <w:rFonts w:ascii="宋体" w:hAnsi="宋体" w:cs="宋体"/>
                <w:b/>
                <w:bCs/>
                <w:color w:val="000000"/>
                <w:kern w:val="0"/>
                <w:sz w:val="36"/>
                <w:szCs w:val="36"/>
              </w:rPr>
              <w:t>项目绩效目标完成情况表</w:t>
            </w:r>
            <w:r>
              <w:rPr>
                <w:rFonts w:cs="宋体" w:ascii="宋体" w:hAnsi="宋体"/>
                <w:b/>
                <w:bCs/>
                <w:color w:val="000000"/>
                <w:kern w:val="0"/>
                <w:sz w:val="36"/>
                <w:szCs w:val="36"/>
              </w:rPr>
              <w:br/>
            </w:r>
            <w:r>
              <w:rPr>
                <w:rFonts w:cs="宋体" w:ascii="宋体" w:hAnsi="宋体"/>
                <w:color w:val="000000"/>
                <w:kern w:val="0"/>
                <w:sz w:val="36"/>
                <w:szCs w:val="36"/>
              </w:rPr>
              <w:t>(20</w:t>
            </w:r>
            <w:r>
              <w:rPr>
                <w:rFonts w:cs="宋体" w:ascii="宋体" w:hAnsi="宋体"/>
                <w:color w:val="000000"/>
                <w:kern w:val="0"/>
                <w:sz w:val="36"/>
                <w:szCs w:val="36"/>
                <w:lang w:val="en-US" w:eastAsia="zh-CN"/>
              </w:rPr>
              <w:t>20</w:t>
            </w:r>
            <w:r>
              <w:rPr>
                <w:rFonts w:cs="宋体" w:ascii="宋体" w:hAnsi="宋体"/>
                <w:color w:val="000000"/>
                <w:kern w:val="0"/>
                <w:sz w:val="36"/>
                <w:szCs w:val="36"/>
              </w:rPr>
              <w:t xml:space="preserve"> </w:t>
            </w:r>
            <w:r>
              <w:rPr>
                <w:rFonts w:ascii="宋体" w:hAnsi="宋体" w:cs="宋体"/>
                <w:color w:val="000000"/>
                <w:kern w:val="0"/>
                <w:sz w:val="36"/>
                <w:szCs w:val="36"/>
              </w:rPr>
              <w:t>年度</w:t>
            </w:r>
            <w:r>
              <w:rPr>
                <w:rFonts w:cs="宋体" w:ascii="宋体" w:hAnsi="宋体"/>
                <w:color w:val="000000"/>
                <w:kern w:val="0"/>
                <w:sz w:val="36"/>
                <w:szCs w:val="36"/>
              </w:rPr>
              <w:t>)</w:t>
            </w:r>
          </w:p>
        </w:tc>
      </w:tr>
      <w:tr>
        <w:trPr>
          <w:trHeight w:val="276" w:hRule="atLeast"/>
        </w:trPr>
        <w:tc>
          <w:tcPr>
            <w:tcW w:w="2781" w:type="dxa"/>
            <w:gridSpan w:val="3"/>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项目名称</w:t>
            </w:r>
          </w:p>
        </w:tc>
        <w:tc>
          <w:tcPr>
            <w:tcW w:w="7178" w:type="dxa"/>
            <w:gridSpan w:val="3"/>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规委会专家评审</w:t>
            </w:r>
          </w:p>
        </w:tc>
      </w:tr>
      <w:tr>
        <w:trPr>
          <w:trHeight w:val="276" w:hRule="atLeast"/>
        </w:trPr>
        <w:tc>
          <w:tcPr>
            <w:tcW w:w="2781" w:type="dxa"/>
            <w:gridSpan w:val="3"/>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预算单位</w:t>
            </w:r>
          </w:p>
        </w:tc>
        <w:tc>
          <w:tcPr>
            <w:tcW w:w="7178" w:type="dxa"/>
            <w:gridSpan w:val="3"/>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达州市达川区城乡规划编制中心</w:t>
            </w:r>
          </w:p>
        </w:tc>
      </w:tr>
      <w:tr>
        <w:trPr>
          <w:trHeight w:val="276" w:hRule="atLeast"/>
        </w:trPr>
        <w:tc>
          <w:tcPr>
            <w:tcW w:w="390" w:type="dxa"/>
            <w:vMerge w:val="restart"/>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预算执行情况</w:t>
            </w:r>
            <w:r>
              <w:rPr>
                <w:rFonts w:cs="宋体" w:ascii="宋体" w:hAnsi="宋体"/>
                <w:color w:val="000000"/>
                <w:kern w:val="0"/>
                <w:sz w:val="24"/>
              </w:rPr>
              <w:t>(</w:t>
            </w:r>
            <w:r>
              <w:rPr>
                <w:rFonts w:ascii="宋体" w:hAnsi="宋体" w:cs="宋体"/>
                <w:color w:val="000000"/>
                <w:kern w:val="0"/>
                <w:sz w:val="24"/>
              </w:rPr>
              <w:t>万元</w:t>
            </w:r>
            <w:r>
              <w:rPr>
                <w:rFonts w:cs="宋体" w:ascii="宋体" w:hAnsi="宋体"/>
                <w:color w:val="000000"/>
                <w:kern w:val="0"/>
                <w:sz w:val="24"/>
              </w:rPr>
              <w:t>)</w:t>
            </w:r>
          </w:p>
        </w:tc>
        <w:tc>
          <w:tcPr>
            <w:tcW w:w="2391" w:type="dxa"/>
            <w:gridSpan w:val="2"/>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预算数</w:t>
            </w:r>
            <w:r>
              <w:rPr>
                <w:rFonts w:cs="宋体" w:ascii="宋体" w:hAnsi="宋体"/>
                <w:color w:val="000000"/>
                <w:kern w:val="0"/>
                <w:sz w:val="24"/>
              </w:rPr>
              <w:t>:</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cs="宋体" w:ascii="宋体" w:hAnsi="宋体"/>
                <w:color w:val="000000"/>
                <w:sz w:val="24"/>
                <w:lang w:val="en-US" w:eastAsia="zh-CN"/>
              </w:rPr>
              <w:t>10.00</w:t>
            </w:r>
            <w:r>
              <w:rPr>
                <w:rFonts w:ascii="宋体" w:hAnsi="宋体" w:cs="宋体"/>
                <w:color w:val="000000"/>
                <w:sz w:val="24"/>
                <w:lang w:val="en-US" w:eastAsia="zh-CN"/>
              </w:rPr>
              <w:t>万元</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执行数</w:t>
            </w:r>
            <w:r>
              <w:rPr>
                <w:rFonts w:cs="宋体" w:ascii="宋体" w:hAnsi="宋体"/>
                <w:color w:val="000000"/>
                <w:kern w:val="0"/>
                <w:sz w:val="24"/>
              </w:rPr>
              <w:t>:</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cs="宋体" w:ascii="宋体" w:hAnsi="宋体"/>
                <w:color w:val="000000"/>
                <w:sz w:val="24"/>
                <w:lang w:val="en-US" w:eastAsia="zh-CN"/>
              </w:rPr>
              <w:t>10.00</w:t>
            </w:r>
            <w:r>
              <w:rPr>
                <w:rFonts w:ascii="宋体" w:hAnsi="宋体" w:cs="宋体"/>
                <w:color w:val="000000"/>
                <w:sz w:val="24"/>
                <w:lang w:val="en-US" w:eastAsia="zh-CN"/>
              </w:rPr>
              <w:t>万元</w:t>
            </w:r>
          </w:p>
        </w:tc>
      </w:tr>
      <w:tr>
        <w:trPr>
          <w:trHeight w:val="276" w:hRule="atLeast"/>
        </w:trPr>
        <w:tc>
          <w:tcPr>
            <w:tcW w:w="390" w:type="dxa"/>
            <w:vMerge w:val="continue"/>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rPr>
                <w:rFonts w:ascii="宋体" w:hAnsi="宋体" w:cs="宋体"/>
                <w:color w:val="000000"/>
                <w:sz w:val="24"/>
              </w:rPr>
            </w:pPr>
            <w:r>
              <w:rPr>
                <w:rFonts w:cs="宋体" w:ascii="宋体" w:hAnsi="宋体"/>
                <w:color w:val="000000"/>
                <w:sz w:val="24"/>
              </w:rPr>
            </w:r>
          </w:p>
        </w:tc>
        <w:tc>
          <w:tcPr>
            <w:tcW w:w="2391" w:type="dxa"/>
            <w:gridSpan w:val="2"/>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其中</w:t>
            </w:r>
            <w:r>
              <w:rPr>
                <w:rFonts w:cs="宋体" w:ascii="宋体" w:hAnsi="宋体"/>
                <w:color w:val="000000"/>
                <w:kern w:val="0"/>
                <w:sz w:val="24"/>
              </w:rPr>
              <w:t>-</w:t>
            </w:r>
            <w:r>
              <w:rPr>
                <w:rFonts w:ascii="宋体" w:hAnsi="宋体" w:cs="宋体"/>
                <w:color w:val="000000"/>
                <w:kern w:val="0"/>
                <w:sz w:val="24"/>
              </w:rPr>
              <w:t>财政拨款</w:t>
            </w:r>
            <w:r>
              <w:rPr>
                <w:rFonts w:cs="宋体" w:ascii="宋体" w:hAnsi="宋体"/>
                <w:color w:val="000000"/>
                <w:kern w:val="0"/>
                <w:sz w:val="24"/>
              </w:rPr>
              <w:t>:</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lang w:val="en-US" w:eastAsia="zh-CN"/>
              </w:rPr>
              <w:t>10.00</w:t>
            </w:r>
            <w:r>
              <w:rPr>
                <w:rFonts w:ascii="宋体" w:hAnsi="宋体" w:cs="宋体"/>
                <w:color w:val="000000"/>
                <w:sz w:val="24"/>
                <w:lang w:val="en-US" w:eastAsia="zh-CN"/>
              </w:rPr>
              <w:t>万元</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其中</w:t>
            </w:r>
            <w:r>
              <w:rPr>
                <w:rFonts w:cs="宋体" w:ascii="宋体" w:hAnsi="宋体"/>
                <w:color w:val="000000"/>
                <w:kern w:val="0"/>
                <w:sz w:val="24"/>
              </w:rPr>
              <w:t>-</w:t>
            </w:r>
            <w:r>
              <w:rPr>
                <w:rFonts w:ascii="宋体" w:hAnsi="宋体" w:cs="宋体"/>
                <w:color w:val="000000"/>
                <w:kern w:val="0"/>
                <w:sz w:val="24"/>
              </w:rPr>
              <w:t>财政拨款</w:t>
            </w:r>
            <w:r>
              <w:rPr>
                <w:rFonts w:cs="宋体" w:ascii="宋体" w:hAnsi="宋体"/>
                <w:color w:val="000000"/>
                <w:kern w:val="0"/>
                <w:sz w:val="24"/>
              </w:rPr>
              <w:t>:</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lang w:val="en-US" w:eastAsia="zh-CN"/>
              </w:rPr>
              <w:t>10.00</w:t>
            </w:r>
            <w:r>
              <w:rPr>
                <w:rFonts w:ascii="宋体" w:hAnsi="宋体" w:cs="宋体"/>
                <w:color w:val="000000"/>
                <w:sz w:val="24"/>
                <w:lang w:val="en-US" w:eastAsia="zh-CN"/>
              </w:rPr>
              <w:t>万元</w:t>
            </w:r>
          </w:p>
        </w:tc>
      </w:tr>
      <w:tr>
        <w:trPr>
          <w:trHeight w:val="1511" w:hRule="atLeast"/>
        </w:trPr>
        <w:tc>
          <w:tcPr>
            <w:tcW w:w="390" w:type="dxa"/>
            <w:vMerge w:val="continue"/>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rPr>
                <w:rFonts w:ascii="宋体" w:hAnsi="宋体" w:cs="宋体"/>
                <w:color w:val="000000"/>
                <w:sz w:val="24"/>
              </w:rPr>
            </w:pPr>
            <w:r>
              <w:rPr>
                <w:rFonts w:cs="宋体" w:ascii="宋体" w:hAnsi="宋体"/>
                <w:color w:val="000000"/>
                <w:sz w:val="24"/>
              </w:rPr>
            </w:r>
          </w:p>
        </w:tc>
        <w:tc>
          <w:tcPr>
            <w:tcW w:w="2391" w:type="dxa"/>
            <w:gridSpan w:val="2"/>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其它资金</w:t>
            </w:r>
            <w:r>
              <w:rPr>
                <w:rFonts w:cs="宋体" w:ascii="宋体" w:hAnsi="宋体"/>
                <w:color w:val="000000"/>
                <w:kern w:val="0"/>
                <w:sz w:val="24"/>
              </w:rPr>
              <w:t>:</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其它资金</w:t>
            </w:r>
            <w:r>
              <w:rPr>
                <w:rFonts w:cs="宋体" w:ascii="宋体" w:hAnsi="宋体"/>
                <w:color w:val="000000"/>
                <w:kern w:val="0"/>
                <w:sz w:val="24"/>
              </w:rPr>
              <w:t>:</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rPr>
                <w:rFonts w:ascii="宋体" w:hAnsi="宋体" w:cs="宋体"/>
                <w:color w:val="000000"/>
                <w:sz w:val="24"/>
              </w:rPr>
            </w:pPr>
            <w:r>
              <w:rPr>
                <w:rFonts w:cs="宋体" w:ascii="宋体" w:hAnsi="宋体"/>
                <w:color w:val="000000"/>
                <w:sz w:val="24"/>
              </w:rPr>
            </w:r>
          </w:p>
        </w:tc>
      </w:tr>
      <w:tr>
        <w:trPr>
          <w:trHeight w:val="276" w:hRule="atLeast"/>
        </w:trPr>
        <w:tc>
          <w:tcPr>
            <w:tcW w:w="390" w:type="dxa"/>
            <w:vMerge w:val="restart"/>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年度目标完成情况</w:t>
            </w:r>
          </w:p>
        </w:tc>
        <w:tc>
          <w:tcPr>
            <w:tcW w:w="4784" w:type="dxa"/>
            <w:gridSpan w:val="3"/>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预期目标</w:t>
            </w:r>
          </w:p>
        </w:tc>
        <w:tc>
          <w:tcPr>
            <w:tcW w:w="4785" w:type="dxa"/>
            <w:gridSpan w:val="2"/>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实际完成目标</w:t>
            </w:r>
          </w:p>
        </w:tc>
      </w:tr>
      <w:tr>
        <w:trPr>
          <w:trHeight w:val="1159" w:hRule="atLeast"/>
        </w:trPr>
        <w:tc>
          <w:tcPr>
            <w:tcW w:w="390" w:type="dxa"/>
            <w:vMerge w:val="continue"/>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rPr>
                <w:rFonts w:ascii="宋体" w:hAnsi="宋体" w:cs="宋体"/>
                <w:color w:val="000000"/>
                <w:sz w:val="24"/>
              </w:rPr>
            </w:pPr>
            <w:r>
              <w:rPr>
                <w:rFonts w:cs="宋体" w:ascii="宋体" w:hAnsi="宋体"/>
                <w:color w:val="000000"/>
                <w:sz w:val="24"/>
              </w:rPr>
            </w:r>
          </w:p>
        </w:tc>
        <w:tc>
          <w:tcPr>
            <w:tcW w:w="4784" w:type="dxa"/>
            <w:gridSpan w:val="3"/>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完成规委会、专家会及相关调研、学习考察工作</w:t>
            </w:r>
          </w:p>
        </w:tc>
        <w:tc>
          <w:tcPr>
            <w:tcW w:w="4785" w:type="dxa"/>
            <w:gridSpan w:val="2"/>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lang w:val="en-US" w:eastAsia="zh-CN"/>
              </w:rPr>
              <w:t>完成规委会、专家会及相关调研、学习考察工作</w:t>
            </w:r>
          </w:p>
        </w:tc>
      </w:tr>
      <w:tr>
        <w:trPr>
          <w:trHeight w:val="1042" w:hRule="atLeast"/>
        </w:trPr>
        <w:tc>
          <w:tcPr>
            <w:tcW w:w="390" w:type="dxa"/>
            <w:vMerge w:val="restart"/>
            <w:tcBorders>
              <w:top w:val="single" w:sz="4" w:space="0" w:color="000000"/>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绩效指标完成情况</w:t>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一级指标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kern w:val="0"/>
                <w:sz w:val="24"/>
                <w:lang w:val="en-US" w:eastAsia="zh-CN"/>
              </w:rPr>
              <w:t>数量指标</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eastAsia="zh-CN"/>
              </w:rPr>
            </w:pPr>
            <w:r>
              <w:rPr>
                <w:rFonts w:ascii="宋体" w:hAnsi="宋体" w:cs="宋体"/>
                <w:color w:val="000000"/>
                <w:kern w:val="0"/>
                <w:sz w:val="24"/>
                <w:lang w:val="en-US" w:eastAsia="zh-CN"/>
              </w:rPr>
              <w:t>日常费用</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kern w:val="0"/>
                <w:sz w:val="24"/>
                <w:lang w:val="en-US" w:eastAsia="zh-CN"/>
              </w:rPr>
              <w:t>规委会、专家会相关费用</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lang w:val="en-US" w:eastAsia="zh-CN"/>
              </w:rPr>
              <w:t>规委会、专家会相关费用</w:t>
            </w:r>
          </w:p>
        </w:tc>
      </w:tr>
      <w:tr>
        <w:trPr>
          <w:trHeight w:val="953"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项目完成指标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质量指标</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工作完成质量</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规委会专家评审效果</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lang w:val="en-US" w:eastAsia="zh-CN"/>
              </w:rPr>
              <w:t>规委会专家评审效果</w:t>
            </w:r>
          </w:p>
        </w:tc>
      </w:tr>
      <w:tr>
        <w:trPr>
          <w:trHeight w:val="1297"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项目完成指标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时效指标</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全年</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cs="宋体" w:ascii="宋体" w:hAnsi="宋体"/>
                <w:color w:val="000000"/>
                <w:sz w:val="24"/>
                <w:lang w:val="en-US" w:eastAsia="zh-CN"/>
              </w:rPr>
              <w:t>2020</w:t>
            </w:r>
            <w:r>
              <w:rPr>
                <w:rFonts w:ascii="宋体" w:hAnsi="宋体" w:cs="宋体"/>
                <w:color w:val="000000"/>
                <w:sz w:val="24"/>
                <w:lang w:val="en-US" w:eastAsia="zh-CN"/>
              </w:rPr>
              <w:t>年</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cs="宋体" w:ascii="宋体" w:hAnsi="宋体"/>
                <w:color w:val="000000"/>
                <w:sz w:val="24"/>
                <w:lang w:val="en-US" w:eastAsia="zh-CN"/>
              </w:rPr>
              <w:t>2020</w:t>
            </w:r>
            <w:r>
              <w:rPr>
                <w:rFonts w:ascii="宋体" w:hAnsi="宋体" w:cs="宋体"/>
                <w:color w:val="000000"/>
                <w:sz w:val="24"/>
                <w:lang w:val="en-US" w:eastAsia="zh-CN"/>
              </w:rPr>
              <w:t>年</w:t>
            </w:r>
          </w:p>
        </w:tc>
      </w:tr>
      <w:tr>
        <w:trPr>
          <w:trHeight w:val="1042"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项目完成指标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成本指标</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规委会专家评审相关费用</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cs="宋体" w:ascii="宋体" w:hAnsi="宋体"/>
                <w:color w:val="000000"/>
                <w:sz w:val="24"/>
                <w:lang w:val="en-US" w:eastAsia="zh-CN"/>
              </w:rPr>
              <w:t>10.00</w:t>
            </w:r>
            <w:r>
              <w:rPr>
                <w:rFonts w:ascii="宋体" w:hAnsi="宋体" w:cs="宋体"/>
                <w:color w:val="000000"/>
                <w:sz w:val="24"/>
                <w:lang w:val="en-US" w:eastAsia="zh-CN"/>
              </w:rPr>
              <w:t>万元</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cs="宋体" w:ascii="宋体" w:hAnsi="宋体"/>
                <w:color w:val="000000"/>
                <w:sz w:val="24"/>
                <w:lang w:val="en-US" w:eastAsia="zh-CN"/>
              </w:rPr>
              <w:t>10.00</w:t>
            </w:r>
            <w:r>
              <w:rPr>
                <w:rFonts w:ascii="宋体" w:hAnsi="宋体" w:cs="宋体"/>
                <w:color w:val="000000"/>
                <w:sz w:val="24"/>
                <w:lang w:val="en-US" w:eastAsia="zh-CN"/>
              </w:rPr>
              <w:t>万元</w:t>
            </w:r>
          </w:p>
        </w:tc>
      </w:tr>
      <w:tr>
        <w:trPr>
          <w:trHeight w:val="1042"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kern w:val="0"/>
                <w:sz w:val="24"/>
              </w:rPr>
            </w:pPr>
            <w:r>
              <w:rPr>
                <w:rFonts w:ascii="宋体" w:hAnsi="宋体" w:cs="宋体"/>
                <w:color w:val="000000"/>
                <w:kern w:val="0"/>
                <w:sz w:val="24"/>
              </w:rPr>
              <w:t>项目完成指标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r>
      <w:tr>
        <w:trPr>
          <w:trHeight w:val="1042"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项目完成指标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r>
      <w:tr>
        <w:trPr>
          <w:trHeight w:val="1042"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r>
      <w:tr>
        <w:trPr>
          <w:trHeight w:val="1042"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效益指标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社会效益</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对全区规划发展</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w:t>
            </w:r>
            <w:r>
              <w:rPr>
                <w:rFonts w:cs="宋体" w:ascii="宋体" w:hAnsi="宋体"/>
                <w:color w:val="000000"/>
                <w:sz w:val="24"/>
                <w:lang w:val="en-US" w:eastAsia="zh-CN"/>
              </w:rPr>
              <w:t>95</w:t>
            </w:r>
            <w:r>
              <w:rPr>
                <w:rFonts w:cs="宋体" w:ascii="宋体" w:hAnsi="宋体"/>
                <w:color w:val="000000"/>
                <w:sz w:val="24"/>
              </w:rPr>
              <w:t>%</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w:t>
            </w:r>
            <w:r>
              <w:rPr>
                <w:rFonts w:cs="宋体" w:ascii="宋体" w:hAnsi="宋体"/>
                <w:color w:val="000000"/>
                <w:sz w:val="24"/>
                <w:lang w:val="en-US" w:eastAsia="zh-CN"/>
              </w:rPr>
              <w:t>95</w:t>
            </w:r>
            <w:r>
              <w:rPr>
                <w:rFonts w:cs="宋体" w:ascii="宋体" w:hAnsi="宋体"/>
                <w:color w:val="000000"/>
                <w:sz w:val="24"/>
              </w:rPr>
              <w:t>%</w:t>
            </w:r>
          </w:p>
        </w:tc>
      </w:tr>
      <w:tr>
        <w:trPr>
          <w:trHeight w:val="1297"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效益指标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r>
      <w:tr>
        <w:trPr>
          <w:trHeight w:val="1297" w:hRule="atLeast"/>
        </w:trPr>
        <w:tc>
          <w:tcPr>
            <w:tcW w:w="390" w:type="dxa"/>
            <w:vMerge w:val="continue"/>
            <w:tcBorders>
              <w:left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kern w:val="0"/>
                <w:sz w:val="24"/>
              </w:rPr>
            </w:pPr>
            <w:r>
              <w:rPr>
                <w:rFonts w:ascii="宋体" w:hAnsi="宋体" w:cs="宋体"/>
                <w:color w:val="000000"/>
                <w:kern w:val="0"/>
                <w:sz w:val="24"/>
              </w:rPr>
              <w:t>……</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r>
      <w:tr>
        <w:trPr>
          <w:trHeight w:val="1050" w:hRule="atLeast"/>
        </w:trPr>
        <w:tc>
          <w:tcPr>
            <w:tcW w:w="390" w:type="dxa"/>
            <w:vMerge w:val="continue"/>
            <w:tcBorders>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cs="宋体" w:ascii="宋体" w:hAnsi="宋体"/>
                <w:color w:val="000000"/>
                <w:sz w:val="24"/>
              </w:rPr>
            </w:r>
          </w:p>
        </w:tc>
        <w:tc>
          <w:tcPr>
            <w:tcW w:w="1366"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kern w:val="0"/>
                <w:sz w:val="24"/>
              </w:rPr>
              <w:t>满意度指标</w:t>
            </w:r>
          </w:p>
        </w:tc>
        <w:tc>
          <w:tcPr>
            <w:tcW w:w="1025"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满意度</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eastAsia="宋体" w:cs="宋体"/>
                <w:color w:val="000000"/>
                <w:sz w:val="24"/>
                <w:lang w:val="en-US" w:eastAsia="zh-CN"/>
              </w:rPr>
            </w:pPr>
            <w:r>
              <w:rPr>
                <w:rFonts w:ascii="宋体" w:hAnsi="宋体" w:cs="宋体"/>
                <w:color w:val="000000"/>
                <w:sz w:val="24"/>
                <w:lang w:val="en-US" w:eastAsia="zh-CN"/>
              </w:rPr>
              <w:t>群众满意度</w:t>
            </w:r>
          </w:p>
        </w:tc>
        <w:tc>
          <w:tcPr>
            <w:tcW w:w="2393"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w:t>
            </w:r>
            <w:r>
              <w:rPr>
                <w:rFonts w:cs="宋体" w:ascii="宋体" w:hAnsi="宋体"/>
                <w:color w:val="000000"/>
                <w:sz w:val="24"/>
                <w:lang w:val="en-US" w:eastAsia="zh-CN"/>
              </w:rPr>
              <w:t>95</w:t>
            </w:r>
            <w:r>
              <w:rPr>
                <w:rFonts w:cs="宋体" w:ascii="宋体" w:hAnsi="宋体"/>
                <w:color w:val="000000"/>
                <w:sz w:val="24"/>
              </w:rPr>
              <w:t>%</w:t>
            </w:r>
          </w:p>
        </w:tc>
        <w:tc>
          <w:tcPr>
            <w:tcW w:w="2392" w:type="dxa"/>
            <w:tcBorders>
              <w:top w:val="single" w:sz="4" w:space="0" w:color="000000"/>
              <w:left w:val="single" w:sz="4" w:space="0" w:color="000000"/>
              <w:bottom w:val="single" w:sz="4" w:space="0" w:color="000000"/>
              <w:right w:val="single" w:sz="4" w:space="0" w:color="000000"/>
            </w:tcBorders>
            <w:vAlign w:val="center"/>
          </w:tcPr>
          <w:p>
            <w:pPr>
              <w:pStyle w:val="Style16"/>
              <w:widowControl w:val="false"/>
              <w:spacing w:beforeLines="0" w:beforeAutospacing="0" w:afterLines="0" w:afterAutospacing="0"/>
              <w:jc w:val="center"/>
              <w:textAlignment w:val="center"/>
              <w:rPr>
                <w:rFonts w:ascii="宋体" w:hAnsi="宋体" w:cs="宋体"/>
                <w:color w:val="000000"/>
                <w:sz w:val="24"/>
              </w:rPr>
            </w:pPr>
            <w:r>
              <w:rPr>
                <w:rFonts w:ascii="宋体" w:hAnsi="宋体" w:cs="宋体"/>
                <w:color w:val="000000"/>
                <w:sz w:val="24"/>
              </w:rPr>
              <w:t>≥</w:t>
            </w:r>
            <w:r>
              <w:rPr>
                <w:rFonts w:cs="宋体" w:ascii="宋体" w:hAnsi="宋体"/>
                <w:color w:val="000000"/>
                <w:sz w:val="24"/>
                <w:lang w:val="en-US" w:eastAsia="zh-CN"/>
              </w:rPr>
              <w:t>95</w:t>
            </w:r>
            <w:r>
              <w:rPr>
                <w:rFonts w:cs="宋体" w:ascii="宋体" w:hAnsi="宋体"/>
                <w:color w:val="000000"/>
                <w:sz w:val="24"/>
              </w:rPr>
              <w:t>%</w:t>
            </w:r>
          </w:p>
        </w:tc>
      </w:tr>
    </w:tbl>
    <w:p>
      <w:pPr>
        <w:pStyle w:val="Style16"/>
        <w:spacing w:lineRule="exact" w:line="580"/>
        <w:ind w:left="63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left="63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left="630"/>
        <w:rPr>
          <w:rFonts w:ascii="仿宋_GB2312" w:hAnsi="仿宋_GB2312" w:eastAsia="仿宋_GB2312" w:cs="仿宋_GB2312"/>
          <w:sz w:val="32"/>
          <w:szCs w:val="32"/>
        </w:rPr>
      </w:pPr>
      <w:r>
        <w:rPr>
          <w:rFonts w:eastAsia="楷体_GB2312" w:cs="楷体_GB2312" w:ascii="楷体_GB2312" w:hAnsi="楷体_GB2312"/>
          <w:sz w:val="32"/>
          <w:szCs w:val="32"/>
        </w:rPr>
        <w:t>2.</w:t>
      </w:r>
      <w:r>
        <w:rPr>
          <w:rFonts w:ascii="楷体_GB2312" w:hAnsi="楷体_GB2312" w:cs="楷体_GB2312" w:eastAsia="楷体_GB2312"/>
          <w:sz w:val="32"/>
          <w:szCs w:val="32"/>
        </w:rPr>
        <w:t>部门绩效评价结果。</w:t>
      </w:r>
    </w:p>
    <w:p>
      <w:pPr>
        <w:pStyle w:val="Style16"/>
        <w:spacing w:lineRule="exact" w:line="580"/>
        <w:ind w:firstLineChars="200" w:firstLine="0"/>
        <w:rPr>
          <w:rFonts w:ascii="仿宋_GB2312" w:hAnsi="仿宋_GB2312" w:eastAsia="仿宋_GB2312" w:cs="仿宋_GB2312"/>
          <w:sz w:val="32"/>
          <w:szCs w:val="32"/>
        </w:rPr>
      </w:pPr>
      <w:r>
        <w:rPr>
          <w:rFonts w:ascii="仿宋_GB2312" w:hAnsi="仿宋_GB2312" w:cs="仿宋_GB2312" w:eastAsia="仿宋_GB2312"/>
          <w:sz w:val="32"/>
          <w:szCs w:val="32"/>
        </w:rPr>
        <w:t>本部门按要求对</w:t>
      </w:r>
      <w:r>
        <w:rPr>
          <w:rFonts w:eastAsia="仿宋_GB2312" w:cs="仿宋_GB2312" w:ascii="仿宋_GB2312" w:hAnsi="仿宋_GB2312"/>
          <w:sz w:val="32"/>
          <w:szCs w:val="32"/>
        </w:rPr>
        <w:t>20</w:t>
      </w:r>
      <w:r>
        <w:rPr>
          <w:rFonts w:eastAsia="仿宋_GB2312" w:cs="仿宋_GB2312" w:ascii="仿宋_GB2312" w:hAnsi="仿宋_GB2312"/>
          <w:sz w:val="32"/>
          <w:szCs w:val="32"/>
          <w:lang w:val="en-US" w:eastAsia="zh-CN"/>
        </w:rPr>
        <w:t>20</w:t>
      </w:r>
      <w:r>
        <w:rPr>
          <w:rFonts w:ascii="仿宋_GB2312" w:hAnsi="仿宋_GB2312" w:cs="仿宋_GB2312" w:eastAsia="仿宋_GB2312"/>
          <w:sz w:val="32"/>
          <w:szCs w:val="32"/>
        </w:rPr>
        <w:t>年部门整体支出绩效评价情况开展自评，《</w:t>
      </w:r>
      <w:r>
        <w:rPr>
          <w:rFonts w:ascii="仿宋_GB2312" w:hAnsi="仿宋_GB2312" w:cs="仿宋_GB2312" w:eastAsia="仿宋_GB2312"/>
          <w:sz w:val="32"/>
          <w:szCs w:val="32"/>
          <w:lang w:val="en-US" w:eastAsia="zh-CN"/>
        </w:rPr>
        <w:t>达州市达川区城乡规划编制中心</w:t>
      </w:r>
      <w:r>
        <w:rPr>
          <w:rFonts w:ascii="仿宋_GB2312" w:hAnsi="仿宋_GB2312" w:cs="仿宋_GB2312" w:eastAsia="仿宋_GB2312"/>
          <w:sz w:val="32"/>
          <w:szCs w:val="32"/>
        </w:rPr>
        <w:t>部门</w:t>
      </w:r>
      <w:r>
        <w:rPr>
          <w:rFonts w:eastAsia="仿宋_GB2312" w:cs="仿宋_GB2312" w:ascii="仿宋_GB2312" w:hAnsi="仿宋_GB2312"/>
          <w:sz w:val="32"/>
          <w:szCs w:val="32"/>
        </w:rPr>
        <w:t>20</w:t>
      </w:r>
      <w:r>
        <w:rPr>
          <w:rFonts w:eastAsia="仿宋_GB2312" w:cs="仿宋_GB2312" w:ascii="仿宋_GB2312" w:hAnsi="仿宋_GB2312"/>
          <w:sz w:val="32"/>
          <w:szCs w:val="32"/>
          <w:lang w:val="en-US" w:eastAsia="zh-CN"/>
        </w:rPr>
        <w:t>20</w:t>
      </w:r>
      <w:r>
        <w:rPr>
          <w:rFonts w:ascii="仿宋_GB2312" w:hAnsi="仿宋_GB2312" w:cs="仿宋_GB2312" w:eastAsia="仿宋_GB2312"/>
          <w:sz w:val="32"/>
          <w:szCs w:val="32"/>
        </w:rPr>
        <w:t>年部门整体支出绩效评价报告》见附件（附件</w:t>
      </w:r>
      <w:r>
        <w:rPr>
          <w:rFonts w:eastAsia="仿宋_GB2312" w:cs="仿宋_GB2312" w:ascii="仿宋_GB2312" w:hAnsi="仿宋_GB2312"/>
          <w:sz w:val="32"/>
          <w:szCs w:val="32"/>
        </w:rPr>
        <w:t>1</w:t>
      </w:r>
      <w:r>
        <w:rPr>
          <w:rFonts w:ascii="仿宋_GB2312" w:hAnsi="仿宋_GB2312" w:cs="仿宋_GB2312" w:eastAsia="仿宋_GB2312"/>
          <w:sz w:val="32"/>
          <w:szCs w:val="32"/>
        </w:rPr>
        <w:t>）。</w:t>
      </w:r>
    </w:p>
    <w:p>
      <w:pPr>
        <w:pStyle w:val="Style16"/>
        <w:widowControl/>
        <w:jc w:val="left"/>
        <w:rPr>
          <w:rFonts w:ascii="仿宋_GB2312" w:hAnsi="仿宋_GB2312" w:eastAsia="仿宋_GB2312"/>
          <w:b/>
          <w:b/>
          <w:color w:val="000000"/>
          <w:sz w:val="32"/>
          <w:szCs w:val="32"/>
        </w:rPr>
      </w:pPr>
      <w:r>
        <w:rPr>
          <w:rFonts w:eastAsia="仿宋_GB2312" w:ascii="仿宋_GB2312" w:hAnsi="仿宋_GB2312"/>
          <w:b/>
          <w:color w:val="000000"/>
          <w:sz w:val="32"/>
          <w:szCs w:val="32"/>
        </w:rPr>
      </w:r>
      <w:r>
        <w:br w:type="page"/>
      </w:r>
    </w:p>
    <w:p>
      <w:pPr>
        <w:pStyle w:val="Style16"/>
        <w:numPr>
          <w:ilvl w:val="0"/>
          <w:numId w:val="5"/>
        </w:numPr>
        <w:spacing w:lineRule="exact" w:line="600"/>
        <w:ind w:firstLineChars="150" w:firstLine="0"/>
        <w:jc w:val="center"/>
        <w:outlineLvl w:val="0"/>
        <w:rPr>
          <w:rStyle w:val="1Char"/>
          <w:rFonts w:ascii="黑体" w:hAnsi="黑体" w:eastAsia="黑体"/>
          <w:b w:val="false"/>
          <w:b w:val="false"/>
        </w:rPr>
      </w:pPr>
      <w:bookmarkStart w:id="75" w:name="_Toc15377225"/>
      <w:bookmarkStart w:id="76" w:name="_Toc21088"/>
      <w:bookmarkStart w:id="77" w:name="_Toc15396613"/>
      <w:r>
        <w:rPr>
          <w:rFonts w:ascii="黑体" w:hAnsi="黑体" w:eastAsia="黑体"/>
          <w:color w:val="000000"/>
          <w:sz w:val="44"/>
          <w:szCs w:val="44"/>
        </w:rPr>
        <w:t>名</w:t>
      </w:r>
      <w:r>
        <w:rPr>
          <w:rStyle w:val="1Char"/>
          <w:rFonts w:ascii="黑体" w:hAnsi="黑体" w:eastAsia="黑体"/>
          <w:b w:val="false"/>
        </w:rPr>
        <w:t>词解释</w:t>
      </w:r>
      <w:bookmarkEnd w:id="75"/>
      <w:bookmarkEnd w:id="76"/>
      <w:bookmarkEnd w:id="77"/>
    </w:p>
    <w:p>
      <w:pPr>
        <w:pStyle w:val="Style16"/>
        <w:spacing w:lineRule="exact" w:line="600"/>
        <w:jc w:val="left"/>
        <w:rPr>
          <w:rFonts w:ascii="宋体" w:hAnsi="宋体"/>
          <w:b/>
          <w:b/>
          <w:color w:val="000000"/>
          <w:sz w:val="44"/>
          <w:szCs w:val="44"/>
        </w:rPr>
      </w:pPr>
      <w:r>
        <w:rPr>
          <w:rFonts w:ascii="宋体" w:hAnsi="宋体"/>
          <w:b/>
          <w:color w:val="000000"/>
          <w:sz w:val="44"/>
          <w:szCs w:val="44"/>
        </w:rPr>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1.</w:t>
      </w:r>
      <w:r>
        <w:rPr>
          <w:rFonts w:ascii="仿宋_GB2312" w:hAnsi="仿宋_GB2312" w:eastAsia="仿宋_GB2312"/>
          <w:sz w:val="32"/>
          <w:szCs w:val="32"/>
        </w:rPr>
        <w:t>财政拨款收入：指单位从同级财政部门取得的财政预算资金。</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2.</w:t>
      </w:r>
      <w:r>
        <w:rPr>
          <w:rFonts w:ascii="仿宋_GB2312" w:hAnsi="仿宋_GB2312" w:eastAsia="仿宋_GB2312"/>
          <w:sz w:val="32"/>
          <w:szCs w:val="32"/>
        </w:rPr>
        <w:t>事业收入：指事业单位开展专业业务活动及辅助活动取得的收入。如…（二级预算单位事业收入情况）等。</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3.</w:t>
      </w:r>
      <w:r>
        <w:rPr>
          <w:rFonts w:ascii="仿宋_GB2312" w:hAnsi="仿宋_GB2312" w:eastAsia="仿宋_GB2312"/>
          <w:sz w:val="32"/>
          <w:szCs w:val="32"/>
        </w:rPr>
        <w:t>经营收入：指事业单位在专业业务活动及其辅助活动之外开展非独立核算经营活动取得的收入。如…（二级预算单位经营收入情况）等。</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4.</w:t>
      </w:r>
      <w:r>
        <w:rPr>
          <w:rFonts w:ascii="仿宋_GB2312" w:hAnsi="仿宋_GB2312" w:eastAsia="仿宋_GB2312"/>
          <w:sz w:val="32"/>
          <w:szCs w:val="32"/>
        </w:rPr>
        <w:t xml:space="preserve">其他收入：指单位取得的除上述收入以外的各项收入。 </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5.</w:t>
      </w:r>
      <w:r>
        <w:rPr>
          <w:rFonts w:ascii="仿宋_GB2312" w:hAnsi="仿宋_GB2312" w:eastAsia="仿宋_GB2312"/>
          <w:sz w:val="32"/>
          <w:szCs w:val="32"/>
        </w:rPr>
        <w:t xml:space="preserve">用事业基金弥补收支差额：指事业单位在当年的财政拨款收入、事业收入、经营收入、其他收入不足以安排当年支出的情况下，使用以前年度积累的事业基金（事业单位当年收支相抵后按国家规定提取、用于弥补以后年度收支差额的基金）弥补本年度收支缺口的资金。 </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6.</w:t>
      </w:r>
      <w:r>
        <w:rPr>
          <w:rFonts w:ascii="仿宋_GB2312" w:hAnsi="仿宋_GB2312" w:eastAsia="仿宋_GB2312"/>
          <w:sz w:val="32"/>
          <w:szCs w:val="32"/>
        </w:rPr>
        <w:t xml:space="preserve">年初结转和结余：指以前年度尚未完成、结转到本年按有关规定继续使用的资金。 </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7.</w:t>
      </w:r>
      <w:r>
        <w:rPr>
          <w:rFonts w:ascii="仿宋_GB2312" w:hAnsi="仿宋_GB2312" w:eastAsia="仿宋_GB2312"/>
          <w:sz w:val="32"/>
          <w:szCs w:val="32"/>
        </w:rPr>
        <w:t>结余分配：指事业单位按照事业单位会计制度的规定从非财政补助结余中分配的事业基金和职工福利基金等。</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rPr>
        <w:t>8</w:t>
      </w:r>
      <w:r>
        <w:rPr>
          <w:rFonts w:ascii="仿宋_GB2312" w:hAnsi="仿宋_GB2312" w:eastAsia="仿宋_GB2312"/>
          <w:sz w:val="32"/>
          <w:szCs w:val="32"/>
        </w:rPr>
        <w:t>、年末结转和结余：指单位按有关规定结转到下年或以后年度继续使用的资金。</w:t>
      </w:r>
    </w:p>
    <w:p>
      <w:pPr>
        <w:pStyle w:val="Style16"/>
        <w:ind w:firstLineChars="200" w:firstLine="0"/>
        <w:rPr>
          <w:rFonts w:ascii="仿宋_GB2312" w:hAnsi="仿宋_GB2312" w:eastAsia="仿宋_GB2312"/>
          <w:color w:val="000000"/>
          <w:sz w:val="32"/>
          <w:szCs w:val="32"/>
        </w:rPr>
      </w:pPr>
      <w:r>
        <w:rPr>
          <w:rFonts w:eastAsia="仿宋_GB2312" w:ascii="仿宋_GB2312" w:hAnsi="仿宋_GB2312"/>
          <w:color w:val="000000"/>
          <w:sz w:val="32"/>
          <w:szCs w:val="32"/>
          <w:lang w:val="en-US" w:eastAsia="zh-CN"/>
        </w:rPr>
        <w:t>9</w:t>
      </w:r>
      <w:r>
        <w:rPr>
          <w:rFonts w:eastAsia="仿宋_GB2312" w:ascii="仿宋_GB2312" w:hAnsi="仿宋_GB2312"/>
          <w:color w:val="000000"/>
          <w:sz w:val="32"/>
          <w:szCs w:val="32"/>
        </w:rPr>
        <w:t>.</w:t>
      </w:r>
      <w:r>
        <w:rPr>
          <w:rFonts w:ascii="仿宋_GB2312" w:hAnsi="仿宋_GB2312" w:eastAsia="仿宋_GB2312"/>
          <w:color w:val="000000"/>
          <w:sz w:val="32"/>
          <w:szCs w:val="32"/>
        </w:rPr>
        <w:t>城乡社区（类）</w:t>
      </w:r>
      <w:r>
        <w:rPr>
          <w:rFonts w:ascii="仿宋_GB2312" w:hAnsi="仿宋_GB2312" w:eastAsia="仿宋_GB2312"/>
          <w:color w:val="000000"/>
          <w:sz w:val="32"/>
          <w:szCs w:val="32"/>
          <w:lang w:val="en-US" w:eastAsia="zh-CN"/>
        </w:rPr>
        <w:t>城乡社区规划与管理</w:t>
      </w:r>
      <w:r>
        <w:rPr>
          <w:rFonts w:ascii="仿宋_GB2312" w:hAnsi="仿宋_GB2312" w:eastAsia="仿宋_GB2312"/>
          <w:color w:val="000000"/>
          <w:sz w:val="32"/>
          <w:szCs w:val="32"/>
        </w:rPr>
        <w:t>（款）城乡社区规划与管理（项）：指机关及下属事业单位用于保障机构正常运行、开展日常工作的基本支出。</w:t>
      </w:r>
    </w:p>
    <w:p>
      <w:pPr>
        <w:pStyle w:val="Style16"/>
        <w:ind w:firstLineChars="200" w:firstLine="0"/>
        <w:rPr>
          <w:rFonts w:ascii="仿宋_GB2312" w:hAnsi="仿宋_GB2312" w:eastAsia="仿宋_GB2312"/>
          <w:color w:val="000000"/>
          <w:sz w:val="32"/>
          <w:szCs w:val="32"/>
        </w:rPr>
      </w:pPr>
      <w:r>
        <w:rPr>
          <w:rFonts w:eastAsia="仿宋_GB2312" w:ascii="仿宋_GB2312" w:hAnsi="仿宋_GB2312"/>
          <w:color w:val="000000"/>
          <w:sz w:val="32"/>
          <w:szCs w:val="32"/>
          <w:lang w:val="en-US" w:eastAsia="zh-CN"/>
        </w:rPr>
        <w:t>10</w:t>
      </w:r>
      <w:r>
        <w:rPr>
          <w:rFonts w:eastAsia="仿宋_GB2312" w:ascii="仿宋_GB2312" w:hAnsi="仿宋_GB2312"/>
          <w:color w:val="000000"/>
          <w:sz w:val="32"/>
          <w:szCs w:val="32"/>
        </w:rPr>
        <w:t>.</w:t>
      </w:r>
      <w:r>
        <w:rPr>
          <w:rFonts w:ascii="仿宋_GB2312" w:hAnsi="仿宋_GB2312" w:eastAsia="仿宋_GB2312"/>
          <w:color w:val="000000"/>
          <w:sz w:val="32"/>
          <w:szCs w:val="32"/>
        </w:rPr>
        <w:t>国土海洋气象等（类）</w:t>
      </w:r>
      <w:r>
        <w:rPr>
          <w:rFonts w:ascii="仿宋_GB2312" w:hAnsi="仿宋_GB2312" w:eastAsia="仿宋_GB2312"/>
          <w:color w:val="000000"/>
          <w:sz w:val="32"/>
          <w:szCs w:val="32"/>
          <w:lang w:val="en-US" w:eastAsia="zh-CN"/>
        </w:rPr>
        <w:t>自然资源事务</w:t>
      </w:r>
      <w:r>
        <w:rPr>
          <w:rFonts w:ascii="仿宋_GB2312" w:hAnsi="仿宋_GB2312" w:eastAsia="仿宋_GB2312"/>
          <w:color w:val="000000"/>
          <w:sz w:val="32"/>
          <w:szCs w:val="32"/>
        </w:rPr>
        <w:t>（款）</w:t>
      </w:r>
      <w:r>
        <w:rPr>
          <w:rFonts w:ascii="仿宋_GB2312" w:hAnsi="仿宋_GB2312" w:eastAsia="仿宋_GB2312"/>
          <w:color w:val="000000"/>
          <w:sz w:val="32"/>
          <w:szCs w:val="32"/>
          <w:lang w:val="en-US" w:eastAsia="zh-CN"/>
        </w:rPr>
        <w:t>行政事务</w:t>
      </w:r>
      <w:r>
        <w:rPr>
          <w:rFonts w:ascii="仿宋_GB2312" w:hAnsi="仿宋_GB2312" w:eastAsia="仿宋_GB2312"/>
          <w:color w:val="000000"/>
          <w:sz w:val="32"/>
          <w:szCs w:val="32"/>
        </w:rPr>
        <w:t>（项）：指用于保障机构正常运行、开展日常工作的基本支出。</w:t>
      </w:r>
    </w:p>
    <w:p>
      <w:pPr>
        <w:pStyle w:val="Style16"/>
        <w:ind w:firstLineChars="200" w:firstLine="0"/>
        <w:rPr>
          <w:rFonts w:ascii="仿宋_GB2312" w:hAnsi="仿宋_GB2312" w:eastAsia="仿宋_GB2312"/>
          <w:color w:val="000000"/>
          <w:sz w:val="32"/>
          <w:szCs w:val="32"/>
        </w:rPr>
      </w:pPr>
      <w:r>
        <w:rPr>
          <w:rFonts w:eastAsia="仿宋_GB2312" w:ascii="仿宋_GB2312" w:hAnsi="仿宋_GB2312"/>
          <w:color w:val="000000"/>
          <w:sz w:val="32"/>
          <w:szCs w:val="32"/>
          <w:lang w:val="en-US" w:eastAsia="zh-CN"/>
        </w:rPr>
        <w:t>11</w:t>
      </w:r>
      <w:r>
        <w:rPr>
          <w:rFonts w:eastAsia="仿宋_GB2312" w:ascii="仿宋_GB2312" w:hAnsi="仿宋_GB2312"/>
          <w:color w:val="000000"/>
          <w:sz w:val="32"/>
          <w:szCs w:val="32"/>
        </w:rPr>
        <w:t>.</w:t>
      </w:r>
      <w:r>
        <w:rPr>
          <w:rFonts w:ascii="仿宋_GB2312" w:hAnsi="仿宋_GB2312" w:eastAsia="仿宋_GB2312"/>
          <w:color w:val="000000"/>
          <w:sz w:val="32"/>
          <w:szCs w:val="32"/>
        </w:rPr>
        <w:t>基本支出：指为保障机构正常运转、完成日常工作任务而发生的人员支出和公用支出。</w:t>
      </w:r>
    </w:p>
    <w:p>
      <w:pPr>
        <w:pStyle w:val="Style16"/>
        <w:ind w:firstLineChars="200" w:firstLine="0"/>
        <w:rPr>
          <w:rFonts w:ascii="仿宋_GB2312" w:hAnsi="仿宋_GB2312" w:eastAsia="仿宋_GB2312"/>
          <w:color w:val="000000"/>
          <w:sz w:val="32"/>
          <w:szCs w:val="32"/>
        </w:rPr>
      </w:pPr>
      <w:r>
        <w:rPr>
          <w:rFonts w:eastAsia="仿宋_GB2312" w:ascii="仿宋_GB2312" w:hAnsi="仿宋_GB2312"/>
          <w:color w:val="000000"/>
          <w:sz w:val="32"/>
          <w:szCs w:val="32"/>
          <w:lang w:val="en-US" w:eastAsia="zh-CN"/>
        </w:rPr>
        <w:t>12</w:t>
      </w:r>
      <w:r>
        <w:rPr>
          <w:rFonts w:eastAsia="仿宋_GB2312" w:ascii="仿宋_GB2312" w:hAnsi="仿宋_GB2312"/>
          <w:color w:val="000000"/>
          <w:sz w:val="32"/>
          <w:szCs w:val="32"/>
        </w:rPr>
        <w:t>.</w:t>
      </w:r>
      <w:r>
        <w:rPr>
          <w:rFonts w:ascii="仿宋_GB2312" w:hAnsi="仿宋_GB2312" w:eastAsia="仿宋_GB2312"/>
          <w:color w:val="000000"/>
          <w:sz w:val="32"/>
          <w:szCs w:val="32"/>
        </w:rPr>
        <w:t xml:space="preserve">项目支出：指在基本支出之外为完成特定行政任务和事业发展目标所发生的支出。 </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lang w:val="en-US" w:eastAsia="zh-CN"/>
        </w:rPr>
        <w:t>13</w:t>
      </w:r>
      <w:r>
        <w:rPr>
          <w:rFonts w:eastAsia="仿宋_GB2312" w:ascii="仿宋_GB2312" w:hAnsi="仿宋_GB2312"/>
          <w:sz w:val="32"/>
          <w:szCs w:val="32"/>
        </w:rPr>
        <w:t>.</w:t>
      </w:r>
      <w:r>
        <w:rPr>
          <w:rFonts w:ascii="仿宋_GB2312" w:hAnsi="仿宋_GB2312" w:eastAsia="仿宋_GB2312"/>
          <w:sz w:val="32"/>
          <w:szCs w:val="32"/>
        </w:rPr>
        <w:t>“三公”经费：指部门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车辆购置支出（含车辆购置税）及租用费、燃料费、维修费、过路过桥费、保险费等支出；公务接待费反映单位按规定开支的各类公务接待（含外宾接待）支出。</w:t>
      </w:r>
    </w:p>
    <w:p>
      <w:pPr>
        <w:pStyle w:val="Default"/>
        <w:spacing w:lineRule="exact" w:line="560"/>
        <w:ind w:firstLineChars="200" w:firstLine="0"/>
        <w:rPr>
          <w:rFonts w:ascii="仿宋_GB2312" w:hAnsi="仿宋_GB2312" w:eastAsia="仿宋_GB2312"/>
          <w:sz w:val="32"/>
          <w:szCs w:val="32"/>
        </w:rPr>
      </w:pPr>
      <w:r>
        <w:rPr>
          <w:rFonts w:eastAsia="仿宋_GB2312" w:ascii="仿宋_GB2312" w:hAnsi="仿宋_GB2312"/>
          <w:sz w:val="32"/>
          <w:szCs w:val="32"/>
          <w:lang w:val="en-US" w:eastAsia="zh-CN"/>
        </w:rPr>
        <w:t>14</w:t>
      </w:r>
      <w:r>
        <w:rPr>
          <w:rFonts w:eastAsia="仿宋_GB2312" w:ascii="仿宋_GB2312" w:hAnsi="仿宋_GB2312"/>
          <w:sz w:val="32"/>
          <w:szCs w:val="32"/>
        </w:rPr>
        <w:t>.</w:t>
      </w:r>
      <w:r>
        <w:rPr>
          <w:rFonts w:ascii="仿宋_GB2312" w:hAnsi="仿宋_GB2312" w:eastAsia="仿宋_GB2312"/>
          <w:sz w:val="32"/>
          <w:szCs w:val="32"/>
        </w:rPr>
        <w:t>机关运行经费：为保障行政单位（含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p>
    <w:p>
      <w:pPr>
        <w:pStyle w:val="Default"/>
        <w:spacing w:lineRule="exact" w:line="560"/>
        <w:ind w:firstLineChars="200" w:firstLine="0"/>
        <w:rPr>
          <w:rFonts w:ascii="仿宋_GB2312" w:hAnsi="仿宋_GB2312" w:eastAsia="仿宋_GB2312" w:cs="黑体"/>
          <w:sz w:val="32"/>
          <w:szCs w:val="32"/>
        </w:rPr>
      </w:pPr>
      <w:r>
        <w:rPr>
          <w:rFonts w:eastAsia="仿宋_GB2312" w:cs="黑体" w:ascii="仿宋_GB2312" w:hAnsi="仿宋_GB2312"/>
          <w:sz w:val="32"/>
          <w:szCs w:val="32"/>
        </w:rPr>
      </w:r>
      <w:r>
        <w:br w:type="page"/>
      </w:r>
    </w:p>
    <w:p>
      <w:pPr>
        <w:pStyle w:val="Style16"/>
        <w:numPr>
          <w:ilvl w:val="0"/>
          <w:numId w:val="0"/>
        </w:numPr>
        <w:spacing w:lineRule="exact" w:line="600"/>
        <w:jc w:val="center"/>
        <w:outlineLvl w:val="0"/>
        <w:rPr>
          <w:rStyle w:val="1Char"/>
          <w:rFonts w:ascii="黑体" w:hAnsi="黑体" w:eastAsia="黑体"/>
          <w:b w:val="false"/>
          <w:b w:val="false"/>
        </w:rPr>
      </w:pPr>
      <w:bookmarkStart w:id="78" w:name="_Toc15377226"/>
      <w:bookmarkStart w:id="79" w:name="_Toc15396614"/>
      <w:bookmarkStart w:id="80" w:name="_Toc29510"/>
      <w:r>
        <w:rPr>
          <w:rFonts w:ascii="黑体" w:hAnsi="黑体" w:eastAsia="黑体"/>
          <w:color w:val="000000"/>
          <w:sz w:val="44"/>
          <w:szCs w:val="44"/>
        </w:rPr>
        <w:t>第</w:t>
      </w:r>
      <w:r>
        <w:rPr>
          <w:rStyle w:val="1Char"/>
          <w:rFonts w:ascii="黑体" w:hAnsi="黑体" w:eastAsia="黑体"/>
          <w:b w:val="false"/>
        </w:rPr>
        <w:t>四部分 附件</w:t>
      </w:r>
      <w:bookmarkEnd w:id="79"/>
      <w:bookmarkEnd w:id="80"/>
    </w:p>
    <w:p>
      <w:pPr>
        <w:pStyle w:val="Style16"/>
        <w:numPr>
          <w:ilvl w:val="0"/>
          <w:numId w:val="0"/>
        </w:numPr>
        <w:spacing w:lineRule="exact" w:line="600"/>
        <w:jc w:val="left"/>
        <w:outlineLvl w:val="0"/>
        <w:rPr>
          <w:rFonts w:ascii="方正小标宋简体" w:hAnsi="方正小标宋简体" w:eastAsia="方正小标宋简体" w:cs="方正小标宋简体"/>
          <w:sz w:val="32"/>
          <w:szCs w:val="32"/>
        </w:rPr>
      </w:pPr>
      <w:bookmarkStart w:id="81" w:name="_Toc8273"/>
      <w:r>
        <w:rPr>
          <w:rFonts w:ascii="黑体" w:hAnsi="黑体" w:cs="黑体" w:eastAsia="黑体"/>
          <w:sz w:val="32"/>
          <w:szCs w:val="32"/>
        </w:rPr>
        <w:t>附件</w:t>
      </w:r>
      <w:r>
        <w:rPr>
          <w:rFonts w:eastAsia="黑体" w:cs="黑体" w:ascii="黑体" w:hAnsi="黑体"/>
          <w:sz w:val="32"/>
          <w:szCs w:val="32"/>
        </w:rPr>
        <w:t>1</w:t>
      </w:r>
      <w:bookmarkEnd w:id="81"/>
    </w:p>
    <w:p>
      <w:pPr>
        <w:pStyle w:val="Style16"/>
        <w:spacing w:lineRule="exact" w:line="580"/>
        <w:jc w:val="center"/>
        <w:rPr>
          <w:rFonts w:ascii="方正小标宋简体" w:hAnsi="方正小标宋简体" w:eastAsia="方正小标宋简体" w:cs="方正小标宋简体"/>
          <w:sz w:val="44"/>
          <w:szCs w:val="44"/>
        </w:rPr>
      </w:pPr>
      <w:r>
        <w:rPr>
          <w:rFonts w:eastAsia="方正小标宋简体" w:cs="方正小标宋简体" w:ascii="方正小标宋简体" w:hAnsi="方正小标宋简体"/>
          <w:sz w:val="44"/>
          <w:szCs w:val="44"/>
        </w:rPr>
      </w:r>
    </w:p>
    <w:p>
      <w:pPr>
        <w:pStyle w:val="Style16"/>
        <w:spacing w:lineRule="exact" w:line="600"/>
        <w:jc w:val="center"/>
        <w:rPr>
          <w:rFonts w:ascii="方正小标宋简体" w:hAnsi="方正小标宋简体" w:eastAsia="方正小标宋简体"/>
          <w:color w:val="000000"/>
          <w:kern w:val="0"/>
          <w:sz w:val="40"/>
          <w:szCs w:val="44"/>
          <w:lang w:val="zh-CN"/>
        </w:rPr>
      </w:pPr>
      <w:r>
        <w:rPr>
          <w:rFonts w:ascii="方正小标宋简体" w:hAnsi="方正小标宋简体" w:eastAsia="方正小标宋简体"/>
          <w:color w:val="000000"/>
          <w:kern w:val="0"/>
          <w:sz w:val="40"/>
          <w:szCs w:val="44"/>
          <w:lang w:val="en-US" w:eastAsia="zh-CN"/>
        </w:rPr>
        <w:t>达川区城乡规划编制中心</w:t>
      </w:r>
      <w:r>
        <w:rPr>
          <w:rFonts w:ascii="方正小标宋简体" w:hAnsi="方正小标宋简体" w:eastAsia="方正小标宋简体"/>
          <w:color w:val="000000"/>
          <w:kern w:val="0"/>
          <w:sz w:val="40"/>
          <w:szCs w:val="44"/>
          <w:lang w:val="zh-CN"/>
        </w:rPr>
        <w:t>部门</w:t>
      </w:r>
      <w:r>
        <w:rPr>
          <w:rFonts w:eastAsia="方正小标宋简体" w:ascii="方正小标宋简体" w:hAnsi="方正小标宋简体"/>
          <w:color w:val="000000"/>
          <w:kern w:val="0"/>
          <w:sz w:val="40"/>
          <w:szCs w:val="44"/>
          <w:lang w:val="en-US" w:eastAsia="zh-CN"/>
        </w:rPr>
        <w:t>2020</w:t>
      </w:r>
      <w:r>
        <w:rPr>
          <w:rFonts w:ascii="方正小标宋简体" w:hAnsi="方正小标宋简体" w:eastAsia="方正小标宋简体"/>
          <w:color w:val="000000"/>
          <w:kern w:val="0"/>
          <w:sz w:val="40"/>
          <w:szCs w:val="44"/>
        </w:rPr>
        <w:t>年部门</w:t>
      </w:r>
      <w:r>
        <w:rPr>
          <w:rFonts w:ascii="方正小标宋简体" w:hAnsi="方正小标宋简体" w:eastAsia="方正小标宋简体"/>
          <w:color w:val="000000"/>
          <w:kern w:val="0"/>
          <w:sz w:val="40"/>
          <w:szCs w:val="44"/>
          <w:lang w:val="zh-CN"/>
        </w:rPr>
        <w:t>整体支出绩效评价报告</w:t>
      </w:r>
    </w:p>
    <w:p>
      <w:pPr>
        <w:pStyle w:val="Style16"/>
        <w:spacing w:lineRule="exact" w:line="600"/>
        <w:jc w:val="center"/>
        <w:rPr>
          <w:rFonts w:ascii="方正小标宋简体" w:hAnsi="方正小标宋简体" w:eastAsia="方正小标宋简体"/>
          <w:color w:val="000000"/>
          <w:kern w:val="0"/>
          <w:sz w:val="40"/>
          <w:szCs w:val="44"/>
          <w:lang w:val="zh-CN"/>
        </w:rPr>
      </w:pPr>
      <w:r>
        <w:rPr>
          <w:rFonts w:eastAsia="方正小标宋简体" w:ascii="方正小标宋简体" w:hAnsi="方正小标宋简体"/>
          <w:color w:val="000000"/>
          <w:kern w:val="0"/>
          <w:sz w:val="40"/>
          <w:szCs w:val="44"/>
          <w:lang w:val="zh-CN"/>
        </w:rPr>
      </w:r>
    </w:p>
    <w:p>
      <w:pPr>
        <w:pStyle w:val="Style16"/>
        <w:widowControl/>
        <w:snapToGrid w:val="false"/>
        <w:spacing w:lineRule="exact" w:line="580" w:beforeLines="0" w:beforeAutospacing="0" w:afterLines="0" w:afterAutospacing="0"/>
        <w:ind w:firstLineChars="200" w:firstLine="0"/>
        <w:contextualSpacing/>
        <w:jc w:val="left"/>
        <w:rPr>
          <w:rFonts w:ascii="黑体" w:hAnsi="黑体" w:eastAsia="黑体" w:cs="宋体"/>
          <w:color w:val="000000"/>
          <w:kern w:val="0"/>
          <w:sz w:val="32"/>
          <w:szCs w:val="32"/>
          <w:shd w:fill="FFFFFF" w:val="clear"/>
          <w:lang w:val="zh-CN"/>
        </w:rPr>
      </w:pPr>
      <w:r>
        <w:rPr>
          <w:rFonts w:ascii="黑体" w:hAnsi="黑体" w:cs="宋体" w:eastAsia="黑体"/>
          <w:color w:val="000000"/>
          <w:kern w:val="0"/>
          <w:sz w:val="32"/>
          <w:szCs w:val="32"/>
          <w:shd w:fill="FFFFFF" w:val="clear"/>
        </w:rPr>
        <w:t>一、</w:t>
      </w:r>
      <w:r>
        <w:rPr>
          <w:rFonts w:ascii="黑体" w:hAnsi="黑体" w:cs="宋体" w:eastAsia="黑体"/>
          <w:color w:val="000000"/>
          <w:kern w:val="0"/>
          <w:sz w:val="32"/>
          <w:szCs w:val="32"/>
          <w:shd w:fill="FFFFFF" w:val="clear"/>
          <w:lang w:val="zh-CN"/>
        </w:rPr>
        <w:t>部门（单位）概况</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（一）机构组成。</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en-US" w:eastAsia="zh-CN"/>
        </w:rPr>
      </w:pPr>
      <w:r>
        <w:rPr>
          <w:rFonts w:ascii="仿宋_GB2312" w:hAnsi="仿宋_GB2312" w:cs="宋体" w:eastAsia="仿宋_GB2312"/>
          <w:color w:val="000000"/>
          <w:kern w:val="0"/>
          <w:sz w:val="32"/>
          <w:szCs w:val="32"/>
          <w:shd w:fill="FFFFFF" w:val="clear"/>
          <w:lang w:val="en-US" w:eastAsia="zh-CN"/>
        </w:rPr>
        <w:t>达州市达川区城乡规划编制中心为独立核算事业单位一个。</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（二）机构职能。</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主管全区城乡规划编制工作。</w:t>
      </w:r>
    </w:p>
    <w:p>
      <w:pPr>
        <w:pStyle w:val="Style16"/>
        <w:widowControl/>
        <w:numPr>
          <w:ilvl w:val="0"/>
          <w:numId w:val="6"/>
        </w:numPr>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人员概况。</w:t>
      </w:r>
    </w:p>
    <w:p>
      <w:pPr>
        <w:pStyle w:val="Style16"/>
        <w:widowControl/>
        <w:numPr>
          <w:ilvl w:val="0"/>
          <w:numId w:val="0"/>
        </w:numPr>
        <w:snapToGrid w:val="false"/>
        <w:spacing w:lineRule="exact" w:line="580" w:beforeLines="0" w:beforeAutospacing="0" w:afterLines="0" w:afterAutospacing="0"/>
        <w:ind/>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 xml:space="preserve"> </w:t>
      </w:r>
      <w:r>
        <w:rPr>
          <w:rFonts w:ascii="仿宋_GB2312" w:hAnsi="仿宋_GB2312" w:cs="宋体" w:eastAsia="仿宋_GB2312"/>
          <w:color w:val="000000"/>
          <w:kern w:val="0"/>
          <w:sz w:val="32"/>
          <w:szCs w:val="32"/>
          <w:shd w:fill="FFFFFF" w:val="clear"/>
          <w:lang w:val="en-US" w:eastAsia="zh-CN"/>
        </w:rPr>
        <w:t xml:space="preserve">   </w:t>
      </w:r>
      <w:r>
        <w:rPr>
          <w:rFonts w:ascii="仿宋_GB2312" w:hAnsi="仿宋_GB2312" w:cs="宋体" w:eastAsia="仿宋_GB2312"/>
          <w:color w:val="000000"/>
          <w:kern w:val="0"/>
          <w:sz w:val="32"/>
          <w:szCs w:val="32"/>
          <w:shd w:fill="FFFFFF" w:val="clear"/>
          <w:lang w:val="zh-CN"/>
        </w:rPr>
        <w:t>现有事业编制</w:t>
      </w:r>
      <w:r>
        <w:rPr>
          <w:rFonts w:eastAsia="仿宋_GB2312" w:cs="宋体" w:ascii="仿宋_GB2312" w:hAnsi="仿宋_GB2312"/>
          <w:color w:val="000000"/>
          <w:kern w:val="0"/>
          <w:sz w:val="32"/>
          <w:szCs w:val="32"/>
          <w:shd w:fill="FFFFFF" w:val="clear"/>
          <w:lang w:val="en-US" w:eastAsia="zh-CN"/>
        </w:rPr>
        <w:t>35</w:t>
      </w:r>
      <w:r>
        <w:rPr>
          <w:rFonts w:ascii="仿宋_GB2312" w:hAnsi="仿宋_GB2312" w:cs="宋体" w:eastAsia="仿宋_GB2312"/>
          <w:color w:val="000000"/>
          <w:kern w:val="0"/>
          <w:sz w:val="32"/>
          <w:szCs w:val="32"/>
          <w:shd w:fill="FFFFFF" w:val="clear"/>
          <w:lang w:val="zh-CN"/>
        </w:rPr>
        <w:t>人，实有在职</w:t>
      </w:r>
      <w:r>
        <w:rPr>
          <w:rFonts w:eastAsia="仿宋_GB2312" w:cs="宋体" w:ascii="仿宋_GB2312" w:hAnsi="仿宋_GB2312"/>
          <w:color w:val="000000"/>
          <w:kern w:val="0"/>
          <w:sz w:val="32"/>
          <w:szCs w:val="32"/>
          <w:shd w:fill="FFFFFF" w:val="clear"/>
          <w:lang w:val="en-US" w:eastAsia="zh-CN"/>
        </w:rPr>
        <w:t>23</w:t>
      </w:r>
      <w:r>
        <w:rPr>
          <w:rFonts w:ascii="仿宋_GB2312" w:hAnsi="仿宋_GB2312" w:cs="宋体" w:eastAsia="仿宋_GB2312"/>
          <w:color w:val="000000"/>
          <w:kern w:val="0"/>
          <w:sz w:val="32"/>
          <w:szCs w:val="32"/>
          <w:shd w:fill="FFFFFF" w:val="clear"/>
          <w:lang w:val="zh-CN"/>
        </w:rPr>
        <w:t>人。</w:t>
      </w:r>
    </w:p>
    <w:p>
      <w:pPr>
        <w:pStyle w:val="Style16"/>
        <w:widowControl/>
        <w:snapToGrid w:val="false"/>
        <w:spacing w:lineRule="exact" w:line="580" w:beforeLines="0" w:beforeAutospacing="0" w:afterLines="0" w:afterAutospacing="0"/>
        <w:ind w:firstLineChars="200" w:firstLine="0"/>
        <w:contextualSpacing/>
        <w:jc w:val="left"/>
        <w:rPr>
          <w:rFonts w:ascii="黑体" w:hAnsi="黑体" w:eastAsia="黑体" w:cs="宋体"/>
          <w:color w:val="000000"/>
          <w:kern w:val="0"/>
          <w:sz w:val="32"/>
          <w:szCs w:val="32"/>
          <w:shd w:fill="FFFFFF" w:val="clear"/>
        </w:rPr>
      </w:pPr>
      <w:r>
        <w:rPr>
          <w:rFonts w:ascii="黑体" w:hAnsi="黑体" w:cs="宋体" w:eastAsia="黑体"/>
          <w:color w:val="000000"/>
          <w:kern w:val="0"/>
          <w:sz w:val="32"/>
          <w:szCs w:val="32"/>
          <w:shd w:fill="FFFFFF" w:val="clear"/>
        </w:rPr>
        <w:t>二、部门财政资金收支情况</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（一）部门财政资金收入情况。</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en-US" w:eastAsia="zh-CN"/>
        </w:rPr>
      </w:pPr>
      <w:r>
        <w:rPr>
          <w:rFonts w:eastAsia="仿宋_GB2312" w:cs="宋体" w:ascii="仿宋_GB2312" w:hAnsi="仿宋_GB2312"/>
          <w:color w:val="000000"/>
          <w:kern w:val="0"/>
          <w:sz w:val="32"/>
          <w:szCs w:val="32"/>
          <w:shd w:fill="FFFFFF" w:val="clear"/>
          <w:lang w:val="zh-CN"/>
        </w:rPr>
        <w:t>2019</w:t>
      </w:r>
      <w:r>
        <w:rPr>
          <w:rFonts w:ascii="仿宋_GB2312" w:hAnsi="仿宋_GB2312" w:cs="宋体" w:eastAsia="仿宋_GB2312"/>
          <w:color w:val="000000"/>
          <w:kern w:val="0"/>
          <w:sz w:val="32"/>
          <w:szCs w:val="32"/>
          <w:shd w:fill="FFFFFF" w:val="clear"/>
          <w:lang w:val="zh-CN"/>
        </w:rPr>
        <w:t>年本年收入合计</w:t>
      </w:r>
      <w:r>
        <w:rPr>
          <w:rFonts w:eastAsia="仿宋_GB2312" w:cs="宋体" w:ascii="仿宋_GB2312" w:hAnsi="仿宋_GB2312"/>
          <w:color w:val="000000"/>
          <w:kern w:val="0"/>
          <w:sz w:val="32"/>
          <w:szCs w:val="32"/>
          <w:shd w:fill="FFFFFF" w:val="clear"/>
          <w:lang w:val="en-US" w:eastAsia="zh-CN"/>
        </w:rPr>
        <w:t>359.19</w:t>
      </w:r>
      <w:r>
        <w:rPr>
          <w:rFonts w:ascii="仿宋_GB2312" w:hAnsi="仿宋_GB2312" w:cs="宋体" w:eastAsia="仿宋_GB2312"/>
          <w:color w:val="000000"/>
          <w:kern w:val="0"/>
          <w:sz w:val="32"/>
          <w:szCs w:val="32"/>
          <w:shd w:fill="FFFFFF" w:val="clear"/>
          <w:lang w:val="zh-CN"/>
        </w:rPr>
        <w:t>万元，其中：一般公共预算财政拨款收入</w:t>
      </w:r>
      <w:r>
        <w:rPr>
          <w:rFonts w:eastAsia="仿宋_GB2312" w:cs="宋体" w:ascii="仿宋_GB2312" w:hAnsi="仿宋_GB2312"/>
          <w:color w:val="000000"/>
          <w:kern w:val="0"/>
          <w:sz w:val="32"/>
          <w:szCs w:val="32"/>
          <w:shd w:fill="FFFFFF" w:val="clear"/>
          <w:lang w:val="en-US" w:eastAsia="zh-CN"/>
        </w:rPr>
        <w:t>193.80</w:t>
      </w:r>
      <w:r>
        <w:rPr>
          <w:rFonts w:ascii="仿宋_GB2312" w:hAnsi="仿宋_GB2312" w:cs="宋体" w:eastAsia="仿宋_GB2312"/>
          <w:color w:val="000000"/>
          <w:kern w:val="0"/>
          <w:sz w:val="32"/>
          <w:szCs w:val="32"/>
          <w:shd w:fill="FFFFFF" w:val="clear"/>
          <w:lang w:val="zh-CN"/>
        </w:rPr>
        <w:t>万元，占</w:t>
      </w:r>
      <w:r>
        <w:rPr>
          <w:rFonts w:eastAsia="仿宋_GB2312" w:cs="宋体" w:ascii="仿宋_GB2312" w:hAnsi="仿宋_GB2312"/>
          <w:color w:val="000000"/>
          <w:kern w:val="0"/>
          <w:sz w:val="32"/>
          <w:szCs w:val="32"/>
          <w:shd w:fill="FFFFFF" w:val="clear"/>
          <w:lang w:val="en-US" w:eastAsia="zh-CN"/>
        </w:rPr>
        <w:t>53.95</w:t>
      </w:r>
      <w:r>
        <w:rPr>
          <w:rFonts w:eastAsia="仿宋_GB2312" w:cs="宋体" w:ascii="仿宋_GB2312" w:hAnsi="仿宋_GB2312"/>
          <w:color w:val="000000"/>
          <w:kern w:val="0"/>
          <w:sz w:val="32"/>
          <w:szCs w:val="32"/>
          <w:shd w:fill="FFFFFF" w:val="clear"/>
          <w:lang w:val="zh-CN"/>
        </w:rPr>
        <w:t>%</w:t>
      </w:r>
      <w:r>
        <w:rPr>
          <w:rFonts w:ascii="仿宋_GB2312" w:hAnsi="仿宋_GB2312" w:cs="宋体" w:eastAsia="仿宋_GB2312"/>
          <w:color w:val="000000"/>
          <w:kern w:val="0"/>
          <w:sz w:val="32"/>
          <w:szCs w:val="32"/>
          <w:shd w:fill="FFFFFF" w:val="clear"/>
          <w:lang w:val="zh-CN"/>
        </w:rPr>
        <w:t>，</w:t>
      </w:r>
      <w:r>
        <w:rPr>
          <w:rFonts w:ascii="仿宋_GB2312" w:hAnsi="仿宋_GB2312" w:cs="宋体" w:eastAsia="仿宋_GB2312"/>
          <w:color w:val="000000"/>
          <w:kern w:val="0"/>
          <w:sz w:val="32"/>
          <w:szCs w:val="32"/>
          <w:shd w:fill="FFFFFF" w:val="clear"/>
          <w:lang w:val="en-US" w:eastAsia="zh-CN"/>
        </w:rPr>
        <w:t>政府基金预算财政拨款收入</w:t>
      </w:r>
      <w:r>
        <w:rPr>
          <w:rFonts w:eastAsia="仿宋_GB2312" w:cs="宋体" w:ascii="仿宋_GB2312" w:hAnsi="仿宋_GB2312"/>
          <w:color w:val="000000"/>
          <w:kern w:val="0"/>
          <w:sz w:val="32"/>
          <w:szCs w:val="32"/>
          <w:shd w:fill="FFFFFF" w:val="clear"/>
          <w:lang w:val="en-US" w:eastAsia="zh-CN"/>
        </w:rPr>
        <w:t>165.39</w:t>
      </w:r>
      <w:r>
        <w:rPr>
          <w:rFonts w:ascii="仿宋_GB2312" w:hAnsi="仿宋_GB2312" w:cs="宋体" w:eastAsia="仿宋_GB2312"/>
          <w:color w:val="000000"/>
          <w:kern w:val="0"/>
          <w:sz w:val="32"/>
          <w:szCs w:val="32"/>
          <w:shd w:fill="FFFFFF" w:val="clear"/>
          <w:lang w:val="en-US" w:eastAsia="zh-CN"/>
        </w:rPr>
        <w:t>万元，占</w:t>
      </w:r>
      <w:r>
        <w:rPr>
          <w:rFonts w:eastAsia="仿宋_GB2312" w:cs="宋体" w:ascii="仿宋_GB2312" w:hAnsi="仿宋_GB2312"/>
          <w:color w:val="000000"/>
          <w:kern w:val="0"/>
          <w:sz w:val="32"/>
          <w:szCs w:val="32"/>
          <w:shd w:fill="FFFFFF" w:val="clear"/>
          <w:lang w:val="en-US" w:eastAsia="zh-CN"/>
        </w:rPr>
        <w:t>46.05%</w:t>
      </w:r>
      <w:r>
        <w:rPr>
          <w:rFonts w:ascii="仿宋_GB2312" w:hAnsi="仿宋_GB2312" w:cs="宋体" w:eastAsia="仿宋_GB2312"/>
          <w:color w:val="000000"/>
          <w:kern w:val="0"/>
          <w:sz w:val="32"/>
          <w:szCs w:val="32"/>
          <w:shd w:fill="FFFFFF" w:val="clear"/>
          <w:lang w:val="zh-CN"/>
        </w:rPr>
        <w:t>。</w:t>
      </w:r>
    </w:p>
    <w:p>
      <w:pPr>
        <w:pStyle w:val="Style16"/>
        <w:widowControl/>
        <w:numPr>
          <w:ilvl w:val="0"/>
          <w:numId w:val="7"/>
        </w:numPr>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部门财政资金支出情况。</w:t>
      </w:r>
    </w:p>
    <w:p>
      <w:pPr>
        <w:pStyle w:val="Style16"/>
        <w:widowControl/>
        <w:numPr>
          <w:ilvl w:val="0"/>
          <w:numId w:val="0"/>
        </w:numPr>
        <w:snapToGrid w:val="false"/>
        <w:spacing w:lineRule="exact" w:line="580" w:beforeLines="0" w:beforeAutospacing="0" w:afterLines="0" w:afterAutospacing="0"/>
        <w:ind/>
        <w:contextualSpacing/>
        <w:jc w:val="left"/>
        <w:rPr>
          <w:rFonts w:ascii="仿宋_GB2312" w:hAnsi="仿宋_GB2312" w:eastAsia="仿宋_GB2312" w:cs="宋体"/>
          <w:color w:val="000000"/>
          <w:kern w:val="0"/>
          <w:sz w:val="32"/>
          <w:szCs w:val="32"/>
          <w:shd w:fill="FFFFFF" w:val="clear"/>
          <w:lang w:val="en-US" w:eastAsia="zh-CN"/>
        </w:rPr>
      </w:pPr>
      <w:r>
        <w:rPr>
          <w:rFonts w:ascii="仿宋_GB2312" w:hAnsi="仿宋_GB2312" w:cs="宋体" w:eastAsia="仿宋_GB2312"/>
          <w:color w:val="000000"/>
          <w:kern w:val="0"/>
          <w:sz w:val="32"/>
          <w:szCs w:val="32"/>
          <w:shd w:fill="FFFFFF" w:val="clear"/>
          <w:lang w:val="en-US" w:eastAsia="zh-CN"/>
        </w:rPr>
        <w:t xml:space="preserve">    </w:t>
      </w:r>
      <w:r>
        <w:rPr>
          <w:rFonts w:eastAsia="仿宋_GB2312" w:cs="宋体" w:ascii="仿宋_GB2312" w:hAnsi="仿宋_GB2312"/>
          <w:color w:val="000000"/>
          <w:kern w:val="0"/>
          <w:sz w:val="32"/>
          <w:szCs w:val="32"/>
          <w:shd w:fill="FFFFFF" w:val="clear"/>
          <w:lang w:val="en-US" w:eastAsia="zh-CN"/>
        </w:rPr>
        <w:t>2019</w:t>
      </w:r>
      <w:r>
        <w:rPr>
          <w:rFonts w:ascii="仿宋_GB2312" w:hAnsi="仿宋_GB2312" w:cs="宋体" w:eastAsia="仿宋_GB2312"/>
          <w:color w:val="000000"/>
          <w:kern w:val="0"/>
          <w:sz w:val="32"/>
          <w:szCs w:val="32"/>
          <w:shd w:fill="FFFFFF" w:val="clear"/>
          <w:lang w:val="en-US" w:eastAsia="zh-CN"/>
        </w:rPr>
        <w:t>年支出</w:t>
      </w:r>
      <w:r>
        <w:rPr>
          <w:rFonts w:eastAsia="仿宋_GB2312" w:cs="宋体" w:ascii="仿宋_GB2312" w:hAnsi="仿宋_GB2312"/>
          <w:color w:val="000000"/>
          <w:kern w:val="0"/>
          <w:sz w:val="32"/>
          <w:szCs w:val="32"/>
          <w:shd w:fill="FFFFFF" w:val="clear"/>
          <w:lang w:val="en-US" w:eastAsia="zh-CN"/>
        </w:rPr>
        <w:t>382.45</w:t>
      </w:r>
      <w:r>
        <w:rPr>
          <w:rFonts w:ascii="仿宋_GB2312" w:hAnsi="仿宋_GB2312" w:cs="宋体" w:eastAsia="仿宋_GB2312"/>
          <w:color w:val="000000"/>
          <w:kern w:val="0"/>
          <w:sz w:val="32"/>
          <w:szCs w:val="32"/>
          <w:shd w:fill="FFFFFF" w:val="clear"/>
          <w:lang w:val="en-US" w:eastAsia="zh-CN"/>
        </w:rPr>
        <w:t>万元（含上年结余），其中：基本支出</w:t>
      </w:r>
      <w:r>
        <w:rPr>
          <w:rFonts w:eastAsia="仿宋_GB2312" w:cs="宋体" w:ascii="仿宋_GB2312" w:hAnsi="仿宋_GB2312"/>
          <w:color w:val="000000"/>
          <w:kern w:val="0"/>
          <w:sz w:val="32"/>
          <w:szCs w:val="32"/>
          <w:shd w:fill="FFFFFF" w:val="clear"/>
          <w:lang w:val="en-US" w:eastAsia="zh-CN"/>
        </w:rPr>
        <w:t>217.06</w:t>
      </w:r>
      <w:r>
        <w:rPr>
          <w:rFonts w:ascii="仿宋_GB2312" w:hAnsi="仿宋_GB2312" w:cs="宋体" w:eastAsia="仿宋_GB2312"/>
          <w:color w:val="000000"/>
          <w:kern w:val="0"/>
          <w:sz w:val="32"/>
          <w:szCs w:val="32"/>
          <w:shd w:fill="FFFFFF" w:val="clear"/>
          <w:lang w:val="en-US" w:eastAsia="zh-CN"/>
        </w:rPr>
        <w:t>万元，占</w:t>
      </w:r>
      <w:r>
        <w:rPr>
          <w:rFonts w:eastAsia="仿宋_GB2312" w:cs="宋体" w:ascii="仿宋_GB2312" w:hAnsi="仿宋_GB2312"/>
          <w:color w:val="000000"/>
          <w:kern w:val="0"/>
          <w:sz w:val="32"/>
          <w:szCs w:val="32"/>
          <w:shd w:fill="FFFFFF" w:val="clear"/>
          <w:lang w:val="en-US" w:eastAsia="zh-CN"/>
        </w:rPr>
        <w:t>56.76%</w:t>
      </w:r>
      <w:r>
        <w:rPr>
          <w:rFonts w:ascii="仿宋_GB2312" w:hAnsi="仿宋_GB2312" w:cs="宋体" w:eastAsia="仿宋_GB2312"/>
          <w:color w:val="000000"/>
          <w:kern w:val="0"/>
          <w:sz w:val="32"/>
          <w:szCs w:val="32"/>
          <w:shd w:fill="FFFFFF" w:val="clear"/>
          <w:lang w:val="en-US" w:eastAsia="zh-CN"/>
        </w:rPr>
        <w:t>，项目支出</w:t>
      </w:r>
      <w:r>
        <w:rPr>
          <w:rFonts w:eastAsia="仿宋_GB2312" w:cs="宋体" w:ascii="仿宋_GB2312" w:hAnsi="仿宋_GB2312"/>
          <w:color w:val="000000"/>
          <w:kern w:val="0"/>
          <w:sz w:val="32"/>
          <w:szCs w:val="32"/>
          <w:shd w:fill="FFFFFF" w:val="clear"/>
          <w:lang w:val="en-US" w:eastAsia="zh-CN"/>
        </w:rPr>
        <w:t>165.39</w:t>
      </w:r>
      <w:r>
        <w:rPr>
          <w:rFonts w:ascii="仿宋_GB2312" w:hAnsi="仿宋_GB2312" w:cs="宋体" w:eastAsia="仿宋_GB2312"/>
          <w:color w:val="000000"/>
          <w:kern w:val="0"/>
          <w:sz w:val="32"/>
          <w:szCs w:val="32"/>
          <w:shd w:fill="FFFFFF" w:val="clear"/>
          <w:lang w:val="en-US" w:eastAsia="zh-CN"/>
        </w:rPr>
        <w:t>万元，占</w:t>
      </w:r>
      <w:r>
        <w:rPr>
          <w:rFonts w:eastAsia="仿宋_GB2312" w:cs="宋体" w:ascii="仿宋_GB2312" w:hAnsi="仿宋_GB2312"/>
          <w:color w:val="000000"/>
          <w:kern w:val="0"/>
          <w:sz w:val="32"/>
          <w:szCs w:val="32"/>
          <w:shd w:fill="FFFFFF" w:val="clear"/>
          <w:lang w:val="en-US" w:eastAsia="zh-CN"/>
        </w:rPr>
        <w:t>43.24%</w:t>
      </w:r>
      <w:r>
        <w:rPr>
          <w:rFonts w:ascii="仿宋_GB2312" w:hAnsi="仿宋_GB2312" w:cs="宋体" w:eastAsia="仿宋_GB2312"/>
          <w:color w:val="000000"/>
          <w:kern w:val="0"/>
          <w:sz w:val="32"/>
          <w:szCs w:val="32"/>
          <w:shd w:fill="FFFFFF" w:val="clear"/>
          <w:lang w:val="en-US" w:eastAsia="zh-CN"/>
        </w:rPr>
        <w:t>。</w:t>
      </w:r>
    </w:p>
    <w:p>
      <w:pPr>
        <w:pStyle w:val="Style16"/>
        <w:widowControl/>
        <w:snapToGrid w:val="false"/>
        <w:spacing w:lineRule="exact" w:line="580" w:beforeLines="0" w:beforeAutospacing="0" w:afterLines="0" w:afterAutospacing="0"/>
        <w:ind w:firstLineChars="200" w:firstLine="0"/>
        <w:contextualSpacing/>
        <w:jc w:val="left"/>
        <w:rPr>
          <w:rFonts w:ascii="黑体" w:hAnsi="黑体" w:eastAsia="黑体" w:cs="宋体"/>
          <w:color w:val="000000"/>
          <w:kern w:val="0"/>
          <w:sz w:val="32"/>
          <w:szCs w:val="32"/>
          <w:shd w:fill="FFFFFF" w:val="clear"/>
        </w:rPr>
      </w:pPr>
      <w:r>
        <w:rPr>
          <w:rFonts w:ascii="黑体" w:hAnsi="黑体" w:cs="宋体" w:eastAsia="黑体"/>
          <w:color w:val="000000"/>
          <w:kern w:val="0"/>
          <w:sz w:val="32"/>
          <w:szCs w:val="32"/>
          <w:shd w:fill="FFFFFF" w:val="clear"/>
        </w:rPr>
        <w:t>三、部门整体预算绩效管理情况</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（一）部门预算管理。</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包括部门绩效目标制定、目标实现、预算编制准确、支出控制、预算动态调整、执行进度、预算完成情况和违规记录等情况。</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（二）结果应用情况。</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包括绩效自评公开、评价结果整改和应用结果反馈等情况。</w:t>
      </w:r>
    </w:p>
    <w:p>
      <w:pPr>
        <w:pStyle w:val="Style16"/>
        <w:widowControl/>
        <w:snapToGrid w:val="false"/>
        <w:spacing w:lineRule="exact" w:line="580" w:beforeLines="0" w:beforeAutospacing="0" w:afterLines="0" w:afterAutospacing="0"/>
        <w:ind w:firstLineChars="200" w:firstLine="0"/>
        <w:contextualSpacing/>
        <w:jc w:val="left"/>
        <w:rPr>
          <w:rFonts w:ascii="黑体" w:hAnsi="黑体" w:eastAsia="黑体" w:cs="宋体"/>
          <w:color w:val="000000"/>
          <w:kern w:val="0"/>
          <w:sz w:val="32"/>
          <w:szCs w:val="32"/>
          <w:shd w:fill="FFFFFF" w:val="clear"/>
        </w:rPr>
      </w:pPr>
      <w:r>
        <w:rPr>
          <w:rFonts w:ascii="黑体" w:hAnsi="黑体" w:cs="宋体" w:eastAsia="黑体"/>
          <w:color w:val="000000"/>
          <w:kern w:val="0"/>
          <w:sz w:val="32"/>
          <w:szCs w:val="32"/>
          <w:shd w:fill="FFFFFF" w:val="clear"/>
        </w:rPr>
        <w:t>四、评价结论及建议</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（一）评价结论。</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（二）存在问题。</w:t>
      </w:r>
    </w:p>
    <w:p>
      <w:pPr>
        <w:pStyle w:val="Style16"/>
        <w:widowControl/>
        <w:snapToGrid w:val="false"/>
        <w:spacing w:lineRule="exact" w:line="580" w:beforeLines="0" w:beforeAutospacing="0" w:afterLines="0" w:afterAutospacing="0"/>
        <w:ind w:firstLineChars="200" w:firstLine="0"/>
        <w:contextualSpacing/>
        <w:jc w:val="left"/>
        <w:rPr>
          <w:rFonts w:ascii="仿宋_GB2312" w:hAnsi="仿宋_GB2312" w:eastAsia="仿宋_GB2312" w:cs="宋体"/>
          <w:color w:val="000000"/>
          <w:kern w:val="0"/>
          <w:sz w:val="32"/>
          <w:szCs w:val="32"/>
          <w:shd w:fill="FFFFFF" w:val="clear"/>
          <w:lang w:val="zh-CN"/>
        </w:rPr>
      </w:pPr>
      <w:r>
        <w:rPr>
          <w:rFonts w:ascii="仿宋_GB2312" w:hAnsi="仿宋_GB2312" w:cs="宋体" w:eastAsia="仿宋_GB2312"/>
          <w:color w:val="000000"/>
          <w:kern w:val="0"/>
          <w:sz w:val="32"/>
          <w:szCs w:val="32"/>
          <w:shd w:fill="FFFFFF" w:val="clear"/>
          <w:lang w:val="zh-CN"/>
        </w:rPr>
        <w:t>（三）改进建议。</w:t>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黑体" w:hAnsi="黑体" w:eastAsia="黑体" w:cs="黑体"/>
          <w:sz w:val="32"/>
          <w:szCs w:val="32"/>
        </w:rPr>
      </w:pPr>
      <w:r>
        <w:rPr>
          <w:rFonts w:eastAsia="黑体" w:cs="黑体" w:ascii="黑体" w:hAnsi="黑体"/>
          <w:sz w:val="32"/>
          <w:szCs w:val="32"/>
        </w:rPr>
      </w:r>
    </w:p>
    <w:p>
      <w:pPr>
        <w:pStyle w:val="Style16"/>
        <w:spacing w:lineRule="exact" w:line="580"/>
        <w:rPr>
          <w:rFonts w:ascii="仿宋_GB2312" w:hAnsi="仿宋_GB2312" w:eastAsia="仿宋_GB2312" w:cs="仿宋_GB2312"/>
          <w:sz w:val="32"/>
          <w:szCs w:val="32"/>
        </w:rPr>
      </w:pPr>
      <w:r>
        <w:rPr>
          <w:rFonts w:ascii="黑体" w:hAnsi="黑体" w:cs="黑体" w:eastAsia="黑体"/>
          <w:sz w:val="32"/>
          <w:szCs w:val="32"/>
        </w:rPr>
        <w:t>附件</w:t>
      </w:r>
      <w:r>
        <w:rPr>
          <w:rFonts w:eastAsia="黑体" w:cs="黑体" w:ascii="黑体" w:hAnsi="黑体"/>
          <w:sz w:val="32"/>
          <w:szCs w:val="32"/>
        </w:rPr>
        <w:t>2</w:t>
      </w:r>
    </w:p>
    <w:p>
      <w:pPr>
        <w:pStyle w:val="Style16"/>
        <w:spacing w:lineRule="exact" w:line="580"/>
        <w:ind w:firstLineChars="200" w:firstLine="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600"/>
        <w:jc w:val="center"/>
        <w:rPr>
          <w:rFonts w:ascii="方正小标宋简体" w:hAnsi="方正小标宋简体" w:eastAsia="方正小标宋简体"/>
          <w:color w:val="000000"/>
          <w:kern w:val="0"/>
          <w:sz w:val="44"/>
          <w:szCs w:val="44"/>
          <w:lang w:val="zh-CN"/>
        </w:rPr>
      </w:pPr>
      <w:r>
        <w:rPr>
          <w:rFonts w:eastAsia="方正小标宋简体" w:ascii="方正小标宋简体" w:hAnsi="方正小标宋简体"/>
          <w:color w:val="000000"/>
          <w:kern w:val="0"/>
          <w:sz w:val="44"/>
          <w:szCs w:val="44"/>
        </w:rPr>
        <w:t>XXX</w:t>
      </w:r>
      <w:r>
        <w:rPr>
          <w:rFonts w:ascii="方正小标宋简体" w:hAnsi="方正小标宋简体" w:eastAsia="方正小标宋简体"/>
          <w:color w:val="000000"/>
          <w:kern w:val="0"/>
          <w:sz w:val="44"/>
          <w:szCs w:val="44"/>
          <w:lang w:val="zh-CN"/>
        </w:rPr>
        <w:t>项目</w:t>
      </w:r>
      <w:r>
        <w:rPr>
          <w:rFonts w:eastAsia="方正小标宋简体" w:ascii="方正小标宋简体" w:hAnsi="方正小标宋简体"/>
          <w:color w:val="000000"/>
          <w:kern w:val="0"/>
          <w:sz w:val="44"/>
          <w:szCs w:val="44"/>
        </w:rPr>
        <w:t>20</w:t>
      </w:r>
      <w:r>
        <w:rPr>
          <w:rFonts w:eastAsia="方正小标宋简体" w:ascii="方正小标宋简体" w:hAnsi="方正小标宋简体"/>
          <w:color w:val="000000"/>
          <w:kern w:val="0"/>
          <w:sz w:val="44"/>
          <w:szCs w:val="44"/>
          <w:lang w:val="en-US" w:eastAsia="zh-CN"/>
        </w:rPr>
        <w:t>20</w:t>
      </w:r>
      <w:r>
        <w:rPr>
          <w:rFonts w:ascii="方正小标宋简体" w:hAnsi="方正小标宋简体" w:eastAsia="方正小标宋简体"/>
          <w:color w:val="000000"/>
          <w:kern w:val="0"/>
          <w:sz w:val="44"/>
          <w:szCs w:val="44"/>
        </w:rPr>
        <w:t>年</w:t>
      </w:r>
      <w:r>
        <w:rPr>
          <w:rFonts w:ascii="方正小标宋简体" w:hAnsi="方正小标宋简体" w:eastAsia="方正小标宋简体"/>
          <w:color w:val="000000"/>
          <w:kern w:val="0"/>
          <w:sz w:val="44"/>
          <w:szCs w:val="44"/>
          <w:lang w:val="zh-CN"/>
        </w:rPr>
        <w:t>绩效评价报告</w:t>
      </w:r>
    </w:p>
    <w:p>
      <w:pPr>
        <w:pStyle w:val="Style16"/>
        <w:spacing w:lineRule="exact" w:line="600"/>
        <w:rPr>
          <w:rFonts w:ascii="宋体" w:hAnsi="宋体"/>
          <w:sz w:val="32"/>
          <w:szCs w:val="32"/>
          <w:lang w:val="zh-CN"/>
        </w:rPr>
      </w:pPr>
      <w:r>
        <w:rPr>
          <w:rFonts w:ascii="宋体" w:hAnsi="宋体"/>
          <w:sz w:val="32"/>
          <w:szCs w:val="32"/>
          <w:lang w:val="zh-CN"/>
        </w:rPr>
      </w:r>
    </w:p>
    <w:p>
      <w:pPr>
        <w:pStyle w:val="Style16"/>
        <w:snapToGrid w:val="false"/>
        <w:spacing w:lineRule="exact" w:line="600"/>
        <w:ind w:firstLine="720"/>
        <w:rPr>
          <w:rFonts w:ascii="黑体" w:hAnsi="黑体" w:eastAsia="黑体"/>
          <w:sz w:val="32"/>
          <w:szCs w:val="32"/>
          <w:lang w:val="zh-CN"/>
        </w:rPr>
      </w:pPr>
      <w:r>
        <w:rPr>
          <w:rFonts w:ascii="黑体" w:hAnsi="黑体" w:eastAsia="黑体"/>
          <w:sz w:val="32"/>
          <w:szCs w:val="32"/>
        </w:rPr>
        <w:t>一、</w:t>
      </w:r>
      <w:r>
        <w:rPr>
          <w:rFonts w:ascii="黑体" w:hAnsi="黑体" w:eastAsia="黑体"/>
          <w:sz w:val="32"/>
          <w:szCs w:val="32"/>
          <w:lang w:val="zh-CN"/>
        </w:rPr>
        <w:t>项目概况</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（一）项目基本情况。</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1</w:t>
      </w:r>
      <w:r>
        <w:rPr>
          <w:rFonts w:ascii="仿宋_GB2312" w:hAnsi="仿宋_GB2312" w:eastAsia="仿宋_GB2312"/>
          <w:sz w:val="32"/>
          <w:szCs w:val="32"/>
          <w:lang w:val="zh-CN"/>
        </w:rPr>
        <w:t>．说明项目主管部门（单位）在该项目管理中的职能。</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2</w:t>
      </w:r>
      <w:r>
        <w:rPr>
          <w:rFonts w:ascii="仿宋_GB2312" w:hAnsi="仿宋_GB2312" w:eastAsia="仿宋_GB2312"/>
          <w:sz w:val="32"/>
          <w:szCs w:val="32"/>
          <w:lang w:val="zh-CN"/>
        </w:rPr>
        <w:t>．项目立项、资金申报的依据。</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3</w:t>
      </w:r>
      <w:r>
        <w:rPr>
          <w:rFonts w:ascii="仿宋_GB2312" w:hAnsi="仿宋_GB2312" w:eastAsia="仿宋_GB2312"/>
          <w:sz w:val="32"/>
          <w:szCs w:val="32"/>
          <w:lang w:val="zh-CN"/>
        </w:rPr>
        <w:t>．资金管理办法制定情况，资金支持具体项目的条件、范围与支持方式概况。</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4</w:t>
      </w:r>
      <w:r>
        <w:rPr>
          <w:rFonts w:ascii="仿宋_GB2312" w:hAnsi="仿宋_GB2312" w:eastAsia="仿宋_GB2312"/>
          <w:sz w:val="32"/>
          <w:szCs w:val="32"/>
          <w:lang w:val="zh-CN"/>
        </w:rPr>
        <w:t>．资金分配的原则及考虑因素。</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（二）项目绩效目标。</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1</w:t>
      </w:r>
      <w:r>
        <w:rPr>
          <w:rFonts w:ascii="仿宋_GB2312" w:hAnsi="仿宋_GB2312" w:eastAsia="仿宋_GB2312"/>
          <w:sz w:val="32"/>
          <w:szCs w:val="32"/>
          <w:lang w:val="zh-CN"/>
        </w:rPr>
        <w:t>．项目主要内容。</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2</w:t>
      </w:r>
      <w:r>
        <w:rPr>
          <w:rFonts w:ascii="仿宋_GB2312" w:hAnsi="仿宋_GB2312" w:eastAsia="仿宋_GB2312"/>
          <w:sz w:val="32"/>
          <w:szCs w:val="32"/>
          <w:lang w:val="zh-CN"/>
        </w:rPr>
        <w:t>．项目应实现的具体绩效目标，包括目标的量化、细化情况以及项目实施进度计划等。</w:t>
      </w:r>
    </w:p>
    <w:p>
      <w:pPr>
        <w:pStyle w:val="Style16"/>
        <w:snapToGrid w:val="false"/>
        <w:spacing w:lineRule="exact" w:line="600"/>
        <w:ind w:firstLine="720"/>
        <w:rPr>
          <w:rFonts w:ascii="仿宋_GB2312" w:hAnsi="仿宋_GB2312" w:eastAsia="仿宋_GB2312"/>
          <w:sz w:val="32"/>
          <w:szCs w:val="32"/>
          <w:lang w:val="zh-CN"/>
        </w:rPr>
      </w:pPr>
      <w:r>
        <w:rPr>
          <w:rFonts w:eastAsia="仿宋_GB2312" w:ascii="仿宋_GB2312" w:hAnsi="仿宋_GB2312"/>
          <w:sz w:val="32"/>
          <w:szCs w:val="32"/>
          <w:lang w:val="zh-CN"/>
        </w:rPr>
        <w:t>3</w:t>
      </w:r>
      <w:r>
        <w:rPr>
          <w:rFonts w:ascii="仿宋_GB2312" w:hAnsi="仿宋_GB2312" w:eastAsia="仿宋_GB2312"/>
          <w:sz w:val="32"/>
          <w:szCs w:val="32"/>
          <w:lang w:val="zh-CN"/>
        </w:rPr>
        <w:t>．分析评价申报内容是否与实际相符，申报目标是否合理可行。</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（三）项目自评步骤及方法。</w:t>
      </w:r>
    </w:p>
    <w:p>
      <w:pPr>
        <w:pStyle w:val="Style16"/>
        <w:snapToGrid w:val="false"/>
        <w:spacing w:lineRule="exact" w:line="600"/>
        <w:ind w:firstLine="720"/>
        <w:rPr>
          <w:rFonts w:ascii="仿宋_GB2312" w:hAnsi="仿宋_GB2312" w:eastAsia="仿宋_GB2312"/>
          <w:sz w:val="32"/>
          <w:szCs w:val="32"/>
          <w:lang w:val="zh-CN"/>
        </w:rPr>
      </w:pPr>
      <w:r>
        <w:rPr>
          <w:rFonts w:ascii="仿宋_GB2312" w:hAnsi="仿宋_GB2312" w:eastAsia="仿宋_GB2312"/>
          <w:sz w:val="32"/>
          <w:szCs w:val="32"/>
          <w:lang w:val="zh-CN"/>
        </w:rPr>
        <w:t>说明项目绩效自评采用的组织实施步骤及方法。</w:t>
      </w:r>
    </w:p>
    <w:p>
      <w:pPr>
        <w:pStyle w:val="Style16"/>
        <w:snapToGrid w:val="false"/>
        <w:spacing w:lineRule="exact" w:line="600"/>
        <w:ind w:firstLine="720"/>
        <w:rPr>
          <w:rFonts w:ascii="黑体" w:hAnsi="黑体" w:eastAsia="黑体"/>
          <w:sz w:val="32"/>
          <w:szCs w:val="32"/>
        </w:rPr>
      </w:pPr>
      <w:r>
        <w:rPr>
          <w:rFonts w:ascii="黑体" w:hAnsi="黑体" w:eastAsia="黑体"/>
          <w:sz w:val="32"/>
          <w:szCs w:val="32"/>
        </w:rPr>
        <w:t>二、项目资金申报及使用情况</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（一）项目资金申报及批复情况。</w:t>
      </w:r>
    </w:p>
    <w:p>
      <w:pPr>
        <w:pStyle w:val="Style16"/>
        <w:snapToGrid w:val="false"/>
        <w:spacing w:lineRule="exact" w:line="600"/>
        <w:ind w:firstLine="720"/>
        <w:rPr>
          <w:rFonts w:ascii="仿宋_GB2312" w:hAnsi="仿宋_GB2312" w:eastAsia="仿宋_GB2312"/>
          <w:sz w:val="32"/>
          <w:szCs w:val="32"/>
          <w:lang w:val="zh-CN"/>
        </w:rPr>
      </w:pPr>
      <w:r>
        <w:rPr>
          <w:rFonts w:ascii="仿宋_GB2312" w:hAnsi="仿宋_GB2312" w:eastAsia="仿宋_GB2312"/>
          <w:sz w:val="32"/>
          <w:szCs w:val="32"/>
          <w:lang w:val="zh-CN"/>
        </w:rPr>
        <w:t>说明项目资金申报、批复及预算调整等程序的相关情况。</w:t>
      </w:r>
    </w:p>
    <w:p>
      <w:pPr>
        <w:pStyle w:val="Style16"/>
        <w:snapToGrid w:val="false"/>
        <w:spacing w:lineRule="exact" w:line="600"/>
        <w:ind w:firstLine="720"/>
        <w:rPr>
          <w:rFonts w:ascii="仿宋_GB2312" w:hAnsi="仿宋_GB2312" w:eastAsia="仿宋_GB2312"/>
          <w:sz w:val="32"/>
          <w:szCs w:val="32"/>
          <w:lang w:val="zh-CN"/>
        </w:rPr>
      </w:pPr>
      <w:r>
        <w:rPr>
          <w:rFonts w:ascii="楷体_GB2312" w:hAnsi="楷体_GB2312" w:eastAsia="楷体_GB2312"/>
          <w:b/>
          <w:sz w:val="32"/>
          <w:szCs w:val="32"/>
          <w:lang w:val="zh-CN"/>
        </w:rPr>
        <w:t>（二）资金计划、到位及使用情况（可用表格形式反映）。</w:t>
      </w:r>
    </w:p>
    <w:p>
      <w:pPr>
        <w:pStyle w:val="Style16"/>
        <w:snapToGrid w:val="false"/>
        <w:spacing w:lineRule="exact" w:line="600"/>
        <w:ind w:firstLine="720"/>
        <w:rPr>
          <w:rFonts w:ascii="仿宋_GB2312" w:hAnsi="仿宋_GB2312" w:eastAsia="仿宋_GB2312"/>
          <w:sz w:val="32"/>
          <w:szCs w:val="32"/>
          <w:lang w:val="zh-CN"/>
        </w:rPr>
      </w:pPr>
      <w:r>
        <w:rPr>
          <w:rFonts w:eastAsia="楷体_GB2312" w:ascii="楷体_GB2312" w:hAnsi="楷体_GB2312"/>
          <w:sz w:val="32"/>
          <w:szCs w:val="32"/>
          <w:lang w:val="zh-CN"/>
        </w:rPr>
        <w:t>1</w:t>
      </w:r>
      <w:r>
        <w:rPr>
          <w:rFonts w:ascii="楷体_GB2312" w:hAnsi="楷体_GB2312" w:eastAsia="楷体_GB2312"/>
          <w:sz w:val="32"/>
          <w:szCs w:val="32"/>
          <w:lang w:val="zh-CN"/>
        </w:rPr>
        <w:t>．资金计划。</w:t>
      </w:r>
      <w:r>
        <w:rPr>
          <w:rFonts w:ascii="仿宋_GB2312" w:hAnsi="仿宋_GB2312" w:eastAsia="仿宋_GB2312"/>
          <w:sz w:val="32"/>
          <w:szCs w:val="32"/>
          <w:lang w:val="zh-CN"/>
        </w:rPr>
        <w:t>在说明该项目全省资金计划的基础上，分项目大类或市（州）分别说明各类资金计划情况，包括中央、省、市（州）、县（市、区）财政资金、项目单位自筹、其他渠道资金（包括银行贷款及其他资金等）。</w:t>
      </w:r>
    </w:p>
    <w:p>
      <w:pPr>
        <w:pStyle w:val="Style16"/>
        <w:snapToGrid w:val="false"/>
        <w:spacing w:lineRule="exact" w:line="600"/>
        <w:ind w:firstLine="720"/>
        <w:rPr>
          <w:rFonts w:ascii="仿宋_GB2312" w:hAnsi="仿宋_GB2312" w:eastAsia="仿宋_GB2312"/>
          <w:sz w:val="32"/>
          <w:szCs w:val="32"/>
          <w:lang w:val="zh-CN"/>
        </w:rPr>
      </w:pPr>
      <w:r>
        <w:rPr>
          <w:rFonts w:eastAsia="楷体_GB2312" w:ascii="楷体_GB2312" w:hAnsi="楷体_GB2312"/>
          <w:sz w:val="32"/>
          <w:szCs w:val="32"/>
          <w:lang w:val="zh-CN"/>
        </w:rPr>
        <w:t>2</w:t>
      </w:r>
      <w:r>
        <w:rPr>
          <w:rFonts w:ascii="楷体_GB2312" w:hAnsi="楷体_GB2312" w:eastAsia="楷体_GB2312"/>
          <w:sz w:val="32"/>
          <w:szCs w:val="32"/>
          <w:lang w:val="zh-CN"/>
        </w:rPr>
        <w:t>．资金到位。</w:t>
      </w:r>
      <w:r>
        <w:rPr>
          <w:rFonts w:ascii="仿宋_GB2312" w:hAnsi="仿宋_GB2312" w:eastAsia="仿宋_GB2312"/>
          <w:sz w:val="32"/>
          <w:szCs w:val="32"/>
          <w:lang w:val="zh-CN"/>
        </w:rPr>
        <w:t>汇总统计截止评价时点该项目全省资金到位情况。在此基础上分项目大类或市（州）统计各类资金到位情况，包括中央、省、市（州）、县（市、区）财政资金、项目单位自筹及其他渠道资金（包括银行贷款及其他资金等）。将资金到位情况与资金计划进行比对，并重点围绕资金到位率、到位及时性等进行评价，对未到位或到位不及时的情况作出分析说明。</w:t>
      </w:r>
    </w:p>
    <w:p>
      <w:pPr>
        <w:pStyle w:val="Style16"/>
        <w:snapToGrid w:val="false"/>
        <w:spacing w:lineRule="exact" w:line="600"/>
        <w:ind w:firstLine="720"/>
        <w:rPr>
          <w:rFonts w:ascii="仿宋_GB2312" w:hAnsi="仿宋_GB2312" w:eastAsia="仿宋_GB2312"/>
          <w:sz w:val="32"/>
          <w:szCs w:val="32"/>
          <w:lang w:val="zh-CN"/>
        </w:rPr>
      </w:pPr>
      <w:r>
        <w:rPr>
          <w:rFonts w:eastAsia="楷体_GB2312" w:ascii="楷体_GB2312" w:hAnsi="楷体_GB2312"/>
          <w:sz w:val="32"/>
          <w:szCs w:val="32"/>
          <w:lang w:val="zh-CN"/>
        </w:rPr>
        <w:t>3</w:t>
      </w:r>
      <w:r>
        <w:rPr>
          <w:rFonts w:ascii="楷体_GB2312" w:hAnsi="楷体_GB2312" w:eastAsia="楷体_GB2312"/>
          <w:sz w:val="32"/>
          <w:szCs w:val="32"/>
          <w:lang w:val="zh-CN"/>
        </w:rPr>
        <w:t>．资金使用。</w:t>
      </w:r>
      <w:r>
        <w:rPr>
          <w:rFonts w:ascii="仿宋_GB2312" w:hAnsi="仿宋_GB2312" w:eastAsia="仿宋_GB2312"/>
          <w:sz w:val="32"/>
          <w:szCs w:val="32"/>
          <w:lang w:val="zh-CN"/>
        </w:rPr>
        <w:t>汇总统计截止评价时点该项目全省资金支出情况。在此基础上分项目大类或市（州）统计资金支出情况，并对资金使用的安全性、规范性及有效性进行重点分析，包括资金支付范围、支付标准、支付进度、支付依据等是否合规合法、是否与预算相符，并对自评中发现的相关问题进行分析说明。</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（三）项目财务管理情况。</w:t>
      </w:r>
    </w:p>
    <w:p>
      <w:pPr>
        <w:pStyle w:val="Style16"/>
        <w:snapToGrid w:val="false"/>
        <w:spacing w:lineRule="exact" w:line="600"/>
        <w:ind w:firstLine="720"/>
        <w:rPr>
          <w:rFonts w:ascii="仿宋_GB2312" w:hAnsi="仿宋_GB2312" w:eastAsia="仿宋_GB2312"/>
          <w:sz w:val="32"/>
          <w:szCs w:val="32"/>
          <w:lang w:val="zh-CN"/>
        </w:rPr>
      </w:pPr>
      <w:r>
        <w:rPr>
          <w:rFonts w:ascii="仿宋_GB2312" w:hAnsi="仿宋_GB2312" w:eastAsia="仿宋_GB2312"/>
          <w:sz w:val="32"/>
          <w:szCs w:val="32"/>
          <w:lang w:val="zh-CN"/>
        </w:rPr>
        <w:t>总体评价各项目实施单位财务管理制度是否健全，是否严格执行财务管理制度，账务处理是否及时，会计核算是否规范等。</w:t>
      </w:r>
    </w:p>
    <w:p>
      <w:pPr>
        <w:pStyle w:val="Style16"/>
        <w:snapToGrid w:val="false"/>
        <w:spacing w:lineRule="exact" w:line="600"/>
        <w:ind w:firstLine="720"/>
        <w:rPr>
          <w:rFonts w:ascii="黑体" w:hAnsi="黑体" w:eastAsia="黑体"/>
          <w:sz w:val="32"/>
          <w:szCs w:val="32"/>
        </w:rPr>
      </w:pPr>
      <w:r>
        <w:rPr>
          <w:rFonts w:ascii="黑体" w:hAnsi="黑体" w:eastAsia="黑体"/>
          <w:sz w:val="32"/>
          <w:szCs w:val="32"/>
        </w:rPr>
        <w:t>三、项目实施及管理情况</w:t>
      </w:r>
    </w:p>
    <w:p>
      <w:pPr>
        <w:pStyle w:val="Style16"/>
        <w:snapToGrid w:val="false"/>
        <w:spacing w:lineRule="exact" w:line="600"/>
        <w:ind w:firstLine="720"/>
        <w:rPr>
          <w:rFonts w:ascii="仿宋_GB2312" w:hAnsi="仿宋_GB2312" w:eastAsia="仿宋_GB2312"/>
          <w:sz w:val="32"/>
          <w:szCs w:val="32"/>
          <w:lang w:val="zh-CN"/>
        </w:rPr>
      </w:pPr>
      <w:r>
        <w:rPr>
          <w:rFonts w:ascii="仿宋_GB2312" w:hAnsi="仿宋_GB2312" w:eastAsia="仿宋_GB2312"/>
          <w:sz w:val="32"/>
          <w:szCs w:val="32"/>
          <w:lang w:val="zh-CN"/>
        </w:rPr>
        <w:t>结合项目组织实施管理办法，重点围绕以下内容进行分析评价，并对自评中发现的问题分析说明。</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（一）项目组织架构及实施流程。</w:t>
      </w:r>
    </w:p>
    <w:p>
      <w:pPr>
        <w:pStyle w:val="Style16"/>
        <w:snapToGrid w:val="false"/>
        <w:spacing w:lineRule="exact" w:line="600"/>
        <w:ind w:firstLine="720"/>
        <w:rPr>
          <w:rFonts w:ascii="仿宋_GB2312" w:hAnsi="仿宋_GB2312" w:eastAsia="仿宋_GB2312"/>
          <w:sz w:val="32"/>
          <w:szCs w:val="32"/>
          <w:lang w:val="zh-CN"/>
        </w:rPr>
      </w:pPr>
      <w:r>
        <w:rPr>
          <w:rFonts w:ascii="楷体_GB2312" w:hAnsi="楷体_GB2312" w:eastAsia="楷体_GB2312"/>
          <w:b/>
          <w:sz w:val="32"/>
          <w:szCs w:val="32"/>
          <w:lang w:val="zh-CN"/>
        </w:rPr>
        <w:t>（二）项目管理情况。</w:t>
      </w:r>
      <w:r>
        <w:rPr>
          <w:rFonts w:ascii="仿宋_GB2312" w:hAnsi="仿宋_GB2312" w:eastAsia="仿宋_GB2312"/>
          <w:sz w:val="32"/>
          <w:szCs w:val="32"/>
          <w:lang w:val="zh-CN"/>
        </w:rPr>
        <w:t>结合项目特点，总体评价各项目实施单位执行相关法律法规及项目管理制度等情况，如招投标、政府采购、项目公示制等相关规定。</w:t>
      </w:r>
    </w:p>
    <w:p>
      <w:pPr>
        <w:pStyle w:val="Style16"/>
        <w:snapToGrid w:val="false"/>
        <w:spacing w:lineRule="exact" w:line="600"/>
        <w:ind w:firstLine="720"/>
        <w:rPr>
          <w:rFonts w:ascii="仿宋_GB2312" w:hAnsi="仿宋_GB2312" w:eastAsia="仿宋_GB2312"/>
          <w:sz w:val="32"/>
          <w:szCs w:val="32"/>
          <w:lang w:val="zh-CN"/>
        </w:rPr>
      </w:pPr>
      <w:r>
        <w:rPr>
          <w:rFonts w:ascii="楷体_GB2312" w:hAnsi="楷体_GB2312" w:eastAsia="楷体_GB2312"/>
          <w:b/>
          <w:sz w:val="32"/>
          <w:szCs w:val="32"/>
          <w:lang w:val="zh-CN"/>
        </w:rPr>
        <w:t>（三）项目监管情况。</w:t>
      </w:r>
      <w:r>
        <w:rPr>
          <w:rFonts w:ascii="仿宋_GB2312" w:hAnsi="仿宋_GB2312" w:eastAsia="仿宋_GB2312"/>
          <w:sz w:val="32"/>
          <w:szCs w:val="32"/>
          <w:lang w:val="zh-CN"/>
        </w:rPr>
        <w:t>说明项目主管部门为加强项目管理所采取的监管手段、监管程序、监管工作开展情况及实现的效果等。</w:t>
      </w:r>
    </w:p>
    <w:p>
      <w:pPr>
        <w:pStyle w:val="Style16"/>
        <w:snapToGrid w:val="false"/>
        <w:spacing w:lineRule="exact" w:line="600"/>
        <w:ind w:firstLine="720"/>
        <w:rPr>
          <w:rFonts w:ascii="仿宋_GB2312" w:hAnsi="仿宋_GB2312" w:eastAsia="仿宋_GB2312"/>
          <w:sz w:val="32"/>
          <w:szCs w:val="32"/>
          <w:lang w:val="zh-CN"/>
        </w:rPr>
      </w:pPr>
      <w:r>
        <w:rPr>
          <w:rFonts w:ascii="黑体" w:hAnsi="黑体" w:eastAsia="黑体"/>
          <w:sz w:val="32"/>
          <w:szCs w:val="32"/>
        </w:rPr>
        <w:t>四、项目绩效情况</w:t>
      </w:r>
      <w:r>
        <w:rPr>
          <w:rFonts w:eastAsia="仿宋_GB2312" w:ascii="仿宋_GB2312" w:hAnsi="仿宋_GB2312"/>
          <w:sz w:val="32"/>
          <w:szCs w:val="32"/>
          <w:lang w:val="zh-CN"/>
        </w:rPr>
        <w:tab/>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（一）项目完成情况。</w:t>
      </w:r>
    </w:p>
    <w:p>
      <w:pPr>
        <w:pStyle w:val="Style16"/>
        <w:snapToGrid w:val="false"/>
        <w:spacing w:lineRule="exact" w:line="600"/>
        <w:ind w:firstLine="720"/>
        <w:rPr>
          <w:rFonts w:ascii="楷体_GB2312" w:hAnsi="楷体_GB2312" w:eastAsia="楷体_GB2312"/>
          <w:b/>
          <w:b/>
          <w:sz w:val="32"/>
          <w:szCs w:val="32"/>
          <w:lang w:val="zh-CN"/>
        </w:rPr>
      </w:pPr>
      <w:r>
        <w:rPr>
          <w:rFonts w:ascii="仿宋_GB2312" w:hAnsi="仿宋_GB2312" w:eastAsia="仿宋_GB2312"/>
          <w:sz w:val="32"/>
          <w:szCs w:val="32"/>
          <w:lang w:val="zh-CN"/>
        </w:rPr>
        <w:t>包括项目完成数量、质量、时效、成本等情况，对照项目计划完成目标，对截止评价时点的任务量完成、质量标准、进度计划、成本控制目标的实现程度进行评价，并进行分析说明。</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（二）项目效益情况。</w:t>
      </w:r>
    </w:p>
    <w:p>
      <w:pPr>
        <w:pStyle w:val="Style16"/>
        <w:snapToGrid w:val="false"/>
        <w:spacing w:lineRule="exact" w:line="600"/>
        <w:ind w:firstLine="720"/>
        <w:rPr>
          <w:rFonts w:ascii="仿宋_GB2312" w:hAnsi="仿宋_GB2312" w:eastAsia="仿宋_GB2312"/>
          <w:sz w:val="32"/>
          <w:szCs w:val="32"/>
          <w:lang w:val="zh-CN"/>
        </w:rPr>
      </w:pPr>
      <w:r>
        <w:rPr>
          <w:rFonts w:ascii="仿宋_GB2312" w:hAnsi="仿宋_GB2312" w:eastAsia="仿宋_GB2312"/>
          <w:sz w:val="32"/>
          <w:szCs w:val="32"/>
          <w:lang w:val="zh-CN"/>
        </w:rPr>
        <w:t>从项目经济效益、社会效益、生态效益、可持续效益以及服务对象满意度等方面对项目效益进行全面分析评价。</w:t>
      </w:r>
    </w:p>
    <w:p>
      <w:pPr>
        <w:pStyle w:val="Style16"/>
        <w:snapToGrid w:val="false"/>
        <w:spacing w:lineRule="exact" w:line="600"/>
        <w:ind w:firstLine="720"/>
        <w:rPr>
          <w:rFonts w:ascii="黑体" w:hAnsi="黑体" w:eastAsia="黑体"/>
          <w:sz w:val="32"/>
          <w:szCs w:val="32"/>
        </w:rPr>
      </w:pPr>
      <w:r>
        <w:rPr>
          <w:rFonts w:ascii="黑体" w:hAnsi="黑体" w:eastAsia="黑体"/>
          <w:sz w:val="32"/>
          <w:szCs w:val="32"/>
        </w:rPr>
        <w:t>五、评价结论及建议</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（一）评价结论。</w:t>
      </w:r>
    </w:p>
    <w:p>
      <w:pPr>
        <w:pStyle w:val="Style16"/>
        <w:snapToGrid w:val="false"/>
        <w:spacing w:lineRule="exact" w:line="600"/>
        <w:ind w:firstLineChars="200" w:firstLine="0"/>
        <w:rPr>
          <w:rFonts w:ascii="仿宋_GB2312" w:hAnsi="仿宋_GB2312" w:eastAsia="仿宋_GB2312"/>
          <w:sz w:val="32"/>
          <w:szCs w:val="32"/>
          <w:bdr w:val="single" w:sz="4" w:space="0" w:color="000000"/>
          <w:lang w:val="zh-CN"/>
        </w:rPr>
      </w:pPr>
      <w:r>
        <w:rPr>
          <w:rFonts w:ascii="仿宋_GB2312" w:hAnsi="仿宋_GB2312" w:eastAsia="仿宋_GB2312"/>
          <w:sz w:val="32"/>
          <w:szCs w:val="32"/>
          <w:lang w:val="zh-CN"/>
        </w:rPr>
        <w:t>结合项目自身特点、评价重点及管理办法等要求，围绕专项项目支出绩效评价指标体系对项目进行总体评价。</w:t>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（二）存在的问题。</w:t>
      </w:r>
    </w:p>
    <w:p>
      <w:pPr>
        <w:pStyle w:val="Style16"/>
        <w:snapToGrid w:val="false"/>
        <w:spacing w:lineRule="exact" w:line="600"/>
        <w:ind w:firstLineChars="200" w:firstLine="0"/>
        <w:rPr>
          <w:rFonts w:ascii="仿宋_GB2312" w:hAnsi="仿宋_GB2312" w:eastAsia="仿宋_GB2312"/>
          <w:sz w:val="32"/>
          <w:szCs w:val="32"/>
          <w:lang w:val="zh-CN"/>
        </w:rPr>
      </w:pPr>
      <w:r>
        <w:rPr>
          <w:rFonts w:ascii="仿宋_GB2312" w:hAnsi="仿宋_GB2312" w:eastAsia="仿宋_GB2312"/>
          <w:sz w:val="32"/>
          <w:szCs w:val="32"/>
          <w:lang w:val="zh-CN"/>
        </w:rPr>
        <w:t>结合自评情况，分析存在的问题及原因。</w:t>
      </w:r>
      <w:r>
        <w:rPr>
          <w:rFonts w:eastAsia="仿宋_GB2312" w:ascii="仿宋_GB2312" w:hAnsi="仿宋_GB2312"/>
          <w:sz w:val="32"/>
          <w:szCs w:val="32"/>
          <w:lang w:val="zh-CN"/>
        </w:rPr>
        <w:tab/>
      </w:r>
    </w:p>
    <w:p>
      <w:pPr>
        <w:pStyle w:val="Style16"/>
        <w:snapToGrid w:val="false"/>
        <w:spacing w:lineRule="exact" w:line="600"/>
        <w:ind w:firstLine="720"/>
        <w:rPr>
          <w:rFonts w:ascii="楷体_GB2312" w:hAnsi="楷体_GB2312" w:eastAsia="楷体_GB2312"/>
          <w:b/>
          <w:b/>
          <w:sz w:val="32"/>
          <w:szCs w:val="32"/>
          <w:lang w:val="zh-CN"/>
        </w:rPr>
      </w:pPr>
      <w:r>
        <w:rPr>
          <w:rFonts w:ascii="楷体_GB2312" w:hAnsi="楷体_GB2312" w:eastAsia="楷体_GB2312"/>
          <w:b/>
          <w:sz w:val="32"/>
          <w:szCs w:val="32"/>
          <w:lang w:val="zh-CN"/>
        </w:rPr>
        <w:t>（三）相关建议。</w:t>
      </w:r>
    </w:p>
    <w:p>
      <w:pPr>
        <w:pStyle w:val="Style16"/>
        <w:snapToGrid w:val="false"/>
        <w:spacing w:lineRule="exact" w:line="600"/>
        <w:ind w:firstLineChars="200" w:firstLine="0"/>
        <w:rPr>
          <w:rFonts w:ascii="仿宋_GB2312" w:hAnsi="仿宋_GB2312" w:eastAsia="仿宋_GB2312"/>
          <w:sz w:val="32"/>
          <w:szCs w:val="32"/>
          <w:lang w:val="zh-CN"/>
        </w:rPr>
      </w:pPr>
      <w:r>
        <w:rPr>
          <w:rFonts w:ascii="仿宋_GB2312" w:hAnsi="仿宋_GB2312" w:eastAsia="仿宋_GB2312"/>
          <w:sz w:val="32"/>
          <w:szCs w:val="32"/>
          <w:lang w:val="zh-CN"/>
        </w:rPr>
        <w:t>针对项目自评中发现的问题，提出下一步改进完善的意见及有关政策性建议。</w:t>
      </w:r>
    </w:p>
    <w:p>
      <w:pPr>
        <w:pStyle w:val="Style16"/>
        <w:spacing w:lineRule="exact" w:line="580"/>
        <w:ind w:firstLine="64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spacing w:lineRule="exact" w:line="580"/>
        <w:ind w:firstLine="640"/>
        <w:rPr>
          <w:rFonts w:ascii="仿宋_GB2312" w:hAnsi="仿宋_GB2312" w:eastAsia="仿宋_GB2312" w:cs="仿宋_GB2312"/>
          <w:sz w:val="32"/>
          <w:szCs w:val="32"/>
        </w:rPr>
      </w:pPr>
      <w:r>
        <w:rPr>
          <w:rFonts w:eastAsia="仿宋_GB2312" w:cs="仿宋_GB2312" w:ascii="仿宋_GB2312" w:hAnsi="仿宋_GB2312"/>
          <w:sz w:val="32"/>
          <w:szCs w:val="32"/>
        </w:rPr>
      </w:r>
    </w:p>
    <w:p>
      <w:pPr>
        <w:pStyle w:val="Style16"/>
        <w:widowControl/>
        <w:jc w:val="left"/>
        <w:rPr>
          <w:rStyle w:val="1Char"/>
          <w:rFonts w:ascii="黑体" w:hAnsi="黑体" w:eastAsia="黑体"/>
          <w:b w:val="false"/>
          <w:b w:val="false"/>
        </w:rPr>
      </w:pPr>
      <w:r>
        <w:rPr>
          <w:rFonts w:eastAsia="黑体" w:ascii="黑体" w:hAnsi="黑体"/>
          <w:b w:val="false"/>
        </w:rPr>
      </w:r>
    </w:p>
    <w:p>
      <w:pPr>
        <w:pStyle w:val="Style16"/>
        <w:widowControl/>
        <w:jc w:val="left"/>
        <w:rPr>
          <w:rStyle w:val="1Char"/>
          <w:rFonts w:ascii="黑体" w:hAnsi="黑体" w:eastAsia="黑体"/>
          <w:b w:val="false"/>
          <w:b w:val="false"/>
        </w:rPr>
      </w:pPr>
      <w:r>
        <w:rPr>
          <w:rFonts w:eastAsia="黑体" w:ascii="黑体" w:hAnsi="黑体"/>
          <w:b w:val="false"/>
        </w:rPr>
      </w:r>
      <w:r>
        <w:br w:type="page"/>
      </w:r>
    </w:p>
    <w:p>
      <w:pPr>
        <w:pStyle w:val="Style16"/>
        <w:spacing w:lineRule="exact" w:line="600"/>
        <w:jc w:val="center"/>
        <w:rPr>
          <w:rStyle w:val="1Char"/>
          <w:rFonts w:ascii="黑体" w:hAnsi="黑体" w:eastAsia="黑体"/>
          <w:b w:val="false"/>
          <w:b w:val="false"/>
        </w:rPr>
      </w:pPr>
      <w:r>
        <w:rPr>
          <w:rFonts w:eastAsia="黑体" w:ascii="黑体" w:hAnsi="黑体"/>
          <w:b w:val="false"/>
        </w:rPr>
      </w:r>
    </w:p>
    <w:p>
      <w:pPr>
        <w:pStyle w:val="Style16"/>
        <w:numPr>
          <w:ilvl w:val="0"/>
          <w:numId w:val="0"/>
        </w:numPr>
        <w:spacing w:lineRule="exact" w:line="600"/>
        <w:jc w:val="center"/>
        <w:outlineLvl w:val="0"/>
        <w:rPr>
          <w:rFonts w:ascii="仿宋" w:hAnsi="仿宋" w:eastAsia="仿宋"/>
          <w:b/>
          <w:b/>
          <w:color w:val="000000"/>
          <w:sz w:val="44"/>
          <w:szCs w:val="44"/>
        </w:rPr>
      </w:pPr>
      <w:bookmarkStart w:id="82" w:name="_Toc15396618"/>
      <w:bookmarkStart w:id="83" w:name="_Toc10989"/>
      <w:r>
        <w:rPr>
          <w:rFonts w:ascii="黑体" w:hAnsi="黑体" w:eastAsia="黑体"/>
          <w:color w:val="000000"/>
          <w:sz w:val="44"/>
          <w:szCs w:val="44"/>
        </w:rPr>
        <w:t>第</w:t>
      </w:r>
      <w:r>
        <w:rPr>
          <w:rStyle w:val="1Char"/>
          <w:rFonts w:ascii="黑体" w:hAnsi="黑体" w:eastAsia="黑体"/>
          <w:b w:val="false"/>
        </w:rPr>
        <w:t>五部分 附表</w:t>
      </w:r>
      <w:bookmarkEnd w:id="78"/>
      <w:bookmarkEnd w:id="82"/>
      <w:bookmarkEnd w:id="83"/>
    </w:p>
    <w:p>
      <w:pPr>
        <w:pStyle w:val="2"/>
        <w:rPr>
          <w:rFonts w:ascii="仿宋" w:hAnsi="仿宋" w:eastAsia="仿宋"/>
          <w:color w:val="000000"/>
        </w:rPr>
      </w:pPr>
      <w:bookmarkStart w:id="84" w:name="_Toc15396619"/>
      <w:bookmarkStart w:id="85" w:name="_Toc21265"/>
      <w:r>
        <w:rPr>
          <w:rFonts w:ascii="仿宋" w:hAnsi="仿宋" w:eastAsia="仿宋"/>
          <w:b w:val="false"/>
          <w:color w:val="000000"/>
        </w:rPr>
        <w:t>一、收</w:t>
      </w:r>
      <w:r>
        <w:rPr>
          <w:rStyle w:val="2Char"/>
          <w:rFonts w:ascii="仿宋" w:hAnsi="仿宋" w:eastAsia="仿宋"/>
          <w:b w:val="false"/>
          <w:bCs w:val="false"/>
        </w:rPr>
        <w:t>入支出决算总表</w:t>
      </w:r>
      <w:bookmarkEnd w:id="84"/>
      <w:bookmarkEnd w:id="85"/>
    </w:p>
    <w:p>
      <w:pPr>
        <w:pStyle w:val="2"/>
        <w:rPr>
          <w:rFonts w:ascii="仿宋" w:hAnsi="仿宋" w:eastAsia="仿宋"/>
          <w:color w:val="000000"/>
        </w:rPr>
      </w:pPr>
      <w:bookmarkStart w:id="86" w:name="_Toc15396620"/>
      <w:bookmarkStart w:id="87" w:name="_Toc19245"/>
      <w:r>
        <w:rPr>
          <w:rFonts w:ascii="仿宋" w:hAnsi="仿宋" w:eastAsia="仿宋"/>
          <w:b w:val="false"/>
          <w:color w:val="000000"/>
        </w:rPr>
        <w:t>二、收</w:t>
      </w:r>
      <w:r>
        <w:rPr>
          <w:rStyle w:val="2Char"/>
          <w:rFonts w:ascii="仿宋" w:hAnsi="仿宋" w:eastAsia="仿宋"/>
          <w:b w:val="false"/>
          <w:bCs w:val="false"/>
        </w:rPr>
        <w:t>入决算表</w:t>
      </w:r>
      <w:bookmarkEnd w:id="86"/>
      <w:bookmarkEnd w:id="87"/>
    </w:p>
    <w:p>
      <w:pPr>
        <w:pStyle w:val="2"/>
        <w:rPr>
          <w:rFonts w:ascii="仿宋" w:hAnsi="仿宋" w:eastAsia="仿宋"/>
          <w:color w:val="000000"/>
        </w:rPr>
      </w:pPr>
      <w:bookmarkStart w:id="88" w:name="_Toc15396621"/>
      <w:bookmarkStart w:id="89" w:name="_Toc30701"/>
      <w:r>
        <w:rPr>
          <w:rStyle w:val="2Char"/>
          <w:rFonts w:ascii="仿宋" w:hAnsi="仿宋" w:eastAsia="仿宋"/>
          <w:b w:val="false"/>
          <w:bCs w:val="false"/>
        </w:rPr>
        <w:t>三、</w:t>
      </w:r>
      <w:r>
        <w:rPr>
          <w:rFonts w:ascii="仿宋" w:hAnsi="仿宋" w:eastAsia="仿宋"/>
          <w:b w:val="false"/>
          <w:color w:val="000000"/>
        </w:rPr>
        <w:t>支</w:t>
      </w:r>
      <w:r>
        <w:rPr>
          <w:rStyle w:val="2Char"/>
          <w:rFonts w:ascii="仿宋" w:hAnsi="仿宋" w:eastAsia="仿宋"/>
          <w:b w:val="false"/>
          <w:bCs w:val="false"/>
        </w:rPr>
        <w:t>出决算表</w:t>
      </w:r>
      <w:bookmarkEnd w:id="88"/>
      <w:bookmarkEnd w:id="89"/>
    </w:p>
    <w:p>
      <w:pPr>
        <w:pStyle w:val="2"/>
        <w:rPr>
          <w:rFonts w:ascii="仿宋" w:hAnsi="仿宋" w:eastAsia="仿宋"/>
          <w:b w:val="false"/>
          <w:b w:val="false"/>
          <w:color w:val="000000"/>
        </w:rPr>
      </w:pPr>
      <w:bookmarkStart w:id="90" w:name="_Toc15973"/>
      <w:bookmarkStart w:id="91" w:name="_Toc15396622"/>
      <w:r>
        <w:rPr>
          <w:rStyle w:val="2Char"/>
          <w:rFonts w:ascii="仿宋" w:hAnsi="仿宋" w:eastAsia="仿宋"/>
          <w:b w:val="false"/>
          <w:bCs w:val="false"/>
        </w:rPr>
        <w:t>四、</w:t>
      </w:r>
      <w:r>
        <w:rPr>
          <w:rFonts w:ascii="仿宋" w:hAnsi="仿宋" w:eastAsia="仿宋"/>
          <w:b w:val="false"/>
          <w:color w:val="000000"/>
        </w:rPr>
        <w:t>财</w:t>
      </w:r>
      <w:r>
        <w:rPr>
          <w:rStyle w:val="2Char"/>
          <w:rFonts w:ascii="仿宋" w:hAnsi="仿宋" w:eastAsia="仿宋"/>
          <w:b w:val="false"/>
          <w:bCs w:val="false"/>
        </w:rPr>
        <w:t>政拨款收入支出决算总表</w:t>
      </w:r>
      <w:bookmarkEnd w:id="90"/>
      <w:bookmarkEnd w:id="91"/>
    </w:p>
    <w:p>
      <w:pPr>
        <w:pStyle w:val="2"/>
        <w:rPr>
          <w:rStyle w:val="2Char"/>
          <w:rFonts w:ascii="仿宋" w:hAnsi="仿宋" w:eastAsia="仿宋"/>
          <w:b w:val="false"/>
          <w:b w:val="false"/>
          <w:bCs w:val="false"/>
        </w:rPr>
      </w:pPr>
      <w:bookmarkStart w:id="92" w:name="_Toc8449"/>
      <w:bookmarkStart w:id="93" w:name="_Toc15396623"/>
      <w:r>
        <w:rPr>
          <w:rStyle w:val="2Char"/>
          <w:rFonts w:ascii="仿宋" w:hAnsi="仿宋" w:eastAsia="仿宋"/>
          <w:b w:val="false"/>
          <w:bCs w:val="false"/>
        </w:rPr>
        <w:t>五、</w:t>
      </w:r>
      <w:r>
        <w:rPr>
          <w:rFonts w:ascii="仿宋" w:hAnsi="仿宋" w:eastAsia="仿宋"/>
          <w:b w:val="false"/>
          <w:color w:val="000000"/>
        </w:rPr>
        <w:t>财</w:t>
      </w:r>
      <w:r>
        <w:rPr>
          <w:rStyle w:val="2Char"/>
          <w:rFonts w:ascii="仿宋" w:hAnsi="仿宋" w:eastAsia="仿宋"/>
          <w:b w:val="false"/>
          <w:bCs w:val="false"/>
        </w:rPr>
        <w:t>政拨款支出决算明细表</w:t>
      </w:r>
      <w:bookmarkStart w:id="94" w:name="_Toc15396624"/>
      <w:bookmarkEnd w:id="92"/>
      <w:bookmarkEnd w:id="93"/>
    </w:p>
    <w:p>
      <w:pPr>
        <w:pStyle w:val="2"/>
        <w:rPr>
          <w:rFonts w:ascii="仿宋" w:hAnsi="仿宋" w:eastAsia="仿宋"/>
          <w:color w:val="000000"/>
        </w:rPr>
      </w:pPr>
      <w:bookmarkStart w:id="95" w:name="_Toc17041"/>
      <w:r>
        <w:rPr>
          <w:rStyle w:val="2Char"/>
          <w:rFonts w:ascii="仿宋" w:hAnsi="仿宋" w:eastAsia="仿宋"/>
          <w:b w:val="false"/>
          <w:bCs w:val="false"/>
        </w:rPr>
        <w:t>六、</w:t>
      </w:r>
      <w:r>
        <w:rPr>
          <w:rFonts w:ascii="仿宋" w:hAnsi="仿宋" w:eastAsia="仿宋"/>
          <w:b w:val="false"/>
          <w:color w:val="000000"/>
        </w:rPr>
        <w:t>一</w:t>
      </w:r>
      <w:r>
        <w:rPr>
          <w:rStyle w:val="2Char"/>
          <w:rFonts w:ascii="仿宋" w:hAnsi="仿宋" w:eastAsia="仿宋"/>
          <w:b w:val="false"/>
          <w:bCs w:val="false"/>
        </w:rPr>
        <w:t>般公共预算财政拨款支出决算表</w:t>
      </w:r>
      <w:bookmarkEnd w:id="94"/>
      <w:bookmarkEnd w:id="95"/>
    </w:p>
    <w:p>
      <w:pPr>
        <w:pStyle w:val="2"/>
        <w:rPr>
          <w:rFonts w:ascii="仿宋" w:hAnsi="仿宋" w:eastAsia="仿宋"/>
          <w:color w:val="000000"/>
        </w:rPr>
      </w:pPr>
      <w:bookmarkStart w:id="96" w:name="_Toc15396625"/>
      <w:bookmarkStart w:id="97" w:name="_Toc32614"/>
      <w:r>
        <w:rPr>
          <w:rStyle w:val="2Char"/>
          <w:rFonts w:ascii="仿宋" w:hAnsi="仿宋" w:eastAsia="仿宋"/>
          <w:b w:val="false"/>
          <w:bCs w:val="false"/>
        </w:rPr>
        <w:t>七、</w:t>
      </w:r>
      <w:r>
        <w:rPr>
          <w:rFonts w:ascii="仿宋" w:hAnsi="仿宋" w:eastAsia="仿宋"/>
          <w:b w:val="false"/>
          <w:color w:val="000000"/>
        </w:rPr>
        <w:t>一</w:t>
      </w:r>
      <w:r>
        <w:rPr>
          <w:rStyle w:val="2Char"/>
          <w:rFonts w:ascii="仿宋" w:hAnsi="仿宋" w:eastAsia="仿宋"/>
          <w:b w:val="false"/>
          <w:bCs w:val="false"/>
        </w:rPr>
        <w:t>般公共预算财政拨款支出决算明细表</w:t>
      </w:r>
      <w:bookmarkEnd w:id="96"/>
      <w:bookmarkEnd w:id="97"/>
    </w:p>
    <w:p>
      <w:pPr>
        <w:pStyle w:val="2"/>
        <w:rPr>
          <w:rFonts w:ascii="仿宋" w:hAnsi="仿宋" w:eastAsia="仿宋"/>
          <w:color w:val="000000"/>
        </w:rPr>
      </w:pPr>
      <w:bookmarkStart w:id="98" w:name="_Toc11082"/>
      <w:bookmarkStart w:id="99" w:name="_Toc15396626"/>
      <w:r>
        <w:rPr>
          <w:rStyle w:val="2Char"/>
          <w:rFonts w:ascii="仿宋" w:hAnsi="仿宋" w:eastAsia="仿宋"/>
          <w:b w:val="false"/>
          <w:bCs w:val="false"/>
        </w:rPr>
        <w:t>八、</w:t>
      </w:r>
      <w:r>
        <w:rPr>
          <w:rFonts w:ascii="仿宋" w:hAnsi="仿宋" w:eastAsia="仿宋"/>
          <w:b w:val="false"/>
          <w:color w:val="000000"/>
        </w:rPr>
        <w:t>一</w:t>
      </w:r>
      <w:r>
        <w:rPr>
          <w:rStyle w:val="2Char"/>
          <w:rFonts w:ascii="仿宋" w:hAnsi="仿宋" w:eastAsia="仿宋"/>
          <w:b w:val="false"/>
          <w:bCs w:val="false"/>
        </w:rPr>
        <w:t>般公共预算财政拨款基本支出决算表</w:t>
      </w:r>
      <w:bookmarkEnd w:id="98"/>
      <w:bookmarkEnd w:id="99"/>
    </w:p>
    <w:p>
      <w:pPr>
        <w:pStyle w:val="2"/>
        <w:rPr>
          <w:rFonts w:ascii="仿宋" w:hAnsi="仿宋" w:eastAsia="仿宋"/>
          <w:color w:val="000000"/>
        </w:rPr>
      </w:pPr>
      <w:bookmarkStart w:id="100" w:name="_Toc15396627"/>
      <w:bookmarkStart w:id="101" w:name="_Toc27561"/>
      <w:r>
        <w:rPr>
          <w:rStyle w:val="2Char"/>
          <w:rFonts w:ascii="仿宋" w:hAnsi="仿宋" w:eastAsia="仿宋"/>
          <w:b w:val="false"/>
          <w:bCs w:val="false"/>
        </w:rPr>
        <w:t>九、</w:t>
      </w:r>
      <w:r>
        <w:rPr>
          <w:rFonts w:ascii="仿宋" w:hAnsi="仿宋" w:eastAsia="仿宋"/>
          <w:b w:val="false"/>
          <w:color w:val="000000"/>
        </w:rPr>
        <w:t>一</w:t>
      </w:r>
      <w:r>
        <w:rPr>
          <w:rStyle w:val="2Char"/>
          <w:rFonts w:ascii="仿宋" w:hAnsi="仿宋" w:eastAsia="仿宋"/>
          <w:b w:val="false"/>
          <w:bCs w:val="false"/>
        </w:rPr>
        <w:t>般公共预算财政拨款项目支出决算表</w:t>
      </w:r>
      <w:bookmarkEnd w:id="100"/>
      <w:bookmarkEnd w:id="101"/>
    </w:p>
    <w:p>
      <w:pPr>
        <w:pStyle w:val="2"/>
        <w:rPr>
          <w:rFonts w:ascii="仿宋" w:hAnsi="仿宋" w:eastAsia="仿宋"/>
          <w:color w:val="000000"/>
        </w:rPr>
      </w:pPr>
      <w:bookmarkStart w:id="102" w:name="_Toc15396628"/>
      <w:bookmarkStart w:id="103" w:name="_Toc23765"/>
      <w:r>
        <w:rPr>
          <w:rStyle w:val="2Char"/>
          <w:rFonts w:ascii="仿宋" w:hAnsi="仿宋" w:eastAsia="仿宋"/>
          <w:b w:val="false"/>
          <w:bCs w:val="false"/>
        </w:rPr>
        <w:t>十、</w:t>
      </w:r>
      <w:r>
        <w:rPr>
          <w:rFonts w:ascii="仿宋" w:hAnsi="仿宋" w:eastAsia="仿宋"/>
          <w:b w:val="false"/>
          <w:color w:val="000000"/>
        </w:rPr>
        <w:t>一</w:t>
      </w:r>
      <w:r>
        <w:rPr>
          <w:rStyle w:val="2Char"/>
          <w:rFonts w:ascii="仿宋" w:hAnsi="仿宋" w:eastAsia="仿宋"/>
          <w:b w:val="false"/>
          <w:bCs w:val="false"/>
        </w:rPr>
        <w:t>般公共预算财政拨款“三公”经费支出决算表</w:t>
      </w:r>
      <w:bookmarkEnd w:id="102"/>
      <w:bookmarkEnd w:id="103"/>
    </w:p>
    <w:p>
      <w:pPr>
        <w:pStyle w:val="2"/>
        <w:rPr>
          <w:rFonts w:ascii="仿宋" w:hAnsi="仿宋" w:eastAsia="仿宋"/>
          <w:color w:val="000000"/>
        </w:rPr>
      </w:pPr>
      <w:bookmarkStart w:id="104" w:name="_Toc15396629"/>
      <w:bookmarkStart w:id="105" w:name="_Toc14118"/>
      <w:r>
        <w:rPr>
          <w:rStyle w:val="2Char"/>
          <w:rFonts w:ascii="仿宋" w:hAnsi="仿宋" w:eastAsia="仿宋"/>
          <w:b w:val="false"/>
          <w:bCs w:val="false"/>
        </w:rPr>
        <w:t>十一、</w:t>
      </w:r>
      <w:r>
        <w:rPr>
          <w:rFonts w:ascii="仿宋" w:hAnsi="仿宋" w:eastAsia="仿宋"/>
          <w:b w:val="false"/>
          <w:color w:val="000000"/>
        </w:rPr>
        <w:t>政</w:t>
      </w:r>
      <w:r>
        <w:rPr>
          <w:rStyle w:val="2Char"/>
          <w:rFonts w:ascii="仿宋" w:hAnsi="仿宋" w:eastAsia="仿宋"/>
          <w:b w:val="false"/>
          <w:bCs w:val="false"/>
        </w:rPr>
        <w:t>府性基金预算财政拨款收入支出决算表</w:t>
      </w:r>
      <w:bookmarkEnd w:id="104"/>
      <w:bookmarkEnd w:id="105"/>
    </w:p>
    <w:p>
      <w:pPr>
        <w:pStyle w:val="2"/>
        <w:rPr>
          <w:rStyle w:val="2Char"/>
          <w:rFonts w:ascii="仿宋" w:hAnsi="仿宋" w:eastAsia="仿宋"/>
          <w:b w:val="false"/>
          <w:b w:val="false"/>
          <w:bCs w:val="false"/>
        </w:rPr>
      </w:pPr>
      <w:bookmarkStart w:id="106" w:name="_Toc4263"/>
      <w:bookmarkStart w:id="107" w:name="_Toc15396630"/>
      <w:r>
        <w:rPr>
          <w:rStyle w:val="2Char"/>
          <w:rFonts w:ascii="仿宋" w:hAnsi="仿宋" w:eastAsia="仿宋"/>
          <w:b w:val="false"/>
          <w:bCs w:val="false"/>
        </w:rPr>
        <w:t>十二、</w:t>
      </w:r>
      <w:r>
        <w:rPr>
          <w:rFonts w:ascii="仿宋" w:hAnsi="仿宋" w:eastAsia="仿宋"/>
          <w:b w:val="false"/>
          <w:color w:val="000000"/>
        </w:rPr>
        <w:t>政</w:t>
      </w:r>
      <w:r>
        <w:rPr>
          <w:rStyle w:val="2Char"/>
          <w:rFonts w:ascii="仿宋" w:hAnsi="仿宋" w:eastAsia="仿宋"/>
          <w:b w:val="false"/>
          <w:bCs w:val="false"/>
        </w:rPr>
        <w:t>府性基金预算财政拨款“三公”经费支出决算表</w:t>
      </w:r>
      <w:bookmarkEnd w:id="106"/>
      <w:bookmarkEnd w:id="107"/>
    </w:p>
    <w:p>
      <w:pPr>
        <w:pStyle w:val="Style16"/>
        <w:rPr>
          <w:rFonts w:eastAsia="仿宋"/>
          <w:lang w:val="en-US" w:eastAsia="zh-CN"/>
        </w:rPr>
      </w:pPr>
      <w:r>
        <w:rPr>
          <w:rStyle w:val="2Char"/>
          <w:rFonts w:ascii="仿宋" w:hAnsi="仿宋" w:eastAsia="仿宋"/>
          <w:b w:val="false"/>
          <w:bCs w:val="false"/>
          <w:lang w:val="en-US" w:eastAsia="zh-CN"/>
        </w:rPr>
        <w:t>十三、国有资本经营预算财政拨款收入支出决算表</w:t>
      </w:r>
    </w:p>
    <w:p>
      <w:pPr>
        <w:pStyle w:val="2"/>
        <w:spacing w:before="260" w:beforeAutospacing="0" w:after="260" w:afterAutospacing="0"/>
        <w:rPr>
          <w:rFonts w:ascii="仿宋" w:hAnsi="仿宋" w:eastAsia="仿宋"/>
          <w:color w:val="000000" w:themeColor="text1"/>
        </w:rPr>
      </w:pPr>
      <w:bookmarkStart w:id="108" w:name="_Toc13557"/>
      <w:bookmarkStart w:id="109" w:name="_Toc15396631"/>
      <w:r>
        <w:rPr>
          <w:rStyle w:val="2Char"/>
          <w:rFonts w:ascii="仿宋" w:hAnsi="仿宋" w:eastAsia="仿宋"/>
          <w:b w:val="false"/>
          <w:bCs w:val="false"/>
        </w:rPr>
        <w:t>十</w:t>
      </w:r>
      <w:r>
        <w:rPr>
          <w:rStyle w:val="2Char"/>
          <w:rFonts w:ascii="仿宋" w:hAnsi="仿宋" w:eastAsia="仿宋"/>
          <w:b w:val="false"/>
          <w:bCs w:val="false"/>
          <w:lang w:val="en-US" w:eastAsia="zh-CN"/>
        </w:rPr>
        <w:t>四</w:t>
      </w:r>
      <w:r>
        <w:rPr>
          <w:rStyle w:val="2Char"/>
          <w:rFonts w:ascii="仿宋" w:hAnsi="仿宋" w:eastAsia="仿宋"/>
          <w:b w:val="false"/>
          <w:bCs w:val="false"/>
        </w:rPr>
        <w:t>、</w:t>
      </w:r>
      <w:r>
        <w:rPr>
          <w:rFonts w:ascii="仿宋" w:hAnsi="仿宋" w:eastAsia="仿宋"/>
          <w:b w:val="false"/>
          <w:color w:val="000000"/>
        </w:rPr>
        <w:t>国</w:t>
      </w:r>
      <w:r>
        <w:rPr>
          <w:rStyle w:val="2Char"/>
          <w:rFonts w:ascii="仿宋" w:hAnsi="仿宋" w:eastAsia="仿宋"/>
          <w:b w:val="false"/>
          <w:bCs w:val="false"/>
        </w:rPr>
        <w:t>有资本经营预算</w:t>
      </w:r>
      <w:r>
        <w:rPr>
          <w:rStyle w:val="2Char"/>
          <w:rFonts w:ascii="仿宋" w:hAnsi="仿宋" w:eastAsia="仿宋"/>
          <w:b w:val="false"/>
          <w:bCs w:val="false"/>
          <w:lang w:val="en-US" w:eastAsia="zh-CN"/>
        </w:rPr>
        <w:t>财政拨款</w:t>
      </w:r>
      <w:r>
        <w:rPr>
          <w:rStyle w:val="2Char"/>
          <w:rFonts w:ascii="仿宋" w:hAnsi="仿宋" w:eastAsia="仿宋"/>
          <w:b w:val="false"/>
          <w:bCs w:val="false"/>
        </w:rPr>
        <w:t>支出决算表</w:t>
      </w:r>
      <w:bookmarkEnd w:id="108"/>
      <w:bookmarkEnd w:id="109"/>
    </w:p>
    <w:sectPr>
      <w:headerReference w:type="default" r:id="rId3"/>
      <w:footerReference w:type="default" r:id="rId4"/>
      <w:type w:val="nextPage"/>
      <w:pgSz w:w="11906" w:h="16838"/>
      <w:pgMar w:left="1800" w:right="1800" w:header="851" w:top="1440" w:footer="992" w:bottom="1440" w:gutter="0"/>
      <w:pgNumType w:start="1" w:fmt="decimal"/>
      <w:formProt w:val="false"/>
      <w:textDirection w:val="lrTb"/>
      <w:docGrid w:type="lines" w:linePitch="312" w:charSpace="4300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Calibri">
    <w:charset w:val="86"/>
    <w:family w:val="roman"/>
    <w:pitch w:val="variable"/>
  </w:font>
  <w:font w:name="Times New Roman">
    <w:charset w:val="86"/>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Cambria">
    <w:charset w:val="86"/>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仿宋_GB2312">
    <w:charset w:val="86"/>
    <w:family w:val="roman"/>
    <w:pitch w:val="variable"/>
  </w:font>
  <w:font w:name="仿宋">
    <w:charset w:val="86"/>
    <w:family w:val="roman"/>
    <w:pitch w:val="variable"/>
  </w:font>
  <w:font w:name="方正小标宋简体">
    <w:charset w:val="86"/>
    <w:family w:val="roman"/>
    <w:pitch w:val="variable"/>
  </w:font>
  <w:font w:name="黑体">
    <w:charset w:val="86"/>
    <w:family w:val="roman"/>
    <w:pitch w:val="variable"/>
  </w:font>
  <w:font w:name="宋体">
    <w:charset w:val="86"/>
    <w:family w:val="roman"/>
    <w:pitch w:val="variable"/>
    <w:embedRegular r:id="rId14" w:fontKey="{0E014A78-CABC-4EF0-12AC-5CD89AEFDE0E}"/>
  </w:font>
  <w:font w:name="方正黑体简体">
    <w:charset w:val="86"/>
    <w:family w:val="roman"/>
    <w:pitch w:val="variable"/>
  </w:font>
  <w:font w:name="楷体_GB2312">
    <w:charset w:val="86"/>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18"/>
      <w:jc w:val="center"/>
      <w:rPr/>
    </w:pPr>
    <w:r>
      <w:rPr/>
      <w:fldChar w:fldCharType="begin"/>
    </w:r>
    <w:r>
      <w:rPr/>
      <w:instrText> PAGE </w:instrText>
    </w:r>
    <w:r>
      <w:rPr/>
      <w:fldChar w:fldCharType="separate"/>
    </w:r>
    <w:r>
      <w:rPr/>
      <w:t>8</w:t>
    </w:r>
    <w:r>
      <w:rPr/>
      <w:fldChar w:fldCharType="end"/>
    </w:r>
  </w:p>
  <w:p>
    <w:pPr>
      <w:pStyle w:val="Style18"/>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19"/>
      <w:pBdr>
        <w:bottom w:val="nil"/>
      </w:pBd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19"/>
      <w:pBdr>
        <w:bottom w:val="nil"/>
      </w:pBd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chineseCountingThousand"/>
      <w:lvlText w:val="%1、"/>
      <w:lvlJc w:val="left"/>
      <w:pPr>
        <w:tabs>
          <w:tab w:val="num" w:pos="0"/>
        </w:tabs>
        <w:ind w:left="1360" w:hanging="720"/>
      </w:pPr>
      <w:rPr>
        <w:b w:val="false"/>
      </w:rPr>
    </w:lvl>
    <w:lvl w:ilvl="1">
      <w:start w:val="1"/>
      <w:numFmt w:val="lowerLetter"/>
      <w:lvlText w:val="%2)"/>
      <w:lvlJc w:val="left"/>
      <w:pPr>
        <w:tabs>
          <w:tab w:val="num" w:pos="0"/>
        </w:tabs>
        <w:ind w:left="1480" w:hanging="420"/>
      </w:pPr>
    </w:lvl>
    <w:lvl w:ilvl="2">
      <w:start w:val="1"/>
      <w:numFmt w:val="lowerRoman"/>
      <w:lvlText w:val="%3."/>
      <w:lvlJc w:val="right"/>
      <w:pPr>
        <w:tabs>
          <w:tab w:val="num" w:pos="0"/>
        </w:tabs>
        <w:ind w:left="1900" w:hanging="420"/>
      </w:pPr>
    </w:lvl>
    <w:lvl w:ilvl="3">
      <w:start w:val="1"/>
      <w:numFmt w:val="decimal"/>
      <w:lvlText w:val="%4."/>
      <w:lvlJc w:val="left"/>
      <w:pPr>
        <w:tabs>
          <w:tab w:val="num" w:pos="0"/>
        </w:tabs>
        <w:ind w:left="2320" w:hanging="420"/>
      </w:pPr>
    </w:lvl>
    <w:lvl w:ilvl="4">
      <w:start w:val="1"/>
      <w:numFmt w:val="lowerLetter"/>
      <w:lvlText w:val="%5)"/>
      <w:lvlJc w:val="left"/>
      <w:pPr>
        <w:tabs>
          <w:tab w:val="num" w:pos="0"/>
        </w:tabs>
        <w:ind w:left="2740" w:hanging="420"/>
      </w:pPr>
    </w:lvl>
    <w:lvl w:ilvl="5">
      <w:start w:val="1"/>
      <w:numFmt w:val="lowerRoman"/>
      <w:lvlText w:val="%6."/>
      <w:lvlJc w:val="right"/>
      <w:pPr>
        <w:tabs>
          <w:tab w:val="num" w:pos="0"/>
        </w:tabs>
        <w:ind w:left="3160" w:hanging="420"/>
      </w:pPr>
    </w:lvl>
    <w:lvl w:ilvl="6">
      <w:start w:val="1"/>
      <w:numFmt w:val="decimal"/>
      <w:lvlText w:val="%7."/>
      <w:lvlJc w:val="left"/>
      <w:pPr>
        <w:tabs>
          <w:tab w:val="num" w:pos="0"/>
        </w:tabs>
        <w:ind w:left="3580" w:hanging="420"/>
      </w:pPr>
    </w:lvl>
    <w:lvl w:ilvl="7">
      <w:start w:val="1"/>
      <w:numFmt w:val="lowerLetter"/>
      <w:lvlText w:val="%8)"/>
      <w:lvlJc w:val="left"/>
      <w:pPr>
        <w:tabs>
          <w:tab w:val="num" w:pos="0"/>
        </w:tabs>
        <w:ind w:left="4000" w:hanging="420"/>
      </w:pPr>
    </w:lvl>
    <w:lvl w:ilvl="8">
      <w:start w:val="1"/>
      <w:numFmt w:val="lowerRoman"/>
      <w:lvlText w:val="%9."/>
      <w:lvlJc w:val="right"/>
      <w:pPr>
        <w:tabs>
          <w:tab w:val="num" w:pos="0"/>
        </w:tabs>
        <w:ind w:left="4420" w:hanging="420"/>
      </w:pPr>
    </w:lvl>
  </w:abstractNum>
  <w:abstractNum w:abstractNumId="3">
    <w:lvl w:ilvl="0">
      <w:start w:val="9"/>
      <w:numFmt w:val="taiwaneseCountingThousand"/>
      <w:suff w:val="nothing"/>
      <w:lvlText w:val="%1、"/>
      <w:lvlJc w:val="left"/>
      <w:pPr>
        <w:tabs>
          <w:tab w:val="num" w:pos="0"/>
        </w:tabs>
        <w:ind w:left="0" w:hanging="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lvl w:ilvl="0">
      <w:start w:val="2"/>
      <w:numFmt w:val="taiwaneseCountingThousand"/>
      <w:suff w:val="nothing"/>
      <w:lvlText w:val="（%1）"/>
      <w:lvlJc w:val="left"/>
      <w:pPr>
        <w:tabs>
          <w:tab w:val="num" w:pos="0"/>
        </w:tabs>
        <w:ind w:left="0" w:hanging="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lvl w:ilvl="0">
      <w:start w:val="3"/>
      <w:numFmt w:val="taiwaneseCountingThousand"/>
      <w:suff w:val="space"/>
      <w:lvlText w:val="第%1部分"/>
      <w:lvlJc w:val="left"/>
      <w:pPr>
        <w:tabs>
          <w:tab w:val="num" w:pos="0"/>
        </w:tabs>
        <w:ind w:left="0" w:hanging="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lvl w:ilvl="0">
      <w:start w:val="3"/>
      <w:numFmt w:val="taiwaneseCountingThousand"/>
      <w:suff w:val="nothing"/>
      <w:lvlText w:val="（%1）"/>
      <w:lvlJc w:val="left"/>
      <w:pPr>
        <w:tabs>
          <w:tab w:val="num" w:pos="0"/>
        </w:tabs>
        <w:ind w:left="0" w:hanging="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lvl w:ilvl="0">
      <w:start w:val="2"/>
      <w:numFmt w:val="taiwaneseCountingThousand"/>
      <w:suff w:val="nothing"/>
      <w:lvlText w:val="（%1）"/>
      <w:lvlJc w:val="left"/>
      <w:pPr>
        <w:tabs>
          <w:tab w:val="num" w:pos="0"/>
        </w:tabs>
        <w:ind w:left="0" w:hanging="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75"/>
  <w:embedTrueTypeFonts/>
  <w:defaultTabStop w:val="420"/>
  <w:autoHyphenation w:val="true"/>
  <w:compat>
    <w:doNotExpandShiftReturn/>
    <w:balanceSingleByteDoubleByteWidth/>
    <w:ulTrailSpace/>
    <w:compatSetting w:name="compatibilityMode" w:uri="http://schemas.microsoft.com/office/word" w:val="12"/>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宋体" w:cs="Times New Roman"/>
        <w:lang w:val="en-US" w:eastAsia="zh-CN" w:bidi="hi-IN"/>
      </w:rPr>
    </w:rPrDefault>
    <w:pPrDefault>
      <w:pPr>
        <w:suppressAutoHyphens w:val="false"/>
      </w:pPr>
    </w:pPrDefault>
  </w:docDefaults>
  <w:latentStyles w:defLockedState="0" w:defUIPriority="99" w:defSemiHidden="1" w:defUnhideWhenUsed="1" w:defQFormat="0" w:count="260">
    <w:lsdException w:name="Normal" w:uiPriority="0" w:semiHidden="0" w:unhideWhenUsed="0" w:qFormat="1"/>
    <w:lsdException w:name="heading 1" w:uiPriority="9" w:semiHidden="0" w:unhideWhenUsed="0" w:qFormat="1"/>
    <w:lsdException w:name="heading 2" w:uiPriority="9" w:semiHidden="0" w:qFormat="1"/>
    <w:lsdException w:name="heading 3" w:uiPriority="9" w:semiHidden="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semiHidden="0" w:qFormat="1"/>
    <w:lsdException w:name="toc 2" w:uiPriority="39" w:semiHidden="0" w:qFormat="1"/>
    <w:lsdException w:name="toc 3" w:uiPriority="39" w:semiHidden="0"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lsdException w:name="annotation text" w:uiPriority="99"/>
    <w:lsdException w:name="header" w:uiPriority="99" w:unhideWhenUsed="0" w:qFormat="1"/>
    <w:lsdException w:name="footer" w:uiPriority="99" w:semiHidden="0" w:unhideWhenUsed="0" w:qFormat="1"/>
    <w:lsdException w:name="index heading" w:uiPriority="99"/>
    <w:lsdException w:name="caption" w:uiPriority="35" w:qFormat="1"/>
    <w:lsdException w:name="table of figures" w:uiPriority="99"/>
    <w:lsdException w:name="envelope address" w:uiPriority="99"/>
    <w:lsdException w:name="envelope return"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macro" w:uiPriority="99"/>
    <w:lsdException w:name="toa heading" w:uiPriority="99"/>
    <w:lsdException w:name="List" w:uiPriority="99"/>
    <w:lsdException w:name="List Bullet" w:uiPriority="99"/>
    <w:lsdException w:name="List Number" w:uiPriority="99"/>
    <w:lsdException w:name="List 2" w:uiPriority="99"/>
    <w:lsdException w:name="List 3" w:uiPriority="99"/>
    <w:lsdException w:name="List 4" w:uiPriority="99"/>
    <w:lsdException w:name="List 5" w:uiPriority="99"/>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uiPriority="10" w:semiHidden="0" w:unhideWhenUsed="0" w:qFormat="1"/>
    <w:lsdException w:name="Closing" w:uiPriority="99"/>
    <w:lsdException w:name="Signature" w:uiPriority="99"/>
    <w:lsdException w:name="Default Paragraph Font" w:uiPriority="1" w:qFormat="1"/>
    <w:lsdException w:name="Body Text" w:uiPriority="99" w:semiHidden="0" w:unhideWhenUsed="0" w:qFormat="1"/>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uiPriority="11" w:semiHidden="0" w:unhideWhenUsed="0" w:qFormat="1"/>
    <w:lsdException w:name="Salutation" w:uiPriority="99"/>
    <w:lsdException w:name="Date" w:uiPriority="99"/>
    <w:lsdException w:name="Body Text First Indent" w:uiPriority="99"/>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semiHidden="0" w:qFormat="1"/>
    <w:lsdException w:name="FollowedHyperlink" w:uiPriority="99"/>
    <w:lsdException w:name="Strong" w:uiPriority="99" w:semiHidden="0" w:unhideWhenUsed="0" w:qFormat="1"/>
    <w:lsdException w:name="Emphasis" w:uiPriority="20" w:semiHidden="0" w:unhideWhenUsed="0" w:qFormat="1"/>
    <w:lsdException w:name="Document Map" w:uiPriority="99"/>
    <w:lsdException w:name="Plain Text" w:uiPriority="99"/>
    <w:lsdException w:name="E-mail Signature"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qFormat="1"/>
    <w:lsdException w:name="annotation subject"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qFormat="1"/>
    <w:lsdException w:name="Table Grid" w:uiPriority="59" w:semiHidden="0" w:unhideWhenUsed="0"/>
    <w:lsdException w:name="Table Theme" w:uiPriority="99"/>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List Paragraph" w:uiPriority="34"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atentStyles>
  <w:style w:type="character" w:styleId="DefaultParagraphFont" w:default="1">
    <w:name w:val="Default Paragraph Font"/>
    <w:uiPriority w:val="1"/>
    <w:semiHidden/>
    <w:unhideWhenUsed/>
    <w:qFormat/>
    <w:rPr/>
  </w:style>
  <w:style w:type="character" w:styleId="Style14">
    <w:name w:val="默认段落字体"/>
    <w:qFormat/>
    <w:rPr/>
  </w:style>
  <w:style w:type="character" w:styleId="Internet">
    <w:name w:val="Internet 链接"/>
    <w:basedOn w:val="DefaultParagraphFont"/>
    <w:uiPriority w:val="99"/>
    <w:unhideWhenUsed/>
    <w:qFormat/>
    <w:rPr>
      <w:color w:val="0000FF" w:themeColor="hyperlink"/>
      <w:u w:val="single"/>
    </w:rPr>
  </w:style>
  <w:style w:type="character" w:styleId="1Char" w:customStyle="1">
    <w:name w:val="标题 1 Char"/>
    <w:basedOn w:val="DefaultParagraphFont"/>
    <w:link w:val="2"/>
    <w:uiPriority w:val="9"/>
    <w:qFormat/>
    <w:rPr>
      <w:rFonts w:ascii="Times New Roman" w:hAnsi="Times New Roman"/>
      <w:b/>
      <w:bCs/>
      <w:kern w:val="2"/>
      <w:sz w:val="44"/>
      <w:szCs w:val="44"/>
    </w:rPr>
  </w:style>
  <w:style w:type="character" w:styleId="2Char" w:customStyle="1">
    <w:name w:val="标题 2 Char"/>
    <w:basedOn w:val="DefaultParagraphFont"/>
    <w:link w:val="3"/>
    <w:uiPriority w:val="9"/>
    <w:qFormat/>
    <w:rPr>
      <w:rFonts w:ascii="Cambria" w:hAnsi="Cambria" w:eastAsia="宋体" w:cs="" w:asciiTheme="majorHAnsi" w:cstheme="majorBidi" w:eastAsiaTheme="majorEastAsia" w:hAnsiTheme="majorHAnsi"/>
      <w:b/>
      <w:bCs/>
      <w:kern w:val="2"/>
      <w:sz w:val="32"/>
      <w:szCs w:val="32"/>
    </w:rPr>
  </w:style>
  <w:style w:type="character" w:styleId="Style15">
    <w:name w:val="索引链接"/>
    <w:basedOn w:val="Style14"/>
    <w:qFormat/>
    <w:rPr/>
  </w:style>
  <w:style w:type="paragraph" w:styleId="Style16" w:default="1">
    <w:name w:val="正文"/>
    <w:uiPriority w:val="0"/>
    <w:qFormat/>
    <w:pPr>
      <w:widowControl w:val="false"/>
      <w:bidi w:val="0"/>
      <w:spacing w:beforeLines="0" w:beforeAutospacing="0" w:afterLines="0" w:afterAutospacing="0"/>
      <w:jc w:val="both"/>
    </w:pPr>
    <w:rPr>
      <w:rFonts w:ascii="Times New Roman" w:hAnsi="Times New Roman" w:eastAsia="宋体" w:cs="Times New Roman"/>
      <w:color w:val="auto"/>
      <w:kern w:val="2"/>
      <w:sz w:val="21"/>
      <w:szCs w:val="24"/>
      <w:lang w:val="en-US" w:eastAsia="zh-CN" w:bidi="ar-SA"/>
    </w:rPr>
  </w:style>
  <w:style w:type="paragraph" w:styleId="1">
    <w:name w:val="标题 1"/>
    <w:basedOn w:val="Style16"/>
    <w:next w:val="Style16"/>
    <w:link w:val="24"/>
    <w:uiPriority w:val="9"/>
    <w:qFormat/>
    <w:pPr>
      <w:keepNext w:val="true"/>
      <w:keepLines/>
      <w:spacing w:lineRule="auto" w:line="578" w:before="340" w:beforeAutospacing="0" w:after="330" w:afterAutospacing="0"/>
      <w:outlineLvl w:val="0"/>
    </w:pPr>
    <w:rPr>
      <w:b/>
      <w:bCs/>
      <w:kern w:val="2"/>
      <w:sz w:val="44"/>
      <w:szCs w:val="44"/>
    </w:rPr>
  </w:style>
  <w:style w:type="paragraph" w:styleId="2">
    <w:name w:val="标题 2"/>
    <w:basedOn w:val="Style16"/>
    <w:next w:val="Style16"/>
    <w:link w:val="25"/>
    <w:uiPriority w:val="9"/>
    <w:unhideWhenUsed/>
    <w:qFormat/>
    <w:pPr>
      <w:keepNext w:val="true"/>
      <w:keepLines/>
      <w:spacing w:lineRule="auto" w:line="415" w:before="260" w:beforeAutospacing="0" w:after="260" w:afterAutospacing="0"/>
      <w:outlineLvl w:val="1"/>
    </w:pPr>
    <w:rPr>
      <w:rFonts w:ascii="Cambria" w:hAnsi="Cambria" w:eastAsia="宋体" w:cs="" w:asciiTheme="majorHAnsi" w:cstheme="majorBidi" w:eastAsiaTheme="majorEastAsia" w:hAnsiTheme="majorHAnsi"/>
      <w:b/>
      <w:bCs/>
      <w:sz w:val="32"/>
      <w:szCs w:val="32"/>
    </w:rPr>
  </w:style>
  <w:style w:type="paragraph" w:styleId="Style17">
    <w:name w:val="正文文本"/>
    <w:basedOn w:val="Style16"/>
    <w:link w:val="21"/>
    <w:uiPriority w:val="99"/>
    <w:qFormat/>
    <w:pPr/>
    <w:rPr>
      <w:rFonts w:ascii="仿宋_GB2312" w:hAnsi="仿宋_GB2312" w:eastAsia="仿宋_GB2312"/>
      <w:kern w:val="0"/>
      <w:sz w:val="30"/>
    </w:rPr>
  </w:style>
  <w:style w:type="paragraph" w:styleId="Style18">
    <w:name w:val="页脚"/>
    <w:basedOn w:val="Style16"/>
    <w:link w:val="19"/>
    <w:uiPriority w:val="99"/>
    <w:qFormat/>
    <w:pPr>
      <w:tabs>
        <w:tab w:val="clear" w:pos="420"/>
        <w:tab w:val="center" w:pos="4153" w:leader="none"/>
        <w:tab w:val="right" w:pos="8306" w:leader="none"/>
      </w:tabs>
      <w:snapToGrid w:val="false"/>
      <w:jc w:val="left"/>
    </w:pPr>
    <w:rPr>
      <w:rFonts w:ascii="Calibri" w:hAnsi="Calibri"/>
      <w:kern w:val="0"/>
      <w:sz w:val="18"/>
      <w:szCs w:val="18"/>
    </w:rPr>
  </w:style>
  <w:style w:type="paragraph" w:styleId="Style19">
    <w:name w:val="页眉"/>
    <w:basedOn w:val="Style16"/>
    <w:link w:val="17"/>
    <w:uiPriority w:val="99"/>
    <w:semiHidden/>
    <w:qFormat/>
    <w:pPr>
      <w:pBdr>
        <w:bottom w:val="single" w:sz="6" w:space="1" w:color="000000"/>
      </w:pBdr>
      <w:tabs>
        <w:tab w:val="clear" w:pos="420"/>
        <w:tab w:val="center" w:pos="4153" w:leader="none"/>
        <w:tab w:val="right" w:pos="8306" w:leader="none"/>
      </w:tabs>
      <w:snapToGrid w:val="false"/>
      <w:jc w:val="center"/>
    </w:pPr>
    <w:rPr>
      <w:rFonts w:ascii="Calibri" w:hAnsi="Calibri"/>
      <w:kern w:val="0"/>
      <w:sz w:val="18"/>
      <w:szCs w:val="18"/>
    </w:rPr>
  </w:style>
  <w:style w:type="paragraph" w:styleId="21">
    <w:name w:val="目录 2"/>
    <w:basedOn w:val="Style16"/>
    <w:next w:val="Style16"/>
    <w:uiPriority w:val="39"/>
    <w:unhideWhenUsed/>
    <w:qFormat/>
    <w:pPr>
      <w:tabs>
        <w:tab w:val="clear" w:pos="420"/>
        <w:tab w:val="right" w:pos="8296" w:leader="dot"/>
      </w:tabs>
      <w:ind w:leftChars="200" w:left="420"/>
    </w:pPr>
    <w:rPr/>
  </w:style>
  <w:style w:type="paragraph" w:styleId="Default" w:customStyle="1">
    <w:name w:val="Default"/>
    <w:uiPriority w:val="99"/>
    <w:qFormat/>
    <w:pPr>
      <w:widowControl w:val="false"/>
      <w:bidi w:val="0"/>
      <w:spacing w:beforeLines="0" w:beforeAutospacing="0" w:afterLines="0" w:afterAutospacing="0"/>
      <w:jc w:val="left"/>
    </w:pPr>
    <w:rPr>
      <w:rFonts w:ascii="仿宋" w:hAnsi="仿宋" w:eastAsia="仿宋" w:cs="仿宋"/>
      <w:color w:val="000000"/>
      <w:kern w:val="0"/>
      <w:sz w:val="24"/>
      <w:szCs w:val="24"/>
      <w:lang w:val="en-US" w:eastAsia="zh-CN" w:bidi="ar-SA"/>
    </w:rPr>
  </w:style>
  <w:style w:type="paragraph" w:styleId="Style20">
    <w:name w:val="列表段落"/>
    <w:basedOn w:val="Style16"/>
    <w:uiPriority w:val="34"/>
    <w:qFormat/>
    <w:pPr>
      <w:ind w:firstLineChars="200" w:firstLine="0"/>
    </w:pPr>
    <w:rPr/>
  </w:style>
  <w:style w:type="table" w:default="1" w:styleId="12">
    <w:name w:val="Normal Table"/>
    <w:uiPriority w:val="99"/>
    <w:semiHidden/>
    <w:unhideWhenUsed/>
    <w:qFormat/>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footer" Target="footer1.xml"/><Relationship Id="rId5" Type="http://schemas.openxmlformats.org/officeDocument/2006/relationships/numbering" Target="numbering.xm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Relationship Id="rId9" Type="http://schemas.openxmlformats.org/officeDocument/2006/relationships/customXml" Target="../customXml/item1.xml"/><Relationship Id="rId10" Type="http://schemas.openxmlformats.org/officeDocument/2006/relationships/customXml" Target="../customXml/item2.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DEB0ACD3-C931-4644-801A-B9EA7D580E31}">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Application>LanShanOffice/1.4.1.10907$Windows_X86_64 LibreOffice_project/9c1eafdd6df65fffc15a828d5a9fd7d92823ade4</Application>
  <AppVersion>15.0000</AppVersion>
  <Pages>17</Pages>
  <Words>6414</Words>
  <Characters>6907</Characters>
  <CharactersWithSpaces>6994</CharactersWithSpaces>
  <Paragraphs>245</Paragraphs>
  <Company>四川省财政厅</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2020-08-26T06:15:00Z</dcterms:created>
  <dc:creator>曹颖</dc:creator>
  <dc:description/>
  <dc:language>zh-CN</dc:language>
  <cp:lastModifiedBy>Administrator</cp:lastModifiedBy>
  <cp:lastPrinted>2020-09-16T06:49:00Z</cp:lastPrinted>
  <dcterms:modified xsi:type="dcterms:W3CDTF">2021-09-09T06:33:38Z</dcterms:modified>
  <cp:revision>3</cp:revision>
  <dc:subject/>
  <dc:title>四川省***</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123D0CDE73414370BAB22414A2975EAA</vt:lpwstr>
  </property>
  <property fmtid="{D5CDD505-2E9C-101B-9397-08002B2CF9AE}" pid="3" name="KSOProductBuildVer">
    <vt:lpwstr>2052-11.1.0.10503</vt:lpwstr>
  </property>
</Properties>
</file>