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pacing w:val="-34"/>
          <w:sz w:val="72"/>
          <w:szCs w:val="72"/>
        </w:rPr>
      </w:pPr>
      <w:bookmarkStart w:id="1" w:name="_Toc15378442"/>
      <w:bookmarkStart w:id="2" w:name="_Toc15377194"/>
      <w:bookmarkStart w:id="3" w:name="_Toc15396598"/>
      <w:bookmarkStart w:id="4" w:name="_Toc15377426"/>
      <w:bookmarkStart w:id="5" w:name="_Toc15306268"/>
      <w:bookmarkStart w:id="6" w:name="_Toc15396476"/>
      <w:r>
        <w:rPr>
          <w:rFonts w:hint="eastAsia" w:ascii="方正小标宋简体" w:hAnsi="宋体" w:eastAsia="方正小标宋简体"/>
          <w:spacing w:val="-34"/>
          <w:sz w:val="72"/>
          <w:szCs w:val="72"/>
        </w:rPr>
        <w:t>达川区景市初级中学</w:t>
      </w:r>
    </w:p>
    <w:p>
      <w:pPr>
        <w:adjustRightInd w:val="0"/>
        <w:snapToGrid w:val="0"/>
        <w:spacing w:line="360" w:lineRule="auto"/>
        <w:jc w:val="center"/>
        <w:outlineLvl w:val="0"/>
        <w:rPr>
          <w:rFonts w:hint="eastAsia" w:ascii="方正小标宋简体" w:hAnsi="宋体" w:eastAsia="方正小标宋简体"/>
          <w:sz w:val="72"/>
          <w:szCs w:val="72"/>
        </w:rPr>
      </w:pPr>
      <w:bookmarkStart w:id="7" w:name="_Toc15396597"/>
      <w:bookmarkStart w:id="8" w:name="_Toc15377193"/>
      <w:bookmarkStart w:id="9" w:name="_Toc15377425"/>
      <w:bookmarkStart w:id="10" w:name="_Toc15396475"/>
      <w:bookmarkStart w:id="11" w:name="_Toc15378441"/>
      <w:r>
        <w:rPr>
          <w:rFonts w:ascii="黑体" w:hAnsi="黑体" w:eastAsia="黑体"/>
          <w:sz w:val="72"/>
          <w:szCs w:val="72"/>
        </w:rPr>
        <w:t>201</w:t>
      </w:r>
      <w:r>
        <w:rPr>
          <w:rFonts w:hint="eastAsia" w:ascii="黑体" w:hAnsi="黑体" w:eastAsia="黑体"/>
          <w:sz w:val="72"/>
          <w:szCs w:val="72"/>
        </w:rPr>
        <w:t>9</w:t>
      </w:r>
      <w:r>
        <w:rPr>
          <w:rFonts w:hint="eastAsia" w:ascii="方正小标宋简体" w:hAnsi="宋体" w:eastAsia="方正小标宋简体"/>
          <w:sz w:val="72"/>
          <w:szCs w:val="72"/>
        </w:rPr>
        <w:t>年度</w:t>
      </w:r>
      <w:bookmarkEnd w:id="7"/>
      <w:bookmarkEnd w:id="8"/>
      <w:bookmarkEnd w:id="9"/>
      <w:bookmarkEnd w:id="10"/>
      <w:bookmarkEnd w:id="11"/>
      <w:r>
        <w:rPr>
          <w:rFonts w:hint="eastAsia" w:ascii="方正小标宋简体" w:hAnsi="宋体" w:eastAsia="方正小标宋简体"/>
          <w:sz w:val="72"/>
          <w:szCs w:val="72"/>
        </w:rPr>
        <w:t>部门决算</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w:t>
      </w:r>
      <w:r>
        <w:rPr>
          <w:rStyle w:val="16"/>
          <w:rFonts w:hint="eastAsia"/>
          <w:color w:val="auto"/>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rPr>
          <w:rFonts w:hint="eastAsia"/>
        </w:rPr>
        <w:t>14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17</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附件3</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附件4</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rPr>
          <w:rFonts w:hint="eastAsia"/>
        </w:rPr>
        <w:t>31</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9年重点工作完成情况。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line="600" w:lineRule="exact"/>
        <w:ind w:firstLine="672" w:firstLineChars="210"/>
        <w:rPr>
          <w:rFonts w:hint="eastAsia"/>
          <w:color w:val="000000"/>
          <w:sz w:val="32"/>
          <w:szCs w:val="32"/>
        </w:rPr>
      </w:pPr>
      <w:r>
        <w:rPr>
          <w:rFonts w:hint="eastAsia" w:ascii="仿宋" w:hAnsi="仿宋" w:eastAsia="仿宋"/>
          <w:sz w:val="32"/>
          <w:szCs w:val="32"/>
        </w:rPr>
        <w:t>我校</w:t>
      </w:r>
      <w:r>
        <w:rPr>
          <w:rFonts w:hint="eastAsia"/>
          <w:color w:val="000000"/>
          <w:sz w:val="32"/>
          <w:szCs w:val="32"/>
        </w:rPr>
        <w:t>下属二级单位</w:t>
      </w:r>
      <w:r>
        <w:rPr>
          <w:rFonts w:hint="eastAsia"/>
          <w:color w:val="000000"/>
          <w:sz w:val="32"/>
          <w:szCs w:val="32"/>
          <w:lang w:val="en-US" w:eastAsia="zh-CN"/>
        </w:rPr>
        <w:t>0</w:t>
      </w:r>
      <w:r>
        <w:rPr>
          <w:rFonts w:hint="eastAsia"/>
          <w:color w:val="000000"/>
          <w:sz w:val="32"/>
          <w:szCs w:val="32"/>
        </w:rPr>
        <w:t>个，其中行政单位</w:t>
      </w:r>
      <w:r>
        <w:rPr>
          <w:rFonts w:hint="eastAsia"/>
          <w:color w:val="000000"/>
          <w:sz w:val="32"/>
          <w:szCs w:val="32"/>
          <w:lang w:val="en-US" w:eastAsia="zh-CN"/>
        </w:rPr>
        <w:t>0</w:t>
      </w:r>
      <w:r>
        <w:rPr>
          <w:rFonts w:hint="eastAsia"/>
          <w:color w:val="000000"/>
          <w:sz w:val="32"/>
          <w:szCs w:val="32"/>
        </w:rPr>
        <w:t>个，参照公务员法管理的事业单位</w:t>
      </w:r>
      <w:r>
        <w:rPr>
          <w:rFonts w:hint="eastAsia"/>
          <w:bCs/>
          <w:color w:val="000000"/>
          <w:sz w:val="32"/>
          <w:szCs w:val="32"/>
          <w:lang w:val="en-US" w:eastAsia="zh-CN"/>
        </w:rPr>
        <w:t>0</w:t>
      </w:r>
      <w:r>
        <w:rPr>
          <w:rFonts w:hint="eastAsia"/>
          <w:color w:val="000000"/>
          <w:sz w:val="32"/>
          <w:szCs w:val="32"/>
        </w:rPr>
        <w:t>个，其他事业单位</w:t>
      </w:r>
      <w:r>
        <w:rPr>
          <w:rFonts w:hint="eastAsia"/>
          <w:color w:val="000000"/>
          <w:sz w:val="32"/>
          <w:szCs w:val="32"/>
          <w:lang w:val="en-US" w:eastAsia="zh-CN"/>
        </w:rPr>
        <w:t>0</w:t>
      </w:r>
      <w:r>
        <w:rPr>
          <w:rFonts w:hint="eastAsia"/>
          <w:color w:val="000000"/>
          <w:sz w:val="32"/>
          <w:szCs w:val="32"/>
        </w:rPr>
        <w:t>个。</w:t>
      </w:r>
    </w:p>
    <w:p>
      <w:pPr>
        <w:pStyle w:val="5"/>
        <w:adjustRightInd w:val="0"/>
        <w:snapToGrid w:val="0"/>
        <w:spacing w:before="93" w:line="578" w:lineRule="exact"/>
        <w:ind w:firstLine="672" w:firstLineChars="210"/>
        <w:rPr>
          <w:rFonts w:ascii="仿宋" w:hAnsi="仿宋" w:eastAsia="仿宋"/>
          <w:sz w:val="32"/>
          <w:szCs w:val="32"/>
        </w:rPr>
      </w:pP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2019年度收、支总计1311.7万元。与2018年相比，收、支总计各增加116.16万元，增长9.72</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1219.02万元，其中：一般公共预算财政拨款收入1218.99万元，占100%；政府性基金预算财政拨款收入0万元，占0%；国有资本经营预算财政拨款收入0万元，占0%；事业收入0万元，占0%；经营收入0万元，占0%；附属单位上缴收入0万元，占0%；其他收入0.03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9年本年支出合计1294.56万元，其中：基本支出1227.56万元，占94.82%；项目支出67万元，占5.18%；上缴上级支出0万元，占0%；经营支出0万元，占0%；对附属单位补助支出0万元，占0%。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9年财政拨款收、支总计1218.99万元。与</w:t>
      </w:r>
      <w:r>
        <w:rPr>
          <w:rFonts w:ascii="仿宋" w:hAnsi="仿宋" w:eastAsia="仿宋"/>
          <w:sz w:val="32"/>
          <w:szCs w:val="32"/>
        </w:rPr>
        <w:t>201</w:t>
      </w:r>
      <w:r>
        <w:rPr>
          <w:rFonts w:hint="eastAsia" w:ascii="仿宋" w:hAnsi="仿宋" w:eastAsia="仿宋"/>
          <w:sz w:val="32"/>
          <w:szCs w:val="32"/>
        </w:rPr>
        <w:t>8年相比，财政拨款收、支总计各增加23.45万元，增长1.96%。主要变动原因是人员经费和项目支出增加。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0500" cy="3187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9年一般公共预算财政拨款支出1294.53万元，占本年支出合计的106.2%。与</w:t>
      </w:r>
      <w:r>
        <w:rPr>
          <w:rFonts w:ascii="仿宋" w:hAnsi="仿宋" w:eastAsia="仿宋"/>
          <w:sz w:val="32"/>
          <w:szCs w:val="32"/>
        </w:rPr>
        <w:t>201</w:t>
      </w:r>
      <w:r>
        <w:rPr>
          <w:rFonts w:hint="eastAsia" w:ascii="仿宋" w:hAnsi="仿宋" w:eastAsia="仿宋"/>
          <w:sz w:val="32"/>
          <w:szCs w:val="32"/>
        </w:rPr>
        <w:t>8年相比，一般公共预算财政拨款增加221.76万元，增长20.67%。主要变动原因是人员经费和项目支出增加。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9年一般公共预算财政拨款支出1294.53万元，主要用于以下方面</w:t>
      </w:r>
      <w:r>
        <w:rPr>
          <w:rFonts w:ascii="仿宋" w:hAnsi="仿宋" w:eastAsia="仿宋"/>
          <w:sz w:val="32"/>
          <w:szCs w:val="32"/>
        </w:rPr>
        <w:t>:</w:t>
      </w:r>
      <w:r>
        <w:rPr>
          <w:rFonts w:hint="eastAsia" w:ascii="仿宋" w:hAnsi="仿宋" w:eastAsia="仿宋"/>
          <w:sz w:val="32"/>
          <w:szCs w:val="32"/>
        </w:rPr>
        <w:t>一般公共服务（类）支出0万元，占0%；教育（类）支出1121.49万元，占86.63%；社会保障和就业（类）支出82.57万元，占6.38%；医疗卫生与计划生育（类）支出33.31万元，占2.57%；城乡社区（类）支出0万元，占0%；住房保障（类）支出57.16万元，占4.42%；其他（类）支出0万元，占0%。</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hint="eastAsia" w:ascii="仿宋" w:hAnsi="仿宋" w:eastAsia="仿宋"/>
          <w:b/>
          <w:sz w:val="32"/>
          <w:szCs w:val="32"/>
        </w:rPr>
        <w:t>2019年一般公共预算支出决算数为1294.53万元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1121.49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82.57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33.31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57.16万元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7.其他229</w:t>
      </w:r>
      <w:r>
        <w:rPr>
          <w:rStyle w:val="15"/>
          <w:rFonts w:hint="eastAsia" w:ascii="仿宋" w:hAnsi="仿宋" w:eastAsia="仿宋"/>
          <w:b w:val="0"/>
          <w:bCs/>
          <w:sz w:val="32"/>
          <w:szCs w:val="32"/>
        </w:rPr>
        <w:t>（类）</w:t>
      </w:r>
      <w:r>
        <w:rPr>
          <w:rFonts w:hint="eastAsia" w:ascii="仿宋" w:hAnsi="仿宋" w:eastAsia="仿宋"/>
          <w:b/>
          <w:sz w:val="32"/>
          <w:szCs w:val="32"/>
        </w:rPr>
        <w:t>60</w:t>
      </w:r>
      <w:r>
        <w:rPr>
          <w:rStyle w:val="15"/>
          <w:rFonts w:hint="eastAsia" w:ascii="仿宋" w:hAnsi="仿宋" w:eastAsia="仿宋"/>
          <w:b w:val="0"/>
          <w:bCs/>
          <w:sz w:val="32"/>
          <w:szCs w:val="32"/>
        </w:rPr>
        <w:t>（款）</w:t>
      </w:r>
      <w:r>
        <w:rPr>
          <w:rFonts w:hint="eastAsia" w:ascii="仿宋" w:hAnsi="仿宋" w:eastAsia="仿宋"/>
          <w:b/>
          <w:sz w:val="32"/>
          <w:szCs w:val="32"/>
        </w:rPr>
        <w:t>99</w:t>
      </w:r>
      <w:r>
        <w:rPr>
          <w:rStyle w:val="15"/>
          <w:rFonts w:hint="eastAsia" w:ascii="仿宋" w:hAnsi="仿宋" w:eastAsia="仿宋"/>
          <w:b w:val="0"/>
          <w:bCs/>
          <w:sz w:val="32"/>
          <w:szCs w:val="32"/>
        </w:rPr>
        <w:t>（项）:</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0万元,</w:t>
      </w:r>
      <w:r>
        <w:rPr>
          <w:rStyle w:val="15"/>
          <w:rFonts w:hint="eastAsia" w:ascii="仿宋" w:hAnsi="仿宋" w:eastAsia="仿宋"/>
          <w:b w:val="0"/>
          <w:bCs/>
          <w:sz w:val="32"/>
          <w:szCs w:val="32"/>
        </w:rPr>
        <w:t xml:space="preserve"> 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9年一般公共预算财政拨款基本支出1227.53万元，其中：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人员经费1103.71万元，主要包括：基本工资、津贴补贴、绩效工资、机关事业单位基本养老保险费、职工基本医疗保险缴费、住房公积金、其他工资福利支出、抚恤金、生活补助、助学金、奖励金等。</w:t>
      </w:r>
    </w:p>
    <w:p>
      <w:pPr>
        <w:spacing w:line="600" w:lineRule="exact"/>
        <w:ind w:firstLine="645"/>
        <w:rPr>
          <w:rFonts w:ascii="仿宋" w:hAnsi="仿宋" w:eastAsia="仿宋"/>
          <w:sz w:val="32"/>
          <w:szCs w:val="32"/>
        </w:rPr>
      </w:pPr>
      <w:r>
        <w:rPr>
          <w:rFonts w:hint="eastAsia" w:ascii="仿宋" w:hAnsi="仿宋" w:eastAsia="仿宋"/>
          <w:sz w:val="32"/>
          <w:szCs w:val="32"/>
        </w:rPr>
        <w:t>公用经费123.82万元，主要包括：办公费、印刷费、咨询费、水费、电费、邮电费、物业管理费、差旅费、维修（护）费、会议费、培训费、劳务费、工会经费、其他商品和服务支出、办公设备购置等。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9年“三公”经费财政拨款支出决算为0万元，完成预算0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w:t>
      </w:r>
      <w:bookmarkStart w:id="76" w:name="_GoBack"/>
      <w:bookmarkEnd w:id="76"/>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9年政府性基金预算拨款支出</w:t>
      </w:r>
      <w:r>
        <w:rPr>
          <w:rFonts w:hint="eastAsia" w:ascii="仿宋" w:hAnsi="仿宋" w:eastAsia="仿宋"/>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本部门在2019年度部门决算中反映“民生资金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项目绩效目标实际完成情况。民生资金项目绩效目标完成情况综述：项目全年预算数</w:t>
      </w:r>
      <w:r>
        <w:rPr>
          <w:rFonts w:hint="eastAsia" w:ascii="仿宋" w:hAnsi="仿宋" w:eastAsia="仿宋"/>
          <w:sz w:val="32"/>
          <w:szCs w:val="32"/>
          <w:lang w:val="en-US" w:eastAsia="zh-CN"/>
        </w:rPr>
        <w:t>115.60</w:t>
      </w:r>
      <w:r>
        <w:rPr>
          <w:rFonts w:hint="eastAsia" w:ascii="仿宋_GB2312" w:hAnsi="仿宋_GB2312" w:eastAsia="仿宋_GB2312" w:cs="仿宋_GB2312"/>
          <w:sz w:val="32"/>
          <w:szCs w:val="32"/>
        </w:rPr>
        <w:t>万元，执行数为</w:t>
      </w:r>
      <w:r>
        <w:rPr>
          <w:rFonts w:hint="eastAsia" w:ascii="仿宋" w:hAnsi="仿宋" w:eastAsia="仿宋"/>
          <w:sz w:val="32"/>
          <w:szCs w:val="32"/>
        </w:rPr>
        <w:t>196.87</w:t>
      </w:r>
      <w:r>
        <w:rPr>
          <w:rFonts w:hint="eastAsia" w:ascii="仿宋_GB2312" w:hAnsi="仿宋_GB2312" w:eastAsia="仿宋_GB2312" w:cs="仿宋_GB2312"/>
          <w:sz w:val="32"/>
          <w:szCs w:val="32"/>
        </w:rPr>
        <w:t>万元，完成预算的</w:t>
      </w:r>
      <w:r>
        <w:rPr>
          <w:rFonts w:hint="eastAsia" w:ascii="仿宋" w:hAnsi="仿宋" w:eastAsia="仿宋"/>
          <w:sz w:val="32"/>
          <w:szCs w:val="32"/>
        </w:rPr>
        <w:t>1</w:t>
      </w:r>
      <w:r>
        <w:rPr>
          <w:rFonts w:hint="eastAsia" w:ascii="仿宋" w:hAnsi="仿宋" w:eastAsia="仿宋"/>
          <w:sz w:val="32"/>
          <w:szCs w:val="32"/>
          <w:lang w:val="en-US" w:eastAsia="zh-CN"/>
        </w:rPr>
        <w:t>70.30</w:t>
      </w:r>
      <w:r>
        <w:rPr>
          <w:rFonts w:hint="eastAsia" w:ascii="仿宋" w:hAnsi="仿宋" w:eastAsia="仿宋"/>
          <w:sz w:val="32"/>
          <w:szCs w:val="32"/>
        </w:rPr>
        <w:t>%</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达川区景市初级中学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115.60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196.87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115.60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196.87</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足额发放住校贫困生生活补助、学生营养餐、免作业本费。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本部门自行组织对人员经费项目开展了绩效评价，《人员经费项目支出绩效评价报告》见附件3。</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达川区景市初级中学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达川区景市初级中学是一所农村单设初中，单位性质为：全额拨款事业单位，设立5个内设部门：教务处、政教处、安全办公室、党建办公室、后勤处。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2019年我校在职教职工72人，临聘人员2人。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9年本年收入合计1219.02万元，其中：一般公共预算财政拨款收入1218.99万元，占100%；政府性基金预算财政拨款收入0万元，占0%；国有资本经营预算财政拨款收入0万元，占0%；事业收入0万元，占0%；经营收入0万元，占0%；附属单位上缴收入0万元，占0%；其他收入0.03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9年本年支出合计1294.56万元，其中：基本支出1227.56万元，占94.82%；项目支出67万元，占5.18%；上缴上级支出0万元，占0%；经营支出0万元，占0%；对附属单位补助支出0万元，占0%。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ascii="仿宋_GB2312" w:hAnsi="仿宋_GB2312" w:eastAsia="仿宋_GB2312" w:cs="仿宋_GB2312"/>
          <w:sz w:val="32"/>
          <w:szCs w:val="32"/>
        </w:rPr>
        <w:br w:type="page"/>
      </w:r>
      <w:bookmarkStart w:id="61" w:name="_Toc15396617"/>
    </w:p>
    <w:p/>
    <w:tbl>
      <w:tblPr>
        <w:tblStyle w:val="12"/>
        <w:tblW w:w="13572" w:type="dxa"/>
        <w:tblInd w:w="534" w:type="dxa"/>
        <w:tblLayout w:type="autofit"/>
        <w:tblCellMar>
          <w:top w:w="0" w:type="dxa"/>
          <w:left w:w="108" w:type="dxa"/>
          <w:bottom w:w="0" w:type="dxa"/>
          <w:right w:w="108" w:type="dxa"/>
        </w:tblCellMar>
      </w:tblPr>
      <w:tblGrid>
        <w:gridCol w:w="708"/>
        <w:gridCol w:w="284"/>
        <w:gridCol w:w="387"/>
        <w:gridCol w:w="358"/>
        <w:gridCol w:w="1285"/>
        <w:gridCol w:w="238"/>
        <w:gridCol w:w="1913"/>
        <w:gridCol w:w="922"/>
        <w:gridCol w:w="6566"/>
        <w:gridCol w:w="911"/>
      </w:tblGrid>
      <w:tr>
        <w:tblPrEx>
          <w:tblCellMar>
            <w:top w:w="0" w:type="dxa"/>
            <w:left w:w="108" w:type="dxa"/>
            <w:bottom w:w="0" w:type="dxa"/>
            <w:right w:w="108" w:type="dxa"/>
          </w:tblCellMar>
        </w:tblPrEx>
        <w:trPr>
          <w:trHeight w:val="679" w:hRule="atLeast"/>
        </w:trPr>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w:t>
            </w:r>
          </w:p>
        </w:tc>
        <w:tc>
          <w:tcPr>
            <w:tcW w:w="74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tcPr>
          <w:p>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70" w:hRule="atLeast"/>
        </w:trPr>
        <w:tc>
          <w:tcPr>
            <w:tcW w:w="12661" w:type="dxa"/>
            <w:gridSpan w:val="9"/>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达川区景市初级中学整体支出绩效评价得分表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rPr>
              <w:t>1</w:t>
            </w:r>
            <w:r>
              <w:rPr>
                <w:rFonts w:ascii="仿宋_GB2312" w:hAnsi="宋体" w:eastAsia="仿宋_GB2312" w:cs="宋体"/>
                <w:kern w:val="0"/>
                <w:sz w:val="20"/>
              </w:rPr>
              <w:t>个内，得分；</w:t>
            </w:r>
            <w:r>
              <w:rPr>
                <w:rFonts w:eastAsia="仿宋_GB2312"/>
                <w:kern w:val="0"/>
                <w:sz w:val="20"/>
              </w:rPr>
              <w:t>2-3</w:t>
            </w:r>
            <w:r>
              <w:rPr>
                <w:rFonts w:ascii="仿宋_GB2312" w:hAnsi="宋体" w:eastAsia="仿宋_GB2312" w:cs="宋体"/>
                <w:kern w:val="0"/>
                <w:sz w:val="20"/>
              </w:rPr>
              <w:t>个得</w:t>
            </w:r>
            <w:r>
              <w:rPr>
                <w:rFonts w:eastAsia="仿宋_GB2312"/>
                <w:kern w:val="0"/>
                <w:sz w:val="20"/>
              </w:rPr>
              <w:t>1</w:t>
            </w:r>
            <w:r>
              <w:rPr>
                <w:rFonts w:ascii="仿宋_GB2312" w:hAnsi="宋体" w:eastAsia="仿宋_GB2312" w:cs="宋体"/>
                <w:kern w:val="0"/>
                <w:sz w:val="20"/>
              </w:rPr>
              <w:t>分；超过</w:t>
            </w:r>
            <w:r>
              <w:rPr>
                <w:rFonts w:eastAsia="仿宋_GB2312"/>
                <w:kern w:val="0"/>
                <w:sz w:val="20"/>
              </w:rPr>
              <w:t>3</w:t>
            </w:r>
            <w:r>
              <w:rPr>
                <w:rFonts w:ascii="仿宋_GB2312" w:hAnsi="宋体" w:eastAsia="仿宋_GB2312" w:cs="宋体"/>
                <w:kern w:val="0"/>
                <w:sz w:val="20"/>
              </w:rPr>
              <w:t>个以上，不得分。（注：按照上级及区委区政府批准的项目资金性质变动如财政资金整合等情况不计入考核）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有完整、明确、合理的的重点项目工作方案得分，否则不得分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区级平均支付进度：在某时点上，本级财政的支付进度率，以序时进度代替。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分。③未落实人员负责管理系统，扣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分。②报表填报不规范，内容不完整，数据不真实，扣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r>
      <w:tr>
        <w:tblPrEx>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rPr>
              <w:t>0.5</w:t>
            </w:r>
            <w:r>
              <w:rPr>
                <w:rFonts w:ascii="仿宋_GB2312" w:hAnsi="宋体" w:eastAsia="仿宋_GB2312" w:cs="宋体"/>
                <w:kern w:val="0"/>
                <w:sz w:val="20"/>
              </w:rPr>
              <w:t>分；报告内容不完整，扣</w:t>
            </w:r>
            <w:r>
              <w:rPr>
                <w:rFonts w:eastAsia="仿宋_GB2312"/>
                <w:kern w:val="0"/>
                <w:sz w:val="20"/>
              </w:rPr>
              <w:t>1</w:t>
            </w:r>
            <w:r>
              <w:rPr>
                <w:rFonts w:ascii="仿宋_GB2312" w:hAnsi="宋体" w:eastAsia="仿宋_GB2312" w:cs="宋体"/>
                <w:kern w:val="0"/>
                <w:sz w:val="20"/>
              </w:rPr>
              <w:t>分；报表质量差（如：数据、逻辑、勾稽关系错误）等扣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1</w:t>
            </w:r>
            <w:r>
              <w:rPr>
                <w:rFonts w:hint="eastAsia" w:ascii="宋体" w:hAnsi="宋体" w:cs="宋体"/>
                <w:kern w:val="0"/>
                <w:sz w:val="20"/>
                <w:szCs w:val="20"/>
                <w:lang w:val="en-US" w:eastAsia="zh-CN"/>
              </w:rPr>
              <w:t>8</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kern w:val="0"/>
                <w:sz w:val="20"/>
                <w:szCs w:val="20"/>
              </w:rPr>
            </w:pPr>
          </w:p>
        </w:tc>
        <w:tc>
          <w:tcPr>
            <w:tcW w:w="1881" w:type="dxa"/>
            <w:gridSpan w:val="3"/>
            <w:tcBorders>
              <w:top w:val="nil"/>
              <w:left w:val="nil"/>
              <w:bottom w:val="nil"/>
              <w:right w:val="nil"/>
            </w:tcBorders>
            <w:shd w:val="clear" w:color="auto" w:fill="auto"/>
            <w:vAlign w:val="center"/>
          </w:tcPr>
          <w:p>
            <w:pPr>
              <w:widowControl/>
              <w:jc w:val="center"/>
              <w:rPr>
                <w:kern w:val="0"/>
                <w:sz w:val="20"/>
                <w:szCs w:val="20"/>
              </w:rPr>
            </w:pPr>
          </w:p>
        </w:tc>
        <w:tc>
          <w:tcPr>
            <w:tcW w:w="2835" w:type="dxa"/>
            <w:gridSpan w:val="2"/>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37" w:hRule="atLeast"/>
        </w:trPr>
        <w:tc>
          <w:tcPr>
            <w:tcW w:w="12661" w:type="dxa"/>
            <w:gridSpan w:val="9"/>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widowControl/>
        <w:jc w:val="left"/>
        <w:rPr>
          <w:rStyle w:val="25"/>
          <w:rFonts w:ascii="仿宋" w:hAnsi="仿宋" w:eastAsia="仿宋" w:cstheme="majorBidi"/>
          <w:b w:val="0"/>
          <w:bCs w:val="0"/>
          <w:sz w:val="32"/>
          <w:szCs w:val="32"/>
        </w:rPr>
      </w:pPr>
      <w:r>
        <w:rPr>
          <w:rStyle w:val="25"/>
          <w:rFonts w:ascii="仿宋" w:hAnsi="仿宋" w:eastAsia="仿宋"/>
          <w:sz w:val="32"/>
          <w:szCs w:val="32"/>
        </w:rPr>
        <w:br w:type="page"/>
      </w:r>
    </w:p>
    <w:p>
      <w:pPr>
        <w:pStyle w:val="3"/>
        <w:rPr>
          <w:rStyle w:val="25"/>
          <w:rFonts w:ascii="仿宋" w:hAnsi="仿宋" w:eastAsia="仿宋"/>
          <w:b/>
          <w:bCs/>
          <w:sz w:val="32"/>
          <w:szCs w:val="32"/>
        </w:rPr>
        <w:sectPr>
          <w:pgSz w:w="16838" w:h="11906" w:orient="landscape"/>
          <w:pgMar w:top="1800" w:right="1440" w:bottom="1800" w:left="1440" w:header="851" w:footer="992" w:gutter="0"/>
          <w:pgNumType w:start="1"/>
          <w:cols w:space="425" w:num="1"/>
          <w:titlePg/>
          <w:docGrid w:type="lines" w:linePitch="312" w:charSpace="0"/>
        </w:sectPr>
      </w:pP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w:t>
      </w:r>
      <w:bookmarkEnd w:id="61"/>
      <w:r>
        <w:rPr>
          <w:rStyle w:val="25"/>
          <w:rFonts w:hint="eastAsia" w:ascii="仿宋" w:hAnsi="仿宋" w:eastAsia="仿宋"/>
          <w:b w:val="0"/>
          <w:bCs w:val="0"/>
          <w:sz w:val="32"/>
          <w:szCs w:val="32"/>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达川区景市初级中学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民生资金项目支出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学校经费中的助学金是民生资金项目经费，其涉及学生的住校生生活补助和免作业本费等惠及广大人民群众的资金。因此学校把这项费用纳入项目支出绩效评价。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为是否及时足额发放惠民资金。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196.87</w:t>
      </w:r>
      <w:r>
        <w:rPr>
          <w:rFonts w:hint="eastAsia" w:ascii="仿宋" w:hAnsi="仿宋" w:eastAsia="仿宋" w:cs="仿宋_GB2312"/>
          <w:sz w:val="32"/>
          <w:szCs w:val="32"/>
        </w:rPr>
        <w:t>万元，足额用于发放资助学生的各种助学金。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为应受益人员全部及时得到补助，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707" w:firstLineChars="221"/>
        <w:rPr>
          <w:rFonts w:ascii="仿宋" w:hAnsi="仿宋" w:eastAsia="仿宋" w:cs="仿宋_GB2312"/>
          <w:sz w:val="32"/>
          <w:szCs w:val="32"/>
        </w:rPr>
      </w:pPr>
      <w:r>
        <w:rPr>
          <w:rFonts w:hint="eastAsia" w:ascii="仿宋_GB2312" w:hAnsi="仿宋_GB2312" w:eastAsia="仿宋_GB2312" w:cs="仿宋_GB2312"/>
          <w:sz w:val="32"/>
          <w:szCs w:val="32"/>
        </w:rPr>
        <w:t>学生在享受资助上卡时，提供卡号信息有误，导致不能及时得到资助。</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Fonts w:hint="eastAsia" w:ascii="仿宋_GB2312" w:hAnsi="仿宋_GB2312" w:eastAsia="仿宋_GB2312" w:cs="仿宋_GB2312"/>
          <w:sz w:val="32"/>
          <w:szCs w:val="32"/>
        </w:rPr>
        <w:t>打卡前充分核对卡号，确保准确无误。</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pgNumType w:start="1"/>
          <w:cols w:space="425" w:num="1"/>
          <w:titlePg/>
          <w:docGrid w:type="lines" w:linePitch="312" w:charSpace="0"/>
        </w:sectPr>
      </w:pPr>
    </w:p>
    <w:tbl>
      <w:tblPr>
        <w:tblStyle w:val="12"/>
        <w:tblW w:w="14277" w:type="dxa"/>
        <w:tblInd w:w="93" w:type="dxa"/>
        <w:tblLayout w:type="autofit"/>
        <w:tblCellMar>
          <w:top w:w="0" w:type="dxa"/>
          <w:left w:w="108" w:type="dxa"/>
          <w:bottom w:w="0" w:type="dxa"/>
          <w:right w:w="108" w:type="dxa"/>
        </w:tblCellMar>
      </w:tblPr>
      <w:tblGrid>
        <w:gridCol w:w="878"/>
        <w:gridCol w:w="888"/>
        <w:gridCol w:w="1076"/>
        <w:gridCol w:w="2906"/>
        <w:gridCol w:w="5728"/>
        <w:gridCol w:w="1714"/>
        <w:gridCol w:w="1087"/>
      </w:tblGrid>
      <w:tr>
        <w:tblPrEx>
          <w:tblCellMar>
            <w:top w:w="0" w:type="dxa"/>
            <w:left w:w="108" w:type="dxa"/>
            <w:bottom w:w="0" w:type="dxa"/>
            <w:right w:w="108" w:type="dxa"/>
          </w:tblCellMar>
        </w:tblPrEx>
        <w:trPr>
          <w:trHeight w:val="320" w:hRule="atLeast"/>
        </w:trPr>
        <w:tc>
          <w:tcPr>
            <w:tcW w:w="878" w:type="dxa"/>
            <w:tcBorders>
              <w:top w:val="nil"/>
              <w:left w:val="nil"/>
              <w:bottom w:val="nil"/>
              <w:right w:val="nil"/>
            </w:tcBorders>
            <w:shd w:val="clear" w:color="auto" w:fill="auto"/>
            <w:noWrap/>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附件4</w:t>
            </w:r>
          </w:p>
        </w:tc>
        <w:tc>
          <w:tcPr>
            <w:tcW w:w="88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97" w:hRule="atLeast"/>
        </w:trPr>
        <w:tc>
          <w:tcPr>
            <w:tcW w:w="13190" w:type="dxa"/>
            <w:gridSpan w:val="6"/>
            <w:tcBorders>
              <w:top w:val="nil"/>
              <w:left w:val="nil"/>
              <w:bottom w:val="single" w:color="000000" w:sz="4" w:space="0"/>
              <w:right w:val="nil"/>
            </w:tcBorders>
            <w:shd w:val="clear" w:color="auto"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达川区景市初级中学民生资金项目支出绩效评价得分表</w:t>
            </w: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4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38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29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32"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94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63"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46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5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6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8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r>
      <w:tr>
        <w:tblPrEx>
          <w:tblCellMar>
            <w:top w:w="0" w:type="dxa"/>
            <w:left w:w="108" w:type="dxa"/>
            <w:bottom w:w="0" w:type="dxa"/>
            <w:right w:w="108" w:type="dxa"/>
          </w:tblCellMar>
        </w:tblPrEx>
        <w:trPr>
          <w:trHeight w:val="1125"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82"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22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33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2126"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585"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709"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801"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pgNumType w:start="1"/>
          <w:cols w:space="425" w:num="1"/>
          <w:titlePg/>
          <w:docGrid w:type="lines" w:linePitch="312" w:charSpace="0"/>
        </w:sectPr>
      </w:pPr>
      <w:bookmarkStart w:id="62" w:name="_Toc15396618"/>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sz w:val="44"/>
          <w:szCs w:val="44"/>
        </w:rPr>
      </w:pPr>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8686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0EE"/>
    <w:rsid w:val="000129ED"/>
    <w:rsid w:val="000222C6"/>
    <w:rsid w:val="0002549F"/>
    <w:rsid w:val="000317A9"/>
    <w:rsid w:val="00034B62"/>
    <w:rsid w:val="000403BA"/>
    <w:rsid w:val="000433AD"/>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6613"/>
    <w:rsid w:val="000E7119"/>
    <w:rsid w:val="000F29FC"/>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 w:val="50DA6739"/>
    <w:rsid w:val="59DF69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9AF71-8D02-421E-AE4C-3C5968C20D6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Pages>
  <Words>2205</Words>
  <Characters>12574</Characters>
  <Lines>104</Lines>
  <Paragraphs>29</Paragraphs>
  <TotalTime>1</TotalTime>
  <ScaleCrop>false</ScaleCrop>
  <LinksUpToDate>false</LinksUpToDate>
  <CharactersWithSpaces>14750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2021-05-22T03:13:45Z</dcterms:modified>
  <dc:title>四川省***</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