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1" w:name="_Toc15377426"/>
      <w:bookmarkStart w:id="2" w:name="_Toc15377194"/>
      <w:bookmarkStart w:id="3" w:name="_Toc15396598"/>
      <w:bookmarkStart w:id="4" w:name="_Toc15396476"/>
      <w:bookmarkStart w:id="5" w:name="_Toc15378442"/>
      <w:r>
        <w:rPr>
          <w:rFonts w:hint="eastAsia" w:ascii="方正小标宋简体" w:hAnsi="宋体" w:eastAsia="方正小标宋简体"/>
          <w:color w:val="000000"/>
          <w:sz w:val="72"/>
          <w:szCs w:val="72"/>
        </w:rPr>
        <w:t>四川省</w:t>
      </w:r>
      <w:bookmarkEnd w:id="0"/>
      <w:bookmarkStart w:id="6" w:name="_Toc15306268"/>
      <w:r>
        <w:rPr>
          <w:rFonts w:hint="eastAsia" w:ascii="方正小标宋简体" w:hAnsi="宋体" w:eastAsia="方正小标宋简体"/>
          <w:color w:val="000000"/>
          <w:sz w:val="72"/>
          <w:szCs w:val="72"/>
        </w:rPr>
        <w:t>达州市达川区景市镇大垭中心小学</w:t>
      </w:r>
      <w:bookmarkStart w:id="7" w:name="_Toc15396475"/>
      <w:bookmarkStart w:id="8" w:name="_Toc15396597"/>
      <w:bookmarkStart w:id="9" w:name="_Toc15378441"/>
      <w:bookmarkStart w:id="10" w:name="_Toc15377425"/>
      <w:bookmarkStart w:id="11" w:name="_Toc15377193"/>
      <w:r>
        <w:rPr>
          <w:rFonts w:ascii="方正小标宋简体" w:hAnsi="宋体" w:eastAsia="方正小标宋简体"/>
          <w:color w:val="000000"/>
          <w:sz w:val="72"/>
          <w:szCs w:val="72"/>
        </w:rPr>
        <w:t>201</w:t>
      </w:r>
      <w:r>
        <w:rPr>
          <w:rFonts w:hint="eastAsia" w:ascii="方正小标宋简体" w:hAnsi="宋体" w:eastAsia="方正小标宋简体"/>
          <w:color w:val="000000"/>
          <w:sz w:val="72"/>
          <w:szCs w:val="72"/>
        </w:rPr>
        <w:t>8年度</w:t>
      </w:r>
      <w:bookmarkEnd w:id="7"/>
      <w:bookmarkEnd w:id="8"/>
      <w:bookmarkEnd w:id="9"/>
      <w:bookmarkEnd w:id="10"/>
      <w:bookmarkEnd w:id="11"/>
      <w:r>
        <w:rPr>
          <w:rFonts w:hint="eastAsia" w:ascii="方正小标宋简体" w:hAnsi="宋体" w:eastAsia="方正小标宋简体"/>
          <w:color w:val="000000"/>
          <w:sz w:val="72"/>
          <w:szCs w:val="72"/>
        </w:rPr>
        <w:t>部门决算</w:t>
      </w:r>
      <w:bookmarkEnd w:id="1"/>
      <w:bookmarkEnd w:id="2"/>
      <w:bookmarkEnd w:id="3"/>
      <w:bookmarkEnd w:id="4"/>
      <w:bookmarkEnd w:id="5"/>
      <w:bookmarkEnd w:id="6"/>
      <w:r>
        <w:rPr>
          <w:rFonts w:hint="eastAsia" w:ascii="方正小标宋简体" w:hAnsi="宋体" w:eastAsia="方正小标宋简体"/>
          <w:color w:val="000000"/>
          <w:sz w:val="72"/>
          <w:szCs w:val="72"/>
          <w:lang w:eastAsia="zh-CN"/>
        </w:rPr>
        <w:t>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公开时间：2019年9月11日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11</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13</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w:t>
      </w:r>
      <w:r>
        <w:rPr>
          <w:rFonts w:hint="eastAsia"/>
        </w:rPr>
        <w:t>7</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rPr>
          <w:rFonts w:hint="eastAsia"/>
        </w:rPr>
        <w:t>20</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20</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rPr>
          <w:rFonts w:hint="eastAsia"/>
        </w:rPr>
        <w:t>24</w:t>
      </w:r>
      <w:r>
        <w:rPr>
          <w:rFonts w:hint="eastAsia"/>
        </w:rP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30</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hint="eastAsia" w:ascii="仿宋" w:hAnsi="仿宋" w:eastAsia="仿宋"/>
          <w:sz w:val="28"/>
          <w:szCs w:val="28"/>
        </w:rPr>
        <w:t>3</w:t>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33</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34</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35</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36</w:t>
      </w:r>
      <w:r>
        <w:rPr>
          <w:rFonts w:hint="eastAsia"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37</w:t>
      </w:r>
      <w:r>
        <w:rPr>
          <w:rFonts w:hint="eastAsia"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rPr>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r>
        <w:rPr>
          <w:rFonts w:hint="eastAsia" w:hAnsi="仿宋"/>
          <w:sz w:val="32"/>
          <w:szCs w:val="32"/>
        </w:rPr>
        <w:t>主要负责达川区景市镇大垭范围内中学生的教育教学工作。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snapToGrid w:val="0"/>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1、按质按量完成教学任务；</w:t>
      </w:r>
    </w:p>
    <w:p>
      <w:pPr>
        <w:snapToGrid w:val="0"/>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2、学生入学率达100%；</w:t>
      </w:r>
    </w:p>
    <w:p>
      <w:pPr>
        <w:snapToGrid w:val="0"/>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3、在经费紧缺的情况下，保证了教师工资待遇的正常发放，保证了教育资助的落实，保证了学校的正常运转；</w:t>
      </w:r>
    </w:p>
    <w:p>
      <w:pPr>
        <w:snapToGrid w:val="0"/>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4、按时按质按量上报各种报表及领导交办的其他任务；</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hAnsi="仿宋"/>
          <w:sz w:val="32"/>
          <w:szCs w:val="32"/>
        </w:rPr>
        <w:t>5、及时对学校校舍进行维修，消除各种安全隐患。</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line="600" w:lineRule="exact"/>
        <w:ind w:firstLine="672" w:firstLineChars="210"/>
        <w:rPr>
          <w:rFonts w:hint="eastAsia"/>
          <w:color w:val="000000"/>
          <w:sz w:val="32"/>
          <w:szCs w:val="32"/>
        </w:rPr>
      </w:pPr>
      <w:r>
        <w:rPr>
          <w:rFonts w:hint="eastAsia"/>
          <w:color w:val="000000"/>
          <w:sz w:val="32"/>
          <w:szCs w:val="32"/>
          <w:lang w:eastAsia="zh-CN"/>
        </w:rPr>
        <w:t>达川区景市镇大垭中心小学</w:t>
      </w:r>
      <w:r>
        <w:rPr>
          <w:rFonts w:hint="eastAsia"/>
          <w:color w:val="000000"/>
          <w:sz w:val="32"/>
          <w:szCs w:val="32"/>
        </w:rPr>
        <w:t>下属二级单位</w:t>
      </w:r>
      <w:r>
        <w:rPr>
          <w:rFonts w:hint="eastAsia"/>
          <w:color w:val="000000"/>
          <w:sz w:val="32"/>
          <w:szCs w:val="32"/>
          <w:lang w:val="en-US" w:eastAsia="zh-CN"/>
        </w:rPr>
        <w:t>0</w:t>
      </w:r>
      <w:r>
        <w:rPr>
          <w:rFonts w:hint="eastAsia"/>
          <w:color w:val="000000"/>
          <w:sz w:val="32"/>
          <w:szCs w:val="32"/>
        </w:rPr>
        <w:t>个，其中行政单位</w:t>
      </w:r>
      <w:r>
        <w:rPr>
          <w:rFonts w:hint="eastAsia"/>
          <w:color w:val="000000"/>
          <w:sz w:val="32"/>
          <w:szCs w:val="32"/>
          <w:lang w:val="en-US" w:eastAsia="zh-CN"/>
        </w:rPr>
        <w:t>0</w:t>
      </w:r>
      <w:r>
        <w:rPr>
          <w:rFonts w:hint="eastAsia"/>
          <w:color w:val="000000"/>
          <w:sz w:val="32"/>
          <w:szCs w:val="32"/>
        </w:rPr>
        <w:t>个，参照公务员法管理的事业单位</w:t>
      </w:r>
      <w:r>
        <w:rPr>
          <w:rFonts w:hint="eastAsia"/>
          <w:bCs/>
          <w:color w:val="000000"/>
          <w:sz w:val="32"/>
          <w:szCs w:val="32"/>
          <w:lang w:val="en-US" w:eastAsia="zh-CN"/>
        </w:rPr>
        <w:t>0</w:t>
      </w:r>
      <w:r>
        <w:rPr>
          <w:rFonts w:hint="eastAsia"/>
          <w:color w:val="000000"/>
          <w:sz w:val="32"/>
          <w:szCs w:val="32"/>
        </w:rPr>
        <w:t>个，其他事业单位</w:t>
      </w:r>
      <w:r>
        <w:rPr>
          <w:rFonts w:hint="eastAsia"/>
          <w:color w:val="000000"/>
          <w:sz w:val="32"/>
          <w:szCs w:val="32"/>
          <w:lang w:val="en-US" w:eastAsia="zh-CN"/>
        </w:rPr>
        <w:t>0</w:t>
      </w:r>
      <w:r>
        <w:rPr>
          <w:rFonts w:hint="eastAsia"/>
          <w:color w:val="000000"/>
          <w:sz w:val="32"/>
          <w:szCs w:val="32"/>
        </w:rPr>
        <w:t>个。</w:t>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2018年度财政拨款收入总计384.03万元，支出总计332.18万元。与2017年相比，财政拨款收入总计增加44.54万元，增加11.59%；支出总计增加28.06万元，增加8.44%。</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drawing>
          <wp:anchor distT="0" distB="0" distL="114300" distR="114300" simplePos="0" relativeHeight="251660288" behindDoc="0" locked="0" layoutInCell="1" allowOverlap="1">
            <wp:simplePos x="0" y="0"/>
            <wp:positionH relativeFrom="column">
              <wp:posOffset>371475</wp:posOffset>
            </wp:positionH>
            <wp:positionV relativeFrom="paragraph">
              <wp:posOffset>67945</wp:posOffset>
            </wp:positionV>
            <wp:extent cx="4601845" cy="2847975"/>
            <wp:effectExtent l="19050" t="0" r="8255" b="0"/>
            <wp:wrapNone/>
            <wp:docPr id="12" name="图片 1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1.png"/>
                    <pic:cNvPicPr>
                      <a:picLocks noChangeAspect="1"/>
                    </pic:cNvPicPr>
                  </pic:nvPicPr>
                  <pic:blipFill>
                    <a:blip r:embed="rId6"/>
                    <a:stretch>
                      <a:fillRect/>
                    </a:stretch>
                  </pic:blipFill>
                  <pic:spPr>
                    <a:xfrm>
                      <a:off x="0" y="0"/>
                      <a:ext cx="4601845" cy="2847975"/>
                    </a:xfrm>
                    <a:prstGeom prst="rect">
                      <a:avLst/>
                    </a:prstGeom>
                  </pic:spPr>
                </pic:pic>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drawing>
          <wp:anchor distT="0" distB="0" distL="114300" distR="114300" simplePos="0" relativeHeight="251661312" behindDoc="0" locked="0" layoutInCell="1" allowOverlap="1">
            <wp:simplePos x="0" y="0"/>
            <wp:positionH relativeFrom="column">
              <wp:posOffset>371475</wp:posOffset>
            </wp:positionH>
            <wp:positionV relativeFrom="paragraph">
              <wp:posOffset>325120</wp:posOffset>
            </wp:positionV>
            <wp:extent cx="4601845" cy="2847975"/>
            <wp:effectExtent l="19050" t="0" r="8255" b="0"/>
            <wp:wrapNone/>
            <wp:docPr id="13" name="图片 1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2.png"/>
                    <pic:cNvPicPr>
                      <a:picLocks noChangeAspect="1"/>
                    </pic:cNvPicPr>
                  </pic:nvPicPr>
                  <pic:blipFill>
                    <a:blip r:embed="rId7"/>
                    <a:stretch>
                      <a:fillRect/>
                    </a:stretch>
                  </pic:blipFill>
                  <pic:spPr>
                    <a:xfrm>
                      <a:off x="0" y="0"/>
                      <a:ext cx="4601845" cy="2847975"/>
                    </a:xfrm>
                    <a:prstGeom prst="rect">
                      <a:avLst/>
                    </a:prstGeom>
                  </pic:spPr>
                </pic:pic>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8年本年收入合计384.03万元，其中：一般公共预算财政拨款收入379.65万元，占98.85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；政府性基金预算财政拨款收入20.95万元，占5.45</w:t>
      </w:r>
      <w:r>
        <w:rPr>
          <w:rFonts w:ascii="仿宋" w:hAnsi="仿宋" w:eastAsia="仿宋"/>
          <w:color w:val="000000"/>
          <w:sz w:val="32"/>
          <w:szCs w:val="32"/>
        </w:rPr>
        <w:t>%</w:t>
      </w:r>
      <w:r>
        <w:rPr>
          <w:rFonts w:hint="eastAsia" w:ascii="仿宋" w:hAnsi="仿宋" w:eastAsia="仿宋"/>
          <w:color w:val="000000"/>
          <w:sz w:val="32"/>
          <w:szCs w:val="32"/>
        </w:rPr>
        <w:t>；事业收入4.38万元，占1.14</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drawing>
          <wp:anchor distT="0" distB="0" distL="114300" distR="114300" simplePos="0" relativeHeight="251659264" behindDoc="0" locked="0" layoutInCell="1" allowOverlap="1">
            <wp:simplePos x="0" y="0"/>
            <wp:positionH relativeFrom="column">
              <wp:posOffset>400050</wp:posOffset>
            </wp:positionH>
            <wp:positionV relativeFrom="paragraph">
              <wp:posOffset>151765</wp:posOffset>
            </wp:positionV>
            <wp:extent cx="4629150" cy="2428875"/>
            <wp:effectExtent l="19050" t="0" r="0" b="0"/>
            <wp:wrapNone/>
            <wp:docPr id="10" name="图片 9"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2.png"/>
                    <pic:cNvPicPr>
                      <a:picLocks noChangeAspect="1"/>
                    </pic:cNvPicPr>
                  </pic:nvPicPr>
                  <pic:blipFill>
                    <a:blip r:embed="rId8"/>
                    <a:stretch>
                      <a:fillRect/>
                    </a:stretch>
                  </pic:blipFill>
                  <pic:spPr>
                    <a:xfrm>
                      <a:off x="0" y="0"/>
                      <a:ext cx="4629150" cy="2428875"/>
                    </a:xfrm>
                    <a:prstGeom prst="rect">
                      <a:avLst/>
                    </a:prstGeom>
                  </pic:spPr>
                </pic:pic>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8年本年支出合计332.18万元，其中：基本支出311.23万元，占93.69</w:t>
      </w:r>
      <w:r>
        <w:rPr>
          <w:rFonts w:ascii="仿宋" w:hAnsi="仿宋" w:eastAsia="仿宋"/>
          <w:color w:val="000000"/>
          <w:sz w:val="32"/>
          <w:szCs w:val="32"/>
        </w:rPr>
        <w:t>%</w:t>
      </w:r>
      <w:r>
        <w:rPr>
          <w:rFonts w:hint="eastAsia" w:ascii="仿宋" w:hAnsi="仿宋" w:eastAsia="仿宋"/>
          <w:color w:val="000000"/>
          <w:sz w:val="32"/>
          <w:szCs w:val="32"/>
        </w:rPr>
        <w:t>；项目支出20.95万元，占6.30</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2336" behindDoc="0" locked="0" layoutInCell="1" allowOverlap="1">
            <wp:simplePos x="0" y="0"/>
            <wp:positionH relativeFrom="column">
              <wp:posOffset>390525</wp:posOffset>
            </wp:positionH>
            <wp:positionV relativeFrom="paragraph">
              <wp:posOffset>28575</wp:posOffset>
            </wp:positionV>
            <wp:extent cx="4610100" cy="2409825"/>
            <wp:effectExtent l="19050" t="0" r="0" b="0"/>
            <wp:wrapNone/>
            <wp:docPr id="14" name="图片 13"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2.png"/>
                    <pic:cNvPicPr>
                      <a:picLocks noChangeAspect="1"/>
                    </pic:cNvPicPr>
                  </pic:nvPicPr>
                  <pic:blipFill>
                    <a:blip r:embed="rId9"/>
                    <a:stretch>
                      <a:fillRect/>
                    </a:stretch>
                  </pic:blipFill>
                  <pic:spPr>
                    <a:xfrm>
                      <a:off x="0" y="0"/>
                      <a:ext cx="4610100" cy="2409825"/>
                    </a:xfrm>
                    <a:prstGeom prst="rect">
                      <a:avLst/>
                    </a:prstGeom>
                  </pic:spPr>
                </pic:pic>
              </a:graphicData>
            </a:graphic>
          </wp:anchor>
        </w:drawing>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2018年度财政拨款收入总计384.03万元，支出总计332.18万元。与2017年相比，财政拨款收入总计增加44.54万元，增加11.59%；支出总计增加28.06万元，增加8.44%。</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学生增加，教师增加。</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4384" behindDoc="0" locked="0" layoutInCell="1" allowOverlap="1">
            <wp:simplePos x="0" y="0"/>
            <wp:positionH relativeFrom="column">
              <wp:posOffset>409575</wp:posOffset>
            </wp:positionH>
            <wp:positionV relativeFrom="paragraph">
              <wp:posOffset>76200</wp:posOffset>
            </wp:positionV>
            <wp:extent cx="4601845" cy="2847975"/>
            <wp:effectExtent l="19050" t="0" r="8255" b="0"/>
            <wp:wrapNone/>
            <wp:docPr id="15" name="图片 1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1.png"/>
                    <pic:cNvPicPr>
                      <a:picLocks noChangeAspect="1"/>
                    </pic:cNvPicPr>
                  </pic:nvPicPr>
                  <pic:blipFill>
                    <a:blip r:embed="rId6"/>
                    <a:stretch>
                      <a:fillRect/>
                    </a:stretch>
                  </pic:blipFill>
                  <pic:spPr>
                    <a:xfrm>
                      <a:off x="0" y="0"/>
                      <a:ext cx="4601845" cy="2847975"/>
                    </a:xfrm>
                    <a:prstGeom prst="rect">
                      <a:avLst/>
                    </a:prstGeom>
                  </pic:spPr>
                </pic:pic>
              </a:graphicData>
            </a:graphic>
          </wp:anchor>
        </w:drawing>
      </w: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6432" behindDoc="0" locked="0" layoutInCell="1" allowOverlap="1">
            <wp:simplePos x="0" y="0"/>
            <wp:positionH relativeFrom="column">
              <wp:posOffset>419100</wp:posOffset>
            </wp:positionH>
            <wp:positionV relativeFrom="paragraph">
              <wp:posOffset>19050</wp:posOffset>
            </wp:positionV>
            <wp:extent cx="4601845" cy="2847975"/>
            <wp:effectExtent l="19050" t="0" r="8255" b="0"/>
            <wp:wrapNone/>
            <wp:docPr id="16" name="图片 1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descr="2.png"/>
                    <pic:cNvPicPr>
                      <a:picLocks noChangeAspect="1"/>
                    </pic:cNvPicPr>
                  </pic:nvPicPr>
                  <pic:blipFill>
                    <a:blip r:embed="rId7"/>
                    <a:stretch>
                      <a:fillRect/>
                    </a:stretch>
                  </pic:blipFill>
                  <pic:spPr>
                    <a:xfrm>
                      <a:off x="0" y="0"/>
                      <a:ext cx="4601845" cy="2847975"/>
                    </a:xfrm>
                    <a:prstGeom prst="rect">
                      <a:avLst/>
                    </a:prstGeom>
                  </pic:spPr>
                </pic:pic>
              </a:graphicData>
            </a:graphic>
          </wp:anchor>
        </w:drawing>
      </w: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（除国有资本经营预算外，数据来源于财决</w:t>
      </w:r>
      <w:r>
        <w:rPr>
          <w:rFonts w:ascii="仿宋" w:hAnsi="仿宋" w:eastAsia="仿宋"/>
          <w:b/>
          <w:color w:val="000000" w:themeColor="text1"/>
          <w:sz w:val="32"/>
          <w:szCs w:val="32"/>
        </w:rPr>
        <w:t>Z01-1</w:t>
      </w:r>
      <w:r>
        <w:rPr>
          <w:rFonts w:hint="eastAsia" w:ascii="仿宋" w:hAnsi="仿宋" w:eastAsia="仿宋"/>
          <w:b/>
          <w:color w:val="000000" w:themeColor="text1"/>
          <w:sz w:val="32"/>
          <w:szCs w:val="32"/>
        </w:rPr>
        <w:t>表，口径为“总计”数+国有资本经营预算。）</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8年一般公共预算财政拨款支出306.85万元，占本年支出合计的93.60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7年相比，一般公共预算财政拨款增加2.73万元，增长0.8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学生增加，教师增加。</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7456" behindDoc="0" locked="0" layoutInCell="1" allowOverlap="1">
            <wp:simplePos x="0" y="0"/>
            <wp:positionH relativeFrom="column">
              <wp:posOffset>428625</wp:posOffset>
            </wp:positionH>
            <wp:positionV relativeFrom="paragraph">
              <wp:posOffset>104775</wp:posOffset>
            </wp:positionV>
            <wp:extent cx="4601845" cy="2762250"/>
            <wp:effectExtent l="19050" t="0" r="8255" b="0"/>
            <wp:wrapNone/>
            <wp:docPr id="17" name="图片 16"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2.png"/>
                    <pic:cNvPicPr>
                      <a:picLocks noChangeAspect="1"/>
                    </pic:cNvPicPr>
                  </pic:nvPicPr>
                  <pic:blipFill>
                    <a:blip r:embed="rId10"/>
                    <a:stretch>
                      <a:fillRect/>
                    </a:stretch>
                  </pic:blipFill>
                  <pic:spPr>
                    <a:xfrm>
                      <a:off x="0" y="0"/>
                      <a:ext cx="4601845" cy="2762250"/>
                    </a:xfrm>
                    <a:prstGeom prst="rect">
                      <a:avLst/>
                    </a:prstGeom>
                  </pic:spPr>
                </pic:pic>
              </a:graphicData>
            </a:graphic>
          </wp:anchor>
        </w:drawing>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themeColor="text1"/>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政拨款支出306.85万元，主要用于以下方面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rPr>
        <w:t>238.28万元，占77.65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支出39.16万元，占12.76</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；医疗卫生支出10.44万元，占3.4</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；住房保障支出18.97万元，占6.18</w:t>
      </w:r>
      <w:r>
        <w:rPr>
          <w:rFonts w:ascii="仿宋" w:hAnsi="仿宋" w:eastAsia="仿宋"/>
          <w:color w:val="000000" w:themeColor="text1"/>
          <w:sz w:val="32"/>
          <w:szCs w:val="32"/>
        </w:rPr>
        <w:t>%</w:t>
      </w:r>
      <w:r>
        <w:rPr>
          <w:rFonts w:hint="eastAsia" w:ascii="仿宋" w:hAnsi="仿宋" w:eastAsia="仿宋"/>
          <w:color w:val="000000" w:themeColor="text1"/>
          <w:sz w:val="32"/>
          <w:szCs w:val="32"/>
          <w:lang w:eastAsia="zh-CN"/>
        </w:rPr>
        <w:t>。</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8480" behindDoc="0" locked="0" layoutInCell="1" allowOverlap="1">
            <wp:simplePos x="0" y="0"/>
            <wp:positionH relativeFrom="column">
              <wp:posOffset>400050</wp:posOffset>
            </wp:positionH>
            <wp:positionV relativeFrom="paragraph">
              <wp:posOffset>-57150</wp:posOffset>
            </wp:positionV>
            <wp:extent cx="4601845" cy="3105150"/>
            <wp:effectExtent l="19050" t="0" r="8255" b="0"/>
            <wp:wrapNone/>
            <wp:docPr id="18" name="图片 17"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2.png"/>
                    <pic:cNvPicPr>
                      <a:picLocks noChangeAspect="1"/>
                    </pic:cNvPicPr>
                  </pic:nvPicPr>
                  <pic:blipFill>
                    <a:blip r:embed="rId11"/>
                    <a:stretch>
                      <a:fillRect/>
                    </a:stretch>
                  </pic:blipFill>
                  <pic:spPr>
                    <a:xfrm>
                      <a:off x="0" y="0"/>
                      <a:ext cx="4601845" cy="3105150"/>
                    </a:xfrm>
                    <a:prstGeom prst="rect">
                      <a:avLst/>
                    </a:prstGeom>
                  </pic:spPr>
                </pic:pic>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rPr>
        <w:t>2018年般公共预算支出决算数为306.85</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numPr>
          <w:ilvl w:val="0"/>
          <w:numId w:val="2"/>
        </w:numPr>
        <w:spacing w:line="600" w:lineRule="exact"/>
        <w:ind w:firstLine="643" w:firstLineChars="200"/>
        <w:rPr>
          <w:rStyle w:val="14"/>
          <w:rFonts w:hint="eastAsia" w:ascii="仿宋" w:hAnsi="仿宋" w:eastAsia="仿宋"/>
          <w:b w:val="0"/>
          <w:bCs/>
          <w:color w:val="000000"/>
          <w:sz w:val="32"/>
          <w:szCs w:val="32"/>
          <w:lang w:eastAsia="zh-CN"/>
        </w:rPr>
      </w:pPr>
      <w:r>
        <w:rPr>
          <w:rStyle w:val="14"/>
          <w:rFonts w:hint="eastAsia" w:ascii="仿宋" w:hAnsi="仿宋" w:eastAsia="仿宋"/>
          <w:bCs/>
          <w:color w:val="000000"/>
          <w:sz w:val="32"/>
          <w:szCs w:val="32"/>
        </w:rPr>
        <w:t>一般公共服务（类）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numPr>
          <w:numId w:val="0"/>
        </w:numPr>
        <w:spacing w:line="600" w:lineRule="exact"/>
        <w:ind w:firstLine="321" w:firstLineChars="100"/>
        <w:rPr>
          <w:rStyle w:val="14"/>
          <w:rFonts w:ascii="仿宋" w:hAnsi="仿宋" w:eastAsia="仿宋"/>
          <w:b w:val="0"/>
          <w:bCs/>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教育（类）普通教育（款）小学教育（项）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支出决算为238.28万元，完成预算100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 xml:space="preserve"> 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文化体育与传媒（类）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w:t>
      </w:r>
      <w:r>
        <w:rPr>
          <w:rStyle w:val="14"/>
          <w:rFonts w:hint="eastAsia" w:ascii="仿宋_GB2312" w:eastAsia="仿宋_GB2312"/>
          <w:color w:val="000000"/>
          <w:sz w:val="32"/>
          <w:szCs w:val="32"/>
        </w:rPr>
        <w:t>行政事业单位离退休（款）机关事业单位基本养老保险缴费支出（项）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支出决算为39.16万元，完成预算100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医疗卫生与计划生育（类）</w:t>
      </w:r>
      <w:r>
        <w:rPr>
          <w:rStyle w:val="14"/>
          <w:rFonts w:hint="eastAsia" w:ascii="仿宋_GB2312" w:eastAsia="仿宋_GB2312"/>
          <w:color w:val="000000"/>
          <w:sz w:val="32"/>
          <w:szCs w:val="32"/>
        </w:rPr>
        <w:t>行政事业单位医疗（款）  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支出决算为10.44万元，完成预算100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Style w:val="14"/>
          <w:rFonts w:ascii="仿宋_GB2312" w:eastAsia="仿宋_GB2312"/>
          <w:color w:val="000000"/>
          <w:sz w:val="32"/>
          <w:szCs w:val="32"/>
        </w:rPr>
      </w:pPr>
      <w:r>
        <w:rPr>
          <w:rStyle w:val="14"/>
          <w:rFonts w:hint="eastAsia" w:ascii="仿宋_GB2312" w:eastAsia="仿宋_GB2312"/>
          <w:color w:val="000000"/>
          <w:sz w:val="32"/>
          <w:szCs w:val="32"/>
        </w:rPr>
        <w:t>7.住房保障支出（类）住房改革支出（款）住房公积金（项）:支出决算为18.97万元，完成预算100%。</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8年一般公共预算财政拨款基本支出306.85万元，其中：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276.57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30.27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themeColor="text1"/>
          <w:sz w:val="32"/>
          <w:szCs w:val="32"/>
        </w:rPr>
        <w:t>（数据来源财决</w:t>
      </w:r>
      <w:r>
        <w:rPr>
          <w:rFonts w:ascii="仿宋" w:hAnsi="仿宋" w:eastAsia="仿宋"/>
          <w:b/>
          <w:color w:val="000000" w:themeColor="text1"/>
          <w:sz w:val="32"/>
          <w:szCs w:val="32"/>
        </w:rPr>
        <w:t>0</w:t>
      </w:r>
      <w:r>
        <w:rPr>
          <w:rFonts w:hint="eastAsia" w:ascii="仿宋" w:hAnsi="仿宋" w:eastAsia="仿宋"/>
          <w:b/>
          <w:color w:val="000000" w:themeColor="text1"/>
          <w:sz w:val="32"/>
          <w:szCs w:val="32"/>
        </w:rPr>
        <w:t>7表，根据本部门实际支出情况罗列全部经济分类科目。）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8年“三公”经费财政拨款支出决算为0万元，完成预算0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b/>
          <w:color w:val="000000" w:themeColor="text1"/>
          <w:sz w:val="32"/>
          <w:szCs w:val="32"/>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rPr>
        <w:t>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月底，单位共有公务用车0辆，其中：轿车0辆、越野车0辆、载客汽车0辆。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主要用于执行公务、开展业务活动开支的交通费、住宿费、用餐费等。国内公务接待0批次，0人次（不包括陪同人员），共计支出0万元。</w:t>
      </w:r>
    </w:p>
    <w:p>
      <w:pPr>
        <w:spacing w:line="600" w:lineRule="exact"/>
        <w:ind w:firstLine="640"/>
        <w:outlineLvl w:val="1"/>
        <w:rPr>
          <w:rFonts w:ascii="黑体" w:eastAsia="黑体"/>
          <w:color w:val="000000"/>
          <w:sz w:val="32"/>
          <w:szCs w:val="32"/>
        </w:rPr>
      </w:pP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8年政府性基金预算拨款支出20.95万元。</w:t>
      </w:r>
    </w:p>
    <w:p>
      <w:pPr>
        <w:numPr>
          <w:ilvl w:val="0"/>
          <w:numId w:val="3"/>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2018年义教均衡发展设备采购项目开展了预算事前绩效评估，对1个项目编制了绩效目标，预算执行过程中，选取1个项目开展绩效监控，年终执行完毕后，对1个项目开展了绩效目标完成情况梳理填报。</w:t>
      </w:r>
    </w:p>
    <w:p>
      <w:pPr>
        <w:numPr>
          <w:ilvl w:val="0"/>
          <w:numId w:val="5"/>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义教均衡发展设备采购1个项目绩效目标实际完成情况。（本单位部门项目绩效目标个数在5个以上的，选取5个项目进行公开，目标个数在5个以下的，全部进行公开，公开内容包括完成情况综述和完成情况表）。</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义教迎国检设备采购项目绩效目标完成情况综述。项目全年预算数20.95万元，执行数为20.95万元，完成预算的100%。通过项目实施，保障学校教育教学的正常进行(按照项目总体目标简要描述项目成效）。</w:t>
      </w:r>
    </w:p>
    <w:p>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本部门按要求对2018年部门整体支出绩效评价情况开展自评，《达川区景市镇大垭中心小学2018年部门整体支出绩效评价报告》见附件。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义教均衡发展设备采购项目开展了绩效评价，《义教迎国检设备采购项目2018年绩效评价报告》见附件。（非涉密部门均需公开部门整体支出评价报告，部门自行组织的绩效评价情况根据部门实际公开）</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8年，机关运行经费支出0万元，比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rPr>
        <w:t>7年决算数持平）。</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日，共有车辆0辆，其中：部级领导干部用车0辆、一般公务用车0辆、一般执法执勤用车0辆、特种专业技术用车0辆、其他用车0辆，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7"/>
        </w:numPr>
        <w:spacing w:line="600" w:lineRule="exact"/>
        <w:ind w:firstLine="663"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w:t>
      </w:r>
      <w:bookmarkStart w:id="76" w:name="_GoBack"/>
      <w:bookmarkEnd w:id="76"/>
      <w:r>
        <w:rPr>
          <w:rFonts w:hint="eastAsia" w:ascii="仿宋_GB2312" w:eastAsia="仿宋_GB2312"/>
          <w:sz w:val="32"/>
          <w:szCs w:val="32"/>
        </w:rPr>
        <w:t>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bookmarkStart w:id="61" w:name="_Toc15396617"/>
      <w:r>
        <w:rPr>
          <w:rFonts w:hint="eastAsia" w:ascii="黑体" w:hAnsi="黑体" w:eastAsia="黑体" w:cs="方正小标宋简体"/>
          <w:sz w:val="36"/>
          <w:szCs w:val="36"/>
        </w:rPr>
        <w:t>达川区景市镇大垭中心小学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内设政教处、教务处、后勤处、安办、党建办</w:t>
      </w:r>
    </w:p>
    <w:p>
      <w:pPr>
        <w:numPr>
          <w:ilvl w:val="0"/>
          <w:numId w:val="8"/>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pStyle w:val="5"/>
        <w:adjustRightInd w:val="0"/>
        <w:snapToGrid w:val="0"/>
        <w:spacing w:before="93" w:line="600" w:lineRule="exact"/>
        <w:ind w:firstLine="672" w:firstLineChars="210"/>
        <w:rPr>
          <w:rFonts w:ascii="仿宋" w:hAnsi="仿宋" w:eastAsia="仿宋" w:cs="仿宋_GB2312"/>
          <w:sz w:val="32"/>
          <w:szCs w:val="32"/>
        </w:rPr>
      </w:pPr>
      <w:r>
        <w:rPr>
          <w:rFonts w:hint="eastAsia" w:hAnsi="仿宋"/>
          <w:sz w:val="32"/>
          <w:szCs w:val="32"/>
        </w:rPr>
        <w:t>主要负责达川区景市镇大垭范围内中小学生的教育教学工作。</w:t>
      </w:r>
    </w:p>
    <w:p>
      <w:pPr>
        <w:numPr>
          <w:ilvl w:val="0"/>
          <w:numId w:val="8"/>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人员概况。</w:t>
      </w:r>
    </w:p>
    <w:p>
      <w:pPr>
        <w:spacing w:line="580" w:lineRule="exact"/>
        <w:ind w:left="420" w:leftChars="200" w:firstLine="645"/>
        <w:rPr>
          <w:rFonts w:hint="eastAsia" w:ascii="仿宋" w:hAnsi="仿宋" w:eastAsia="仿宋" w:cs="仿宋_GB2312"/>
          <w:sz w:val="32"/>
          <w:szCs w:val="32"/>
        </w:rPr>
      </w:pPr>
      <w:r>
        <w:rPr>
          <w:rFonts w:hint="eastAsia" w:ascii="仿宋" w:hAnsi="仿宋" w:eastAsia="仿宋" w:cs="仿宋_GB2312"/>
          <w:sz w:val="32"/>
          <w:szCs w:val="32"/>
        </w:rPr>
        <w:t>达川区景市镇大垭中心小学编制数23人，在岗在册教师23人。</w:t>
      </w:r>
    </w:p>
    <w:p>
      <w:pPr>
        <w:spacing w:line="580" w:lineRule="exact"/>
        <w:ind w:left="420" w:leftChars="200" w:firstLine="645"/>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hint="eastAsia" w:ascii="仿宋" w:hAnsi="仿宋" w:eastAsia="仿宋" w:cs="仿宋_GB2312"/>
          <w:sz w:val="32"/>
          <w:szCs w:val="32"/>
        </w:rPr>
      </w:pPr>
    </w:p>
    <w:p>
      <w:pPr>
        <w:spacing w:line="580" w:lineRule="exact"/>
        <w:ind w:firstLine="640" w:firstLineChars="200"/>
        <w:rPr>
          <w:rFonts w:hint="eastAsia"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tbl>
      <w:tblPr>
        <w:tblStyle w:val="12"/>
        <w:tblW w:w="5000" w:type="pct"/>
        <w:tblInd w:w="0" w:type="dxa"/>
        <w:tblLayout w:type="autofit"/>
        <w:tblCellMar>
          <w:top w:w="0" w:type="dxa"/>
          <w:left w:w="108" w:type="dxa"/>
          <w:bottom w:w="0" w:type="dxa"/>
          <w:right w:w="108" w:type="dxa"/>
        </w:tblCellMar>
      </w:tblPr>
      <w:tblGrid>
        <w:gridCol w:w="616"/>
        <w:gridCol w:w="616"/>
        <w:gridCol w:w="716"/>
        <w:gridCol w:w="2333"/>
        <w:gridCol w:w="3517"/>
        <w:gridCol w:w="724"/>
      </w:tblGrid>
      <w:tr>
        <w:tblPrEx>
          <w:tblCellMar>
            <w:top w:w="0" w:type="dxa"/>
            <w:left w:w="108" w:type="dxa"/>
            <w:bottom w:w="0" w:type="dxa"/>
            <w:right w:w="108" w:type="dxa"/>
          </w:tblCellMar>
        </w:tblPrEx>
        <w:trPr>
          <w:trHeight w:val="1200" w:hRule="atLeast"/>
        </w:trPr>
        <w:tc>
          <w:tcPr>
            <w:tcW w:w="4533" w:type="pct"/>
            <w:gridSpan w:val="5"/>
            <w:tcBorders>
              <w:top w:val="nil"/>
              <w:left w:val="nil"/>
              <w:bottom w:val="nil"/>
              <w:right w:val="nil"/>
            </w:tcBorders>
            <w:shd w:val="clear" w:color="auto" w:fill="auto"/>
            <w:vAlign w:val="center"/>
          </w:tcPr>
          <w:p>
            <w:pPr>
              <w:widowControl/>
              <w:rPr>
                <w:rFonts w:hint="eastAsia" w:ascii="方正小标宋简体" w:hAnsi="宋体" w:eastAsia="方正小标宋简体" w:cs="宋体"/>
                <w:kern w:val="0"/>
                <w:sz w:val="36"/>
                <w:szCs w:val="36"/>
              </w:rPr>
            </w:pPr>
          </w:p>
          <w:p>
            <w:pPr>
              <w:widowControl/>
              <w:rPr>
                <w:rFonts w:hint="eastAsia" w:ascii="方正小标宋简体" w:hAnsi="宋体" w:eastAsia="方正小标宋简体" w:cs="宋体"/>
                <w:kern w:val="0"/>
                <w:sz w:val="36"/>
                <w:szCs w:val="36"/>
              </w:rPr>
            </w:pPr>
          </w:p>
          <w:p>
            <w:pPr>
              <w:widowControl/>
              <w:rPr>
                <w:rFonts w:hint="eastAsia" w:ascii="方正小标宋简体" w:hAnsi="宋体" w:eastAsia="方正小标宋简体" w:cs="宋体"/>
                <w:kern w:val="0"/>
                <w:sz w:val="36"/>
                <w:szCs w:val="36"/>
              </w:rPr>
            </w:pPr>
          </w:p>
          <w:p>
            <w:pPr>
              <w:widowControl/>
              <w:rPr>
                <w:rFonts w:hint="eastAsia" w:ascii="方正小标宋简体" w:hAnsi="宋体" w:eastAsia="方正小标宋简体" w:cs="宋体"/>
                <w:kern w:val="0"/>
                <w:sz w:val="36"/>
                <w:szCs w:val="36"/>
              </w:rPr>
            </w:pPr>
          </w:p>
          <w:p>
            <w:pPr>
              <w:widowControl/>
              <w:rPr>
                <w:rFonts w:hint="eastAsia" w:ascii="方正小标宋简体" w:hAnsi="宋体" w:eastAsia="方正小标宋简体" w:cs="宋体"/>
                <w:kern w:val="0"/>
                <w:sz w:val="36"/>
                <w:szCs w:val="36"/>
              </w:rPr>
            </w:pPr>
          </w:p>
          <w:p>
            <w:pPr>
              <w:widowControl/>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达川区景市镇大垭中心小学</w:t>
            </w:r>
          </w:p>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部门整体支出绩效评价得分表</w:t>
            </w:r>
          </w:p>
        </w:tc>
        <w:tc>
          <w:tcPr>
            <w:tcW w:w="467" w:type="pct"/>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55" w:hRule="atLeast"/>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一级　　　指标</w:t>
            </w:r>
          </w:p>
        </w:tc>
        <w:tc>
          <w:tcPr>
            <w:tcW w:w="31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二级指标</w:t>
            </w:r>
          </w:p>
        </w:tc>
        <w:tc>
          <w:tcPr>
            <w:tcW w:w="4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三级指标</w:t>
            </w:r>
          </w:p>
        </w:tc>
        <w:tc>
          <w:tcPr>
            <w:tcW w:w="144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指标解释</w:t>
            </w:r>
          </w:p>
        </w:tc>
        <w:tc>
          <w:tcPr>
            <w:tcW w:w="21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计分标准（备注）</w:t>
            </w:r>
          </w:p>
        </w:tc>
        <w:tc>
          <w:tcPr>
            <w:tcW w:w="4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自评得分</w:t>
            </w:r>
          </w:p>
        </w:tc>
      </w:tr>
      <w:tr>
        <w:tblPrEx>
          <w:tblCellMar>
            <w:top w:w="0" w:type="dxa"/>
            <w:left w:w="108" w:type="dxa"/>
            <w:bottom w:w="0" w:type="dxa"/>
            <w:right w:w="108" w:type="dxa"/>
          </w:tblCellMar>
        </w:tblPrEx>
        <w:trPr>
          <w:trHeight w:val="720" w:hRule="atLeast"/>
        </w:trPr>
        <w:tc>
          <w:tcPr>
            <w:tcW w:w="2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w:t>
            </w:r>
            <w:r>
              <w:rPr>
                <w:rFonts w:eastAsia="仿宋_GB2312"/>
                <w:kern w:val="0"/>
                <w:sz w:val="20"/>
                <w:szCs w:val="20"/>
              </w:rPr>
              <w:t>16</w:t>
            </w:r>
            <w:r>
              <w:rPr>
                <w:rFonts w:hint="eastAsia" w:ascii="仿宋_GB2312" w:hAnsi="宋体" w:eastAsia="仿宋_GB2312" w:cs="宋体"/>
                <w:kern w:val="0"/>
                <w:sz w:val="20"/>
                <w:szCs w:val="20"/>
              </w:rPr>
              <w:t>分）</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报送时效　　（</w:t>
            </w:r>
            <w:r>
              <w:rPr>
                <w:rFonts w:eastAsia="仿宋_GB2312"/>
                <w:kern w:val="0"/>
                <w:sz w:val="20"/>
                <w:szCs w:val="20"/>
              </w:rPr>
              <w:t>2</w:t>
            </w:r>
            <w:r>
              <w:rPr>
                <w:rFonts w:hint="eastAsia" w:ascii="仿宋_GB2312" w:hAnsi="宋体" w:eastAsia="仿宋_GB2312" w:cs="宋体"/>
                <w:kern w:val="0"/>
                <w:sz w:val="20"/>
                <w:szCs w:val="20"/>
              </w:rPr>
              <w:t>分）</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基础信息更新　　（</w:t>
            </w:r>
            <w:r>
              <w:rPr>
                <w:rFonts w:eastAsia="仿宋_GB2312"/>
                <w:kern w:val="0"/>
                <w:sz w:val="20"/>
                <w:szCs w:val="20"/>
              </w:rPr>
              <w:t>2</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各单位是否按照部门预算编制通知和有关要求，按时完成基础库、项目库报送工作</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超过规定</w:t>
            </w:r>
            <w:r>
              <w:rPr>
                <w:rFonts w:eastAsia="仿宋_GB2312"/>
                <w:kern w:val="0"/>
                <w:sz w:val="20"/>
                <w:szCs w:val="20"/>
              </w:rPr>
              <w:t>5</w:t>
            </w:r>
            <w:r>
              <w:rPr>
                <w:rFonts w:hint="eastAsia" w:ascii="仿宋_GB2312" w:hAnsi="宋体" w:eastAsia="仿宋_GB2312" w:cs="宋体"/>
                <w:kern w:val="0"/>
                <w:sz w:val="20"/>
                <w:szCs w:val="20"/>
              </w:rPr>
              <w:t>个工作日扣</w:t>
            </w:r>
            <w:r>
              <w:rPr>
                <w:rFonts w:eastAsia="仿宋_GB2312"/>
                <w:kern w:val="0"/>
                <w:sz w:val="20"/>
                <w:szCs w:val="20"/>
              </w:rPr>
              <w:t>0.5</w:t>
            </w:r>
            <w:r>
              <w:rPr>
                <w:rFonts w:hint="eastAsia" w:ascii="仿宋_GB2312" w:hAnsi="宋体" w:eastAsia="仿宋_GB2312" w:cs="宋体"/>
                <w:kern w:val="0"/>
                <w:sz w:val="20"/>
                <w:szCs w:val="20"/>
              </w:rPr>
              <w:t>分，</w:t>
            </w:r>
            <w:r>
              <w:rPr>
                <w:rFonts w:eastAsia="仿宋_GB2312"/>
                <w:kern w:val="0"/>
                <w:sz w:val="20"/>
                <w:szCs w:val="20"/>
              </w:rPr>
              <w:t>10</w:t>
            </w:r>
            <w:r>
              <w:rPr>
                <w:rFonts w:hint="eastAsia" w:ascii="仿宋_GB2312" w:hAnsi="宋体" w:eastAsia="仿宋_GB2312" w:cs="宋体"/>
                <w:kern w:val="0"/>
                <w:sz w:val="20"/>
                <w:szCs w:val="20"/>
              </w:rPr>
              <w:t>个工作日扣</w:t>
            </w:r>
            <w:r>
              <w:rPr>
                <w:rFonts w:eastAsia="仿宋_GB2312"/>
                <w:kern w:val="0"/>
                <w:sz w:val="20"/>
                <w:szCs w:val="20"/>
              </w:rPr>
              <w:t>1</w:t>
            </w:r>
            <w:r>
              <w:rPr>
                <w:rFonts w:hint="eastAsia" w:ascii="仿宋_GB2312" w:hAnsi="宋体" w:eastAsia="仿宋_GB2312" w:cs="宋体"/>
                <w:kern w:val="0"/>
                <w:sz w:val="20"/>
                <w:szCs w:val="20"/>
              </w:rPr>
              <w:t>分，以此类推，直至扣完</w:t>
            </w:r>
          </w:p>
        </w:tc>
        <w:tc>
          <w:tcPr>
            <w:tcW w:w="4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2</w:t>
            </w:r>
          </w:p>
        </w:tc>
      </w:tr>
      <w:tr>
        <w:tblPrEx>
          <w:tblCellMar>
            <w:top w:w="0" w:type="dxa"/>
            <w:left w:w="108" w:type="dxa"/>
            <w:bottom w:w="0" w:type="dxa"/>
            <w:right w:w="108" w:type="dxa"/>
          </w:tblCellMar>
        </w:tblPrEx>
        <w:trPr>
          <w:trHeight w:val="829" w:hRule="atLeast"/>
        </w:trPr>
        <w:tc>
          <w:tcPr>
            <w:tcW w:w="236"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编制质量　　（</w:t>
            </w:r>
            <w:r>
              <w:rPr>
                <w:rFonts w:eastAsia="仿宋_GB2312"/>
                <w:kern w:val="0"/>
                <w:sz w:val="20"/>
                <w:szCs w:val="20"/>
              </w:rPr>
              <w:t>6</w:t>
            </w:r>
            <w:r>
              <w:rPr>
                <w:rFonts w:hint="eastAsia" w:ascii="仿宋_GB2312" w:hAnsi="宋体" w:eastAsia="仿宋_GB2312" w:cs="宋体"/>
                <w:kern w:val="0"/>
                <w:sz w:val="20"/>
                <w:szCs w:val="20"/>
              </w:rPr>
              <w:t>分）</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预算编制准确　　（</w:t>
            </w:r>
            <w:r>
              <w:rPr>
                <w:rFonts w:eastAsia="仿宋_GB2312"/>
                <w:kern w:val="0"/>
                <w:sz w:val="20"/>
                <w:szCs w:val="20"/>
              </w:rPr>
              <w:t>4</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考核预算项目资金性质变动情况</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项目资金性质变动控制在</w:t>
            </w:r>
            <w:r>
              <w:rPr>
                <w:rFonts w:eastAsia="仿宋_GB2312"/>
                <w:kern w:val="0"/>
                <w:sz w:val="20"/>
                <w:szCs w:val="20"/>
              </w:rPr>
              <w:t>1</w:t>
            </w:r>
            <w:r>
              <w:rPr>
                <w:rFonts w:hint="eastAsia" w:ascii="仿宋_GB2312" w:hAnsi="宋体" w:eastAsia="仿宋_GB2312" w:cs="宋体"/>
                <w:kern w:val="0"/>
                <w:sz w:val="20"/>
                <w:szCs w:val="20"/>
              </w:rPr>
              <w:t>个内，得分；</w:t>
            </w:r>
            <w:r>
              <w:rPr>
                <w:rFonts w:eastAsia="仿宋_GB2312"/>
                <w:kern w:val="0"/>
                <w:sz w:val="20"/>
                <w:szCs w:val="20"/>
              </w:rPr>
              <w:t>2-3</w:t>
            </w:r>
            <w:r>
              <w:rPr>
                <w:rFonts w:hint="eastAsia" w:ascii="仿宋_GB2312" w:hAnsi="宋体" w:eastAsia="仿宋_GB2312" w:cs="宋体"/>
                <w:kern w:val="0"/>
                <w:sz w:val="20"/>
                <w:szCs w:val="20"/>
              </w:rPr>
              <w:t>个得</w:t>
            </w:r>
            <w:r>
              <w:rPr>
                <w:rFonts w:eastAsia="仿宋_GB2312"/>
                <w:kern w:val="0"/>
                <w:sz w:val="20"/>
                <w:szCs w:val="20"/>
              </w:rPr>
              <w:t>1</w:t>
            </w:r>
            <w:r>
              <w:rPr>
                <w:rFonts w:hint="eastAsia" w:ascii="仿宋_GB2312" w:hAnsi="宋体" w:eastAsia="仿宋_GB2312" w:cs="宋体"/>
                <w:kern w:val="0"/>
                <w:sz w:val="20"/>
                <w:szCs w:val="20"/>
              </w:rPr>
              <w:t>分；超过</w:t>
            </w:r>
            <w:r>
              <w:rPr>
                <w:rFonts w:eastAsia="仿宋_GB2312"/>
                <w:kern w:val="0"/>
                <w:sz w:val="20"/>
                <w:szCs w:val="20"/>
              </w:rPr>
              <w:t>3</w:t>
            </w:r>
            <w:r>
              <w:rPr>
                <w:rFonts w:hint="eastAsia" w:ascii="仿宋_GB2312" w:hAnsi="宋体" w:eastAsia="仿宋_GB2312" w:cs="宋体"/>
                <w:kern w:val="0"/>
                <w:sz w:val="20"/>
                <w:szCs w:val="20"/>
              </w:rPr>
              <w:t>个以上，不得分。（注：按照上级及区委区政府批准的项目资金性质变动如财政资金整合等情况不计入考核）</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4</w:t>
            </w:r>
          </w:p>
        </w:tc>
      </w:tr>
      <w:tr>
        <w:tblPrEx>
          <w:tblCellMar>
            <w:top w:w="0" w:type="dxa"/>
            <w:left w:w="108" w:type="dxa"/>
            <w:bottom w:w="0" w:type="dxa"/>
            <w:right w:w="108" w:type="dxa"/>
          </w:tblCellMar>
        </w:tblPrEx>
        <w:trPr>
          <w:trHeight w:val="578" w:hRule="atLeast"/>
        </w:trPr>
        <w:tc>
          <w:tcPr>
            <w:tcW w:w="236"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部门预算审查　　（</w:t>
            </w:r>
            <w:r>
              <w:rPr>
                <w:rFonts w:eastAsia="仿宋_GB2312"/>
                <w:kern w:val="0"/>
                <w:sz w:val="20"/>
                <w:szCs w:val="20"/>
              </w:rPr>
              <w:t>2</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根据部门集体审查、区人大对预算草案审查结果进行考核</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无部门集体审查的不得分；被人大预算审查后提出并确需修改的错误，每个问题扣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2</w:t>
            </w:r>
          </w:p>
        </w:tc>
      </w:tr>
      <w:tr>
        <w:tblPrEx>
          <w:tblCellMar>
            <w:top w:w="0" w:type="dxa"/>
            <w:left w:w="108" w:type="dxa"/>
            <w:bottom w:w="0" w:type="dxa"/>
            <w:right w:w="108" w:type="dxa"/>
          </w:tblCellMar>
        </w:tblPrEx>
        <w:trPr>
          <w:trHeight w:val="578" w:hRule="atLeast"/>
        </w:trPr>
        <w:tc>
          <w:tcPr>
            <w:tcW w:w="236"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目标明确　　（</w:t>
            </w:r>
            <w:r>
              <w:rPr>
                <w:rFonts w:eastAsia="仿宋_GB2312"/>
                <w:kern w:val="0"/>
                <w:sz w:val="20"/>
                <w:szCs w:val="20"/>
              </w:rPr>
              <w:t>8</w:t>
            </w:r>
            <w:r>
              <w:rPr>
                <w:rFonts w:hint="eastAsia" w:ascii="仿宋_GB2312" w:hAnsi="宋体" w:eastAsia="仿宋_GB2312" w:cs="宋体"/>
                <w:kern w:val="0"/>
                <w:sz w:val="20"/>
                <w:szCs w:val="20"/>
              </w:rPr>
              <w:t>分）</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部门整体目标　　（</w:t>
            </w:r>
            <w:r>
              <w:rPr>
                <w:rFonts w:eastAsia="仿宋_GB2312"/>
                <w:kern w:val="0"/>
                <w:sz w:val="20"/>
                <w:szCs w:val="20"/>
              </w:rPr>
              <w:t>5</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部门全年整体工作目标编制完整、合理</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有完整、明确、合理的部门整体工作方案得分，否则不得分</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5</w:t>
            </w:r>
          </w:p>
        </w:tc>
      </w:tr>
      <w:tr>
        <w:tblPrEx>
          <w:tblCellMar>
            <w:top w:w="0" w:type="dxa"/>
            <w:left w:w="108" w:type="dxa"/>
            <w:bottom w:w="0" w:type="dxa"/>
            <w:right w:w="108" w:type="dxa"/>
          </w:tblCellMar>
        </w:tblPrEx>
        <w:trPr>
          <w:trHeight w:val="578" w:hRule="atLeast"/>
        </w:trPr>
        <w:tc>
          <w:tcPr>
            <w:tcW w:w="236"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重点项目目标　　（</w:t>
            </w:r>
            <w:r>
              <w:rPr>
                <w:rFonts w:eastAsia="仿宋_GB2312"/>
                <w:kern w:val="0"/>
                <w:sz w:val="20"/>
                <w:szCs w:val="20"/>
              </w:rPr>
              <w:t>3</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重大项目实施方案明确、量化、可操作</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有完整、明确、合理的的重点项目工作方案得分，否则不得分</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2</w:t>
            </w:r>
          </w:p>
        </w:tc>
      </w:tr>
      <w:tr>
        <w:tblPrEx>
          <w:tblCellMar>
            <w:top w:w="0" w:type="dxa"/>
            <w:left w:w="108" w:type="dxa"/>
            <w:bottom w:w="0" w:type="dxa"/>
            <w:right w:w="108" w:type="dxa"/>
          </w:tblCellMar>
        </w:tblPrEx>
        <w:trPr>
          <w:trHeight w:val="1410" w:hRule="atLeast"/>
        </w:trPr>
        <w:tc>
          <w:tcPr>
            <w:tcW w:w="23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r>
              <w:rPr>
                <w:rFonts w:eastAsia="仿宋_GB2312"/>
                <w:kern w:val="0"/>
                <w:sz w:val="20"/>
                <w:szCs w:val="20"/>
              </w:rPr>
              <w:t>24</w:t>
            </w:r>
            <w:r>
              <w:rPr>
                <w:rFonts w:hint="eastAsia" w:ascii="仿宋_GB2312" w:hAnsi="宋体" w:eastAsia="仿宋_GB2312" w:cs="宋体"/>
                <w:kern w:val="0"/>
                <w:sz w:val="20"/>
                <w:szCs w:val="20"/>
              </w:rPr>
              <w:t>分）</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资金调度　　（</w:t>
            </w:r>
            <w:r>
              <w:rPr>
                <w:rFonts w:eastAsia="仿宋_GB2312"/>
                <w:kern w:val="0"/>
                <w:sz w:val="20"/>
                <w:szCs w:val="20"/>
              </w:rPr>
              <w:t>5</w:t>
            </w:r>
            <w:r>
              <w:rPr>
                <w:rFonts w:hint="eastAsia" w:ascii="仿宋_GB2312" w:hAnsi="宋体" w:eastAsia="仿宋_GB2312" w:cs="宋体"/>
                <w:kern w:val="0"/>
                <w:sz w:val="20"/>
                <w:szCs w:val="20"/>
              </w:rPr>
              <w:t>分）</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支付进度控制率</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用以反映和考核部门（单位）预算执行的及时性和均衡性程度。</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支付进度率</w:t>
            </w:r>
            <w:r>
              <w:rPr>
                <w:rFonts w:eastAsia="仿宋_GB2312"/>
                <w:kern w:val="0"/>
                <w:sz w:val="20"/>
                <w:szCs w:val="20"/>
              </w:rPr>
              <w:t>=</w:t>
            </w:r>
            <w:r>
              <w:rPr>
                <w:rFonts w:hint="eastAsia" w:ascii="仿宋_GB2312" w:hAnsi="宋体" w:eastAsia="仿宋_GB2312" w:cs="宋体"/>
                <w:kern w:val="0"/>
                <w:sz w:val="20"/>
                <w:szCs w:val="20"/>
              </w:rPr>
              <w:t>（部门支付进度</w:t>
            </w:r>
            <w:r>
              <w:rPr>
                <w:rFonts w:eastAsia="仿宋_GB2312"/>
                <w:kern w:val="0"/>
                <w:sz w:val="20"/>
                <w:szCs w:val="20"/>
              </w:rPr>
              <w:t>/</w:t>
            </w:r>
            <w:r>
              <w:rPr>
                <w:rFonts w:hint="eastAsia" w:ascii="仿宋_GB2312" w:hAnsi="宋体" w:eastAsia="仿宋_GB2312" w:cs="宋体"/>
                <w:kern w:val="0"/>
                <w:sz w:val="20"/>
                <w:szCs w:val="20"/>
              </w:rPr>
              <w:t>区级平均支付进度）</w:t>
            </w:r>
            <w:r>
              <w:rPr>
                <w:rFonts w:eastAsia="仿宋_GB2312"/>
                <w:kern w:val="0"/>
                <w:sz w:val="20"/>
                <w:szCs w:val="20"/>
              </w:rPr>
              <w:t>×100%</w:t>
            </w:r>
            <w:r>
              <w:rPr>
                <w:rFonts w:hint="eastAsia" w:ascii="仿宋_GB2312" w:hAnsi="宋体" w:eastAsia="仿宋_GB2312" w:cs="宋体"/>
                <w:kern w:val="0"/>
                <w:sz w:val="20"/>
                <w:szCs w:val="20"/>
              </w:rPr>
              <w:t>，支付进度率控制在</w:t>
            </w:r>
            <w:r>
              <w:rPr>
                <w:rFonts w:eastAsia="仿宋_GB2312"/>
                <w:kern w:val="0"/>
                <w:sz w:val="20"/>
                <w:szCs w:val="20"/>
              </w:rPr>
              <w:t>90%—110%</w:t>
            </w:r>
            <w:r>
              <w:rPr>
                <w:rFonts w:hint="eastAsia" w:ascii="仿宋_GB2312" w:hAnsi="宋体" w:eastAsia="仿宋_GB2312" w:cs="宋体"/>
                <w:kern w:val="0"/>
                <w:sz w:val="20"/>
                <w:szCs w:val="20"/>
              </w:rPr>
              <w:t>间。</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部门支付进度：部门（单位）在某一时点的支出预算执行总数与年度支出预算数的比率。</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区级平均支付进度：在某时点上，本级财政的支付进度率，以序时进度代替。</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4</w:t>
            </w:r>
          </w:p>
        </w:tc>
      </w:tr>
      <w:tr>
        <w:tblPrEx>
          <w:tblCellMar>
            <w:top w:w="0" w:type="dxa"/>
            <w:left w:w="108" w:type="dxa"/>
            <w:bottom w:w="0" w:type="dxa"/>
            <w:right w:w="108" w:type="dxa"/>
          </w:tblCellMar>
        </w:tblPrEx>
        <w:trPr>
          <w:trHeight w:val="1152" w:hRule="atLeast"/>
        </w:trPr>
        <w:tc>
          <w:tcPr>
            <w:tcW w:w="236"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tcBorders>
              <w:top w:val="nil"/>
              <w:left w:val="nil"/>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财政预算执行（</w:t>
            </w:r>
            <w:r>
              <w:rPr>
                <w:rFonts w:eastAsia="仿宋_GB2312"/>
                <w:kern w:val="0"/>
                <w:sz w:val="20"/>
                <w:szCs w:val="20"/>
              </w:rPr>
              <w:t>5</w:t>
            </w:r>
            <w:r>
              <w:rPr>
                <w:rFonts w:hint="eastAsia" w:ascii="仿宋_GB2312" w:hAnsi="宋体" w:eastAsia="仿宋_GB2312" w:cs="宋体"/>
                <w:kern w:val="0"/>
                <w:sz w:val="20"/>
                <w:szCs w:val="20"/>
              </w:rPr>
              <w:t>分）</w:t>
            </w:r>
          </w:p>
        </w:tc>
        <w:tc>
          <w:tcPr>
            <w:tcW w:w="42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部门（单位）本年度预算执行数与预算数的比率，用以反映和考核部门（单位）预算完成程度。</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r>
              <w:rPr>
                <w:rFonts w:eastAsia="仿宋_GB2312"/>
                <w:kern w:val="0"/>
                <w:sz w:val="20"/>
                <w:szCs w:val="20"/>
              </w:rPr>
              <w:t>=</w:t>
            </w:r>
            <w:r>
              <w:rPr>
                <w:rFonts w:hint="eastAsia" w:ascii="仿宋_GB2312" w:hAnsi="宋体" w:eastAsia="仿宋_GB2312" w:cs="宋体"/>
                <w:kern w:val="0"/>
                <w:sz w:val="20"/>
                <w:szCs w:val="20"/>
              </w:rPr>
              <w:t>（预算执行数</w:t>
            </w:r>
            <w:r>
              <w:rPr>
                <w:rFonts w:eastAsia="仿宋_GB2312"/>
                <w:kern w:val="0"/>
                <w:sz w:val="20"/>
                <w:szCs w:val="20"/>
              </w:rPr>
              <w:t>/</w:t>
            </w:r>
            <w:r>
              <w:rPr>
                <w:rFonts w:hint="eastAsia" w:ascii="仿宋_GB2312" w:hAnsi="宋体" w:eastAsia="仿宋_GB2312" w:cs="宋体"/>
                <w:kern w:val="0"/>
                <w:sz w:val="20"/>
                <w:szCs w:val="20"/>
              </w:rPr>
              <w:t>预算数）</w:t>
            </w:r>
            <w:r>
              <w:rPr>
                <w:rFonts w:eastAsia="仿宋_GB2312"/>
                <w:kern w:val="0"/>
                <w:sz w:val="20"/>
                <w:szCs w:val="20"/>
              </w:rPr>
              <w:t>×100%</w:t>
            </w:r>
            <w:r>
              <w:rPr>
                <w:rFonts w:hint="eastAsia" w:ascii="仿宋_GB2312" w:hAnsi="宋体" w:eastAsia="仿宋_GB2312" w:cs="宋体"/>
                <w:kern w:val="0"/>
                <w:sz w:val="20"/>
                <w:szCs w:val="20"/>
              </w:rPr>
              <w:t>。</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预算执行数：部门（单位）本年度实际完成的预算数，扣除结余数。</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预算数：财政部门批复的本年度部门（单位）预算数，含财政追加。</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5</w:t>
            </w:r>
          </w:p>
        </w:tc>
      </w:tr>
      <w:tr>
        <w:tblPrEx>
          <w:tblCellMar>
            <w:top w:w="0" w:type="dxa"/>
            <w:left w:w="108" w:type="dxa"/>
            <w:bottom w:w="0" w:type="dxa"/>
            <w:right w:w="108" w:type="dxa"/>
          </w:tblCellMar>
        </w:tblPrEx>
        <w:trPr>
          <w:trHeight w:val="1152" w:hRule="atLeast"/>
        </w:trPr>
        <w:tc>
          <w:tcPr>
            <w:tcW w:w="236"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预算刚性　　（</w:t>
            </w:r>
            <w:r>
              <w:rPr>
                <w:rFonts w:eastAsia="仿宋_GB2312"/>
                <w:kern w:val="0"/>
                <w:sz w:val="20"/>
                <w:szCs w:val="20"/>
              </w:rPr>
              <w:t>4</w:t>
            </w:r>
            <w:r>
              <w:rPr>
                <w:rFonts w:hint="eastAsia" w:ascii="仿宋_GB2312" w:hAnsi="宋体" w:eastAsia="仿宋_GB2312" w:cs="宋体"/>
                <w:kern w:val="0"/>
                <w:sz w:val="20"/>
                <w:szCs w:val="20"/>
              </w:rPr>
              <w:t>分）</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　　（</w:t>
            </w:r>
            <w:r>
              <w:rPr>
                <w:rFonts w:eastAsia="仿宋_GB2312"/>
                <w:kern w:val="0"/>
                <w:sz w:val="20"/>
                <w:szCs w:val="20"/>
              </w:rPr>
              <w:t>4</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部门（单位）本年度预算调整数与预算数的比率，用以反映和考核部门（单位）预算的调整程度。</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w:t>
            </w:r>
            <w:r>
              <w:rPr>
                <w:rFonts w:eastAsia="仿宋_GB2312"/>
                <w:kern w:val="0"/>
                <w:sz w:val="20"/>
                <w:szCs w:val="20"/>
              </w:rPr>
              <w:t>=</w:t>
            </w:r>
            <w:r>
              <w:rPr>
                <w:rFonts w:hint="eastAsia" w:ascii="仿宋_GB2312" w:hAnsi="宋体" w:eastAsia="仿宋_GB2312" w:cs="宋体"/>
                <w:kern w:val="0"/>
                <w:sz w:val="20"/>
                <w:szCs w:val="20"/>
              </w:rPr>
              <w:t>（预算调整数</w:t>
            </w:r>
            <w:r>
              <w:rPr>
                <w:rFonts w:eastAsia="仿宋_GB2312"/>
                <w:kern w:val="0"/>
                <w:sz w:val="20"/>
                <w:szCs w:val="20"/>
              </w:rPr>
              <w:t>/</w:t>
            </w:r>
            <w:r>
              <w:rPr>
                <w:rFonts w:hint="eastAsia" w:ascii="仿宋_GB2312" w:hAnsi="宋体" w:eastAsia="仿宋_GB2312" w:cs="宋体"/>
                <w:kern w:val="0"/>
                <w:sz w:val="20"/>
                <w:szCs w:val="20"/>
              </w:rPr>
              <w:t>预算数）</w:t>
            </w:r>
            <w:r>
              <w:rPr>
                <w:rFonts w:eastAsia="仿宋_GB2312"/>
                <w:kern w:val="0"/>
                <w:sz w:val="20"/>
                <w:szCs w:val="20"/>
              </w:rPr>
              <w:t>×100%</w:t>
            </w:r>
            <w:r>
              <w:rPr>
                <w:rFonts w:hint="eastAsia" w:ascii="仿宋_GB2312" w:hAnsi="宋体" w:eastAsia="仿宋_GB2312" w:cs="宋体"/>
                <w:kern w:val="0"/>
                <w:sz w:val="20"/>
                <w:szCs w:val="20"/>
              </w:rPr>
              <w:t>，控制在</w:t>
            </w:r>
            <w:r>
              <w:rPr>
                <w:rFonts w:eastAsia="仿宋_GB2312"/>
                <w:kern w:val="0"/>
                <w:sz w:val="20"/>
                <w:szCs w:val="20"/>
              </w:rPr>
              <w:t>20%</w:t>
            </w:r>
            <w:r>
              <w:rPr>
                <w:rFonts w:hint="eastAsia" w:ascii="仿宋_GB2312" w:hAnsi="宋体" w:eastAsia="仿宋_GB2312" w:cs="宋体"/>
                <w:kern w:val="0"/>
                <w:sz w:val="20"/>
                <w:szCs w:val="20"/>
              </w:rPr>
              <w:t>以内。</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预算调整数：部门（单位）在本年度内涉及预算的追加、追减或结构调整的资金总和（因落实国家政策、发生不可抗力、上级部门或本级党委政府临时交办而产生的调整除外）。</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4</w:t>
            </w:r>
          </w:p>
        </w:tc>
      </w:tr>
      <w:tr>
        <w:tblPrEx>
          <w:tblCellMar>
            <w:top w:w="0" w:type="dxa"/>
            <w:left w:w="108" w:type="dxa"/>
            <w:bottom w:w="0" w:type="dxa"/>
            <w:right w:w="108" w:type="dxa"/>
          </w:tblCellMar>
        </w:tblPrEx>
        <w:trPr>
          <w:trHeight w:val="578" w:hRule="atLeast"/>
        </w:trPr>
        <w:tc>
          <w:tcPr>
            <w:tcW w:w="236"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行政成本（</w:t>
            </w:r>
            <w:r>
              <w:rPr>
                <w:rFonts w:eastAsia="仿宋_GB2312"/>
                <w:kern w:val="0"/>
                <w:sz w:val="20"/>
                <w:szCs w:val="20"/>
              </w:rPr>
              <w:t>10</w:t>
            </w:r>
            <w:r>
              <w:rPr>
                <w:rFonts w:hint="eastAsia" w:ascii="仿宋_GB2312" w:hAnsi="宋体" w:eastAsia="仿宋_GB2312" w:cs="宋体"/>
                <w:kern w:val="0"/>
                <w:sz w:val="20"/>
                <w:szCs w:val="20"/>
              </w:rPr>
              <w:t>分）</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szCs w:val="20"/>
              </w:rPr>
              <w:t>3</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反映部门人力资源控制情况</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szCs w:val="20"/>
              </w:rPr>
              <w:t>=</w:t>
            </w:r>
            <w:r>
              <w:rPr>
                <w:rFonts w:hint="eastAsia" w:ascii="仿宋_GB2312" w:hAnsi="宋体" w:eastAsia="仿宋_GB2312" w:cs="宋体"/>
                <w:kern w:val="0"/>
                <w:sz w:val="20"/>
                <w:szCs w:val="20"/>
              </w:rPr>
              <w:t>实际员工</w:t>
            </w:r>
            <w:r>
              <w:rPr>
                <w:rFonts w:eastAsia="仿宋_GB2312"/>
                <w:kern w:val="0"/>
                <w:sz w:val="20"/>
                <w:szCs w:val="20"/>
              </w:rPr>
              <w:t>/</w:t>
            </w:r>
            <w:r>
              <w:rPr>
                <w:rFonts w:hint="eastAsia" w:ascii="仿宋_GB2312" w:hAnsi="宋体" w:eastAsia="仿宋_GB2312" w:cs="宋体"/>
                <w:kern w:val="0"/>
                <w:sz w:val="20"/>
                <w:szCs w:val="20"/>
              </w:rPr>
              <w:t>部门编制数</w:t>
            </w:r>
            <w:r>
              <w:rPr>
                <w:rFonts w:eastAsia="仿宋_GB2312"/>
                <w:kern w:val="0"/>
                <w:sz w:val="20"/>
                <w:szCs w:val="20"/>
              </w:rPr>
              <w:t>*100%</w:t>
            </w:r>
            <w:r>
              <w:rPr>
                <w:rFonts w:hint="eastAsia" w:ascii="仿宋_GB2312" w:hAnsi="宋体" w:eastAsia="仿宋_GB2312" w:cs="宋体"/>
                <w:kern w:val="0"/>
                <w:sz w:val="20"/>
                <w:szCs w:val="20"/>
              </w:rPr>
              <w:t>，不得超过</w:t>
            </w:r>
            <w:r>
              <w:rPr>
                <w:rFonts w:eastAsia="仿宋_GB2312"/>
                <w:kern w:val="0"/>
                <w:sz w:val="20"/>
                <w:szCs w:val="20"/>
              </w:rPr>
              <w:t>100%</w:t>
            </w:r>
            <w:r>
              <w:rPr>
                <w:rFonts w:hint="eastAsia" w:ascii="仿宋_GB2312" w:hAnsi="宋体" w:eastAsia="仿宋_GB2312" w:cs="宋体"/>
                <w:kern w:val="0"/>
                <w:sz w:val="20"/>
                <w:szCs w:val="20"/>
              </w:rPr>
              <w:t>。</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3</w:t>
            </w:r>
          </w:p>
        </w:tc>
      </w:tr>
      <w:tr>
        <w:tblPrEx>
          <w:tblCellMar>
            <w:top w:w="0" w:type="dxa"/>
            <w:left w:w="108" w:type="dxa"/>
            <w:bottom w:w="0" w:type="dxa"/>
            <w:right w:w="108" w:type="dxa"/>
          </w:tblCellMar>
        </w:tblPrEx>
        <w:trPr>
          <w:trHeight w:val="578" w:hRule="atLeast"/>
        </w:trPr>
        <w:tc>
          <w:tcPr>
            <w:tcW w:w="236"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一般性支出增长率（</w:t>
            </w:r>
            <w:r>
              <w:rPr>
                <w:rFonts w:eastAsia="仿宋_GB2312"/>
                <w:kern w:val="0"/>
                <w:sz w:val="20"/>
                <w:szCs w:val="20"/>
              </w:rPr>
              <w:t>3</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反映执行财政非生产性支出预算控制</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w:t>
            </w:r>
            <w:r>
              <w:rPr>
                <w:rFonts w:eastAsia="仿宋_GB2312"/>
                <w:kern w:val="0"/>
                <w:sz w:val="20"/>
                <w:szCs w:val="20"/>
              </w:rPr>
              <w:t>“</w:t>
            </w:r>
            <w:r>
              <w:rPr>
                <w:rFonts w:hint="eastAsia" w:ascii="仿宋_GB2312" w:hAnsi="宋体" w:eastAsia="仿宋_GB2312" w:cs="宋体"/>
                <w:kern w:val="0"/>
                <w:sz w:val="20"/>
                <w:szCs w:val="20"/>
              </w:rPr>
              <w:t>一般性支出</w:t>
            </w:r>
            <w:r>
              <w:rPr>
                <w:rFonts w:eastAsia="仿宋_GB2312"/>
                <w:kern w:val="0"/>
                <w:sz w:val="20"/>
                <w:szCs w:val="20"/>
              </w:rPr>
              <w:t>”</w:t>
            </w:r>
            <w:r>
              <w:rPr>
                <w:rFonts w:hint="eastAsia" w:ascii="仿宋_GB2312" w:hAnsi="宋体" w:eastAsia="仿宋_GB2312" w:cs="宋体"/>
                <w:kern w:val="0"/>
                <w:sz w:val="20"/>
                <w:szCs w:val="20"/>
              </w:rPr>
              <w:t>严格按财政管理规定执行，未完成控制要求不得分。</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2</w:t>
            </w:r>
          </w:p>
        </w:tc>
      </w:tr>
      <w:tr>
        <w:tblPrEx>
          <w:tblCellMar>
            <w:top w:w="0" w:type="dxa"/>
            <w:left w:w="108" w:type="dxa"/>
            <w:bottom w:w="0" w:type="dxa"/>
            <w:right w:w="108" w:type="dxa"/>
          </w:tblCellMar>
        </w:tblPrEx>
        <w:trPr>
          <w:trHeight w:val="578" w:hRule="atLeast"/>
        </w:trPr>
        <w:tc>
          <w:tcPr>
            <w:tcW w:w="236"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szCs w:val="20"/>
              </w:rPr>
              <w:t>4</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反映部门财政资源耗费控制情况</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szCs w:val="20"/>
              </w:rPr>
              <w:t>=</w:t>
            </w:r>
            <w:r>
              <w:rPr>
                <w:rFonts w:hint="eastAsia" w:ascii="仿宋_GB2312" w:hAnsi="宋体" w:eastAsia="仿宋_GB2312" w:cs="宋体"/>
                <w:kern w:val="0"/>
                <w:sz w:val="20"/>
                <w:szCs w:val="20"/>
              </w:rPr>
              <w:t>部门年度公用经费总额</w:t>
            </w:r>
            <w:r>
              <w:rPr>
                <w:rFonts w:eastAsia="仿宋_GB2312"/>
                <w:kern w:val="0"/>
                <w:sz w:val="20"/>
                <w:szCs w:val="20"/>
              </w:rPr>
              <w:t>÷</w:t>
            </w:r>
            <w:r>
              <w:rPr>
                <w:rFonts w:hint="eastAsia" w:ascii="仿宋_GB2312" w:hAnsi="宋体" w:eastAsia="仿宋_GB2312" w:cs="宋体"/>
                <w:kern w:val="0"/>
                <w:sz w:val="20"/>
                <w:szCs w:val="20"/>
              </w:rPr>
              <w:t>编制内员工数</w:t>
            </w:r>
            <w:r>
              <w:rPr>
                <w:rFonts w:eastAsia="仿宋_GB2312"/>
                <w:kern w:val="0"/>
                <w:sz w:val="20"/>
                <w:szCs w:val="20"/>
              </w:rPr>
              <w:t>÷</w:t>
            </w:r>
            <w:r>
              <w:rPr>
                <w:rFonts w:hint="eastAsia" w:ascii="仿宋_GB2312" w:hAnsi="宋体" w:eastAsia="仿宋_GB2312" w:cs="宋体"/>
                <w:kern w:val="0"/>
                <w:sz w:val="20"/>
                <w:szCs w:val="20"/>
              </w:rPr>
              <w:t>区级人均公用经费</w:t>
            </w:r>
            <w:r>
              <w:rPr>
                <w:rFonts w:eastAsia="仿宋_GB2312"/>
                <w:kern w:val="0"/>
                <w:sz w:val="20"/>
                <w:szCs w:val="20"/>
              </w:rPr>
              <w:t>×100%</w:t>
            </w:r>
            <w:r>
              <w:rPr>
                <w:rFonts w:hint="eastAsia" w:ascii="仿宋_GB2312" w:hAnsi="宋体" w:eastAsia="仿宋_GB2312" w:cs="宋体"/>
                <w:kern w:val="0"/>
                <w:sz w:val="20"/>
                <w:szCs w:val="20"/>
              </w:rPr>
              <w:t>。</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4</w:t>
            </w:r>
          </w:p>
        </w:tc>
      </w:tr>
      <w:tr>
        <w:tblPrEx>
          <w:tblCellMar>
            <w:top w:w="0" w:type="dxa"/>
            <w:left w:w="108" w:type="dxa"/>
            <w:bottom w:w="0" w:type="dxa"/>
            <w:right w:w="108" w:type="dxa"/>
          </w:tblCellMar>
        </w:tblPrEx>
        <w:trPr>
          <w:trHeight w:val="578" w:hRule="atLeast"/>
        </w:trPr>
        <w:tc>
          <w:tcPr>
            <w:tcW w:w="23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综合管理（</w:t>
            </w:r>
            <w:r>
              <w:rPr>
                <w:rFonts w:eastAsia="仿宋_GB2312"/>
                <w:kern w:val="0"/>
                <w:sz w:val="20"/>
                <w:szCs w:val="20"/>
              </w:rPr>
              <w:t>40</w:t>
            </w:r>
            <w:r>
              <w:rPr>
                <w:rFonts w:hint="eastAsia" w:ascii="仿宋_GB2312" w:hAnsi="宋体" w:eastAsia="仿宋_GB2312" w:cs="宋体"/>
                <w:kern w:val="0"/>
                <w:sz w:val="20"/>
                <w:szCs w:val="20"/>
              </w:rPr>
              <w:t>分）</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债务管理　（</w:t>
            </w:r>
            <w:r>
              <w:rPr>
                <w:rFonts w:eastAsia="仿宋_GB2312"/>
                <w:kern w:val="0"/>
                <w:sz w:val="20"/>
                <w:szCs w:val="20"/>
              </w:rPr>
              <w:t>2</w:t>
            </w:r>
            <w:r>
              <w:rPr>
                <w:rFonts w:hint="eastAsia" w:ascii="仿宋_GB2312" w:hAnsi="宋体" w:eastAsia="仿宋_GB2312" w:cs="宋体"/>
                <w:kern w:val="0"/>
                <w:sz w:val="20"/>
                <w:szCs w:val="20"/>
              </w:rPr>
              <w:t>分）</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债务还本付息（</w:t>
            </w:r>
            <w:r>
              <w:rPr>
                <w:rFonts w:eastAsia="仿宋_GB2312"/>
                <w:kern w:val="0"/>
                <w:sz w:val="20"/>
                <w:szCs w:val="20"/>
              </w:rPr>
              <w:t>2</w:t>
            </w:r>
            <w:r>
              <w:rPr>
                <w:rFonts w:hint="eastAsia" w:ascii="仿宋_GB2312" w:hAnsi="宋体" w:eastAsia="仿宋_GB2312" w:cs="宋体"/>
                <w:kern w:val="0"/>
                <w:sz w:val="20"/>
                <w:szCs w:val="20"/>
              </w:rPr>
              <w:t>）</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按规定做好政府性债务还本付息工作</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实际还本付息金额</w:t>
            </w:r>
            <w:r>
              <w:rPr>
                <w:rFonts w:eastAsia="仿宋_GB2312"/>
                <w:kern w:val="0"/>
                <w:sz w:val="20"/>
                <w:szCs w:val="20"/>
              </w:rPr>
              <w:t>÷</w:t>
            </w:r>
            <w:r>
              <w:rPr>
                <w:rFonts w:hint="eastAsia" w:ascii="仿宋_GB2312" w:hAnsi="宋体" w:eastAsia="仿宋_GB2312" w:cs="宋体"/>
                <w:kern w:val="0"/>
                <w:sz w:val="20"/>
                <w:szCs w:val="20"/>
              </w:rPr>
              <w:t>应付金额</w:t>
            </w:r>
            <w:r>
              <w:rPr>
                <w:rFonts w:eastAsia="仿宋_GB2312"/>
                <w:kern w:val="0"/>
                <w:sz w:val="20"/>
                <w:szCs w:val="20"/>
              </w:rPr>
              <w:t>×</w:t>
            </w:r>
            <w:r>
              <w:rPr>
                <w:rFonts w:hint="eastAsia" w:ascii="仿宋_GB2312" w:hAnsi="宋体" w:eastAsia="仿宋_GB2312" w:cs="宋体"/>
                <w:kern w:val="0"/>
                <w:sz w:val="20"/>
                <w:szCs w:val="20"/>
              </w:rPr>
              <w:t>指标分值</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　2</w:t>
            </w:r>
          </w:p>
        </w:tc>
      </w:tr>
      <w:tr>
        <w:tblPrEx>
          <w:tblCellMar>
            <w:top w:w="0" w:type="dxa"/>
            <w:left w:w="108" w:type="dxa"/>
            <w:bottom w:w="0" w:type="dxa"/>
            <w:right w:w="108" w:type="dxa"/>
          </w:tblCellMar>
        </w:tblPrEx>
        <w:trPr>
          <w:trHeight w:val="975" w:hRule="atLeast"/>
        </w:trPr>
        <w:tc>
          <w:tcPr>
            <w:tcW w:w="236"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非税收入管理情况　　（</w:t>
            </w:r>
            <w:r>
              <w:rPr>
                <w:rFonts w:eastAsia="仿宋_GB2312"/>
                <w:kern w:val="0"/>
                <w:sz w:val="20"/>
                <w:szCs w:val="20"/>
              </w:rPr>
              <w:t>4</w:t>
            </w:r>
            <w:r>
              <w:rPr>
                <w:rFonts w:hint="eastAsia" w:ascii="仿宋_GB2312" w:hAnsi="宋体" w:eastAsia="仿宋_GB2312" w:cs="宋体"/>
                <w:kern w:val="0"/>
                <w:sz w:val="20"/>
                <w:szCs w:val="20"/>
              </w:rPr>
              <w:t>分）</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非税收入征收情况（</w:t>
            </w:r>
            <w:r>
              <w:rPr>
                <w:rFonts w:eastAsia="仿宋_GB2312"/>
                <w:kern w:val="0"/>
                <w:sz w:val="20"/>
                <w:szCs w:val="20"/>
              </w:rPr>
              <w:t>2</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是否按照规定的项目、标准、征收方式执收非税收入，非税收入项目设立的权限和缓减免的依据，对非税收入进行缓减免</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发现有未按规定的非税收入项目、标准执收非税收入或有违反规定缓减免非税收入的，发现一次扣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2</w:t>
            </w:r>
          </w:p>
        </w:tc>
      </w:tr>
      <w:tr>
        <w:tblPrEx>
          <w:tblCellMar>
            <w:top w:w="0" w:type="dxa"/>
            <w:left w:w="108" w:type="dxa"/>
            <w:bottom w:w="0" w:type="dxa"/>
            <w:right w:w="108" w:type="dxa"/>
          </w:tblCellMar>
        </w:tblPrEx>
        <w:trPr>
          <w:trHeight w:val="578" w:hRule="atLeast"/>
        </w:trPr>
        <w:tc>
          <w:tcPr>
            <w:tcW w:w="236"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非税收入上缴情况（</w:t>
            </w:r>
            <w:r>
              <w:rPr>
                <w:rFonts w:eastAsia="仿宋_GB2312"/>
                <w:kern w:val="0"/>
                <w:sz w:val="20"/>
                <w:szCs w:val="20"/>
              </w:rPr>
              <w:t>2</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是否及时足额将非税收入缴入财政</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发现未及时足额将非税收入缴入财政的或者截留、挪用非税收入的，发现一次扣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2</w:t>
            </w:r>
          </w:p>
        </w:tc>
      </w:tr>
      <w:tr>
        <w:tblPrEx>
          <w:tblCellMar>
            <w:top w:w="0" w:type="dxa"/>
            <w:left w:w="108" w:type="dxa"/>
            <w:bottom w:w="0" w:type="dxa"/>
            <w:right w:w="108" w:type="dxa"/>
          </w:tblCellMar>
        </w:tblPrEx>
        <w:trPr>
          <w:trHeight w:val="578" w:hRule="atLeast"/>
        </w:trPr>
        <w:tc>
          <w:tcPr>
            <w:tcW w:w="236"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政府采购执行管理　　（</w:t>
            </w:r>
            <w:r>
              <w:rPr>
                <w:rFonts w:eastAsia="仿宋_GB2312"/>
                <w:kern w:val="0"/>
                <w:sz w:val="20"/>
                <w:szCs w:val="20"/>
              </w:rPr>
              <w:t>4</w:t>
            </w:r>
            <w:r>
              <w:rPr>
                <w:rFonts w:hint="eastAsia" w:ascii="仿宋_GB2312" w:hAnsi="宋体" w:eastAsia="仿宋_GB2312" w:cs="宋体"/>
                <w:kern w:val="0"/>
                <w:sz w:val="20"/>
                <w:szCs w:val="20"/>
              </w:rPr>
              <w:t>分）</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政府采购实施计划编制（</w:t>
            </w:r>
            <w:r>
              <w:rPr>
                <w:rFonts w:eastAsia="仿宋_GB2312"/>
                <w:kern w:val="0"/>
                <w:sz w:val="20"/>
                <w:szCs w:val="20"/>
              </w:rPr>
              <w:t>2</w:t>
            </w:r>
            <w:r>
              <w:rPr>
                <w:rFonts w:hint="eastAsia" w:ascii="仿宋_GB2312" w:hAnsi="宋体" w:eastAsia="仿宋_GB2312" w:cs="宋体"/>
                <w:kern w:val="0"/>
                <w:sz w:val="20"/>
                <w:szCs w:val="20"/>
              </w:rPr>
              <w:t>）</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实施计划与政府采购预算的一致性</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szCs w:val="20"/>
              </w:rPr>
              <w:t>1-</w:t>
            </w:r>
            <w:r>
              <w:rPr>
                <w:rFonts w:hint="eastAsia" w:ascii="仿宋_GB2312" w:hAnsi="宋体" w:eastAsia="仿宋_GB2312" w:cs="宋体"/>
                <w:kern w:val="0"/>
                <w:sz w:val="20"/>
                <w:szCs w:val="20"/>
              </w:rPr>
              <w:t>调整或细化资金</w:t>
            </w:r>
            <w:r>
              <w:rPr>
                <w:rFonts w:eastAsia="仿宋_GB2312"/>
                <w:kern w:val="0"/>
                <w:sz w:val="20"/>
                <w:szCs w:val="20"/>
              </w:rPr>
              <w:t>/</w:t>
            </w:r>
            <w:r>
              <w:rPr>
                <w:rFonts w:hint="eastAsia" w:ascii="仿宋_GB2312" w:hAnsi="宋体" w:eastAsia="仿宋_GB2312" w:cs="宋体"/>
                <w:kern w:val="0"/>
                <w:sz w:val="20"/>
                <w:szCs w:val="20"/>
              </w:rPr>
              <w:t>政府采购预算资金）</w:t>
            </w:r>
            <w:r>
              <w:rPr>
                <w:rFonts w:eastAsia="仿宋_GB2312"/>
                <w:kern w:val="0"/>
                <w:sz w:val="20"/>
                <w:szCs w:val="20"/>
              </w:rPr>
              <w:t>*</w:t>
            </w:r>
            <w:r>
              <w:rPr>
                <w:rFonts w:hint="eastAsia" w:ascii="仿宋_GB2312" w:hAnsi="宋体" w:eastAsia="仿宋_GB2312" w:cs="宋体"/>
                <w:kern w:val="0"/>
                <w:sz w:val="20"/>
                <w:szCs w:val="20"/>
              </w:rPr>
              <w:t>分值</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1</w:t>
            </w:r>
          </w:p>
        </w:tc>
      </w:tr>
      <w:tr>
        <w:tblPrEx>
          <w:tblCellMar>
            <w:top w:w="0" w:type="dxa"/>
            <w:left w:w="108" w:type="dxa"/>
            <w:bottom w:w="0" w:type="dxa"/>
            <w:right w:w="108" w:type="dxa"/>
          </w:tblCellMar>
        </w:tblPrEx>
        <w:trPr>
          <w:trHeight w:val="578" w:hRule="atLeast"/>
        </w:trPr>
        <w:tc>
          <w:tcPr>
            <w:tcW w:w="236"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政府采购实施计划的执行（</w:t>
            </w:r>
            <w:r>
              <w:rPr>
                <w:rFonts w:eastAsia="仿宋_GB2312"/>
                <w:kern w:val="0"/>
                <w:sz w:val="20"/>
                <w:szCs w:val="20"/>
              </w:rPr>
              <w:t>2</w:t>
            </w:r>
            <w:r>
              <w:rPr>
                <w:rFonts w:hint="eastAsia" w:ascii="仿宋_GB2312" w:hAnsi="宋体" w:eastAsia="仿宋_GB2312" w:cs="宋体"/>
                <w:kern w:val="0"/>
                <w:sz w:val="20"/>
                <w:szCs w:val="20"/>
              </w:rPr>
              <w:t>）</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执行的实施计划与备案的实施计划的一致性</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szCs w:val="20"/>
              </w:rPr>
              <w:t>1-</w:t>
            </w:r>
            <w:r>
              <w:rPr>
                <w:rFonts w:hint="eastAsia" w:ascii="仿宋_GB2312" w:hAnsi="宋体" w:eastAsia="仿宋_GB2312" w:cs="宋体"/>
                <w:kern w:val="0"/>
                <w:sz w:val="20"/>
                <w:szCs w:val="20"/>
              </w:rPr>
              <w:t>实施计划备案后的调整或细化资金</w:t>
            </w:r>
            <w:r>
              <w:rPr>
                <w:rFonts w:eastAsia="仿宋_GB2312"/>
                <w:kern w:val="0"/>
                <w:sz w:val="20"/>
                <w:szCs w:val="20"/>
              </w:rPr>
              <w:t>/</w:t>
            </w:r>
            <w:r>
              <w:rPr>
                <w:rFonts w:hint="eastAsia" w:ascii="仿宋_GB2312" w:hAnsi="宋体" w:eastAsia="仿宋_GB2312" w:cs="宋体"/>
                <w:kern w:val="0"/>
                <w:sz w:val="20"/>
                <w:szCs w:val="20"/>
              </w:rPr>
              <w:t>实施计划备案后的资金）</w:t>
            </w:r>
            <w:r>
              <w:rPr>
                <w:rFonts w:eastAsia="仿宋_GB2312"/>
                <w:kern w:val="0"/>
                <w:sz w:val="20"/>
                <w:szCs w:val="20"/>
              </w:rPr>
              <w:t>*</w:t>
            </w:r>
            <w:r>
              <w:rPr>
                <w:rFonts w:hint="eastAsia" w:ascii="仿宋_GB2312" w:hAnsi="宋体" w:eastAsia="仿宋_GB2312" w:cs="宋体"/>
                <w:kern w:val="0"/>
                <w:sz w:val="20"/>
                <w:szCs w:val="20"/>
              </w:rPr>
              <w:t>分值</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1</w:t>
            </w:r>
          </w:p>
        </w:tc>
      </w:tr>
      <w:tr>
        <w:tblPrEx>
          <w:tblCellMar>
            <w:top w:w="0" w:type="dxa"/>
            <w:left w:w="108" w:type="dxa"/>
            <w:bottom w:w="0" w:type="dxa"/>
            <w:right w:w="108" w:type="dxa"/>
          </w:tblCellMar>
        </w:tblPrEx>
        <w:trPr>
          <w:trHeight w:val="735" w:hRule="atLeast"/>
        </w:trPr>
        <w:tc>
          <w:tcPr>
            <w:tcW w:w="236"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　　（</w:t>
            </w:r>
            <w:r>
              <w:rPr>
                <w:rFonts w:eastAsia="仿宋_GB2312"/>
                <w:kern w:val="0"/>
                <w:sz w:val="20"/>
                <w:szCs w:val="20"/>
              </w:rPr>
              <w:t>6</w:t>
            </w:r>
            <w:r>
              <w:rPr>
                <w:rFonts w:hint="eastAsia" w:ascii="仿宋_GB2312" w:hAnsi="宋体" w:eastAsia="仿宋_GB2312" w:cs="宋体"/>
                <w:kern w:val="0"/>
                <w:sz w:val="20"/>
                <w:szCs w:val="20"/>
              </w:rPr>
              <w:t>分）</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资产管理信息系统建设情况　　　（</w:t>
            </w:r>
            <w:r>
              <w:rPr>
                <w:rFonts w:eastAsia="仿宋_GB2312"/>
                <w:kern w:val="0"/>
                <w:sz w:val="20"/>
                <w:szCs w:val="20"/>
              </w:rPr>
              <w:t>2</w:t>
            </w:r>
            <w:r>
              <w:rPr>
                <w:rFonts w:hint="eastAsia" w:ascii="仿宋_GB2312" w:hAnsi="宋体" w:eastAsia="仿宋_GB2312" w:cs="宋体"/>
                <w:kern w:val="0"/>
                <w:sz w:val="20"/>
                <w:szCs w:val="20"/>
              </w:rPr>
              <w:t>分）</w:t>
            </w:r>
          </w:p>
        </w:tc>
        <w:tc>
          <w:tcPr>
            <w:tcW w:w="1447"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考核部门和单位将国有资产纳入资产信息系统管理情况</w:t>
            </w:r>
          </w:p>
        </w:tc>
        <w:tc>
          <w:tcPr>
            <w:tcW w:w="2106"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①未将所属单位国有资产纳入系统管理，每少一个单位扣</w:t>
            </w:r>
            <w:r>
              <w:rPr>
                <w:rFonts w:eastAsia="仿宋_GB2312"/>
                <w:kern w:val="0"/>
                <w:sz w:val="20"/>
                <w:szCs w:val="20"/>
              </w:rPr>
              <w:t>1</w:t>
            </w:r>
            <w:r>
              <w:rPr>
                <w:rFonts w:hint="eastAsia" w:ascii="仿宋_GB2312" w:hAnsi="宋体" w:eastAsia="仿宋_GB2312" w:cs="宋体"/>
                <w:kern w:val="0"/>
                <w:sz w:val="20"/>
                <w:szCs w:val="20"/>
              </w:rPr>
              <w:t>分。②未将资产变动情况及时录入系统，每次扣</w:t>
            </w:r>
            <w:r>
              <w:rPr>
                <w:rFonts w:eastAsia="仿宋_GB2312"/>
                <w:kern w:val="0"/>
                <w:sz w:val="20"/>
                <w:szCs w:val="20"/>
              </w:rPr>
              <w:t>0.5</w:t>
            </w:r>
            <w:r>
              <w:rPr>
                <w:rFonts w:hint="eastAsia" w:ascii="仿宋_GB2312" w:hAnsi="宋体" w:eastAsia="仿宋_GB2312" w:cs="宋体"/>
                <w:kern w:val="0"/>
                <w:sz w:val="20"/>
                <w:szCs w:val="20"/>
              </w:rPr>
              <w:t>分。③未落实人员负责管理系统，扣</w:t>
            </w:r>
            <w:r>
              <w:rPr>
                <w:rFonts w:eastAsia="仿宋_GB2312"/>
                <w:kern w:val="0"/>
                <w:sz w:val="20"/>
                <w:szCs w:val="20"/>
              </w:rPr>
              <w:t>1</w:t>
            </w:r>
            <w:r>
              <w:rPr>
                <w:rFonts w:hint="eastAsia" w:ascii="仿宋_GB2312" w:hAnsi="宋体" w:eastAsia="仿宋_GB2312" w:cs="宋体"/>
                <w:kern w:val="0"/>
                <w:sz w:val="20"/>
                <w:szCs w:val="20"/>
              </w:rPr>
              <w:t>分。</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2</w:t>
            </w:r>
          </w:p>
        </w:tc>
      </w:tr>
      <w:tr>
        <w:tblPrEx>
          <w:tblCellMar>
            <w:top w:w="0" w:type="dxa"/>
            <w:left w:w="108" w:type="dxa"/>
            <w:bottom w:w="0" w:type="dxa"/>
            <w:right w:w="108" w:type="dxa"/>
          </w:tblCellMar>
        </w:tblPrEx>
        <w:trPr>
          <w:trHeight w:val="915" w:hRule="atLeast"/>
        </w:trPr>
        <w:tc>
          <w:tcPr>
            <w:tcW w:w="236"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行政事业单位资产清查开展情况（</w:t>
            </w:r>
            <w:r>
              <w:rPr>
                <w:rFonts w:eastAsia="仿宋_GB2312"/>
                <w:kern w:val="0"/>
                <w:sz w:val="20"/>
                <w:szCs w:val="20"/>
              </w:rPr>
              <w:t>2</w:t>
            </w:r>
            <w:r>
              <w:rPr>
                <w:rFonts w:hint="eastAsia" w:ascii="仿宋_GB2312" w:hAnsi="宋体" w:eastAsia="仿宋_GB2312" w:cs="宋体"/>
                <w:kern w:val="0"/>
                <w:sz w:val="20"/>
                <w:szCs w:val="20"/>
              </w:rPr>
              <w:t>分）</w:t>
            </w:r>
          </w:p>
        </w:tc>
        <w:tc>
          <w:tcPr>
            <w:tcW w:w="144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考核行政事业单位按要求及时、准确、全面开展资产清查工作情况</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①未在规定时间内完成资产清查任务扣</w:t>
            </w:r>
            <w:r>
              <w:rPr>
                <w:rFonts w:eastAsia="仿宋_GB2312"/>
                <w:kern w:val="0"/>
                <w:sz w:val="20"/>
                <w:szCs w:val="20"/>
              </w:rPr>
              <w:t>1</w:t>
            </w:r>
            <w:r>
              <w:rPr>
                <w:rFonts w:hint="eastAsia" w:ascii="仿宋_GB2312" w:hAnsi="宋体" w:eastAsia="仿宋_GB2312" w:cs="宋体"/>
                <w:kern w:val="0"/>
                <w:sz w:val="20"/>
                <w:szCs w:val="20"/>
              </w:rPr>
              <w:t>分。②资产清查结果与财政组织复核的结果误差超过</w:t>
            </w:r>
            <w:r>
              <w:rPr>
                <w:rFonts w:eastAsia="仿宋_GB2312"/>
                <w:kern w:val="0"/>
                <w:sz w:val="20"/>
                <w:szCs w:val="20"/>
              </w:rPr>
              <w:t>10%</w:t>
            </w:r>
            <w:r>
              <w:rPr>
                <w:rFonts w:hint="eastAsia" w:ascii="仿宋_GB2312" w:hAnsi="宋体" w:eastAsia="仿宋_GB2312" w:cs="宋体"/>
                <w:kern w:val="0"/>
                <w:sz w:val="20"/>
                <w:szCs w:val="20"/>
              </w:rPr>
              <w:t>的扣</w:t>
            </w:r>
            <w:r>
              <w:rPr>
                <w:rFonts w:eastAsia="仿宋_GB2312"/>
                <w:kern w:val="0"/>
                <w:sz w:val="20"/>
                <w:szCs w:val="20"/>
              </w:rPr>
              <w:t>1</w:t>
            </w:r>
            <w:r>
              <w:rPr>
                <w:rFonts w:hint="eastAsia" w:ascii="仿宋_GB2312" w:hAnsi="宋体" w:eastAsia="仿宋_GB2312" w:cs="宋体"/>
                <w:kern w:val="0"/>
                <w:sz w:val="20"/>
                <w:szCs w:val="20"/>
              </w:rPr>
              <w:t>分。③未及时按批复的清查结果进行账务调整扣</w:t>
            </w:r>
            <w:r>
              <w:rPr>
                <w:rFonts w:eastAsia="仿宋_GB2312"/>
                <w:kern w:val="0"/>
                <w:sz w:val="20"/>
                <w:szCs w:val="20"/>
              </w:rPr>
              <w:t>1</w:t>
            </w:r>
            <w:r>
              <w:rPr>
                <w:rFonts w:hint="eastAsia" w:ascii="仿宋_GB2312" w:hAnsi="宋体" w:eastAsia="仿宋_GB2312" w:cs="宋体"/>
                <w:kern w:val="0"/>
                <w:sz w:val="20"/>
                <w:szCs w:val="20"/>
              </w:rPr>
              <w:t>分。④未及时更新资产管理信息系统，导致系统资产数据与上报财政的资产清查结果不一致扣</w:t>
            </w:r>
            <w:r>
              <w:rPr>
                <w:rFonts w:eastAsia="仿宋_GB2312"/>
                <w:kern w:val="0"/>
                <w:sz w:val="20"/>
                <w:szCs w:val="20"/>
              </w:rPr>
              <w:t>1</w:t>
            </w:r>
            <w:r>
              <w:rPr>
                <w:rFonts w:hint="eastAsia" w:ascii="仿宋_GB2312" w:hAnsi="宋体" w:eastAsia="仿宋_GB2312" w:cs="宋体"/>
                <w:kern w:val="0"/>
                <w:sz w:val="20"/>
                <w:szCs w:val="20"/>
              </w:rPr>
              <w:t>分。</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2</w:t>
            </w:r>
          </w:p>
        </w:tc>
      </w:tr>
      <w:tr>
        <w:tblPrEx>
          <w:tblCellMar>
            <w:top w:w="0" w:type="dxa"/>
            <w:left w:w="108" w:type="dxa"/>
            <w:bottom w:w="0" w:type="dxa"/>
            <w:right w:w="108" w:type="dxa"/>
          </w:tblCellMar>
        </w:tblPrEx>
        <w:trPr>
          <w:trHeight w:val="732" w:hRule="atLeast"/>
        </w:trPr>
        <w:tc>
          <w:tcPr>
            <w:tcW w:w="236"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行政事业单位资产报表上报情况（</w:t>
            </w:r>
            <w:r>
              <w:rPr>
                <w:rFonts w:eastAsia="仿宋_GB2312"/>
                <w:kern w:val="0"/>
                <w:sz w:val="20"/>
                <w:szCs w:val="20"/>
              </w:rPr>
              <w:t>2</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考核行政事业单位上报国有资产报表数据的真实性、准确性、全面性</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①未落实专人负责资产报表，未及时上报资产报表扣</w:t>
            </w:r>
            <w:r>
              <w:rPr>
                <w:rFonts w:eastAsia="仿宋_GB2312"/>
                <w:kern w:val="0"/>
                <w:sz w:val="20"/>
                <w:szCs w:val="20"/>
              </w:rPr>
              <w:t>1</w:t>
            </w:r>
            <w:r>
              <w:rPr>
                <w:rFonts w:hint="eastAsia" w:ascii="仿宋_GB2312" w:hAnsi="宋体" w:eastAsia="仿宋_GB2312" w:cs="宋体"/>
                <w:kern w:val="0"/>
                <w:sz w:val="20"/>
                <w:szCs w:val="20"/>
              </w:rPr>
              <w:t>分。②报表填报不规范，内容不完整，数据不真实，扣</w:t>
            </w:r>
            <w:r>
              <w:rPr>
                <w:rFonts w:eastAsia="仿宋_GB2312"/>
                <w:kern w:val="0"/>
                <w:sz w:val="20"/>
                <w:szCs w:val="20"/>
              </w:rPr>
              <w:t>1</w:t>
            </w:r>
            <w:r>
              <w:rPr>
                <w:rFonts w:hint="eastAsia" w:ascii="仿宋_GB2312" w:hAnsi="宋体" w:eastAsia="仿宋_GB2312" w:cs="宋体"/>
                <w:kern w:val="0"/>
                <w:sz w:val="20"/>
                <w:szCs w:val="20"/>
              </w:rPr>
              <w:t>分。③未提交分析报告，对资产变动情况未作分析说明，扣</w:t>
            </w:r>
            <w:r>
              <w:rPr>
                <w:rFonts w:eastAsia="仿宋_GB2312"/>
                <w:kern w:val="0"/>
                <w:sz w:val="20"/>
                <w:szCs w:val="20"/>
              </w:rPr>
              <w:t>1</w:t>
            </w:r>
            <w:r>
              <w:rPr>
                <w:rFonts w:hint="eastAsia" w:ascii="仿宋_GB2312" w:hAnsi="宋体" w:eastAsia="仿宋_GB2312" w:cs="宋体"/>
                <w:kern w:val="0"/>
                <w:sz w:val="20"/>
                <w:szCs w:val="20"/>
              </w:rPr>
              <w:t>分。</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2</w:t>
            </w:r>
          </w:p>
        </w:tc>
      </w:tr>
      <w:tr>
        <w:tblPrEx>
          <w:tblCellMar>
            <w:top w:w="0" w:type="dxa"/>
            <w:left w:w="108" w:type="dxa"/>
            <w:bottom w:w="0" w:type="dxa"/>
            <w:right w:w="108" w:type="dxa"/>
          </w:tblCellMar>
        </w:tblPrEx>
        <w:trPr>
          <w:trHeight w:val="675" w:hRule="atLeast"/>
        </w:trPr>
        <w:tc>
          <w:tcPr>
            <w:tcW w:w="236"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内控制度管理（</w:t>
            </w:r>
            <w:r>
              <w:rPr>
                <w:rFonts w:eastAsia="仿宋_GB2312"/>
                <w:kern w:val="0"/>
                <w:sz w:val="20"/>
                <w:szCs w:val="20"/>
              </w:rPr>
              <w:t>4</w:t>
            </w:r>
            <w:r>
              <w:rPr>
                <w:rFonts w:hint="eastAsia" w:ascii="仿宋_GB2312" w:hAnsi="宋体" w:eastAsia="仿宋_GB2312" w:cs="宋体"/>
                <w:kern w:val="0"/>
                <w:sz w:val="20"/>
                <w:szCs w:val="20"/>
              </w:rPr>
              <w:t>分）</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内部控制度健全完整（</w:t>
            </w:r>
            <w:r>
              <w:rPr>
                <w:rFonts w:eastAsia="仿宋_GB2312"/>
                <w:kern w:val="0"/>
                <w:sz w:val="20"/>
                <w:szCs w:val="20"/>
              </w:rPr>
              <w:t>4</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考核部门内部控制制度的设置和执行情况</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内部控制制度健全完整并执行良好的得分，否则不得分。在本年度内因内控制度不健全或执行不到位，造成单位出现廉政风险或发生重大责任事故的不得分。</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4</w:t>
            </w:r>
          </w:p>
        </w:tc>
      </w:tr>
      <w:tr>
        <w:tblPrEx>
          <w:tblCellMar>
            <w:top w:w="0" w:type="dxa"/>
            <w:left w:w="108" w:type="dxa"/>
            <w:bottom w:w="0" w:type="dxa"/>
            <w:right w:w="108" w:type="dxa"/>
          </w:tblCellMar>
        </w:tblPrEx>
        <w:trPr>
          <w:trHeight w:val="998" w:hRule="atLeast"/>
        </w:trPr>
        <w:tc>
          <w:tcPr>
            <w:tcW w:w="236"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信息公开　　（</w:t>
            </w:r>
            <w:r>
              <w:rPr>
                <w:rFonts w:eastAsia="仿宋_GB2312"/>
                <w:kern w:val="0"/>
                <w:sz w:val="20"/>
                <w:szCs w:val="20"/>
              </w:rPr>
              <w:t>6</w:t>
            </w:r>
            <w:r>
              <w:rPr>
                <w:rFonts w:hint="eastAsia" w:ascii="仿宋_GB2312" w:hAnsi="宋体" w:eastAsia="仿宋_GB2312" w:cs="宋体"/>
                <w:kern w:val="0"/>
                <w:sz w:val="20"/>
                <w:szCs w:val="20"/>
              </w:rPr>
              <w:t>分）</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预算公开（</w:t>
            </w:r>
            <w:r>
              <w:rPr>
                <w:rFonts w:eastAsia="仿宋_GB2312"/>
                <w:kern w:val="0"/>
                <w:sz w:val="20"/>
                <w:szCs w:val="20"/>
              </w:rPr>
              <w:t>2</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除涉密信息外，各部门要在财政部门批复后二十日内向社会公开本部门预算（含所有财政资金安排的</w:t>
            </w:r>
            <w:r>
              <w:rPr>
                <w:rFonts w:eastAsia="仿宋_GB2312"/>
                <w:kern w:val="0"/>
                <w:sz w:val="20"/>
                <w:szCs w:val="20"/>
              </w:rPr>
              <w:t>“</w:t>
            </w:r>
            <w:r>
              <w:rPr>
                <w:rFonts w:hint="eastAsia" w:ascii="仿宋_GB2312" w:hAnsi="宋体" w:eastAsia="仿宋_GB2312" w:cs="宋体"/>
                <w:kern w:val="0"/>
                <w:sz w:val="20"/>
                <w:szCs w:val="20"/>
              </w:rPr>
              <w:t>三公</w:t>
            </w:r>
            <w:r>
              <w:rPr>
                <w:rFonts w:eastAsia="仿宋_GB2312"/>
                <w:kern w:val="0"/>
                <w:sz w:val="20"/>
                <w:szCs w:val="20"/>
              </w:rPr>
              <w:t>”</w:t>
            </w:r>
            <w:r>
              <w:rPr>
                <w:rFonts w:hint="eastAsia" w:ascii="仿宋_GB2312" w:hAnsi="宋体" w:eastAsia="仿宋_GB2312" w:cs="宋体"/>
                <w:kern w:val="0"/>
                <w:sz w:val="20"/>
                <w:szCs w:val="20"/>
              </w:rPr>
              <w:t>经费、机关运行经费的安排、使用情况等）</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按规定公开预算，未按要求公开的，发现一处扣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2</w:t>
            </w:r>
          </w:p>
        </w:tc>
      </w:tr>
      <w:tr>
        <w:tblPrEx>
          <w:tblCellMar>
            <w:top w:w="0" w:type="dxa"/>
            <w:left w:w="108" w:type="dxa"/>
            <w:bottom w:w="0" w:type="dxa"/>
            <w:right w:w="108" w:type="dxa"/>
          </w:tblCellMar>
        </w:tblPrEx>
        <w:trPr>
          <w:trHeight w:val="1020" w:hRule="atLeast"/>
        </w:trPr>
        <w:tc>
          <w:tcPr>
            <w:tcW w:w="236"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决算公开（</w:t>
            </w:r>
            <w:r>
              <w:rPr>
                <w:rFonts w:eastAsia="仿宋_GB2312"/>
                <w:kern w:val="0"/>
                <w:sz w:val="20"/>
                <w:szCs w:val="20"/>
              </w:rPr>
              <w:t>2</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除涉密信息外，各部门要在财政部门批复二十日内向社会公开本部门决算（含所有财政资金安排的</w:t>
            </w:r>
            <w:r>
              <w:rPr>
                <w:rFonts w:eastAsia="仿宋_GB2312"/>
                <w:kern w:val="0"/>
                <w:sz w:val="20"/>
                <w:szCs w:val="20"/>
              </w:rPr>
              <w:t>“</w:t>
            </w:r>
            <w:r>
              <w:rPr>
                <w:rFonts w:hint="eastAsia" w:ascii="仿宋_GB2312" w:hAnsi="宋体" w:eastAsia="仿宋_GB2312" w:cs="宋体"/>
                <w:kern w:val="0"/>
                <w:sz w:val="20"/>
                <w:szCs w:val="20"/>
              </w:rPr>
              <w:t>三公</w:t>
            </w:r>
            <w:r>
              <w:rPr>
                <w:rFonts w:eastAsia="仿宋_GB2312"/>
                <w:kern w:val="0"/>
                <w:sz w:val="20"/>
                <w:szCs w:val="20"/>
              </w:rPr>
              <w:t>”</w:t>
            </w:r>
            <w:r>
              <w:rPr>
                <w:rFonts w:hint="eastAsia" w:ascii="仿宋_GB2312" w:hAnsi="宋体" w:eastAsia="仿宋_GB2312" w:cs="宋体"/>
                <w:kern w:val="0"/>
                <w:sz w:val="20"/>
                <w:szCs w:val="20"/>
              </w:rPr>
              <w:t>经费、机关运行经费的安排、使用情况等）</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2</w:t>
            </w:r>
          </w:p>
        </w:tc>
      </w:tr>
      <w:tr>
        <w:tblPrEx>
          <w:tblCellMar>
            <w:top w:w="0" w:type="dxa"/>
            <w:left w:w="108" w:type="dxa"/>
            <w:bottom w:w="0" w:type="dxa"/>
            <w:right w:w="108" w:type="dxa"/>
          </w:tblCellMar>
        </w:tblPrEx>
        <w:trPr>
          <w:trHeight w:val="972" w:hRule="atLeast"/>
        </w:trPr>
        <w:tc>
          <w:tcPr>
            <w:tcW w:w="236"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绩效信息公开　　（</w:t>
            </w:r>
            <w:r>
              <w:rPr>
                <w:rFonts w:eastAsia="仿宋_GB2312"/>
                <w:kern w:val="0"/>
                <w:sz w:val="20"/>
                <w:szCs w:val="20"/>
              </w:rPr>
              <w:t>2</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按要求公开部门整体支出绩效自评报告及其他按要求应公开的绩效信息</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2</w:t>
            </w:r>
          </w:p>
        </w:tc>
      </w:tr>
      <w:tr>
        <w:tblPrEx>
          <w:tblCellMar>
            <w:top w:w="0" w:type="dxa"/>
            <w:left w:w="108" w:type="dxa"/>
            <w:bottom w:w="0" w:type="dxa"/>
            <w:right w:w="108" w:type="dxa"/>
          </w:tblCellMar>
        </w:tblPrEx>
        <w:trPr>
          <w:trHeight w:val="938" w:hRule="atLeast"/>
        </w:trPr>
        <w:tc>
          <w:tcPr>
            <w:tcW w:w="23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综合管理（</w:t>
            </w:r>
            <w:r>
              <w:rPr>
                <w:kern w:val="0"/>
                <w:sz w:val="20"/>
                <w:szCs w:val="20"/>
              </w:rPr>
              <w:t>40</w:t>
            </w:r>
            <w:r>
              <w:rPr>
                <w:rFonts w:hint="eastAsia" w:ascii="宋体" w:hAnsi="宋体" w:cs="宋体"/>
                <w:kern w:val="0"/>
                <w:sz w:val="20"/>
                <w:szCs w:val="20"/>
              </w:rPr>
              <w:t>分）</w:t>
            </w:r>
          </w:p>
        </w:tc>
        <w:tc>
          <w:tcPr>
            <w:tcW w:w="31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　　（</w:t>
            </w:r>
            <w:r>
              <w:rPr>
                <w:rFonts w:eastAsia="仿宋_GB2312"/>
                <w:kern w:val="0"/>
                <w:sz w:val="20"/>
                <w:szCs w:val="20"/>
              </w:rPr>
              <w:t>8</w:t>
            </w:r>
            <w:r>
              <w:rPr>
                <w:rFonts w:hint="eastAsia" w:ascii="仿宋_GB2312" w:hAnsi="宋体" w:eastAsia="仿宋_GB2312" w:cs="宋体"/>
                <w:kern w:val="0"/>
                <w:sz w:val="20"/>
                <w:szCs w:val="20"/>
              </w:rPr>
              <w:t>分）</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评价项目覆盖率（</w:t>
            </w:r>
            <w:r>
              <w:rPr>
                <w:rFonts w:eastAsia="仿宋_GB2312"/>
                <w:kern w:val="0"/>
                <w:sz w:val="20"/>
                <w:szCs w:val="20"/>
              </w:rPr>
              <w:t>2</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部门实施绩效评价项目数量占部门管理专项预算项目数量的比重，部门申报绩效目标项目数量的比重，用以反映和考核部门实施绩效评价项目资金覆盖情况</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评价覆盖率</w:t>
            </w:r>
            <w:r>
              <w:rPr>
                <w:rFonts w:eastAsia="仿宋_GB2312"/>
                <w:kern w:val="0"/>
                <w:sz w:val="20"/>
                <w:szCs w:val="20"/>
              </w:rPr>
              <w:t>=</w:t>
            </w:r>
            <w:r>
              <w:rPr>
                <w:rFonts w:hint="eastAsia" w:ascii="仿宋_GB2312" w:hAnsi="宋体" w:eastAsia="仿宋_GB2312" w:cs="宋体"/>
                <w:kern w:val="0"/>
                <w:sz w:val="20"/>
                <w:szCs w:val="20"/>
              </w:rPr>
              <w:t>实施绩效评价项目数量</w:t>
            </w:r>
            <w:r>
              <w:rPr>
                <w:rFonts w:eastAsia="仿宋_GB2312"/>
                <w:kern w:val="0"/>
                <w:sz w:val="20"/>
                <w:szCs w:val="20"/>
              </w:rPr>
              <w:t>/</w:t>
            </w:r>
            <w:r>
              <w:rPr>
                <w:rFonts w:hint="eastAsia" w:ascii="仿宋_GB2312" w:hAnsi="宋体" w:eastAsia="仿宋_GB2312" w:cs="宋体"/>
                <w:kern w:val="0"/>
                <w:sz w:val="20"/>
                <w:szCs w:val="20"/>
              </w:rPr>
              <w:t>部门管理专项预算项目数量</w:t>
            </w:r>
            <w:r>
              <w:rPr>
                <w:rFonts w:eastAsia="仿宋_GB2312"/>
                <w:kern w:val="0"/>
                <w:sz w:val="20"/>
                <w:szCs w:val="20"/>
              </w:rPr>
              <w:t>×100%</w:t>
            </w:r>
            <w:r>
              <w:rPr>
                <w:rFonts w:hint="eastAsia" w:ascii="仿宋_GB2312" w:hAnsi="宋体" w:eastAsia="仿宋_GB2312" w:cs="宋体"/>
                <w:kern w:val="0"/>
                <w:sz w:val="20"/>
                <w:szCs w:val="20"/>
              </w:rPr>
              <w:t>，大于</w:t>
            </w:r>
            <w:r>
              <w:rPr>
                <w:rFonts w:eastAsia="仿宋_GB2312"/>
                <w:kern w:val="0"/>
                <w:sz w:val="20"/>
                <w:szCs w:val="20"/>
              </w:rPr>
              <w:t>50%</w:t>
            </w:r>
            <w:r>
              <w:rPr>
                <w:rFonts w:hint="eastAsia" w:ascii="仿宋_GB2312" w:hAnsi="宋体" w:eastAsia="仿宋_GB2312" w:cs="宋体"/>
                <w:kern w:val="0"/>
                <w:sz w:val="20"/>
                <w:szCs w:val="20"/>
              </w:rPr>
              <w:t>，得满分。</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2</w:t>
            </w:r>
          </w:p>
        </w:tc>
      </w:tr>
      <w:tr>
        <w:tblPrEx>
          <w:tblCellMar>
            <w:top w:w="0" w:type="dxa"/>
            <w:left w:w="108" w:type="dxa"/>
            <w:bottom w:w="0" w:type="dxa"/>
            <w:right w:w="108" w:type="dxa"/>
          </w:tblCellMar>
        </w:tblPrEx>
        <w:trPr>
          <w:trHeight w:val="578" w:hRule="atLeast"/>
        </w:trPr>
        <w:tc>
          <w:tcPr>
            <w:tcW w:w="23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1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评价层次（</w:t>
            </w:r>
            <w:r>
              <w:rPr>
                <w:rFonts w:eastAsia="仿宋_GB2312"/>
                <w:kern w:val="0"/>
                <w:sz w:val="20"/>
                <w:szCs w:val="20"/>
              </w:rPr>
              <w:t>2</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部门（单位）是否对下级预算单位开展整体绩效评价</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实施评价下级预算单位的得分，否则不得分</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2</w:t>
            </w:r>
          </w:p>
        </w:tc>
      </w:tr>
      <w:tr>
        <w:tblPrEx>
          <w:tblCellMar>
            <w:top w:w="0" w:type="dxa"/>
            <w:left w:w="108" w:type="dxa"/>
            <w:bottom w:w="0" w:type="dxa"/>
            <w:right w:w="108" w:type="dxa"/>
          </w:tblCellMar>
        </w:tblPrEx>
        <w:trPr>
          <w:trHeight w:val="578" w:hRule="atLeast"/>
        </w:trPr>
        <w:tc>
          <w:tcPr>
            <w:tcW w:w="23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1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评价结果利用率（</w:t>
            </w:r>
            <w:r>
              <w:rPr>
                <w:rFonts w:eastAsia="仿宋_GB2312"/>
                <w:kern w:val="0"/>
                <w:sz w:val="20"/>
                <w:szCs w:val="20"/>
              </w:rPr>
              <w:t>4</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部门是否根据绩效评价发现问题制定整改措施，并整改落实到位</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利用率</w:t>
            </w:r>
            <w:r>
              <w:rPr>
                <w:rFonts w:eastAsia="仿宋_GB2312"/>
                <w:kern w:val="0"/>
                <w:sz w:val="20"/>
                <w:szCs w:val="20"/>
              </w:rPr>
              <w:t>=</w:t>
            </w:r>
            <w:r>
              <w:rPr>
                <w:rFonts w:hint="eastAsia" w:ascii="仿宋_GB2312" w:hAnsi="宋体" w:eastAsia="仿宋_GB2312" w:cs="宋体"/>
                <w:kern w:val="0"/>
                <w:sz w:val="20"/>
                <w:szCs w:val="20"/>
              </w:rPr>
              <w:t>部门实际制定整改措施项目数量</w:t>
            </w:r>
            <w:r>
              <w:rPr>
                <w:rFonts w:eastAsia="仿宋_GB2312"/>
                <w:kern w:val="0"/>
                <w:sz w:val="20"/>
                <w:szCs w:val="20"/>
              </w:rPr>
              <w:t>/</w:t>
            </w:r>
            <w:r>
              <w:rPr>
                <w:rFonts w:hint="eastAsia" w:ascii="仿宋_GB2312" w:hAnsi="宋体" w:eastAsia="仿宋_GB2312" w:cs="宋体"/>
                <w:kern w:val="0"/>
                <w:sz w:val="20"/>
                <w:szCs w:val="20"/>
              </w:rPr>
              <w:t>应制定整改措施的项目数量</w:t>
            </w:r>
            <w:r>
              <w:rPr>
                <w:rFonts w:eastAsia="仿宋_GB2312"/>
                <w:kern w:val="0"/>
                <w:sz w:val="20"/>
                <w:szCs w:val="20"/>
              </w:rPr>
              <w:t>×100%</w:t>
            </w:r>
            <w:r>
              <w:rPr>
                <w:rFonts w:hint="eastAsia" w:ascii="仿宋_GB2312" w:hAnsi="宋体" w:eastAsia="仿宋_GB2312" w:cs="宋体"/>
                <w:kern w:val="0"/>
                <w:sz w:val="20"/>
                <w:szCs w:val="20"/>
              </w:rPr>
              <w:t>。</w:t>
            </w:r>
          </w:p>
        </w:tc>
        <w:tc>
          <w:tcPr>
            <w:tcW w:w="46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4</w:t>
            </w:r>
          </w:p>
        </w:tc>
      </w:tr>
      <w:tr>
        <w:tblPrEx>
          <w:tblCellMar>
            <w:top w:w="0" w:type="dxa"/>
            <w:left w:w="108" w:type="dxa"/>
            <w:bottom w:w="0" w:type="dxa"/>
            <w:right w:w="108" w:type="dxa"/>
          </w:tblCellMar>
        </w:tblPrEx>
        <w:trPr>
          <w:trHeight w:val="975" w:hRule="atLeast"/>
        </w:trPr>
        <w:tc>
          <w:tcPr>
            <w:tcW w:w="23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1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财政监督　　（</w:t>
            </w:r>
            <w:r>
              <w:rPr>
                <w:rFonts w:eastAsia="仿宋_GB2312"/>
                <w:kern w:val="0"/>
                <w:sz w:val="20"/>
                <w:szCs w:val="20"/>
              </w:rPr>
              <w:t>6</w:t>
            </w:r>
            <w:r>
              <w:rPr>
                <w:rFonts w:hint="eastAsia" w:ascii="仿宋_GB2312" w:hAnsi="宋体" w:eastAsia="仿宋_GB2312" w:cs="宋体"/>
                <w:kern w:val="0"/>
                <w:sz w:val="20"/>
                <w:szCs w:val="20"/>
              </w:rPr>
              <w:t>分）</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是否按要求开展自查自纠（</w:t>
            </w:r>
            <w:r>
              <w:rPr>
                <w:rFonts w:eastAsia="仿宋_GB2312"/>
                <w:kern w:val="0"/>
                <w:sz w:val="20"/>
                <w:szCs w:val="20"/>
              </w:rPr>
              <w:t>2</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根据相关自查自纠报告、报表报送时效和质量进行考核</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未在规定时间内报送自查自纠相关材料（包括：纸质和电子版）的，扣</w:t>
            </w:r>
            <w:r>
              <w:rPr>
                <w:rFonts w:eastAsia="仿宋_GB2312"/>
                <w:kern w:val="0"/>
                <w:sz w:val="20"/>
                <w:szCs w:val="20"/>
              </w:rPr>
              <w:t>0.5</w:t>
            </w:r>
            <w:r>
              <w:rPr>
                <w:rFonts w:hint="eastAsia" w:ascii="仿宋_GB2312" w:hAnsi="宋体" w:eastAsia="仿宋_GB2312" w:cs="宋体"/>
                <w:kern w:val="0"/>
                <w:sz w:val="20"/>
                <w:szCs w:val="20"/>
              </w:rPr>
              <w:t>分；报告内容不完整，扣</w:t>
            </w:r>
            <w:r>
              <w:rPr>
                <w:rFonts w:eastAsia="仿宋_GB2312"/>
                <w:kern w:val="0"/>
                <w:sz w:val="20"/>
                <w:szCs w:val="20"/>
              </w:rPr>
              <w:t>1</w:t>
            </w:r>
            <w:r>
              <w:rPr>
                <w:rFonts w:hint="eastAsia" w:ascii="仿宋_GB2312" w:hAnsi="宋体" w:eastAsia="仿宋_GB2312" w:cs="宋体"/>
                <w:kern w:val="0"/>
                <w:sz w:val="20"/>
                <w:szCs w:val="20"/>
              </w:rPr>
              <w:t>分；报表质量差（如：数据、逻辑、勾稽关系错误）等扣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467"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0"/>
                <w:szCs w:val="20"/>
              </w:rPr>
            </w:pPr>
            <w:r>
              <w:rPr>
                <w:rFonts w:hint="eastAsia" w:ascii="宋体" w:hAnsi="宋体" w:cs="宋体"/>
                <w:kern w:val="0"/>
                <w:sz w:val="20"/>
                <w:szCs w:val="20"/>
              </w:rPr>
              <w:t>　2</w:t>
            </w:r>
          </w:p>
        </w:tc>
      </w:tr>
      <w:tr>
        <w:tblPrEx>
          <w:tblCellMar>
            <w:top w:w="0" w:type="dxa"/>
            <w:left w:w="108" w:type="dxa"/>
            <w:bottom w:w="0" w:type="dxa"/>
            <w:right w:w="108" w:type="dxa"/>
          </w:tblCellMar>
        </w:tblPrEx>
        <w:trPr>
          <w:trHeight w:val="945" w:hRule="atLeast"/>
        </w:trPr>
        <w:tc>
          <w:tcPr>
            <w:tcW w:w="23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17"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重点检查发现违规违纪问题　　　（</w:t>
            </w:r>
            <w:r>
              <w:rPr>
                <w:rFonts w:eastAsia="仿宋_GB2312"/>
                <w:kern w:val="0"/>
                <w:sz w:val="20"/>
                <w:szCs w:val="20"/>
              </w:rPr>
              <w:t>2</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根据检查组提供的工作底稿、检查报告等资料进行考核</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专项检查发现的违纪违规问题，每个问题扣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467"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0"/>
                <w:szCs w:val="20"/>
              </w:rPr>
            </w:pPr>
            <w:r>
              <w:rPr>
                <w:rFonts w:hint="eastAsia" w:ascii="宋体" w:hAnsi="宋体" w:cs="宋体"/>
                <w:kern w:val="0"/>
                <w:sz w:val="20"/>
                <w:szCs w:val="20"/>
              </w:rPr>
              <w:t>　2</w:t>
            </w:r>
          </w:p>
        </w:tc>
      </w:tr>
      <w:tr>
        <w:tblPrEx>
          <w:tblCellMar>
            <w:top w:w="0" w:type="dxa"/>
            <w:left w:w="108" w:type="dxa"/>
            <w:bottom w:w="0" w:type="dxa"/>
            <w:right w:w="108" w:type="dxa"/>
          </w:tblCellMar>
        </w:tblPrEx>
        <w:trPr>
          <w:trHeight w:val="885" w:hRule="atLeast"/>
        </w:trPr>
        <w:tc>
          <w:tcPr>
            <w:tcW w:w="23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17"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存在问题整改是否到位（</w:t>
            </w:r>
            <w:r>
              <w:rPr>
                <w:rFonts w:eastAsia="仿宋_GB2312"/>
                <w:kern w:val="0"/>
                <w:sz w:val="20"/>
                <w:szCs w:val="20"/>
              </w:rPr>
              <w:t>2</w:t>
            </w:r>
            <w:r>
              <w:rPr>
                <w:rFonts w:hint="eastAsia" w:ascii="仿宋_GB2312" w:hAnsi="宋体" w:eastAsia="仿宋_GB2312" w:cs="宋体"/>
                <w:kern w:val="0"/>
                <w:sz w:val="20"/>
                <w:szCs w:val="20"/>
              </w:rPr>
              <w:t>分）</w:t>
            </w:r>
          </w:p>
        </w:tc>
        <w:tc>
          <w:tcPr>
            <w:tcW w:w="1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根据相关整改报告、凭证依据等相关证明材料进行考核</w:t>
            </w:r>
          </w:p>
        </w:tc>
        <w:tc>
          <w:tcPr>
            <w:tcW w:w="21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未在规定时间内完成整改，并提供相关证明材料的，每个问题</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467"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0"/>
                <w:szCs w:val="20"/>
              </w:rPr>
            </w:pPr>
            <w:r>
              <w:rPr>
                <w:rFonts w:hint="eastAsia" w:ascii="宋体" w:hAnsi="宋体" w:cs="宋体"/>
                <w:kern w:val="0"/>
                <w:sz w:val="20"/>
                <w:szCs w:val="20"/>
              </w:rPr>
              <w:t>　2</w:t>
            </w:r>
          </w:p>
        </w:tc>
      </w:tr>
      <w:tr>
        <w:tblPrEx>
          <w:tblCellMar>
            <w:top w:w="0" w:type="dxa"/>
            <w:left w:w="108" w:type="dxa"/>
            <w:bottom w:w="0" w:type="dxa"/>
            <w:right w:w="108" w:type="dxa"/>
          </w:tblCellMar>
        </w:tblPrEx>
        <w:trPr>
          <w:trHeight w:val="578" w:hRule="atLeast"/>
        </w:trPr>
        <w:tc>
          <w:tcPr>
            <w:tcW w:w="23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整体效益（</w:t>
            </w:r>
            <w:r>
              <w:rPr>
                <w:rFonts w:eastAsia="仿宋_GB2312"/>
                <w:kern w:val="0"/>
                <w:sz w:val="20"/>
                <w:szCs w:val="20"/>
              </w:rPr>
              <w:t>20</w:t>
            </w:r>
            <w:r>
              <w:rPr>
                <w:rFonts w:hint="eastAsia" w:ascii="仿宋_GB2312" w:hAnsi="宋体" w:eastAsia="仿宋_GB2312" w:cs="宋体"/>
                <w:kern w:val="0"/>
                <w:sz w:val="20"/>
                <w:szCs w:val="20"/>
              </w:rPr>
              <w:t>分）</w:t>
            </w:r>
          </w:p>
        </w:tc>
        <w:tc>
          <w:tcPr>
            <w:tcW w:w="31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部门整体成效（</w:t>
            </w:r>
            <w:r>
              <w:rPr>
                <w:rFonts w:eastAsia="仿宋_GB2312"/>
                <w:kern w:val="0"/>
                <w:sz w:val="20"/>
                <w:szCs w:val="20"/>
              </w:rPr>
              <w:t>20</w:t>
            </w:r>
            <w:r>
              <w:rPr>
                <w:rFonts w:hint="eastAsia" w:ascii="仿宋_GB2312" w:hAnsi="宋体" w:eastAsia="仿宋_GB2312" w:cs="宋体"/>
                <w:kern w:val="0"/>
                <w:sz w:val="20"/>
                <w:szCs w:val="20"/>
              </w:rPr>
              <w:t>分）</w:t>
            </w:r>
          </w:p>
        </w:tc>
        <w:tc>
          <w:tcPr>
            <w:tcW w:w="42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根据部门单位特点针对性设置</w:t>
            </w:r>
          </w:p>
        </w:tc>
        <w:tc>
          <w:tcPr>
            <w:tcW w:w="144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主要考核该部门履职尽责、工作先进性、促进发展、服务对象及社会公众满意度。</w:t>
            </w:r>
          </w:p>
        </w:tc>
        <w:tc>
          <w:tcPr>
            <w:tcW w:w="210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特性指标设置不得低于</w:t>
            </w:r>
            <w:r>
              <w:rPr>
                <w:rFonts w:eastAsia="仿宋_GB2312"/>
                <w:kern w:val="0"/>
                <w:sz w:val="20"/>
                <w:szCs w:val="20"/>
              </w:rPr>
              <w:t>3</w:t>
            </w:r>
            <w:r>
              <w:rPr>
                <w:rFonts w:hint="eastAsia" w:ascii="仿宋_GB2312" w:hAnsi="宋体" w:eastAsia="仿宋_GB2312" w:cs="宋体"/>
                <w:kern w:val="0"/>
                <w:sz w:val="20"/>
                <w:szCs w:val="20"/>
              </w:rPr>
              <w:t>个。若该部门出现重大安全责任事故、财经违法乱纪现象、群体事件、重大不良社会影响等状况时，此项考核不得分。</w:t>
            </w:r>
          </w:p>
        </w:tc>
        <w:tc>
          <w:tcPr>
            <w:tcW w:w="46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　</w:t>
            </w:r>
          </w:p>
        </w:tc>
      </w:tr>
      <w:tr>
        <w:tblPrEx>
          <w:tblCellMar>
            <w:top w:w="0" w:type="dxa"/>
            <w:left w:w="108" w:type="dxa"/>
            <w:bottom w:w="0" w:type="dxa"/>
            <w:right w:w="108" w:type="dxa"/>
          </w:tblCellMar>
        </w:tblPrEx>
        <w:trPr>
          <w:trHeight w:val="578" w:hRule="atLeast"/>
        </w:trPr>
        <w:tc>
          <w:tcPr>
            <w:tcW w:w="236"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2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44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2106"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67"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312" w:hRule="atLeast"/>
        </w:trPr>
        <w:tc>
          <w:tcPr>
            <w:tcW w:w="236"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31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2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44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2106" w:type="pct"/>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67"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312" w:hRule="atLeast"/>
        </w:trPr>
        <w:tc>
          <w:tcPr>
            <w:tcW w:w="236" w:type="pct"/>
            <w:tcBorders>
              <w:top w:val="nil"/>
              <w:left w:val="nil"/>
              <w:bottom w:val="nil"/>
              <w:right w:val="nil"/>
            </w:tcBorders>
            <w:shd w:val="clear" w:color="auto" w:fill="auto"/>
            <w:vAlign w:val="center"/>
          </w:tcPr>
          <w:p>
            <w:pPr>
              <w:widowControl/>
              <w:jc w:val="center"/>
              <w:rPr>
                <w:kern w:val="0"/>
                <w:sz w:val="20"/>
                <w:szCs w:val="20"/>
              </w:rPr>
            </w:pPr>
          </w:p>
        </w:tc>
        <w:tc>
          <w:tcPr>
            <w:tcW w:w="317" w:type="pct"/>
            <w:tcBorders>
              <w:top w:val="nil"/>
              <w:left w:val="nil"/>
              <w:bottom w:val="nil"/>
              <w:right w:val="nil"/>
            </w:tcBorders>
            <w:shd w:val="clear" w:color="auto" w:fill="auto"/>
            <w:vAlign w:val="center"/>
          </w:tcPr>
          <w:p>
            <w:pPr>
              <w:widowControl/>
              <w:jc w:val="center"/>
              <w:rPr>
                <w:kern w:val="0"/>
                <w:sz w:val="20"/>
                <w:szCs w:val="20"/>
              </w:rPr>
            </w:pPr>
          </w:p>
        </w:tc>
        <w:tc>
          <w:tcPr>
            <w:tcW w:w="427" w:type="pct"/>
            <w:tcBorders>
              <w:top w:val="nil"/>
              <w:left w:val="nil"/>
              <w:bottom w:val="nil"/>
              <w:right w:val="nil"/>
            </w:tcBorders>
            <w:shd w:val="clear" w:color="auto" w:fill="auto"/>
            <w:vAlign w:val="center"/>
          </w:tcPr>
          <w:p>
            <w:pPr>
              <w:widowControl/>
              <w:jc w:val="center"/>
              <w:rPr>
                <w:kern w:val="0"/>
                <w:sz w:val="20"/>
                <w:szCs w:val="20"/>
              </w:rPr>
            </w:pPr>
          </w:p>
        </w:tc>
        <w:tc>
          <w:tcPr>
            <w:tcW w:w="1447" w:type="pct"/>
            <w:tcBorders>
              <w:top w:val="nil"/>
              <w:left w:val="nil"/>
              <w:bottom w:val="nil"/>
              <w:right w:val="nil"/>
            </w:tcBorders>
            <w:shd w:val="clear" w:color="auto" w:fill="auto"/>
            <w:vAlign w:val="center"/>
          </w:tcPr>
          <w:p>
            <w:pPr>
              <w:widowControl/>
              <w:jc w:val="center"/>
              <w:rPr>
                <w:kern w:val="0"/>
                <w:sz w:val="20"/>
                <w:szCs w:val="20"/>
              </w:rPr>
            </w:pPr>
          </w:p>
        </w:tc>
        <w:tc>
          <w:tcPr>
            <w:tcW w:w="2106" w:type="pct"/>
            <w:tcBorders>
              <w:top w:val="nil"/>
              <w:left w:val="nil"/>
              <w:bottom w:val="nil"/>
              <w:right w:val="nil"/>
            </w:tcBorders>
            <w:shd w:val="clear" w:color="auto" w:fill="auto"/>
            <w:vAlign w:val="center"/>
          </w:tcPr>
          <w:p>
            <w:pPr>
              <w:widowControl/>
              <w:jc w:val="left"/>
              <w:rPr>
                <w:kern w:val="0"/>
                <w:sz w:val="20"/>
                <w:szCs w:val="20"/>
              </w:rPr>
            </w:pPr>
          </w:p>
        </w:tc>
        <w:tc>
          <w:tcPr>
            <w:tcW w:w="467" w:type="pct"/>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78" w:hRule="atLeast"/>
        </w:trPr>
        <w:tc>
          <w:tcPr>
            <w:tcW w:w="4533" w:type="pct"/>
            <w:gridSpan w:val="5"/>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注：若某部门不存在某项评价内容或评价指标，则该评价内容或评价指标不计入该部门考核评价范围，即该部门评价总分＝不含该评价内容或指标的评价总分/（100-该评价内容或指标所占分值）*100。</w:t>
            </w:r>
          </w:p>
        </w:tc>
        <w:tc>
          <w:tcPr>
            <w:tcW w:w="467" w:type="pct"/>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Style w:val="24"/>
          <w:rFonts w:ascii="仿宋" w:hAnsi="仿宋" w:eastAsia="仿宋" w:cs="仿宋_GB2312"/>
          <w:b w:val="0"/>
          <w:bCs w:val="0"/>
          <w:kern w:val="2"/>
          <w:sz w:val="32"/>
          <w:szCs w:val="32"/>
        </w:rPr>
      </w:pPr>
    </w:p>
    <w:p>
      <w:pPr>
        <w:pStyle w:val="3"/>
        <w:rPr>
          <w:rStyle w:val="24"/>
          <w:rFonts w:ascii="仿宋" w:hAnsi="仿宋" w:eastAsia="仿宋"/>
          <w:b w:val="0"/>
          <w:bCs w:val="0"/>
          <w:sz w:val="32"/>
          <w:szCs w:val="32"/>
        </w:rPr>
      </w:pPr>
      <w:r>
        <w:rPr>
          <w:rStyle w:val="24"/>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32"/>
          <w:szCs w:val="32"/>
        </w:rPr>
      </w:pPr>
      <w:r>
        <w:rPr>
          <w:rFonts w:hint="eastAsia" w:ascii="黑体" w:hAnsi="黑体" w:eastAsia="黑体" w:cs="方正小标宋简体"/>
          <w:sz w:val="32"/>
          <w:szCs w:val="32"/>
        </w:rPr>
        <w:t>2018年义教均衡发展设备采购项目支出绩效评价报告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tbl>
      <w:tblPr>
        <w:tblStyle w:val="12"/>
        <w:tblW w:w="5000" w:type="pct"/>
        <w:tblInd w:w="0" w:type="dxa"/>
        <w:tblLayout w:type="autofit"/>
        <w:tblCellMar>
          <w:top w:w="0" w:type="dxa"/>
          <w:left w:w="108" w:type="dxa"/>
          <w:bottom w:w="0" w:type="dxa"/>
          <w:right w:w="108" w:type="dxa"/>
        </w:tblCellMar>
      </w:tblPr>
      <w:tblGrid>
        <w:gridCol w:w="528"/>
        <w:gridCol w:w="616"/>
        <w:gridCol w:w="816"/>
        <w:gridCol w:w="1592"/>
        <w:gridCol w:w="3276"/>
        <w:gridCol w:w="1117"/>
        <w:gridCol w:w="577"/>
      </w:tblGrid>
      <w:tr>
        <w:tblPrEx>
          <w:tblCellMar>
            <w:top w:w="0" w:type="dxa"/>
            <w:left w:w="108" w:type="dxa"/>
            <w:bottom w:w="0" w:type="dxa"/>
            <w:right w:w="108" w:type="dxa"/>
          </w:tblCellMar>
        </w:tblPrEx>
        <w:trPr>
          <w:trHeight w:val="1069" w:hRule="atLeast"/>
        </w:trPr>
        <w:tc>
          <w:tcPr>
            <w:tcW w:w="4621" w:type="pct"/>
            <w:gridSpan w:val="6"/>
            <w:tcBorders>
              <w:top w:val="nil"/>
              <w:left w:val="nil"/>
              <w:bottom w:val="single" w:color="auto" w:sz="4" w:space="0"/>
              <w:right w:val="nil"/>
            </w:tcBorders>
            <w:shd w:val="clear" w:color="000000" w:fill="FFFFFF"/>
            <w:noWrap/>
            <w:vAlign w:val="center"/>
          </w:tcPr>
          <w:p>
            <w:pPr>
              <w:widowControl/>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 xml:space="preserve"> </w:t>
            </w:r>
          </w:p>
          <w:p>
            <w:pPr>
              <w:widowControl/>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达川区景市镇大垭中心小学</w:t>
            </w:r>
          </w:p>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项目支出绩效评价得分表</w:t>
            </w:r>
          </w:p>
        </w:tc>
        <w:tc>
          <w:tcPr>
            <w:tcW w:w="379" w:type="pct"/>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55" w:hRule="atLeast"/>
        </w:trPr>
        <w:tc>
          <w:tcPr>
            <w:tcW w:w="307"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一级指标</w:t>
            </w:r>
          </w:p>
        </w:tc>
        <w:tc>
          <w:tcPr>
            <w:tcW w:w="313" w:type="pct"/>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二级指标</w:t>
            </w:r>
          </w:p>
        </w:tc>
        <w:tc>
          <w:tcPr>
            <w:tcW w:w="379" w:type="pct"/>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1015" w:type="pct"/>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指标解释</w:t>
            </w:r>
          </w:p>
        </w:tc>
        <w:tc>
          <w:tcPr>
            <w:tcW w:w="2003" w:type="pct"/>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考核要点</w:t>
            </w:r>
          </w:p>
        </w:tc>
        <w:tc>
          <w:tcPr>
            <w:tcW w:w="604" w:type="pct"/>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计分标准</w:t>
            </w:r>
          </w:p>
        </w:tc>
        <w:tc>
          <w:tcPr>
            <w:tcW w:w="37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自评得分</w:t>
            </w:r>
          </w:p>
        </w:tc>
      </w:tr>
      <w:tr>
        <w:tblPrEx>
          <w:tblCellMar>
            <w:top w:w="0" w:type="dxa"/>
            <w:left w:w="108" w:type="dxa"/>
            <w:bottom w:w="0" w:type="dxa"/>
            <w:right w:w="108" w:type="dxa"/>
          </w:tblCellMar>
        </w:tblPrEx>
        <w:trPr>
          <w:trHeight w:val="1110" w:hRule="atLeast"/>
        </w:trPr>
        <w:tc>
          <w:tcPr>
            <w:tcW w:w="307" w:type="pct"/>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   入（20分）</w:t>
            </w:r>
          </w:p>
        </w:tc>
        <w:tc>
          <w:tcPr>
            <w:tcW w:w="31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立项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379"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项目立项规范性（3分）</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项目的申请、设立过程是否符合相关要求，用以反映和考核项目立项的规范情况。</w:t>
            </w:r>
          </w:p>
        </w:tc>
        <w:tc>
          <w:tcPr>
            <w:tcW w:w="2003"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①项目是否按照规定的程序申请设立；</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②所提交的文件、材料是否符合相关要求；</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③事前是否已经过必要的可行性研究、专家论证、风险评估、集体决策等。</w:t>
            </w:r>
          </w:p>
        </w:tc>
        <w:tc>
          <w:tcPr>
            <w:tcW w:w="604"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　</w:t>
            </w:r>
          </w:p>
        </w:tc>
      </w:tr>
      <w:tr>
        <w:tblPrEx>
          <w:tblCellMar>
            <w:top w:w="0" w:type="dxa"/>
            <w:left w:w="108" w:type="dxa"/>
            <w:bottom w:w="0" w:type="dxa"/>
            <w:right w:w="108" w:type="dxa"/>
          </w:tblCellMar>
        </w:tblPrEx>
        <w:trPr>
          <w:trHeight w:val="1350" w:hRule="atLeast"/>
        </w:trPr>
        <w:tc>
          <w:tcPr>
            <w:tcW w:w="307"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13"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79"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目标设置合理性（4分）</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项目所设定的预期目标是否依据充分，是否符合客观实际，用以反映和考核项目目标与实施项目的相符情况。</w:t>
            </w:r>
          </w:p>
        </w:tc>
        <w:tc>
          <w:tcPr>
            <w:tcW w:w="2003"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①是否符合国家相关法律法规、国民经济发展规划和党委政府决策；</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②是否与项目实施单位或委托单位职责密切相关；</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③项目是否为促进事业发展所必需；</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④项目预期产出效益和效果是否符合正常的业绩水平。</w:t>
            </w:r>
          </w:p>
        </w:tc>
        <w:tc>
          <w:tcPr>
            <w:tcW w:w="604"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4</w:t>
            </w:r>
          </w:p>
        </w:tc>
      </w:tr>
      <w:tr>
        <w:tblPrEx>
          <w:tblCellMar>
            <w:top w:w="0" w:type="dxa"/>
            <w:left w:w="108" w:type="dxa"/>
            <w:bottom w:w="0" w:type="dxa"/>
            <w:right w:w="108" w:type="dxa"/>
          </w:tblCellMar>
        </w:tblPrEx>
        <w:trPr>
          <w:trHeight w:val="1260" w:hRule="atLeast"/>
        </w:trPr>
        <w:tc>
          <w:tcPr>
            <w:tcW w:w="307"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13"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79"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绩效指标明确性（3分）</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依据绩效目标设定的绩效指标是否清晰、细化、可衡量等，用以反映和考核项目绩效目标的明细化情况。</w:t>
            </w:r>
          </w:p>
        </w:tc>
        <w:tc>
          <w:tcPr>
            <w:tcW w:w="2003"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①是否将项目绩效目标细化分解为具体的绩效指标；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②是否通过清晰、可衡量的指标值予以体现；</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③是否与项目年度任务数或计划数相对应；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④是否与预算确定的项目投资额或资金量相匹配。</w:t>
            </w:r>
          </w:p>
        </w:tc>
        <w:tc>
          <w:tcPr>
            <w:tcW w:w="604"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3</w:t>
            </w:r>
          </w:p>
        </w:tc>
      </w:tr>
      <w:tr>
        <w:tblPrEx>
          <w:tblCellMar>
            <w:top w:w="0" w:type="dxa"/>
            <w:left w:w="108" w:type="dxa"/>
            <w:bottom w:w="0" w:type="dxa"/>
            <w:right w:w="108" w:type="dxa"/>
          </w:tblCellMar>
        </w:tblPrEx>
        <w:trPr>
          <w:trHeight w:val="1005" w:hRule="atLeast"/>
        </w:trPr>
        <w:tc>
          <w:tcPr>
            <w:tcW w:w="307"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1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落实</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379" w:type="pct"/>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资金保障率（5分）</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项目来源明确资金与计划投入资金的比率，用以反映和考核资金来源情况对项目实施的总体保障程度。</w:t>
            </w:r>
          </w:p>
        </w:tc>
        <w:tc>
          <w:tcPr>
            <w:tcW w:w="2003"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资金保障率=（已确定资金/计划投入资金）×100%。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已明确资金：指项目实施前已有明确资金来源的，包括提前下达的资金。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计划投入资金：一定时期（本年度或项目期）内计划投入到该项目的资金。</w:t>
            </w:r>
          </w:p>
        </w:tc>
        <w:tc>
          <w:tcPr>
            <w:tcW w:w="604"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大于80%，得满分；50%-80%，得3分；低于50%，不得分。</w:t>
            </w: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4</w:t>
            </w:r>
          </w:p>
        </w:tc>
      </w:tr>
      <w:tr>
        <w:tblPrEx>
          <w:tblCellMar>
            <w:top w:w="0" w:type="dxa"/>
            <w:left w:w="108" w:type="dxa"/>
            <w:bottom w:w="0" w:type="dxa"/>
            <w:right w:w="108" w:type="dxa"/>
          </w:tblCellMar>
        </w:tblPrEx>
        <w:trPr>
          <w:trHeight w:val="915" w:hRule="atLeast"/>
        </w:trPr>
        <w:tc>
          <w:tcPr>
            <w:tcW w:w="307"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13"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79" w:type="pct"/>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资金到位率（5分）</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在规定时点内，实际到位资金与计划投入的资金的比率，用以反映和考核资金落实情况对项目实施的总体保障程度。</w:t>
            </w:r>
          </w:p>
        </w:tc>
        <w:tc>
          <w:tcPr>
            <w:tcW w:w="2003"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资金到位率=（实际到位资金/计划投入资金）×100%。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实际到位资金：一定时期（本年度或项目期）内实际落实到具体项目的资金。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计划投入资金：一定时期（本年度或项目期）内计划投入到具体项目的资金。</w:t>
            </w:r>
          </w:p>
        </w:tc>
        <w:tc>
          <w:tcPr>
            <w:tcW w:w="604"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快于工程进度的，得满分；低于工程进度在30%以内的，得3分；低于工程进度30%以上的，不得分。</w:t>
            </w: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4</w:t>
            </w:r>
          </w:p>
        </w:tc>
      </w:tr>
      <w:tr>
        <w:tblPrEx>
          <w:tblCellMar>
            <w:top w:w="0" w:type="dxa"/>
            <w:left w:w="108" w:type="dxa"/>
            <w:bottom w:w="0" w:type="dxa"/>
            <w:right w:w="108" w:type="dxa"/>
          </w:tblCellMar>
        </w:tblPrEx>
        <w:trPr>
          <w:trHeight w:val="840" w:hRule="atLeast"/>
        </w:trPr>
        <w:tc>
          <w:tcPr>
            <w:tcW w:w="307" w:type="pct"/>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管  理（30分）</w:t>
            </w:r>
          </w:p>
        </w:tc>
        <w:tc>
          <w:tcPr>
            <w:tcW w:w="313"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业务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管理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379"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管理制度健全性（4分）</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项目实施单位的项目管理制度是否健全，用以反映和考核项目管理制度对项目顺利实施的保障情况。</w:t>
            </w:r>
          </w:p>
        </w:tc>
        <w:tc>
          <w:tcPr>
            <w:tcW w:w="2003"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①是否已制定或具有相应的项目管理制度；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②项目管理制度是否合法、合规、完整。</w:t>
            </w:r>
          </w:p>
        </w:tc>
        <w:tc>
          <w:tcPr>
            <w:tcW w:w="604"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4</w:t>
            </w:r>
          </w:p>
        </w:tc>
      </w:tr>
      <w:tr>
        <w:tblPrEx>
          <w:tblCellMar>
            <w:top w:w="0" w:type="dxa"/>
            <w:left w:w="108" w:type="dxa"/>
            <w:bottom w:w="0" w:type="dxa"/>
            <w:right w:w="108" w:type="dxa"/>
          </w:tblCellMar>
        </w:tblPrEx>
        <w:trPr>
          <w:trHeight w:val="1429" w:hRule="atLeast"/>
        </w:trPr>
        <w:tc>
          <w:tcPr>
            <w:tcW w:w="307"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13" w:type="pct"/>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379"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制度执行有效性（6分）</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项目实施是否符合相关项目管理规定，用以反映和考核项目管理制度的有效执行情况。</w:t>
            </w:r>
          </w:p>
        </w:tc>
        <w:tc>
          <w:tcPr>
            <w:tcW w:w="2003"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①是否遵守相关法律法规和业务管理规定；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②项目调整及支出调整手续是否完备；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③项目合同书、验收报告、技术鉴定等资料是否齐全并及时归档；</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④项目实施的人员条件、场地设备、信息支撑等是否落实到位。</w:t>
            </w:r>
          </w:p>
        </w:tc>
        <w:tc>
          <w:tcPr>
            <w:tcW w:w="604"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出现1处不按规定执行的，扣1分，直至扣完为止。</w:t>
            </w: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6</w:t>
            </w:r>
          </w:p>
        </w:tc>
      </w:tr>
      <w:tr>
        <w:tblPrEx>
          <w:tblCellMar>
            <w:top w:w="0" w:type="dxa"/>
            <w:left w:w="108" w:type="dxa"/>
            <w:bottom w:w="0" w:type="dxa"/>
            <w:right w:w="108" w:type="dxa"/>
          </w:tblCellMar>
        </w:tblPrEx>
        <w:trPr>
          <w:trHeight w:val="1418" w:hRule="atLeast"/>
        </w:trPr>
        <w:tc>
          <w:tcPr>
            <w:tcW w:w="307" w:type="pct"/>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管  理（30分）</w:t>
            </w:r>
          </w:p>
        </w:tc>
        <w:tc>
          <w:tcPr>
            <w:tcW w:w="313" w:type="pct"/>
            <w:tcBorders>
              <w:top w:val="nil"/>
              <w:left w:val="nil"/>
              <w:bottom w:val="nil"/>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业务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管理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379"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项目质量可控性（5分）</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项目实施单位是否为达到项目质量要求而采取了必需的措施,用以反映和考核项目实施单位对项目质量的控制情况。</w:t>
            </w:r>
          </w:p>
        </w:tc>
        <w:tc>
          <w:tcPr>
            <w:tcW w:w="2003"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①是否已制定或具有相应的项目质量要求或标准；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②项目实施主体是否具体相应执行能力。</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③是否采取了相应的项目质量检查、验收等必需的控制措施或手段。</w:t>
            </w:r>
          </w:p>
        </w:tc>
        <w:tc>
          <w:tcPr>
            <w:tcW w:w="604"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5</w:t>
            </w:r>
          </w:p>
        </w:tc>
      </w:tr>
      <w:tr>
        <w:tblPrEx>
          <w:tblCellMar>
            <w:top w:w="0" w:type="dxa"/>
            <w:left w:w="108" w:type="dxa"/>
            <w:bottom w:w="0" w:type="dxa"/>
            <w:right w:w="108" w:type="dxa"/>
          </w:tblCellMar>
        </w:tblPrEx>
        <w:trPr>
          <w:trHeight w:val="743" w:hRule="atLeast"/>
        </w:trPr>
        <w:tc>
          <w:tcPr>
            <w:tcW w:w="307"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1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财务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控制</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379"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财务制度健全性（3分）</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项目实施单位的财务制度是否健全，用以反映和考核财务管理制度对资金规范、安全运行的保障情况。</w:t>
            </w:r>
          </w:p>
        </w:tc>
        <w:tc>
          <w:tcPr>
            <w:tcW w:w="2003"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①是否已制定或具有相应的项目资金管理办法；</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②项目资金管理办法是否符合相关财务会计制度的规定。</w:t>
            </w:r>
          </w:p>
        </w:tc>
        <w:tc>
          <w:tcPr>
            <w:tcW w:w="604"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3</w:t>
            </w:r>
          </w:p>
        </w:tc>
      </w:tr>
      <w:tr>
        <w:tblPrEx>
          <w:tblCellMar>
            <w:top w:w="0" w:type="dxa"/>
            <w:left w:w="108" w:type="dxa"/>
            <w:bottom w:w="0" w:type="dxa"/>
            <w:right w:w="108" w:type="dxa"/>
          </w:tblCellMar>
        </w:tblPrEx>
        <w:trPr>
          <w:trHeight w:val="1932" w:hRule="atLeast"/>
        </w:trPr>
        <w:tc>
          <w:tcPr>
            <w:tcW w:w="307"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1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79"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资金使用合规性（10）</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项目资金使用是否符合相关的财务管理制度规定，用以反映和考核项目资金的规范运行情况。</w:t>
            </w:r>
          </w:p>
        </w:tc>
        <w:tc>
          <w:tcPr>
            <w:tcW w:w="2003"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①是否符合国家财经法规和财务管理制度以及有关专项资金管理办法的规定；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②资金的拨付是否有完整的审批程序和手续；</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③项目的重大开支是否经过评估认证；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④是否符合项目预算批复或合同规定的用途；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⑤是否存在截留、挤占、挪用、虚列支出等情况。</w:t>
            </w:r>
          </w:p>
        </w:tc>
        <w:tc>
          <w:tcPr>
            <w:tcW w:w="604"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出现1处资金使用管理违规现象，扣1分，直至扣完为止。</w:t>
            </w: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9</w:t>
            </w:r>
          </w:p>
        </w:tc>
      </w:tr>
      <w:tr>
        <w:tblPrEx>
          <w:tblCellMar>
            <w:top w:w="0" w:type="dxa"/>
            <w:left w:w="108" w:type="dxa"/>
            <w:bottom w:w="0" w:type="dxa"/>
            <w:right w:w="108" w:type="dxa"/>
          </w:tblCellMar>
        </w:tblPrEx>
        <w:trPr>
          <w:trHeight w:val="1095" w:hRule="atLeast"/>
        </w:trPr>
        <w:tc>
          <w:tcPr>
            <w:tcW w:w="307"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1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79"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财务监控有效性（2分）</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项目实施单位是否为保障资金的安全、规范运行而采取了必要的监控措施，用以反映和考核项目实施单位对资金运行的控制情况。</w:t>
            </w:r>
          </w:p>
        </w:tc>
        <w:tc>
          <w:tcPr>
            <w:tcW w:w="2003"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①是否已制定或具有相应的监控机制；</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②是否采取了相应的财务检查等必要的监控措施或手段。</w:t>
            </w:r>
          </w:p>
        </w:tc>
        <w:tc>
          <w:tcPr>
            <w:tcW w:w="604"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出现制度缺失或财务违规现象，不得分。</w:t>
            </w: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2</w:t>
            </w:r>
          </w:p>
        </w:tc>
      </w:tr>
      <w:tr>
        <w:tblPrEx>
          <w:tblCellMar>
            <w:top w:w="0" w:type="dxa"/>
            <w:left w:w="108" w:type="dxa"/>
            <w:bottom w:w="0" w:type="dxa"/>
            <w:right w:w="108" w:type="dxa"/>
          </w:tblCellMar>
        </w:tblPrEx>
        <w:trPr>
          <w:trHeight w:val="1249" w:hRule="atLeast"/>
        </w:trPr>
        <w:tc>
          <w:tcPr>
            <w:tcW w:w="307" w:type="pct"/>
            <w:vMerge w:val="restart"/>
            <w:tcBorders>
              <w:top w:val="nil"/>
              <w:left w:val="single" w:color="auto" w:sz="4" w:space="0"/>
              <w:bottom w:val="single" w:color="000000"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产   出（20分）</w:t>
            </w:r>
          </w:p>
        </w:tc>
        <w:tc>
          <w:tcPr>
            <w:tcW w:w="313"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成果</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379"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目标差异率（5分）</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项目实施的实际产出数与计划产出数的比率，用以反映和考核项目产出数量目标的实现程度。</w:t>
            </w:r>
          </w:p>
        </w:tc>
        <w:tc>
          <w:tcPr>
            <w:tcW w:w="2003"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目标差异率=（实际产出数-计划产出数）/计划产出数×100%。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实际产出数：一定时期（本年度或项目期）内项目实际产出的产品或提供的服务数量。</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计划产出数：项目绩效目标确定的在一定时期（本年度或项目期）内计划产出的产品或提供的服务数量。</w:t>
            </w:r>
          </w:p>
        </w:tc>
        <w:tc>
          <w:tcPr>
            <w:tcW w:w="604"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若：-10%&lt;差异率&lt;15%，得满分;15%&lt;差异率&lt;30%，得3分;差异率&lt;-10%,差异率&gt;30%,不得分。</w:t>
            </w: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4</w:t>
            </w:r>
          </w:p>
        </w:tc>
      </w:tr>
      <w:tr>
        <w:tblPrEx>
          <w:tblCellMar>
            <w:top w:w="0" w:type="dxa"/>
            <w:left w:w="108" w:type="dxa"/>
            <w:bottom w:w="0" w:type="dxa"/>
            <w:right w:w="108" w:type="dxa"/>
          </w:tblCellMar>
        </w:tblPrEx>
        <w:trPr>
          <w:trHeight w:val="1189" w:hRule="atLeast"/>
        </w:trPr>
        <w:tc>
          <w:tcPr>
            <w:tcW w:w="307" w:type="pct"/>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313" w:type="pct"/>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379"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项目进度率（5分）</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项目实际完成时间与计划完成时间的比率，用以反映和考核项目产出时效目标的实现程度。</w:t>
            </w:r>
          </w:p>
        </w:tc>
        <w:tc>
          <w:tcPr>
            <w:tcW w:w="2003"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项目进度率=实际完成时间/计划完成时间×100%。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实际完成时间：项目实施单位完成该项目实际所耗用的时间。</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计划完成时间：按照项目实施计划或相关规定完成该项目所需的时间。</w:t>
            </w:r>
          </w:p>
        </w:tc>
        <w:tc>
          <w:tcPr>
            <w:tcW w:w="604"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不超过100%，得满分；不超过120%,得3分；超过120%，不得分。</w:t>
            </w: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5</w:t>
            </w:r>
          </w:p>
        </w:tc>
      </w:tr>
      <w:tr>
        <w:tblPrEx>
          <w:tblCellMar>
            <w:top w:w="0" w:type="dxa"/>
            <w:left w:w="108" w:type="dxa"/>
            <w:bottom w:w="0" w:type="dxa"/>
            <w:right w:w="108" w:type="dxa"/>
          </w:tblCellMar>
        </w:tblPrEx>
        <w:trPr>
          <w:trHeight w:val="1298" w:hRule="atLeast"/>
        </w:trPr>
        <w:tc>
          <w:tcPr>
            <w:tcW w:w="307" w:type="pct"/>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313" w:type="pct"/>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379"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质量达标率（5分）</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项目完成的质量达标产出数与实际产出数的比率，用以反映和考核项目产出质量目标的实现程度。</w:t>
            </w:r>
          </w:p>
        </w:tc>
        <w:tc>
          <w:tcPr>
            <w:tcW w:w="2003"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质量达标率=（质量达标产出数/实际产出数）×100%。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质量达标产出数：一定时期（本年度或项目期）内实际达到既定质量标准的产品或服务数量。</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既定质量标准是指项目实施单位设立绩效目标时依据计划标准、行业标准、历史标准或其他标准而设定的绩效指标值。</w:t>
            </w:r>
          </w:p>
        </w:tc>
        <w:tc>
          <w:tcPr>
            <w:tcW w:w="604"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超过90%，得满分，超过70%，得3分；低于70%，不得分。</w:t>
            </w: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　</w:t>
            </w:r>
          </w:p>
        </w:tc>
      </w:tr>
      <w:tr>
        <w:tblPrEx>
          <w:tblCellMar>
            <w:top w:w="0" w:type="dxa"/>
            <w:left w:w="108" w:type="dxa"/>
            <w:bottom w:w="0" w:type="dxa"/>
            <w:right w:w="108" w:type="dxa"/>
          </w:tblCellMar>
        </w:tblPrEx>
        <w:trPr>
          <w:trHeight w:val="2070" w:hRule="atLeast"/>
        </w:trPr>
        <w:tc>
          <w:tcPr>
            <w:tcW w:w="307" w:type="pct"/>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产 出（20分）</w:t>
            </w:r>
          </w:p>
        </w:tc>
        <w:tc>
          <w:tcPr>
            <w:tcW w:w="313" w:type="pct"/>
            <w:tcBorders>
              <w:top w:val="nil"/>
              <w:left w:val="nil"/>
              <w:bottom w:val="nil"/>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成果</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379"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成本节约率（5分）</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完成项目计划工作目标的实际节约成本与计划成本的比率，用以反映和考核项目的成本节约程度。</w:t>
            </w:r>
          </w:p>
        </w:tc>
        <w:tc>
          <w:tcPr>
            <w:tcW w:w="2003"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成本节约率=[（实际成本-计划成本）/计划成本]×100%。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实际成本：项目实施单位如期、保质、保量完成既定工作目标实际所耗费的支出。</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计划成本：项目实施单位为完成工作目标计划安排的支出，一般以项目预算为参考。</w:t>
            </w:r>
          </w:p>
        </w:tc>
        <w:tc>
          <w:tcPr>
            <w:tcW w:w="604"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低于0，得满分；不超过10%，得3分；超过10%，不得分。</w:t>
            </w: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5</w:t>
            </w:r>
          </w:p>
        </w:tc>
      </w:tr>
      <w:tr>
        <w:tblPrEx>
          <w:tblCellMar>
            <w:top w:w="0" w:type="dxa"/>
            <w:left w:w="108" w:type="dxa"/>
            <w:bottom w:w="0" w:type="dxa"/>
            <w:right w:w="108" w:type="dxa"/>
          </w:tblCellMar>
        </w:tblPrEx>
        <w:trPr>
          <w:trHeight w:val="570" w:hRule="atLeast"/>
        </w:trPr>
        <w:tc>
          <w:tcPr>
            <w:tcW w:w="307" w:type="pct"/>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效   果（30分）</w:t>
            </w:r>
          </w:p>
        </w:tc>
        <w:tc>
          <w:tcPr>
            <w:tcW w:w="31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效益</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（30分）</w:t>
            </w:r>
          </w:p>
        </w:tc>
        <w:tc>
          <w:tcPr>
            <w:tcW w:w="379"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经济效益</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项目实施对经济发展所带来的直接或间接影响情况。</w:t>
            </w:r>
          </w:p>
        </w:tc>
        <w:tc>
          <w:tcPr>
            <w:tcW w:w="200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此类指标为设置项目支出绩效评价指标时考虑的特性要素，可根据项目实际并结合绩效目标设立情况有选择的进行设置，并将其细化为相应的个性化指标，但特性指标设置不得低于3个。</w:t>
            </w:r>
          </w:p>
        </w:tc>
        <w:tc>
          <w:tcPr>
            <w:tcW w:w="604"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根据具体指标特性设置得分标准。</w:t>
            </w: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8　</w:t>
            </w:r>
          </w:p>
        </w:tc>
      </w:tr>
      <w:tr>
        <w:tblPrEx>
          <w:tblCellMar>
            <w:top w:w="0" w:type="dxa"/>
            <w:left w:w="108" w:type="dxa"/>
            <w:bottom w:w="0" w:type="dxa"/>
            <w:right w:w="108" w:type="dxa"/>
          </w:tblCellMar>
        </w:tblPrEx>
        <w:trPr>
          <w:trHeight w:val="690" w:hRule="atLeast"/>
        </w:trPr>
        <w:tc>
          <w:tcPr>
            <w:tcW w:w="307"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1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79"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社会效益</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项目实施对社会发展所带来的直接或间接影响情况。</w:t>
            </w:r>
          </w:p>
        </w:tc>
        <w:tc>
          <w:tcPr>
            <w:tcW w:w="2003"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7</w:t>
            </w:r>
          </w:p>
        </w:tc>
      </w:tr>
      <w:tr>
        <w:tblPrEx>
          <w:tblCellMar>
            <w:top w:w="0" w:type="dxa"/>
            <w:left w:w="108" w:type="dxa"/>
            <w:bottom w:w="0" w:type="dxa"/>
            <w:right w:w="108" w:type="dxa"/>
          </w:tblCellMar>
        </w:tblPrEx>
        <w:trPr>
          <w:trHeight w:val="630" w:hRule="atLeast"/>
        </w:trPr>
        <w:tc>
          <w:tcPr>
            <w:tcW w:w="307"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1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79"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生态效益</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项目实施对生态环境所带来的直接或间接影响情况。</w:t>
            </w:r>
          </w:p>
        </w:tc>
        <w:tc>
          <w:tcPr>
            <w:tcW w:w="2003"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5　</w:t>
            </w:r>
          </w:p>
        </w:tc>
      </w:tr>
      <w:tr>
        <w:tblPrEx>
          <w:tblCellMar>
            <w:top w:w="0" w:type="dxa"/>
            <w:left w:w="108" w:type="dxa"/>
            <w:bottom w:w="0" w:type="dxa"/>
            <w:right w:w="108" w:type="dxa"/>
          </w:tblCellMar>
        </w:tblPrEx>
        <w:trPr>
          <w:trHeight w:val="630" w:hRule="atLeast"/>
        </w:trPr>
        <w:tc>
          <w:tcPr>
            <w:tcW w:w="307"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1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79"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可持续影响</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项目后续运行及成效发挥的可持续影响情况。</w:t>
            </w:r>
          </w:p>
        </w:tc>
        <w:tc>
          <w:tcPr>
            <w:tcW w:w="2003"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604"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3</w:t>
            </w:r>
          </w:p>
        </w:tc>
      </w:tr>
      <w:tr>
        <w:tblPrEx>
          <w:tblCellMar>
            <w:top w:w="0" w:type="dxa"/>
            <w:left w:w="108" w:type="dxa"/>
            <w:bottom w:w="0" w:type="dxa"/>
            <w:right w:w="108" w:type="dxa"/>
          </w:tblCellMar>
        </w:tblPrEx>
        <w:trPr>
          <w:trHeight w:val="780" w:hRule="atLeast"/>
        </w:trPr>
        <w:tc>
          <w:tcPr>
            <w:tcW w:w="307" w:type="pct"/>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1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379"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社会公众或服务对象满意度（5分）</w:t>
            </w:r>
          </w:p>
        </w:tc>
        <w:tc>
          <w:tcPr>
            <w:tcW w:w="1015"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社会公众或服务对象对项目实施效果的满意程度。</w:t>
            </w:r>
          </w:p>
        </w:tc>
        <w:tc>
          <w:tcPr>
            <w:tcW w:w="2003"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社会公众或服务对象是指因该项目实施而受到影响的部门（单位）、群体或个人；一般采取社会调查的方式；调查份数不低于10份。</w:t>
            </w:r>
          </w:p>
        </w:tc>
        <w:tc>
          <w:tcPr>
            <w:tcW w:w="604" w:type="pct"/>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满意度&gt;90%，才得分，低于不得分。</w:t>
            </w:r>
          </w:p>
        </w:tc>
        <w:tc>
          <w:tcPr>
            <w:tcW w:w="37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5</w:t>
            </w:r>
          </w:p>
        </w:tc>
      </w:tr>
    </w:tbl>
    <w:p>
      <w:pPr>
        <w:spacing w:line="580" w:lineRule="exact"/>
        <w:ind w:firstLine="640" w:firstLineChars="200"/>
        <w:rPr>
          <w:rFonts w:hint="eastAsia" w:ascii="黑体" w:hAnsi="黑体" w:eastAsia="黑体"/>
          <w:color w:val="000000"/>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p>
    <w:p>
      <w:pPr>
        <w:pStyle w:val="23"/>
        <w:numPr>
          <w:ilvl w:val="0"/>
          <w:numId w:val="1"/>
        </w:numPr>
        <w:spacing w:line="580" w:lineRule="exact"/>
        <w:ind w:firstLineChars="0"/>
        <w:rPr>
          <w:rFonts w:hint="eastAsia" w:ascii="仿宋" w:hAnsi="仿宋" w:eastAsia="仿宋" w:cs="仿宋_GB2312"/>
          <w:sz w:val="32"/>
          <w:szCs w:val="32"/>
        </w:rPr>
      </w:pPr>
      <w:r>
        <w:rPr>
          <w:rFonts w:ascii="仿宋" w:hAnsi="仿宋" w:eastAsia="仿宋" w:cs="仿宋_GB2312"/>
          <w:sz w:val="32"/>
          <w:szCs w:val="32"/>
        </w:rPr>
        <w:t>存在主要问题</w:t>
      </w:r>
    </w:p>
    <w:p>
      <w:pPr>
        <w:pStyle w:val="23"/>
        <w:spacing w:line="580" w:lineRule="exact"/>
        <w:ind w:left="1360" w:firstLine="0" w:firstLineChars="0"/>
        <w:rPr>
          <w:rFonts w:ascii="仿宋" w:hAnsi="仿宋" w:eastAsia="仿宋" w:cs="仿宋_GB2312"/>
          <w:sz w:val="32"/>
          <w:szCs w:val="32"/>
        </w:rPr>
      </w:pP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bookmarkStart w:id="62" w:name="_Toc15396618"/>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4E517F16"/>
    <w:multiLevelType w:val="singleLevel"/>
    <w:tmpl w:val="4E517F16"/>
    <w:lvl w:ilvl="0" w:tentative="0">
      <w:start w:val="2"/>
      <w:numFmt w:val="chineseCounting"/>
      <w:suff w:val="nothing"/>
      <w:lvlText w:val="（%1）"/>
      <w:lvlJc w:val="left"/>
      <w:rPr>
        <w:rFonts w:hint="eastAsia"/>
      </w:rPr>
    </w:lvl>
  </w:abstractNum>
  <w:abstractNum w:abstractNumId="7">
    <w:nsid w:val="5508D267"/>
    <w:multiLevelType w:val="singleLevel"/>
    <w:tmpl w:val="5508D267"/>
    <w:lvl w:ilvl="0" w:tentative="0">
      <w:start w:val="1"/>
      <w:numFmt w:val="decimal"/>
      <w:lvlText w:val="%1."/>
      <w:lvlJc w:val="left"/>
      <w:pPr>
        <w:tabs>
          <w:tab w:val="left" w:pos="312"/>
        </w:tabs>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2B87"/>
    <w:rsid w:val="000222C6"/>
    <w:rsid w:val="0002549F"/>
    <w:rsid w:val="00026E55"/>
    <w:rsid w:val="00044589"/>
    <w:rsid w:val="0006487A"/>
    <w:rsid w:val="00065F8F"/>
    <w:rsid w:val="000768F2"/>
    <w:rsid w:val="0009184B"/>
    <w:rsid w:val="0009593C"/>
    <w:rsid w:val="000A158C"/>
    <w:rsid w:val="000B047F"/>
    <w:rsid w:val="000B5923"/>
    <w:rsid w:val="000B5A48"/>
    <w:rsid w:val="000B6FF3"/>
    <w:rsid w:val="000C1355"/>
    <w:rsid w:val="000C3467"/>
    <w:rsid w:val="000C3CA6"/>
    <w:rsid w:val="000D1267"/>
    <w:rsid w:val="000D1D50"/>
    <w:rsid w:val="000D5782"/>
    <w:rsid w:val="000E6613"/>
    <w:rsid w:val="000E7119"/>
    <w:rsid w:val="00114E9B"/>
    <w:rsid w:val="0014729F"/>
    <w:rsid w:val="001478D0"/>
    <w:rsid w:val="00157BAB"/>
    <w:rsid w:val="001625C3"/>
    <w:rsid w:val="001654D1"/>
    <w:rsid w:val="0018106D"/>
    <w:rsid w:val="001877A7"/>
    <w:rsid w:val="00191536"/>
    <w:rsid w:val="00195F73"/>
    <w:rsid w:val="00196687"/>
    <w:rsid w:val="001C0366"/>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E369A"/>
    <w:rsid w:val="002E6C6F"/>
    <w:rsid w:val="002F02F9"/>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3F24E6"/>
    <w:rsid w:val="00406254"/>
    <w:rsid w:val="004223DE"/>
    <w:rsid w:val="00434489"/>
    <w:rsid w:val="00437085"/>
    <w:rsid w:val="00443880"/>
    <w:rsid w:val="004464F4"/>
    <w:rsid w:val="00453D54"/>
    <w:rsid w:val="00471401"/>
    <w:rsid w:val="00473F31"/>
    <w:rsid w:val="0048263A"/>
    <w:rsid w:val="00487E5D"/>
    <w:rsid w:val="004A711F"/>
    <w:rsid w:val="004B199D"/>
    <w:rsid w:val="004B4690"/>
    <w:rsid w:val="004E0A2D"/>
    <w:rsid w:val="004E206B"/>
    <w:rsid w:val="004E6DF7"/>
    <w:rsid w:val="004F0FBD"/>
    <w:rsid w:val="00505A47"/>
    <w:rsid w:val="0050715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93051"/>
    <w:rsid w:val="006A3141"/>
    <w:rsid w:val="006A5E34"/>
    <w:rsid w:val="006B2422"/>
    <w:rsid w:val="006B2B9A"/>
    <w:rsid w:val="006C1937"/>
    <w:rsid w:val="006D59DD"/>
    <w:rsid w:val="006F020C"/>
    <w:rsid w:val="007127B7"/>
    <w:rsid w:val="007416B6"/>
    <w:rsid w:val="00746F48"/>
    <w:rsid w:val="0075404D"/>
    <w:rsid w:val="0076182A"/>
    <w:rsid w:val="00767B7E"/>
    <w:rsid w:val="007770C3"/>
    <w:rsid w:val="00777447"/>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67E5A"/>
    <w:rsid w:val="00871F71"/>
    <w:rsid w:val="00885AF4"/>
    <w:rsid w:val="008939CD"/>
    <w:rsid w:val="00894913"/>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2B9A"/>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86E36"/>
    <w:rsid w:val="00B944D6"/>
    <w:rsid w:val="00BB4DF0"/>
    <w:rsid w:val="00BC289F"/>
    <w:rsid w:val="00BC5361"/>
    <w:rsid w:val="00BC5460"/>
    <w:rsid w:val="00BC6B50"/>
    <w:rsid w:val="00BD0E25"/>
    <w:rsid w:val="00BF5BD6"/>
    <w:rsid w:val="00C03E31"/>
    <w:rsid w:val="00C32E78"/>
    <w:rsid w:val="00C33E72"/>
    <w:rsid w:val="00C354B2"/>
    <w:rsid w:val="00C35554"/>
    <w:rsid w:val="00C42709"/>
    <w:rsid w:val="00C533CC"/>
    <w:rsid w:val="00C5751C"/>
    <w:rsid w:val="00C61BFC"/>
    <w:rsid w:val="00C62B85"/>
    <w:rsid w:val="00C6494A"/>
    <w:rsid w:val="00C65438"/>
    <w:rsid w:val="00C91CBB"/>
    <w:rsid w:val="00C9772A"/>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2905"/>
    <w:rsid w:val="00DF34B9"/>
    <w:rsid w:val="00E01053"/>
    <w:rsid w:val="00E07ACF"/>
    <w:rsid w:val="00E331A1"/>
    <w:rsid w:val="00E33202"/>
    <w:rsid w:val="00E336A9"/>
    <w:rsid w:val="00E50624"/>
    <w:rsid w:val="00E51705"/>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864AB"/>
    <w:rsid w:val="00FA23E8"/>
    <w:rsid w:val="00FD3CC1"/>
    <w:rsid w:val="00FF1E02"/>
    <w:rsid w:val="00FF30B4"/>
    <w:rsid w:val="10C055FF"/>
    <w:rsid w:val="16BB723D"/>
    <w:rsid w:val="240371BF"/>
    <w:rsid w:val="29FD04D3"/>
    <w:rsid w:val="319F7F4E"/>
    <w:rsid w:val="67276EC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uiPriority w:val="99"/>
    <w:rPr>
      <w:rFonts w:ascii="Times New Roman" w:hAnsi="Times New Roman"/>
      <w:sz w:val="18"/>
      <w:szCs w:val="18"/>
    </w:rPr>
  </w:style>
  <w:style w:type="character" w:customStyle="1" w:styleId="17">
    <w:name w:val="页眉 Char"/>
    <w:link w:val="9"/>
    <w:semiHidden/>
    <w:locked/>
    <w:uiPriority w:val="99"/>
    <w:rPr>
      <w:sz w:val="18"/>
    </w:rPr>
  </w:style>
  <w:style w:type="character" w:customStyle="1" w:styleId="18">
    <w:name w:val="Footer Char"/>
    <w:basedOn w:val="13"/>
    <w:semiHidden/>
    <w:uiPriority w:val="99"/>
    <w:rPr>
      <w:rFonts w:ascii="Times New Roman" w:hAnsi="Times New Roman"/>
      <w:sz w:val="18"/>
      <w:szCs w:val="18"/>
    </w:rPr>
  </w:style>
  <w:style w:type="character" w:customStyle="1" w:styleId="19">
    <w:name w:val="页脚 Char"/>
    <w:link w:val="8"/>
    <w:locked/>
    <w:uiPriority w:val="99"/>
    <w:rPr>
      <w:sz w:val="18"/>
    </w:rPr>
  </w:style>
  <w:style w:type="character" w:customStyle="1" w:styleId="20">
    <w:name w:val="Body Text Char"/>
    <w:basedOn w:val="13"/>
    <w:semiHidden/>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49D2C-777B-40EC-AFEE-B99DA6EEADC8}">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31</Pages>
  <Words>12389</Words>
  <Characters>3018</Characters>
  <Lines>25</Lines>
  <Paragraphs>30</Paragraphs>
  <TotalTime>5</TotalTime>
  <ScaleCrop>false</ScaleCrop>
  <LinksUpToDate>false</LinksUpToDate>
  <CharactersWithSpaces>15377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2021-05-22T02:27:28Z</dcterms:modified>
  <dc:title>四川省***</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