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spacing w:line="600" w:lineRule="exact"/>
        <w:jc w:val="center"/>
        <w:outlineLvl w:val="0"/>
        <w:rPr>
          <w:rFonts w:ascii="方正小标宋简体" w:hAnsi="宋体" w:eastAsia="方正小标宋简体"/>
          <w:color w:val="auto"/>
          <w:sz w:val="72"/>
          <w:szCs w:val="72"/>
        </w:rPr>
      </w:pPr>
    </w:p>
    <w:p>
      <w:pPr>
        <w:adjustRightInd w:val="0"/>
        <w:snapToGrid w:val="0"/>
        <w:spacing w:line="360" w:lineRule="auto"/>
        <w:jc w:val="center"/>
        <w:outlineLvl w:val="0"/>
        <w:rPr>
          <w:rFonts w:hint="eastAsia" w:ascii="方正小标宋简体" w:hAnsi="宋体" w:eastAsia="方正小标宋简体"/>
          <w:color w:val="auto"/>
          <w:sz w:val="44"/>
          <w:szCs w:val="44"/>
        </w:rPr>
      </w:pPr>
      <w:bookmarkStart w:id="0" w:name="_Toc15377425"/>
      <w:bookmarkStart w:id="1" w:name="_Toc15396597"/>
      <w:bookmarkStart w:id="2" w:name="_Toc15377193"/>
      <w:bookmarkStart w:id="3" w:name="_Toc15396475"/>
      <w:bookmarkStart w:id="4" w:name="_Toc15378441"/>
      <w:r>
        <w:rPr>
          <w:rFonts w:hint="eastAsia" w:ascii="方正小标宋简体" w:hAnsi="宋体" w:eastAsia="方正小标宋简体"/>
          <w:color w:val="auto"/>
          <w:sz w:val="44"/>
          <w:szCs w:val="44"/>
        </w:rPr>
        <w:t>2018年度</w:t>
      </w:r>
      <w:bookmarkEnd w:id="0"/>
      <w:bookmarkEnd w:id="1"/>
      <w:bookmarkEnd w:id="2"/>
      <w:bookmarkEnd w:id="3"/>
      <w:bookmarkEnd w:id="4"/>
    </w:p>
    <w:p>
      <w:pPr>
        <w:adjustRightInd w:val="0"/>
        <w:snapToGrid w:val="0"/>
        <w:spacing w:line="360" w:lineRule="auto"/>
        <w:jc w:val="center"/>
        <w:outlineLvl w:val="0"/>
        <w:rPr>
          <w:rFonts w:hint="eastAsia" w:ascii="方正小标宋简体" w:hAnsi="宋体" w:eastAsia="方正小标宋简体"/>
          <w:color w:val="auto"/>
          <w:sz w:val="72"/>
          <w:szCs w:val="72"/>
        </w:rPr>
      </w:pPr>
      <w:bookmarkStart w:id="5" w:name="_Toc15396476"/>
      <w:bookmarkStart w:id="6" w:name="_Toc15377194"/>
      <w:bookmarkStart w:id="7" w:name="_Toc15396598"/>
      <w:bookmarkStart w:id="8" w:name="_Toc15377426"/>
      <w:bookmarkStart w:id="9" w:name="_Toc15378442"/>
      <w:r>
        <w:rPr>
          <w:rFonts w:hint="eastAsia" w:ascii="方正小标宋简体" w:hAnsi="宋体" w:eastAsia="方正小标宋简体"/>
          <w:color w:val="auto"/>
          <w:sz w:val="44"/>
          <w:szCs w:val="44"/>
        </w:rPr>
        <w:t>四川省</w:t>
      </w:r>
      <w:bookmarkStart w:id="10" w:name="_Toc15306268"/>
      <w:r>
        <w:rPr>
          <w:rFonts w:hint="eastAsia" w:ascii="方正小标宋简体" w:hAnsi="宋体" w:eastAsia="方正小标宋简体"/>
          <w:color w:val="auto"/>
          <w:sz w:val="44"/>
          <w:szCs w:val="44"/>
        </w:rPr>
        <w:t>达州市达川区人民政府教育督导室</w:t>
      </w:r>
    </w:p>
    <w:p>
      <w:pPr>
        <w:adjustRightInd w:val="0"/>
        <w:snapToGrid w:val="0"/>
        <w:spacing w:line="360" w:lineRule="auto"/>
        <w:jc w:val="center"/>
        <w:outlineLvl w:val="0"/>
        <w:rPr>
          <w:rFonts w:hint="eastAsia" w:ascii="方正小标宋简体" w:hAnsi="宋体" w:eastAsia="方正小标宋简体"/>
          <w:color w:val="auto"/>
          <w:sz w:val="72"/>
          <w:szCs w:val="72"/>
        </w:rPr>
      </w:pPr>
      <w:r>
        <w:rPr>
          <w:rFonts w:hint="eastAsia" w:ascii="方正小标宋简体" w:hAnsi="宋体" w:eastAsia="方正小标宋简体"/>
          <w:color w:val="auto"/>
          <w:sz w:val="72"/>
          <w:szCs w:val="72"/>
        </w:rPr>
        <w:t>部门决算</w:t>
      </w:r>
      <w:bookmarkEnd w:id="5"/>
      <w:bookmarkEnd w:id="6"/>
      <w:bookmarkEnd w:id="7"/>
      <w:bookmarkEnd w:id="8"/>
      <w:bookmarkEnd w:id="9"/>
      <w:bookmarkEnd w:id="10"/>
    </w:p>
    <w:p>
      <w:pPr>
        <w:widowControl/>
        <w:jc w:val="center"/>
        <w:rPr>
          <w:rFonts w:ascii="黑体" w:hAnsi="黑体" w:eastAsia="黑体"/>
          <w:color w:val="auto"/>
          <w:sz w:val="48"/>
          <w:szCs w:val="48"/>
        </w:rPr>
      </w:pPr>
      <w:r>
        <w:rPr>
          <w:rFonts w:ascii="方正小标宋简体" w:hAnsi="宋体" w:eastAsia="方正小标宋简体"/>
          <w:color w:val="auto"/>
          <w:sz w:val="36"/>
          <w:szCs w:val="36"/>
        </w:rPr>
        <w:br w:type="page"/>
      </w:r>
      <w:r>
        <w:rPr>
          <w:rFonts w:hint="eastAsia" w:ascii="黑体" w:hAnsi="黑体" w:eastAsia="黑体"/>
          <w:color w:val="auto"/>
          <w:sz w:val="48"/>
          <w:szCs w:val="48"/>
        </w:rPr>
        <w:t>目录</w:t>
      </w:r>
    </w:p>
    <w:p>
      <w:pPr>
        <w:widowControl/>
        <w:jc w:val="center"/>
        <w:rPr>
          <w:rFonts w:ascii="黑体" w:hAnsi="黑体" w:eastAsia="黑体"/>
          <w:color w:val="auto"/>
          <w:sz w:val="28"/>
          <w:szCs w:val="28"/>
        </w:rPr>
      </w:pPr>
      <w:r>
        <w:rPr>
          <w:rFonts w:ascii="黑体" w:hAnsi="黑体" w:eastAsia="黑体"/>
          <w:color w:val="auto"/>
          <w:sz w:val="48"/>
          <w:szCs w:val="48"/>
        </w:rPr>
        <w:fldChar w:fldCharType="begin"/>
      </w:r>
      <w:r>
        <w:rPr>
          <w:rFonts w:ascii="黑体" w:hAnsi="黑体" w:eastAsia="黑体"/>
          <w:color w:val="auto"/>
          <w:sz w:val="48"/>
          <w:szCs w:val="48"/>
        </w:rPr>
        <w:instrText xml:space="preserve"> TOC \o "1-2" \h \z \u </w:instrText>
      </w:r>
      <w:r>
        <w:rPr>
          <w:rFonts w:ascii="黑体" w:hAnsi="黑体" w:eastAsia="黑体"/>
          <w:color w:val="auto"/>
          <w:sz w:val="48"/>
          <w:szCs w:val="48"/>
        </w:rPr>
        <w:fldChar w:fldCharType="separate"/>
      </w:r>
    </w:p>
    <w:p>
      <w:pPr>
        <w:pStyle w:val="8"/>
        <w:rPr>
          <w:color w:val="auto"/>
        </w:rPr>
      </w:pPr>
      <w:r>
        <w:rPr>
          <w:rFonts w:hint="eastAsia"/>
          <w:color w:val="auto"/>
        </w:rPr>
        <w:t>公开时间：2019年8月29日</w:t>
      </w:r>
    </w:p>
    <w:p>
      <w:pPr>
        <w:rPr>
          <w:color w:val="auto"/>
        </w:rPr>
      </w:pPr>
    </w:p>
    <w:p>
      <w:pPr>
        <w:pStyle w:val="8"/>
        <w:rPr>
          <w:color w:val="auto"/>
        </w:rPr>
      </w:pPr>
      <w:r>
        <w:rPr>
          <w:color w:val="auto"/>
        </w:rPr>
        <w:fldChar w:fldCharType="begin"/>
      </w:r>
      <w:r>
        <w:rPr>
          <w:color w:val="auto"/>
        </w:rPr>
        <w:instrText xml:space="preserve"> HYPERLINK \l "_Toc15396599" </w:instrText>
      </w:r>
      <w:r>
        <w:rPr>
          <w:color w:val="auto"/>
        </w:rPr>
        <w:fldChar w:fldCharType="separate"/>
      </w:r>
      <w:r>
        <w:rPr>
          <w:rStyle w:val="13"/>
          <w:rFonts w:hint="eastAsia"/>
          <w:color w:val="auto"/>
        </w:rPr>
        <w:t>第一部分</w:t>
      </w:r>
      <w:r>
        <w:rPr>
          <w:rStyle w:val="13"/>
          <w:color w:val="auto"/>
        </w:rPr>
        <w:t xml:space="preserve"> </w:t>
      </w:r>
      <w:r>
        <w:rPr>
          <w:rStyle w:val="13"/>
          <w:rFonts w:hint="eastAsia"/>
          <w:color w:val="auto"/>
        </w:rPr>
        <w:t>部门概况</w:t>
      </w:r>
      <w:r>
        <w:rPr>
          <w:color w:val="auto"/>
        </w:rPr>
        <w:tab/>
      </w:r>
      <w:r>
        <w:rPr>
          <w:rFonts w:hint="eastAsia"/>
          <w:color w:val="auto"/>
        </w:rPr>
        <w:t>4</w:t>
      </w:r>
      <w:r>
        <w:rPr>
          <w:rFonts w:hint="eastAsia"/>
          <w:color w:val="auto"/>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"_Toc15396600" </w:instrText>
      </w:r>
      <w:r>
        <w:rPr>
          <w:color w:val="auto"/>
        </w:rPr>
        <w:fldChar w:fldCharType="separate"/>
      </w:r>
      <w:r>
        <w:rPr>
          <w:rStyle w:val="13"/>
          <w:rFonts w:hint="eastAsia" w:ascii="仿宋" w:hAnsi="仿宋" w:eastAsia="仿宋"/>
          <w:color w:val="auto"/>
          <w:sz w:val="28"/>
          <w:szCs w:val="28"/>
        </w:rPr>
        <w:t>一、基本职能及主要工作</w:t>
      </w:r>
      <w:r>
        <w:rPr>
          <w:rFonts w:ascii="仿宋" w:hAnsi="仿宋" w:eastAsia="仿宋"/>
          <w:color w:val="auto"/>
          <w:sz w:val="28"/>
          <w:szCs w:val="28"/>
        </w:rPr>
        <w:tab/>
      </w:r>
      <w:r>
        <w:rPr>
          <w:rFonts w:hint="eastAsia" w:ascii="仿宋" w:hAnsi="仿宋" w:eastAsia="仿宋"/>
          <w:color w:val="auto"/>
          <w:sz w:val="28"/>
          <w:szCs w:val="28"/>
        </w:rPr>
        <w:t>4</w:t>
      </w:r>
      <w:r>
        <w:rPr>
          <w:rFonts w:hint="eastAsia"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"_Toc15396601" </w:instrText>
      </w:r>
      <w:r>
        <w:rPr>
          <w:color w:val="auto"/>
        </w:rPr>
        <w:fldChar w:fldCharType="separate"/>
      </w:r>
      <w:r>
        <w:rPr>
          <w:rStyle w:val="13"/>
          <w:rFonts w:hint="eastAsia" w:ascii="仿宋" w:hAnsi="仿宋" w:eastAsia="仿宋"/>
          <w:color w:val="auto"/>
          <w:sz w:val="28"/>
          <w:szCs w:val="28"/>
        </w:rPr>
        <w:t>二、机构设置</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_Toc15396601 \h </w:instrText>
      </w:r>
      <w:r>
        <w:rPr>
          <w:rFonts w:ascii="仿宋" w:hAnsi="仿宋" w:eastAsia="仿宋"/>
          <w:color w:val="auto"/>
          <w:sz w:val="28"/>
          <w:szCs w:val="28"/>
        </w:rPr>
        <w:fldChar w:fldCharType="separate"/>
      </w:r>
      <w:r>
        <w:rPr>
          <w:rFonts w:ascii="仿宋" w:hAnsi="仿宋" w:eastAsia="仿宋"/>
          <w:color w:val="auto"/>
          <w:sz w:val="28"/>
          <w:szCs w:val="28"/>
        </w:rPr>
        <w:t>4</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8"/>
        <w:rPr>
          <w:color w:val="auto"/>
        </w:rPr>
      </w:pPr>
      <w:r>
        <w:rPr>
          <w:color w:val="auto"/>
        </w:rPr>
        <w:fldChar w:fldCharType="begin"/>
      </w:r>
      <w:r>
        <w:rPr>
          <w:color w:val="auto"/>
        </w:rPr>
        <w:instrText xml:space="preserve"> HYPERLINK \l "_Toc15396602" </w:instrText>
      </w:r>
      <w:r>
        <w:rPr>
          <w:color w:val="auto"/>
        </w:rPr>
        <w:fldChar w:fldCharType="separate"/>
      </w:r>
      <w:r>
        <w:rPr>
          <w:rStyle w:val="13"/>
          <w:rFonts w:hint="eastAsia"/>
          <w:color w:val="auto"/>
        </w:rPr>
        <w:t>第二部分</w:t>
      </w:r>
      <w:r>
        <w:rPr>
          <w:rStyle w:val="13"/>
          <w:color w:val="auto"/>
        </w:rPr>
        <w:t xml:space="preserve"> 2018</w:t>
      </w:r>
      <w:r>
        <w:rPr>
          <w:rStyle w:val="13"/>
          <w:rFonts w:hint="eastAsia"/>
          <w:color w:val="auto"/>
        </w:rPr>
        <w:t>年度部门决算情况说明</w:t>
      </w:r>
      <w:r>
        <w:rPr>
          <w:color w:val="auto"/>
        </w:rPr>
        <w:tab/>
      </w:r>
      <w:r>
        <w:rPr>
          <w:color w:val="auto"/>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"_Toc15396603" </w:instrText>
      </w:r>
      <w:r>
        <w:rPr>
          <w:color w:val="auto"/>
        </w:rPr>
        <w:fldChar w:fldCharType="separate"/>
      </w:r>
      <w:r>
        <w:rPr>
          <w:rStyle w:val="13"/>
          <w:rFonts w:hint="eastAsia" w:ascii="仿宋" w:hAnsi="仿宋" w:eastAsia="仿宋"/>
          <w:bCs/>
          <w:color w:val="auto"/>
          <w:sz w:val="28"/>
          <w:szCs w:val="28"/>
        </w:rPr>
        <w:t>一、</w:t>
      </w:r>
      <w:r>
        <w:rPr>
          <w:rStyle w:val="13"/>
          <w:rFonts w:hint="eastAsia" w:ascii="仿宋" w:hAnsi="仿宋" w:eastAsia="仿宋"/>
          <w:color w:val="auto"/>
          <w:sz w:val="28"/>
          <w:szCs w:val="28"/>
        </w:rPr>
        <w:t>收</w:t>
      </w:r>
      <w:r>
        <w:rPr>
          <w:rStyle w:val="13"/>
          <w:rFonts w:hint="eastAsia" w:ascii="仿宋" w:hAnsi="仿宋" w:eastAsia="仿宋"/>
          <w:bCs/>
          <w:color w:val="auto"/>
          <w:sz w:val="28"/>
          <w:szCs w:val="28"/>
        </w:rPr>
        <w:t>入支出决算总体情况说明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_Toc15396603 \h </w:instrText>
      </w:r>
      <w:r>
        <w:rPr>
          <w:rFonts w:ascii="仿宋" w:hAnsi="仿宋" w:eastAsia="仿宋"/>
          <w:color w:val="auto"/>
          <w:sz w:val="28"/>
          <w:szCs w:val="28"/>
        </w:rPr>
        <w:fldChar w:fldCharType="separate"/>
      </w:r>
      <w:r>
        <w:rPr>
          <w:rFonts w:ascii="仿宋" w:hAnsi="仿宋" w:eastAsia="仿宋"/>
          <w:color w:val="auto"/>
          <w:sz w:val="28"/>
          <w:szCs w:val="28"/>
        </w:rPr>
        <w:t>5</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"_Toc15396604" </w:instrText>
      </w:r>
      <w:r>
        <w:rPr>
          <w:color w:val="auto"/>
        </w:rPr>
        <w:fldChar w:fldCharType="separate"/>
      </w:r>
      <w:r>
        <w:rPr>
          <w:rStyle w:val="13"/>
          <w:rFonts w:hint="eastAsia" w:ascii="仿宋" w:hAnsi="仿宋" w:eastAsia="仿宋"/>
          <w:bCs/>
          <w:color w:val="auto"/>
          <w:sz w:val="28"/>
          <w:szCs w:val="28"/>
        </w:rPr>
        <w:t>二、</w:t>
      </w:r>
      <w:r>
        <w:rPr>
          <w:rStyle w:val="13"/>
          <w:rFonts w:hint="eastAsia" w:ascii="仿宋" w:hAnsi="仿宋" w:eastAsia="仿宋"/>
          <w:color w:val="auto"/>
          <w:sz w:val="28"/>
          <w:szCs w:val="28"/>
        </w:rPr>
        <w:t>收</w:t>
      </w:r>
      <w:r>
        <w:rPr>
          <w:rStyle w:val="13"/>
          <w:rFonts w:hint="eastAsia" w:ascii="仿宋" w:hAnsi="仿宋" w:eastAsia="仿宋"/>
          <w:bCs/>
          <w:color w:val="auto"/>
          <w:sz w:val="28"/>
          <w:szCs w:val="28"/>
        </w:rPr>
        <w:t>入决算情况说明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_Toc15396604 \h </w:instrText>
      </w:r>
      <w:r>
        <w:rPr>
          <w:rFonts w:ascii="仿宋" w:hAnsi="仿宋" w:eastAsia="仿宋"/>
          <w:color w:val="auto"/>
          <w:sz w:val="28"/>
          <w:szCs w:val="28"/>
        </w:rPr>
        <w:fldChar w:fldCharType="separate"/>
      </w:r>
      <w:r>
        <w:rPr>
          <w:rFonts w:ascii="仿宋" w:hAnsi="仿宋" w:eastAsia="仿宋"/>
          <w:color w:val="auto"/>
          <w:sz w:val="28"/>
          <w:szCs w:val="28"/>
        </w:rPr>
        <w:t>5</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"_Toc15396605" </w:instrText>
      </w:r>
      <w:r>
        <w:rPr>
          <w:color w:val="auto"/>
        </w:rPr>
        <w:fldChar w:fldCharType="separate"/>
      </w:r>
      <w:r>
        <w:rPr>
          <w:rStyle w:val="13"/>
          <w:rFonts w:hint="eastAsia" w:ascii="仿宋" w:hAnsi="仿宋" w:eastAsia="仿宋"/>
          <w:bCs/>
          <w:color w:val="auto"/>
          <w:sz w:val="28"/>
          <w:szCs w:val="28"/>
        </w:rPr>
        <w:t>三、</w:t>
      </w:r>
      <w:r>
        <w:rPr>
          <w:rStyle w:val="13"/>
          <w:rFonts w:hint="eastAsia" w:ascii="仿宋" w:hAnsi="仿宋" w:eastAsia="仿宋"/>
          <w:color w:val="auto"/>
          <w:sz w:val="28"/>
          <w:szCs w:val="28"/>
        </w:rPr>
        <w:t>支</w:t>
      </w:r>
      <w:r>
        <w:rPr>
          <w:rStyle w:val="13"/>
          <w:rFonts w:hint="eastAsia" w:ascii="仿宋" w:hAnsi="仿宋" w:eastAsia="仿宋"/>
          <w:bCs/>
          <w:color w:val="auto"/>
          <w:sz w:val="28"/>
          <w:szCs w:val="28"/>
        </w:rPr>
        <w:t>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_Toc15396605 \h </w:instrText>
      </w:r>
      <w:r>
        <w:rPr>
          <w:rFonts w:ascii="仿宋" w:hAnsi="仿宋" w:eastAsia="仿宋"/>
          <w:color w:val="auto"/>
          <w:sz w:val="28"/>
          <w:szCs w:val="28"/>
        </w:rPr>
        <w:fldChar w:fldCharType="separate"/>
      </w:r>
      <w:r>
        <w:rPr>
          <w:rFonts w:ascii="仿宋" w:hAnsi="仿宋" w:eastAsia="仿宋"/>
          <w:color w:val="auto"/>
          <w:sz w:val="28"/>
          <w:szCs w:val="28"/>
        </w:rPr>
        <w:t>5</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"_Toc15396606" </w:instrText>
      </w:r>
      <w:r>
        <w:rPr>
          <w:color w:val="auto"/>
        </w:rPr>
        <w:fldChar w:fldCharType="separate"/>
      </w:r>
      <w:r>
        <w:rPr>
          <w:rStyle w:val="13"/>
          <w:rFonts w:hint="eastAsia" w:ascii="仿宋" w:hAnsi="仿宋" w:eastAsia="仿宋"/>
          <w:color w:val="auto"/>
          <w:sz w:val="28"/>
          <w:szCs w:val="28"/>
        </w:rPr>
        <w:t>四、财</w:t>
      </w:r>
      <w:r>
        <w:rPr>
          <w:rStyle w:val="13"/>
          <w:rFonts w:hint="eastAsia" w:ascii="仿宋" w:hAnsi="仿宋" w:eastAsia="仿宋"/>
          <w:bCs/>
          <w:color w:val="auto"/>
          <w:sz w:val="28"/>
          <w:szCs w:val="28"/>
        </w:rPr>
        <w:t>政拨款收入支出决算总体情况说明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_Toc15396606 \h </w:instrText>
      </w:r>
      <w:r>
        <w:rPr>
          <w:rFonts w:ascii="仿宋" w:hAnsi="仿宋" w:eastAsia="仿宋"/>
          <w:color w:val="auto"/>
          <w:sz w:val="28"/>
          <w:szCs w:val="28"/>
        </w:rPr>
        <w:fldChar w:fldCharType="separate"/>
      </w:r>
      <w:r>
        <w:rPr>
          <w:rFonts w:ascii="仿宋" w:hAnsi="仿宋" w:eastAsia="仿宋"/>
          <w:color w:val="auto"/>
          <w:sz w:val="28"/>
          <w:szCs w:val="28"/>
        </w:rPr>
        <w:t>6</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"_Toc15396607" </w:instrText>
      </w:r>
      <w:r>
        <w:rPr>
          <w:color w:val="auto"/>
        </w:rPr>
        <w:fldChar w:fldCharType="separate"/>
      </w:r>
      <w:r>
        <w:rPr>
          <w:rStyle w:val="13"/>
          <w:rFonts w:hint="eastAsia" w:ascii="仿宋" w:hAnsi="仿宋" w:eastAsia="仿宋"/>
          <w:color w:val="auto"/>
          <w:sz w:val="28"/>
          <w:szCs w:val="28"/>
        </w:rPr>
        <w:t>五、一</w:t>
      </w:r>
      <w:r>
        <w:rPr>
          <w:rStyle w:val="13"/>
          <w:rFonts w:hint="eastAsia" w:ascii="仿宋" w:hAnsi="仿宋" w:eastAsia="仿宋"/>
          <w:bCs/>
          <w:color w:val="auto"/>
          <w:sz w:val="28"/>
          <w:szCs w:val="28"/>
        </w:rPr>
        <w:t>般公共预算财政拨款支出决算情况说明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_Toc15396607 \h </w:instrText>
      </w:r>
      <w:r>
        <w:rPr>
          <w:rFonts w:ascii="仿宋" w:hAnsi="仿宋" w:eastAsia="仿宋"/>
          <w:color w:val="auto"/>
          <w:sz w:val="28"/>
          <w:szCs w:val="28"/>
        </w:rPr>
        <w:fldChar w:fldCharType="separate"/>
      </w:r>
      <w:r>
        <w:rPr>
          <w:rFonts w:ascii="仿宋" w:hAnsi="仿宋" w:eastAsia="仿宋"/>
          <w:color w:val="auto"/>
          <w:sz w:val="28"/>
          <w:szCs w:val="28"/>
        </w:rPr>
        <w:t>6</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"_Toc15396608" </w:instrText>
      </w:r>
      <w:r>
        <w:rPr>
          <w:color w:val="auto"/>
        </w:rPr>
        <w:fldChar w:fldCharType="separate"/>
      </w:r>
      <w:r>
        <w:rPr>
          <w:rStyle w:val="13"/>
          <w:rFonts w:hint="eastAsia" w:ascii="仿宋" w:hAnsi="仿宋" w:eastAsia="仿宋"/>
          <w:color w:val="auto"/>
          <w:sz w:val="28"/>
          <w:szCs w:val="28"/>
        </w:rPr>
        <w:t>六、一</w:t>
      </w:r>
      <w:r>
        <w:rPr>
          <w:rStyle w:val="13"/>
          <w:rFonts w:hint="eastAsia" w:ascii="仿宋" w:hAnsi="仿宋" w:eastAsia="仿宋"/>
          <w:bCs/>
          <w:color w:val="auto"/>
          <w:sz w:val="28"/>
          <w:szCs w:val="28"/>
        </w:rPr>
        <w:t>般公共预算财政拨款基本支出决算情况说明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_Toc15396608 \h </w:instrText>
      </w:r>
      <w:r>
        <w:rPr>
          <w:rFonts w:ascii="仿宋" w:hAnsi="仿宋" w:eastAsia="仿宋"/>
          <w:color w:val="auto"/>
          <w:sz w:val="28"/>
          <w:szCs w:val="28"/>
        </w:rPr>
        <w:fldChar w:fldCharType="separate"/>
      </w:r>
      <w:r>
        <w:rPr>
          <w:rFonts w:ascii="仿宋" w:hAnsi="仿宋" w:eastAsia="仿宋"/>
          <w:color w:val="auto"/>
          <w:sz w:val="28"/>
          <w:szCs w:val="28"/>
        </w:rPr>
        <w:t>8</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"_Toc15396609" </w:instrText>
      </w:r>
      <w:r>
        <w:rPr>
          <w:color w:val="auto"/>
        </w:rPr>
        <w:fldChar w:fldCharType="separate"/>
      </w:r>
      <w:r>
        <w:rPr>
          <w:rStyle w:val="13"/>
          <w:rFonts w:hint="eastAsia" w:ascii="仿宋" w:hAnsi="仿宋" w:eastAsia="仿宋"/>
          <w:color w:val="auto"/>
          <w:sz w:val="28"/>
          <w:szCs w:val="28"/>
        </w:rPr>
        <w:t>七、</w:t>
      </w:r>
      <w:r>
        <w:rPr>
          <w:rStyle w:val="13"/>
          <w:rFonts w:ascii="仿宋" w:hAnsi="仿宋" w:eastAsia="仿宋"/>
          <w:color w:val="auto"/>
          <w:sz w:val="28"/>
          <w:szCs w:val="28"/>
        </w:rPr>
        <w:t>“</w:t>
      </w:r>
      <w:r>
        <w:rPr>
          <w:rStyle w:val="13"/>
          <w:rFonts w:hint="eastAsia" w:ascii="仿宋" w:hAnsi="仿宋" w:eastAsia="仿宋"/>
          <w:bCs/>
          <w:color w:val="auto"/>
          <w:sz w:val="28"/>
          <w:szCs w:val="28"/>
        </w:rPr>
        <w:t>三公”经费财政拨款支出决算情况说明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_Toc15396609 \h </w:instrText>
      </w:r>
      <w:r>
        <w:rPr>
          <w:rFonts w:ascii="仿宋" w:hAnsi="仿宋" w:eastAsia="仿宋"/>
          <w:color w:val="auto"/>
          <w:sz w:val="28"/>
          <w:szCs w:val="28"/>
        </w:rPr>
        <w:fldChar w:fldCharType="separate"/>
      </w:r>
      <w:r>
        <w:rPr>
          <w:rFonts w:ascii="仿宋" w:hAnsi="仿宋" w:eastAsia="仿宋"/>
          <w:color w:val="auto"/>
          <w:sz w:val="28"/>
          <w:szCs w:val="28"/>
        </w:rPr>
        <w:t>8</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"_Toc15396610" </w:instrText>
      </w:r>
      <w:r>
        <w:rPr>
          <w:color w:val="auto"/>
        </w:rPr>
        <w:fldChar w:fldCharType="separate"/>
      </w:r>
      <w:r>
        <w:rPr>
          <w:rStyle w:val="13"/>
          <w:rFonts w:hint="eastAsia" w:ascii="仿宋" w:hAnsi="仿宋" w:eastAsia="仿宋"/>
          <w:color w:val="auto"/>
          <w:sz w:val="28"/>
          <w:szCs w:val="28"/>
        </w:rPr>
        <w:t>八、</w:t>
      </w:r>
      <w:r>
        <w:rPr>
          <w:rStyle w:val="13"/>
          <w:rFonts w:hint="eastAsia" w:ascii="仿宋" w:hAnsi="仿宋" w:eastAsia="仿宋"/>
          <w:bCs/>
          <w:color w:val="auto"/>
          <w:sz w:val="28"/>
          <w:szCs w:val="28"/>
        </w:rPr>
        <w:t>政府性基金预算支出决算情况说明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_Toc15396610 \h </w:instrText>
      </w:r>
      <w:r>
        <w:rPr>
          <w:rFonts w:ascii="仿宋" w:hAnsi="仿宋" w:eastAsia="仿宋"/>
          <w:color w:val="auto"/>
          <w:sz w:val="28"/>
          <w:szCs w:val="28"/>
        </w:rPr>
        <w:fldChar w:fldCharType="separate"/>
      </w:r>
      <w:r>
        <w:rPr>
          <w:rFonts w:ascii="仿宋" w:hAnsi="仿宋" w:eastAsia="仿宋"/>
          <w:color w:val="auto"/>
          <w:sz w:val="28"/>
          <w:szCs w:val="28"/>
        </w:rPr>
        <w:t>10</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"_Toc15396611" </w:instrText>
      </w:r>
      <w:r>
        <w:rPr>
          <w:color w:val="auto"/>
        </w:rPr>
        <w:fldChar w:fldCharType="separate"/>
      </w:r>
      <w:r>
        <w:rPr>
          <w:rStyle w:val="13"/>
          <w:rFonts w:hint="eastAsia" w:ascii="仿宋" w:hAnsi="仿宋" w:eastAsia="仿宋"/>
          <w:bCs/>
          <w:color w:val="auto"/>
          <w:sz w:val="28"/>
          <w:szCs w:val="28"/>
        </w:rPr>
        <w:t>九、</w:t>
      </w:r>
      <w:r>
        <w:rPr>
          <w:rStyle w:val="13"/>
          <w:rFonts w:hint="eastAsia" w:ascii="仿宋" w:hAnsi="仿宋" w:eastAsia="仿宋"/>
          <w:color w:val="auto"/>
          <w:sz w:val="28"/>
          <w:szCs w:val="28"/>
        </w:rPr>
        <w:t xml:space="preserve"> 国</w:t>
      </w:r>
      <w:r>
        <w:rPr>
          <w:rStyle w:val="13"/>
          <w:rFonts w:hint="eastAsia" w:ascii="仿宋" w:hAnsi="仿宋" w:eastAsia="仿宋"/>
          <w:bCs/>
          <w:color w:val="auto"/>
          <w:sz w:val="28"/>
          <w:szCs w:val="28"/>
        </w:rPr>
        <w:t>有资本经营预算支出决算情况说明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_Toc15396611 \h </w:instrText>
      </w:r>
      <w:r>
        <w:rPr>
          <w:rFonts w:ascii="仿宋" w:hAnsi="仿宋" w:eastAsia="仿宋"/>
          <w:color w:val="auto"/>
          <w:sz w:val="28"/>
          <w:szCs w:val="28"/>
        </w:rPr>
        <w:fldChar w:fldCharType="separate"/>
      </w:r>
      <w:r>
        <w:rPr>
          <w:rFonts w:ascii="仿宋" w:hAnsi="仿宋" w:eastAsia="仿宋"/>
          <w:color w:val="auto"/>
          <w:sz w:val="28"/>
          <w:szCs w:val="28"/>
        </w:rPr>
        <w:t>10</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"_Toc15396612" </w:instrText>
      </w:r>
      <w:r>
        <w:rPr>
          <w:color w:val="auto"/>
        </w:rPr>
        <w:fldChar w:fldCharType="separate"/>
      </w:r>
      <w:r>
        <w:rPr>
          <w:rStyle w:val="13"/>
          <w:rFonts w:hint="eastAsia" w:ascii="仿宋" w:hAnsi="仿宋" w:eastAsia="仿宋"/>
          <w:color w:val="auto"/>
          <w:sz w:val="28"/>
          <w:szCs w:val="28"/>
        </w:rPr>
        <w:t>十</w:t>
      </w:r>
      <w:r>
        <w:rPr>
          <w:rStyle w:val="13"/>
          <w:rFonts w:hint="eastAsia" w:ascii="仿宋" w:hAnsi="仿宋" w:eastAsia="仿宋"/>
          <w:bCs/>
          <w:color w:val="auto"/>
          <w:sz w:val="28"/>
          <w:szCs w:val="28"/>
        </w:rPr>
        <w:t>一、其他重要事项的情况说明</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_Toc15396612 \h </w:instrText>
      </w:r>
      <w:r>
        <w:rPr>
          <w:rFonts w:ascii="仿宋" w:hAnsi="仿宋" w:eastAsia="仿宋"/>
          <w:color w:val="auto"/>
          <w:sz w:val="28"/>
          <w:szCs w:val="28"/>
        </w:rPr>
        <w:fldChar w:fldCharType="separate"/>
      </w:r>
      <w:r>
        <w:rPr>
          <w:rFonts w:ascii="仿宋" w:hAnsi="仿宋" w:eastAsia="仿宋"/>
          <w:color w:val="auto"/>
          <w:sz w:val="28"/>
          <w:szCs w:val="28"/>
        </w:rPr>
        <w:t>14</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8"/>
        <w:rPr>
          <w:color w:val="auto"/>
        </w:rPr>
      </w:pPr>
      <w:r>
        <w:rPr>
          <w:color w:val="auto"/>
        </w:rPr>
        <w:fldChar w:fldCharType="begin"/>
      </w:r>
      <w:r>
        <w:rPr>
          <w:color w:val="auto"/>
        </w:rPr>
        <w:instrText xml:space="preserve"> HYPERLINK \l "_Toc15396613" </w:instrText>
      </w:r>
      <w:r>
        <w:rPr>
          <w:color w:val="auto"/>
        </w:rPr>
        <w:fldChar w:fldCharType="separate"/>
      </w:r>
      <w:r>
        <w:rPr>
          <w:rStyle w:val="13"/>
          <w:rFonts w:hint="eastAsia"/>
          <w:bCs/>
          <w:color w:val="auto"/>
        </w:rPr>
        <w:t>第三部分</w:t>
      </w:r>
      <w:r>
        <w:rPr>
          <w:rStyle w:val="13"/>
          <w:rFonts w:hint="eastAsia"/>
          <w:color w:val="auto"/>
        </w:rPr>
        <w:t xml:space="preserve"> 名</w:t>
      </w:r>
      <w:r>
        <w:rPr>
          <w:rStyle w:val="13"/>
          <w:rFonts w:hint="eastAsia"/>
          <w:bCs/>
          <w:color w:val="auto"/>
        </w:rPr>
        <w:t>词解释</w:t>
      </w:r>
      <w:r>
        <w:rPr>
          <w:color w:val="auto"/>
        </w:rPr>
        <w:tab/>
      </w:r>
      <w:r>
        <w:rPr>
          <w:color w:val="auto"/>
        </w:rPr>
        <w:fldChar w:fldCharType="end"/>
      </w:r>
    </w:p>
    <w:p>
      <w:pPr>
        <w:pStyle w:val="8"/>
        <w:rPr>
          <w:color w:val="auto"/>
        </w:rPr>
      </w:pPr>
      <w:r>
        <w:rPr>
          <w:color w:val="auto"/>
        </w:rPr>
        <w:fldChar w:fldCharType="begin"/>
      </w:r>
      <w:r>
        <w:rPr>
          <w:color w:val="auto"/>
        </w:rPr>
        <w:instrText xml:space="preserve"> HYPERLINK \l "_Toc15396614" </w:instrText>
      </w:r>
      <w:r>
        <w:rPr>
          <w:color w:val="auto"/>
        </w:rPr>
        <w:fldChar w:fldCharType="separate"/>
      </w:r>
      <w:r>
        <w:rPr>
          <w:rStyle w:val="13"/>
          <w:rFonts w:hint="eastAsia"/>
          <w:color w:val="auto"/>
        </w:rPr>
        <w:t>第</w:t>
      </w:r>
      <w:r>
        <w:rPr>
          <w:rStyle w:val="13"/>
          <w:rFonts w:hint="eastAsia"/>
          <w:bCs/>
          <w:color w:val="auto"/>
        </w:rPr>
        <w:t>四部分</w:t>
      </w:r>
      <w:r>
        <w:rPr>
          <w:rStyle w:val="13"/>
          <w:bCs/>
          <w:color w:val="auto"/>
        </w:rPr>
        <w:t xml:space="preserve"> </w:t>
      </w:r>
      <w:r>
        <w:rPr>
          <w:rStyle w:val="13"/>
          <w:rFonts w:hint="eastAsia"/>
          <w:bCs/>
          <w:color w:val="auto"/>
        </w:rPr>
        <w:t>附件</w:t>
      </w:r>
      <w:r>
        <w:rPr>
          <w:color w:val="auto"/>
        </w:rPr>
        <w:tab/>
      </w:r>
      <w:r>
        <w:rPr>
          <w:color w:val="auto"/>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"_Toc15396615" </w:instrText>
      </w:r>
      <w:r>
        <w:rPr>
          <w:color w:val="auto"/>
        </w:rPr>
        <w:fldChar w:fldCharType="separate"/>
      </w:r>
      <w:r>
        <w:rPr>
          <w:rStyle w:val="13"/>
          <w:rFonts w:hint="eastAsia" w:ascii="仿宋" w:hAnsi="仿宋" w:eastAsia="仿宋"/>
          <w:color w:val="auto"/>
          <w:sz w:val="28"/>
          <w:szCs w:val="28"/>
        </w:rPr>
        <w:t>附件</w:t>
      </w:r>
      <w:r>
        <w:rPr>
          <w:rStyle w:val="13"/>
          <w:rFonts w:ascii="仿宋" w:hAnsi="仿宋" w:eastAsia="仿宋"/>
          <w:color w:val="auto"/>
          <w:sz w:val="28"/>
          <w:szCs w:val="28"/>
        </w:rPr>
        <w:t>1</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_Toc15396615 \h </w:instrText>
      </w:r>
      <w:r>
        <w:rPr>
          <w:rFonts w:ascii="仿宋" w:hAnsi="仿宋" w:eastAsia="仿宋"/>
          <w:color w:val="auto"/>
          <w:sz w:val="28"/>
          <w:szCs w:val="28"/>
        </w:rPr>
        <w:fldChar w:fldCharType="separate"/>
      </w:r>
      <w:r>
        <w:rPr>
          <w:rFonts w:ascii="仿宋" w:hAnsi="仿宋" w:eastAsia="仿宋"/>
          <w:color w:val="auto"/>
          <w:sz w:val="28"/>
          <w:szCs w:val="28"/>
        </w:rPr>
        <w:t>19</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color w:val="auto"/>
        </w:rPr>
        <w:fldChar w:fldCharType="begin"/>
      </w:r>
      <w:r>
        <w:rPr>
          <w:color w:val="auto"/>
        </w:rPr>
        <w:instrText xml:space="preserve"> HYPERLINK \l "_Toc15396617" </w:instrText>
      </w:r>
      <w:r>
        <w:rPr>
          <w:color w:val="auto"/>
        </w:rPr>
        <w:fldChar w:fldCharType="separate"/>
      </w:r>
      <w:r>
        <w:rPr>
          <w:rStyle w:val="13"/>
          <w:rFonts w:hint="eastAsia" w:ascii="仿宋" w:hAnsi="仿宋" w:eastAsia="仿宋"/>
          <w:color w:val="auto"/>
          <w:sz w:val="28"/>
          <w:szCs w:val="28"/>
        </w:rPr>
        <w:t>附件</w:t>
      </w:r>
      <w:r>
        <w:rPr>
          <w:rStyle w:val="13"/>
          <w:rFonts w:ascii="仿宋" w:hAnsi="仿宋" w:eastAsia="仿宋"/>
          <w:color w:val="auto"/>
          <w:sz w:val="28"/>
          <w:szCs w:val="28"/>
        </w:rPr>
        <w:t>2</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_Toc15396617 \h </w:instrText>
      </w:r>
      <w:r>
        <w:rPr>
          <w:rFonts w:ascii="仿宋" w:hAnsi="仿宋" w:eastAsia="仿宋"/>
          <w:color w:val="auto"/>
          <w:sz w:val="28"/>
          <w:szCs w:val="28"/>
        </w:rPr>
        <w:fldChar w:fldCharType="separate"/>
      </w:r>
      <w:r>
        <w:rPr>
          <w:rFonts w:ascii="仿宋" w:hAnsi="仿宋" w:eastAsia="仿宋"/>
          <w:color w:val="auto"/>
          <w:sz w:val="28"/>
          <w:szCs w:val="28"/>
        </w:rPr>
        <w:t>21</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8"/>
        <w:rPr>
          <w:color w:val="auto"/>
        </w:rPr>
      </w:pPr>
      <w:r>
        <w:rPr>
          <w:color w:val="auto"/>
        </w:rPr>
        <w:fldChar w:fldCharType="begin"/>
      </w:r>
      <w:r>
        <w:rPr>
          <w:color w:val="auto"/>
        </w:rPr>
        <w:instrText xml:space="preserve"> HYPERLINK \l "_Toc15396618" </w:instrText>
      </w:r>
      <w:r>
        <w:rPr>
          <w:color w:val="auto"/>
        </w:rPr>
        <w:fldChar w:fldCharType="separate"/>
      </w:r>
      <w:r>
        <w:rPr>
          <w:rStyle w:val="13"/>
          <w:rFonts w:hint="eastAsia"/>
          <w:color w:val="auto"/>
        </w:rPr>
        <w:t>第</w:t>
      </w:r>
      <w:r>
        <w:rPr>
          <w:rStyle w:val="13"/>
          <w:rFonts w:hint="eastAsia"/>
          <w:bCs/>
          <w:color w:val="auto"/>
        </w:rPr>
        <w:t>五部分</w:t>
      </w:r>
      <w:r>
        <w:rPr>
          <w:rStyle w:val="13"/>
          <w:bCs/>
          <w:color w:val="auto"/>
        </w:rPr>
        <w:t xml:space="preserve"> </w:t>
      </w:r>
      <w:r>
        <w:rPr>
          <w:rStyle w:val="13"/>
          <w:rFonts w:hint="eastAsia"/>
          <w:bCs/>
          <w:color w:val="auto"/>
        </w:rPr>
        <w:t>附表</w:t>
      </w:r>
      <w:r>
        <w:rPr>
          <w:color w:val="auto"/>
        </w:rPr>
        <w:tab/>
      </w:r>
      <w:r>
        <w:rPr>
          <w:color w:val="auto"/>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一、</w:t>
      </w:r>
      <w:r>
        <w:rPr>
          <w:color w:val="auto"/>
        </w:rPr>
        <w:fldChar w:fldCharType="begin"/>
      </w:r>
      <w:r>
        <w:rPr>
          <w:color w:val="auto"/>
        </w:rPr>
        <w:instrText xml:space="preserve"> HYPERLINK \l "_Toc15396619" </w:instrText>
      </w:r>
      <w:r>
        <w:rPr>
          <w:color w:val="auto"/>
        </w:rPr>
        <w:fldChar w:fldCharType="separate"/>
      </w:r>
      <w:r>
        <w:rPr>
          <w:rStyle w:val="13"/>
          <w:rFonts w:hint="eastAsia" w:ascii="仿宋" w:hAnsi="仿宋" w:eastAsia="仿宋"/>
          <w:color w:val="auto"/>
          <w:sz w:val="28"/>
          <w:szCs w:val="28"/>
        </w:rPr>
        <w:t>收入支出决算总表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_Toc15396619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二、</w:t>
      </w:r>
      <w:r>
        <w:rPr>
          <w:color w:val="auto"/>
        </w:rPr>
        <w:fldChar w:fldCharType="begin"/>
      </w:r>
      <w:r>
        <w:rPr>
          <w:color w:val="auto"/>
        </w:rPr>
        <w:instrText xml:space="preserve"> HYPERLINK \l "_Toc15396620" </w:instrText>
      </w:r>
      <w:r>
        <w:rPr>
          <w:color w:val="auto"/>
        </w:rPr>
        <w:fldChar w:fldCharType="separate"/>
      </w:r>
      <w:r>
        <w:rPr>
          <w:rStyle w:val="13"/>
          <w:rFonts w:hint="eastAsia" w:ascii="仿宋" w:hAnsi="仿宋" w:eastAsia="仿宋"/>
          <w:color w:val="auto"/>
          <w:sz w:val="28"/>
          <w:szCs w:val="28"/>
        </w:rPr>
        <w:t>收入总表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_Toc15396620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三、</w:t>
      </w:r>
      <w:r>
        <w:rPr>
          <w:color w:val="auto"/>
        </w:rPr>
        <w:fldChar w:fldCharType="begin"/>
      </w:r>
      <w:r>
        <w:rPr>
          <w:color w:val="auto"/>
        </w:rPr>
        <w:instrText xml:space="preserve"> HYPERLINK \l "_Toc15396621" </w:instrText>
      </w:r>
      <w:r>
        <w:rPr>
          <w:color w:val="auto"/>
        </w:rPr>
        <w:fldChar w:fldCharType="separate"/>
      </w:r>
      <w:r>
        <w:rPr>
          <w:rStyle w:val="13"/>
          <w:rFonts w:hint="eastAsia" w:ascii="仿宋" w:hAnsi="仿宋" w:eastAsia="仿宋"/>
          <w:color w:val="auto"/>
          <w:sz w:val="28"/>
          <w:szCs w:val="28"/>
        </w:rPr>
        <w:t>支出总表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_Toc15396621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四、</w:t>
      </w:r>
      <w:r>
        <w:rPr>
          <w:color w:val="auto"/>
        </w:rPr>
        <w:fldChar w:fldCharType="begin"/>
      </w:r>
      <w:r>
        <w:rPr>
          <w:color w:val="auto"/>
        </w:rPr>
        <w:instrText xml:space="preserve"> HYPERLINK \l "_Toc15396622" </w:instrText>
      </w:r>
      <w:r>
        <w:rPr>
          <w:color w:val="auto"/>
        </w:rPr>
        <w:fldChar w:fldCharType="separate"/>
      </w:r>
      <w:r>
        <w:rPr>
          <w:rStyle w:val="13"/>
          <w:rFonts w:hint="eastAsia" w:ascii="仿宋" w:hAnsi="仿宋" w:eastAsia="仿宋"/>
          <w:color w:val="auto"/>
          <w:sz w:val="28"/>
          <w:szCs w:val="28"/>
        </w:rPr>
        <w:t>财政拨款收入支出决算总表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_Toc15396622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五、</w:t>
      </w:r>
      <w:r>
        <w:rPr>
          <w:color w:val="auto"/>
        </w:rPr>
        <w:fldChar w:fldCharType="begin"/>
      </w:r>
      <w:r>
        <w:rPr>
          <w:color w:val="auto"/>
        </w:rPr>
        <w:instrText xml:space="preserve"> HYPERLINK \l "_Toc15396623" </w:instrText>
      </w:r>
      <w:r>
        <w:rPr>
          <w:color w:val="auto"/>
        </w:rPr>
        <w:fldChar w:fldCharType="separate"/>
      </w:r>
      <w:r>
        <w:rPr>
          <w:rFonts w:hint="eastAsia" w:ascii="仿宋" w:hAnsi="仿宋" w:eastAsia="仿宋"/>
          <w:color w:val="auto"/>
          <w:sz w:val="28"/>
          <w:szCs w:val="28"/>
        </w:rPr>
        <w:t>财政拨款支出决算明细表（政府经济分类科目）</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_Toc15396623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六、</w:t>
      </w:r>
      <w:r>
        <w:rPr>
          <w:color w:val="auto"/>
        </w:rPr>
        <w:fldChar w:fldCharType="begin"/>
      </w:r>
      <w:r>
        <w:rPr>
          <w:color w:val="auto"/>
        </w:rPr>
        <w:instrText xml:space="preserve"> HYPERLINK \l "_Toc15396624" </w:instrText>
      </w:r>
      <w:r>
        <w:rPr>
          <w:color w:val="auto"/>
        </w:rPr>
        <w:fldChar w:fldCharType="separate"/>
      </w:r>
      <w:r>
        <w:rPr>
          <w:rStyle w:val="13"/>
          <w:rFonts w:hint="eastAsia" w:ascii="仿宋" w:hAnsi="仿宋" w:eastAsia="仿宋"/>
          <w:color w:val="auto"/>
          <w:sz w:val="28"/>
          <w:szCs w:val="28"/>
        </w:rPr>
        <w:t>一般公共预算财政拨款支出决算表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_Toc15396624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七、</w:t>
      </w:r>
      <w:r>
        <w:rPr>
          <w:color w:val="auto"/>
        </w:rPr>
        <w:fldChar w:fldCharType="begin"/>
      </w:r>
      <w:r>
        <w:rPr>
          <w:color w:val="auto"/>
        </w:rPr>
        <w:instrText xml:space="preserve"> HYPERLINK \l "_Toc15396625" </w:instrText>
      </w:r>
      <w:r>
        <w:rPr>
          <w:color w:val="auto"/>
        </w:rPr>
        <w:fldChar w:fldCharType="separate"/>
      </w:r>
      <w:r>
        <w:rPr>
          <w:rStyle w:val="13"/>
          <w:rFonts w:hint="eastAsia" w:ascii="仿宋" w:hAnsi="仿宋" w:eastAsia="仿宋"/>
          <w:color w:val="auto"/>
          <w:sz w:val="28"/>
          <w:szCs w:val="28"/>
        </w:rPr>
        <w:t>一般公共预算财政拨款支出决算明细表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_Toc15396625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八、</w:t>
      </w:r>
      <w:r>
        <w:rPr>
          <w:color w:val="auto"/>
        </w:rPr>
        <w:fldChar w:fldCharType="begin"/>
      </w:r>
      <w:r>
        <w:rPr>
          <w:color w:val="auto"/>
        </w:rPr>
        <w:instrText xml:space="preserve"> HYPERLINK \l "_Toc15396626" </w:instrText>
      </w:r>
      <w:r>
        <w:rPr>
          <w:color w:val="auto"/>
        </w:rPr>
        <w:fldChar w:fldCharType="separate"/>
      </w:r>
      <w:r>
        <w:rPr>
          <w:rStyle w:val="13"/>
          <w:rFonts w:hint="eastAsia" w:ascii="仿宋" w:hAnsi="仿宋" w:eastAsia="仿宋"/>
          <w:color w:val="auto"/>
          <w:sz w:val="28"/>
          <w:szCs w:val="28"/>
        </w:rPr>
        <w:t>一般公共预算财政拨款基本支出决算表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_Toc15396626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九、</w:t>
      </w:r>
      <w:r>
        <w:rPr>
          <w:color w:val="auto"/>
        </w:rPr>
        <w:fldChar w:fldCharType="begin"/>
      </w:r>
      <w:r>
        <w:rPr>
          <w:color w:val="auto"/>
        </w:rPr>
        <w:instrText xml:space="preserve"> HYPERLINK \l "_Toc15396627" </w:instrText>
      </w:r>
      <w:r>
        <w:rPr>
          <w:color w:val="auto"/>
        </w:rPr>
        <w:fldChar w:fldCharType="separate"/>
      </w:r>
      <w:r>
        <w:rPr>
          <w:rStyle w:val="13"/>
          <w:rFonts w:hint="eastAsia" w:ascii="仿宋" w:hAnsi="仿宋" w:eastAsia="仿宋"/>
          <w:color w:val="auto"/>
          <w:sz w:val="28"/>
          <w:szCs w:val="28"/>
        </w:rPr>
        <w:t>一般公共预算财政拨款项目支出决算表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_Toc15396627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十、</w:t>
      </w:r>
      <w:r>
        <w:rPr>
          <w:color w:val="auto"/>
        </w:rPr>
        <w:fldChar w:fldCharType="begin"/>
      </w:r>
      <w:r>
        <w:rPr>
          <w:color w:val="auto"/>
        </w:rPr>
        <w:instrText xml:space="preserve"> HYPERLINK \l "_Toc15396628" </w:instrText>
      </w:r>
      <w:r>
        <w:rPr>
          <w:color w:val="auto"/>
        </w:rPr>
        <w:fldChar w:fldCharType="separate"/>
      </w:r>
      <w:r>
        <w:rPr>
          <w:rStyle w:val="13"/>
          <w:rFonts w:hint="eastAsia" w:ascii="仿宋" w:hAnsi="仿宋" w:eastAsia="仿宋"/>
          <w:color w:val="auto"/>
          <w:sz w:val="28"/>
          <w:szCs w:val="28"/>
        </w:rPr>
        <w:t>一般公共预算财政拨款“三公”经费支出决算表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_Toc15396628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十一、</w:t>
      </w:r>
      <w:r>
        <w:rPr>
          <w:color w:val="auto"/>
        </w:rPr>
        <w:fldChar w:fldCharType="begin"/>
      </w:r>
      <w:r>
        <w:rPr>
          <w:color w:val="auto"/>
        </w:rPr>
        <w:instrText xml:space="preserve"> HYPERLINK \l "_Toc15396629" </w:instrText>
      </w:r>
      <w:r>
        <w:rPr>
          <w:color w:val="auto"/>
        </w:rPr>
        <w:fldChar w:fldCharType="separate"/>
      </w:r>
      <w:r>
        <w:rPr>
          <w:rStyle w:val="13"/>
          <w:rFonts w:hint="eastAsia" w:ascii="仿宋" w:hAnsi="仿宋" w:eastAsia="仿宋"/>
          <w:color w:val="auto"/>
          <w:sz w:val="28"/>
          <w:szCs w:val="28"/>
        </w:rPr>
        <w:t>政府性基金预算财政拨款收入支出决算表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_Toc15396629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8"/>
          <w:szCs w:val="28"/>
        </w:rPr>
      </w:pPr>
      <w:r>
        <w:rPr>
          <w:rFonts w:hint="eastAsia" w:ascii="仿宋" w:hAnsi="仿宋" w:eastAsia="仿宋"/>
          <w:color w:val="auto"/>
          <w:sz w:val="28"/>
          <w:szCs w:val="28"/>
        </w:rPr>
        <w:t>十二、</w:t>
      </w:r>
      <w:r>
        <w:rPr>
          <w:color w:val="auto"/>
        </w:rPr>
        <w:fldChar w:fldCharType="begin"/>
      </w:r>
      <w:r>
        <w:rPr>
          <w:color w:val="auto"/>
        </w:rPr>
        <w:instrText xml:space="preserve"> HYPERLINK \l "_Toc15396630" </w:instrText>
      </w:r>
      <w:r>
        <w:rPr>
          <w:color w:val="auto"/>
        </w:rPr>
        <w:fldChar w:fldCharType="separate"/>
      </w:r>
      <w:r>
        <w:rPr>
          <w:rStyle w:val="13"/>
          <w:rFonts w:hint="eastAsia" w:ascii="仿宋" w:hAnsi="仿宋" w:eastAsia="仿宋"/>
          <w:color w:val="auto"/>
          <w:sz w:val="28"/>
          <w:szCs w:val="28"/>
        </w:rPr>
        <w:t>政府性基金预算财政拨款“三公”经费支出决算表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_Toc15396630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pStyle w:val="9"/>
        <w:rPr>
          <w:rFonts w:ascii="仿宋" w:hAnsi="仿宋" w:eastAsia="仿宋"/>
          <w:color w:val="auto"/>
          <w:sz w:val="24"/>
        </w:rPr>
      </w:pPr>
      <w:r>
        <w:rPr>
          <w:rFonts w:hint="eastAsia" w:ascii="仿宋" w:hAnsi="仿宋" w:eastAsia="仿宋"/>
          <w:color w:val="auto"/>
          <w:sz w:val="28"/>
          <w:szCs w:val="28"/>
        </w:rPr>
        <w:t>十三、</w:t>
      </w:r>
      <w:r>
        <w:rPr>
          <w:color w:val="auto"/>
        </w:rPr>
        <w:fldChar w:fldCharType="begin"/>
      </w:r>
      <w:r>
        <w:rPr>
          <w:color w:val="auto"/>
        </w:rPr>
        <w:instrText xml:space="preserve"> HYPERLINK \l "_Toc15396631" </w:instrText>
      </w:r>
      <w:r>
        <w:rPr>
          <w:color w:val="auto"/>
        </w:rPr>
        <w:fldChar w:fldCharType="separate"/>
      </w:r>
      <w:r>
        <w:rPr>
          <w:rStyle w:val="13"/>
          <w:rFonts w:hint="eastAsia" w:ascii="仿宋" w:hAnsi="仿宋" w:eastAsia="仿宋"/>
          <w:color w:val="auto"/>
          <w:sz w:val="28"/>
          <w:szCs w:val="28"/>
        </w:rPr>
        <w:t>国有资本经营预算支出决算表</w:t>
      </w:r>
      <w:r>
        <w:rPr>
          <w:rFonts w:ascii="仿宋" w:hAnsi="仿宋" w:eastAsia="仿宋"/>
          <w:color w:val="auto"/>
          <w:sz w:val="28"/>
          <w:szCs w:val="28"/>
        </w:rPr>
        <w:tab/>
      </w:r>
      <w:r>
        <w:rPr>
          <w:rFonts w:ascii="仿宋" w:hAnsi="仿宋" w:eastAsia="仿宋"/>
          <w:color w:val="auto"/>
          <w:sz w:val="28"/>
          <w:szCs w:val="28"/>
        </w:rPr>
        <w:fldChar w:fldCharType="begin"/>
      </w:r>
      <w:r>
        <w:rPr>
          <w:rFonts w:ascii="仿宋" w:hAnsi="仿宋" w:eastAsia="仿宋"/>
          <w:color w:val="auto"/>
          <w:sz w:val="28"/>
          <w:szCs w:val="28"/>
        </w:rPr>
        <w:instrText xml:space="preserve"> PAGEREF _Toc15396631 \h </w:instrText>
      </w:r>
      <w:r>
        <w:rPr>
          <w:rFonts w:ascii="仿宋" w:hAnsi="仿宋" w:eastAsia="仿宋"/>
          <w:color w:val="auto"/>
          <w:sz w:val="28"/>
          <w:szCs w:val="28"/>
        </w:rPr>
        <w:fldChar w:fldCharType="separate"/>
      </w:r>
      <w:r>
        <w:rPr>
          <w:rFonts w:ascii="仿宋" w:hAnsi="仿宋" w:eastAsia="仿宋"/>
          <w:color w:val="auto"/>
          <w:sz w:val="28"/>
          <w:szCs w:val="28"/>
        </w:rPr>
        <w:t>22</w:t>
      </w:r>
      <w:r>
        <w:rPr>
          <w:rFonts w:ascii="仿宋" w:hAnsi="仿宋" w:eastAsia="仿宋"/>
          <w:color w:val="auto"/>
          <w:sz w:val="28"/>
          <w:szCs w:val="28"/>
        </w:rPr>
        <w:fldChar w:fldCharType="end"/>
      </w:r>
      <w:r>
        <w:rPr>
          <w:rFonts w:ascii="仿宋" w:hAnsi="仿宋" w:eastAsia="仿宋"/>
          <w:color w:val="auto"/>
          <w:sz w:val="28"/>
          <w:szCs w:val="28"/>
        </w:rPr>
        <w:fldChar w:fldCharType="end"/>
      </w:r>
    </w:p>
    <w:p>
      <w:pPr>
        <w:widowControl/>
        <w:jc w:val="left"/>
        <w:rPr>
          <w:rFonts w:ascii="仿宋" w:hAnsi="仿宋" w:eastAsia="仿宋"/>
          <w:color w:val="auto"/>
          <w:sz w:val="24"/>
        </w:rPr>
      </w:pPr>
      <w:r>
        <w:rPr>
          <w:rFonts w:ascii="仿宋" w:hAnsi="仿宋" w:eastAsia="仿宋"/>
          <w:color w:val="auto"/>
          <w:sz w:val="24"/>
        </w:rPr>
        <w:fldChar w:fldCharType="end"/>
      </w:r>
    </w:p>
    <w:p>
      <w:pPr>
        <w:widowControl/>
        <w:jc w:val="center"/>
        <w:rPr>
          <w:rStyle w:val="14"/>
          <w:rFonts w:ascii="黑体" w:hAnsi="黑体" w:eastAsia="黑体"/>
          <w:bCs w:val="0"/>
          <w:color w:val="auto"/>
        </w:rPr>
      </w:pPr>
      <w:bookmarkStart w:id="11" w:name="_Toc15377196"/>
      <w:bookmarkStart w:id="12" w:name="_Toc15396599"/>
      <w:r>
        <w:rPr>
          <w:rFonts w:ascii="黑体" w:hAnsi="黑体" w:eastAsia="黑体"/>
          <w:b/>
          <w:color w:val="auto"/>
        </w:rPr>
        <w:br w:type="page"/>
      </w:r>
      <w:r>
        <w:rPr>
          <w:rStyle w:val="14"/>
          <w:rFonts w:hint="eastAsia" w:ascii="黑体" w:hAnsi="黑体" w:eastAsia="黑体"/>
          <w:b w:val="0"/>
          <w:bCs w:val="0"/>
          <w:color w:val="auto"/>
        </w:rPr>
        <w:t>第一部分 部门概况</w:t>
      </w:r>
      <w:bookmarkEnd w:id="11"/>
      <w:bookmarkEnd w:id="12"/>
    </w:p>
    <w:p>
      <w:pPr>
        <w:widowControl/>
        <w:jc w:val="left"/>
        <w:rPr>
          <w:rFonts w:ascii="黑体" w:eastAsia="黑体"/>
          <w:color w:val="auto"/>
          <w:sz w:val="32"/>
          <w:szCs w:val="32"/>
        </w:rPr>
      </w:pPr>
    </w:p>
    <w:p>
      <w:pPr>
        <w:pStyle w:val="3"/>
        <w:rPr>
          <w:rStyle w:val="15"/>
          <w:rFonts w:ascii="仿宋" w:hAnsi="仿宋" w:eastAsia="仿宋"/>
          <w:b w:val="0"/>
          <w:bCs w:val="0"/>
          <w:color w:val="auto"/>
        </w:rPr>
      </w:pPr>
      <w:bookmarkStart w:id="13" w:name="_Toc15377197"/>
      <w:bookmarkStart w:id="14" w:name="_Toc15396600"/>
      <w:r>
        <w:rPr>
          <w:rFonts w:hint="eastAsia" w:ascii="黑体" w:hAnsi="黑体" w:eastAsia="黑体"/>
          <w:b w:val="0"/>
          <w:color w:val="auto"/>
        </w:rPr>
        <w:t>一、基</w:t>
      </w:r>
      <w:r>
        <w:rPr>
          <w:rStyle w:val="15"/>
          <w:rFonts w:hint="eastAsia" w:ascii="黑体" w:hAnsi="黑体" w:eastAsia="黑体"/>
          <w:b w:val="0"/>
          <w:bCs w:val="0"/>
          <w:color w:val="auto"/>
        </w:rPr>
        <w:t>本职能及主要工作</w:t>
      </w:r>
      <w:bookmarkEnd w:id="13"/>
      <w:bookmarkEnd w:id="14"/>
    </w:p>
    <w:p>
      <w:pPr>
        <w:pStyle w:val="4"/>
        <w:adjustRightInd w:val="0"/>
        <w:snapToGrid w:val="0"/>
        <w:spacing w:before="93" w:line="600" w:lineRule="exact"/>
        <w:ind w:firstLine="672" w:firstLineChars="210"/>
        <w:outlineLvl w:val="2"/>
        <w:rPr>
          <w:rFonts w:hint="eastAsia" w:ascii="仿宋" w:hAnsi="仿宋" w:eastAsia="仿宋"/>
          <w:bCs/>
          <w:color w:val="auto"/>
          <w:sz w:val="32"/>
          <w:szCs w:val="32"/>
        </w:rPr>
      </w:pPr>
      <w:bookmarkStart w:id="15" w:name="_Toc15378445"/>
      <w:bookmarkStart w:id="16" w:name="_Toc15377198"/>
      <w:r>
        <w:rPr>
          <w:rFonts w:hint="eastAsia" w:ascii="仿宋" w:hAnsi="仿宋" w:eastAsia="仿宋"/>
          <w:bCs/>
          <w:color w:val="auto"/>
          <w:sz w:val="32"/>
          <w:szCs w:val="32"/>
        </w:rPr>
        <w:t>（一）主要职能。</w:t>
      </w:r>
      <w:bookmarkEnd w:id="15"/>
      <w:bookmarkEnd w:id="16"/>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达州市达川区人民政府教育督导室是达州市达川区人民政府直属事业单位，委托达州市达川区教科局代管。主要职责有：</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1.督政，即对下级人民政府的教育工作进行督导评估，对同级人民政府的组成部门履行教育职责督导检查；</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2.督学，即对辖区内所有学校进行综合督导评估；</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3.建立质量监测评估体系；</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4.对教育重要事项进行专项督导评估；</w:t>
      </w:r>
    </w:p>
    <w:p>
      <w:pPr>
        <w:ind w:firstLine="560" w:firstLineChars="200"/>
        <w:rPr>
          <w:rFonts w:hint="eastAsia" w:ascii="仿宋" w:hAnsi="仿宋" w:eastAsia="仿宋"/>
          <w:bCs/>
          <w:color w:val="auto"/>
          <w:sz w:val="32"/>
          <w:szCs w:val="32"/>
        </w:rPr>
      </w:pPr>
      <w:r>
        <w:rPr>
          <w:rFonts w:hint="eastAsia" w:ascii="仿宋_GB2312" w:eastAsia="仿宋_GB2312"/>
          <w:color w:val="auto"/>
          <w:sz w:val="28"/>
          <w:szCs w:val="28"/>
          <w:shd w:val="clear" w:color="auto" w:fill="FFFFFF"/>
        </w:rPr>
        <w:t>5.对教育上的热点、难点问题进行督导调研，为同级人民政府对教育工作的决策提供重要依据。</w:t>
      </w:r>
    </w:p>
    <w:p>
      <w:pPr>
        <w:pStyle w:val="4"/>
        <w:adjustRightInd w:val="0"/>
        <w:snapToGrid w:val="0"/>
        <w:spacing w:before="93" w:line="600" w:lineRule="exact"/>
        <w:ind w:firstLine="672" w:firstLineChars="210"/>
        <w:outlineLvl w:val="2"/>
        <w:rPr>
          <w:rFonts w:hint="eastAsia" w:ascii="仿宋" w:hAnsi="仿宋" w:eastAsia="仿宋"/>
          <w:bCs/>
          <w:color w:val="auto"/>
          <w:sz w:val="32"/>
          <w:szCs w:val="32"/>
        </w:rPr>
      </w:pPr>
      <w:bookmarkStart w:id="17" w:name="_Toc15378446"/>
      <w:bookmarkStart w:id="18" w:name="_Toc15377199"/>
      <w:r>
        <w:rPr>
          <w:rFonts w:hint="eastAsia" w:ascii="仿宋" w:hAnsi="仿宋" w:eastAsia="仿宋"/>
          <w:bCs/>
          <w:color w:val="auto"/>
          <w:sz w:val="32"/>
          <w:szCs w:val="32"/>
        </w:rPr>
        <w:t>（二）</w:t>
      </w:r>
      <w:r>
        <w:rPr>
          <w:rFonts w:ascii="仿宋" w:hAnsi="仿宋" w:eastAsia="仿宋"/>
          <w:bCs/>
          <w:color w:val="auto"/>
          <w:sz w:val="32"/>
          <w:szCs w:val="32"/>
        </w:rPr>
        <w:t>201</w:t>
      </w:r>
      <w:r>
        <w:rPr>
          <w:rFonts w:hint="eastAsia" w:ascii="仿宋" w:hAnsi="仿宋" w:eastAsia="仿宋"/>
          <w:bCs/>
          <w:color w:val="auto"/>
          <w:sz w:val="32"/>
          <w:szCs w:val="32"/>
        </w:rPr>
        <w:t>8年重点工作完成情况。</w:t>
      </w:r>
      <w:bookmarkEnd w:id="17"/>
      <w:bookmarkEnd w:id="18"/>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1.强队伍，开展督学及督学责任区规范管理建设工作</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为深入贯彻落实习近平新时代中国特色社会主义思想和党的十九大精神，推进教育督导工作规范开展，强化督学队伍聘任、培训、管理、考核工作，着力打造一支业务精良、结构合理、热爱教育督导事业的高水平督学队伍，充分发挥督学监督、指导、评价和服务职能，有效促进达川教科事业改革和发展，区政府教育督导室根据国务院《教育督导条例》及教育部《督学管理暂行办法》，印发了《达州市达川区教育科技知识产权局达州市达川区人民政府教育督导室关于加强督学队伍建设的实施意见》《达州市达川区人民政府教育督导室关于督学责任区工作及责任督学管理考核实施办法（试行）》。 一年来，各督学责任区工作状态明显好转，基本做到上班有考勤，工作有考核，按质按时完成了教科局、教育督导室安排布置的各项工作。</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2.提质量，开展全区首次中西部教育发展评估监测</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5月25日，省教育厅办公厅组织开展了加快中西部教育发展评估监测工作培训，督导室李杰、秦艳两名同志参加了培训。区政府教育督导室根据培训会精神，印发了《达川区教育科技知识产权局达川区人民政府教育督导室关于加快中西部教育发展监测评估实施方案通知》，召开了培训会，对评估监测的各阶段教育硬件设施、师资、学生及发展措施、效益等内容进行了明确，对监测的人员安排及工作时限等进行了详细布置。教育督导室通过精心组织，与计财股、基教股、政工股、法规股、后管中心密切配合，在6月中旬，顺利完成对我区学前教育、义务教育、高中教育、职业教育、特殊教育的发展评估监测。</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3.转职能，全力突击开展教育脱贫攻坚工作</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为落实教育局党委2018年“四轮驱动”（大党建、大扶贫、大提升、大监督）工作主线，教育督导办积极响应号召，全力配合教科局开展大扶贫工作，派出办公室副主任蔡能斌集中精力突击脱贫攻坚，牵头做好教科系统结对帮扶工作。</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(1)各学校（单位）制发了《结对帮扶工作方案》，按照一月一主题，每月开展4-8次结对帮扶，每次做一件实事（宣传一次政策文化、解决一个问题、谈一次心、帮助打扫一次卫生）的工作思路，扎实细致对每周结对帮扶工作进行安排布置；</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(2)明确了各学校（单位）、人员帮扶职责，开展了教科系统帮扶人员、贫困户、驻村队员及帮扶乡镇、村大统计；</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(3)认真组织开展对贫困村、贫困户物资帮扶，2018年为贫困村送瑶鸡6300只，化肥23吨，生猪79头（小猪65头、母猪12头、公猪1头）。</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(4)积极组织、协调筹办东部、南部、西部脱贫攻坚文艺汇演，宣传了一大批扶贫先进单位和个人，推广了扶贫工作先进做法，营造了脱贫攻坚最当先，扶贫工作人人干的良好氛围，涌现了勇救山火第一书记向荣等扶贫先进人物和事迹；</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(5)五是指导相关学校认真开展帮扶深度贫困村学校，按照市教育局工作要求，及时对帮扶深度贫困村学校工作进行安排布置，全区六所学校赠送物质及现金计价值近25万元，送优质课近40节，开展教研、专题讲座及文体活动近20场次。</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(6)全面开展脱贫攻坚抽查，11月，督导办和扶贫办全体人员一道对中小学校控辍保学入户走访、扶贫资料建设等工作逐校进行了督查，对发现的问题及时向学校作了反馈，问题严重的以快报形式迅速在全局进行了通报，有效促进了脱贫攻坚各项工作全覆盖，及时弥补了工作短板。</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4.应关切，高质量完成上级督导部门部署的各项督导工作。</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(1)根据国家教育督导委《关于开展学前教育相关工作督导检查的通知》文件要求，对全区学前教育办园条件、教职工队伍、安全卫生、保育教育、内部管理等进行了督导调研，掌握了全区学前教育发展基本现状，明晰了我区学前教育的优势和存在的问题，明确了今后发展方向；</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(2)抓安全防线，按照国家、省教育督导委员会关于中小学校安全及中小学生欺凌防治落实工作要求，及时印发《达州市达川区教育系统加强中小学欺凌综合治理实施方案》《达州市达川区人民政府教育督导关于开展中小学生欺凌防治落实行动的通知》，对各校安全工作及校园欺凌防治进行了全面督导检查，摸清各校存在安全隐患风险点，督促相关学校及时开展整改和纠正，并将相关工作建议向上级督导部门作了汇报；</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(3)按照国家、省教育督导部门要求，全面系统开展了全区中小学生“减负”及校外培训机构专项治理工作，印发了《达川区人民政府教育督导室关于开展中小学减负工作专项督查通知》，在区政府教育督导室的安排组织下，区食药局、区安监局、区民政局、区人社局及局法规局、督学责任区协调配合，分工合作，全面细致开展了专项检查，通过检查，全区未取得办学许可证、未取得营业执照的校外培训机构有14家，领取营业执照但未取得办学许可证的校外培训机构有15家，111家取得办学许可证的教育培训机构中有66家存在需整改的问题，减负工作存在个别教师用分数评价学生，轻微体罚或变相体罚学生情况；</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(4)国家督导委工作要求，对我区2017年基本条件办学条件未达标的6所农村薄弱学校进行了督导，并对已达标农村薄弱学校按20%比例进行了随机抽查，通过2018年48所农村学校实施标准中心校建设，农村学校办学基本条件大幅提高，教学环境明显改观，基本消除了办学基本条件的“20条底线”问题。</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5.排难忧，及时完成教科局交办的各项重难点工作</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2018年，区政府教育督导室积极配合支持教科局重难点工作，及时开展对各中小学校重难点工作督查督办。</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(1)切实开展中小学校开学工作专项督导，对各校开学准备、党建工作、脱贫攻坚、项目建设、办学行为及安全维稳等方面进行了全面督查和指导，确保了顺利开学和各项工作迅速推进。</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(2)系统清理原教办固定资产，督导室先后召开专题会议5次，各督学责任区召开涉原教办资产退休人员、在职教师座谈会30余次。经过艰苦细致工作，清理发现，原教办共有办公用房1287㎡，生活用房约6375㎡，门市约428，库房约188㎡，目前已清退生活用房15套共1111㎡。</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(3)积极与局监察室配合，于10月份开展了对直属学校、直属事业单位“12340”工作督导，促进了各学校（单位）对“12340”工作全面开展和资料完善；</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(4)积极配合局信管办开展对各校教育信息化应用工作督导检查，促进了学校小鱼办公、全景平台及多媒体教学等教育信息化设备的应用和推广，助推了全区教育教学水平的提高。</w:t>
      </w:r>
    </w:p>
    <w:p>
      <w:pPr>
        <w:pStyle w:val="3"/>
        <w:rPr>
          <w:rStyle w:val="15"/>
          <w:b w:val="0"/>
          <w:bCs w:val="0"/>
          <w:color w:val="auto"/>
        </w:rPr>
      </w:pPr>
      <w:bookmarkStart w:id="19" w:name="_Toc15377200"/>
      <w:bookmarkStart w:id="20" w:name="_Toc15396601"/>
      <w:r>
        <w:rPr>
          <w:rFonts w:hint="eastAsia" w:ascii="黑体" w:eastAsia="黑体"/>
          <w:b w:val="0"/>
          <w:color w:val="auto"/>
        </w:rPr>
        <w:t>二、</w:t>
      </w:r>
      <w:r>
        <w:rPr>
          <w:rFonts w:hint="eastAsia" w:ascii="黑体" w:hAnsi="黑体" w:eastAsia="黑体"/>
          <w:b w:val="0"/>
          <w:color w:val="auto"/>
        </w:rPr>
        <w:t>机</w:t>
      </w:r>
      <w:r>
        <w:rPr>
          <w:rStyle w:val="15"/>
          <w:rFonts w:hint="eastAsia" w:ascii="黑体" w:hAnsi="黑体" w:eastAsia="黑体"/>
          <w:b w:val="0"/>
          <w:bCs w:val="0"/>
          <w:color w:val="auto"/>
        </w:rPr>
        <w:t>构设置</w:t>
      </w:r>
      <w:bookmarkEnd w:id="19"/>
      <w:bookmarkEnd w:id="20"/>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经达编〔2010〕6号文件批准，设立达川区人民政府教育督导室（以下简称“督导室”），编制5名。下设9个督学责任区，其中第一责任督学区至第八责任督学区为农村乡镇督学责任区，依序称为翠屏督学责任区、大树督学责任区、麻柳督学责任区、赵家督学责任区、管村督学责任区、三里责任区、石桥督学责任区、直属督学责任区。分别设在翠屏街道办事处、大树镇、麻柳镇、亭子镇、赵家镇、管村镇、三里坪街道办事处、石桥镇。主要履行本辖区内第(2)、(3)、(4)、(5)条所列职能及督导室、教科局安排的相关工作；第九督学责任区为直属督学责任区，主要履行对教科局直属的17所学校督导职能。</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由于各督学责任区纳入督导室预算，因此督导室2018年度部门决算编制范围仅有本单位，没有二级预算单位</w:t>
      </w:r>
    </w:p>
    <w:p>
      <w:pPr>
        <w:widowControl/>
        <w:jc w:val="center"/>
        <w:rPr>
          <w:rStyle w:val="14"/>
          <w:rFonts w:ascii="黑体" w:hAnsi="黑体" w:eastAsia="黑体"/>
          <w:b w:val="0"/>
          <w:bCs w:val="0"/>
          <w:color w:val="auto"/>
        </w:rPr>
      </w:pPr>
      <w:r>
        <w:rPr>
          <w:rFonts w:ascii="仿宋" w:hAnsi="仿宋" w:eastAsia="仿宋"/>
          <w:color w:val="auto"/>
          <w:sz w:val="32"/>
          <w:szCs w:val="32"/>
        </w:rPr>
        <w:br w:type="page"/>
      </w:r>
      <w:r>
        <w:rPr>
          <w:rStyle w:val="14"/>
          <w:rFonts w:hint="eastAsia" w:ascii="黑体" w:hAnsi="黑体" w:eastAsia="黑体"/>
          <w:b w:val="0"/>
          <w:bCs w:val="0"/>
          <w:color w:val="auto"/>
        </w:rPr>
        <w:t>第二部分 2018年度部门决算情况说明</w:t>
      </w:r>
    </w:p>
    <w:p>
      <w:pPr>
        <w:rPr>
          <w:color w:val="auto"/>
        </w:rPr>
      </w:pPr>
    </w:p>
    <w:p>
      <w:pPr>
        <w:pStyle w:val="23"/>
        <w:ind w:firstLine="640"/>
        <w:outlineLvl w:val="1"/>
        <w:rPr>
          <w:rStyle w:val="15"/>
          <w:rFonts w:ascii="黑体" w:hAnsi="黑体" w:eastAsia="黑体"/>
          <w:b w:val="0"/>
          <w:color w:val="auto"/>
        </w:rPr>
      </w:pPr>
      <w:bookmarkStart w:id="21" w:name="_Toc15377205"/>
      <w:bookmarkStart w:id="22" w:name="_Toc15396603"/>
      <w:r>
        <w:rPr>
          <w:rFonts w:hint="eastAsia" w:ascii="黑体" w:hAnsi="黑体" w:eastAsia="黑体"/>
          <w:color w:val="auto"/>
          <w:sz w:val="32"/>
          <w:szCs w:val="32"/>
        </w:rPr>
        <w:t>一、收</w:t>
      </w:r>
      <w:r>
        <w:rPr>
          <w:rStyle w:val="15"/>
          <w:rFonts w:hint="eastAsia" w:ascii="黑体" w:hAnsi="黑体" w:eastAsia="黑体"/>
          <w:b w:val="0"/>
          <w:color w:val="auto"/>
        </w:rPr>
        <w:t>入支出决算总体情况说明</w:t>
      </w:r>
      <w:bookmarkEnd w:id="21"/>
      <w:bookmarkEnd w:id="22"/>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2018年度收、支总计151.97万元。与2017年相比，收、支总计各增加46.06万元，增长</w:t>
      </w:r>
      <w:r>
        <w:rPr>
          <w:rFonts w:ascii="仿宋" w:hAnsi="仿宋" w:eastAsia="仿宋"/>
          <w:color w:val="auto"/>
          <w:sz w:val="32"/>
          <w:szCs w:val="32"/>
        </w:rPr>
        <w:t>43.49%</w:t>
      </w:r>
      <w:r>
        <w:rPr>
          <w:rFonts w:hint="eastAsia" w:ascii="仿宋" w:hAnsi="仿宋" w:eastAsia="仿宋"/>
          <w:color w:val="auto"/>
          <w:sz w:val="32"/>
          <w:szCs w:val="32"/>
        </w:rPr>
        <w:t>。主要变动原因是教育督导工作更加规范，进一步配备了督导人员。</w:t>
      </w:r>
    </w:p>
    <w:p>
      <w:pPr>
        <w:jc w:val="center"/>
        <w:rPr>
          <w:rFonts w:hint="eastAsia" w:ascii="仿宋" w:hAnsi="仿宋" w:eastAsia="仿宋"/>
          <w:color w:val="auto"/>
          <w:sz w:val="32"/>
          <w:szCs w:val="32"/>
        </w:rPr>
      </w:pPr>
      <w:r>
        <w:rPr>
          <w:color w:val="auto"/>
        </w:rPr>
        <w:drawing>
          <wp:inline distT="0" distB="0" distL="0" distR="0">
            <wp:extent cx="5267325" cy="2428875"/>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6" cstate="print"/>
                    <a:srcRect/>
                    <a:stretch>
                      <a:fillRect/>
                    </a:stretch>
                  </pic:blipFill>
                  <pic:spPr>
                    <a:xfrm>
                      <a:off x="0" y="0"/>
                      <a:ext cx="5267325" cy="2428875"/>
                    </a:xfrm>
                    <a:prstGeom prst="rect">
                      <a:avLst/>
                    </a:prstGeom>
                    <a:noFill/>
                    <a:ln w="9525">
                      <a:noFill/>
                      <a:miter lim="800000"/>
                      <a:headEnd/>
                      <a:tailEnd/>
                    </a:ln>
                  </pic:spPr>
                </pic:pic>
              </a:graphicData>
            </a:graphic>
          </wp:inline>
        </w:drawing>
      </w:r>
    </w:p>
    <w:p>
      <w:pPr>
        <w:jc w:val="center"/>
        <w:rPr>
          <w:rFonts w:ascii="仿宋" w:hAnsi="仿宋" w:eastAsia="仿宋"/>
          <w:color w:val="auto"/>
          <w:sz w:val="32"/>
          <w:szCs w:val="32"/>
        </w:rPr>
      </w:pPr>
      <w:r>
        <w:rPr>
          <w:rFonts w:hint="eastAsia" w:ascii="仿宋" w:hAnsi="仿宋" w:eastAsia="仿宋"/>
          <w:color w:val="auto"/>
          <w:sz w:val="32"/>
          <w:szCs w:val="32"/>
        </w:rPr>
        <w:t>图</w:t>
      </w:r>
      <w:r>
        <w:rPr>
          <w:rFonts w:ascii="仿宋" w:hAnsi="仿宋" w:eastAsia="仿宋"/>
          <w:color w:val="auto"/>
          <w:sz w:val="32"/>
          <w:szCs w:val="32"/>
        </w:rPr>
        <w:t>1</w:t>
      </w:r>
      <w:r>
        <w:rPr>
          <w:rFonts w:hint="eastAsia" w:ascii="仿宋" w:hAnsi="仿宋" w:eastAsia="仿宋"/>
          <w:color w:val="auto"/>
          <w:sz w:val="32"/>
          <w:szCs w:val="32"/>
        </w:rPr>
        <w:t>：收、支决算总计变动情况图</w:t>
      </w:r>
    </w:p>
    <w:p>
      <w:pPr>
        <w:pStyle w:val="23"/>
        <w:ind w:left="640" w:firstLine="0" w:firstLineChars="0"/>
        <w:outlineLvl w:val="1"/>
        <w:rPr>
          <w:rStyle w:val="15"/>
          <w:rFonts w:ascii="黑体" w:hAnsi="黑体" w:eastAsia="黑体"/>
          <w:b w:val="0"/>
          <w:color w:val="auto"/>
        </w:rPr>
      </w:pPr>
      <w:bookmarkStart w:id="23" w:name="_Toc15377206"/>
      <w:bookmarkStart w:id="24" w:name="_Toc15396604"/>
      <w:r>
        <w:rPr>
          <w:rFonts w:hint="eastAsia" w:ascii="黑体" w:hAnsi="黑体" w:eastAsia="黑体"/>
          <w:color w:val="auto"/>
          <w:sz w:val="32"/>
          <w:szCs w:val="32"/>
        </w:rPr>
        <w:t>二、收</w:t>
      </w:r>
      <w:r>
        <w:rPr>
          <w:rStyle w:val="15"/>
          <w:rFonts w:hint="eastAsia" w:ascii="黑体" w:hAnsi="黑体" w:eastAsia="黑体"/>
          <w:b w:val="0"/>
          <w:color w:val="auto"/>
        </w:rPr>
        <w:t>入决算情况说明</w:t>
      </w:r>
      <w:bookmarkEnd w:id="23"/>
      <w:bookmarkEnd w:id="24"/>
    </w:p>
    <w:p>
      <w:pPr>
        <w:ind w:firstLine="640" w:firstLineChars="200"/>
        <w:outlineLvl w:val="1"/>
        <w:rPr>
          <w:rFonts w:hint="eastAsia"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8年本年收入合计132.72万元，其中：一般公共预算财政拨款收入132.72万元，占100.00</w:t>
      </w:r>
      <w:r>
        <w:rPr>
          <w:rFonts w:ascii="仿宋" w:hAnsi="仿宋" w:eastAsia="仿宋"/>
          <w:color w:val="auto"/>
          <w:sz w:val="32"/>
          <w:szCs w:val="32"/>
        </w:rPr>
        <w:t>%</w:t>
      </w:r>
      <w:r>
        <w:rPr>
          <w:rFonts w:hint="eastAsia" w:ascii="仿宋" w:hAnsi="仿宋" w:eastAsia="仿宋"/>
          <w:color w:val="auto"/>
          <w:sz w:val="32"/>
          <w:szCs w:val="32"/>
        </w:rPr>
        <w:t>；政府性基金预算财政拨款收入0万元，占0</w:t>
      </w:r>
      <w:r>
        <w:rPr>
          <w:rFonts w:ascii="仿宋" w:hAnsi="仿宋" w:eastAsia="仿宋"/>
          <w:color w:val="auto"/>
          <w:sz w:val="32"/>
          <w:szCs w:val="32"/>
        </w:rPr>
        <w:t>%</w:t>
      </w:r>
      <w:r>
        <w:rPr>
          <w:rFonts w:hint="eastAsia" w:ascii="仿宋" w:hAnsi="仿宋" w:eastAsia="仿宋"/>
          <w:color w:val="auto"/>
          <w:sz w:val="32"/>
          <w:szCs w:val="32"/>
        </w:rPr>
        <w:t>；国有资本经营预算财政拨款收入0万元，占0</w:t>
      </w:r>
      <w:r>
        <w:rPr>
          <w:rFonts w:ascii="仿宋" w:hAnsi="仿宋" w:eastAsia="仿宋"/>
          <w:color w:val="auto"/>
          <w:sz w:val="32"/>
          <w:szCs w:val="32"/>
        </w:rPr>
        <w:t>%</w:t>
      </w:r>
      <w:r>
        <w:rPr>
          <w:rFonts w:hint="eastAsia" w:ascii="仿宋" w:hAnsi="仿宋" w:eastAsia="仿宋"/>
          <w:color w:val="auto"/>
          <w:sz w:val="32"/>
          <w:szCs w:val="32"/>
        </w:rPr>
        <w:t>；事业收入0万元，占0</w:t>
      </w:r>
      <w:r>
        <w:rPr>
          <w:rFonts w:ascii="仿宋" w:hAnsi="仿宋" w:eastAsia="仿宋"/>
          <w:color w:val="auto"/>
          <w:sz w:val="32"/>
          <w:szCs w:val="32"/>
        </w:rPr>
        <w:t>%</w:t>
      </w:r>
      <w:r>
        <w:rPr>
          <w:rFonts w:hint="eastAsia" w:ascii="仿宋" w:hAnsi="仿宋" w:eastAsia="仿宋"/>
          <w:color w:val="auto"/>
          <w:sz w:val="32"/>
          <w:szCs w:val="32"/>
        </w:rPr>
        <w:t>；经营收入0万元，占0</w:t>
      </w:r>
      <w:r>
        <w:rPr>
          <w:rFonts w:ascii="仿宋" w:hAnsi="仿宋" w:eastAsia="仿宋"/>
          <w:color w:val="auto"/>
          <w:sz w:val="32"/>
          <w:szCs w:val="32"/>
        </w:rPr>
        <w:t>%</w:t>
      </w:r>
      <w:r>
        <w:rPr>
          <w:rFonts w:hint="eastAsia" w:ascii="仿宋" w:hAnsi="仿宋" w:eastAsia="仿宋"/>
          <w:color w:val="auto"/>
          <w:sz w:val="32"/>
          <w:szCs w:val="32"/>
        </w:rPr>
        <w:t>；附属单位上缴收入0万元，占0</w:t>
      </w:r>
      <w:r>
        <w:rPr>
          <w:rFonts w:ascii="仿宋" w:hAnsi="仿宋" w:eastAsia="仿宋"/>
          <w:color w:val="auto"/>
          <w:sz w:val="32"/>
          <w:szCs w:val="32"/>
        </w:rPr>
        <w:t>%</w:t>
      </w:r>
      <w:r>
        <w:rPr>
          <w:rFonts w:hint="eastAsia" w:ascii="仿宋" w:hAnsi="仿宋" w:eastAsia="仿宋"/>
          <w:color w:val="auto"/>
          <w:sz w:val="32"/>
          <w:szCs w:val="32"/>
        </w:rPr>
        <w:t>；其他收入0万元，占0</w:t>
      </w:r>
      <w:r>
        <w:rPr>
          <w:rFonts w:ascii="仿宋" w:hAnsi="仿宋" w:eastAsia="仿宋"/>
          <w:color w:val="auto"/>
          <w:sz w:val="32"/>
          <w:szCs w:val="32"/>
        </w:rPr>
        <w:t>%</w:t>
      </w:r>
      <w:r>
        <w:rPr>
          <w:rFonts w:hint="eastAsia" w:ascii="仿宋" w:hAnsi="仿宋" w:eastAsia="仿宋"/>
          <w:color w:val="auto"/>
          <w:sz w:val="32"/>
          <w:szCs w:val="32"/>
        </w:rPr>
        <w:t>。</w:t>
      </w:r>
    </w:p>
    <w:p>
      <w:pPr>
        <w:jc w:val="center"/>
        <w:outlineLvl w:val="1"/>
        <w:rPr>
          <w:rFonts w:hint="eastAsia" w:ascii="仿宋" w:hAnsi="仿宋" w:eastAsia="仿宋"/>
          <w:color w:val="auto"/>
          <w:sz w:val="32"/>
          <w:szCs w:val="32"/>
        </w:rPr>
      </w:pPr>
      <w:r>
        <w:rPr>
          <w:color w:val="auto"/>
        </w:rPr>
        <w:drawing>
          <wp:inline distT="0" distB="0" distL="0" distR="0">
            <wp:extent cx="5276850" cy="2486025"/>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7" cstate="print"/>
                    <a:srcRect/>
                    <a:stretch>
                      <a:fillRect/>
                    </a:stretch>
                  </pic:blipFill>
                  <pic:spPr>
                    <a:xfrm>
                      <a:off x="0" y="0"/>
                      <a:ext cx="5276850" cy="2486025"/>
                    </a:xfrm>
                    <a:prstGeom prst="rect">
                      <a:avLst/>
                    </a:prstGeom>
                    <a:noFill/>
                    <a:ln w="9525">
                      <a:noFill/>
                      <a:miter lim="800000"/>
                      <a:headEnd/>
                      <a:tailEnd/>
                    </a:ln>
                  </pic:spPr>
                </pic:pic>
              </a:graphicData>
            </a:graphic>
          </wp:inline>
        </w:drawing>
      </w:r>
    </w:p>
    <w:p>
      <w:pPr>
        <w:jc w:val="center"/>
        <w:rPr>
          <w:rFonts w:ascii="仿宋" w:hAnsi="仿宋" w:eastAsia="仿宋"/>
          <w:color w:val="auto"/>
          <w:sz w:val="32"/>
          <w:szCs w:val="32"/>
        </w:rPr>
      </w:pPr>
      <w:r>
        <w:rPr>
          <w:rFonts w:hint="eastAsia" w:ascii="仿宋" w:hAnsi="仿宋" w:eastAsia="仿宋"/>
          <w:color w:val="auto"/>
          <w:sz w:val="32"/>
          <w:szCs w:val="32"/>
        </w:rPr>
        <w:t>图2：收入决算结构图</w:t>
      </w:r>
    </w:p>
    <w:p>
      <w:pPr>
        <w:pStyle w:val="23"/>
        <w:ind w:left="640" w:firstLine="0" w:firstLineChars="0"/>
        <w:outlineLvl w:val="1"/>
        <w:rPr>
          <w:rStyle w:val="15"/>
          <w:rFonts w:ascii="黑体" w:hAnsi="黑体" w:eastAsia="黑体"/>
          <w:b w:val="0"/>
          <w:color w:val="auto"/>
        </w:rPr>
      </w:pPr>
      <w:bookmarkStart w:id="25" w:name="_Toc15396605"/>
      <w:bookmarkStart w:id="26" w:name="_Toc15377207"/>
      <w:r>
        <w:rPr>
          <w:rFonts w:hint="eastAsia" w:ascii="黑体" w:hAnsi="黑体" w:eastAsia="黑体"/>
          <w:color w:val="auto"/>
          <w:sz w:val="32"/>
          <w:szCs w:val="32"/>
        </w:rPr>
        <w:t>三、支</w:t>
      </w:r>
      <w:r>
        <w:rPr>
          <w:rStyle w:val="15"/>
          <w:rFonts w:hint="eastAsia" w:ascii="黑体" w:hAnsi="黑体" w:eastAsia="黑体"/>
          <w:b w:val="0"/>
          <w:color w:val="auto"/>
        </w:rPr>
        <w:t>出决算情况说明</w:t>
      </w:r>
      <w:bookmarkEnd w:id="25"/>
      <w:bookmarkEnd w:id="26"/>
    </w:p>
    <w:p>
      <w:pPr>
        <w:ind w:firstLine="640"/>
        <w:rPr>
          <w:rFonts w:hint="eastAsia"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8年本年支出合计129.98万元，其中：基本支出129.98万元，占100.00</w:t>
      </w:r>
      <w:r>
        <w:rPr>
          <w:rFonts w:ascii="仿宋" w:hAnsi="仿宋" w:eastAsia="仿宋"/>
          <w:color w:val="auto"/>
          <w:sz w:val="32"/>
          <w:szCs w:val="32"/>
        </w:rPr>
        <w:t>%</w:t>
      </w:r>
      <w:r>
        <w:rPr>
          <w:rFonts w:hint="eastAsia" w:ascii="仿宋" w:hAnsi="仿宋" w:eastAsia="仿宋"/>
          <w:color w:val="auto"/>
          <w:sz w:val="32"/>
          <w:szCs w:val="32"/>
        </w:rPr>
        <w:t>；项目支出0万元，占0</w:t>
      </w:r>
      <w:r>
        <w:rPr>
          <w:rFonts w:ascii="仿宋" w:hAnsi="仿宋" w:eastAsia="仿宋"/>
          <w:color w:val="auto"/>
          <w:sz w:val="32"/>
          <w:szCs w:val="32"/>
        </w:rPr>
        <w:t>%</w:t>
      </w:r>
      <w:r>
        <w:rPr>
          <w:rFonts w:hint="eastAsia" w:ascii="仿宋" w:hAnsi="仿宋" w:eastAsia="仿宋"/>
          <w:color w:val="auto"/>
          <w:sz w:val="32"/>
          <w:szCs w:val="32"/>
        </w:rPr>
        <w:t>；上缴上级支出0万元，占0</w:t>
      </w:r>
      <w:r>
        <w:rPr>
          <w:rFonts w:ascii="仿宋" w:hAnsi="仿宋" w:eastAsia="仿宋"/>
          <w:color w:val="auto"/>
          <w:sz w:val="32"/>
          <w:szCs w:val="32"/>
        </w:rPr>
        <w:t>%</w:t>
      </w:r>
      <w:r>
        <w:rPr>
          <w:rFonts w:hint="eastAsia" w:ascii="仿宋" w:hAnsi="仿宋" w:eastAsia="仿宋"/>
          <w:color w:val="auto"/>
          <w:sz w:val="32"/>
          <w:szCs w:val="32"/>
        </w:rPr>
        <w:t>；经营支出0万元，占0</w:t>
      </w:r>
      <w:r>
        <w:rPr>
          <w:rFonts w:ascii="仿宋" w:hAnsi="仿宋" w:eastAsia="仿宋"/>
          <w:color w:val="auto"/>
          <w:sz w:val="32"/>
          <w:szCs w:val="32"/>
        </w:rPr>
        <w:t>%</w:t>
      </w:r>
      <w:r>
        <w:rPr>
          <w:rFonts w:hint="eastAsia" w:ascii="仿宋" w:hAnsi="仿宋" w:eastAsia="仿宋"/>
          <w:color w:val="auto"/>
          <w:sz w:val="32"/>
          <w:szCs w:val="32"/>
        </w:rPr>
        <w:t>；对附属单位补助支出0万元，占0</w:t>
      </w:r>
      <w:r>
        <w:rPr>
          <w:rFonts w:ascii="仿宋" w:hAnsi="仿宋" w:eastAsia="仿宋"/>
          <w:color w:val="auto"/>
          <w:sz w:val="32"/>
          <w:szCs w:val="32"/>
        </w:rPr>
        <w:t>%</w:t>
      </w:r>
      <w:r>
        <w:rPr>
          <w:rFonts w:hint="eastAsia" w:ascii="仿宋" w:hAnsi="仿宋" w:eastAsia="仿宋"/>
          <w:color w:val="auto"/>
          <w:sz w:val="32"/>
          <w:szCs w:val="32"/>
        </w:rPr>
        <w:t>。</w:t>
      </w:r>
    </w:p>
    <w:p>
      <w:pPr>
        <w:rPr>
          <w:rFonts w:hint="eastAsia" w:ascii="仿宋" w:hAnsi="仿宋" w:eastAsia="仿宋"/>
          <w:color w:val="auto"/>
          <w:sz w:val="32"/>
          <w:szCs w:val="32"/>
        </w:rPr>
      </w:pPr>
      <w:r>
        <w:rPr>
          <w:color w:val="auto"/>
        </w:rPr>
        <w:drawing>
          <wp:inline distT="0" distB="0" distL="0" distR="0">
            <wp:extent cx="5276850" cy="2286000"/>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8" cstate="print"/>
                    <a:srcRect/>
                    <a:stretch>
                      <a:fillRect/>
                    </a:stretch>
                  </pic:blipFill>
                  <pic:spPr>
                    <a:xfrm>
                      <a:off x="0" y="0"/>
                      <a:ext cx="5276850" cy="2286000"/>
                    </a:xfrm>
                    <a:prstGeom prst="rect">
                      <a:avLst/>
                    </a:prstGeom>
                    <a:noFill/>
                    <a:ln w="9525">
                      <a:noFill/>
                      <a:miter lim="800000"/>
                      <a:headEnd/>
                      <a:tailEnd/>
                    </a:ln>
                  </pic:spPr>
                </pic:pic>
              </a:graphicData>
            </a:graphic>
          </wp:inline>
        </w:drawing>
      </w:r>
    </w:p>
    <w:p>
      <w:pPr>
        <w:jc w:val="center"/>
        <w:rPr>
          <w:rFonts w:ascii="仿宋" w:hAnsi="仿宋" w:eastAsia="仿宋"/>
          <w:color w:val="auto"/>
          <w:sz w:val="32"/>
          <w:szCs w:val="32"/>
        </w:rPr>
      </w:pPr>
      <w:r>
        <w:rPr>
          <w:rFonts w:hint="eastAsia" w:ascii="仿宋" w:hAnsi="仿宋" w:eastAsia="仿宋"/>
          <w:color w:val="auto"/>
          <w:sz w:val="32"/>
          <w:szCs w:val="32"/>
        </w:rPr>
        <w:t>图3：支出决算结构图</w:t>
      </w:r>
    </w:p>
    <w:p>
      <w:pPr>
        <w:ind w:firstLine="640" w:firstLineChars="200"/>
        <w:outlineLvl w:val="1"/>
        <w:rPr>
          <w:rStyle w:val="15"/>
          <w:rFonts w:ascii="黑体" w:hAnsi="黑体" w:eastAsia="黑体"/>
          <w:b w:val="0"/>
          <w:color w:val="auto"/>
        </w:rPr>
      </w:pPr>
      <w:bookmarkStart w:id="27" w:name="_Toc15396606"/>
      <w:bookmarkStart w:id="28" w:name="_Toc15377208"/>
      <w:r>
        <w:rPr>
          <w:rFonts w:hint="eastAsia" w:ascii="黑体" w:hAnsi="黑体" w:eastAsia="黑体"/>
          <w:color w:val="auto"/>
          <w:sz w:val="32"/>
          <w:szCs w:val="32"/>
        </w:rPr>
        <w:t>四、财</w:t>
      </w:r>
      <w:r>
        <w:rPr>
          <w:rStyle w:val="15"/>
          <w:rFonts w:hint="eastAsia" w:ascii="黑体" w:hAnsi="黑体" w:eastAsia="黑体"/>
          <w:b w:val="0"/>
          <w:color w:val="auto"/>
        </w:rPr>
        <w:t>政拨款收入支出决算总体情况说明</w:t>
      </w:r>
      <w:bookmarkEnd w:id="27"/>
      <w:bookmarkEnd w:id="28"/>
    </w:p>
    <w:p>
      <w:pPr>
        <w:ind w:firstLine="640" w:firstLineChars="200"/>
        <w:rPr>
          <w:rFonts w:hint="eastAsia"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8年财政拨款收、支总计151.97万元。与</w:t>
      </w:r>
      <w:r>
        <w:rPr>
          <w:rFonts w:ascii="仿宋" w:hAnsi="仿宋" w:eastAsia="仿宋"/>
          <w:color w:val="auto"/>
          <w:sz w:val="32"/>
          <w:szCs w:val="32"/>
        </w:rPr>
        <w:t>201</w:t>
      </w:r>
      <w:r>
        <w:rPr>
          <w:rFonts w:hint="eastAsia" w:ascii="仿宋" w:hAnsi="仿宋" w:eastAsia="仿宋"/>
          <w:color w:val="auto"/>
          <w:sz w:val="32"/>
          <w:szCs w:val="32"/>
        </w:rPr>
        <w:t>7年相比，财政拨款收、支总计各增加46.06万元，增长</w:t>
      </w:r>
      <w:r>
        <w:rPr>
          <w:rFonts w:ascii="仿宋" w:hAnsi="仿宋" w:eastAsia="仿宋"/>
          <w:color w:val="auto"/>
          <w:sz w:val="32"/>
          <w:szCs w:val="32"/>
        </w:rPr>
        <w:t>43.49%</w:t>
      </w:r>
      <w:r>
        <w:rPr>
          <w:rFonts w:hint="eastAsia" w:ascii="仿宋" w:hAnsi="仿宋" w:eastAsia="仿宋"/>
          <w:color w:val="auto"/>
          <w:sz w:val="32"/>
          <w:szCs w:val="32"/>
        </w:rPr>
        <w:t>。主要变动原因是教育督导工作更加规范，进一步配备了督导人员。</w:t>
      </w:r>
    </w:p>
    <w:p>
      <w:pPr>
        <w:jc w:val="center"/>
        <w:rPr>
          <w:rFonts w:hint="eastAsia" w:ascii="仿宋" w:hAnsi="仿宋" w:eastAsia="仿宋"/>
          <w:color w:val="auto"/>
          <w:sz w:val="32"/>
          <w:szCs w:val="32"/>
        </w:rPr>
      </w:pPr>
      <w:r>
        <w:rPr>
          <w:color w:val="auto"/>
        </w:rPr>
        <w:drawing>
          <wp:inline distT="0" distB="0" distL="0" distR="0">
            <wp:extent cx="5267325" cy="2428875"/>
            <wp:effectExtent l="1905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6" cstate="print"/>
                    <a:srcRect/>
                    <a:stretch>
                      <a:fillRect/>
                    </a:stretch>
                  </pic:blipFill>
                  <pic:spPr>
                    <a:xfrm>
                      <a:off x="0" y="0"/>
                      <a:ext cx="5267325" cy="2428875"/>
                    </a:xfrm>
                    <a:prstGeom prst="rect">
                      <a:avLst/>
                    </a:prstGeom>
                    <a:noFill/>
                    <a:ln w="9525">
                      <a:noFill/>
                      <a:miter lim="800000"/>
                      <a:headEnd/>
                      <a:tailEnd/>
                    </a:ln>
                  </pic:spPr>
                </pic:pic>
              </a:graphicData>
            </a:graphic>
          </wp:inline>
        </w:drawing>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rPr>
        <w:t>图4：财政拨款收、支决算总计变动情况（柱状图）</w:t>
      </w:r>
    </w:p>
    <w:p>
      <w:pPr>
        <w:ind w:firstLine="640" w:firstLineChars="200"/>
        <w:outlineLvl w:val="1"/>
        <w:rPr>
          <w:rStyle w:val="15"/>
          <w:rFonts w:ascii="黑体" w:hAnsi="黑体" w:eastAsia="黑体"/>
          <w:b w:val="0"/>
          <w:color w:val="auto"/>
        </w:rPr>
      </w:pPr>
      <w:bookmarkStart w:id="29" w:name="_Toc15377209"/>
      <w:bookmarkStart w:id="30" w:name="_Toc15396607"/>
      <w:r>
        <w:rPr>
          <w:rFonts w:hint="eastAsia" w:ascii="黑体" w:hAnsi="黑体" w:eastAsia="黑体"/>
          <w:color w:val="auto"/>
          <w:sz w:val="32"/>
          <w:szCs w:val="32"/>
        </w:rPr>
        <w:t>五、</w:t>
      </w:r>
      <w:r>
        <w:rPr>
          <w:rFonts w:hint="eastAsia" w:ascii="黑体" w:hAnsi="黑体" w:eastAsia="黑体"/>
          <w:b/>
          <w:color w:val="auto"/>
          <w:sz w:val="32"/>
          <w:szCs w:val="32"/>
        </w:rPr>
        <w:t>一</w:t>
      </w:r>
      <w:r>
        <w:rPr>
          <w:rStyle w:val="15"/>
          <w:rFonts w:hint="eastAsia" w:ascii="黑体" w:hAnsi="黑体" w:eastAsia="黑体"/>
          <w:b w:val="0"/>
          <w:color w:val="auto"/>
        </w:rPr>
        <w:t>般公共预算财政拨款支出决算情况说明</w:t>
      </w:r>
      <w:bookmarkEnd w:id="29"/>
      <w:bookmarkEnd w:id="30"/>
    </w:p>
    <w:p>
      <w:pPr>
        <w:ind w:firstLine="643" w:firstLineChars="200"/>
        <w:outlineLvl w:val="2"/>
        <w:rPr>
          <w:rFonts w:ascii="仿宋" w:hAnsi="仿宋" w:eastAsia="仿宋"/>
          <w:b/>
          <w:color w:val="auto"/>
          <w:sz w:val="32"/>
          <w:szCs w:val="32"/>
        </w:rPr>
      </w:pPr>
      <w:bookmarkStart w:id="31" w:name="_Toc15377210"/>
      <w:r>
        <w:rPr>
          <w:rFonts w:hint="eastAsia" w:ascii="仿宋" w:hAnsi="仿宋" w:eastAsia="仿宋"/>
          <w:b/>
          <w:color w:val="auto"/>
          <w:sz w:val="32"/>
          <w:szCs w:val="32"/>
        </w:rPr>
        <w:t>（一）一般公共预算财政拨款支出决算总体情况</w:t>
      </w:r>
      <w:bookmarkEnd w:id="31"/>
    </w:p>
    <w:p>
      <w:pPr>
        <w:ind w:firstLine="640" w:firstLineChars="200"/>
        <w:rPr>
          <w:rFonts w:hint="eastAsia"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8年一般公共预算财政拨款支出129.98万元，占本年支出合计的100.00</w:t>
      </w:r>
      <w:r>
        <w:rPr>
          <w:rFonts w:ascii="仿宋" w:hAnsi="仿宋" w:eastAsia="仿宋"/>
          <w:color w:val="auto"/>
          <w:sz w:val="32"/>
          <w:szCs w:val="32"/>
        </w:rPr>
        <w:t>%</w:t>
      </w:r>
      <w:r>
        <w:rPr>
          <w:rFonts w:hint="eastAsia" w:ascii="仿宋" w:hAnsi="仿宋" w:eastAsia="仿宋"/>
          <w:color w:val="auto"/>
          <w:sz w:val="32"/>
          <w:szCs w:val="32"/>
        </w:rPr>
        <w:t>。与</w:t>
      </w:r>
      <w:r>
        <w:rPr>
          <w:rFonts w:ascii="仿宋" w:hAnsi="仿宋" w:eastAsia="仿宋"/>
          <w:color w:val="auto"/>
          <w:sz w:val="32"/>
          <w:szCs w:val="32"/>
        </w:rPr>
        <w:t>201</w:t>
      </w:r>
      <w:r>
        <w:rPr>
          <w:rFonts w:hint="eastAsia" w:ascii="仿宋" w:hAnsi="仿宋" w:eastAsia="仿宋"/>
          <w:color w:val="auto"/>
          <w:sz w:val="32"/>
          <w:szCs w:val="32"/>
        </w:rPr>
        <w:t>7年相比，一般公共预算财政拨款增加24.07万元，增长22.73</w:t>
      </w:r>
      <w:r>
        <w:rPr>
          <w:rFonts w:ascii="仿宋" w:hAnsi="仿宋" w:eastAsia="仿宋"/>
          <w:color w:val="auto"/>
          <w:sz w:val="32"/>
          <w:szCs w:val="32"/>
        </w:rPr>
        <w:t>%</w:t>
      </w:r>
      <w:r>
        <w:rPr>
          <w:rFonts w:hint="eastAsia" w:ascii="仿宋" w:hAnsi="仿宋" w:eastAsia="仿宋"/>
          <w:color w:val="auto"/>
          <w:sz w:val="32"/>
          <w:szCs w:val="32"/>
        </w:rPr>
        <w:t>。主要变动原因是教育督导工作更加规范，进一步配备了督导人员。</w:t>
      </w:r>
    </w:p>
    <w:p>
      <w:pPr>
        <w:rPr>
          <w:rFonts w:hint="eastAsia" w:ascii="仿宋" w:hAnsi="仿宋" w:eastAsia="仿宋"/>
          <w:color w:val="auto"/>
          <w:sz w:val="32"/>
          <w:szCs w:val="32"/>
        </w:rPr>
      </w:pPr>
      <w:r>
        <w:rPr>
          <w:color w:val="auto"/>
        </w:rPr>
        <w:drawing>
          <wp:inline distT="0" distB="0" distL="0" distR="0">
            <wp:extent cx="4924425" cy="2276475"/>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noChangeArrowheads="1"/>
                    </pic:cNvPicPr>
                  </pic:nvPicPr>
                  <pic:blipFill>
                    <a:blip r:embed="rId9" cstate="print"/>
                    <a:srcRect/>
                    <a:stretch>
                      <a:fillRect/>
                    </a:stretch>
                  </pic:blipFill>
                  <pic:spPr>
                    <a:xfrm>
                      <a:off x="0" y="0"/>
                      <a:ext cx="4924425" cy="2276475"/>
                    </a:xfrm>
                    <a:prstGeom prst="rect">
                      <a:avLst/>
                    </a:prstGeom>
                    <a:noFill/>
                    <a:ln w="9525">
                      <a:noFill/>
                      <a:miter lim="800000"/>
                      <a:headEnd/>
                      <a:tailEnd/>
                    </a:ln>
                    <a:effectLst/>
                  </pic:spPr>
                </pic:pic>
              </a:graphicData>
            </a:graphic>
          </wp:inline>
        </w:drawing>
      </w:r>
    </w:p>
    <w:p>
      <w:pPr>
        <w:jc w:val="center"/>
        <w:rPr>
          <w:rFonts w:hint="eastAsia" w:ascii="仿宋" w:hAnsi="仿宋" w:eastAsia="仿宋"/>
          <w:color w:val="auto"/>
          <w:sz w:val="32"/>
          <w:szCs w:val="32"/>
        </w:rPr>
      </w:pPr>
      <w:r>
        <w:rPr>
          <w:rFonts w:hint="eastAsia" w:ascii="仿宋" w:hAnsi="仿宋" w:eastAsia="仿宋"/>
          <w:color w:val="auto"/>
          <w:sz w:val="32"/>
          <w:szCs w:val="32"/>
        </w:rPr>
        <w:t>图5：一般公共预算财政拨款支出决算变动情况</w:t>
      </w:r>
    </w:p>
    <w:p>
      <w:pPr>
        <w:ind w:firstLine="643" w:firstLineChars="200"/>
        <w:outlineLvl w:val="2"/>
        <w:rPr>
          <w:rFonts w:ascii="仿宋" w:hAnsi="仿宋" w:eastAsia="仿宋"/>
          <w:b/>
          <w:color w:val="auto"/>
          <w:sz w:val="32"/>
          <w:szCs w:val="32"/>
        </w:rPr>
      </w:pPr>
      <w:bookmarkStart w:id="32" w:name="_Toc15377211"/>
      <w:r>
        <w:rPr>
          <w:rFonts w:hint="eastAsia" w:ascii="仿宋" w:hAnsi="仿宋" w:eastAsia="仿宋"/>
          <w:b/>
          <w:color w:val="auto"/>
          <w:sz w:val="32"/>
          <w:szCs w:val="32"/>
        </w:rPr>
        <w:t>（二）一般公共预算财政拨款支出决算结构情况</w:t>
      </w:r>
      <w:bookmarkEnd w:id="32"/>
    </w:p>
    <w:p>
      <w:pPr>
        <w:ind w:firstLine="640"/>
        <w:rPr>
          <w:rFonts w:hint="eastAsia"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8年一般公共预算财政拨款支出129.98万元，主要用于以下方面</w:t>
      </w:r>
      <w:r>
        <w:rPr>
          <w:rFonts w:ascii="仿宋" w:hAnsi="仿宋" w:eastAsia="仿宋"/>
          <w:color w:val="auto"/>
          <w:sz w:val="32"/>
          <w:szCs w:val="32"/>
        </w:rPr>
        <w:t>:</w:t>
      </w:r>
      <w:r>
        <w:rPr>
          <w:rFonts w:hint="eastAsia" w:ascii="仿宋" w:hAnsi="仿宋" w:eastAsia="仿宋"/>
          <w:b/>
          <w:color w:val="auto"/>
          <w:sz w:val="32"/>
          <w:szCs w:val="32"/>
        </w:rPr>
        <w:t>教育支出（类）</w:t>
      </w:r>
      <w:r>
        <w:rPr>
          <w:rFonts w:hint="eastAsia" w:ascii="仿宋" w:hAnsi="仿宋" w:eastAsia="仿宋"/>
          <w:color w:val="auto"/>
          <w:sz w:val="32"/>
          <w:szCs w:val="32"/>
        </w:rPr>
        <w:t>118.64万元，占91.28</w:t>
      </w:r>
      <w:r>
        <w:rPr>
          <w:rFonts w:ascii="仿宋" w:hAnsi="仿宋" w:eastAsia="仿宋"/>
          <w:color w:val="auto"/>
          <w:sz w:val="32"/>
          <w:szCs w:val="32"/>
        </w:rPr>
        <w:t>%</w:t>
      </w:r>
      <w:r>
        <w:rPr>
          <w:rFonts w:hint="eastAsia" w:ascii="仿宋" w:hAnsi="仿宋" w:eastAsia="仿宋"/>
          <w:color w:val="auto"/>
          <w:sz w:val="32"/>
          <w:szCs w:val="32"/>
        </w:rPr>
        <w:t>；</w:t>
      </w:r>
      <w:r>
        <w:rPr>
          <w:rFonts w:hint="eastAsia" w:ascii="仿宋" w:hAnsi="仿宋" w:eastAsia="仿宋"/>
          <w:b/>
          <w:color w:val="auto"/>
          <w:sz w:val="32"/>
          <w:szCs w:val="32"/>
        </w:rPr>
        <w:t>社会保障和就业（类）</w:t>
      </w:r>
      <w:r>
        <w:rPr>
          <w:rFonts w:hint="eastAsia" w:ascii="仿宋" w:hAnsi="仿宋" w:eastAsia="仿宋"/>
          <w:color w:val="auto"/>
          <w:sz w:val="32"/>
          <w:szCs w:val="32"/>
        </w:rPr>
        <w:t>支出4.58万元，占3.52</w:t>
      </w:r>
      <w:r>
        <w:rPr>
          <w:rFonts w:ascii="仿宋" w:hAnsi="仿宋" w:eastAsia="仿宋"/>
          <w:color w:val="auto"/>
          <w:sz w:val="32"/>
          <w:szCs w:val="32"/>
        </w:rPr>
        <w:t>%</w:t>
      </w:r>
      <w:r>
        <w:rPr>
          <w:rFonts w:hint="eastAsia" w:ascii="仿宋" w:hAnsi="仿宋" w:eastAsia="仿宋"/>
          <w:color w:val="auto"/>
          <w:sz w:val="32"/>
          <w:szCs w:val="32"/>
        </w:rPr>
        <w:t>；医疗卫生与计划生育支出2.10万元，占1.61</w:t>
      </w:r>
      <w:r>
        <w:rPr>
          <w:rFonts w:ascii="仿宋" w:hAnsi="仿宋" w:eastAsia="仿宋"/>
          <w:color w:val="auto"/>
          <w:sz w:val="32"/>
          <w:szCs w:val="32"/>
        </w:rPr>
        <w:t>%</w:t>
      </w:r>
      <w:r>
        <w:rPr>
          <w:rFonts w:hint="eastAsia" w:ascii="仿宋" w:hAnsi="仿宋" w:eastAsia="仿宋"/>
          <w:color w:val="auto"/>
          <w:sz w:val="32"/>
          <w:szCs w:val="32"/>
        </w:rPr>
        <w:t>；住房保障支出4.66万元，占3.59</w:t>
      </w:r>
      <w:r>
        <w:rPr>
          <w:rFonts w:ascii="仿宋" w:hAnsi="仿宋" w:eastAsia="仿宋"/>
          <w:color w:val="auto"/>
          <w:sz w:val="32"/>
          <w:szCs w:val="32"/>
        </w:rPr>
        <w:t>%</w:t>
      </w:r>
      <w:r>
        <w:rPr>
          <w:rFonts w:hint="eastAsia" w:ascii="仿宋" w:hAnsi="仿宋" w:eastAsia="仿宋"/>
          <w:color w:val="auto"/>
          <w:sz w:val="32"/>
          <w:szCs w:val="32"/>
        </w:rPr>
        <w:t>。</w:t>
      </w:r>
    </w:p>
    <w:p>
      <w:pPr>
        <w:jc w:val="center"/>
        <w:rPr>
          <w:rFonts w:hint="eastAsia" w:ascii="仿宋" w:hAnsi="仿宋" w:eastAsia="仿宋"/>
          <w:color w:val="auto"/>
          <w:sz w:val="32"/>
          <w:szCs w:val="32"/>
        </w:rPr>
      </w:pPr>
      <w:r>
        <w:rPr>
          <w:color w:val="auto"/>
        </w:rPr>
        <w:drawing>
          <wp:inline distT="0" distB="0" distL="0" distR="0">
            <wp:extent cx="5267325" cy="2428875"/>
            <wp:effectExtent l="19050" t="0" r="0" b="0"/>
            <wp:docPr id="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pic:cNvPicPr>
                      <a:picLocks noChangeAspect="1" noChangeArrowheads="1"/>
                    </pic:cNvPicPr>
                  </pic:nvPicPr>
                  <pic:blipFill>
                    <a:blip r:embed="rId10" cstate="print"/>
                    <a:srcRect/>
                    <a:stretch>
                      <a:fillRect/>
                    </a:stretch>
                  </pic:blipFill>
                  <pic:spPr>
                    <a:xfrm>
                      <a:off x="0" y="0"/>
                      <a:ext cx="5267325" cy="2428875"/>
                    </a:xfrm>
                    <a:prstGeom prst="rect">
                      <a:avLst/>
                    </a:prstGeom>
                    <a:noFill/>
                    <a:ln w="9525">
                      <a:noFill/>
                      <a:miter lim="800000"/>
                      <a:headEnd/>
                      <a:tailEnd/>
                    </a:ln>
                  </pic:spPr>
                </pic:pic>
              </a:graphicData>
            </a:graphic>
          </wp:inline>
        </w:drawing>
      </w:r>
    </w:p>
    <w:p>
      <w:pPr>
        <w:jc w:val="center"/>
        <w:rPr>
          <w:rFonts w:hint="eastAsia" w:ascii="仿宋" w:hAnsi="仿宋" w:eastAsia="仿宋"/>
          <w:color w:val="auto"/>
          <w:sz w:val="32"/>
          <w:szCs w:val="32"/>
        </w:rPr>
      </w:pPr>
      <w:r>
        <w:rPr>
          <w:rFonts w:hint="eastAsia" w:ascii="仿宋" w:hAnsi="仿宋" w:eastAsia="仿宋"/>
          <w:color w:val="auto"/>
          <w:sz w:val="32"/>
          <w:szCs w:val="32"/>
        </w:rPr>
        <w:t>图6：一般公共预算财政拨款支出决算结构</w:t>
      </w:r>
    </w:p>
    <w:p>
      <w:pPr>
        <w:ind w:firstLine="643" w:firstLineChars="200"/>
        <w:outlineLvl w:val="2"/>
        <w:rPr>
          <w:rFonts w:ascii="仿宋" w:hAnsi="仿宋" w:eastAsia="仿宋"/>
          <w:b/>
          <w:color w:val="auto"/>
          <w:sz w:val="32"/>
          <w:szCs w:val="32"/>
        </w:rPr>
      </w:pPr>
      <w:bookmarkStart w:id="33" w:name="_Toc15377212"/>
      <w:r>
        <w:rPr>
          <w:rFonts w:hint="eastAsia" w:ascii="仿宋" w:hAnsi="仿宋" w:eastAsia="仿宋"/>
          <w:b/>
          <w:color w:val="auto"/>
          <w:sz w:val="32"/>
          <w:szCs w:val="32"/>
        </w:rPr>
        <w:t>（三）一般公共预算财政拨款支出决算具体情况</w:t>
      </w:r>
      <w:bookmarkEnd w:id="33"/>
    </w:p>
    <w:p>
      <w:pPr>
        <w:ind w:firstLine="645"/>
        <w:rPr>
          <w:rFonts w:ascii="仿宋" w:hAnsi="仿宋" w:eastAsia="仿宋"/>
          <w:color w:val="auto"/>
          <w:sz w:val="32"/>
          <w:szCs w:val="32"/>
        </w:rPr>
      </w:pPr>
      <w:bookmarkStart w:id="34" w:name="_Toc15377444"/>
      <w:bookmarkStart w:id="35" w:name="_Toc15377213"/>
      <w:bookmarkStart w:id="36" w:name="_Toc15378460"/>
      <w:r>
        <w:rPr>
          <w:rFonts w:hint="eastAsia" w:ascii="仿宋" w:hAnsi="仿宋" w:eastAsia="仿宋"/>
          <w:color w:val="auto"/>
          <w:sz w:val="32"/>
          <w:szCs w:val="32"/>
        </w:rPr>
        <w:t>2018年一般公共预算支出决算数为129.98万元，完成预算85.53</w:t>
      </w:r>
      <w:r>
        <w:rPr>
          <w:rFonts w:ascii="仿宋" w:hAnsi="仿宋" w:eastAsia="仿宋"/>
          <w:color w:val="auto"/>
          <w:sz w:val="32"/>
          <w:szCs w:val="32"/>
        </w:rPr>
        <w:t>%</w:t>
      </w:r>
      <w:r>
        <w:rPr>
          <w:rFonts w:hint="eastAsia" w:ascii="仿宋" w:hAnsi="仿宋" w:eastAsia="仿宋"/>
          <w:color w:val="auto"/>
          <w:sz w:val="32"/>
          <w:szCs w:val="32"/>
        </w:rPr>
        <w:t>。其中：</w:t>
      </w:r>
      <w:bookmarkEnd w:id="34"/>
      <w:bookmarkEnd w:id="35"/>
      <w:bookmarkEnd w:id="36"/>
    </w:p>
    <w:p>
      <w:pPr>
        <w:ind w:firstLine="645"/>
        <w:rPr>
          <w:rFonts w:hint="eastAsia" w:ascii="仿宋" w:hAnsi="仿宋" w:eastAsia="仿宋"/>
          <w:color w:val="auto"/>
          <w:sz w:val="32"/>
          <w:szCs w:val="32"/>
        </w:rPr>
      </w:pPr>
      <w:bookmarkStart w:id="37" w:name="_Toc15396609"/>
      <w:bookmarkStart w:id="38" w:name="_Toc15377215"/>
      <w:r>
        <w:rPr>
          <w:rFonts w:ascii="仿宋" w:hAnsi="仿宋" w:eastAsia="仿宋"/>
          <w:color w:val="auto"/>
          <w:sz w:val="32"/>
          <w:szCs w:val="32"/>
        </w:rPr>
        <w:t>1.</w:t>
      </w:r>
      <w:r>
        <w:rPr>
          <w:rFonts w:hint="eastAsia" w:ascii="仿宋" w:hAnsi="仿宋" w:eastAsia="仿宋"/>
          <w:color w:val="auto"/>
          <w:sz w:val="32"/>
          <w:szCs w:val="32"/>
        </w:rPr>
        <w:t>教育支出（类）教育管理事务（款）</w:t>
      </w:r>
      <w:r>
        <w:rPr>
          <w:rFonts w:ascii="仿宋" w:hAnsi="仿宋" w:eastAsia="仿宋"/>
          <w:color w:val="auto"/>
          <w:sz w:val="32"/>
          <w:szCs w:val="32"/>
        </w:rPr>
        <w:t>行政运行</w:t>
      </w:r>
      <w:r>
        <w:rPr>
          <w:rFonts w:hint="eastAsia" w:ascii="仿宋" w:hAnsi="仿宋" w:eastAsia="仿宋"/>
          <w:color w:val="auto"/>
          <w:sz w:val="32"/>
          <w:szCs w:val="32"/>
        </w:rPr>
        <w:t>（项）</w:t>
      </w:r>
      <w:r>
        <w:rPr>
          <w:rFonts w:ascii="仿宋" w:hAnsi="仿宋" w:eastAsia="仿宋"/>
          <w:color w:val="auto"/>
          <w:sz w:val="32"/>
          <w:szCs w:val="32"/>
        </w:rPr>
        <w:t>:</w:t>
      </w:r>
      <w:r>
        <w:rPr>
          <w:rFonts w:hint="eastAsia" w:ascii="仿宋" w:hAnsi="仿宋" w:eastAsia="仿宋"/>
          <w:color w:val="auto"/>
          <w:sz w:val="32"/>
          <w:szCs w:val="32"/>
        </w:rPr>
        <w:t>支出决算为118.64万元，完成预算117.27</w:t>
      </w:r>
      <w:r>
        <w:rPr>
          <w:rFonts w:ascii="仿宋" w:hAnsi="仿宋" w:eastAsia="仿宋"/>
          <w:color w:val="auto"/>
          <w:sz w:val="32"/>
          <w:szCs w:val="32"/>
        </w:rPr>
        <w:t>%</w:t>
      </w:r>
      <w:r>
        <w:rPr>
          <w:rFonts w:hint="eastAsia" w:ascii="仿宋" w:hAnsi="仿宋" w:eastAsia="仿宋"/>
          <w:color w:val="auto"/>
          <w:sz w:val="32"/>
          <w:szCs w:val="32"/>
        </w:rPr>
        <w:t>，决算数大于预算数的主要原因是在活动开展中进一步配备人员，调增了预算数。</w:t>
      </w:r>
    </w:p>
    <w:p>
      <w:pPr>
        <w:ind w:firstLine="645"/>
        <w:rPr>
          <w:rFonts w:hint="eastAsia" w:ascii="仿宋" w:hAnsi="仿宋" w:eastAsia="仿宋"/>
          <w:color w:val="auto"/>
          <w:sz w:val="32"/>
          <w:szCs w:val="32"/>
        </w:rPr>
      </w:pPr>
      <w:r>
        <w:rPr>
          <w:rFonts w:hint="eastAsia" w:ascii="仿宋" w:hAnsi="仿宋" w:eastAsia="仿宋"/>
          <w:color w:val="auto"/>
          <w:sz w:val="32"/>
          <w:szCs w:val="32"/>
          <w:lang w:val="en-US" w:eastAsia="zh-CN"/>
        </w:rPr>
        <w:t>2</w:t>
      </w:r>
      <w:r>
        <w:rPr>
          <w:rFonts w:ascii="仿宋" w:hAnsi="仿宋" w:eastAsia="仿宋"/>
          <w:color w:val="auto"/>
          <w:sz w:val="32"/>
          <w:szCs w:val="32"/>
        </w:rPr>
        <w:t>.</w:t>
      </w:r>
      <w:r>
        <w:rPr>
          <w:rFonts w:hint="eastAsia" w:ascii="仿宋" w:hAnsi="仿宋" w:eastAsia="仿宋"/>
          <w:color w:val="auto"/>
          <w:sz w:val="32"/>
          <w:szCs w:val="32"/>
        </w:rPr>
        <w:t>社会保障和就业支出（类）行政事业单位离退休（款）机关事业单位养老保险缴费支出（项）</w:t>
      </w:r>
      <w:r>
        <w:rPr>
          <w:rFonts w:ascii="仿宋" w:hAnsi="仿宋" w:eastAsia="仿宋"/>
          <w:color w:val="auto"/>
          <w:sz w:val="32"/>
          <w:szCs w:val="32"/>
        </w:rPr>
        <w:t>:</w:t>
      </w:r>
      <w:r>
        <w:rPr>
          <w:rFonts w:hint="eastAsia" w:ascii="仿宋" w:hAnsi="仿宋" w:eastAsia="仿宋"/>
          <w:color w:val="auto"/>
          <w:sz w:val="32"/>
          <w:szCs w:val="32"/>
        </w:rPr>
        <w:t>支出决算为4.58万元，完成预算100.00</w:t>
      </w:r>
      <w:r>
        <w:rPr>
          <w:rFonts w:ascii="仿宋" w:hAnsi="仿宋" w:eastAsia="仿宋"/>
          <w:color w:val="auto"/>
          <w:sz w:val="32"/>
          <w:szCs w:val="32"/>
        </w:rPr>
        <w:t>%</w:t>
      </w:r>
      <w:r>
        <w:rPr>
          <w:rFonts w:hint="eastAsia" w:ascii="仿宋" w:hAnsi="仿宋" w:eastAsia="仿宋"/>
          <w:color w:val="auto"/>
          <w:sz w:val="32"/>
          <w:szCs w:val="32"/>
        </w:rPr>
        <w:t>，决算数等于预算数。</w:t>
      </w:r>
    </w:p>
    <w:p>
      <w:pPr>
        <w:ind w:firstLine="645"/>
        <w:rPr>
          <w:rFonts w:hint="eastAsia" w:ascii="仿宋" w:hAnsi="仿宋" w:eastAsia="仿宋"/>
          <w:color w:val="auto"/>
          <w:sz w:val="32"/>
          <w:szCs w:val="32"/>
        </w:rPr>
      </w:pPr>
      <w:r>
        <w:rPr>
          <w:rFonts w:hint="eastAsia" w:ascii="仿宋" w:hAnsi="仿宋" w:eastAsia="仿宋"/>
          <w:color w:val="auto"/>
          <w:sz w:val="32"/>
          <w:szCs w:val="32"/>
          <w:lang w:val="en-US" w:eastAsia="zh-CN"/>
        </w:rPr>
        <w:t>3</w:t>
      </w:r>
      <w:r>
        <w:rPr>
          <w:rFonts w:ascii="仿宋" w:hAnsi="仿宋" w:eastAsia="仿宋"/>
          <w:color w:val="auto"/>
          <w:sz w:val="32"/>
          <w:szCs w:val="32"/>
        </w:rPr>
        <w:t>.</w:t>
      </w:r>
      <w:r>
        <w:rPr>
          <w:rFonts w:hint="eastAsia" w:ascii="仿宋" w:hAnsi="仿宋" w:eastAsia="仿宋"/>
          <w:color w:val="auto"/>
          <w:sz w:val="32"/>
          <w:szCs w:val="32"/>
        </w:rPr>
        <w:t>医疗卫生与计划生育支出（类）行政事业单位医疗（款）事业单位医疗（项）</w:t>
      </w:r>
      <w:r>
        <w:rPr>
          <w:rFonts w:ascii="仿宋" w:hAnsi="仿宋" w:eastAsia="仿宋"/>
          <w:color w:val="auto"/>
          <w:sz w:val="32"/>
          <w:szCs w:val="32"/>
        </w:rPr>
        <w:t>:</w:t>
      </w:r>
      <w:r>
        <w:rPr>
          <w:rFonts w:hint="eastAsia" w:ascii="仿宋" w:hAnsi="仿宋" w:eastAsia="仿宋"/>
          <w:color w:val="auto"/>
          <w:sz w:val="32"/>
          <w:szCs w:val="32"/>
        </w:rPr>
        <w:t>支出决算为2.1万元，完成预算100.00</w:t>
      </w:r>
      <w:r>
        <w:rPr>
          <w:rFonts w:ascii="仿宋" w:hAnsi="仿宋" w:eastAsia="仿宋"/>
          <w:color w:val="auto"/>
          <w:sz w:val="32"/>
          <w:szCs w:val="32"/>
        </w:rPr>
        <w:t>%</w:t>
      </w:r>
      <w:r>
        <w:rPr>
          <w:rFonts w:hint="eastAsia" w:ascii="仿宋" w:hAnsi="仿宋" w:eastAsia="仿宋"/>
          <w:color w:val="auto"/>
          <w:sz w:val="32"/>
          <w:szCs w:val="32"/>
        </w:rPr>
        <w:t>，决算数2.1万元等于预算数1.49加上年度结转0.61万元。</w:t>
      </w:r>
    </w:p>
    <w:p>
      <w:pPr>
        <w:ind w:firstLine="645"/>
        <w:rPr>
          <w:rFonts w:hint="eastAsia" w:ascii="仿宋" w:hAnsi="仿宋" w:eastAsia="仿宋"/>
          <w:color w:val="auto"/>
          <w:sz w:val="32"/>
          <w:szCs w:val="32"/>
        </w:rPr>
      </w:pPr>
      <w:r>
        <w:rPr>
          <w:rFonts w:hint="eastAsia" w:ascii="仿宋" w:hAnsi="仿宋" w:eastAsia="仿宋"/>
          <w:color w:val="auto"/>
          <w:sz w:val="32"/>
          <w:szCs w:val="32"/>
          <w:lang w:val="en-US" w:eastAsia="zh-CN"/>
        </w:rPr>
        <w:t>4</w:t>
      </w:r>
      <w:r>
        <w:rPr>
          <w:rFonts w:ascii="仿宋" w:hAnsi="仿宋" w:eastAsia="仿宋"/>
          <w:color w:val="auto"/>
          <w:sz w:val="32"/>
          <w:szCs w:val="32"/>
        </w:rPr>
        <w:t>.住房保障支出</w:t>
      </w:r>
      <w:r>
        <w:rPr>
          <w:rFonts w:hint="eastAsia" w:ascii="仿宋" w:hAnsi="仿宋" w:eastAsia="仿宋"/>
          <w:color w:val="auto"/>
          <w:sz w:val="32"/>
          <w:szCs w:val="32"/>
        </w:rPr>
        <w:t>（类）住房改革支出（款）住房公积金（项）</w:t>
      </w:r>
      <w:r>
        <w:rPr>
          <w:rFonts w:ascii="仿宋" w:hAnsi="仿宋" w:eastAsia="仿宋"/>
          <w:color w:val="auto"/>
          <w:sz w:val="32"/>
          <w:szCs w:val="32"/>
        </w:rPr>
        <w:t>:</w:t>
      </w:r>
      <w:r>
        <w:rPr>
          <w:rFonts w:hint="eastAsia" w:ascii="仿宋" w:hAnsi="仿宋" w:eastAsia="仿宋"/>
          <w:color w:val="auto"/>
          <w:sz w:val="32"/>
          <w:szCs w:val="32"/>
        </w:rPr>
        <w:t>支出决算为4.66万元，完成预算100.00</w:t>
      </w:r>
      <w:r>
        <w:rPr>
          <w:rFonts w:ascii="仿宋" w:hAnsi="仿宋" w:eastAsia="仿宋"/>
          <w:color w:val="auto"/>
          <w:sz w:val="32"/>
          <w:szCs w:val="32"/>
        </w:rPr>
        <w:t>%</w:t>
      </w:r>
      <w:r>
        <w:rPr>
          <w:rFonts w:hint="eastAsia" w:ascii="仿宋" w:hAnsi="仿宋" w:eastAsia="仿宋"/>
          <w:color w:val="auto"/>
          <w:sz w:val="32"/>
          <w:szCs w:val="32"/>
        </w:rPr>
        <w:t>，决算数4.66万元等于预算数2.75加上年度结转1.91万元。</w:t>
      </w:r>
    </w:p>
    <w:p>
      <w:pPr>
        <w:tabs>
          <w:tab w:val="right" w:pos="8306"/>
        </w:tabs>
        <w:ind w:firstLine="640"/>
        <w:outlineLvl w:val="1"/>
        <w:rPr>
          <w:rStyle w:val="15"/>
          <w:color w:val="auto"/>
        </w:rPr>
      </w:pPr>
      <w:bookmarkStart w:id="39" w:name="_Toc15396608"/>
      <w:bookmarkStart w:id="40" w:name="_Toc15377214"/>
      <w:r>
        <w:rPr>
          <w:rFonts w:hint="eastAsia" w:ascii="黑体" w:eastAsia="黑体"/>
          <w:color w:val="auto"/>
          <w:sz w:val="32"/>
          <w:szCs w:val="32"/>
        </w:rPr>
        <w:t>六</w:t>
      </w:r>
      <w:r>
        <w:rPr>
          <w:rFonts w:hint="eastAsia" w:ascii="黑体" w:eastAsia="黑体"/>
          <w:b/>
          <w:color w:val="auto"/>
          <w:sz w:val="32"/>
          <w:szCs w:val="32"/>
        </w:rPr>
        <w:t>、</w:t>
      </w:r>
      <w:r>
        <w:rPr>
          <w:rFonts w:hint="eastAsia" w:ascii="黑体" w:hAnsi="黑体" w:eastAsia="黑体"/>
          <w:b/>
          <w:color w:val="auto"/>
          <w:sz w:val="32"/>
          <w:szCs w:val="32"/>
        </w:rPr>
        <w:t>一</w:t>
      </w:r>
      <w:r>
        <w:rPr>
          <w:rStyle w:val="15"/>
          <w:rFonts w:hint="eastAsia" w:ascii="黑体" w:hAnsi="黑体" w:eastAsia="黑体"/>
          <w:b w:val="0"/>
          <w:color w:val="auto"/>
        </w:rPr>
        <w:t>般公共预算财政拨款基本支出决算情况说明</w:t>
      </w:r>
      <w:bookmarkEnd w:id="39"/>
      <w:bookmarkEnd w:id="40"/>
      <w:r>
        <w:rPr>
          <w:rStyle w:val="15"/>
          <w:rFonts w:ascii="黑体" w:hAnsi="黑体" w:eastAsia="黑体"/>
          <w:b w:val="0"/>
          <w:color w:val="auto"/>
        </w:rPr>
        <w:tab/>
      </w:r>
    </w:p>
    <w:p>
      <w:pPr>
        <w:ind w:firstLine="645"/>
        <w:rPr>
          <w:rFonts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8年一般公共预算财政拨款基本支出129.98万元，其中：</w:t>
      </w:r>
    </w:p>
    <w:p>
      <w:pPr>
        <w:ind w:firstLine="645"/>
        <w:rPr>
          <w:rFonts w:hint="eastAsia" w:ascii="仿宋" w:hAnsi="仿宋" w:eastAsia="仿宋"/>
          <w:color w:val="auto"/>
          <w:sz w:val="32"/>
          <w:szCs w:val="32"/>
        </w:rPr>
      </w:pPr>
      <w:r>
        <w:rPr>
          <w:rFonts w:hint="eastAsia" w:ascii="仿宋" w:hAnsi="仿宋" w:eastAsia="仿宋"/>
          <w:color w:val="auto"/>
          <w:sz w:val="32"/>
          <w:szCs w:val="32"/>
        </w:rPr>
        <w:t>人员经费40.13万元，主要包括：基本工资、津贴补贴、奖金、伙食补助费、机关事业单位基本养老保险缴费、职业年金缴费、职工基本医疗保险缴费、其他社会保障缴费、住房公积金、其他工资福利支出、对个人和家庭的补助支出、生活补助、医疗费、助学金等。</w:t>
      </w:r>
      <w:r>
        <w:rPr>
          <w:rFonts w:ascii="仿宋" w:hAnsi="仿宋" w:eastAsia="仿宋"/>
          <w:color w:val="auto"/>
          <w:sz w:val="32"/>
          <w:szCs w:val="32"/>
        </w:rPr>
        <w:br w:type="textWrapping"/>
      </w:r>
      <w:r>
        <w:rPr>
          <w:rFonts w:hint="eastAsia" w:ascii="仿宋" w:hAnsi="仿宋" w:eastAsia="仿宋"/>
          <w:color w:val="auto"/>
          <w:sz w:val="32"/>
          <w:szCs w:val="32"/>
        </w:rPr>
        <w:t>　　公用经费89.84万元，主要包括：办公费、印刷费、咨询费、电费、邮电费、物业管理费、差旅费、维修（护）费、会议费、培训费、公务接待费、劳务费、工会经费、公务用车运行维护费、其他交通费、其他商品和服务支出等。</w:t>
      </w:r>
    </w:p>
    <w:p>
      <w:pPr>
        <w:ind w:firstLine="640"/>
        <w:outlineLvl w:val="1"/>
        <w:rPr>
          <w:rStyle w:val="15"/>
          <w:rFonts w:ascii="黑体" w:hAnsi="黑体" w:eastAsia="黑体"/>
          <w:b w:val="0"/>
          <w:color w:val="auto"/>
        </w:rPr>
      </w:pPr>
      <w:r>
        <w:rPr>
          <w:rFonts w:hint="eastAsia" w:ascii="黑体" w:eastAsia="黑体"/>
          <w:color w:val="auto"/>
          <w:sz w:val="32"/>
          <w:szCs w:val="32"/>
        </w:rPr>
        <w:t>七、</w:t>
      </w:r>
      <w:r>
        <w:rPr>
          <w:rStyle w:val="15"/>
          <w:rFonts w:hint="eastAsia" w:ascii="黑体" w:hAnsi="黑体" w:eastAsia="黑体"/>
          <w:color w:val="auto"/>
        </w:rPr>
        <w:t>“</w:t>
      </w:r>
      <w:r>
        <w:rPr>
          <w:rStyle w:val="15"/>
          <w:rFonts w:hint="eastAsia" w:ascii="黑体" w:hAnsi="黑体" w:eastAsia="黑体"/>
          <w:b w:val="0"/>
          <w:color w:val="auto"/>
        </w:rPr>
        <w:t>三公”经费财政拨款支出决算情况说明</w:t>
      </w:r>
      <w:bookmarkEnd w:id="37"/>
      <w:bookmarkEnd w:id="38"/>
    </w:p>
    <w:p>
      <w:pPr>
        <w:ind w:firstLine="640"/>
        <w:outlineLvl w:val="2"/>
        <w:rPr>
          <w:rFonts w:ascii="仿宋" w:hAnsi="仿宋" w:eastAsia="仿宋"/>
          <w:b/>
          <w:color w:val="auto"/>
          <w:sz w:val="32"/>
          <w:szCs w:val="32"/>
        </w:rPr>
      </w:pPr>
      <w:bookmarkStart w:id="41" w:name="_Toc15377216"/>
      <w:r>
        <w:rPr>
          <w:rFonts w:hint="eastAsia" w:ascii="仿宋" w:hAnsi="仿宋" w:eastAsia="仿宋"/>
          <w:b/>
          <w:color w:val="auto"/>
          <w:sz w:val="32"/>
          <w:szCs w:val="32"/>
        </w:rPr>
        <w:t>（一）“三公”经费财政拨款支出决算总体情况说明</w:t>
      </w:r>
      <w:bookmarkEnd w:id="41"/>
    </w:p>
    <w:p>
      <w:pPr>
        <w:ind w:firstLine="640"/>
        <w:rPr>
          <w:rFonts w:ascii="仿宋" w:hAnsi="仿宋" w:eastAsia="仿宋"/>
          <w:b/>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8年“三公”经费财政拨款支出决算为0.07万元，完成预算7.00</w:t>
      </w:r>
      <w:r>
        <w:rPr>
          <w:rFonts w:ascii="仿宋" w:hAnsi="仿宋" w:eastAsia="仿宋"/>
          <w:color w:val="auto"/>
          <w:sz w:val="32"/>
          <w:szCs w:val="32"/>
        </w:rPr>
        <w:t>%</w:t>
      </w:r>
      <w:r>
        <w:rPr>
          <w:rFonts w:hint="eastAsia" w:ascii="仿宋" w:hAnsi="仿宋" w:eastAsia="仿宋"/>
          <w:color w:val="auto"/>
          <w:sz w:val="32"/>
          <w:szCs w:val="32"/>
        </w:rPr>
        <w:t>，决算数小于预算数的主要原因是严格执行中央八项规定，严格管理，厉行节约。</w:t>
      </w:r>
    </w:p>
    <w:p>
      <w:pPr>
        <w:ind w:firstLine="640"/>
        <w:outlineLvl w:val="2"/>
        <w:rPr>
          <w:rFonts w:ascii="仿宋" w:hAnsi="仿宋" w:eastAsia="仿宋"/>
          <w:b/>
          <w:color w:val="auto"/>
          <w:sz w:val="32"/>
          <w:szCs w:val="32"/>
        </w:rPr>
      </w:pPr>
      <w:bookmarkStart w:id="42" w:name="_Toc15377217"/>
      <w:r>
        <w:rPr>
          <w:rFonts w:hint="eastAsia" w:ascii="仿宋" w:hAnsi="仿宋" w:eastAsia="仿宋"/>
          <w:b/>
          <w:color w:val="auto"/>
          <w:sz w:val="32"/>
          <w:szCs w:val="32"/>
        </w:rPr>
        <w:t>（二）“三公”经费财政拨款支出决算具体情况说明</w:t>
      </w:r>
      <w:bookmarkEnd w:id="42"/>
    </w:p>
    <w:p>
      <w:pPr>
        <w:ind w:firstLine="640"/>
        <w:rPr>
          <w:rFonts w:ascii="仿宋" w:hAnsi="仿宋" w:eastAsia="仿宋"/>
          <w:color w:val="auto"/>
          <w:sz w:val="32"/>
          <w:szCs w:val="32"/>
        </w:rPr>
      </w:pPr>
      <w:r>
        <w:rPr>
          <w:rFonts w:ascii="仿宋" w:hAnsi="仿宋" w:eastAsia="仿宋"/>
          <w:color w:val="auto"/>
          <w:sz w:val="32"/>
          <w:szCs w:val="32"/>
        </w:rPr>
        <w:t>201</w:t>
      </w:r>
      <w:r>
        <w:rPr>
          <w:rFonts w:hint="eastAsia" w:ascii="仿宋" w:hAnsi="仿宋" w:eastAsia="仿宋"/>
          <w:color w:val="auto"/>
          <w:sz w:val="32"/>
          <w:szCs w:val="32"/>
        </w:rPr>
        <w:t>8年“三公”经费财政拨款支出决算中，因公出国（境）费支出决算0万元，占0</w:t>
      </w:r>
      <w:r>
        <w:rPr>
          <w:rFonts w:ascii="仿宋" w:hAnsi="仿宋" w:eastAsia="仿宋"/>
          <w:color w:val="auto"/>
          <w:sz w:val="32"/>
          <w:szCs w:val="32"/>
        </w:rPr>
        <w:t>%</w:t>
      </w:r>
      <w:r>
        <w:rPr>
          <w:rFonts w:hint="eastAsia" w:ascii="仿宋" w:hAnsi="仿宋" w:eastAsia="仿宋"/>
          <w:color w:val="auto"/>
          <w:sz w:val="32"/>
          <w:szCs w:val="32"/>
        </w:rPr>
        <w:t>；公务用车购置及运行维护费支出决算0万元，占0</w:t>
      </w:r>
      <w:r>
        <w:rPr>
          <w:rFonts w:ascii="仿宋" w:hAnsi="仿宋" w:eastAsia="仿宋"/>
          <w:color w:val="auto"/>
          <w:sz w:val="32"/>
          <w:szCs w:val="32"/>
        </w:rPr>
        <w:t>%</w:t>
      </w:r>
      <w:r>
        <w:rPr>
          <w:rFonts w:hint="eastAsia" w:ascii="仿宋" w:hAnsi="仿宋" w:eastAsia="仿宋"/>
          <w:color w:val="auto"/>
          <w:sz w:val="32"/>
          <w:szCs w:val="32"/>
        </w:rPr>
        <w:t>；公务接待费支出决算0.07万元，占100.00</w:t>
      </w:r>
      <w:r>
        <w:rPr>
          <w:rFonts w:ascii="仿宋" w:hAnsi="仿宋" w:eastAsia="仿宋"/>
          <w:color w:val="auto"/>
          <w:sz w:val="32"/>
          <w:szCs w:val="32"/>
        </w:rPr>
        <w:t>%</w:t>
      </w:r>
      <w:r>
        <w:rPr>
          <w:rFonts w:hint="eastAsia" w:ascii="仿宋" w:hAnsi="仿宋" w:eastAsia="仿宋"/>
          <w:color w:val="auto"/>
          <w:sz w:val="32"/>
          <w:szCs w:val="32"/>
        </w:rPr>
        <w:t>。具体情况如下：</w:t>
      </w:r>
    </w:p>
    <w:p>
      <w:pPr>
        <w:jc w:val="center"/>
        <w:rPr>
          <w:rFonts w:hint="eastAsia" w:ascii="仿宋" w:hAnsi="仿宋" w:eastAsia="仿宋"/>
          <w:color w:val="auto"/>
          <w:sz w:val="32"/>
          <w:szCs w:val="32"/>
        </w:rPr>
      </w:pPr>
      <w:r>
        <w:rPr>
          <w:color w:val="auto"/>
        </w:rPr>
        <w:drawing>
          <wp:inline distT="0" distB="0" distL="0" distR="0">
            <wp:extent cx="5267325" cy="2762250"/>
            <wp:effectExtent l="0" t="0" r="0" b="0"/>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noChangeArrowheads="1"/>
                    </pic:cNvPicPr>
                  </pic:nvPicPr>
                  <pic:blipFill>
                    <a:blip r:embed="rId11" cstate="print"/>
                    <a:srcRect/>
                    <a:stretch>
                      <a:fillRect/>
                    </a:stretch>
                  </pic:blipFill>
                  <pic:spPr>
                    <a:xfrm>
                      <a:off x="0" y="0"/>
                      <a:ext cx="5267325" cy="2762250"/>
                    </a:xfrm>
                    <a:prstGeom prst="rect">
                      <a:avLst/>
                    </a:prstGeom>
                    <a:noFill/>
                    <a:ln w="9525">
                      <a:noFill/>
                      <a:miter lim="800000"/>
                      <a:headEnd/>
                      <a:tailEnd/>
                    </a:ln>
                  </pic:spPr>
                </pic:pic>
              </a:graphicData>
            </a:graphic>
          </wp:inline>
        </w:drawing>
      </w:r>
    </w:p>
    <w:p>
      <w:pPr>
        <w:jc w:val="center"/>
        <w:rPr>
          <w:rFonts w:hint="eastAsia" w:ascii="仿宋" w:hAnsi="仿宋" w:eastAsia="仿宋"/>
          <w:color w:val="auto"/>
          <w:sz w:val="32"/>
          <w:szCs w:val="32"/>
        </w:rPr>
      </w:pPr>
      <w:r>
        <w:rPr>
          <w:rFonts w:hint="eastAsia" w:ascii="仿宋" w:hAnsi="仿宋" w:eastAsia="仿宋"/>
          <w:color w:val="auto"/>
          <w:sz w:val="32"/>
          <w:szCs w:val="32"/>
        </w:rPr>
        <w:t>图8：“三公”经费财政拨款支出结构</w:t>
      </w:r>
    </w:p>
    <w:p>
      <w:pPr>
        <w:ind w:firstLine="640"/>
        <w:rPr>
          <w:rFonts w:ascii="仿宋_GB2312" w:eastAsia="仿宋_GB2312"/>
          <w:b/>
          <w:color w:val="auto"/>
          <w:sz w:val="32"/>
          <w:szCs w:val="32"/>
        </w:rPr>
      </w:pPr>
      <w:r>
        <w:rPr>
          <w:rFonts w:ascii="仿宋_GB2312" w:eastAsia="仿宋_GB2312"/>
          <w:b/>
          <w:color w:val="auto"/>
          <w:sz w:val="32"/>
          <w:szCs w:val="32"/>
        </w:rPr>
        <w:t>1.</w:t>
      </w:r>
      <w:r>
        <w:rPr>
          <w:rFonts w:hint="eastAsia" w:ascii="仿宋_GB2312" w:eastAsia="仿宋_GB2312"/>
          <w:b/>
          <w:color w:val="auto"/>
          <w:sz w:val="32"/>
          <w:szCs w:val="32"/>
        </w:rPr>
        <w:t>因公出国（境）经费支出</w:t>
      </w:r>
      <w:r>
        <w:rPr>
          <w:rFonts w:hint="eastAsia" w:ascii="仿宋_GB2312" w:eastAsia="仿宋_GB2312"/>
          <w:color w:val="auto"/>
          <w:sz w:val="32"/>
          <w:szCs w:val="32"/>
        </w:rPr>
        <w:t>0万元，</w:t>
      </w:r>
      <w:r>
        <w:rPr>
          <w:rStyle w:val="12"/>
          <w:rFonts w:hint="eastAsia" w:ascii="仿宋" w:hAnsi="仿宋" w:eastAsia="仿宋"/>
          <w:b w:val="0"/>
          <w:bCs/>
          <w:color w:val="auto"/>
        </w:rPr>
        <w:t>完成预算0</w:t>
      </w:r>
      <w:r>
        <w:rPr>
          <w:rStyle w:val="12"/>
          <w:rFonts w:ascii="仿宋" w:hAnsi="仿宋" w:eastAsia="仿宋"/>
          <w:b w:val="0"/>
          <w:bCs/>
          <w:color w:val="auto"/>
        </w:rPr>
        <w:t>%</w:t>
      </w:r>
      <w:r>
        <w:rPr>
          <w:rStyle w:val="12"/>
          <w:rFonts w:hint="eastAsia" w:ascii="仿宋" w:hAnsi="仿宋" w:eastAsia="仿宋"/>
          <w:b w:val="0"/>
          <w:bCs/>
          <w:color w:val="auto"/>
        </w:rPr>
        <w:t>。</w:t>
      </w:r>
      <w:r>
        <w:rPr>
          <w:rFonts w:hint="eastAsia" w:ascii="仿宋_GB2312" w:eastAsia="仿宋_GB2312"/>
          <w:color w:val="auto"/>
          <w:sz w:val="32"/>
          <w:szCs w:val="32"/>
        </w:rPr>
        <w:t>全年安排因公出国（境）团组0次，出国（境）0人。因公出国（境）支出决算比</w:t>
      </w:r>
      <w:r>
        <w:rPr>
          <w:rFonts w:ascii="仿宋_GB2312" w:eastAsia="仿宋_GB2312"/>
          <w:color w:val="auto"/>
          <w:sz w:val="32"/>
          <w:szCs w:val="32"/>
        </w:rPr>
        <w:t>201</w:t>
      </w:r>
      <w:r>
        <w:rPr>
          <w:rFonts w:hint="eastAsia" w:ascii="仿宋_GB2312" w:eastAsia="仿宋_GB2312"/>
          <w:color w:val="auto"/>
          <w:sz w:val="32"/>
          <w:szCs w:val="32"/>
        </w:rPr>
        <w:t>7年持平。</w:t>
      </w:r>
    </w:p>
    <w:p>
      <w:pPr>
        <w:ind w:firstLine="640"/>
        <w:rPr>
          <w:rFonts w:ascii="仿宋_GB2312" w:eastAsia="仿宋_GB2312"/>
          <w:color w:val="auto"/>
          <w:sz w:val="32"/>
          <w:szCs w:val="32"/>
        </w:rPr>
      </w:pPr>
      <w:r>
        <w:rPr>
          <w:rFonts w:hint="eastAsia" w:ascii="仿宋_GB2312" w:eastAsia="仿宋_GB2312"/>
          <w:color w:val="auto"/>
          <w:sz w:val="32"/>
          <w:szCs w:val="32"/>
        </w:rPr>
        <w:t>无开支内容。</w:t>
      </w:r>
    </w:p>
    <w:p>
      <w:pPr>
        <w:ind w:firstLine="640"/>
        <w:rPr>
          <w:rFonts w:ascii="仿宋_GB2312" w:eastAsia="仿宋_GB2312"/>
          <w:b/>
          <w:color w:val="auto"/>
          <w:sz w:val="32"/>
          <w:szCs w:val="32"/>
        </w:rPr>
      </w:pPr>
      <w:r>
        <w:rPr>
          <w:rFonts w:ascii="仿宋_GB2312" w:eastAsia="仿宋_GB2312"/>
          <w:b/>
          <w:color w:val="auto"/>
          <w:sz w:val="32"/>
          <w:szCs w:val="32"/>
        </w:rPr>
        <w:t>2.</w:t>
      </w:r>
      <w:r>
        <w:rPr>
          <w:rFonts w:hint="eastAsia" w:ascii="仿宋_GB2312" w:eastAsia="仿宋_GB2312"/>
          <w:b/>
          <w:color w:val="auto"/>
          <w:sz w:val="32"/>
          <w:szCs w:val="32"/>
        </w:rPr>
        <w:t>公务用车购置及运行维护费支出</w:t>
      </w:r>
      <w:r>
        <w:rPr>
          <w:rFonts w:hint="eastAsia" w:ascii="仿宋_GB2312" w:eastAsia="仿宋_GB2312"/>
          <w:color w:val="auto"/>
          <w:sz w:val="32"/>
          <w:szCs w:val="32"/>
        </w:rPr>
        <w:t>0万元,</w:t>
      </w:r>
      <w:r>
        <w:rPr>
          <w:rStyle w:val="12"/>
          <w:rFonts w:hint="eastAsia" w:ascii="仿宋" w:hAnsi="仿宋" w:eastAsia="仿宋"/>
          <w:b w:val="0"/>
          <w:bCs/>
          <w:color w:val="auto"/>
        </w:rPr>
        <w:t>完成预算0</w:t>
      </w:r>
      <w:r>
        <w:rPr>
          <w:rStyle w:val="12"/>
          <w:rFonts w:ascii="仿宋" w:hAnsi="仿宋" w:eastAsia="仿宋"/>
          <w:b w:val="0"/>
          <w:bCs/>
          <w:color w:val="auto"/>
        </w:rPr>
        <w:t>%</w:t>
      </w:r>
      <w:r>
        <w:rPr>
          <w:rStyle w:val="12"/>
          <w:rFonts w:hint="eastAsia" w:ascii="仿宋" w:hAnsi="仿宋" w:eastAsia="仿宋"/>
          <w:b w:val="0"/>
          <w:bCs/>
          <w:color w:val="auto"/>
        </w:rPr>
        <w:t>。</w:t>
      </w:r>
      <w:r>
        <w:rPr>
          <w:rFonts w:hint="eastAsia" w:ascii="仿宋_GB2312" w:eastAsia="仿宋_GB2312"/>
          <w:color w:val="auto"/>
          <w:sz w:val="32"/>
          <w:szCs w:val="32"/>
        </w:rPr>
        <w:t>公务用车购置及运行维护费支出决算与</w:t>
      </w:r>
      <w:r>
        <w:rPr>
          <w:rFonts w:ascii="仿宋_GB2312" w:eastAsia="仿宋_GB2312"/>
          <w:color w:val="auto"/>
          <w:sz w:val="32"/>
          <w:szCs w:val="32"/>
        </w:rPr>
        <w:t>201</w:t>
      </w:r>
      <w:r>
        <w:rPr>
          <w:rFonts w:hint="eastAsia" w:ascii="仿宋_GB2312" w:eastAsia="仿宋_GB2312"/>
          <w:color w:val="auto"/>
          <w:sz w:val="32"/>
          <w:szCs w:val="32"/>
        </w:rPr>
        <w:t>7年持平。</w:t>
      </w:r>
    </w:p>
    <w:p>
      <w:pPr>
        <w:ind w:firstLine="640"/>
        <w:rPr>
          <w:rFonts w:ascii="仿宋_GB2312" w:eastAsia="仿宋_GB2312"/>
          <w:color w:val="auto"/>
          <w:sz w:val="32"/>
          <w:szCs w:val="32"/>
        </w:rPr>
      </w:pPr>
      <w:r>
        <w:rPr>
          <w:rFonts w:hint="eastAsia" w:ascii="仿宋_GB2312" w:eastAsia="仿宋_GB2312"/>
          <w:color w:val="auto"/>
          <w:sz w:val="32"/>
          <w:szCs w:val="32"/>
        </w:rPr>
        <w:t>无开支内容。</w:t>
      </w:r>
    </w:p>
    <w:p>
      <w:pPr>
        <w:ind w:firstLine="640"/>
        <w:rPr>
          <w:rFonts w:hint="eastAsia" w:ascii="仿宋_GB2312" w:eastAsia="仿宋_GB2312"/>
          <w:color w:val="auto"/>
          <w:sz w:val="32"/>
          <w:szCs w:val="32"/>
        </w:rPr>
      </w:pPr>
      <w:r>
        <w:rPr>
          <w:rFonts w:ascii="仿宋_GB2312" w:eastAsia="仿宋_GB2312"/>
          <w:b/>
          <w:color w:val="auto"/>
          <w:sz w:val="32"/>
          <w:szCs w:val="32"/>
        </w:rPr>
        <w:t>3.</w:t>
      </w:r>
      <w:r>
        <w:rPr>
          <w:rFonts w:hint="eastAsia" w:ascii="仿宋_GB2312" w:eastAsia="仿宋_GB2312"/>
          <w:b/>
          <w:color w:val="auto"/>
          <w:sz w:val="32"/>
          <w:szCs w:val="32"/>
        </w:rPr>
        <w:t>公务接待费支出</w:t>
      </w:r>
      <w:r>
        <w:rPr>
          <w:rFonts w:hint="eastAsia" w:ascii="仿宋_GB2312" w:eastAsia="仿宋_GB2312"/>
          <w:color w:val="auto"/>
          <w:sz w:val="32"/>
          <w:szCs w:val="32"/>
        </w:rPr>
        <w:t>0.07万元，</w:t>
      </w:r>
      <w:r>
        <w:rPr>
          <w:rStyle w:val="12"/>
          <w:rFonts w:hint="eastAsia" w:ascii="仿宋" w:hAnsi="仿宋" w:eastAsia="仿宋"/>
          <w:b w:val="0"/>
          <w:bCs/>
          <w:color w:val="auto"/>
        </w:rPr>
        <w:t>完成预算7</w:t>
      </w:r>
      <w:r>
        <w:rPr>
          <w:rStyle w:val="12"/>
          <w:rFonts w:ascii="仿宋" w:hAnsi="仿宋" w:eastAsia="仿宋"/>
          <w:b w:val="0"/>
          <w:bCs/>
          <w:color w:val="auto"/>
        </w:rPr>
        <w:t>%</w:t>
      </w:r>
      <w:r>
        <w:rPr>
          <w:rStyle w:val="12"/>
          <w:rFonts w:hint="eastAsia" w:ascii="仿宋" w:hAnsi="仿宋" w:eastAsia="仿宋"/>
          <w:b w:val="0"/>
          <w:bCs/>
          <w:color w:val="auto"/>
        </w:rPr>
        <w:t>。</w:t>
      </w:r>
      <w:r>
        <w:rPr>
          <w:rFonts w:hint="eastAsia" w:ascii="仿宋_GB2312" w:eastAsia="仿宋_GB2312"/>
          <w:color w:val="auto"/>
          <w:sz w:val="32"/>
          <w:szCs w:val="32"/>
        </w:rPr>
        <w:t>公务接待费支出决算比</w:t>
      </w:r>
      <w:r>
        <w:rPr>
          <w:rFonts w:ascii="仿宋_GB2312" w:eastAsia="仿宋_GB2312"/>
          <w:color w:val="auto"/>
          <w:sz w:val="32"/>
          <w:szCs w:val="32"/>
        </w:rPr>
        <w:t>201</w:t>
      </w:r>
      <w:r>
        <w:rPr>
          <w:rFonts w:hint="eastAsia" w:ascii="仿宋_GB2312" w:eastAsia="仿宋_GB2312"/>
          <w:color w:val="auto"/>
          <w:sz w:val="32"/>
          <w:szCs w:val="32"/>
        </w:rPr>
        <w:t>7年减少0.01万元，下降12.50</w:t>
      </w:r>
      <w:r>
        <w:rPr>
          <w:rFonts w:ascii="仿宋_GB2312" w:eastAsia="仿宋_GB2312"/>
          <w:color w:val="auto"/>
          <w:sz w:val="32"/>
          <w:szCs w:val="32"/>
        </w:rPr>
        <w:t>%</w:t>
      </w:r>
      <w:r>
        <w:rPr>
          <w:rFonts w:hint="eastAsia" w:ascii="仿宋_GB2312" w:eastAsia="仿宋_GB2312"/>
          <w:color w:val="auto"/>
          <w:sz w:val="32"/>
          <w:szCs w:val="32"/>
        </w:rPr>
        <w:t>。主要原因是严格执行中央八项规定精神，厉行节约，控制公务接待支出。</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主要用于执行公务、开展业务活动开支的用餐费等。国内公务接待2批次，11人次，共计支出0.07万元。</w:t>
      </w:r>
    </w:p>
    <w:p>
      <w:pPr>
        <w:ind w:firstLine="643" w:firstLineChars="200"/>
        <w:rPr>
          <w:rFonts w:ascii="仿宋_GB2312" w:eastAsia="仿宋_GB2312"/>
          <w:color w:val="auto"/>
          <w:sz w:val="32"/>
          <w:szCs w:val="32"/>
        </w:rPr>
      </w:pPr>
      <w:r>
        <w:rPr>
          <w:rFonts w:hint="eastAsia" w:ascii="仿宋" w:hAnsi="仿宋" w:eastAsia="仿宋"/>
          <w:b/>
          <w:color w:val="auto"/>
          <w:sz w:val="32"/>
          <w:szCs w:val="32"/>
        </w:rPr>
        <w:t>外事接待支出</w:t>
      </w:r>
      <w:r>
        <w:rPr>
          <w:rFonts w:hint="eastAsia" w:ascii="仿宋" w:hAnsi="仿宋" w:eastAsia="仿宋"/>
          <w:color w:val="auto"/>
          <w:sz w:val="32"/>
          <w:szCs w:val="32"/>
        </w:rPr>
        <w:t>0</w:t>
      </w:r>
      <w:r>
        <w:rPr>
          <w:rFonts w:hint="eastAsia" w:ascii="仿宋_GB2312" w:eastAsia="仿宋_GB2312"/>
          <w:color w:val="auto"/>
          <w:sz w:val="32"/>
          <w:szCs w:val="32"/>
        </w:rPr>
        <w:t>万元，外事接待0批次，0人，共计支出0万元。</w:t>
      </w:r>
    </w:p>
    <w:p>
      <w:pPr>
        <w:ind w:firstLine="640"/>
        <w:outlineLvl w:val="1"/>
        <w:rPr>
          <w:rStyle w:val="15"/>
          <w:rFonts w:ascii="黑体" w:hAnsi="黑体" w:eastAsia="黑体"/>
          <w:color w:val="auto"/>
        </w:rPr>
      </w:pPr>
      <w:bookmarkStart w:id="43" w:name="_Toc15377218"/>
      <w:bookmarkStart w:id="44" w:name="_Toc15396610"/>
      <w:r>
        <w:rPr>
          <w:rFonts w:hint="eastAsia" w:ascii="黑体" w:eastAsia="黑体"/>
          <w:color w:val="auto"/>
          <w:sz w:val="32"/>
          <w:szCs w:val="32"/>
        </w:rPr>
        <w:t>八、</w:t>
      </w:r>
      <w:r>
        <w:rPr>
          <w:rStyle w:val="15"/>
          <w:rFonts w:hint="eastAsia" w:ascii="黑体" w:hAnsi="黑体" w:eastAsia="黑体"/>
          <w:b w:val="0"/>
          <w:color w:val="auto"/>
        </w:rPr>
        <w:t>政府性基金预算支出决算情况说明</w:t>
      </w:r>
      <w:bookmarkEnd w:id="43"/>
      <w:bookmarkEnd w:id="44"/>
    </w:p>
    <w:p>
      <w:pPr>
        <w:ind w:firstLine="640"/>
        <w:rPr>
          <w:rFonts w:ascii="仿宋_GB2312" w:eastAsia="仿宋_GB2312"/>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8年政府性基金预算拨款支出0万元。</w:t>
      </w:r>
    </w:p>
    <w:p>
      <w:pPr>
        <w:numPr>
          <w:ilvl w:val="0"/>
          <w:numId w:val="1"/>
        </w:numPr>
        <w:ind w:firstLine="640"/>
        <w:outlineLvl w:val="1"/>
        <w:rPr>
          <w:rStyle w:val="15"/>
          <w:rFonts w:ascii="黑体" w:hAnsi="黑体" w:eastAsia="黑体"/>
          <w:b w:val="0"/>
          <w:color w:val="auto"/>
        </w:rPr>
      </w:pPr>
      <w:bookmarkStart w:id="45" w:name="_Toc15396611"/>
      <w:bookmarkStart w:id="46" w:name="_Toc15377219"/>
      <w:r>
        <w:rPr>
          <w:rStyle w:val="15"/>
          <w:rFonts w:hint="eastAsia" w:ascii="黑体" w:hAnsi="黑体" w:eastAsia="黑体"/>
          <w:b w:val="0"/>
          <w:color w:val="auto"/>
        </w:rPr>
        <w:t>国有资本经营预算支出决算情况说明</w:t>
      </w:r>
      <w:bookmarkEnd w:id="45"/>
      <w:bookmarkEnd w:id="46"/>
    </w:p>
    <w:p>
      <w:pPr>
        <w:ind w:firstLine="640"/>
        <w:rPr>
          <w:rFonts w:ascii="仿宋_GB2312" w:eastAsia="仿宋_GB2312"/>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8年国有资本经营预算拨款支出0.00万元。</w:t>
      </w:r>
    </w:p>
    <w:p>
      <w:pPr>
        <w:pStyle w:val="23"/>
        <w:numPr>
          <w:ilvl w:val="0"/>
          <w:numId w:val="0"/>
        </w:numPr>
        <w:ind w:left="709" w:leftChars="0"/>
        <w:rPr>
          <w:rStyle w:val="15"/>
          <w:rFonts w:ascii="黑体" w:hAnsi="黑体" w:eastAsia="黑体"/>
          <w:b w:val="0"/>
          <w:color w:val="auto"/>
        </w:rPr>
      </w:pPr>
      <w:r>
        <w:rPr>
          <w:rStyle w:val="15"/>
          <w:rFonts w:hint="eastAsia" w:ascii="黑体" w:hAnsi="黑体" w:eastAsia="黑体"/>
          <w:b w:val="0"/>
          <w:color w:val="auto"/>
          <w:lang w:val="en-US" w:eastAsia="zh-CN"/>
        </w:rPr>
        <w:t>十、</w:t>
      </w:r>
      <w:r>
        <w:rPr>
          <w:rStyle w:val="15"/>
          <w:rFonts w:hint="eastAsia" w:ascii="黑体" w:hAnsi="黑体" w:eastAsia="黑体"/>
          <w:b w:val="0"/>
          <w:color w:val="auto"/>
        </w:rPr>
        <w:t>预算绩效情况说明</w:t>
      </w:r>
    </w:p>
    <w:p>
      <w:pPr>
        <w:numPr>
          <w:ilvl w:val="0"/>
          <w:numId w:val="2"/>
        </w:numPr>
        <w:ind w:firstLine="643" w:firstLineChars="200"/>
        <w:rPr>
          <w:rFonts w:ascii="仿宋" w:hAnsi="仿宋" w:eastAsia="仿宋" w:cs="楷体_GB2312"/>
          <w:b/>
          <w:bCs/>
          <w:color w:val="auto"/>
          <w:sz w:val="32"/>
          <w:szCs w:val="32"/>
        </w:rPr>
      </w:pPr>
      <w:r>
        <w:rPr>
          <w:rFonts w:hint="eastAsia" w:ascii="仿宋" w:hAnsi="仿宋" w:eastAsia="仿宋" w:cs="楷体_GB2312"/>
          <w:b/>
          <w:bCs/>
          <w:color w:val="auto"/>
          <w:sz w:val="32"/>
          <w:szCs w:val="32"/>
        </w:rPr>
        <w:t>预算绩效管理工作开展情况。</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预算绩效管理要求，本单位在年初预算编制阶段，组织对教育督导工作开展了预算事前绩效评估。2018年底，对全年部门整体支出开展绩效自评。从评价情况来看，本单位按时按规定向达川区财政申请预算经济指标，财政局按时下达预算指标，基本按时完成了预算支出。</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本单位还对2个专项资金编制了绩效目标。年末又对2个专项资金开展绩效评价，开展了绩效目标完成情况梳理填报。从评价情况来看，完成了预算指标，实现了预期绩效。</w:t>
      </w:r>
    </w:p>
    <w:p>
      <w:pPr>
        <w:numPr>
          <w:ilvl w:val="0"/>
          <w:numId w:val="2"/>
        </w:numPr>
        <w:ind w:firstLine="643" w:firstLineChars="200"/>
        <w:rPr>
          <w:rFonts w:ascii="仿宋_GB2312" w:hAnsi="仿宋_GB2312" w:eastAsia="仿宋_GB2312" w:cs="仿宋_GB2312"/>
          <w:color w:val="auto"/>
          <w:sz w:val="32"/>
          <w:szCs w:val="32"/>
        </w:rPr>
      </w:pPr>
      <w:r>
        <w:rPr>
          <w:rFonts w:hint="eastAsia" w:ascii="仿宋" w:hAnsi="仿宋" w:eastAsia="仿宋" w:cs="楷体_GB2312"/>
          <w:b/>
          <w:bCs/>
          <w:color w:val="auto"/>
          <w:sz w:val="32"/>
          <w:szCs w:val="32"/>
        </w:rPr>
        <w:t>专项绩效目标完成情况。</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本单位在2018年度部门决算中反映“教育督导工作经费</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、“党建经费”等2个专项资金绩效目标实际完成情况。</w:t>
      </w:r>
    </w:p>
    <w:p>
      <w:pPr>
        <w:widowControl/>
        <w:ind w:firstLine="640"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.党建工作专项资金绩效目标完成情况综述。专项资金全年预算数5万元，执行数为5万元，完成预算的100%。通过专项资金实施，保障党建工作督导目标的完成：</w:t>
      </w:r>
    </w:p>
    <w:p>
      <w:pPr>
        <w:widowControl/>
        <w:ind w:firstLine="640"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(1)进一步提高了督学、党员干部政治修养；</w:t>
      </w:r>
    </w:p>
    <w:p>
      <w:pPr>
        <w:widowControl/>
        <w:ind w:firstLine="640"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(2)督促基层支部进一步提升了凝聚力，督导党员进一步发挥了先锋模范作用。</w:t>
      </w:r>
    </w:p>
    <w:p>
      <w:pPr>
        <w:widowControl/>
        <w:ind w:firstLine="640"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.教育督导工作经费专项资金绩效目标完成情况综述。专项资金全年预算数70万元，执行数为70万元，完成预算的100%。通过专项资金实施，保障全区教育督导目标的完成：</w:t>
      </w:r>
    </w:p>
    <w:p>
      <w:pPr>
        <w:widowControl/>
        <w:ind w:firstLine="640"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(1)完成了教育经常性督导工作；</w:t>
      </w:r>
    </w:p>
    <w:p>
      <w:pPr>
        <w:widowControl/>
        <w:ind w:firstLine="640"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(2)完成了义务教育均衡发展巩固性督导工作；</w:t>
      </w:r>
    </w:p>
    <w:p>
      <w:pPr>
        <w:widowControl/>
        <w:ind w:firstLine="640"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(3)完成了精准扶贫经常性督导工作；</w:t>
      </w:r>
    </w:p>
    <w:p>
      <w:pPr>
        <w:widowControl/>
        <w:ind w:firstLine="640" w:firstLineChars="200"/>
        <w:jc w:val="left"/>
        <w:textAlignment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(4)完成了政府、教科局安排的其他督导工作。</w:t>
      </w:r>
    </w:p>
    <w:tbl>
      <w:tblPr>
        <w:tblStyle w:val="10"/>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firstLine="0" w:firstLineChars="0"/>
              <w:jc w:val="center"/>
              <w:textAlignment w:val="center"/>
              <w:rPr>
                <w:rFonts w:ascii="宋体" w:hAnsi="宋体" w:cs="宋体"/>
                <w:color w:val="auto"/>
                <w:sz w:val="36"/>
                <w:szCs w:val="36"/>
              </w:rPr>
            </w:pPr>
            <w:r>
              <w:rPr>
                <w:rFonts w:hint="eastAsia" w:ascii="黑体" w:hAnsi="黑体" w:eastAsia="黑体" w:cs="宋体"/>
                <w:bCs/>
                <w:color w:val="auto"/>
                <w:kern w:val="0"/>
                <w:sz w:val="36"/>
                <w:szCs w:val="36"/>
              </w:rPr>
              <w:t>党建工作专项</w:t>
            </w:r>
            <w:r>
              <w:rPr>
                <w:rFonts w:hint="eastAsia" w:ascii="黑体" w:hAnsi="黑体" w:eastAsia="黑体" w:cs="宋体"/>
                <w:bCs/>
                <w:color w:val="auto"/>
                <w:kern w:val="0"/>
                <w:sz w:val="36"/>
                <w:szCs w:val="36"/>
                <w:lang w:val="en-US" w:eastAsia="zh-CN"/>
              </w:rPr>
              <w:t>经费</w:t>
            </w:r>
            <w:r>
              <w:rPr>
                <w:rFonts w:hint="eastAsia" w:ascii="黑体" w:hAnsi="黑体" w:eastAsia="黑体" w:cs="宋体"/>
                <w:bCs/>
                <w:color w:val="auto"/>
                <w:kern w:val="0"/>
                <w:sz w:val="36"/>
                <w:szCs w:val="36"/>
              </w:rPr>
              <w:t>资金绩效目标完成情况表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党建工作经费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达州市达川区人民政府教育督导室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5万元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5万元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5万元</w:t>
            </w:r>
          </w:p>
        </w:tc>
      </w:tr>
      <w:tr>
        <w:tblPrEx>
          <w:tblCellMar>
            <w:top w:w="0" w:type="dxa"/>
            <w:left w:w="0" w:type="dxa"/>
            <w:bottom w:w="0" w:type="dxa"/>
            <w:right w:w="0" w:type="dxa"/>
          </w:tblCellMar>
        </w:tblPrEx>
        <w:trPr>
          <w:trHeight w:val="33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提高督学、党员干部政治修养，督促基层支部提升凝聚力，督导党员发挥先锋模范作用</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党员干部进一步提高政治修养，支部进一步提升聚凝力，党员更加发挥了先锋模范作用</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资金测算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党报党刊党史资料购置费0.5万元；学习材料制作印刷费0.5万元；督导基层党建工作差旅费4万元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按预算完成5万元</w:t>
            </w:r>
          </w:p>
        </w:tc>
      </w:tr>
      <w:tr>
        <w:tblPrEx>
          <w:tblCellMar>
            <w:top w:w="0" w:type="dxa"/>
            <w:left w:w="0" w:type="dxa"/>
            <w:bottom w:w="0" w:type="dxa"/>
            <w:right w:w="0" w:type="dxa"/>
          </w:tblCellMar>
        </w:tblPrEx>
        <w:trPr>
          <w:trHeight w:val="6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时间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12月底前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2018年12月按期完成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主要工作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sz w:val="24"/>
              </w:rPr>
              <w:t>1.集中与分散相结合，开展党员督学培训，进一步提高督学的政治素养；</w:t>
            </w:r>
          </w:p>
          <w:p>
            <w:pPr>
              <w:widowControl/>
              <w:jc w:val="left"/>
              <w:textAlignment w:val="center"/>
              <w:rPr>
                <w:rFonts w:ascii="宋体" w:hAnsi="宋体" w:cs="宋体"/>
                <w:color w:val="auto"/>
                <w:sz w:val="24"/>
              </w:rPr>
            </w:pPr>
            <w:r>
              <w:rPr>
                <w:rFonts w:hint="eastAsia" w:ascii="宋体" w:hAnsi="宋体" w:cs="宋体"/>
                <w:color w:val="auto"/>
                <w:sz w:val="24"/>
              </w:rPr>
              <w:t>2.加强对基层党建工作的督查与督导。</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sz w:val="24"/>
              </w:rPr>
              <w:t>1.进一步提高了督学、党员干部政治修养；</w:t>
            </w:r>
          </w:p>
          <w:p>
            <w:pPr>
              <w:widowControl/>
              <w:jc w:val="left"/>
              <w:textAlignment w:val="center"/>
              <w:rPr>
                <w:rFonts w:ascii="宋体" w:hAnsi="宋体" w:cs="宋体"/>
                <w:color w:val="auto"/>
                <w:sz w:val="24"/>
              </w:rPr>
            </w:pPr>
            <w:r>
              <w:rPr>
                <w:rFonts w:hint="eastAsia" w:ascii="宋体" w:hAnsi="宋体" w:cs="宋体"/>
                <w:color w:val="auto"/>
                <w:sz w:val="24"/>
              </w:rPr>
              <w:t>2.督促基层支部进一步提升了凝聚力，督导党员进一步发挥了先锋模范作用。</w:t>
            </w:r>
          </w:p>
        </w:tc>
      </w:tr>
      <w:tr>
        <w:tblPrEx>
          <w:tblCellMar>
            <w:top w:w="0" w:type="dxa"/>
            <w:left w:w="0" w:type="dxa"/>
            <w:bottom w:w="0" w:type="dxa"/>
            <w:right w:w="0" w:type="dxa"/>
          </w:tblCellMar>
        </w:tblPrEx>
        <w:trPr>
          <w:trHeight w:val="408"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&gt;95%</w:t>
            </w:r>
          </w:p>
        </w:tc>
      </w:tr>
      <w:tr>
        <w:tblPrEx>
          <w:tblCellMar>
            <w:top w:w="0" w:type="dxa"/>
            <w:left w:w="0" w:type="dxa"/>
            <w:bottom w:w="0" w:type="dxa"/>
            <w:right w:w="0" w:type="dxa"/>
          </w:tblCellMar>
        </w:tblPrEx>
        <w:trPr>
          <w:trHeight w:val="6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&gt;95%</w:t>
            </w:r>
          </w:p>
        </w:tc>
      </w:tr>
    </w:tbl>
    <w:p>
      <w:pPr>
        <w:widowControl/>
        <w:ind w:firstLine="640" w:firstLineChars="200"/>
        <w:jc w:val="left"/>
        <w:textAlignment w:val="center"/>
        <w:rPr>
          <w:rFonts w:hint="eastAsia" w:ascii="仿宋_GB2312" w:hAnsi="仿宋_GB2312" w:eastAsia="仿宋_GB2312" w:cs="仿宋_GB2312"/>
          <w:color w:val="auto"/>
          <w:sz w:val="32"/>
          <w:szCs w:val="32"/>
        </w:rPr>
      </w:pPr>
    </w:p>
    <w:tbl>
      <w:tblPr>
        <w:tblStyle w:val="10"/>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firstLine="0" w:firstLineChars="0"/>
              <w:jc w:val="center"/>
              <w:textAlignment w:val="center"/>
              <w:rPr>
                <w:rFonts w:ascii="宋体" w:hAnsi="宋体" w:cs="宋体"/>
                <w:color w:val="auto"/>
                <w:sz w:val="36"/>
                <w:szCs w:val="36"/>
              </w:rPr>
            </w:pPr>
            <w:r>
              <w:rPr>
                <w:rFonts w:hint="eastAsia" w:ascii="黑体" w:hAnsi="黑体" w:eastAsia="黑体" w:cs="宋体"/>
                <w:bCs/>
                <w:color w:val="auto"/>
                <w:kern w:val="0"/>
                <w:sz w:val="36"/>
                <w:szCs w:val="36"/>
                <w:lang w:val="en-US" w:eastAsia="zh-CN"/>
              </w:rPr>
              <w:t>经常</w:t>
            </w:r>
            <w:r>
              <w:rPr>
                <w:rFonts w:hint="eastAsia" w:ascii="黑体" w:hAnsi="黑体" w:eastAsia="黑体" w:cs="宋体"/>
                <w:bCs/>
                <w:color w:val="auto"/>
                <w:kern w:val="0"/>
                <w:sz w:val="36"/>
                <w:szCs w:val="36"/>
              </w:rPr>
              <w:t>教育督导工作专项资金绩效目标完成情况表</w:t>
            </w:r>
            <w:r>
              <w:rPr>
                <w:rFonts w:hint="eastAsia" w:ascii="宋体" w:hAnsi="宋体" w:cs="宋体"/>
                <w:b/>
                <w:bCs/>
                <w:color w:val="auto"/>
                <w:kern w:val="0"/>
                <w:sz w:val="36"/>
                <w:szCs w:val="36"/>
              </w:rPr>
              <w:br w:type="textWrapping"/>
            </w:r>
            <w:r>
              <w:rPr>
                <w:rFonts w:hint="eastAsia" w:ascii="宋体" w:hAnsi="宋体" w:cs="宋体"/>
                <w:color w:val="auto"/>
                <w:kern w:val="0"/>
                <w:sz w:val="36"/>
                <w:szCs w:val="36"/>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教育督导工作经费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达州市达川区人民政府教育督导室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70万元</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70万元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70万元</w:t>
            </w:r>
          </w:p>
        </w:tc>
      </w:tr>
      <w:tr>
        <w:tblPrEx>
          <w:tblCellMar>
            <w:top w:w="0" w:type="dxa"/>
            <w:left w:w="0" w:type="dxa"/>
            <w:bottom w:w="0" w:type="dxa"/>
            <w:right w:w="0" w:type="dxa"/>
          </w:tblCellMar>
        </w:tblPrEx>
        <w:trPr>
          <w:trHeight w:val="28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auto"/>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实际完成目标</w:t>
            </w:r>
          </w:p>
        </w:tc>
      </w:tr>
      <w:tr>
        <w:tblPrEx>
          <w:tblCellMar>
            <w:top w:w="0" w:type="dxa"/>
            <w:left w:w="0" w:type="dxa"/>
            <w:bottom w:w="0" w:type="dxa"/>
            <w:right w:w="0" w:type="dxa"/>
          </w:tblCellMar>
        </w:tblPrEx>
        <w:trPr>
          <w:trHeight w:val="53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sz w:val="24"/>
              </w:rPr>
              <w:t>督促学校全面落实党的教育方针，巩固义务教育均衡发展成果，进一步提升办学品质，提高群众对教育的满意度；</w:t>
            </w:r>
          </w:p>
          <w:p>
            <w:pPr>
              <w:widowControl/>
              <w:jc w:val="left"/>
              <w:textAlignment w:val="center"/>
              <w:rPr>
                <w:rFonts w:ascii="宋体" w:hAnsi="宋体" w:cs="宋体"/>
                <w:color w:val="auto"/>
                <w:sz w:val="24"/>
              </w:rPr>
            </w:pPr>
            <w:r>
              <w:rPr>
                <w:rFonts w:hint="eastAsia" w:ascii="宋体" w:hAnsi="宋体" w:cs="宋体"/>
                <w:color w:val="auto"/>
                <w:sz w:val="24"/>
              </w:rPr>
              <w:t>督促学校、教职员工做好精准扶贫工作，按时完成脱贫攻坚任务，为全国全面脱贫做贡献。</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sz w:val="24"/>
              </w:rPr>
              <w:t>督促学校全面落实了党的教育方针，巩固了义务教育均衡发展成果，进一步了提升办学品质，提高群众对教育的满意度；</w:t>
            </w:r>
          </w:p>
          <w:p>
            <w:pPr>
              <w:widowControl/>
              <w:jc w:val="left"/>
              <w:textAlignment w:val="center"/>
              <w:rPr>
                <w:rFonts w:ascii="宋体" w:hAnsi="宋体" w:cs="宋体"/>
                <w:color w:val="auto"/>
                <w:sz w:val="24"/>
              </w:rPr>
            </w:pPr>
            <w:r>
              <w:rPr>
                <w:rFonts w:hint="eastAsia" w:ascii="宋体" w:hAnsi="宋体" w:cs="宋体"/>
                <w:color w:val="auto"/>
                <w:sz w:val="24"/>
              </w:rPr>
              <w:t>督促学校、教职员工做好了精准扶贫工作，按时完成脱贫攻坚任务，为达川区全面脱贫验收做出了应有的努力。</w:t>
            </w:r>
          </w:p>
        </w:tc>
      </w:tr>
      <w:tr>
        <w:tblPrEx>
          <w:tblCellMar>
            <w:top w:w="0" w:type="dxa"/>
            <w:left w:w="0" w:type="dxa"/>
            <w:bottom w:w="0" w:type="dxa"/>
            <w:right w:w="0" w:type="dxa"/>
          </w:tblCellMar>
        </w:tblPrEx>
        <w:trPr>
          <w:trHeight w:val="571"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资金测算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办公费、印刷费、会议费、公务接待费、培训费、工会经费计21.5万元；水费、电费4.5万元；差旅费43万元；其他资本支出1万元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按预算完成75万元</w:t>
            </w:r>
          </w:p>
        </w:tc>
      </w:tr>
      <w:tr>
        <w:tblPrEx>
          <w:tblCellMar>
            <w:top w:w="0" w:type="dxa"/>
            <w:left w:w="0" w:type="dxa"/>
            <w:bottom w:w="0" w:type="dxa"/>
            <w:right w:w="0" w:type="dxa"/>
          </w:tblCellMar>
        </w:tblPrEx>
        <w:trPr>
          <w:trHeight w:val="6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时间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auto"/>
                <w:sz w:val="24"/>
              </w:rPr>
            </w:pPr>
            <w:r>
              <w:rPr>
                <w:rFonts w:hint="eastAsia" w:ascii="宋体" w:hAnsi="宋体" w:cs="宋体"/>
                <w:color w:val="auto"/>
                <w:sz w:val="24"/>
              </w:rPr>
              <w:t>12月底前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2018年12月按期完成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主要工作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sz w:val="24"/>
              </w:rPr>
              <w:t>1.教育经常性督导；</w:t>
            </w:r>
          </w:p>
          <w:p>
            <w:pPr>
              <w:widowControl/>
              <w:jc w:val="left"/>
              <w:textAlignment w:val="center"/>
              <w:rPr>
                <w:rFonts w:hint="eastAsia" w:ascii="宋体" w:hAnsi="宋体" w:cs="宋体"/>
                <w:color w:val="auto"/>
                <w:sz w:val="24"/>
              </w:rPr>
            </w:pPr>
            <w:r>
              <w:rPr>
                <w:rFonts w:hint="eastAsia" w:ascii="宋体" w:hAnsi="宋体" w:cs="宋体"/>
                <w:color w:val="auto"/>
                <w:sz w:val="24"/>
              </w:rPr>
              <w:t>2.义务教育均衡发展巩固性督导；</w:t>
            </w:r>
          </w:p>
          <w:p>
            <w:pPr>
              <w:widowControl/>
              <w:jc w:val="left"/>
              <w:textAlignment w:val="center"/>
              <w:rPr>
                <w:rFonts w:hint="eastAsia" w:ascii="宋体" w:hAnsi="宋体" w:cs="宋体"/>
                <w:color w:val="auto"/>
                <w:sz w:val="24"/>
              </w:rPr>
            </w:pPr>
            <w:r>
              <w:rPr>
                <w:rFonts w:hint="eastAsia" w:ascii="宋体" w:hAnsi="宋体" w:cs="宋体"/>
                <w:color w:val="auto"/>
                <w:sz w:val="24"/>
              </w:rPr>
              <w:t>3.精准扶贫经常性督导；</w:t>
            </w:r>
          </w:p>
          <w:p>
            <w:pPr>
              <w:widowControl/>
              <w:jc w:val="left"/>
              <w:textAlignment w:val="center"/>
              <w:rPr>
                <w:rFonts w:ascii="宋体" w:hAnsi="宋体" w:cs="宋体"/>
                <w:color w:val="auto"/>
                <w:sz w:val="24"/>
              </w:rPr>
            </w:pPr>
            <w:r>
              <w:rPr>
                <w:rFonts w:hint="eastAsia" w:ascii="宋体" w:hAnsi="宋体" w:cs="宋体"/>
                <w:color w:val="auto"/>
                <w:sz w:val="24"/>
              </w:rPr>
              <w:t>4.政府、教科局安排的其他督导工作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auto"/>
                <w:sz w:val="24"/>
              </w:rPr>
            </w:pPr>
            <w:r>
              <w:rPr>
                <w:rFonts w:hint="eastAsia" w:ascii="宋体" w:hAnsi="宋体" w:cs="宋体"/>
                <w:color w:val="auto"/>
                <w:sz w:val="24"/>
              </w:rPr>
              <w:t>1.完成了教育经常性督导工作；</w:t>
            </w:r>
          </w:p>
          <w:p>
            <w:pPr>
              <w:widowControl/>
              <w:jc w:val="left"/>
              <w:textAlignment w:val="center"/>
              <w:rPr>
                <w:rFonts w:hint="eastAsia" w:ascii="宋体" w:hAnsi="宋体" w:cs="宋体"/>
                <w:color w:val="auto"/>
                <w:sz w:val="24"/>
              </w:rPr>
            </w:pPr>
            <w:r>
              <w:rPr>
                <w:rFonts w:hint="eastAsia" w:ascii="宋体" w:hAnsi="宋体" w:cs="宋体"/>
                <w:color w:val="auto"/>
                <w:sz w:val="24"/>
              </w:rPr>
              <w:t>2.完成了义务教育均衡发展巩固性督导工作；</w:t>
            </w:r>
          </w:p>
          <w:p>
            <w:pPr>
              <w:widowControl/>
              <w:jc w:val="left"/>
              <w:textAlignment w:val="center"/>
              <w:rPr>
                <w:rFonts w:hint="eastAsia" w:ascii="宋体" w:hAnsi="宋体" w:cs="宋体"/>
                <w:color w:val="auto"/>
                <w:sz w:val="24"/>
              </w:rPr>
            </w:pPr>
            <w:r>
              <w:rPr>
                <w:rFonts w:hint="eastAsia" w:ascii="宋体" w:hAnsi="宋体" w:cs="宋体"/>
                <w:color w:val="auto"/>
                <w:sz w:val="24"/>
              </w:rPr>
              <w:t>3.完成了精准扶贫经常性督导工作；</w:t>
            </w:r>
          </w:p>
          <w:p>
            <w:pPr>
              <w:widowControl/>
              <w:jc w:val="left"/>
              <w:textAlignment w:val="center"/>
              <w:rPr>
                <w:rFonts w:ascii="宋体" w:hAnsi="宋体" w:cs="宋体"/>
                <w:color w:val="auto"/>
                <w:sz w:val="24"/>
              </w:rPr>
            </w:pPr>
            <w:r>
              <w:rPr>
                <w:rFonts w:hint="eastAsia" w:ascii="宋体" w:hAnsi="宋体" w:cs="宋体"/>
                <w:color w:val="auto"/>
                <w:sz w:val="24"/>
              </w:rPr>
              <w:t>4.完成了政府、教科局安排的其他督导工作</w:t>
            </w:r>
          </w:p>
        </w:tc>
      </w:tr>
      <w:tr>
        <w:tblPrEx>
          <w:tblCellMar>
            <w:top w:w="0" w:type="dxa"/>
            <w:left w:w="0" w:type="dxa"/>
            <w:bottom w:w="0" w:type="dxa"/>
            <w:right w:w="0" w:type="dxa"/>
          </w:tblCellMar>
        </w:tblPrEx>
        <w:trPr>
          <w:trHeight w:val="9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kern w:val="0"/>
                <w:sz w:val="24"/>
              </w:rPr>
              <w:t>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&gt;95%</w:t>
            </w:r>
          </w:p>
        </w:tc>
      </w:tr>
      <w:tr>
        <w:tblPrEx>
          <w:tblCellMar>
            <w:top w:w="0" w:type="dxa"/>
            <w:left w:w="0" w:type="dxa"/>
            <w:bottom w:w="0" w:type="dxa"/>
            <w:right w:w="0" w:type="dxa"/>
          </w:tblCellMar>
        </w:tblPrEx>
        <w:trPr>
          <w:trHeight w:val="65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auto"/>
                <w:sz w:val="24"/>
              </w:rPr>
            </w:pPr>
            <w:r>
              <w:rPr>
                <w:rFonts w:hint="eastAsia" w:ascii="宋体" w:hAnsi="宋体" w:cs="宋体"/>
                <w:color w:val="auto"/>
                <w:sz w:val="24"/>
              </w:rPr>
              <w:t>群众满意度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auto"/>
                <w:sz w:val="24"/>
              </w:rPr>
            </w:pPr>
            <w:r>
              <w:rPr>
                <w:rFonts w:hint="eastAsia" w:ascii="宋体" w:hAnsi="宋体" w:cs="宋体"/>
                <w:color w:val="auto"/>
                <w:sz w:val="24"/>
              </w:rPr>
              <w:t>&gt;95%</w:t>
            </w:r>
          </w:p>
        </w:tc>
      </w:tr>
    </w:tbl>
    <w:p>
      <w:pPr>
        <w:rPr>
          <w:rFonts w:ascii="Calibri" w:hAnsi="Calibri"/>
          <w:color w:val="auto"/>
        </w:rPr>
      </w:pPr>
    </w:p>
    <w:p>
      <w:pPr>
        <w:numPr>
          <w:ilvl w:val="0"/>
          <w:numId w:val="2"/>
        </w:numPr>
        <w:ind w:firstLine="643" w:firstLineChars="200"/>
        <w:rPr>
          <w:rFonts w:ascii="仿宋" w:hAnsi="仿宋" w:eastAsia="仿宋" w:cs="仿宋_GB2312"/>
          <w:color w:val="auto"/>
          <w:sz w:val="32"/>
          <w:szCs w:val="32"/>
        </w:rPr>
      </w:pPr>
      <w:r>
        <w:rPr>
          <w:rFonts w:hint="eastAsia" w:ascii="仿宋" w:hAnsi="仿宋" w:eastAsia="仿宋" w:cs="楷体_GB2312"/>
          <w:b/>
          <w:bCs/>
          <w:color w:val="auto"/>
          <w:sz w:val="32"/>
          <w:szCs w:val="32"/>
        </w:rPr>
        <w:t>部门开展绩效评价结果。</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本单位按要求对2018年部门整体支出绩效评价情况开展自评，《四川省达州市达川区人民政府教育督导室部门2018年部门整体支出绩效评价报告》见附件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本单位“</w:t>
      </w:r>
      <w:r>
        <w:rPr>
          <w:rFonts w:hint="eastAsia" w:ascii="仿宋_GB2312" w:hAnsi="仿宋_GB2312" w:eastAsia="仿宋_GB2312" w:cs="仿宋_GB2312"/>
          <w:color w:val="auto"/>
          <w:sz w:val="32"/>
          <w:szCs w:val="32"/>
        </w:rPr>
        <w:t>党建工作经费</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教育督导工作经费</w:t>
      </w:r>
      <w:r>
        <w:rPr>
          <w:rFonts w:hint="eastAsia" w:ascii="仿宋_GB2312" w:hAnsi="仿宋_GB2312" w:eastAsia="仿宋_GB2312" w:cs="仿宋_GB2312"/>
          <w:color w:val="auto"/>
          <w:sz w:val="32"/>
          <w:szCs w:val="32"/>
          <w:lang w:val="en-US" w:eastAsia="zh-CN"/>
        </w:rPr>
        <w:t>”作为工作经费，纳入基本支出核算，无项目支出，未编制项目绩效评价。</w:t>
      </w:r>
    </w:p>
    <w:p>
      <w:pPr>
        <w:ind w:firstLine="800" w:firstLineChars="250"/>
        <w:outlineLvl w:val="1"/>
        <w:rPr>
          <w:rStyle w:val="15"/>
          <w:rFonts w:ascii="黑体" w:hAnsi="黑体" w:eastAsia="黑体"/>
          <w:color w:val="auto"/>
        </w:rPr>
      </w:pPr>
      <w:bookmarkStart w:id="47" w:name="_Toc15377221"/>
      <w:bookmarkStart w:id="48" w:name="_Toc15396612"/>
      <w:r>
        <w:rPr>
          <w:rFonts w:hint="eastAsia" w:ascii="黑体" w:hAnsi="黑体" w:eastAsia="黑体"/>
          <w:color w:val="auto"/>
          <w:sz w:val="32"/>
          <w:szCs w:val="32"/>
        </w:rPr>
        <w:t>十</w:t>
      </w:r>
      <w:r>
        <w:rPr>
          <w:rStyle w:val="15"/>
          <w:rFonts w:hint="eastAsia" w:ascii="黑体" w:hAnsi="黑体" w:eastAsia="黑体"/>
          <w:color w:val="auto"/>
        </w:rPr>
        <w:t>一、</w:t>
      </w:r>
      <w:r>
        <w:rPr>
          <w:rStyle w:val="15"/>
          <w:rFonts w:hint="eastAsia" w:ascii="黑体" w:hAnsi="黑体" w:eastAsia="黑体"/>
          <w:b w:val="0"/>
          <w:color w:val="auto"/>
        </w:rPr>
        <w:t>其他重要事项的情况说明</w:t>
      </w:r>
      <w:bookmarkEnd w:id="47"/>
      <w:bookmarkEnd w:id="48"/>
    </w:p>
    <w:p>
      <w:pPr>
        <w:ind w:firstLine="643" w:firstLineChars="200"/>
        <w:outlineLvl w:val="2"/>
        <w:rPr>
          <w:rFonts w:ascii="仿宋" w:hAnsi="仿宋" w:eastAsia="仿宋"/>
          <w:color w:val="auto"/>
          <w:sz w:val="32"/>
          <w:szCs w:val="32"/>
        </w:rPr>
      </w:pPr>
      <w:bookmarkStart w:id="49" w:name="_Toc15377222"/>
      <w:r>
        <w:rPr>
          <w:rFonts w:hint="eastAsia" w:ascii="仿宋" w:hAnsi="仿宋" w:eastAsia="仿宋"/>
          <w:b/>
          <w:color w:val="auto"/>
          <w:sz w:val="32"/>
          <w:szCs w:val="32"/>
        </w:rPr>
        <w:t>（一）</w:t>
      </w:r>
      <w:r>
        <w:rPr>
          <w:rFonts w:hint="eastAsia" w:ascii="仿宋" w:hAnsi="仿宋" w:eastAsia="仿宋"/>
          <w:b/>
          <w:color w:val="auto"/>
          <w:sz w:val="32"/>
          <w:szCs w:val="32"/>
          <w:lang w:val="en-US" w:eastAsia="zh-CN"/>
        </w:rPr>
        <w:t>单位</w:t>
      </w:r>
      <w:r>
        <w:rPr>
          <w:rFonts w:hint="eastAsia" w:ascii="仿宋" w:hAnsi="仿宋" w:eastAsia="仿宋"/>
          <w:b/>
          <w:color w:val="auto"/>
          <w:sz w:val="32"/>
          <w:szCs w:val="32"/>
        </w:rPr>
        <w:t>运行经费支出情况</w:t>
      </w:r>
      <w:bookmarkEnd w:id="49"/>
    </w:p>
    <w:p>
      <w:pPr>
        <w:ind w:firstLine="640" w:firstLineChars="200"/>
        <w:rPr>
          <w:rFonts w:hint="eastAsia" w:ascii="仿宋_GB2312" w:eastAsia="仿宋_GB2312"/>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8年，达州市达川区人民政府教育督导室</w:t>
      </w:r>
      <w:r>
        <w:rPr>
          <w:rFonts w:hint="eastAsia" w:ascii="仿宋_GB2312" w:eastAsia="仿宋_GB2312"/>
          <w:color w:val="auto"/>
          <w:sz w:val="32"/>
          <w:szCs w:val="32"/>
          <w:lang w:val="en-US" w:eastAsia="zh-CN"/>
        </w:rPr>
        <w:t>单位</w:t>
      </w:r>
      <w:r>
        <w:rPr>
          <w:rFonts w:hint="eastAsia" w:ascii="仿宋_GB2312" w:eastAsia="仿宋_GB2312"/>
          <w:color w:val="auto"/>
          <w:sz w:val="32"/>
          <w:szCs w:val="32"/>
        </w:rPr>
        <w:t>运行经费支出40.13万元，比</w:t>
      </w:r>
      <w:r>
        <w:rPr>
          <w:rFonts w:ascii="仿宋_GB2312" w:eastAsia="仿宋_GB2312"/>
          <w:color w:val="auto"/>
          <w:sz w:val="32"/>
          <w:szCs w:val="32"/>
        </w:rPr>
        <w:t>201</w:t>
      </w:r>
      <w:r>
        <w:rPr>
          <w:rFonts w:hint="eastAsia" w:ascii="仿宋_GB2312" w:eastAsia="仿宋_GB2312"/>
          <w:color w:val="auto"/>
          <w:sz w:val="32"/>
          <w:szCs w:val="32"/>
        </w:rPr>
        <w:t>7年增加8.1万元，增长25.29</w:t>
      </w:r>
      <w:r>
        <w:rPr>
          <w:rFonts w:ascii="仿宋_GB2312" w:eastAsia="仿宋_GB2312"/>
          <w:color w:val="auto"/>
          <w:sz w:val="32"/>
          <w:szCs w:val="32"/>
        </w:rPr>
        <w:t>%</w:t>
      </w:r>
      <w:r>
        <w:rPr>
          <w:rFonts w:hint="eastAsia" w:ascii="仿宋_GB2312" w:eastAsia="仿宋_GB2312"/>
          <w:color w:val="auto"/>
          <w:sz w:val="32"/>
          <w:szCs w:val="32"/>
        </w:rPr>
        <w:t>。主要原因是人员工资、津贴补贴正常增长。</w:t>
      </w:r>
    </w:p>
    <w:p>
      <w:pPr>
        <w:autoSpaceDE w:val="0"/>
        <w:autoSpaceDN w:val="0"/>
        <w:adjustRightInd w:val="0"/>
        <w:ind w:firstLine="643" w:firstLineChars="200"/>
        <w:jc w:val="left"/>
        <w:outlineLvl w:val="2"/>
        <w:rPr>
          <w:rFonts w:ascii="仿宋" w:hAnsi="仿宋" w:eastAsia="仿宋"/>
          <w:b/>
          <w:color w:val="auto"/>
          <w:sz w:val="32"/>
          <w:szCs w:val="32"/>
        </w:rPr>
      </w:pPr>
      <w:bookmarkStart w:id="50" w:name="_Toc15377223"/>
      <w:r>
        <w:rPr>
          <w:rFonts w:hint="eastAsia" w:ascii="仿宋" w:hAnsi="仿宋" w:eastAsia="仿宋"/>
          <w:b/>
          <w:color w:val="auto"/>
          <w:sz w:val="32"/>
          <w:szCs w:val="32"/>
        </w:rPr>
        <w:t>（二）政府采购支出情况</w:t>
      </w:r>
      <w:bookmarkEnd w:id="50"/>
      <w:bookmarkStart w:id="72" w:name="_GoBack"/>
      <w:bookmarkEnd w:id="72"/>
    </w:p>
    <w:p>
      <w:pPr>
        <w:ind w:firstLine="640" w:firstLineChars="200"/>
        <w:rPr>
          <w:rFonts w:ascii="仿宋" w:hAnsi="仿宋" w:eastAsia="仿宋"/>
          <w:b/>
          <w:color w:val="auto"/>
          <w:sz w:val="32"/>
          <w:szCs w:val="32"/>
        </w:rPr>
      </w:pPr>
      <w:r>
        <w:rPr>
          <w:rFonts w:ascii="仿宋_GB2312" w:eastAsia="仿宋_GB2312"/>
          <w:color w:val="auto"/>
          <w:sz w:val="32"/>
          <w:szCs w:val="32"/>
        </w:rPr>
        <w:t>201</w:t>
      </w:r>
      <w:r>
        <w:rPr>
          <w:rFonts w:hint="eastAsia" w:ascii="仿宋_GB2312" w:eastAsia="仿宋_GB2312"/>
          <w:color w:val="auto"/>
          <w:sz w:val="32"/>
          <w:szCs w:val="32"/>
        </w:rPr>
        <w:t>8年，达州市达川区人民政府教育督导室政府采购支出总额0万元。</w:t>
      </w:r>
    </w:p>
    <w:p>
      <w:pPr>
        <w:autoSpaceDE w:val="0"/>
        <w:autoSpaceDN w:val="0"/>
        <w:adjustRightInd w:val="0"/>
        <w:ind w:firstLine="643" w:firstLineChars="200"/>
        <w:jc w:val="left"/>
        <w:outlineLvl w:val="2"/>
        <w:rPr>
          <w:rFonts w:ascii="仿宋" w:hAnsi="仿宋" w:eastAsia="仿宋"/>
          <w:b/>
          <w:color w:val="auto"/>
          <w:sz w:val="32"/>
          <w:szCs w:val="32"/>
        </w:rPr>
      </w:pPr>
      <w:bookmarkStart w:id="51" w:name="_Toc15377224"/>
      <w:r>
        <w:rPr>
          <w:rFonts w:hint="eastAsia" w:ascii="仿宋" w:hAnsi="仿宋" w:eastAsia="仿宋"/>
          <w:b/>
          <w:color w:val="auto"/>
          <w:sz w:val="32"/>
          <w:szCs w:val="32"/>
        </w:rPr>
        <w:t>（三）国有资产占有使用情况</w:t>
      </w:r>
      <w:bookmarkEnd w:id="51"/>
    </w:p>
    <w:p>
      <w:pPr>
        <w:autoSpaceDE w:val="0"/>
        <w:autoSpaceDN w:val="0"/>
        <w:adjustRightInd w:val="0"/>
        <w:ind w:firstLine="640" w:firstLineChars="200"/>
        <w:jc w:val="left"/>
        <w:rPr>
          <w:rFonts w:ascii="仿宋_GB2312" w:eastAsia="仿宋_GB2312"/>
          <w:color w:val="auto"/>
          <w:sz w:val="32"/>
          <w:szCs w:val="32"/>
        </w:rPr>
      </w:pPr>
      <w:r>
        <w:rPr>
          <w:rFonts w:hint="eastAsia" w:ascii="仿宋_GB2312" w:eastAsia="仿宋_GB2312"/>
          <w:color w:val="auto"/>
          <w:sz w:val="32"/>
          <w:szCs w:val="32"/>
        </w:rPr>
        <w:t>截至</w:t>
      </w:r>
      <w:r>
        <w:rPr>
          <w:rFonts w:ascii="仿宋_GB2312" w:eastAsia="仿宋_GB2312"/>
          <w:color w:val="auto"/>
          <w:sz w:val="32"/>
          <w:szCs w:val="32"/>
        </w:rPr>
        <w:t>201</w:t>
      </w:r>
      <w:r>
        <w:rPr>
          <w:rFonts w:hint="eastAsia" w:ascii="仿宋_GB2312" w:eastAsia="仿宋_GB2312"/>
          <w:color w:val="auto"/>
          <w:sz w:val="32"/>
          <w:szCs w:val="32"/>
        </w:rPr>
        <w:t>8年</w:t>
      </w:r>
      <w:r>
        <w:rPr>
          <w:rFonts w:ascii="仿宋_GB2312" w:eastAsia="仿宋_GB2312"/>
          <w:color w:val="auto"/>
          <w:sz w:val="32"/>
          <w:szCs w:val="32"/>
        </w:rPr>
        <w:t>12</w:t>
      </w:r>
      <w:r>
        <w:rPr>
          <w:rFonts w:hint="eastAsia" w:ascii="仿宋_GB2312" w:eastAsia="仿宋_GB2312"/>
          <w:color w:val="auto"/>
          <w:sz w:val="32"/>
          <w:szCs w:val="32"/>
        </w:rPr>
        <w:t>月</w:t>
      </w:r>
      <w:r>
        <w:rPr>
          <w:rFonts w:ascii="仿宋_GB2312" w:eastAsia="仿宋_GB2312"/>
          <w:color w:val="auto"/>
          <w:sz w:val="32"/>
          <w:szCs w:val="32"/>
        </w:rPr>
        <w:t>31</w:t>
      </w:r>
      <w:r>
        <w:rPr>
          <w:rFonts w:hint="eastAsia" w:ascii="仿宋_GB2312" w:eastAsia="仿宋_GB2312"/>
          <w:color w:val="auto"/>
          <w:sz w:val="32"/>
          <w:szCs w:val="32"/>
        </w:rPr>
        <w:t>日，达州市达川区人民政府教育督导室共有车辆0辆。</w:t>
      </w:r>
    </w:p>
    <w:p>
      <w:pPr>
        <w:widowControl/>
        <w:jc w:val="center"/>
        <w:rPr>
          <w:rStyle w:val="14"/>
          <w:rFonts w:ascii="黑体" w:hAnsi="黑体" w:eastAsia="黑体"/>
          <w:b w:val="0"/>
          <w:color w:val="auto"/>
        </w:rPr>
      </w:pPr>
      <w:r>
        <w:rPr>
          <w:rFonts w:ascii="仿宋_GB2312" w:eastAsia="仿宋_GB2312"/>
          <w:b/>
          <w:color w:val="auto"/>
          <w:sz w:val="32"/>
          <w:szCs w:val="32"/>
        </w:rPr>
        <w:br w:type="page"/>
      </w:r>
      <w:bookmarkStart w:id="52" w:name="_Toc15396613"/>
      <w:bookmarkStart w:id="53" w:name="_Toc15377225"/>
      <w:r>
        <w:rPr>
          <w:rFonts w:hint="eastAsia" w:ascii="黑体" w:hAnsi="黑体" w:eastAsia="黑体"/>
          <w:b/>
          <w:color w:val="auto"/>
          <w:sz w:val="44"/>
          <w:szCs w:val="44"/>
        </w:rPr>
        <w:t>名</w:t>
      </w:r>
      <w:r>
        <w:rPr>
          <w:rStyle w:val="14"/>
          <w:rFonts w:hint="eastAsia" w:ascii="黑体" w:hAnsi="黑体" w:eastAsia="黑体"/>
          <w:b w:val="0"/>
          <w:color w:val="auto"/>
        </w:rPr>
        <w:t>词解释</w:t>
      </w:r>
      <w:bookmarkEnd w:id="52"/>
      <w:bookmarkEnd w:id="53"/>
    </w:p>
    <w:p>
      <w:pPr>
        <w:pStyle w:val="22"/>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其他收入：指单位取得的除上述收入以外的各项收入。主要是财政专户资金等。</w:t>
      </w:r>
    </w:p>
    <w:p>
      <w:pPr>
        <w:pStyle w:val="22"/>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年初结转和结余：指以前年度尚未完成、结转到本年按有关规定继续使用的资金。</w:t>
      </w:r>
    </w:p>
    <w:p>
      <w:pPr>
        <w:pStyle w:val="22"/>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color w:val="auto"/>
          <w:kern w:val="0"/>
          <w:sz w:val="32"/>
          <w:szCs w:val="32"/>
        </w:rPr>
      </w:pPr>
      <w:r>
        <w:rPr>
          <w:rFonts w:hint="eastAsia"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kern w:val="0"/>
          <w:sz w:val="32"/>
          <w:szCs w:val="32"/>
        </w:rPr>
        <w:t>教育（类）教育管理事务（款）行政运行（项）:指反映行政单位的基本支出。</w:t>
      </w:r>
    </w:p>
    <w:p>
      <w:pPr>
        <w:ind w:firstLine="627" w:firstLineChars="196"/>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6</w:t>
      </w:r>
      <w:r>
        <w:rPr>
          <w:rFonts w:hint="eastAsia" w:ascii="仿宋_GB2312" w:eastAsia="仿宋_GB2312"/>
          <w:color w:val="auto"/>
          <w:kern w:val="0"/>
          <w:sz w:val="32"/>
          <w:szCs w:val="32"/>
        </w:rPr>
        <w:t>.教育（类）教育管理事务（款）一般行政管理事务（项）：指反映行政单位未单独设置项级科目的其他项目支出。</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7</w:t>
      </w:r>
      <w:r>
        <w:rPr>
          <w:rFonts w:hint="eastAsia" w:ascii="仿宋_GB2312" w:eastAsia="仿宋_GB2312"/>
          <w:color w:val="auto"/>
          <w:kern w:val="0"/>
          <w:sz w:val="32"/>
          <w:szCs w:val="32"/>
        </w:rPr>
        <w:t>.教育（类）普通教育（款）学前教育（项）:反映各部门举办的学前教育支出。</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8</w:t>
      </w:r>
      <w:r>
        <w:rPr>
          <w:rFonts w:hint="eastAsia" w:ascii="仿宋_GB2312" w:eastAsia="仿宋_GB2312"/>
          <w:color w:val="auto"/>
          <w:kern w:val="0"/>
          <w:sz w:val="32"/>
          <w:szCs w:val="32"/>
        </w:rPr>
        <w:t>.教育（类）普通教育（款）小学教育（项）:反映各部门举办的小学教育支出。政府各部门对社会中介组织等举办的小学的资助，如各类捐赠、补贴等，也在本科目中反映。</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rPr>
        <w:t>9.教育（类）普通教育（款）初中教育（项）:反映各部门举办的初中教育支出。政府各部门对社会中介组织等举办的初中的资助，如捐赠、补贴等，也在本科目中反映。</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10</w:t>
      </w:r>
      <w:r>
        <w:rPr>
          <w:rFonts w:hint="eastAsia" w:ascii="仿宋_GB2312" w:eastAsia="仿宋_GB2312"/>
          <w:color w:val="auto"/>
          <w:kern w:val="0"/>
          <w:sz w:val="32"/>
          <w:szCs w:val="32"/>
        </w:rPr>
        <w:t>.教育（类）普通教育（款）高中教育（项）: 反映各部门举办的高级中学教育支出。政府各部门对社会中介组织等举办的高级中学的资助，如捐赠、补贴等，也在本科目中反映。</w:t>
      </w:r>
    </w:p>
    <w:p>
      <w:pPr>
        <w:ind w:firstLine="627" w:firstLineChars="196"/>
        <w:rPr>
          <w:rFonts w:ascii="仿宋_GB2312" w:eastAsia="仿宋_GB2312"/>
          <w:color w:val="auto"/>
          <w:kern w:val="0"/>
          <w:sz w:val="32"/>
          <w:szCs w:val="32"/>
        </w:rPr>
      </w:pPr>
      <w:r>
        <w:rPr>
          <w:rFonts w:hint="eastAsia" w:ascii="仿宋_GB2312" w:eastAsia="仿宋_GB2312"/>
          <w:color w:val="auto"/>
          <w:kern w:val="0"/>
          <w:sz w:val="32"/>
          <w:szCs w:val="32"/>
        </w:rPr>
        <w:t>1</w:t>
      </w:r>
      <w:r>
        <w:rPr>
          <w:rFonts w:hint="eastAsia" w:ascii="仿宋_GB2312" w:eastAsia="仿宋_GB2312"/>
          <w:color w:val="auto"/>
          <w:kern w:val="0"/>
          <w:sz w:val="32"/>
          <w:szCs w:val="32"/>
          <w:lang w:val="en-US" w:eastAsia="zh-CN"/>
        </w:rPr>
        <w:t>1</w:t>
      </w:r>
      <w:r>
        <w:rPr>
          <w:rFonts w:hint="eastAsia" w:ascii="仿宋_GB2312" w:eastAsia="仿宋_GB2312"/>
          <w:color w:val="auto"/>
          <w:kern w:val="0"/>
          <w:sz w:val="32"/>
          <w:szCs w:val="32"/>
        </w:rPr>
        <w:t>.教育（类）普通教育（款）其他普通教育支出（项）: 指反映除学前教育、小学教育、初中教育、高中教育、高等教育等项目以外其他用于普通教育方面的支出。</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rPr>
        <w:t>1</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.教育（类）职业教育（款）技校教育（项）:反映工业、交通、劳动保障等部门举办的技工学校支出。</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rPr>
        <w:t>1</w:t>
      </w: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.教育（类）职业教育（款）职业高中教育（项）:反映各部门举办的职业中学、农业中学（含普通高中改制的）半工（农）半读中学的支出或补助费。</w:t>
      </w:r>
    </w:p>
    <w:p>
      <w:pPr>
        <w:ind w:firstLine="627" w:firstLineChars="196"/>
        <w:rPr>
          <w:rFonts w:ascii="仿宋_GB2312" w:eastAsia="仿宋_GB2312"/>
          <w:color w:val="auto"/>
          <w:kern w:val="0"/>
          <w:sz w:val="32"/>
          <w:szCs w:val="32"/>
        </w:rPr>
      </w:pPr>
      <w:r>
        <w:rPr>
          <w:rFonts w:hint="eastAsia" w:ascii="仿宋_GB2312" w:eastAsia="仿宋_GB2312"/>
          <w:color w:val="auto"/>
          <w:kern w:val="0"/>
          <w:sz w:val="32"/>
          <w:szCs w:val="32"/>
        </w:rPr>
        <w:t>14.社会保障和就业支出（类）行政事业单位离退休（款）机关事业单位基本养老保险缴费支出（项）:</w:t>
      </w:r>
      <w:r>
        <w:rPr>
          <w:rFonts w:ascii="仿宋_GB2312" w:eastAsia="仿宋_GB2312"/>
          <w:color w:val="auto"/>
          <w:kern w:val="0"/>
          <w:sz w:val="32"/>
          <w:szCs w:val="32"/>
        </w:rPr>
        <w:t>指反映机关事业单位实施养老保险制度由单位缴纳的基本保险费支出。</w:t>
      </w:r>
    </w:p>
    <w:p>
      <w:pPr>
        <w:ind w:firstLine="627" w:firstLineChars="196"/>
        <w:rPr>
          <w:rFonts w:ascii="仿宋_GB2312" w:eastAsia="仿宋_GB2312"/>
          <w:color w:val="auto"/>
          <w:kern w:val="0"/>
          <w:sz w:val="32"/>
          <w:szCs w:val="32"/>
          <w:u w:val="single"/>
        </w:rPr>
      </w:pPr>
      <w:r>
        <w:rPr>
          <w:rFonts w:hint="eastAsia" w:ascii="仿宋_GB2312" w:eastAsia="仿宋_GB2312"/>
          <w:color w:val="auto"/>
          <w:kern w:val="0"/>
          <w:sz w:val="32"/>
          <w:szCs w:val="32"/>
        </w:rPr>
        <w:t>15.社会保障和就业支出（类）行政事业单位离退休（款）机关事业单位职业年金缴费支出（项）:反映机关事业单位实施养老保险制度由单位实际缴纳的职业年金支出。</w:t>
      </w:r>
    </w:p>
    <w:p>
      <w:pPr>
        <w:ind w:firstLine="627" w:firstLineChars="196"/>
        <w:rPr>
          <w:rFonts w:ascii="仿宋_GB2312" w:eastAsia="仿宋_GB2312"/>
          <w:color w:val="auto"/>
          <w:kern w:val="0"/>
          <w:sz w:val="32"/>
          <w:szCs w:val="32"/>
        </w:rPr>
      </w:pPr>
      <w:r>
        <w:rPr>
          <w:rFonts w:hint="eastAsia" w:ascii="仿宋_GB2312" w:eastAsia="仿宋_GB2312"/>
          <w:color w:val="auto"/>
          <w:kern w:val="0"/>
          <w:sz w:val="32"/>
          <w:szCs w:val="32"/>
        </w:rPr>
        <w:t>1</w:t>
      </w:r>
      <w:r>
        <w:rPr>
          <w:rFonts w:hint="eastAsia" w:ascii="仿宋_GB2312" w:eastAsia="仿宋_GB2312"/>
          <w:color w:val="auto"/>
          <w:kern w:val="0"/>
          <w:sz w:val="32"/>
          <w:szCs w:val="32"/>
          <w:lang w:val="en-US" w:eastAsia="zh-CN"/>
        </w:rPr>
        <w:t>6</w:t>
      </w:r>
      <w:r>
        <w:rPr>
          <w:rFonts w:hint="eastAsia" w:ascii="仿宋_GB2312" w:eastAsia="仿宋_GB2312"/>
          <w:color w:val="auto"/>
          <w:kern w:val="0"/>
          <w:sz w:val="32"/>
          <w:szCs w:val="32"/>
        </w:rPr>
        <w:t>.医疗卫生与计划生育支出（类）行政事业单位医疗（款）行政单位医疗（项）: 指反映财政部门集中安排的行政单位基本医疗保险缴费经费，未参加医疗保险的行政单位的公费医疗经费，按国家规定享受离休人员、红军老展示待遇人员的医疗经费。</w:t>
      </w:r>
    </w:p>
    <w:p>
      <w:pPr>
        <w:ind w:firstLine="627" w:firstLineChars="196"/>
        <w:rPr>
          <w:rFonts w:ascii="仿宋_GB2312" w:eastAsia="仿宋_GB2312"/>
          <w:color w:val="auto"/>
          <w:kern w:val="0"/>
          <w:sz w:val="32"/>
          <w:szCs w:val="32"/>
        </w:rPr>
      </w:pPr>
      <w:r>
        <w:rPr>
          <w:rFonts w:hint="eastAsia" w:ascii="仿宋_GB2312" w:eastAsia="仿宋_GB2312"/>
          <w:color w:val="auto"/>
          <w:kern w:val="0"/>
          <w:sz w:val="32"/>
          <w:szCs w:val="32"/>
        </w:rPr>
        <w:t>1</w:t>
      </w:r>
      <w:r>
        <w:rPr>
          <w:rFonts w:hint="eastAsia" w:ascii="仿宋_GB2312" w:eastAsia="仿宋_GB2312"/>
          <w:color w:val="auto"/>
          <w:kern w:val="0"/>
          <w:sz w:val="32"/>
          <w:szCs w:val="32"/>
          <w:lang w:val="en-US" w:eastAsia="zh-CN"/>
        </w:rPr>
        <w:t>7</w:t>
      </w:r>
      <w:r>
        <w:rPr>
          <w:rFonts w:hint="eastAsia" w:ascii="仿宋_GB2312" w:eastAsia="仿宋_GB2312"/>
          <w:color w:val="auto"/>
          <w:kern w:val="0"/>
          <w:sz w:val="32"/>
          <w:szCs w:val="32"/>
        </w:rPr>
        <w:t>.住房保障支出（类）住房改革支出（款）住房公积金（项）:指反映行政事业单位按人力资源和社会保障部、财政部规定的基本工资和津补贴及规定比例为职工缴纳的住房公积金。</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ascii="仿宋_GB2312" w:eastAsia="仿宋_GB2312"/>
          <w:color w:val="auto"/>
          <w:sz w:val="32"/>
          <w:szCs w:val="32"/>
        </w:rPr>
        <w:t>.</w:t>
      </w:r>
      <w:r>
        <w:rPr>
          <w:rFonts w:hint="eastAsia" w:ascii="仿宋_GB2312" w:eastAsia="仿宋_GB2312"/>
          <w:color w:val="auto"/>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pStyle w:val="22"/>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1</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outlineLvl w:val="0"/>
        <w:rPr>
          <w:rStyle w:val="14"/>
          <w:rFonts w:ascii="黑体" w:hAnsi="黑体" w:eastAsia="黑体"/>
          <w:b w:val="0"/>
          <w:color w:val="auto"/>
        </w:rPr>
      </w:pPr>
      <w:bookmarkStart w:id="54" w:name="_Toc15377226"/>
      <w:r>
        <w:rPr>
          <w:rFonts w:ascii="宋体"/>
          <w:b/>
          <w:color w:val="auto"/>
          <w:sz w:val="44"/>
          <w:szCs w:val="44"/>
        </w:rPr>
        <w:br w:type="page"/>
      </w:r>
      <w:bookmarkStart w:id="55" w:name="_Toc15396614"/>
      <w:r>
        <w:rPr>
          <w:rFonts w:hint="eastAsia" w:ascii="黑体" w:hAnsi="黑体" w:eastAsia="黑体"/>
          <w:color w:val="auto"/>
          <w:sz w:val="44"/>
          <w:szCs w:val="44"/>
        </w:rPr>
        <w:t>第</w:t>
      </w:r>
      <w:r>
        <w:rPr>
          <w:rStyle w:val="14"/>
          <w:rFonts w:hint="eastAsia" w:ascii="黑体" w:hAnsi="黑体" w:eastAsia="黑体"/>
          <w:b w:val="0"/>
          <w:color w:val="auto"/>
        </w:rPr>
        <w:t>四部分 附件</w:t>
      </w:r>
      <w:bookmarkEnd w:id="55"/>
    </w:p>
    <w:p>
      <w:pPr>
        <w:pStyle w:val="3"/>
        <w:spacing w:line="240" w:lineRule="auto"/>
        <w:rPr>
          <w:rStyle w:val="14"/>
          <w:rFonts w:ascii="仿宋" w:hAnsi="仿宋" w:eastAsia="仿宋"/>
          <w:b w:val="0"/>
          <w:bCs w:val="0"/>
          <w:color w:val="auto"/>
          <w:szCs w:val="32"/>
        </w:rPr>
      </w:pPr>
      <w:bookmarkStart w:id="56" w:name="_Toc15396615"/>
      <w:r>
        <w:rPr>
          <w:rFonts w:hint="eastAsia" w:ascii="仿宋" w:hAnsi="仿宋" w:eastAsia="仿宋" w:cs="仿宋_GB2312"/>
          <w:b w:val="0"/>
          <w:bCs w:val="0"/>
          <w:color w:val="auto"/>
          <w:kern w:val="2"/>
          <w:sz w:val="32"/>
          <w:szCs w:val="32"/>
          <w:lang w:val="en-US" w:eastAsia="zh-CN" w:bidi="ar-SA"/>
        </w:rPr>
        <w:t>附件1</w:t>
      </w:r>
      <w:bookmarkEnd w:id="56"/>
    </w:p>
    <w:p>
      <w:pPr>
        <w:jc w:val="center"/>
        <w:outlineLvl w:val="0"/>
        <w:rPr>
          <w:rFonts w:hint="eastAsia" w:ascii="黑体" w:hAnsi="黑体" w:eastAsia="黑体" w:cs="方正小标宋简体"/>
          <w:color w:val="auto"/>
          <w:sz w:val="36"/>
          <w:szCs w:val="36"/>
        </w:rPr>
      </w:pPr>
      <w:bookmarkStart w:id="57" w:name="_Toc15396616"/>
      <w:r>
        <w:rPr>
          <w:rFonts w:hint="eastAsia" w:ascii="黑体" w:hAnsi="黑体" w:eastAsia="黑体" w:cs="方正小标宋简体"/>
          <w:color w:val="auto"/>
          <w:sz w:val="30"/>
          <w:szCs w:val="30"/>
        </w:rPr>
        <w:t>达州市达川区人民政府教育督导室</w:t>
      </w:r>
    </w:p>
    <w:p>
      <w:pPr>
        <w:jc w:val="center"/>
        <w:outlineLvl w:val="0"/>
        <w:rPr>
          <w:rFonts w:ascii="黑体" w:hAnsi="黑体" w:eastAsia="黑体" w:cs="方正小标宋简体"/>
          <w:color w:val="auto"/>
          <w:sz w:val="36"/>
          <w:szCs w:val="36"/>
        </w:rPr>
      </w:pPr>
      <w:r>
        <w:rPr>
          <w:rFonts w:hint="eastAsia" w:ascii="黑体" w:hAnsi="黑体" w:eastAsia="黑体" w:cs="方正小标宋简体"/>
          <w:color w:val="auto"/>
          <w:sz w:val="36"/>
          <w:szCs w:val="36"/>
        </w:rPr>
        <w:t>2018年部门整体支出绩效评价报告</w:t>
      </w:r>
      <w:bookmarkEnd w:id="57"/>
    </w:p>
    <w:p>
      <w:pPr>
        <w:ind w:firstLine="640" w:firstLineChars="200"/>
        <w:rPr>
          <w:rFonts w:ascii="黑体" w:hAnsi="黑体" w:eastAsia="黑体" w:cs="黑体"/>
          <w:color w:val="auto"/>
          <w:sz w:val="32"/>
          <w:szCs w:val="32"/>
        </w:rPr>
      </w:pPr>
    </w:p>
    <w:p>
      <w:pPr>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一、部门（单位）概况</w:t>
      </w:r>
    </w:p>
    <w:p>
      <w:pPr>
        <w:ind w:firstLine="640" w:firstLineChars="200"/>
        <w:rPr>
          <w:rFonts w:hint="eastAsia" w:ascii="仿宋" w:hAnsi="仿宋" w:eastAsia="仿宋" w:cs="仿宋_GB2312"/>
          <w:color w:val="auto"/>
          <w:sz w:val="32"/>
          <w:szCs w:val="32"/>
        </w:rPr>
      </w:pPr>
      <w:r>
        <w:rPr>
          <w:rFonts w:ascii="仿宋" w:hAnsi="仿宋" w:eastAsia="仿宋" w:cs="仿宋_GB2312"/>
          <w:color w:val="auto"/>
          <w:sz w:val="32"/>
          <w:szCs w:val="32"/>
        </w:rPr>
        <w:t>（一）机构组成</w:t>
      </w:r>
      <w:r>
        <w:rPr>
          <w:rFonts w:hint="eastAsia" w:ascii="仿宋" w:hAnsi="仿宋" w:eastAsia="仿宋" w:cs="仿宋_GB2312"/>
          <w:color w:val="auto"/>
          <w:sz w:val="32"/>
          <w:szCs w:val="32"/>
        </w:rPr>
        <w:t>。</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达州市达川区人民政府教育督导室设办公室一个。下设9个督学责任区，分别是：翠屏督学责任区、大树督学责任区、麻柳督学责任区、赵家督学责任区、管村督学责任区、三里督学责任区、石桥督学责任区、直属督学责任区。</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（二）机构职能。</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达州市达川区人民政府教育督导室是达州市达川区人民政府直属事业单位，委托达州市达川区教科局代管。主要职责有：</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1.督政，即对下级人民政府的教育工作进行督导评估，对同级人民政府的组成部门履行教育职责督导检查；</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2.督学，即对辖区内所有学校进行综合督导评估；</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3.建立质量监测评估体系；</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4.对教育重要事项进行专项督导评估；</w:t>
      </w:r>
    </w:p>
    <w:p>
      <w:pPr>
        <w:ind w:firstLine="560" w:firstLineChars="200"/>
        <w:rPr>
          <w:rFonts w:hint="eastAsia" w:ascii="仿宋_GB2312" w:eastAsia="仿宋_GB2312"/>
          <w:color w:val="auto"/>
          <w:sz w:val="28"/>
          <w:szCs w:val="28"/>
          <w:shd w:val="clear" w:color="auto" w:fill="FFFFFF"/>
        </w:rPr>
      </w:pPr>
      <w:r>
        <w:rPr>
          <w:rFonts w:hint="eastAsia" w:ascii="仿宋_GB2312" w:eastAsia="仿宋_GB2312"/>
          <w:color w:val="auto"/>
          <w:sz w:val="28"/>
          <w:szCs w:val="28"/>
          <w:shd w:val="clear" w:color="auto" w:fill="FFFFFF"/>
        </w:rPr>
        <w:t>5.对教育上的热点、难点问题进行督导调研，为同级人民政府对教育工作的决策提供重要依据。</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（三）人员概况。</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教育督导室在职人员4人、借用人员50人，共计54人。其中：</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第1至第8农村督学责任，年初借用28人，年中起借入22人，年底计有50人。均系借用人员，其人事关系均在达川区内相关学校。</w:t>
      </w:r>
    </w:p>
    <w:p>
      <w:pPr>
        <w:pStyle w:val="4"/>
        <w:adjustRightInd w:val="0"/>
        <w:snapToGrid w:val="0"/>
        <w:spacing w:before="93" w:line="600" w:lineRule="exact"/>
        <w:ind w:firstLine="672" w:firstLineChars="210"/>
        <w:rPr>
          <w:rFonts w:hint="eastAsia"/>
          <w:color w:val="auto"/>
          <w:sz w:val="32"/>
          <w:szCs w:val="32"/>
        </w:rPr>
      </w:pPr>
      <w:r>
        <w:rPr>
          <w:rFonts w:hint="eastAsia"/>
          <w:color w:val="auto"/>
          <w:sz w:val="32"/>
          <w:szCs w:val="32"/>
        </w:rPr>
        <w:t>第九督学责任区由督导室人员兼任。督导室</w:t>
      </w:r>
      <w:r>
        <w:rPr>
          <w:color w:val="auto"/>
          <w:sz w:val="32"/>
          <w:szCs w:val="32"/>
        </w:rPr>
        <w:t>201</w:t>
      </w:r>
      <w:r>
        <w:rPr>
          <w:rFonts w:hint="eastAsia"/>
          <w:color w:val="auto"/>
          <w:sz w:val="32"/>
          <w:szCs w:val="32"/>
        </w:rPr>
        <w:t>8</w:t>
      </w:r>
      <w:r>
        <w:rPr>
          <w:color w:val="auto"/>
          <w:sz w:val="32"/>
          <w:szCs w:val="32"/>
        </w:rPr>
        <w:t>年</w:t>
      </w:r>
      <w:r>
        <w:rPr>
          <w:rFonts w:hint="eastAsia"/>
          <w:color w:val="auto"/>
          <w:sz w:val="32"/>
          <w:szCs w:val="32"/>
        </w:rPr>
        <w:t>在编在岗人员4名。没有退休人员。</w:t>
      </w:r>
    </w:p>
    <w:p>
      <w:pPr>
        <w:ind w:firstLine="640" w:firstLineChars="200"/>
        <w:rPr>
          <w:rFonts w:ascii="黑体" w:hAnsi="黑体" w:eastAsia="黑体" w:cs="黑体"/>
          <w:color w:val="auto"/>
          <w:sz w:val="32"/>
          <w:szCs w:val="32"/>
        </w:rPr>
      </w:pPr>
      <w:r>
        <w:rPr>
          <w:rFonts w:ascii="黑体" w:hAnsi="黑体" w:eastAsia="黑体" w:cs="黑体"/>
          <w:color w:val="auto"/>
          <w:sz w:val="32"/>
          <w:szCs w:val="32"/>
        </w:rPr>
        <w:t>二、部门财政资金收支情况</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（一）部门财政资金收入情况。</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1.教育支出-教育管理事务-行政运行123.9万元；</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2.社会保障和就业支出-行政事业单位离退休-机关事业单位基本养老保险缴费支出4.58万元；</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3.医疗卫生与计划生育支出-行政事业单位医疗-事业单位医疗1.49万元；</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4.住房保障支出-住房改革支出-住房公积金2.75万元</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5.年初财政拨款结转和结余-一般公共预算财政拨款19.25万元。</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6.</w:t>
      </w:r>
      <w:r>
        <w:rPr>
          <w:rFonts w:ascii="仿宋" w:hAnsi="仿宋" w:eastAsia="仿宋" w:cs="仿宋_GB2312"/>
          <w:color w:val="auto"/>
          <w:sz w:val="32"/>
          <w:szCs w:val="32"/>
        </w:rPr>
        <w:t>部门财政资金收入</w:t>
      </w:r>
      <w:r>
        <w:rPr>
          <w:rFonts w:hint="eastAsia" w:ascii="仿宋" w:hAnsi="仿宋" w:eastAsia="仿宋" w:cs="仿宋_GB2312"/>
          <w:color w:val="auto"/>
          <w:sz w:val="32"/>
          <w:szCs w:val="32"/>
        </w:rPr>
        <w:t>合计151.97万元。</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（二）部门财政资金支出情况。</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1.教育支出-教育管理事务-行政运行118.64万元；</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2.社会保障和就业支出-行政事业单位离退休-机关事业单位基本养老保险缴费支出4.58万元；</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3.医疗卫生与计划生育支出-行政事业单位医疗-事业单位医疗2.10万元；</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4.住房保障支出-住房改革支出-住房公积金4.66万元</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5.年末财政拨款结转和结余21.99万元。</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6.</w:t>
      </w:r>
      <w:r>
        <w:rPr>
          <w:rFonts w:ascii="仿宋" w:hAnsi="仿宋" w:eastAsia="仿宋" w:cs="仿宋_GB2312"/>
          <w:color w:val="auto"/>
          <w:sz w:val="32"/>
          <w:szCs w:val="32"/>
        </w:rPr>
        <w:t>部门财政资金</w:t>
      </w:r>
      <w:r>
        <w:rPr>
          <w:rFonts w:hint="eastAsia" w:ascii="仿宋" w:hAnsi="仿宋" w:eastAsia="仿宋" w:cs="仿宋_GB2312"/>
          <w:color w:val="auto"/>
          <w:sz w:val="32"/>
          <w:szCs w:val="32"/>
        </w:rPr>
        <w:t>支出合计151.97万元。</w:t>
      </w:r>
    </w:p>
    <w:p>
      <w:pPr>
        <w:ind w:firstLine="640" w:firstLineChars="200"/>
        <w:rPr>
          <w:rFonts w:ascii="黑体" w:hAnsi="黑体" w:eastAsia="黑体" w:cs="黑体"/>
          <w:color w:val="auto"/>
          <w:sz w:val="32"/>
          <w:szCs w:val="32"/>
        </w:rPr>
      </w:pPr>
      <w:r>
        <w:rPr>
          <w:rFonts w:ascii="黑体" w:hAnsi="黑体" w:eastAsia="黑体" w:cs="黑体"/>
          <w:color w:val="auto"/>
          <w:sz w:val="32"/>
          <w:szCs w:val="32"/>
        </w:rPr>
        <w:t>三、部门整体预算绩效管理情况（根据适用指标体系进行调整）</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（一）部门预算管理。</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2018年初，在财政局的指导下，根据《中华人民共和国预算法》、《事业单位财务规则》、《事业单位会计准则》、《事业单位财务规则》规定，结合实际工作，本单位</w:t>
      </w:r>
      <w:r>
        <w:rPr>
          <w:rFonts w:ascii="仿宋" w:hAnsi="仿宋" w:eastAsia="仿宋" w:cs="仿宋_GB2312"/>
          <w:color w:val="auto"/>
          <w:sz w:val="32"/>
          <w:szCs w:val="32"/>
        </w:rPr>
        <w:t>制定</w:t>
      </w:r>
      <w:r>
        <w:rPr>
          <w:rFonts w:hint="eastAsia" w:ascii="仿宋" w:hAnsi="仿宋" w:eastAsia="仿宋" w:cs="仿宋_GB2312"/>
          <w:color w:val="auto"/>
          <w:sz w:val="32"/>
          <w:szCs w:val="32"/>
        </w:rPr>
        <w:t>了</w:t>
      </w:r>
      <w:r>
        <w:rPr>
          <w:rFonts w:ascii="仿宋" w:hAnsi="仿宋" w:eastAsia="仿宋" w:cs="仿宋_GB2312"/>
          <w:color w:val="auto"/>
          <w:sz w:val="32"/>
          <w:szCs w:val="32"/>
        </w:rPr>
        <w:t>绩效目标</w:t>
      </w:r>
      <w:r>
        <w:rPr>
          <w:rFonts w:hint="eastAsia" w:ascii="仿宋" w:hAnsi="仿宋" w:eastAsia="仿宋" w:cs="仿宋_GB2312"/>
          <w:color w:val="auto"/>
          <w:sz w:val="32"/>
          <w:szCs w:val="32"/>
        </w:rPr>
        <w:t>。总体来讲就是完成达川区全年教育督导目标和上级交付的其他工作，具体见《</w:t>
      </w:r>
      <w:r>
        <w:rPr>
          <w:rFonts w:ascii="仿宋" w:hAnsi="仿宋" w:eastAsia="仿宋" w:cs="仿宋_GB2312"/>
          <w:color w:val="auto"/>
          <w:sz w:val="32"/>
          <w:szCs w:val="32"/>
        </w:rPr>
        <w:t>关于达川区人民政府教育督导室2018年部门预算编制说明</w:t>
      </w:r>
      <w:r>
        <w:rPr>
          <w:rFonts w:hint="eastAsia" w:ascii="仿宋" w:hAnsi="仿宋" w:eastAsia="仿宋" w:cs="仿宋_GB2312"/>
          <w:color w:val="auto"/>
          <w:sz w:val="32"/>
          <w:szCs w:val="32"/>
        </w:rPr>
        <w:t>》中第一条第(二)款“</w:t>
      </w:r>
      <w:r>
        <w:rPr>
          <w:rFonts w:ascii="仿宋" w:hAnsi="仿宋" w:eastAsia="仿宋"/>
          <w:bCs/>
          <w:color w:val="auto"/>
          <w:sz w:val="32"/>
          <w:szCs w:val="32"/>
        </w:rPr>
        <w:t>201</w:t>
      </w:r>
      <w:r>
        <w:rPr>
          <w:rFonts w:hint="eastAsia" w:ascii="仿宋" w:hAnsi="仿宋" w:eastAsia="仿宋"/>
          <w:bCs/>
          <w:color w:val="auto"/>
          <w:sz w:val="32"/>
          <w:szCs w:val="32"/>
        </w:rPr>
        <w:t>8年重点工作完成情况</w:t>
      </w:r>
      <w:r>
        <w:rPr>
          <w:rFonts w:hint="eastAsia" w:ascii="仿宋" w:hAnsi="仿宋" w:eastAsia="仿宋" w:cs="仿宋_GB2312"/>
          <w:color w:val="auto"/>
          <w:sz w:val="32"/>
          <w:szCs w:val="32"/>
        </w:rPr>
        <w:t>”。</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在执行过程中，实际情况发生变化时，及时向财政部门汇报情况，通过相关程序，对</w:t>
      </w:r>
      <w:r>
        <w:rPr>
          <w:rFonts w:ascii="仿宋" w:hAnsi="仿宋" w:eastAsia="仿宋" w:cs="仿宋_GB2312"/>
          <w:color w:val="auto"/>
          <w:sz w:val="32"/>
          <w:szCs w:val="32"/>
        </w:rPr>
        <w:t>预算</w:t>
      </w:r>
      <w:r>
        <w:rPr>
          <w:rFonts w:hint="eastAsia" w:ascii="仿宋" w:hAnsi="仿宋" w:eastAsia="仿宋" w:cs="仿宋_GB2312"/>
          <w:color w:val="auto"/>
          <w:sz w:val="32"/>
          <w:szCs w:val="32"/>
        </w:rPr>
        <w:t>进行了</w:t>
      </w:r>
      <w:r>
        <w:rPr>
          <w:rFonts w:ascii="仿宋" w:hAnsi="仿宋" w:eastAsia="仿宋" w:cs="仿宋_GB2312"/>
          <w:color w:val="auto"/>
          <w:sz w:val="32"/>
          <w:szCs w:val="32"/>
        </w:rPr>
        <w:t>动态调整</w:t>
      </w:r>
      <w:r>
        <w:rPr>
          <w:rFonts w:hint="eastAsia" w:ascii="仿宋" w:hAnsi="仿宋" w:eastAsia="仿宋" w:cs="仿宋_GB2312"/>
          <w:color w:val="auto"/>
          <w:sz w:val="32"/>
          <w:szCs w:val="32"/>
        </w:rPr>
        <w:t>。</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在一年中，我们坚持目标导向，按期完成预算进度，年度完成了工作目标。</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（二）专项预算管理。</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本单位2018年共有“党建经费”</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“教育督导工作经费”两个</w:t>
      </w:r>
      <w:r>
        <w:rPr>
          <w:rFonts w:ascii="仿宋" w:hAnsi="仿宋" w:eastAsia="仿宋" w:cs="仿宋_GB2312"/>
          <w:color w:val="auto"/>
          <w:sz w:val="32"/>
          <w:szCs w:val="32"/>
        </w:rPr>
        <w:t>专项预算项目</w:t>
      </w:r>
      <w:r>
        <w:rPr>
          <w:rFonts w:hint="eastAsia" w:ascii="仿宋" w:hAnsi="仿宋" w:eastAsia="仿宋" w:cs="仿宋_GB2312"/>
          <w:color w:val="auto"/>
          <w:sz w:val="32"/>
          <w:szCs w:val="32"/>
        </w:rPr>
        <w:t>，其预算</w:t>
      </w:r>
      <w:r>
        <w:rPr>
          <w:rFonts w:ascii="仿宋" w:hAnsi="仿宋" w:eastAsia="仿宋" w:cs="仿宋_GB2312"/>
          <w:color w:val="auto"/>
          <w:sz w:val="32"/>
          <w:szCs w:val="32"/>
        </w:rPr>
        <w:t>程序严密、规划合理、结果符合、分配科学、分配及时</w:t>
      </w:r>
      <w:r>
        <w:rPr>
          <w:rFonts w:hint="eastAsia" w:ascii="仿宋" w:hAnsi="仿宋" w:eastAsia="仿宋" w:cs="仿宋_GB2312"/>
          <w:color w:val="auto"/>
          <w:sz w:val="32"/>
          <w:szCs w:val="32"/>
        </w:rPr>
        <w:t>，</w:t>
      </w:r>
      <w:r>
        <w:rPr>
          <w:rFonts w:ascii="仿宋" w:hAnsi="仿宋" w:eastAsia="仿宋" w:cs="仿宋_GB2312"/>
          <w:color w:val="auto"/>
          <w:sz w:val="32"/>
          <w:szCs w:val="32"/>
        </w:rPr>
        <w:t>专项预算绩效目标</w:t>
      </w:r>
      <w:r>
        <w:rPr>
          <w:rFonts w:hint="eastAsia" w:ascii="仿宋" w:hAnsi="仿宋" w:eastAsia="仿宋" w:cs="仿宋_GB2312"/>
          <w:color w:val="auto"/>
          <w:sz w:val="32"/>
          <w:szCs w:val="32"/>
        </w:rPr>
        <w:t>全面</w:t>
      </w:r>
      <w:r>
        <w:rPr>
          <w:rFonts w:ascii="仿宋" w:hAnsi="仿宋" w:eastAsia="仿宋" w:cs="仿宋_GB2312"/>
          <w:color w:val="auto"/>
          <w:sz w:val="32"/>
          <w:szCs w:val="32"/>
        </w:rPr>
        <w:t>完成</w:t>
      </w:r>
      <w:r>
        <w:rPr>
          <w:rFonts w:hint="eastAsia" w:ascii="仿宋" w:hAnsi="仿宋" w:eastAsia="仿宋" w:cs="仿宋_GB2312"/>
          <w:color w:val="auto"/>
          <w:sz w:val="32"/>
          <w:szCs w:val="32"/>
        </w:rPr>
        <w:t>，没有</w:t>
      </w:r>
      <w:r>
        <w:rPr>
          <w:rFonts w:ascii="仿宋" w:hAnsi="仿宋" w:eastAsia="仿宋" w:cs="仿宋_GB2312"/>
          <w:color w:val="auto"/>
          <w:sz w:val="32"/>
          <w:szCs w:val="32"/>
        </w:rPr>
        <w:t>违规</w:t>
      </w:r>
      <w:r>
        <w:rPr>
          <w:rFonts w:hint="eastAsia" w:ascii="仿宋" w:hAnsi="仿宋" w:eastAsia="仿宋" w:cs="仿宋_GB2312"/>
          <w:color w:val="auto"/>
          <w:sz w:val="32"/>
          <w:szCs w:val="32"/>
        </w:rPr>
        <w:t>情况，</w:t>
      </w:r>
      <w:r>
        <w:rPr>
          <w:rFonts w:ascii="仿宋" w:hAnsi="仿宋" w:eastAsia="仿宋" w:cs="仿宋_GB2312"/>
          <w:color w:val="auto"/>
          <w:sz w:val="32"/>
          <w:szCs w:val="32"/>
        </w:rPr>
        <w:t>绩效实施情况</w:t>
      </w:r>
      <w:r>
        <w:rPr>
          <w:rFonts w:hint="eastAsia" w:ascii="仿宋" w:hAnsi="仿宋" w:eastAsia="仿宋" w:cs="仿宋_GB2312"/>
          <w:color w:val="auto"/>
          <w:sz w:val="32"/>
          <w:szCs w:val="32"/>
        </w:rPr>
        <w:t>详见《教育督导工作经费项目支出绩效目标完成情况表》、《党建经费工作经费项目支出绩效目标完成情况表》。</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（三）结果应用情况。</w:t>
      </w:r>
    </w:p>
    <w:p>
      <w:pPr>
        <w:ind w:firstLine="640" w:firstLineChars="200"/>
        <w:rPr>
          <w:rFonts w:hint="eastAsia" w:ascii="仿宋" w:hAnsi="仿宋" w:eastAsia="仿宋"/>
          <w:bCs/>
          <w:color w:val="auto"/>
          <w:sz w:val="32"/>
          <w:szCs w:val="32"/>
        </w:rPr>
      </w:pPr>
      <w:r>
        <w:rPr>
          <w:rFonts w:hint="eastAsia" w:ascii="仿宋" w:hAnsi="仿宋" w:eastAsia="仿宋"/>
          <w:bCs/>
          <w:color w:val="auto"/>
          <w:sz w:val="32"/>
          <w:szCs w:val="32"/>
        </w:rPr>
        <w:t>根据年初预算和2018年工作计划，全面开展了教育督导工作，完成了督导工作目标，对工作质量进行了自我评价。并将在2019年工作中进一步发扬成绩，整改不足。</w:t>
      </w:r>
    </w:p>
    <w:p>
      <w:pPr>
        <w:ind w:firstLine="640" w:firstLineChars="200"/>
        <w:rPr>
          <w:rFonts w:ascii="黑体" w:hAnsi="黑体" w:eastAsia="黑体" w:cs="黑体"/>
          <w:color w:val="auto"/>
          <w:sz w:val="32"/>
          <w:szCs w:val="32"/>
        </w:rPr>
      </w:pPr>
      <w:r>
        <w:rPr>
          <w:rFonts w:ascii="黑体" w:hAnsi="黑体" w:eastAsia="黑体" w:cs="黑体"/>
          <w:color w:val="auto"/>
          <w:sz w:val="32"/>
          <w:szCs w:val="32"/>
        </w:rPr>
        <w:t>四、评价结论及建议</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（一）评价结论。</w:t>
      </w:r>
    </w:p>
    <w:p>
      <w:pPr>
        <w:ind w:firstLine="640" w:firstLineChars="200"/>
        <w:rPr>
          <w:rFonts w:hint="eastAsia" w:ascii="仿宋" w:hAnsi="仿宋" w:eastAsia="仿宋" w:cs="仿宋_GB2312"/>
          <w:color w:val="auto"/>
          <w:sz w:val="32"/>
          <w:szCs w:val="32"/>
        </w:rPr>
      </w:pPr>
      <w:r>
        <w:rPr>
          <w:rFonts w:ascii="仿宋" w:hAnsi="仿宋" w:eastAsia="仿宋" w:cs="仿宋_GB2312"/>
          <w:color w:val="auto"/>
          <w:sz w:val="32"/>
          <w:szCs w:val="32"/>
        </w:rPr>
        <w:t>按照预算绩效管理要求，本部门对201</w:t>
      </w:r>
      <w:r>
        <w:rPr>
          <w:rFonts w:hint="eastAsia" w:ascii="仿宋" w:hAnsi="仿宋" w:eastAsia="仿宋" w:cs="仿宋_GB2312"/>
          <w:color w:val="auto"/>
          <w:sz w:val="32"/>
          <w:szCs w:val="32"/>
        </w:rPr>
        <w:t>8</w:t>
      </w:r>
      <w:r>
        <w:rPr>
          <w:rFonts w:ascii="仿宋" w:hAnsi="仿宋" w:eastAsia="仿宋" w:cs="仿宋_GB2312"/>
          <w:color w:val="auto"/>
          <w:sz w:val="32"/>
          <w:szCs w:val="32"/>
        </w:rPr>
        <w:t>年整体支出开展绩效自评，</w:t>
      </w:r>
      <w:r>
        <w:rPr>
          <w:rFonts w:hint="eastAsia" w:ascii="仿宋" w:hAnsi="仿宋" w:eastAsia="仿宋" w:cs="仿宋_GB2312"/>
          <w:color w:val="auto"/>
          <w:sz w:val="32"/>
          <w:szCs w:val="32"/>
        </w:rPr>
        <w:t>基本完成了财务预算。</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（二）存在问题。</w:t>
      </w:r>
    </w:p>
    <w:p>
      <w:pPr>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1.部分预算</w:t>
      </w:r>
      <w:r>
        <w:rPr>
          <w:rFonts w:ascii="仿宋" w:hAnsi="仿宋" w:eastAsia="仿宋" w:cs="仿宋_GB2312"/>
          <w:color w:val="auto"/>
          <w:sz w:val="32"/>
          <w:szCs w:val="32"/>
        </w:rPr>
        <w:t>经费没有按期完成，2017年目标考核奖</w:t>
      </w:r>
      <w:r>
        <w:rPr>
          <w:rFonts w:hint="eastAsia" w:ascii="仿宋" w:hAnsi="仿宋" w:eastAsia="仿宋" w:cs="仿宋_GB2312"/>
          <w:color w:val="auto"/>
          <w:sz w:val="32"/>
          <w:szCs w:val="32"/>
        </w:rPr>
        <w:t>、2018年奖励绩效及</w:t>
      </w:r>
      <w:r>
        <w:rPr>
          <w:rFonts w:ascii="仿宋" w:hAnsi="仿宋" w:eastAsia="仿宋" w:cs="仿宋_GB2312"/>
          <w:color w:val="auto"/>
          <w:sz w:val="32"/>
          <w:szCs w:val="32"/>
        </w:rPr>
        <w:t>目标考核奖在</w:t>
      </w:r>
      <w:r>
        <w:rPr>
          <w:rFonts w:hint="eastAsia" w:ascii="仿宋" w:hAnsi="仿宋" w:eastAsia="仿宋" w:cs="仿宋_GB2312"/>
          <w:color w:val="auto"/>
          <w:sz w:val="32"/>
          <w:szCs w:val="32"/>
        </w:rPr>
        <w:t>2018年12月31日前没有</w:t>
      </w:r>
      <w:r>
        <w:rPr>
          <w:rFonts w:ascii="仿宋" w:hAnsi="仿宋" w:eastAsia="仿宋" w:cs="仿宋_GB2312"/>
          <w:color w:val="auto"/>
          <w:sz w:val="32"/>
          <w:szCs w:val="32"/>
        </w:rPr>
        <w:t>发放，</w:t>
      </w:r>
      <w:r>
        <w:rPr>
          <w:rFonts w:hint="eastAsia" w:ascii="仿宋" w:hAnsi="仿宋" w:eastAsia="仿宋" w:cs="仿宋_GB2312"/>
          <w:color w:val="auto"/>
          <w:sz w:val="32"/>
          <w:szCs w:val="32"/>
        </w:rPr>
        <w:t>形成年末结转资金。</w:t>
      </w:r>
    </w:p>
    <w:p>
      <w:pPr>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2.部分报账不及时，如2018年有些人员差旅费未报账，形成年末结转。</w:t>
      </w:r>
    </w:p>
    <w:p>
      <w:pPr>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3.部分</w:t>
      </w:r>
      <w:r>
        <w:rPr>
          <w:rFonts w:ascii="仿宋" w:hAnsi="仿宋" w:eastAsia="仿宋" w:cs="仿宋_GB2312"/>
          <w:color w:val="auto"/>
          <w:sz w:val="32"/>
          <w:szCs w:val="32"/>
        </w:rPr>
        <w:t>预算经费按期缴纳但没有</w:t>
      </w:r>
      <w:r>
        <w:rPr>
          <w:rFonts w:hint="eastAsia" w:ascii="仿宋" w:hAnsi="仿宋" w:eastAsia="仿宋" w:cs="仿宋_GB2312"/>
          <w:color w:val="auto"/>
          <w:sz w:val="32"/>
          <w:szCs w:val="32"/>
        </w:rPr>
        <w:t>及时</w:t>
      </w:r>
      <w:r>
        <w:rPr>
          <w:rFonts w:ascii="仿宋" w:hAnsi="仿宋" w:eastAsia="仿宋" w:cs="仿宋_GB2312"/>
          <w:color w:val="auto"/>
          <w:sz w:val="32"/>
          <w:szCs w:val="32"/>
        </w:rPr>
        <w:t>取得票据，如</w:t>
      </w:r>
      <w:r>
        <w:rPr>
          <w:rFonts w:hint="eastAsia" w:ascii="仿宋" w:hAnsi="仿宋" w:eastAsia="仿宋" w:cs="仿宋_GB2312"/>
          <w:color w:val="auto"/>
          <w:sz w:val="32"/>
          <w:szCs w:val="32"/>
        </w:rPr>
        <w:t>住房公积金在2018年底已缴纳，但未取得住房公积金票据，形成了其他预付款和其他应付款两项往来经费</w:t>
      </w:r>
      <w:r>
        <w:rPr>
          <w:rFonts w:ascii="仿宋" w:hAnsi="仿宋" w:eastAsia="仿宋" w:cs="仿宋_GB2312"/>
          <w:color w:val="auto"/>
          <w:sz w:val="32"/>
          <w:szCs w:val="32"/>
        </w:rPr>
        <w:t>。</w:t>
      </w:r>
    </w:p>
    <w:p>
      <w:pPr>
        <w:ind w:firstLine="640" w:firstLineChars="200"/>
        <w:rPr>
          <w:rFonts w:ascii="仿宋" w:hAnsi="仿宋" w:eastAsia="仿宋" w:cs="仿宋_GB2312"/>
          <w:color w:val="auto"/>
          <w:sz w:val="32"/>
          <w:szCs w:val="32"/>
        </w:rPr>
      </w:pPr>
      <w:r>
        <w:rPr>
          <w:rFonts w:ascii="仿宋" w:hAnsi="仿宋" w:eastAsia="仿宋" w:cs="仿宋_GB2312"/>
          <w:color w:val="auto"/>
          <w:sz w:val="32"/>
          <w:szCs w:val="32"/>
        </w:rPr>
        <w:t>（三）改进建议。</w:t>
      </w:r>
    </w:p>
    <w:p>
      <w:pPr>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1.</w:t>
      </w:r>
      <w:r>
        <w:rPr>
          <w:rFonts w:ascii="仿宋" w:hAnsi="仿宋" w:eastAsia="仿宋" w:cs="仿宋_GB2312"/>
          <w:color w:val="auto"/>
          <w:sz w:val="32"/>
          <w:szCs w:val="32"/>
        </w:rPr>
        <w:t>政策明确的提前核算</w:t>
      </w:r>
      <w:r>
        <w:rPr>
          <w:rFonts w:hint="eastAsia" w:ascii="仿宋" w:hAnsi="仿宋" w:eastAsia="仿宋" w:cs="仿宋_GB2312"/>
          <w:color w:val="auto"/>
          <w:sz w:val="32"/>
          <w:szCs w:val="32"/>
        </w:rPr>
        <w:t>、</w:t>
      </w:r>
      <w:r>
        <w:rPr>
          <w:rFonts w:ascii="仿宋" w:hAnsi="仿宋" w:eastAsia="仿宋" w:cs="仿宋_GB2312"/>
          <w:color w:val="auto"/>
          <w:sz w:val="32"/>
          <w:szCs w:val="32"/>
        </w:rPr>
        <w:t>申请财政资金，按期缴费。如住房公积金、社会保险费。</w:t>
      </w:r>
    </w:p>
    <w:p>
      <w:pPr>
        <w:ind w:firstLine="640" w:firstLineChars="200"/>
        <w:rPr>
          <w:rFonts w:ascii="仿宋" w:hAnsi="仿宋" w:eastAsia="仿宋" w:cs="仿宋_GB2312"/>
          <w:color w:val="auto"/>
          <w:sz w:val="32"/>
          <w:szCs w:val="32"/>
        </w:rPr>
      </w:pPr>
      <w:r>
        <w:rPr>
          <w:rFonts w:hint="eastAsia" w:ascii="仿宋" w:hAnsi="仿宋" w:eastAsia="仿宋" w:cs="仿宋_GB2312"/>
          <w:color w:val="auto"/>
          <w:sz w:val="32"/>
          <w:szCs w:val="32"/>
        </w:rPr>
        <w:t>2.</w:t>
      </w:r>
      <w:r>
        <w:rPr>
          <w:rFonts w:ascii="仿宋" w:hAnsi="仿宋" w:eastAsia="仿宋" w:cs="仿宋_GB2312"/>
          <w:color w:val="auto"/>
          <w:sz w:val="32"/>
          <w:szCs w:val="32"/>
        </w:rPr>
        <w:t>缴费后主动及时取得票据</w:t>
      </w:r>
      <w:r>
        <w:rPr>
          <w:rFonts w:hint="eastAsia" w:ascii="仿宋" w:hAnsi="仿宋" w:eastAsia="仿宋" w:cs="仿宋_GB2312"/>
          <w:color w:val="auto"/>
          <w:sz w:val="32"/>
          <w:szCs w:val="32"/>
        </w:rPr>
        <w:t>，以减少往来核算账务</w:t>
      </w:r>
      <w:r>
        <w:rPr>
          <w:rFonts w:ascii="仿宋" w:hAnsi="仿宋" w:eastAsia="仿宋" w:cs="仿宋_GB2312"/>
          <w:color w:val="auto"/>
          <w:sz w:val="32"/>
          <w:szCs w:val="32"/>
        </w:rPr>
        <w:t>。</w:t>
      </w:r>
    </w:p>
    <w:p>
      <w:pPr>
        <w:ind w:firstLine="640" w:firstLineChars="200"/>
        <w:rPr>
          <w:rFonts w:ascii="仿宋" w:hAnsi="仿宋" w:eastAsia="仿宋" w:cs="仿宋_GB2312"/>
          <w:color w:val="auto"/>
          <w:sz w:val="32"/>
          <w:szCs w:val="32"/>
        </w:rPr>
      </w:pPr>
    </w:p>
    <w:p>
      <w:pPr>
        <w:jc w:val="center"/>
        <w:outlineLvl w:val="0"/>
        <w:rPr>
          <w:rStyle w:val="14"/>
          <w:rFonts w:ascii="黑体" w:hAnsi="黑体" w:eastAsia="黑体"/>
          <w:b w:val="0"/>
          <w:color w:val="auto"/>
        </w:rPr>
      </w:pPr>
      <w:r>
        <w:rPr>
          <w:rFonts w:ascii="仿宋_GB2312" w:hAnsi="仿宋_GB2312" w:eastAsia="仿宋_GB2312" w:cs="仿宋_GB2312"/>
          <w:color w:val="auto"/>
          <w:sz w:val="32"/>
          <w:szCs w:val="32"/>
        </w:rPr>
        <w:br w:type="page"/>
      </w:r>
      <w:bookmarkStart w:id="58" w:name="_Toc15396618"/>
      <w:r>
        <w:rPr>
          <w:rFonts w:hint="eastAsia" w:ascii="黑体" w:hAnsi="黑体" w:eastAsia="黑体"/>
          <w:color w:val="auto"/>
          <w:sz w:val="44"/>
          <w:szCs w:val="44"/>
        </w:rPr>
        <w:t>第</w:t>
      </w:r>
      <w:r>
        <w:rPr>
          <w:rStyle w:val="14"/>
          <w:rFonts w:hint="eastAsia" w:ascii="黑体" w:hAnsi="黑体" w:eastAsia="黑体"/>
          <w:b w:val="0"/>
          <w:color w:val="auto"/>
        </w:rPr>
        <w:t>五部分 附表</w:t>
      </w:r>
      <w:bookmarkEnd w:id="54"/>
      <w:bookmarkEnd w:id="58"/>
    </w:p>
    <w:p>
      <w:pPr>
        <w:jc w:val="center"/>
        <w:outlineLvl w:val="0"/>
        <w:rPr>
          <w:rFonts w:ascii="仿宋" w:hAnsi="仿宋" w:eastAsia="仿宋"/>
          <w:b/>
          <w:color w:val="auto"/>
          <w:sz w:val="44"/>
          <w:szCs w:val="44"/>
        </w:rPr>
      </w:pPr>
    </w:p>
    <w:p>
      <w:pPr>
        <w:pStyle w:val="3"/>
        <w:spacing w:line="240" w:lineRule="auto"/>
        <w:rPr>
          <w:rFonts w:ascii="仿宋" w:hAnsi="仿宋" w:eastAsia="仿宋"/>
          <w:color w:val="auto"/>
        </w:rPr>
      </w:pPr>
      <w:bookmarkStart w:id="59" w:name="_Toc15396619"/>
      <w:r>
        <w:rPr>
          <w:rFonts w:hint="eastAsia" w:ascii="仿宋" w:hAnsi="仿宋" w:eastAsia="仿宋"/>
          <w:b w:val="0"/>
          <w:color w:val="auto"/>
        </w:rPr>
        <w:t>一、收</w:t>
      </w:r>
      <w:r>
        <w:rPr>
          <w:rStyle w:val="15"/>
          <w:rFonts w:hint="eastAsia" w:ascii="仿宋" w:hAnsi="仿宋" w:eastAsia="仿宋"/>
          <w:b w:val="0"/>
          <w:bCs w:val="0"/>
          <w:color w:val="auto"/>
        </w:rPr>
        <w:t>入支出决算总表</w:t>
      </w:r>
      <w:bookmarkEnd w:id="59"/>
    </w:p>
    <w:p>
      <w:pPr>
        <w:pStyle w:val="3"/>
        <w:spacing w:line="240" w:lineRule="auto"/>
        <w:rPr>
          <w:rFonts w:ascii="仿宋" w:hAnsi="仿宋" w:eastAsia="仿宋"/>
          <w:color w:val="auto"/>
        </w:rPr>
      </w:pPr>
      <w:bookmarkStart w:id="60" w:name="_Toc15396620"/>
      <w:r>
        <w:rPr>
          <w:rFonts w:hint="eastAsia" w:ascii="仿宋" w:hAnsi="仿宋" w:eastAsia="仿宋"/>
          <w:b w:val="0"/>
          <w:color w:val="auto"/>
        </w:rPr>
        <w:t>二、收</w:t>
      </w:r>
      <w:r>
        <w:rPr>
          <w:rStyle w:val="15"/>
          <w:rFonts w:hint="eastAsia" w:ascii="仿宋" w:hAnsi="仿宋" w:eastAsia="仿宋"/>
          <w:b w:val="0"/>
          <w:bCs w:val="0"/>
          <w:color w:val="auto"/>
        </w:rPr>
        <w:t>入总表</w:t>
      </w:r>
      <w:bookmarkEnd w:id="60"/>
    </w:p>
    <w:p>
      <w:pPr>
        <w:pStyle w:val="3"/>
        <w:spacing w:line="240" w:lineRule="auto"/>
        <w:rPr>
          <w:rFonts w:ascii="仿宋" w:hAnsi="仿宋" w:eastAsia="仿宋"/>
          <w:color w:val="auto"/>
        </w:rPr>
      </w:pPr>
      <w:bookmarkStart w:id="61" w:name="_Toc15396621"/>
      <w:r>
        <w:rPr>
          <w:rStyle w:val="15"/>
          <w:rFonts w:hint="eastAsia" w:ascii="仿宋" w:hAnsi="仿宋" w:eastAsia="仿宋"/>
          <w:b w:val="0"/>
          <w:bCs w:val="0"/>
          <w:color w:val="auto"/>
        </w:rPr>
        <w:t>三、</w:t>
      </w:r>
      <w:r>
        <w:rPr>
          <w:rFonts w:hint="eastAsia" w:ascii="仿宋" w:hAnsi="仿宋" w:eastAsia="仿宋"/>
          <w:b w:val="0"/>
          <w:color w:val="auto"/>
        </w:rPr>
        <w:t>支</w:t>
      </w:r>
      <w:r>
        <w:rPr>
          <w:rStyle w:val="15"/>
          <w:rFonts w:hint="eastAsia" w:ascii="仿宋" w:hAnsi="仿宋" w:eastAsia="仿宋"/>
          <w:b w:val="0"/>
          <w:bCs w:val="0"/>
          <w:color w:val="auto"/>
        </w:rPr>
        <w:t>出总表</w:t>
      </w:r>
      <w:bookmarkEnd w:id="61"/>
    </w:p>
    <w:p>
      <w:pPr>
        <w:pStyle w:val="3"/>
        <w:spacing w:line="240" w:lineRule="auto"/>
        <w:rPr>
          <w:rFonts w:ascii="仿宋" w:hAnsi="仿宋" w:eastAsia="仿宋"/>
          <w:b w:val="0"/>
          <w:color w:val="auto"/>
        </w:rPr>
      </w:pPr>
      <w:bookmarkStart w:id="62" w:name="_Toc15396622"/>
      <w:r>
        <w:rPr>
          <w:rStyle w:val="15"/>
          <w:rFonts w:hint="eastAsia" w:ascii="仿宋" w:hAnsi="仿宋" w:eastAsia="仿宋"/>
          <w:b w:val="0"/>
          <w:bCs w:val="0"/>
          <w:color w:val="auto"/>
        </w:rPr>
        <w:t>四、</w:t>
      </w:r>
      <w:r>
        <w:rPr>
          <w:rFonts w:hint="eastAsia" w:ascii="仿宋" w:hAnsi="仿宋" w:eastAsia="仿宋"/>
          <w:b w:val="0"/>
          <w:color w:val="auto"/>
        </w:rPr>
        <w:t>财</w:t>
      </w:r>
      <w:r>
        <w:rPr>
          <w:rStyle w:val="15"/>
          <w:rFonts w:hint="eastAsia" w:ascii="仿宋" w:hAnsi="仿宋" w:eastAsia="仿宋"/>
          <w:b w:val="0"/>
          <w:bCs w:val="0"/>
          <w:color w:val="auto"/>
        </w:rPr>
        <w:t>政拨款收入支出决算总表</w:t>
      </w:r>
      <w:bookmarkEnd w:id="62"/>
    </w:p>
    <w:p>
      <w:pPr>
        <w:pStyle w:val="3"/>
        <w:spacing w:line="240" w:lineRule="auto"/>
        <w:rPr>
          <w:rFonts w:ascii="仿宋" w:hAnsi="仿宋" w:eastAsia="仿宋"/>
          <w:color w:val="auto"/>
        </w:rPr>
      </w:pPr>
      <w:bookmarkStart w:id="63" w:name="_Toc15396623"/>
      <w:r>
        <w:rPr>
          <w:rStyle w:val="15"/>
          <w:rFonts w:hint="eastAsia" w:ascii="仿宋" w:hAnsi="仿宋" w:eastAsia="仿宋"/>
          <w:b w:val="0"/>
          <w:bCs w:val="0"/>
          <w:color w:val="auto"/>
        </w:rPr>
        <w:t>五、</w:t>
      </w:r>
      <w:r>
        <w:rPr>
          <w:rFonts w:hint="eastAsia" w:ascii="仿宋" w:hAnsi="仿宋" w:eastAsia="仿宋"/>
          <w:b w:val="0"/>
          <w:color w:val="auto"/>
        </w:rPr>
        <w:t>财</w:t>
      </w:r>
      <w:r>
        <w:rPr>
          <w:rStyle w:val="15"/>
          <w:rFonts w:hint="eastAsia" w:ascii="仿宋" w:hAnsi="仿宋" w:eastAsia="仿宋"/>
          <w:b w:val="0"/>
          <w:bCs w:val="0"/>
          <w:color w:val="auto"/>
        </w:rPr>
        <w:t>政拨款支出决算明细表（政府经济分类科目）</w:t>
      </w:r>
      <w:bookmarkEnd w:id="63"/>
    </w:p>
    <w:p>
      <w:pPr>
        <w:pStyle w:val="3"/>
        <w:spacing w:line="240" w:lineRule="auto"/>
        <w:rPr>
          <w:rFonts w:ascii="仿宋" w:hAnsi="仿宋" w:eastAsia="仿宋"/>
          <w:color w:val="auto"/>
        </w:rPr>
      </w:pPr>
      <w:bookmarkStart w:id="64" w:name="_Toc15396624"/>
      <w:r>
        <w:rPr>
          <w:rStyle w:val="15"/>
          <w:rFonts w:hint="eastAsia" w:ascii="仿宋" w:hAnsi="仿宋" w:eastAsia="仿宋"/>
          <w:b w:val="0"/>
          <w:bCs w:val="0"/>
          <w:color w:val="auto"/>
        </w:rPr>
        <w:t>六、</w:t>
      </w:r>
      <w:r>
        <w:rPr>
          <w:rFonts w:hint="eastAsia" w:ascii="仿宋" w:hAnsi="仿宋" w:eastAsia="仿宋"/>
          <w:b w:val="0"/>
          <w:color w:val="auto"/>
        </w:rPr>
        <w:t>一</w:t>
      </w:r>
      <w:r>
        <w:rPr>
          <w:rStyle w:val="15"/>
          <w:rFonts w:hint="eastAsia" w:ascii="仿宋" w:hAnsi="仿宋" w:eastAsia="仿宋"/>
          <w:b w:val="0"/>
          <w:bCs w:val="0"/>
          <w:color w:val="auto"/>
        </w:rPr>
        <w:t>般公共预算财政拨款支出决算表</w:t>
      </w:r>
      <w:bookmarkEnd w:id="64"/>
    </w:p>
    <w:p>
      <w:pPr>
        <w:pStyle w:val="3"/>
        <w:spacing w:line="240" w:lineRule="auto"/>
        <w:rPr>
          <w:rFonts w:ascii="仿宋" w:hAnsi="仿宋" w:eastAsia="仿宋"/>
          <w:color w:val="auto"/>
        </w:rPr>
      </w:pPr>
      <w:bookmarkStart w:id="65" w:name="_Toc15396625"/>
      <w:r>
        <w:rPr>
          <w:rStyle w:val="15"/>
          <w:rFonts w:hint="eastAsia" w:ascii="仿宋" w:hAnsi="仿宋" w:eastAsia="仿宋"/>
          <w:b w:val="0"/>
          <w:bCs w:val="0"/>
          <w:color w:val="auto"/>
        </w:rPr>
        <w:t>七、</w:t>
      </w:r>
      <w:r>
        <w:rPr>
          <w:rFonts w:hint="eastAsia" w:ascii="仿宋" w:hAnsi="仿宋" w:eastAsia="仿宋"/>
          <w:b w:val="0"/>
          <w:color w:val="auto"/>
        </w:rPr>
        <w:t>一</w:t>
      </w:r>
      <w:r>
        <w:rPr>
          <w:rStyle w:val="15"/>
          <w:rFonts w:hint="eastAsia" w:ascii="仿宋" w:hAnsi="仿宋" w:eastAsia="仿宋"/>
          <w:b w:val="0"/>
          <w:bCs w:val="0"/>
          <w:color w:val="auto"/>
        </w:rPr>
        <w:t>般公共预算财政拨款支出决算明细表</w:t>
      </w:r>
      <w:bookmarkEnd w:id="65"/>
    </w:p>
    <w:p>
      <w:pPr>
        <w:pStyle w:val="3"/>
        <w:spacing w:line="240" w:lineRule="auto"/>
        <w:rPr>
          <w:rFonts w:ascii="仿宋" w:hAnsi="仿宋" w:eastAsia="仿宋"/>
          <w:color w:val="auto"/>
        </w:rPr>
      </w:pPr>
      <w:bookmarkStart w:id="66" w:name="_Toc15396626"/>
      <w:r>
        <w:rPr>
          <w:rStyle w:val="15"/>
          <w:rFonts w:hint="eastAsia" w:ascii="仿宋" w:hAnsi="仿宋" w:eastAsia="仿宋"/>
          <w:b w:val="0"/>
          <w:bCs w:val="0"/>
          <w:color w:val="auto"/>
        </w:rPr>
        <w:t>八、</w:t>
      </w:r>
      <w:r>
        <w:rPr>
          <w:rFonts w:hint="eastAsia" w:ascii="仿宋" w:hAnsi="仿宋" w:eastAsia="仿宋"/>
          <w:b w:val="0"/>
          <w:color w:val="auto"/>
        </w:rPr>
        <w:t>一</w:t>
      </w:r>
      <w:r>
        <w:rPr>
          <w:rStyle w:val="15"/>
          <w:rFonts w:hint="eastAsia" w:ascii="仿宋" w:hAnsi="仿宋" w:eastAsia="仿宋"/>
          <w:b w:val="0"/>
          <w:bCs w:val="0"/>
          <w:color w:val="auto"/>
        </w:rPr>
        <w:t>般公共预算财政拨款基本支出决算表</w:t>
      </w:r>
      <w:bookmarkEnd w:id="66"/>
    </w:p>
    <w:p>
      <w:pPr>
        <w:pStyle w:val="3"/>
        <w:spacing w:line="240" w:lineRule="auto"/>
        <w:rPr>
          <w:rFonts w:ascii="仿宋" w:hAnsi="仿宋" w:eastAsia="仿宋"/>
          <w:color w:val="auto"/>
        </w:rPr>
      </w:pPr>
      <w:bookmarkStart w:id="67" w:name="_Toc15396627"/>
      <w:r>
        <w:rPr>
          <w:rStyle w:val="15"/>
          <w:rFonts w:hint="eastAsia" w:ascii="仿宋" w:hAnsi="仿宋" w:eastAsia="仿宋"/>
          <w:b w:val="0"/>
          <w:bCs w:val="0"/>
          <w:color w:val="auto"/>
        </w:rPr>
        <w:t>九、</w:t>
      </w:r>
      <w:r>
        <w:rPr>
          <w:rFonts w:hint="eastAsia" w:ascii="仿宋" w:hAnsi="仿宋" w:eastAsia="仿宋"/>
          <w:b w:val="0"/>
          <w:color w:val="auto"/>
        </w:rPr>
        <w:t>一</w:t>
      </w:r>
      <w:r>
        <w:rPr>
          <w:rStyle w:val="15"/>
          <w:rFonts w:hint="eastAsia" w:ascii="仿宋" w:hAnsi="仿宋" w:eastAsia="仿宋"/>
          <w:b w:val="0"/>
          <w:bCs w:val="0"/>
          <w:color w:val="auto"/>
        </w:rPr>
        <w:t>般公共预算财政拨款项目支出决算表</w:t>
      </w:r>
      <w:bookmarkEnd w:id="67"/>
    </w:p>
    <w:p>
      <w:pPr>
        <w:pStyle w:val="3"/>
        <w:spacing w:line="240" w:lineRule="auto"/>
        <w:rPr>
          <w:rFonts w:ascii="仿宋" w:hAnsi="仿宋" w:eastAsia="仿宋"/>
          <w:color w:val="auto"/>
        </w:rPr>
      </w:pPr>
      <w:bookmarkStart w:id="68" w:name="_Toc15396628"/>
      <w:r>
        <w:rPr>
          <w:rStyle w:val="15"/>
          <w:rFonts w:hint="eastAsia" w:ascii="仿宋" w:hAnsi="仿宋" w:eastAsia="仿宋"/>
          <w:b w:val="0"/>
          <w:bCs w:val="0"/>
          <w:color w:val="auto"/>
        </w:rPr>
        <w:t>十、</w:t>
      </w:r>
      <w:r>
        <w:rPr>
          <w:rFonts w:hint="eastAsia" w:ascii="仿宋" w:hAnsi="仿宋" w:eastAsia="仿宋"/>
          <w:b w:val="0"/>
          <w:color w:val="auto"/>
        </w:rPr>
        <w:t>一</w:t>
      </w:r>
      <w:r>
        <w:rPr>
          <w:rStyle w:val="15"/>
          <w:rFonts w:hint="eastAsia" w:ascii="仿宋" w:hAnsi="仿宋" w:eastAsia="仿宋"/>
          <w:b w:val="0"/>
          <w:bCs w:val="0"/>
          <w:color w:val="auto"/>
        </w:rPr>
        <w:t>般公共预算财政拨款“三公”经费支出决算表</w:t>
      </w:r>
      <w:bookmarkEnd w:id="68"/>
    </w:p>
    <w:p>
      <w:pPr>
        <w:pStyle w:val="3"/>
        <w:spacing w:line="240" w:lineRule="auto"/>
        <w:rPr>
          <w:rFonts w:ascii="仿宋" w:hAnsi="仿宋" w:eastAsia="仿宋"/>
          <w:color w:val="auto"/>
        </w:rPr>
      </w:pPr>
      <w:bookmarkStart w:id="69" w:name="_Toc15396629"/>
      <w:r>
        <w:rPr>
          <w:rStyle w:val="15"/>
          <w:rFonts w:hint="eastAsia" w:ascii="仿宋" w:hAnsi="仿宋" w:eastAsia="仿宋"/>
          <w:b w:val="0"/>
          <w:bCs w:val="0"/>
          <w:color w:val="auto"/>
        </w:rPr>
        <w:t>十一、</w:t>
      </w:r>
      <w:r>
        <w:rPr>
          <w:rFonts w:hint="eastAsia" w:ascii="仿宋" w:hAnsi="仿宋" w:eastAsia="仿宋"/>
          <w:b w:val="0"/>
          <w:color w:val="auto"/>
        </w:rPr>
        <w:t>政</w:t>
      </w:r>
      <w:r>
        <w:rPr>
          <w:rStyle w:val="15"/>
          <w:rFonts w:hint="eastAsia" w:ascii="仿宋" w:hAnsi="仿宋" w:eastAsia="仿宋"/>
          <w:b w:val="0"/>
          <w:bCs w:val="0"/>
          <w:color w:val="auto"/>
        </w:rPr>
        <w:t>府性基金预算财政拨款收入支出决算表</w:t>
      </w:r>
      <w:bookmarkEnd w:id="69"/>
    </w:p>
    <w:p>
      <w:pPr>
        <w:pStyle w:val="3"/>
        <w:spacing w:line="240" w:lineRule="auto"/>
        <w:rPr>
          <w:rFonts w:ascii="仿宋" w:hAnsi="仿宋" w:eastAsia="仿宋"/>
          <w:color w:val="auto"/>
        </w:rPr>
      </w:pPr>
      <w:bookmarkStart w:id="70" w:name="_Toc15396630"/>
      <w:r>
        <w:rPr>
          <w:rStyle w:val="15"/>
          <w:rFonts w:hint="eastAsia" w:ascii="仿宋" w:hAnsi="仿宋" w:eastAsia="仿宋"/>
          <w:b w:val="0"/>
          <w:bCs w:val="0"/>
          <w:color w:val="auto"/>
        </w:rPr>
        <w:t>十二、</w:t>
      </w:r>
      <w:r>
        <w:rPr>
          <w:rFonts w:hint="eastAsia" w:ascii="仿宋" w:hAnsi="仿宋" w:eastAsia="仿宋"/>
          <w:b w:val="0"/>
          <w:color w:val="auto"/>
        </w:rPr>
        <w:t>政</w:t>
      </w:r>
      <w:r>
        <w:rPr>
          <w:rStyle w:val="15"/>
          <w:rFonts w:hint="eastAsia" w:ascii="仿宋" w:hAnsi="仿宋" w:eastAsia="仿宋"/>
          <w:b w:val="0"/>
          <w:bCs w:val="0"/>
          <w:color w:val="auto"/>
        </w:rPr>
        <w:t>府性基金预算财政拨款“三公”经费支出决算表</w:t>
      </w:r>
      <w:bookmarkEnd w:id="70"/>
    </w:p>
    <w:p>
      <w:pPr>
        <w:pStyle w:val="3"/>
        <w:spacing w:line="240" w:lineRule="auto"/>
        <w:rPr>
          <w:rFonts w:ascii="仿宋" w:hAnsi="仿宋" w:eastAsia="仿宋"/>
          <w:color w:val="auto"/>
        </w:rPr>
      </w:pPr>
      <w:bookmarkStart w:id="71" w:name="_Toc15396631"/>
      <w:r>
        <w:rPr>
          <w:rStyle w:val="15"/>
          <w:rFonts w:hint="eastAsia" w:ascii="仿宋" w:hAnsi="仿宋" w:eastAsia="仿宋"/>
          <w:b w:val="0"/>
          <w:bCs w:val="0"/>
          <w:color w:val="auto"/>
        </w:rPr>
        <w:t>十三、</w:t>
      </w:r>
      <w:r>
        <w:rPr>
          <w:rFonts w:hint="eastAsia" w:ascii="仿宋" w:hAnsi="仿宋" w:eastAsia="仿宋"/>
          <w:b w:val="0"/>
          <w:color w:val="auto"/>
        </w:rPr>
        <w:t>国</w:t>
      </w:r>
      <w:r>
        <w:rPr>
          <w:rStyle w:val="15"/>
          <w:rFonts w:hint="eastAsia" w:ascii="仿宋" w:hAnsi="仿宋" w:eastAsia="仿宋"/>
          <w:b w:val="0"/>
          <w:bCs w:val="0"/>
          <w:color w:val="auto"/>
        </w:rPr>
        <w:t>有资本经营预算支出决算表</w:t>
      </w:r>
      <w:bookmarkEnd w:id="71"/>
    </w:p>
    <w:p>
      <w:pPr>
        <w:rPr>
          <w:color w:val="auto"/>
        </w:rPr>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B1943"/>
    <w:rsid w:val="00031C6F"/>
    <w:rsid w:val="00066644"/>
    <w:rsid w:val="00BB1943"/>
    <w:rsid w:val="00CF6821"/>
    <w:rsid w:val="2091238B"/>
    <w:rsid w:val="224A40E3"/>
    <w:rsid w:val="24EB2A69"/>
    <w:rsid w:val="2574651E"/>
    <w:rsid w:val="2C556C6B"/>
    <w:rsid w:val="375D60F4"/>
    <w:rsid w:val="469E5482"/>
    <w:rsid w:val="478145A8"/>
    <w:rsid w:val="4ACA53CD"/>
    <w:rsid w:val="4E263B6F"/>
    <w:rsid w:val="5CDF107D"/>
    <w:rsid w:val="63412E72"/>
    <w:rsid w:val="7EA6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spacing w:beforeLines="30"/>
    </w:pPr>
    <w:rPr>
      <w:rFonts w:ascii="仿宋_GB2312" w:eastAsia="仿宋_GB2312" w:cstheme="minorBidi"/>
      <w:sz w:val="24"/>
      <w:szCs w:val="22"/>
    </w:rPr>
  </w:style>
  <w:style w:type="paragraph" w:styleId="5">
    <w:name w:val="Balloon Text"/>
    <w:basedOn w:val="1"/>
    <w:link w:val="24"/>
    <w:semiHidden/>
    <w:unhideWhenUsed/>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7">
    <w:name w:val="header"/>
    <w:basedOn w:val="1"/>
    <w:link w:val="21"/>
    <w:semiHidden/>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22"/>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character" w:styleId="12">
    <w:name w:val="Strong"/>
    <w:basedOn w:val="11"/>
    <w:qFormat/>
    <w:uiPriority w:val="99"/>
    <w:rPr>
      <w:b/>
    </w:rPr>
  </w:style>
  <w:style w:type="character" w:styleId="13">
    <w:name w:val="Hyperlink"/>
    <w:basedOn w:val="11"/>
    <w:unhideWhenUsed/>
    <w:qFormat/>
    <w:uiPriority w:val="99"/>
    <w:rPr>
      <w:color w:val="000000"/>
      <w:u w:val="none"/>
    </w:rPr>
  </w:style>
  <w:style w:type="character" w:customStyle="1" w:styleId="14">
    <w:name w:val="标题 1 Char"/>
    <w:basedOn w:val="11"/>
    <w:link w:val="2"/>
    <w:qFormat/>
    <w:uiPriority w:val="9"/>
    <w:rPr>
      <w:rFonts w:ascii="Times New Roman" w:hAnsi="Times New Roman" w:eastAsia="宋体" w:cs="Times New Roman"/>
      <w:b/>
      <w:bCs/>
      <w:kern w:val="44"/>
      <w:sz w:val="44"/>
      <w:szCs w:val="44"/>
    </w:rPr>
  </w:style>
  <w:style w:type="character" w:customStyle="1" w:styleId="15">
    <w:name w:val="标题 2 Char"/>
    <w:basedOn w:val="11"/>
    <w:link w:val="3"/>
    <w:qFormat/>
    <w:uiPriority w:val="9"/>
    <w:rPr>
      <w:rFonts w:ascii="Cambria" w:hAnsi="Cambria" w:eastAsia="宋体" w:cs="Times New Roman"/>
      <w:b/>
      <w:bCs/>
      <w:sz w:val="32"/>
      <w:szCs w:val="32"/>
    </w:rPr>
  </w:style>
  <w:style w:type="character" w:customStyle="1" w:styleId="16">
    <w:name w:val="页脚 Char"/>
    <w:link w:val="6"/>
    <w:qFormat/>
    <w:locked/>
    <w:uiPriority w:val="99"/>
    <w:rPr>
      <w:sz w:val="18"/>
    </w:rPr>
  </w:style>
  <w:style w:type="character" w:customStyle="1" w:styleId="17">
    <w:name w:val="页眉 Char"/>
    <w:link w:val="7"/>
    <w:semiHidden/>
    <w:qFormat/>
    <w:locked/>
    <w:uiPriority w:val="99"/>
    <w:rPr>
      <w:sz w:val="18"/>
    </w:rPr>
  </w:style>
  <w:style w:type="character" w:customStyle="1" w:styleId="18">
    <w:name w:val="正文文本 Char"/>
    <w:link w:val="4"/>
    <w:qFormat/>
    <w:locked/>
    <w:uiPriority w:val="99"/>
    <w:rPr>
      <w:rFonts w:ascii="仿宋_GB2312" w:hAnsi="Times New Roman" w:eastAsia="仿宋_GB2312"/>
      <w:sz w:val="24"/>
    </w:rPr>
  </w:style>
  <w:style w:type="character" w:customStyle="1" w:styleId="19">
    <w:name w:val="正文文本 Char1"/>
    <w:basedOn w:val="11"/>
    <w:link w:val="4"/>
    <w:semiHidden/>
    <w:qFormat/>
    <w:uiPriority w:val="99"/>
    <w:rPr>
      <w:rFonts w:ascii="Times New Roman" w:hAnsi="Times New Roman" w:eastAsia="宋体" w:cs="Times New Roman"/>
      <w:szCs w:val="24"/>
    </w:rPr>
  </w:style>
  <w:style w:type="character" w:customStyle="1" w:styleId="20">
    <w:name w:val="页脚 Char1"/>
    <w:basedOn w:val="11"/>
    <w:link w:val="6"/>
    <w:semiHidden/>
    <w:qFormat/>
    <w:uiPriority w:val="99"/>
    <w:rPr>
      <w:rFonts w:ascii="Times New Roman" w:hAnsi="Times New Roman" w:eastAsia="宋体" w:cs="Times New Roman"/>
      <w:sz w:val="18"/>
      <w:szCs w:val="18"/>
    </w:rPr>
  </w:style>
  <w:style w:type="character" w:customStyle="1" w:styleId="21">
    <w:name w:val="页眉 Char1"/>
    <w:basedOn w:val="11"/>
    <w:link w:val="7"/>
    <w:semiHidden/>
    <w:qFormat/>
    <w:uiPriority w:val="99"/>
    <w:rPr>
      <w:rFonts w:ascii="Times New Roman" w:hAnsi="Times New Roman" w:eastAsia="宋体" w:cs="Times New Roman"/>
      <w:sz w:val="18"/>
      <w:szCs w:val="18"/>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批注框文本 Char"/>
    <w:basedOn w:val="11"/>
    <w:link w:val="5"/>
    <w:semiHidden/>
    <w:qFormat/>
    <w:uiPriority w:val="99"/>
    <w:rPr>
      <w:rFonts w:ascii="Times New Roman" w:hAnsi="Times New Roman" w:eastAsia="宋体" w:cs="Times New Roman"/>
      <w:sz w:val="18"/>
      <w:szCs w:val="18"/>
    </w:rPr>
  </w:style>
  <w:style w:type="character" w:customStyle="1" w:styleId="25">
    <w:name w:val="Heading 1 Char"/>
    <w:basedOn w:val="11"/>
    <w:link w:val="2"/>
    <w:qFormat/>
    <w:locked/>
    <w:uiPriority w:val="9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2152</Words>
  <Characters>12268</Characters>
  <Lines>102</Lines>
  <Paragraphs>28</Paragraphs>
  <TotalTime>2</TotalTime>
  <ScaleCrop>false</ScaleCrop>
  <LinksUpToDate>false</LinksUpToDate>
  <CharactersWithSpaces>14392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2019-09-16T06:59:00Z</dcterms:created>
  <dc:creator>李刚</dc:creator>
  <cp:lastModifiedBy>木子</cp:lastModifiedBy>
  <dcterms:modified xsi:type="dcterms:W3CDTF">2021-05-22T09:57:45Z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32130E4409B74539A31C74227DCD60E3</vt:lpwstr>
  </property>
</Properties>
</file>