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bookmarkStart w:id="71" w:name="_GoBack"/>
      <w:bookmarkEnd w:id="71"/>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仿宋" w:hAnsi="仿宋" w:eastAsia="仿宋" w:cs="仿宋"/>
          <w:sz w:val="52"/>
          <w:szCs w:val="52"/>
        </w:rPr>
      </w:pPr>
      <w:bookmarkStart w:id="1" w:name="_Toc15396598"/>
      <w:bookmarkStart w:id="2" w:name="_Toc15377194"/>
      <w:bookmarkStart w:id="3" w:name="_Toc15396476"/>
      <w:bookmarkStart w:id="4" w:name="_Toc15377426"/>
      <w:bookmarkStart w:id="5" w:name="_Toc15378442"/>
      <w:r>
        <w:rPr>
          <w:rFonts w:hint="eastAsia" w:ascii="仿宋" w:hAnsi="仿宋" w:eastAsia="仿宋" w:cs="仿宋"/>
          <w:sz w:val="52"/>
          <w:szCs w:val="52"/>
        </w:rPr>
        <w:t>四川省</w:t>
      </w:r>
      <w:bookmarkEnd w:id="0"/>
      <w:bookmarkStart w:id="6" w:name="_Toc15306268"/>
      <w:r>
        <w:rPr>
          <w:rFonts w:hint="eastAsia" w:ascii="仿宋" w:hAnsi="仿宋" w:eastAsia="仿宋" w:cs="仿宋"/>
          <w:sz w:val="52"/>
          <w:szCs w:val="52"/>
        </w:rPr>
        <w:t>达州市达川区</w:t>
      </w:r>
      <w:r>
        <w:rPr>
          <w:rFonts w:hint="eastAsia" w:ascii="仿宋" w:hAnsi="仿宋" w:eastAsia="仿宋" w:cs="仿宋"/>
          <w:sz w:val="52"/>
          <w:szCs w:val="52"/>
          <w:lang w:val="en-US" w:eastAsia="zh-CN"/>
        </w:rPr>
        <w:t>金刚</w:t>
      </w:r>
      <w:r>
        <w:rPr>
          <w:rFonts w:hint="eastAsia" w:ascii="仿宋" w:hAnsi="仿宋" w:eastAsia="仿宋" w:cs="仿宋"/>
          <w:sz w:val="52"/>
          <w:szCs w:val="52"/>
        </w:rPr>
        <w:t>学校</w:t>
      </w:r>
    </w:p>
    <w:p>
      <w:pPr>
        <w:adjustRightInd w:val="0"/>
        <w:snapToGrid w:val="0"/>
        <w:spacing w:line="360" w:lineRule="auto"/>
        <w:jc w:val="center"/>
        <w:outlineLvl w:val="0"/>
        <w:rPr>
          <w:rFonts w:hint="eastAsia" w:ascii="仿宋" w:hAnsi="仿宋" w:eastAsia="仿宋" w:cs="仿宋"/>
          <w:sz w:val="52"/>
          <w:szCs w:val="52"/>
        </w:rPr>
      </w:pPr>
      <w:r>
        <w:rPr>
          <w:rFonts w:hint="eastAsia" w:ascii="仿宋" w:hAnsi="仿宋" w:eastAsia="仿宋" w:cs="仿宋"/>
          <w:sz w:val="52"/>
          <w:szCs w:val="52"/>
        </w:rPr>
        <w:t>2018年度</w:t>
      </w:r>
    </w:p>
    <w:p>
      <w:pPr>
        <w:adjustRightInd w:val="0"/>
        <w:snapToGrid w:val="0"/>
        <w:spacing w:line="360" w:lineRule="auto"/>
        <w:jc w:val="center"/>
        <w:outlineLvl w:val="0"/>
        <w:rPr>
          <w:rFonts w:hint="eastAsia" w:ascii="仿宋" w:hAnsi="仿宋" w:eastAsia="仿宋" w:cs="仿宋"/>
          <w:sz w:val="52"/>
          <w:szCs w:val="52"/>
          <w:lang w:val="en-US" w:eastAsia="zh-CN"/>
        </w:rPr>
      </w:pPr>
      <w:r>
        <w:rPr>
          <w:rFonts w:hint="eastAsia" w:ascii="仿宋" w:hAnsi="仿宋" w:eastAsia="仿宋" w:cs="仿宋"/>
          <w:sz w:val="52"/>
          <w:szCs w:val="52"/>
        </w:rPr>
        <w:t>部门决算</w:t>
      </w:r>
      <w:bookmarkEnd w:id="1"/>
      <w:bookmarkEnd w:id="2"/>
      <w:bookmarkEnd w:id="3"/>
      <w:bookmarkEnd w:id="4"/>
      <w:bookmarkEnd w:id="5"/>
      <w:bookmarkEnd w:id="6"/>
      <w:r>
        <w:rPr>
          <w:rFonts w:hint="eastAsia" w:ascii="仿宋" w:hAnsi="仿宋" w:eastAsia="仿宋" w:cs="仿宋"/>
          <w:sz w:val="52"/>
          <w:szCs w:val="52"/>
          <w:lang w:val="en-US" w:eastAsia="zh-CN"/>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7" w:name="_Toc15377196"/>
      <w:bookmarkStart w:id="8"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pPr>
        <w:widowControl/>
        <w:jc w:val="left"/>
        <w:rPr>
          <w:rFonts w:ascii="黑体" w:eastAsia="黑体"/>
          <w:sz w:val="32"/>
          <w:szCs w:val="32"/>
        </w:rPr>
      </w:pPr>
    </w:p>
    <w:p>
      <w:pPr>
        <w:pStyle w:val="3"/>
        <w:rPr>
          <w:rStyle w:val="26"/>
          <w:rFonts w:ascii="仿宋" w:hAnsi="仿宋" w:eastAsia="仿宋"/>
          <w:b w:val="0"/>
          <w:bCs w:val="0"/>
        </w:rPr>
      </w:pPr>
      <w:bookmarkStart w:id="9" w:name="_Toc15377197"/>
      <w:bookmarkStart w:id="10" w:name="_Toc15396600"/>
      <w:r>
        <w:rPr>
          <w:rFonts w:hint="eastAsia" w:ascii="黑体" w:hAnsi="黑体" w:eastAsia="黑体"/>
          <w:b w:val="0"/>
        </w:rPr>
        <w:t>一、基</w:t>
      </w:r>
      <w:r>
        <w:rPr>
          <w:rStyle w:val="26"/>
          <w:rFonts w:hint="eastAsia" w:ascii="黑体" w:hAnsi="黑体" w:eastAsia="黑体"/>
          <w:b w:val="0"/>
          <w:bCs w:val="0"/>
        </w:rPr>
        <w:t>本职能及主要工作</w:t>
      </w:r>
      <w:bookmarkEnd w:id="9"/>
      <w:bookmarkEnd w:id="10"/>
    </w:p>
    <w:p>
      <w:pPr>
        <w:pStyle w:val="5"/>
        <w:adjustRightInd w:val="0"/>
        <w:snapToGrid w:val="0"/>
        <w:spacing w:before="93" w:line="600" w:lineRule="exact"/>
        <w:ind w:firstLine="672" w:firstLineChars="210"/>
        <w:outlineLvl w:val="2"/>
        <w:rPr>
          <w:rFonts w:ascii="仿宋" w:hAnsi="仿宋" w:eastAsia="仿宋"/>
          <w:bCs/>
          <w:sz w:val="32"/>
          <w:szCs w:val="32"/>
        </w:rPr>
      </w:pPr>
      <w:bookmarkStart w:id="11" w:name="_Toc15377198"/>
      <w:bookmarkStart w:id="12" w:name="_Toc15378445"/>
      <w:r>
        <w:rPr>
          <w:rFonts w:hint="eastAsia" w:ascii="仿宋" w:hAnsi="仿宋" w:eastAsia="仿宋"/>
          <w:bCs/>
          <w:sz w:val="32"/>
          <w:szCs w:val="32"/>
        </w:rPr>
        <w:t>（一）主要职能。</w:t>
      </w:r>
      <w:bookmarkEnd w:id="11"/>
      <w:bookmarkEnd w:id="12"/>
    </w:p>
    <w:p>
      <w:pPr>
        <w:pStyle w:val="5"/>
        <w:adjustRightInd w:val="0"/>
        <w:snapToGrid w:val="0"/>
        <w:spacing w:before="93" w:line="600" w:lineRule="exact"/>
        <w:ind w:firstLine="672" w:firstLineChars="210"/>
        <w:outlineLvl w:val="2"/>
        <w:rPr>
          <w:rFonts w:hint="eastAsia" w:ascii="仿宋" w:hAnsi="仿宋" w:eastAsia="仿宋"/>
          <w:sz w:val="32"/>
          <w:szCs w:val="32"/>
        </w:rPr>
      </w:pPr>
      <w:r>
        <w:rPr>
          <w:rFonts w:hint="eastAsia" w:ascii="仿宋" w:hAnsi="仿宋" w:eastAsia="仿宋"/>
          <w:sz w:val="32"/>
          <w:szCs w:val="32"/>
        </w:rPr>
        <w:t>我单位的基本职能是：</w:t>
      </w:r>
      <w:r>
        <w:rPr>
          <w:rFonts w:hint="eastAsia" w:ascii="仿宋" w:hAnsi="仿宋" w:eastAsia="仿宋"/>
          <w:bCs/>
          <w:color w:val="000000"/>
          <w:sz w:val="32"/>
          <w:szCs w:val="32"/>
        </w:rPr>
        <w:t>主要负责达川区</w:t>
      </w:r>
      <w:r>
        <w:rPr>
          <w:rFonts w:hint="eastAsia" w:ascii="仿宋" w:hAnsi="仿宋" w:eastAsia="仿宋"/>
          <w:bCs/>
          <w:color w:val="000000"/>
          <w:sz w:val="32"/>
          <w:szCs w:val="32"/>
          <w:lang w:val="en-US" w:eastAsia="zh-CN"/>
        </w:rPr>
        <w:t>金刚</w:t>
      </w:r>
      <w:r>
        <w:rPr>
          <w:rFonts w:hint="eastAsia" w:ascii="仿宋" w:hAnsi="仿宋" w:eastAsia="仿宋"/>
          <w:bCs/>
          <w:color w:val="000000"/>
          <w:sz w:val="32"/>
          <w:szCs w:val="32"/>
        </w:rPr>
        <w:t>范围内</w:t>
      </w:r>
      <w:r>
        <w:rPr>
          <w:rFonts w:hint="eastAsia" w:ascii="仿宋" w:hAnsi="仿宋" w:eastAsia="仿宋"/>
          <w:bCs/>
          <w:color w:val="000000"/>
          <w:sz w:val="32"/>
          <w:szCs w:val="32"/>
          <w:lang w:val="en-US" w:eastAsia="zh-CN"/>
        </w:rPr>
        <w:t>义务教育</w:t>
      </w:r>
      <w:r>
        <w:rPr>
          <w:rFonts w:hint="eastAsia" w:ascii="仿宋" w:hAnsi="仿宋" w:eastAsia="仿宋"/>
          <w:bCs/>
          <w:color w:val="000000"/>
          <w:sz w:val="32"/>
          <w:szCs w:val="32"/>
        </w:rPr>
        <w:t>教学工作。</w:t>
      </w:r>
      <w:r>
        <w:rPr>
          <w:rFonts w:hint="eastAsia" w:ascii="仿宋" w:hAnsi="仿宋" w:eastAsia="仿宋"/>
          <w:sz w:val="32"/>
          <w:szCs w:val="32"/>
        </w:rPr>
        <w:t>组织教育教学、科学研究活动，保证教育教学质量,提升学生的综合素质。</w:t>
      </w:r>
      <w:bookmarkStart w:id="13" w:name="_Toc15377199"/>
      <w:bookmarkStart w:id="14" w:name="_Toc15378446"/>
    </w:p>
    <w:p>
      <w:pPr>
        <w:pStyle w:val="5"/>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3"/>
      <w:bookmarkEnd w:id="14"/>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15" w:name="_Toc15377200"/>
      <w:bookmarkStart w:id="16"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15"/>
      <w:bookmarkEnd w:id="16"/>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w:t>
      </w:r>
      <w:r>
        <w:rPr>
          <w:rFonts w:hint="eastAsia" w:ascii="仿宋" w:hAnsi="仿宋" w:eastAsia="仿宋"/>
          <w:sz w:val="32"/>
          <w:szCs w:val="32"/>
          <w:lang w:val="en-US" w:eastAsia="zh-CN"/>
        </w:rPr>
        <w:t>预算</w:t>
      </w:r>
      <w:r>
        <w:rPr>
          <w:rFonts w:hint="eastAsia" w:ascii="仿宋" w:hAnsi="仿宋" w:eastAsia="仿宋"/>
          <w:sz w:val="32"/>
          <w:szCs w:val="32"/>
        </w:rPr>
        <w:t>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17" w:name="_Toc15377204"/>
      <w:bookmarkStart w:id="18" w:name="_Toc15396602"/>
      <w:r>
        <w:rPr>
          <w:rFonts w:hint="eastAsia" w:ascii="黑体" w:hAnsi="黑体" w:eastAsia="黑体"/>
          <w:b w:val="0"/>
        </w:rPr>
        <w:t>第二部分</w:t>
      </w:r>
      <w:r>
        <w:rPr>
          <w:rStyle w:val="25"/>
          <w:rFonts w:hint="eastAsia" w:ascii="黑体" w:hAnsi="黑体" w:eastAsia="黑体"/>
          <w:b w:val="0"/>
          <w:bCs w:val="0"/>
        </w:rPr>
        <w:t>2018年度部门决算情况说明</w:t>
      </w:r>
      <w:bookmarkEnd w:id="17"/>
      <w:bookmarkEnd w:id="18"/>
    </w:p>
    <w:p/>
    <w:p>
      <w:pPr>
        <w:pStyle w:val="24"/>
        <w:numPr>
          <w:ilvl w:val="0"/>
          <w:numId w:val="1"/>
        </w:numPr>
        <w:spacing w:line="600" w:lineRule="exact"/>
        <w:ind w:firstLineChars="0"/>
        <w:outlineLvl w:val="1"/>
        <w:rPr>
          <w:rStyle w:val="26"/>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2018年度收、支总计649.23万元。与2017年相比，收、支总计各减少959.9万元，下降59.65</w:t>
      </w:r>
      <w:r>
        <w:rPr>
          <w:rFonts w:ascii="仿宋" w:hAnsi="仿宋" w:eastAsia="仿宋"/>
          <w:sz w:val="32"/>
          <w:szCs w:val="32"/>
        </w:rPr>
        <w:t>%</w:t>
      </w:r>
      <w:r>
        <w:rPr>
          <w:rFonts w:hint="eastAsia" w:ascii="仿宋" w:hAnsi="仿宋" w:eastAsia="仿宋"/>
          <w:sz w:val="32"/>
          <w:szCs w:val="32"/>
        </w:rPr>
        <w:t>。主要变动原因是人员经费和项目支出减少。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6"/>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540.1万元，其中：一般公共预算财政拨款收入498.64万元，占92.32%；政府性基金预算财政拨款收入27.94万元，占5.17%；国有资本经营预算财政拨款收入0万元，占0%；事业收入13.52万元，占2.5%；经营收入0万元，占0%；附属单位上缴收入0万元，占0%；其他收入0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6"/>
          <w:rFonts w:hint="eastAsia" w:ascii="黑体" w:hAnsi="黑体" w:eastAsia="黑体"/>
          <w:b w:val="0"/>
        </w:rPr>
        <w:t>出决算情况说明</w:t>
      </w:r>
      <w:bookmarkEnd w:id="23"/>
      <w:bookmarkEnd w:id="24"/>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8年本年支出合计571.15万元，其中：基本支出543.21万元，占95.11%；项目支出27.94万元，占4.89%；上缴上级支出0万元，占0%；经营支出0万元，占0%；对附属单位补助支出0万元，占0%。</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5"/>
      <w:bookmarkEnd w:id="26"/>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8年财政拨款收、支总计635.71万元。与</w:t>
      </w:r>
      <w:r>
        <w:rPr>
          <w:rFonts w:ascii="仿宋" w:hAnsi="仿宋" w:eastAsia="仿宋"/>
          <w:sz w:val="32"/>
          <w:szCs w:val="32"/>
        </w:rPr>
        <w:t>201</w:t>
      </w:r>
      <w:r>
        <w:rPr>
          <w:rFonts w:hint="eastAsia" w:ascii="仿宋" w:hAnsi="仿宋" w:eastAsia="仿宋"/>
          <w:sz w:val="32"/>
          <w:szCs w:val="32"/>
        </w:rPr>
        <w:t>7年相比，财政拨款收、支总计各减少966.77万元，下降60.33%。主要变动原因是人员经费和项目支出减少。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8年一般公共预算财政拨款支出529.69万元，占本年支出合计的83.32%。与</w:t>
      </w:r>
      <w:r>
        <w:rPr>
          <w:rFonts w:ascii="仿宋" w:hAnsi="仿宋" w:eastAsia="仿宋"/>
          <w:sz w:val="32"/>
          <w:szCs w:val="32"/>
        </w:rPr>
        <w:t>201</w:t>
      </w:r>
      <w:r>
        <w:rPr>
          <w:rFonts w:hint="eastAsia" w:ascii="仿宋" w:hAnsi="仿宋" w:eastAsia="仿宋"/>
          <w:sz w:val="32"/>
          <w:szCs w:val="32"/>
        </w:rPr>
        <w:t>7年相比，一般公共预算财政拨款减少1072.79万元，下降66.95%。主要变动原因是人员经费和项目支出减少。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8年一般公共预算财政拨款支出529.69万元，主要用于以下方面</w:t>
      </w:r>
      <w:r>
        <w:rPr>
          <w:rFonts w:ascii="仿宋" w:hAnsi="仿宋" w:eastAsia="仿宋"/>
          <w:sz w:val="32"/>
          <w:szCs w:val="32"/>
        </w:rPr>
        <w:t>:</w:t>
      </w:r>
      <w:r>
        <w:rPr>
          <w:rFonts w:hint="eastAsia" w:ascii="仿宋" w:hAnsi="仿宋" w:eastAsia="仿宋"/>
          <w:sz w:val="32"/>
          <w:szCs w:val="32"/>
        </w:rPr>
        <w:t>一般公共服务（类）支出0万元，占0%；教育（类）支出417.58万元，占78.83%；社会保障和就业（类）支出61.73万元，占11.65%；医疗卫生与计划生育（类）支出17.74万元，占3.35%；城乡社区（类）支出0万元，占0%；住房保障（类）支出32.64万元，占6.16%；其他（类）支出0万元，占0%。</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7213"/>
      <w:bookmarkStart w:id="33" w:name="_Toc15377444"/>
      <w:bookmarkStart w:id="34" w:name="_Toc15378460"/>
      <w:r>
        <w:rPr>
          <w:rFonts w:hint="eastAsia" w:ascii="仿宋" w:hAnsi="仿宋" w:eastAsia="仿宋"/>
          <w:b/>
          <w:sz w:val="32"/>
          <w:szCs w:val="32"/>
        </w:rPr>
        <w:t>2018年一般公共预算支出决算数为529.69万元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2"/>
      <w:bookmarkEnd w:id="33"/>
      <w:bookmarkEnd w:id="34"/>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w:t>
      </w:r>
      <w:r>
        <w:rPr>
          <w:rStyle w:val="15"/>
          <w:rFonts w:hint="eastAsia" w:ascii="仿宋" w:hAnsi="仿宋" w:eastAsia="仿宋"/>
          <w:b w:val="0"/>
          <w:bCs/>
          <w:sz w:val="32"/>
          <w:szCs w:val="32"/>
        </w:rPr>
        <w:t>万元。</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417.58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61.73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17.74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5.城乡社区212</w:t>
      </w:r>
      <w:r>
        <w:rPr>
          <w:rStyle w:val="15"/>
          <w:rFonts w:hint="eastAsia" w:ascii="仿宋" w:hAnsi="仿宋" w:eastAsia="仿宋"/>
          <w:bCs/>
          <w:sz w:val="32"/>
          <w:szCs w:val="32"/>
        </w:rPr>
        <w:t>（类）</w:t>
      </w:r>
      <w:r>
        <w:rPr>
          <w:rFonts w:hint="eastAsia" w:ascii="仿宋" w:hAnsi="仿宋" w:eastAsia="仿宋"/>
          <w:b/>
          <w:sz w:val="32"/>
          <w:szCs w:val="32"/>
        </w:rPr>
        <w:t>08</w:t>
      </w:r>
      <w:r>
        <w:rPr>
          <w:rStyle w:val="15"/>
          <w:rFonts w:hint="eastAsia" w:ascii="仿宋" w:hAnsi="仿宋" w:eastAsia="仿宋"/>
          <w:bCs/>
          <w:sz w:val="32"/>
          <w:szCs w:val="32"/>
        </w:rPr>
        <w:t>（款）</w:t>
      </w:r>
      <w:r>
        <w:rPr>
          <w:rFonts w:hint="eastAsia" w:ascii="仿宋" w:hAnsi="仿宋" w:eastAsia="仿宋"/>
          <w:b/>
          <w:sz w:val="32"/>
          <w:szCs w:val="32"/>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w:t>
      </w:r>
      <w:r>
        <w:rPr>
          <w:rFonts w:hint="eastAsia" w:ascii="仿宋" w:hAnsi="仿宋" w:eastAsia="仿宋"/>
          <w:sz w:val="32"/>
          <w:szCs w:val="32"/>
        </w:rPr>
        <w:t>0万元</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6.住房保障221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32.64万元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rPr>
        <w:t>7.其他229</w:t>
      </w:r>
      <w:r>
        <w:rPr>
          <w:rStyle w:val="15"/>
          <w:rFonts w:hint="eastAsia" w:ascii="仿宋" w:hAnsi="仿宋" w:eastAsia="仿宋"/>
          <w:b w:val="0"/>
          <w:bCs/>
          <w:sz w:val="32"/>
          <w:szCs w:val="32"/>
        </w:rPr>
        <w:t>（类）</w:t>
      </w:r>
      <w:r>
        <w:rPr>
          <w:rFonts w:hint="eastAsia" w:ascii="仿宋" w:hAnsi="仿宋" w:eastAsia="仿宋"/>
          <w:b/>
          <w:sz w:val="32"/>
          <w:szCs w:val="32"/>
        </w:rPr>
        <w:t>60</w:t>
      </w:r>
      <w:r>
        <w:rPr>
          <w:rStyle w:val="15"/>
          <w:rFonts w:hint="eastAsia" w:ascii="仿宋" w:hAnsi="仿宋" w:eastAsia="仿宋"/>
          <w:b w:val="0"/>
          <w:bCs/>
          <w:sz w:val="32"/>
          <w:szCs w:val="32"/>
        </w:rPr>
        <w:t>（款）</w:t>
      </w:r>
      <w:r>
        <w:rPr>
          <w:rFonts w:hint="eastAsia" w:ascii="仿宋" w:hAnsi="仿宋" w:eastAsia="仿宋"/>
          <w:b/>
          <w:sz w:val="32"/>
          <w:szCs w:val="32"/>
        </w:rPr>
        <w:t>99</w:t>
      </w:r>
      <w:r>
        <w:rPr>
          <w:rStyle w:val="15"/>
          <w:rFonts w:hint="eastAsia" w:ascii="仿宋" w:hAnsi="仿宋" w:eastAsia="仿宋"/>
          <w:b w:val="0"/>
          <w:bCs/>
          <w:sz w:val="32"/>
          <w:szCs w:val="32"/>
        </w:rPr>
        <w:t>（项）:</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0万元</w:t>
      </w:r>
      <w:r>
        <w:rPr>
          <w:rFonts w:hint="eastAsia" w:ascii="仿宋" w:hAnsi="仿宋" w:eastAsia="仿宋"/>
          <w:sz w:val="32"/>
          <w:szCs w:val="32"/>
          <w:lang w:eastAsia="zh-CN"/>
        </w:rPr>
        <w:t>。</w:t>
      </w:r>
    </w:p>
    <w:p>
      <w:pPr>
        <w:tabs>
          <w:tab w:val="right" w:pos="8306"/>
        </w:tabs>
        <w:spacing w:line="600" w:lineRule="exact"/>
        <w:ind w:firstLine="640"/>
        <w:outlineLvl w:val="1"/>
        <w:rPr>
          <w:rStyle w:val="26"/>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8年一般公共预算财政拨款基本支出529.69万元，其中：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465.93万元，主要包括：基本工资、津贴补贴、伙食补助费、绩效工资、机关事业单位基本养老保险费、职业年金缴费、职工基本医疗保险缴费、其他社会保障缴费、住房公积金、其他工资福利支出、生活补助、助学金、奖励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公用经费63.76万元，主要包括：办公费、咨询费、水费、电费、邮电费、物业管理费、差旅费、维修（护）费、培训费、专用材料费、劳务费、工会经费、福利费、其他交通费用、其他商品和服务支出等。</w:t>
      </w:r>
    </w:p>
    <w:p>
      <w:pPr>
        <w:spacing w:line="600" w:lineRule="exact"/>
        <w:ind w:firstLine="640"/>
        <w:outlineLvl w:val="1"/>
        <w:rPr>
          <w:rStyle w:val="26"/>
          <w:rFonts w:ascii="黑体" w:hAnsi="黑体" w:eastAsia="黑体"/>
          <w:b w:val="0"/>
        </w:rPr>
      </w:pPr>
      <w:bookmarkStart w:id="37" w:name="_Toc15377215"/>
      <w:bookmarkStart w:id="38"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8年“三公”经费财政拨款支出决算为0万元。</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8年“三公”经费财政拨款支出决算中，因公出国（境）费支出决算0万元；公务用车购置及运行维护费支出决算0万元；公务接待费支出决算0万元。具体情况如下：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1" w:name="_Toc15396610"/>
      <w:bookmarkStart w:id="42"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 w:hAnsi="仿宋" w:eastAsia="仿宋"/>
          <w:sz w:val="32"/>
          <w:szCs w:val="32"/>
        </w:rPr>
        <w:t>27.94</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3" w:name="_Toc15377219"/>
      <w:bookmarkStart w:id="44" w:name="_Toc15396611"/>
      <w:r>
        <w:rPr>
          <w:rStyle w:val="26"/>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17.2</w:t>
      </w:r>
      <w:r>
        <w:rPr>
          <w:rFonts w:hint="eastAsia" w:ascii="仿宋_GB2312" w:hAnsi="仿宋_GB2312" w:eastAsia="仿宋_GB2312" w:cs="仿宋_GB2312"/>
          <w:sz w:val="32"/>
          <w:szCs w:val="32"/>
        </w:rPr>
        <w:t>万元，执行数为</w:t>
      </w:r>
      <w:r>
        <w:rPr>
          <w:rFonts w:hint="eastAsia" w:ascii="仿宋" w:hAnsi="仿宋" w:eastAsia="仿宋"/>
          <w:sz w:val="32"/>
          <w:szCs w:val="32"/>
        </w:rPr>
        <w:t>17.2</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448.73</w:t>
      </w:r>
      <w:r>
        <w:rPr>
          <w:rFonts w:hint="eastAsia" w:ascii="仿宋_GB2312" w:hAnsi="仿宋_GB2312" w:eastAsia="仿宋_GB2312" w:cs="仿宋_GB2312"/>
          <w:sz w:val="32"/>
          <w:szCs w:val="32"/>
        </w:rPr>
        <w:t>万元，执行数为</w:t>
      </w:r>
      <w:r>
        <w:rPr>
          <w:rFonts w:hint="eastAsia" w:ascii="仿宋" w:hAnsi="仿宋" w:eastAsia="仿宋"/>
          <w:sz w:val="32"/>
          <w:szCs w:val="32"/>
        </w:rPr>
        <w:t>448.73</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%。通过项目实施，保障了教职工的各项合法权益，调动了全体教职工的工作积极性。发现的主要问题：无。</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63.76</w:t>
      </w:r>
      <w:r>
        <w:rPr>
          <w:rFonts w:hint="eastAsia" w:ascii="仿宋_GB2312" w:hAnsi="仿宋_GB2312" w:eastAsia="仿宋_GB2312" w:cs="仿宋_GB2312"/>
          <w:sz w:val="32"/>
          <w:szCs w:val="32"/>
        </w:rPr>
        <w:t>万元，执行数为</w:t>
      </w:r>
      <w:r>
        <w:rPr>
          <w:rFonts w:hint="eastAsia" w:ascii="仿宋" w:hAnsi="仿宋" w:eastAsia="仿宋"/>
          <w:sz w:val="32"/>
          <w:szCs w:val="32"/>
        </w:rPr>
        <w:t>63.76</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%。通过项目实施，保障学校正常开展的各项活动，发现的主要问题：无。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达川区金刚学校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17.2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17.2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足额发放免作业本费、免保教费、学生营养餐、贫困住校生补助、食堂购买服务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达川区金刚学校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448.73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448.73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448.73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448.73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足额发放在职教师工资、购买养老保险、职业年金、医保、工伤、住房公积金、工会经费及临聘人员的工资补助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达川区金刚学校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63.76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63.76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63.76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63.76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本部门按要求对2018年部门整体支出绩效评价情况开展自评，《达川区金刚学校部门2018年部门整体支出绩效评价报告》见附件。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本部门自行组织对人员经费项目开展了绩效评价，《达川区金刚学校项目2018年绩效评价报告》见附件。</w:t>
      </w:r>
    </w:p>
    <w:p>
      <w:pPr>
        <w:spacing w:line="600" w:lineRule="exact"/>
        <w:ind w:firstLine="800" w:firstLineChars="250"/>
        <w:outlineLvl w:val="1"/>
        <w:rPr>
          <w:rStyle w:val="26"/>
          <w:rFonts w:ascii="黑体" w:hAnsi="黑体" w:eastAsia="黑体"/>
        </w:rPr>
      </w:pPr>
      <w:bookmarkStart w:id="45" w:name="_Toc15396612"/>
      <w:bookmarkStart w:id="46"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spacing w:line="600" w:lineRule="exact"/>
        <w:ind w:firstLine="640"/>
        <w:rPr>
          <w:rFonts w:hint="default" w:ascii="仿宋" w:hAnsi="仿宋" w:eastAsia="仿宋"/>
          <w:b/>
          <w:sz w:val="32"/>
          <w:szCs w:val="32"/>
          <w:lang w:val="en-US" w:eastAsia="zh-CN"/>
        </w:rPr>
      </w:pPr>
      <w:r>
        <w:rPr>
          <w:rFonts w:hint="eastAsia" w:ascii="仿宋" w:hAnsi="仿宋" w:eastAsia="仿宋"/>
          <w:b/>
          <w:i w:val="0"/>
          <w:iCs w:val="0"/>
          <w:sz w:val="30"/>
          <w:szCs w:val="30"/>
          <w:lang w:val="en-US" w:eastAsia="zh-CN"/>
        </w:rPr>
        <w:t>本单位属于事业单位，机关运行经费无支出</w:t>
      </w:r>
      <w:r>
        <w:rPr>
          <w:rFonts w:hint="eastAsia" w:ascii="仿宋" w:hAnsi="仿宋" w:eastAsia="仿宋"/>
          <w:b/>
          <w:sz w:val="32"/>
          <w:szCs w:val="32"/>
          <w:lang w:val="en-US"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pPr>
        <w:autoSpaceDE w:val="0"/>
        <w:autoSpaceDN w:val="0"/>
        <w:adjustRightInd w:val="0"/>
        <w:spacing w:line="600" w:lineRule="exact"/>
        <w:ind w:firstLine="602" w:firstLineChars="200"/>
        <w:jc w:val="left"/>
        <w:outlineLvl w:val="2"/>
        <w:rPr>
          <w:rFonts w:hint="default" w:ascii="仿宋" w:hAnsi="仿宋" w:eastAsia="仿宋"/>
          <w:b/>
          <w:sz w:val="30"/>
          <w:szCs w:val="30"/>
          <w:lang w:val="en-US" w:eastAsia="zh-CN"/>
        </w:rPr>
      </w:pPr>
      <w:r>
        <w:rPr>
          <w:rFonts w:hint="eastAsia" w:ascii="仿宋" w:hAnsi="仿宋" w:eastAsia="仿宋"/>
          <w:b/>
          <w:sz w:val="30"/>
          <w:szCs w:val="30"/>
          <w:lang w:val="en-US" w:eastAsia="zh-CN"/>
        </w:rPr>
        <w:t>本单位本年度无政府采购支出。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02" w:firstLineChars="200"/>
        <w:jc w:val="left"/>
        <w:outlineLvl w:val="2"/>
        <w:rPr>
          <w:rFonts w:hint="default" w:ascii="仿宋" w:hAnsi="仿宋" w:eastAsia="仿宋"/>
          <w:b/>
          <w:sz w:val="30"/>
          <w:szCs w:val="30"/>
          <w:lang w:val="en-US" w:eastAsia="zh-CN"/>
        </w:rPr>
      </w:pPr>
      <w:r>
        <w:rPr>
          <w:rFonts w:hint="eastAsia" w:ascii="仿宋" w:hAnsi="仿宋" w:eastAsia="仿宋"/>
          <w:b/>
          <w:sz w:val="30"/>
          <w:szCs w:val="30"/>
          <w:lang w:val="en-US" w:eastAsia="zh-CN"/>
        </w:rPr>
        <w:t>本单位国有资产无出租出售情况。</w:t>
      </w:r>
    </w:p>
    <w:p>
      <w:pPr>
        <w:spacing w:line="600" w:lineRule="atLeast"/>
        <w:ind w:firstLine="602" w:firstLineChars="200"/>
        <w:rPr>
          <w:rFonts w:ascii="仿宋_GB2312" w:eastAsia="仿宋_GB2312"/>
          <w:b/>
          <w:sz w:val="30"/>
          <w:szCs w:val="30"/>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0" w:name="_Toc15396613"/>
      <w:bookmarkStart w:id="51" w:name="_Toc15377225"/>
      <w:r>
        <w:rPr>
          <w:rFonts w:hint="eastAsia" w:ascii="黑体" w:hAnsi="黑体" w:eastAsia="黑体"/>
          <w:b/>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25"/>
          <w:rFonts w:hint="eastAsia" w:ascii="黑体" w:hAnsi="黑体" w:eastAsia="黑体"/>
          <w:b w:val="0"/>
        </w:rPr>
        <w:t>四部分 附件</w:t>
      </w:r>
      <w:bookmarkEnd w:id="53"/>
    </w:p>
    <w:p>
      <w:pPr>
        <w:spacing w:line="600" w:lineRule="exact"/>
        <w:jc w:val="center"/>
        <w:outlineLvl w:val="0"/>
        <w:rPr>
          <w:rStyle w:val="25"/>
        </w:rPr>
      </w:pPr>
    </w:p>
    <w:p>
      <w:pPr>
        <w:pStyle w:val="3"/>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 xml:space="preserve">达川区金刚学校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达川区金刚学校是一所九年一贯制学校，单位性质为：全额拨款事业单位，设立5个内设部门：教务处、政教处、安全办公室、党建办公室、后勤处。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2018年我校在职教职工37人，临聘人员2人。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540.1万元，其中：一般公共预算财政拨款收入498.64万元，占92.32%；政府性基金预算财政拨款收入27.94万元，占5.17%；国有资本经营预算财政拨款收入0万元，占0%；事业收入13.52万元，占2.5%；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8年本年支出合计571.15万元，其中：基本支出543.21万元，占95.11%；项目支出27.94万元，占4.89%；上缴上级支出0万元，占0%；经营支出0万元，占0%；对附属单位补助支出0万元，占0%。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56" w:name="_Toc15396617"/>
      <w:r>
        <w:rPr>
          <w:rStyle w:val="25"/>
          <w:rFonts w:hint="eastAsia" w:ascii="仿宋" w:hAnsi="仿宋" w:eastAsia="仿宋"/>
          <w:b w:val="0"/>
          <w:bCs w:val="0"/>
          <w:sz w:val="32"/>
          <w:szCs w:val="32"/>
        </w:rPr>
        <w:t>附件2</w:t>
      </w:r>
      <w:bookmarkEnd w:id="5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达川区金刚学校</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448.73</w:t>
      </w:r>
      <w:r>
        <w:rPr>
          <w:rFonts w:hint="eastAsia" w:ascii="仿宋" w:hAnsi="仿宋" w:eastAsia="仿宋" w:cs="仿宋_GB2312"/>
          <w:sz w:val="32"/>
          <w:szCs w:val="32"/>
        </w:rPr>
        <w:t>万元，足额用于发放学校教职员工的工资、五险一金。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暂未发现问题。</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无。</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57" w:name="_Toc15396618"/>
      <w:r>
        <w:rPr>
          <w:rFonts w:hint="eastAsia" w:ascii="黑体" w:hAnsi="黑体" w:eastAsia="黑体"/>
          <w:sz w:val="44"/>
          <w:szCs w:val="44"/>
        </w:rPr>
        <w:t>第</w:t>
      </w:r>
      <w:r>
        <w:rPr>
          <w:rStyle w:val="25"/>
          <w:rFonts w:hint="eastAsia" w:ascii="黑体" w:hAnsi="黑体" w:eastAsia="黑体"/>
          <w:b w:val="0"/>
        </w:rPr>
        <w:t>五部分 附表</w:t>
      </w:r>
      <w:bookmarkEnd w:id="52"/>
      <w:bookmarkEnd w:id="57"/>
    </w:p>
    <w:p>
      <w:pPr>
        <w:spacing w:line="600" w:lineRule="exact"/>
        <w:jc w:val="center"/>
        <w:outlineLvl w:val="0"/>
        <w:rPr>
          <w:rFonts w:ascii="仿宋" w:hAnsi="仿宋" w:eastAsia="仿宋"/>
          <w:b/>
          <w:sz w:val="44"/>
          <w:szCs w:val="44"/>
        </w:rPr>
      </w:pPr>
    </w:p>
    <w:p>
      <w:pPr>
        <w:pStyle w:val="3"/>
        <w:rPr>
          <w:rFonts w:ascii="仿宋" w:hAnsi="仿宋" w:eastAsia="仿宋"/>
        </w:rPr>
      </w:pPr>
      <w:bookmarkStart w:id="58" w:name="_Toc15396619"/>
      <w:r>
        <w:rPr>
          <w:rFonts w:hint="eastAsia" w:ascii="仿宋" w:hAnsi="仿宋" w:eastAsia="仿宋"/>
          <w:b w:val="0"/>
        </w:rPr>
        <w:t>一、收</w:t>
      </w:r>
      <w:r>
        <w:rPr>
          <w:rStyle w:val="26"/>
          <w:rFonts w:hint="eastAsia" w:ascii="仿宋" w:hAnsi="仿宋" w:eastAsia="仿宋"/>
          <w:b w:val="0"/>
          <w:bCs w:val="0"/>
        </w:rPr>
        <w:t>入支出决算总表</w:t>
      </w:r>
      <w:bookmarkEnd w:id="58"/>
    </w:p>
    <w:p>
      <w:pPr>
        <w:pStyle w:val="3"/>
        <w:rPr>
          <w:rFonts w:ascii="仿宋" w:hAnsi="仿宋" w:eastAsia="仿宋"/>
        </w:rPr>
      </w:pPr>
      <w:bookmarkStart w:id="59" w:name="_Toc15396620"/>
      <w:r>
        <w:rPr>
          <w:rFonts w:hint="eastAsia" w:ascii="仿宋" w:hAnsi="仿宋" w:eastAsia="仿宋"/>
          <w:b w:val="0"/>
        </w:rPr>
        <w:t>二、收</w:t>
      </w:r>
      <w:r>
        <w:rPr>
          <w:rStyle w:val="26"/>
          <w:rFonts w:hint="eastAsia" w:ascii="仿宋" w:hAnsi="仿宋" w:eastAsia="仿宋"/>
          <w:b w:val="0"/>
          <w:bCs w:val="0"/>
        </w:rPr>
        <w:t>入总表</w:t>
      </w:r>
      <w:bookmarkEnd w:id="59"/>
    </w:p>
    <w:p>
      <w:pPr>
        <w:pStyle w:val="3"/>
        <w:rPr>
          <w:rFonts w:ascii="仿宋" w:hAnsi="仿宋" w:eastAsia="仿宋"/>
        </w:rPr>
      </w:pPr>
      <w:bookmarkStart w:id="6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0"/>
    </w:p>
    <w:p>
      <w:pPr>
        <w:pStyle w:val="3"/>
        <w:rPr>
          <w:rFonts w:ascii="仿宋" w:hAnsi="仿宋" w:eastAsia="仿宋"/>
          <w:b w:val="0"/>
        </w:rPr>
      </w:pPr>
      <w:bookmarkStart w:id="6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1"/>
    </w:p>
    <w:p>
      <w:pPr>
        <w:pStyle w:val="3"/>
        <w:rPr>
          <w:rFonts w:ascii="仿宋" w:hAnsi="仿宋" w:eastAsia="仿宋"/>
        </w:rPr>
      </w:pPr>
      <w:bookmarkStart w:id="6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2"/>
    </w:p>
    <w:p>
      <w:pPr>
        <w:pStyle w:val="3"/>
        <w:rPr>
          <w:rFonts w:ascii="仿宋" w:hAnsi="仿宋" w:eastAsia="仿宋"/>
        </w:rPr>
      </w:pPr>
      <w:bookmarkStart w:id="63"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3"/>
    </w:p>
    <w:p>
      <w:pPr>
        <w:pStyle w:val="3"/>
        <w:rPr>
          <w:rFonts w:ascii="仿宋" w:hAnsi="仿宋" w:eastAsia="仿宋"/>
        </w:rPr>
      </w:pPr>
      <w:bookmarkStart w:id="6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4"/>
    </w:p>
    <w:p>
      <w:pPr>
        <w:pStyle w:val="3"/>
        <w:rPr>
          <w:rFonts w:ascii="仿宋" w:hAnsi="仿宋" w:eastAsia="仿宋"/>
        </w:rPr>
      </w:pPr>
      <w:bookmarkStart w:id="6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5"/>
    </w:p>
    <w:p>
      <w:pPr>
        <w:pStyle w:val="3"/>
        <w:rPr>
          <w:rFonts w:ascii="仿宋" w:hAnsi="仿宋" w:eastAsia="仿宋"/>
        </w:rPr>
      </w:pPr>
      <w:bookmarkStart w:id="6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6"/>
    </w:p>
    <w:p>
      <w:pPr>
        <w:pStyle w:val="3"/>
        <w:rPr>
          <w:rFonts w:ascii="仿宋" w:hAnsi="仿宋" w:eastAsia="仿宋"/>
        </w:rPr>
      </w:pPr>
      <w:bookmarkStart w:id="67"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7"/>
    </w:p>
    <w:p>
      <w:pPr>
        <w:pStyle w:val="3"/>
        <w:rPr>
          <w:rFonts w:ascii="仿宋" w:hAnsi="仿宋" w:eastAsia="仿宋"/>
        </w:rPr>
      </w:pPr>
      <w:bookmarkStart w:id="68"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8"/>
    </w:p>
    <w:p>
      <w:pPr>
        <w:pStyle w:val="3"/>
        <w:rPr>
          <w:rFonts w:ascii="仿宋" w:hAnsi="仿宋" w:eastAsia="仿宋"/>
        </w:rPr>
      </w:pPr>
      <w:bookmarkStart w:id="69"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9"/>
    </w:p>
    <w:p>
      <w:pPr>
        <w:pStyle w:val="3"/>
        <w:rPr>
          <w:rFonts w:ascii="仿宋" w:hAnsi="仿宋" w:eastAsia="仿宋"/>
        </w:rPr>
      </w:pPr>
      <w:bookmarkStart w:id="70"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9ED"/>
    <w:rsid w:val="00020906"/>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365B"/>
    <w:rsid w:val="00275891"/>
    <w:rsid w:val="00280496"/>
    <w:rsid w:val="00295495"/>
    <w:rsid w:val="002A09B6"/>
    <w:rsid w:val="002B009B"/>
    <w:rsid w:val="002B2613"/>
    <w:rsid w:val="002B72EE"/>
    <w:rsid w:val="002D0309"/>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664BB"/>
    <w:rsid w:val="0057481D"/>
    <w:rsid w:val="0057680D"/>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25D55"/>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07116"/>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F28BC"/>
    <w:rsid w:val="00DF34B9"/>
    <w:rsid w:val="00E01053"/>
    <w:rsid w:val="00E07ACF"/>
    <w:rsid w:val="00E11FBF"/>
    <w:rsid w:val="00E22629"/>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0A8F49EB"/>
    <w:rsid w:val="0CCE617C"/>
    <w:rsid w:val="10C055FF"/>
    <w:rsid w:val="16BB723D"/>
    <w:rsid w:val="240371BF"/>
    <w:rsid w:val="29FD04D3"/>
    <w:rsid w:val="319F7F4E"/>
    <w:rsid w:val="35934C48"/>
    <w:rsid w:val="48933ED0"/>
    <w:rsid w:val="5C860596"/>
    <w:rsid w:val="60E01128"/>
    <w:rsid w:val="71946A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uiPriority w:val="99"/>
    <w:rPr>
      <w:color w:val="0000FF" w:themeColor="hyperlink"/>
      <w:u w:val="single"/>
    </w:rPr>
  </w:style>
  <w:style w:type="character" w:customStyle="1" w:styleId="17">
    <w:name w:val="Header Char"/>
    <w:basedOn w:val="14"/>
    <w:semiHidden/>
    <w:uiPriority w:val="99"/>
    <w:rPr>
      <w:rFonts w:ascii="Times New Roman" w:hAnsi="Times New Roman"/>
      <w:sz w:val="18"/>
      <w:szCs w:val="18"/>
    </w:rPr>
  </w:style>
  <w:style w:type="character" w:customStyle="1" w:styleId="18">
    <w:name w:val="页眉 Char"/>
    <w:link w:val="9"/>
    <w:semiHidden/>
    <w:locked/>
    <w:uiPriority w:val="99"/>
    <w:rPr>
      <w:sz w:val="18"/>
    </w:rPr>
  </w:style>
  <w:style w:type="character" w:customStyle="1" w:styleId="19">
    <w:name w:val="Footer Char"/>
    <w:basedOn w:val="14"/>
    <w:semiHidden/>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uiPriority w:val="99"/>
    <w:rPr>
      <w:rFonts w:ascii="Times New Roman" w:hAnsi="Times New Roman"/>
      <w:kern w:val="2"/>
      <w:sz w:val="18"/>
      <w:szCs w:val="18"/>
    </w:rPr>
  </w:style>
  <w:style w:type="character" w:customStyle="1" w:styleId="29">
    <w:name w:val="标题 3 Char"/>
    <w:basedOn w:val="14"/>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8DA62-AD33-438A-BCB7-34153E49CD2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1488</Words>
  <Characters>8485</Characters>
  <Lines>70</Lines>
  <Paragraphs>19</Paragraphs>
  <TotalTime>12</TotalTime>
  <ScaleCrop>false</ScaleCrop>
  <LinksUpToDate>false</LinksUpToDate>
  <CharactersWithSpaces>9954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Windows</cp:lastModifiedBy>
  <cp:lastPrinted>2019-08-01T00:48:00Z</cp:lastPrinted>
  <dcterms:modified xsi:type="dcterms:W3CDTF">2021-05-22T04:03:03Z</dcterms:modified>
  <dc:title>四川省***</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