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adjustRightInd w:val="0"/>
        <w:snapToGrid w:val="0"/>
        <w:spacing w:line="360" w:lineRule="auto"/>
        <w:ind w:firstLine="2160" w:firstLineChars="300"/>
        <w:jc w:val="both"/>
        <w:outlineLvl w:val="0"/>
        <w:rPr>
          <w:rFonts w:ascii="黑体" w:hAnsi="黑体" w:eastAsia="黑体"/>
          <w:sz w:val="72"/>
          <w:szCs w:val="72"/>
        </w:rPr>
      </w:pPr>
      <w:bookmarkStart w:id="1" w:name="_Toc15396597"/>
      <w:bookmarkStart w:id="2" w:name="_Toc15378441"/>
      <w:bookmarkStart w:id="3" w:name="_Toc15377193"/>
      <w:bookmarkStart w:id="4" w:name="_Toc15396475"/>
      <w:bookmarkStart w:id="5" w:name="_Toc15377425"/>
    </w:p>
    <w:bookmarkEnd w:id="1"/>
    <w:bookmarkEnd w:id="2"/>
    <w:bookmarkEnd w:id="3"/>
    <w:bookmarkEnd w:id="4"/>
    <w:bookmarkEnd w:id="5"/>
    <w:p>
      <w:pPr>
        <w:adjustRightInd w:val="0"/>
        <w:snapToGrid w:val="0"/>
        <w:spacing w:line="360" w:lineRule="auto"/>
        <w:jc w:val="center"/>
        <w:outlineLvl w:val="0"/>
        <w:rPr>
          <w:rFonts w:hint="eastAsia" w:ascii="方正小标宋简体" w:hAnsi="宋体" w:eastAsia="方正小标宋简体"/>
          <w:sz w:val="56"/>
          <w:szCs w:val="56"/>
        </w:rPr>
      </w:pPr>
      <w:bookmarkStart w:id="6" w:name="_Toc15377194"/>
      <w:bookmarkStart w:id="7" w:name="_Toc15396476"/>
      <w:bookmarkStart w:id="8" w:name="_Toc15377426"/>
      <w:bookmarkStart w:id="9" w:name="_Toc15396598"/>
      <w:bookmarkStart w:id="10" w:name="_Toc15378442"/>
    </w:p>
    <w:p>
      <w:pPr>
        <w:adjustRightInd w:val="0"/>
        <w:snapToGrid w:val="0"/>
        <w:spacing w:line="360" w:lineRule="auto"/>
        <w:jc w:val="center"/>
        <w:outlineLvl w:val="0"/>
        <w:rPr>
          <w:rFonts w:hint="eastAsia" w:ascii="方正小标宋简体" w:hAnsi="宋体" w:eastAsia="方正小标宋简体"/>
          <w:sz w:val="48"/>
          <w:szCs w:val="48"/>
        </w:rPr>
      </w:pPr>
      <w:r>
        <w:rPr>
          <w:rFonts w:hint="eastAsia" w:ascii="方正小标宋简体" w:hAnsi="宋体" w:eastAsia="方正小标宋简体"/>
          <w:sz w:val="48"/>
          <w:szCs w:val="48"/>
        </w:rPr>
        <w:t>四川省</w:t>
      </w:r>
      <w:bookmarkEnd w:id="0"/>
      <w:bookmarkStart w:id="11" w:name="_Toc15306268"/>
      <w:r>
        <w:rPr>
          <w:rFonts w:hint="eastAsia" w:ascii="方正小标宋简体" w:hAnsi="宋体" w:eastAsia="方正小标宋简体"/>
          <w:sz w:val="48"/>
          <w:szCs w:val="48"/>
        </w:rPr>
        <w:t>达州市达川区金垭镇中心学校2018年度</w:t>
      </w:r>
    </w:p>
    <w:p>
      <w:pPr>
        <w:adjustRightInd w:val="0"/>
        <w:snapToGrid w:val="0"/>
        <w:spacing w:line="360" w:lineRule="auto"/>
        <w:jc w:val="center"/>
        <w:outlineLvl w:val="0"/>
        <w:rPr>
          <w:rFonts w:hint="eastAsia" w:ascii="方正小标宋简体" w:hAnsi="宋体" w:eastAsia="方正小标宋简体"/>
          <w:sz w:val="48"/>
          <w:szCs w:val="48"/>
          <w:lang w:eastAsia="zh-CN"/>
        </w:rPr>
      </w:pPr>
      <w:r>
        <w:rPr>
          <w:rFonts w:hint="eastAsia" w:ascii="方正小标宋简体" w:hAnsi="宋体" w:eastAsia="方正小标宋简体"/>
          <w:sz w:val="48"/>
          <w:szCs w:val="48"/>
        </w:rPr>
        <w:t>部门决算</w:t>
      </w:r>
      <w:bookmarkEnd w:id="6"/>
      <w:bookmarkEnd w:id="7"/>
      <w:bookmarkEnd w:id="8"/>
      <w:bookmarkEnd w:id="9"/>
      <w:bookmarkEnd w:id="10"/>
      <w:bookmarkEnd w:id="11"/>
      <w:r>
        <w:rPr>
          <w:rFonts w:hint="eastAsia" w:ascii="方正小标宋简体" w:hAnsi="宋体" w:eastAsia="方正小标宋简体"/>
          <w:sz w:val="48"/>
          <w:szCs w:val="48"/>
          <w:lang w:eastAsia="zh-CN"/>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Pr>
        <w:pStyle w:val="10"/>
      </w:pPr>
      <w:r>
        <w:rPr>
          <w:rFonts w:hint="eastAsia"/>
        </w:rPr>
        <w:t>公开时间：2019年8月29日</w:t>
      </w:r>
    </w:p>
    <w:p/>
    <w:p>
      <w:pPr>
        <w:pStyle w:val="10"/>
        <w:rPr>
          <w:rFonts w:cstheme="minorBidi"/>
        </w:rPr>
      </w:pPr>
      <w:r>
        <w:fldChar w:fldCharType="begin"/>
      </w:r>
      <w:r>
        <w:instrText xml:space="preserve"> HYPERLINK \l "_Toc15396599" </w:instrText>
      </w:r>
      <w:r>
        <w:fldChar w:fldCharType="separate"/>
      </w:r>
      <w:r>
        <w:rPr>
          <w:rStyle w:val="16"/>
          <w:rFonts w:hint="eastAsia"/>
          <w:color w:val="auto"/>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2018</w:t>
      </w:r>
      <w:r>
        <w:rPr>
          <w:rStyle w:val="16"/>
          <w:rFonts w:hint="eastAsia"/>
          <w:color w:val="auto"/>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cstheme="majorBidi"/>
          <w:bCs/>
          <w:color w:val="auto"/>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cstheme="majorBidi"/>
          <w:bCs/>
          <w:color w:val="auto"/>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cstheme="majorBidi"/>
          <w:bCs/>
          <w:color w:val="auto"/>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cstheme="majorBidi"/>
          <w:bCs/>
          <w:color w:val="auto"/>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ascii="仿宋" w:hAnsi="仿宋" w:eastAsia="仿宋"/>
          <w:color w:val="auto"/>
          <w:sz w:val="28"/>
          <w:szCs w:val="28"/>
        </w:rPr>
        <w:t>“</w:t>
      </w:r>
      <w:r>
        <w:rPr>
          <w:rStyle w:val="16"/>
          <w:rFonts w:hint="eastAsia" w:ascii="仿宋" w:hAnsi="仿宋" w:eastAsia="仿宋" w:cstheme="majorBidi"/>
          <w:bCs/>
          <w:color w:val="auto"/>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cstheme="majorBidi"/>
          <w:bCs/>
          <w:color w:val="auto"/>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color w:val="auto"/>
          <w:sz w:val="28"/>
          <w:szCs w:val="28"/>
        </w:rPr>
        <w:t>九、</w:t>
      </w:r>
      <w:r>
        <w:rPr>
          <w:rStyle w:val="16"/>
          <w:rFonts w:hint="eastAsia" w:ascii="仿宋" w:hAnsi="仿宋" w:eastAsia="仿宋"/>
          <w:color w:val="auto"/>
          <w:sz w:val="28"/>
          <w:szCs w:val="28"/>
        </w:rPr>
        <w:t xml:space="preserve"> 国</w:t>
      </w:r>
      <w:r>
        <w:rPr>
          <w:rStyle w:val="16"/>
          <w:rFonts w:hint="eastAsia" w:ascii="仿宋" w:hAnsi="仿宋" w:eastAsia="仿宋" w:cstheme="majorBidi"/>
          <w:bCs/>
          <w:color w:val="auto"/>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cstheme="majorBidi"/>
          <w:bCs/>
          <w:color w:val="auto"/>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color w:val="auto"/>
          <w:kern w:val="44"/>
        </w:rPr>
        <w:t>第三部分</w:t>
      </w:r>
      <w:r>
        <w:rPr>
          <w:rStyle w:val="16"/>
          <w:rFonts w:hint="eastAsia"/>
          <w:color w:val="auto"/>
        </w:rPr>
        <w:t xml:space="preserve"> 名</w:t>
      </w:r>
      <w:r>
        <w:rPr>
          <w:rStyle w:val="16"/>
          <w:rFonts w:hint="eastAsia"/>
          <w:bCs/>
          <w:color w:val="auto"/>
          <w:kern w:val="44"/>
        </w:rPr>
        <w:t>词解释</w:t>
      </w:r>
      <w:r>
        <w:tab/>
      </w:r>
      <w:r>
        <w:fldChar w:fldCharType="begin"/>
      </w:r>
      <w:r>
        <w:instrText xml:space="preserve"> PAGEREF _Toc15396613 \h </w:instrText>
      </w:r>
      <w:r>
        <w:fldChar w:fldCharType="separate"/>
      </w:r>
      <w:r>
        <w:t>18</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四部分附件</w:t>
      </w:r>
      <w:r>
        <w:tab/>
      </w:r>
      <w:r>
        <w:fldChar w:fldCharType="begin"/>
      </w:r>
      <w:r>
        <w:instrText xml:space="preserve"> PAGEREF _Toc15396614 \h </w:instrText>
      </w:r>
      <w:r>
        <w:fldChar w:fldCharType="separate"/>
      </w:r>
      <w:r>
        <w:t>20</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五部分附表</w:t>
      </w:r>
      <w:r>
        <w:tab/>
      </w:r>
      <w:r>
        <w:fldChar w:fldCharType="begin"/>
      </w:r>
      <w:r>
        <w:instrText xml:space="preserve"> PAGEREF _Toc15396618 \h </w:instrText>
      </w:r>
      <w:r>
        <w:fldChar w:fldCharType="separate"/>
      </w:r>
      <w:r>
        <w:t>25</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sz w:val="24"/>
        </w:rPr>
      </w:pPr>
      <w:r>
        <w:rPr>
          <w:rFonts w:ascii="仿宋" w:hAnsi="仿宋" w:eastAsia="仿宋"/>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rPr>
          <w:rStyle w:val="26"/>
          <w:rFonts w:ascii="仿宋" w:hAnsi="仿宋" w:eastAsia="仿宋"/>
          <w:b w:val="0"/>
          <w:bCs w:val="0"/>
        </w:rPr>
      </w:pPr>
      <w:bookmarkStart w:id="14" w:name="_Toc15396600"/>
      <w:bookmarkStart w:id="15" w:name="_Toc15377197"/>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sz w:val="32"/>
          <w:szCs w:val="32"/>
        </w:rPr>
      </w:pPr>
      <w:bookmarkStart w:id="16" w:name="_Toc15377198"/>
      <w:bookmarkStart w:id="17" w:name="_Toc15378445"/>
      <w:r>
        <w:rPr>
          <w:rFonts w:hint="eastAsia" w:ascii="仿宋" w:hAnsi="仿宋" w:eastAsia="仿宋"/>
          <w:bCs/>
          <w:sz w:val="32"/>
          <w:szCs w:val="32"/>
        </w:rPr>
        <w:t>（一）主要职能。</w:t>
      </w:r>
      <w:bookmarkEnd w:id="16"/>
      <w:bookmarkEnd w:id="17"/>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w:t>
      </w:r>
      <w:r>
        <w:rPr>
          <w:rFonts w:hint="eastAsia" w:ascii="仿宋" w:hAnsi="仿宋" w:eastAsia="仿宋"/>
          <w:bCs/>
          <w:color w:val="000000"/>
          <w:sz w:val="32"/>
          <w:szCs w:val="32"/>
        </w:rPr>
        <w:t>主要负责达川区</w:t>
      </w:r>
      <w:r>
        <w:rPr>
          <w:rFonts w:hint="eastAsia" w:ascii="仿宋" w:hAnsi="仿宋" w:eastAsia="仿宋"/>
          <w:bCs/>
          <w:color w:val="000000"/>
          <w:sz w:val="32"/>
          <w:szCs w:val="32"/>
          <w:lang w:val="en-US" w:eastAsia="zh-CN"/>
        </w:rPr>
        <w:t>金垭</w:t>
      </w:r>
      <w:r>
        <w:rPr>
          <w:rFonts w:hint="eastAsia" w:ascii="仿宋" w:hAnsi="仿宋" w:eastAsia="仿宋"/>
          <w:bCs/>
          <w:color w:val="000000"/>
          <w:sz w:val="32"/>
          <w:szCs w:val="32"/>
        </w:rPr>
        <w:t>镇</w:t>
      </w:r>
      <w:r>
        <w:rPr>
          <w:rFonts w:hint="eastAsia" w:ascii="仿宋" w:hAnsi="仿宋" w:eastAsia="仿宋"/>
          <w:bCs/>
          <w:color w:val="000000"/>
          <w:sz w:val="32"/>
          <w:szCs w:val="32"/>
          <w:lang w:val="en-US" w:eastAsia="zh-CN"/>
        </w:rPr>
        <w:t>辖区</w:t>
      </w:r>
      <w:r>
        <w:rPr>
          <w:rFonts w:hint="eastAsia" w:ascii="仿宋" w:hAnsi="仿宋" w:eastAsia="仿宋"/>
          <w:bCs/>
          <w:color w:val="000000"/>
          <w:sz w:val="32"/>
          <w:szCs w:val="32"/>
        </w:rPr>
        <w:t>内</w:t>
      </w:r>
      <w:r>
        <w:rPr>
          <w:rFonts w:hint="eastAsia" w:ascii="仿宋" w:hAnsi="仿宋" w:eastAsia="仿宋"/>
          <w:bCs/>
          <w:color w:val="000000"/>
          <w:sz w:val="32"/>
          <w:szCs w:val="32"/>
          <w:lang w:val="en-US" w:eastAsia="zh-CN"/>
        </w:rPr>
        <w:t>义务教育</w:t>
      </w:r>
      <w:r>
        <w:rPr>
          <w:rFonts w:hint="eastAsia" w:ascii="仿宋" w:hAnsi="仿宋" w:eastAsia="仿宋"/>
          <w:bCs/>
          <w:color w:val="000000"/>
          <w:sz w:val="32"/>
          <w:szCs w:val="32"/>
        </w:rPr>
        <w:t>教学工作。</w:t>
      </w:r>
      <w:r>
        <w:rPr>
          <w:rFonts w:hint="eastAsia" w:ascii="仿宋" w:hAnsi="仿宋" w:eastAsia="仿宋"/>
          <w:sz w:val="32"/>
          <w:szCs w:val="32"/>
        </w:rPr>
        <w:t>组织教育教学、科学研究活动，保证教育教学质量,提升学生的综合素质。维护教职工利益，以教职工和学生的人生幸福和生命质量作为重点。</w:t>
      </w:r>
    </w:p>
    <w:p>
      <w:pPr>
        <w:pStyle w:val="5"/>
        <w:adjustRightInd w:val="0"/>
        <w:snapToGrid w:val="0"/>
        <w:spacing w:before="93" w:line="600" w:lineRule="exact"/>
        <w:ind w:firstLine="672" w:firstLineChars="210"/>
        <w:outlineLvl w:val="2"/>
        <w:rPr>
          <w:rFonts w:ascii="仿宋" w:hAnsi="仿宋" w:eastAsia="仿宋"/>
          <w:bCs/>
          <w:sz w:val="32"/>
          <w:szCs w:val="32"/>
        </w:rPr>
      </w:pPr>
      <w:bookmarkStart w:id="18" w:name="_Toc15377199"/>
      <w:bookmarkStart w:id="19" w:name="_Toc15378446"/>
      <w:r>
        <w:rPr>
          <w:rFonts w:hint="eastAsia" w:ascii="仿宋" w:hAnsi="仿宋" w:eastAsia="仿宋"/>
          <w:bCs/>
          <w:sz w:val="32"/>
          <w:szCs w:val="32"/>
        </w:rPr>
        <w:t>（二）</w:t>
      </w:r>
      <w:r>
        <w:rPr>
          <w:rFonts w:ascii="仿宋" w:hAnsi="仿宋" w:eastAsia="仿宋"/>
          <w:bCs/>
          <w:sz w:val="32"/>
          <w:szCs w:val="32"/>
        </w:rPr>
        <w:t>201</w:t>
      </w:r>
      <w:r>
        <w:rPr>
          <w:rFonts w:hint="eastAsia" w:ascii="仿宋" w:hAnsi="仿宋" w:eastAsia="仿宋"/>
          <w:bCs/>
          <w:sz w:val="32"/>
          <w:szCs w:val="32"/>
        </w:rPr>
        <w:t>8年重点工作完成情况。</w:t>
      </w:r>
      <w:bookmarkEnd w:id="18"/>
      <w:bookmarkEnd w:id="19"/>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0" w:name="_Toc15377200"/>
      <w:bookmarkStart w:id="21" w:name="_Toc15396601"/>
      <w:r>
        <w:rPr>
          <w:rFonts w:hint="eastAsia" w:ascii="仿宋" w:hAnsi="仿宋" w:eastAsia="仿宋"/>
          <w:bCs/>
          <w:color w:val="000000"/>
          <w:sz w:val="32"/>
          <w:szCs w:val="32"/>
        </w:rPr>
        <w:t>1、按质按量完成教学任务。</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2、学生入学率达100%。</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3、在经费紧缺的情况下，保证了教师工资待遇的正常发放，保证学校的正常运转。</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4、按时按质按量上报各种报表及领导交办的其他任务。</w:t>
      </w:r>
    </w:p>
    <w:p>
      <w:pPr>
        <w:pStyle w:val="3"/>
        <w:ind w:firstLine="640" w:firstLineChars="200"/>
        <w:rPr>
          <w:rFonts w:hint="eastAsia" w:ascii="仿宋" w:hAnsi="仿宋" w:eastAsia="仿宋"/>
          <w:b w:val="0"/>
          <w:bCs w:val="0"/>
          <w:color w:val="000000"/>
          <w:sz w:val="32"/>
          <w:szCs w:val="32"/>
        </w:rPr>
      </w:pPr>
      <w:r>
        <w:rPr>
          <w:rFonts w:hint="eastAsia" w:ascii="仿宋" w:hAnsi="仿宋" w:eastAsia="仿宋"/>
          <w:b w:val="0"/>
          <w:bCs w:val="0"/>
          <w:color w:val="000000"/>
          <w:sz w:val="32"/>
          <w:szCs w:val="32"/>
        </w:rPr>
        <w:t>5、及时对学校校舍进行维修，消除各种安全隐患。</w:t>
      </w:r>
    </w:p>
    <w:p>
      <w:pPr>
        <w:pStyle w:val="3"/>
        <w:rPr>
          <w:rStyle w:val="26"/>
          <w:b w:val="0"/>
          <w:bCs w:val="0"/>
        </w:rPr>
      </w:pPr>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pStyle w:val="5"/>
        <w:adjustRightInd w:val="0"/>
        <w:snapToGrid w:val="0"/>
        <w:spacing w:before="93" w:line="578" w:lineRule="exact"/>
        <w:ind w:firstLine="672" w:firstLineChars="210"/>
        <w:rPr>
          <w:rFonts w:ascii="仿宋" w:hAnsi="仿宋" w:eastAsia="仿宋"/>
          <w:sz w:val="32"/>
          <w:szCs w:val="32"/>
        </w:rPr>
      </w:pPr>
      <w:r>
        <w:rPr>
          <w:rFonts w:hint="eastAsia" w:ascii="仿宋" w:hAnsi="仿宋" w:eastAsia="仿宋"/>
          <w:sz w:val="32"/>
          <w:szCs w:val="32"/>
        </w:rPr>
        <w:t>我校属达川区教育和科学技术局下属二级</w:t>
      </w:r>
      <w:r>
        <w:rPr>
          <w:rFonts w:hint="eastAsia" w:ascii="仿宋" w:hAnsi="仿宋" w:eastAsia="仿宋"/>
          <w:sz w:val="32"/>
          <w:szCs w:val="32"/>
          <w:lang w:eastAsia="zh-CN"/>
        </w:rPr>
        <w:t>预算事业</w:t>
      </w:r>
      <w:r>
        <w:rPr>
          <w:rFonts w:hint="eastAsia" w:ascii="仿宋" w:hAnsi="仿宋" w:eastAsia="仿宋"/>
          <w:sz w:val="32"/>
          <w:szCs w:val="32"/>
        </w:rPr>
        <w:t>单位。单位性质属全额拨款事业单位。</w:t>
      </w:r>
    </w:p>
    <w:p>
      <w:pPr>
        <w:ind w:firstLine="800" w:firstLineChars="250"/>
        <w:rPr>
          <w:rFonts w:ascii="仿宋" w:hAnsi="仿宋" w:eastAsia="仿宋"/>
          <w:kern w:val="0"/>
          <w:sz w:val="32"/>
          <w:szCs w:val="32"/>
        </w:rPr>
      </w:pP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rPr>
        <w:t>第二部分</w:t>
      </w:r>
      <w:r>
        <w:rPr>
          <w:rStyle w:val="25"/>
          <w:rFonts w:hint="eastAsia" w:ascii="黑体" w:hAnsi="黑体" w:eastAsia="黑体"/>
          <w:b w:val="0"/>
          <w:bCs w:val="0"/>
        </w:rPr>
        <w:t>2018年度部门决算情况说明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2018年度收、支总计788.64万元。与2017年相比，收、支总计各减少820.49万元，下降50.99</w:t>
      </w:r>
      <w:r>
        <w:rPr>
          <w:rFonts w:ascii="仿宋" w:hAnsi="仿宋" w:eastAsia="仿宋"/>
          <w:sz w:val="32"/>
          <w:szCs w:val="32"/>
        </w:rPr>
        <w:t>%</w:t>
      </w:r>
      <w:r>
        <w:rPr>
          <w:rFonts w:hint="eastAsia" w:ascii="仿宋" w:hAnsi="仿宋" w:eastAsia="仿宋"/>
          <w:sz w:val="32"/>
          <w:szCs w:val="32"/>
        </w:rPr>
        <w:t>。主要变动原因是人员经费和项目支出减少。</w:t>
      </w:r>
    </w:p>
    <w:p>
      <w:pPr>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190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7325" cy="3190875"/>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本年收入合计747.5万元，其中：一般公共预算财政拨款收入674.44万元，占90.23%；政府性基金预算财政拨款收入67.01万元，占8.96%；国有资本经营预算财政拨款收入0万元，占0%；事业收入6.05万元，占0.81%；经营收入0万元，占0%；附属单位上缴收入0万元，占0%；其他收入0万元，占0%。</w:t>
      </w:r>
    </w:p>
    <w:p>
      <w:pPr>
        <w:ind w:firstLine="640" w:firstLineChars="200"/>
        <w:rPr>
          <w:rFonts w:ascii="仿宋" w:hAnsi="仿宋" w:eastAsia="仿宋"/>
          <w:sz w:val="32"/>
          <w:szCs w:val="32"/>
        </w:rPr>
      </w:pPr>
      <w:r>
        <w:rPr>
          <w:rFonts w:hint="eastAsia" w:ascii="仿宋" w:hAnsi="仿宋" w:eastAsia="仿宋"/>
          <w:sz w:val="32"/>
          <w:szCs w:val="32"/>
        </w:rPr>
        <w:t>（图2：收入决算结构图）（饼状图）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67325" cy="3390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7325" cy="339090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8年本年支出合计729.59万元，其中：基本支出662.58万元，占90.82%；项目支出67.01万元，占9.18%；上缴上级支出0万元，占0%；经营支出0万元，占0%；对附属单位补助支出0万元，占0%。</w:t>
      </w:r>
    </w:p>
    <w:p>
      <w:pPr>
        <w:ind w:firstLine="640" w:firstLineChars="200"/>
        <w:rPr>
          <w:rFonts w:ascii="仿宋" w:hAnsi="仿宋" w:eastAsia="仿宋"/>
          <w:sz w:val="32"/>
          <w:szCs w:val="32"/>
        </w:rPr>
      </w:pPr>
      <w:r>
        <w:rPr>
          <w:rFonts w:hint="eastAsia" w:ascii="仿宋" w:hAnsi="仿宋" w:eastAsia="仿宋"/>
          <w:sz w:val="32"/>
          <w:szCs w:val="32"/>
        </w:rPr>
        <w:t>（图3：支出决算结构图）（饼状图）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67325" cy="3390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67325" cy="339090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8年财政拨款收、支总计782.59万元。与</w:t>
      </w:r>
      <w:r>
        <w:rPr>
          <w:rFonts w:ascii="仿宋" w:hAnsi="仿宋" w:eastAsia="仿宋"/>
          <w:sz w:val="32"/>
          <w:szCs w:val="32"/>
        </w:rPr>
        <w:t>201</w:t>
      </w:r>
      <w:r>
        <w:rPr>
          <w:rFonts w:hint="eastAsia" w:ascii="仿宋" w:hAnsi="仿宋" w:eastAsia="仿宋"/>
          <w:sz w:val="32"/>
          <w:szCs w:val="32"/>
        </w:rPr>
        <w:t>7年相比，财政拨款收、支总计各减少819.89万元，下降51.16%。主要变动原因是人员经费和项目支出减少。</w:t>
      </w:r>
    </w:p>
    <w:p>
      <w:pPr>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b/>
                <w:sz w:val="32"/>
                <w:szCs w:val="32"/>
              </w:rPr>
            </w:pPr>
            <w:r>
              <w:rPr>
                <w:rFonts w:ascii="仿宋" w:hAnsi="仿宋" w:eastAsia="仿宋"/>
                <w:b/>
                <w:sz w:val="32"/>
                <w:szCs w:val="32"/>
              </w:rPr>
              <w:drawing>
                <wp:inline distT="0" distB="0" distL="0" distR="0">
                  <wp:extent cx="5267325" cy="3190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67325" cy="3190875"/>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8年一般公共预算财政拨款支出656.54万元，占本年支出合计的83.89%。与</w:t>
      </w:r>
      <w:r>
        <w:rPr>
          <w:rFonts w:ascii="仿宋" w:hAnsi="仿宋" w:eastAsia="仿宋"/>
          <w:sz w:val="32"/>
          <w:szCs w:val="32"/>
        </w:rPr>
        <w:t>201</w:t>
      </w:r>
      <w:r>
        <w:rPr>
          <w:rFonts w:hint="eastAsia" w:ascii="仿宋" w:hAnsi="仿宋" w:eastAsia="仿宋"/>
          <w:sz w:val="32"/>
          <w:szCs w:val="32"/>
        </w:rPr>
        <w:t>7年相比，一般公共预算财政拨款减少945.94万元，下降59.03%。主要变动原因是人员经费和项目支出减少。</w:t>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1908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67325" cy="3190875"/>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8年一般公共预算财政拨款支出656.54万元，主要用于以下方面</w:t>
      </w:r>
      <w:r>
        <w:rPr>
          <w:rFonts w:ascii="仿宋" w:hAnsi="仿宋" w:eastAsia="仿宋"/>
          <w:sz w:val="32"/>
          <w:szCs w:val="32"/>
        </w:rPr>
        <w:t>:</w:t>
      </w:r>
      <w:r>
        <w:rPr>
          <w:rFonts w:hint="eastAsia" w:ascii="仿宋" w:hAnsi="仿宋" w:eastAsia="仿宋"/>
          <w:sz w:val="32"/>
          <w:szCs w:val="32"/>
        </w:rPr>
        <w:t>一般公共服务（类）支出0万元，占0%；教育（类）支出515.99万元，占78.59%；社会保障和就业（类）支出78.43万元，占11.95%；医疗卫生与计划生育（类）支出22.13万元，占3.37%；城乡社区（类）支出0万元，占0%；住房保障（类）支出39.99万元，占6.09%；其他（类）支出0万元，占0%。</w:t>
      </w:r>
    </w:p>
    <w:p>
      <w:pPr>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3909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67325" cy="3390900"/>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444"/>
      <w:bookmarkStart w:id="38" w:name="_Toc15378460"/>
      <w:bookmarkStart w:id="39" w:name="_Toc15377213"/>
      <w:r>
        <w:rPr>
          <w:rFonts w:hint="eastAsia" w:ascii="仿宋" w:hAnsi="仿宋" w:eastAsia="仿宋"/>
          <w:b/>
          <w:sz w:val="32"/>
          <w:szCs w:val="32"/>
        </w:rPr>
        <w:t>2018年一般公共预算支出决算数为656.54万元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7"/>
      <w:bookmarkEnd w:id="38"/>
      <w:bookmarkEnd w:id="39"/>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一般公共服务201（类）10（款）99（项）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0</w:t>
      </w:r>
      <w:r>
        <w:rPr>
          <w:rStyle w:val="15"/>
          <w:rFonts w:hint="eastAsia" w:ascii="仿宋" w:hAnsi="仿宋" w:eastAsia="仿宋"/>
          <w:b w:val="0"/>
          <w:bCs/>
          <w:sz w:val="32"/>
          <w:szCs w:val="32"/>
        </w:rPr>
        <w:t>万元。</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教育205（类）02（款）</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515.99</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社会保障和就业208（类）05（款）05（项）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78.43</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sz w:val="32"/>
          <w:szCs w:val="32"/>
        </w:rPr>
        <w:t>医疗卫生与计划生育210（类）11（款）02（项）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22.13</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5.城乡社区212</w:t>
      </w:r>
      <w:r>
        <w:rPr>
          <w:rStyle w:val="15"/>
          <w:rFonts w:hint="eastAsia" w:ascii="仿宋" w:hAnsi="仿宋" w:eastAsia="仿宋"/>
          <w:bCs/>
          <w:sz w:val="32"/>
          <w:szCs w:val="32"/>
        </w:rPr>
        <w:t>（类）</w:t>
      </w:r>
      <w:r>
        <w:rPr>
          <w:rFonts w:hint="eastAsia" w:ascii="仿宋" w:hAnsi="仿宋" w:eastAsia="仿宋"/>
          <w:b/>
          <w:sz w:val="32"/>
          <w:szCs w:val="32"/>
        </w:rPr>
        <w:t>08</w:t>
      </w:r>
      <w:r>
        <w:rPr>
          <w:rStyle w:val="15"/>
          <w:rFonts w:hint="eastAsia" w:ascii="仿宋" w:hAnsi="仿宋" w:eastAsia="仿宋"/>
          <w:bCs/>
          <w:sz w:val="32"/>
          <w:szCs w:val="32"/>
        </w:rPr>
        <w:t>（款）</w:t>
      </w:r>
      <w:r>
        <w:rPr>
          <w:rFonts w:hint="eastAsia" w:ascii="仿宋" w:hAnsi="仿宋" w:eastAsia="仿宋"/>
          <w:b/>
          <w:sz w:val="32"/>
          <w:szCs w:val="32"/>
        </w:rPr>
        <w:t>99</w:t>
      </w:r>
      <w:r>
        <w:rPr>
          <w:rStyle w:val="15"/>
          <w:rFonts w:hint="eastAsia" w:ascii="仿宋" w:hAnsi="仿宋" w:eastAsia="仿宋"/>
          <w:bCs/>
          <w:sz w:val="32"/>
          <w:szCs w:val="32"/>
        </w:rPr>
        <w:t>（项）</w:t>
      </w:r>
      <w:r>
        <w:rPr>
          <w:rStyle w:val="15"/>
          <w:rFonts w:ascii="仿宋" w:hAnsi="仿宋" w:eastAsia="仿宋"/>
          <w:bCs/>
          <w:sz w:val="32"/>
          <w:szCs w:val="32"/>
        </w:rPr>
        <w:t>:</w:t>
      </w:r>
      <w:r>
        <w:rPr>
          <w:rStyle w:val="15"/>
          <w:rFonts w:hint="eastAsia" w:ascii="仿宋" w:hAnsi="仿宋" w:eastAsia="仿宋"/>
          <w:b w:val="0"/>
          <w:bCs/>
          <w:sz w:val="32"/>
          <w:szCs w:val="32"/>
        </w:rPr>
        <w:t>支出决算</w:t>
      </w:r>
      <w:r>
        <w:rPr>
          <w:rFonts w:hint="eastAsia" w:ascii="仿宋" w:hAnsi="仿宋" w:eastAsia="仿宋"/>
          <w:sz w:val="32"/>
          <w:szCs w:val="32"/>
        </w:rPr>
        <w:t>0万元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6.住房保障221</w:t>
      </w:r>
      <w:r>
        <w:rPr>
          <w:rStyle w:val="15"/>
          <w:rFonts w:hint="eastAsia" w:ascii="仿宋" w:hAnsi="仿宋" w:eastAsia="仿宋"/>
          <w:b w:val="0"/>
          <w:bCs/>
          <w:sz w:val="32"/>
          <w:szCs w:val="32"/>
        </w:rPr>
        <w:t>（类）</w:t>
      </w:r>
      <w:r>
        <w:rPr>
          <w:rFonts w:hint="eastAsia" w:ascii="仿宋" w:hAnsi="仿宋" w:eastAsia="仿宋"/>
          <w:b/>
          <w:sz w:val="32"/>
          <w:szCs w:val="32"/>
        </w:rPr>
        <w:t>02</w:t>
      </w:r>
      <w:r>
        <w:rPr>
          <w:rStyle w:val="15"/>
          <w:rFonts w:hint="eastAsia" w:ascii="仿宋" w:hAnsi="仿宋" w:eastAsia="仿宋"/>
          <w:b w:val="0"/>
          <w:bCs/>
          <w:sz w:val="32"/>
          <w:szCs w:val="32"/>
        </w:rPr>
        <w:t>（款）</w:t>
      </w:r>
      <w:r>
        <w:rPr>
          <w:rFonts w:hint="eastAsia" w:ascii="仿宋" w:hAnsi="仿宋" w:eastAsia="仿宋"/>
          <w:b/>
          <w:sz w:val="32"/>
          <w:szCs w:val="32"/>
        </w:rPr>
        <w:t>01</w:t>
      </w:r>
      <w:r>
        <w:rPr>
          <w:rStyle w:val="15"/>
          <w:rFonts w:hint="eastAsia" w:ascii="仿宋" w:hAnsi="仿宋" w:eastAsia="仿宋"/>
          <w:b w:val="0"/>
          <w:bCs/>
          <w:sz w:val="32"/>
          <w:szCs w:val="32"/>
        </w:rPr>
        <w:t>（项）</w:t>
      </w:r>
      <w:r>
        <w:rPr>
          <w:rStyle w:val="15"/>
          <w:rFonts w:hint="eastAsia" w:ascii="仿宋" w:hAnsi="仿宋" w:eastAsia="仿宋"/>
          <w:bCs/>
          <w:sz w:val="32"/>
          <w:szCs w:val="32"/>
        </w:rPr>
        <w:t>:</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39.99万元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7.其他229</w:t>
      </w:r>
      <w:r>
        <w:rPr>
          <w:rStyle w:val="15"/>
          <w:rFonts w:hint="eastAsia" w:ascii="仿宋" w:hAnsi="仿宋" w:eastAsia="仿宋"/>
          <w:b w:val="0"/>
          <w:bCs/>
          <w:sz w:val="32"/>
          <w:szCs w:val="32"/>
        </w:rPr>
        <w:t>（类）</w:t>
      </w:r>
      <w:r>
        <w:rPr>
          <w:rFonts w:hint="eastAsia" w:ascii="仿宋" w:hAnsi="仿宋" w:eastAsia="仿宋"/>
          <w:b/>
          <w:sz w:val="32"/>
          <w:szCs w:val="32"/>
        </w:rPr>
        <w:t>60</w:t>
      </w:r>
      <w:r>
        <w:rPr>
          <w:rStyle w:val="15"/>
          <w:rFonts w:hint="eastAsia" w:ascii="仿宋" w:hAnsi="仿宋" w:eastAsia="仿宋"/>
          <w:b w:val="0"/>
          <w:bCs/>
          <w:sz w:val="32"/>
          <w:szCs w:val="32"/>
        </w:rPr>
        <w:t>（款）</w:t>
      </w:r>
      <w:r>
        <w:rPr>
          <w:rFonts w:hint="eastAsia" w:ascii="仿宋" w:hAnsi="仿宋" w:eastAsia="仿宋"/>
          <w:b/>
          <w:sz w:val="32"/>
          <w:szCs w:val="32"/>
        </w:rPr>
        <w:t>99</w:t>
      </w:r>
      <w:r>
        <w:rPr>
          <w:rStyle w:val="15"/>
          <w:rFonts w:hint="eastAsia" w:ascii="仿宋" w:hAnsi="仿宋" w:eastAsia="仿宋"/>
          <w:b w:val="0"/>
          <w:bCs/>
          <w:sz w:val="32"/>
          <w:szCs w:val="32"/>
        </w:rPr>
        <w:t>（项）:</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0万元</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8年一般公共预算财政拨款基本支出656.54万元，其中：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594.61万元，主要包括：基本工资、津贴补贴、绩效工资、机关事业单位基本养老保险费、职业年金缴费、职工基本医疗保险缴费、其他社会保障缴费、住房公积金、抚恤金、生活补助、助学金、奖励金等。</w:t>
      </w:r>
    </w:p>
    <w:p>
      <w:pPr>
        <w:spacing w:line="600" w:lineRule="exact"/>
        <w:ind w:firstLine="645"/>
        <w:rPr>
          <w:rFonts w:ascii="仿宋" w:hAnsi="仿宋" w:eastAsia="仿宋"/>
          <w:sz w:val="32"/>
          <w:szCs w:val="32"/>
        </w:rPr>
      </w:pPr>
      <w:r>
        <w:rPr>
          <w:rFonts w:hint="eastAsia" w:ascii="仿宋" w:hAnsi="仿宋" w:eastAsia="仿宋"/>
          <w:sz w:val="32"/>
          <w:szCs w:val="32"/>
        </w:rPr>
        <w:t>公用经费61.93万元，主要包括：办公费、咨询费、水费、电费、差旅费、维修（护）费、培训费、专用材料费、劳务费、工会经费、其他商品和服务支出等。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hint="eastAsia" w:ascii="仿宋" w:hAnsi="仿宋" w:eastAsia="仿宋"/>
          <w:b/>
          <w:sz w:val="32"/>
          <w:szCs w:val="32"/>
          <w:lang w:eastAsia="zh-CN"/>
        </w:rPr>
      </w:pPr>
      <w:r>
        <w:rPr>
          <w:rFonts w:ascii="仿宋" w:hAnsi="仿宋" w:eastAsia="仿宋"/>
          <w:sz w:val="32"/>
          <w:szCs w:val="32"/>
        </w:rPr>
        <w:t>201</w:t>
      </w:r>
      <w:r>
        <w:rPr>
          <w:rFonts w:hint="eastAsia" w:ascii="仿宋" w:hAnsi="仿宋" w:eastAsia="仿宋"/>
          <w:sz w:val="32"/>
          <w:szCs w:val="32"/>
        </w:rPr>
        <w:t>8年“三公”经费财政拨款支出决算为0万元</w:t>
      </w:r>
      <w:r>
        <w:rPr>
          <w:rFonts w:hint="eastAsia" w:ascii="仿宋" w:hAnsi="仿宋" w:eastAsia="仿宋"/>
          <w:sz w:val="32"/>
          <w:szCs w:val="32"/>
          <w:lang w:eastAsia="zh-CN"/>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8年“三公”经费财政拨款支出决算中，因公出国（境）费支出决算0万元；公务用车购置及运行维护费支出决算0万元；公务接待费支出决算0万元。具体情况如下：</w:t>
      </w:r>
    </w:p>
    <w:p>
      <w:pPr>
        <w:ind w:firstLine="640"/>
        <w:rPr>
          <w:rFonts w:ascii="仿宋" w:hAnsi="仿宋" w:eastAsia="仿宋"/>
          <w:sz w:val="32"/>
          <w:szCs w:val="32"/>
        </w:rPr>
      </w:pPr>
      <w:r>
        <w:rPr>
          <w:rFonts w:hint="eastAsia" w:ascii="仿宋" w:hAnsi="仿宋" w:eastAsia="仿宋"/>
          <w:sz w:val="32"/>
          <w:szCs w:val="32"/>
        </w:rPr>
        <w:t>（图7：“三公”经费财政拨款支出结构）（饼状图）</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7325" cy="3390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67325" cy="3390900"/>
                          </a:xfrm>
                          <a:prstGeom prst="rect">
                            <a:avLst/>
                          </a:prstGeom>
                          <a:noFill/>
                          <a:ln>
                            <a:noFill/>
                          </a:ln>
                        </pic:spPr>
                      </pic:pic>
                    </a:graphicData>
                  </a:graphic>
                </wp:inline>
              </w:drawing>
            </w:r>
          </w:p>
        </w:tc>
      </w:tr>
    </w:tbl>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hint="eastAsia" w:ascii="仿宋_GB2312" w:eastAsia="仿宋_GB2312"/>
          <w:sz w:val="32"/>
          <w:szCs w:val="32"/>
          <w:lang w:eastAsia="zh-CN"/>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主要用于执行公务、开展业务活动开支的交通费、住宿费、用餐费等。国内公务接待0批次，0人次（不包括陪同人员），共计支出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6" w:name="_Toc15377218"/>
      <w:bookmarkStart w:id="47" w:name="_Toc15396610"/>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8年政府性基金预算拨款支出</w:t>
      </w:r>
      <w:r>
        <w:rPr>
          <w:rFonts w:hint="eastAsia" w:ascii="仿宋" w:hAnsi="仿宋" w:eastAsia="仿宋"/>
          <w:sz w:val="32"/>
          <w:szCs w:val="32"/>
        </w:rPr>
        <w:t>67.01</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8年国有资本经营预算拨款支出0万元。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校在年初预算编制阶段，组织对民生工程、民生工程以外人员经费、办公经费项目开展了预算事前绩效评估，对民生工程、民生工程以外人员经费、办公经费项目编制了绩效目标，预算执行过程中，选取民生工程以外人员经费项目开展绩效监控，年终执行完毕后，对民生工程以外人员经费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完成了年度主要任务，严格控制经费合理正确使用。本部门还自行组织了民生工程以外人员经费项目绩效评价，从评价情况来看圆满完成了该项目的预算目标，数量指标、质量指标、时效指标、满意度指标均达100%。</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本部门在2018年度部门决算中反映“民生工程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民生工程以外人员经费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“办公经费”等3个项目绩效目标实际完成情况。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民生工程项目绩效目标完成情况综述。项目全年预算数</w:t>
      </w:r>
      <w:r>
        <w:rPr>
          <w:rFonts w:hint="eastAsia" w:ascii="仿宋" w:hAnsi="仿宋" w:eastAsia="仿宋"/>
          <w:sz w:val="32"/>
          <w:szCs w:val="32"/>
        </w:rPr>
        <w:t>20.93</w:t>
      </w:r>
      <w:r>
        <w:rPr>
          <w:rFonts w:hint="eastAsia" w:ascii="仿宋_GB2312" w:hAnsi="仿宋_GB2312" w:eastAsia="仿宋_GB2312" w:cs="仿宋_GB2312"/>
          <w:sz w:val="32"/>
          <w:szCs w:val="32"/>
        </w:rPr>
        <w:t>万元，执行数为</w:t>
      </w:r>
      <w:r>
        <w:rPr>
          <w:rFonts w:hint="eastAsia" w:ascii="仿宋" w:hAnsi="仿宋" w:eastAsia="仿宋"/>
          <w:sz w:val="32"/>
          <w:szCs w:val="32"/>
        </w:rPr>
        <w:t>20.93</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民生工程以外人员经费项目绩效目标完成情况综述。项目全年预算数</w:t>
      </w:r>
      <w:r>
        <w:rPr>
          <w:rFonts w:hint="eastAsia" w:ascii="仿宋" w:hAnsi="仿宋" w:eastAsia="仿宋"/>
          <w:sz w:val="32"/>
          <w:szCs w:val="32"/>
        </w:rPr>
        <w:t>573.68</w:t>
      </w:r>
      <w:r>
        <w:rPr>
          <w:rFonts w:hint="eastAsia" w:ascii="仿宋_GB2312" w:hAnsi="仿宋_GB2312" w:eastAsia="仿宋_GB2312" w:cs="仿宋_GB2312"/>
          <w:sz w:val="32"/>
          <w:szCs w:val="32"/>
        </w:rPr>
        <w:t>万元，执行数为</w:t>
      </w:r>
      <w:r>
        <w:rPr>
          <w:rFonts w:hint="eastAsia" w:ascii="仿宋" w:hAnsi="仿宋" w:eastAsia="仿宋"/>
          <w:sz w:val="32"/>
          <w:szCs w:val="32"/>
        </w:rPr>
        <w:t>573.68</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%。通过项目实施，保障了教职工的各项合法权益，调动了全体教职工的工作积极性。发现的主要问题：无。</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办公经费项目绩效目标完成情况综述。项目全年预算数</w:t>
      </w:r>
      <w:r>
        <w:rPr>
          <w:rFonts w:hint="eastAsia" w:ascii="仿宋" w:hAnsi="仿宋" w:eastAsia="仿宋"/>
          <w:sz w:val="32"/>
          <w:szCs w:val="32"/>
        </w:rPr>
        <w:t>61.93</w:t>
      </w:r>
      <w:r>
        <w:rPr>
          <w:rFonts w:hint="eastAsia" w:ascii="仿宋_GB2312" w:hAnsi="仿宋_GB2312" w:eastAsia="仿宋_GB2312" w:cs="仿宋_GB2312"/>
          <w:sz w:val="32"/>
          <w:szCs w:val="32"/>
        </w:rPr>
        <w:t>万元，执行数为</w:t>
      </w:r>
      <w:r>
        <w:rPr>
          <w:rFonts w:hint="eastAsia" w:ascii="仿宋" w:hAnsi="仿宋" w:eastAsia="仿宋"/>
          <w:sz w:val="32"/>
          <w:szCs w:val="32"/>
        </w:rPr>
        <w:t>61.93</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%。通过项目实施，保障学校正常开展的各项活动，发现的主要问题：无。</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达川区金垭镇中心学校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20.93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20.93</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20.93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20.93</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足额发放免作业本费、免保教费、学生营养餐、贫困住校生补助、食堂购买服务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学生家庭享受资助情况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spacing w:line="580" w:lineRule="exact"/>
        <w:ind w:left="640"/>
        <w:rPr>
          <w:rFonts w:ascii="仿宋" w:hAnsi="仿宋" w:eastAsia="仿宋"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民生工程以外人员经费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达川区金垭镇中心学校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573.68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573.68</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573.68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573.68</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足额发放在职教师工资、购买养老保险、职业年金、医保、工伤、住房公积金、工会经费及临聘人员的工资补助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人员经费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享受补助情况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全部及时得到补助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全部及时得到补助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r>
    </w:tbl>
    <w:p>
      <w:pPr>
        <w:spacing w:line="580" w:lineRule="exact"/>
        <w:ind w:left="640"/>
        <w:rPr>
          <w:rFonts w:ascii="仿宋" w:hAnsi="仿宋" w:eastAsia="仿宋"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达川区金垭镇中心学校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61.93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61.93</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61.93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61.93</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足额补助学校的办公经费包括办公费、电费、邮电费、差旅费、培训费、维修（护）费、公务接待费、专用材料费及其他商服务支出等办公经费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按既定目标全额补助</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应补尽补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应补尽补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享受补助情况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及时得到补助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及时得到补助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spacing w:line="580" w:lineRule="exact"/>
        <w:ind w:left="640"/>
        <w:rPr>
          <w:rFonts w:ascii="仿宋" w:hAnsi="仿宋" w:eastAsia="仿宋"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本部门按要求对2018年部门整体支出绩效评价情况开展自评，《达川区金垭镇中心学校2018年</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支出绩效评价报告》见附件。</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本部门自行组织对人员经费项目开展了绩效评价，《达川区金垭镇中心学校项目2018年绩效评价报告》见附件。</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rPr>
          <w:rFonts w:hint="eastAsia" w:ascii="仿宋" w:hAnsi="仿宋" w:eastAsia="仿宋_GB2312"/>
          <w:b/>
          <w:sz w:val="32"/>
          <w:szCs w:val="32"/>
          <w:lang w:eastAsia="zh-CN"/>
        </w:rPr>
      </w:pPr>
      <w:r>
        <w:rPr>
          <w:rFonts w:hint="eastAsia" w:ascii="仿宋_GB2312" w:eastAsia="仿宋_GB2312"/>
          <w:sz w:val="32"/>
          <w:szCs w:val="32"/>
          <w:lang w:eastAsia="zh-CN"/>
        </w:rPr>
        <w:t>本单位属于事业单位，机关运行经费无支出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lang w:eastAsia="zh-CN"/>
        </w:rPr>
        <w:t>本单位本年度无政府采购支出</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bookmarkStart w:id="76" w:name="_GoBack"/>
      <w:bookmarkEnd w:id="76"/>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lang w:eastAsia="zh-CN"/>
        </w:rPr>
        <w:t>本单位国有</w:t>
      </w:r>
      <w:r>
        <w:rPr>
          <w:rFonts w:hint="eastAsia" w:ascii="仿宋" w:hAnsi="仿宋" w:eastAsia="仿宋"/>
          <w:b w:val="0"/>
          <w:bCs/>
          <w:sz w:val="32"/>
          <w:szCs w:val="32"/>
        </w:rPr>
        <w:t>资产</w:t>
      </w:r>
      <w:r>
        <w:rPr>
          <w:rFonts w:hint="eastAsia" w:ascii="仿宋_GB2312" w:eastAsia="仿宋_GB2312"/>
          <w:sz w:val="32"/>
          <w:szCs w:val="32"/>
        </w:rPr>
        <w:t>无</w:t>
      </w:r>
      <w:r>
        <w:rPr>
          <w:rFonts w:hint="eastAsia" w:ascii="仿宋_GB2312" w:eastAsia="仿宋_GB2312"/>
          <w:sz w:val="32"/>
          <w:szCs w:val="32"/>
          <w:lang w:eastAsia="zh-CN"/>
        </w:rPr>
        <w:t>出租出售情况</w:t>
      </w:r>
      <w:r>
        <w:rPr>
          <w:rFonts w:hint="eastAsia" w:ascii="仿宋_GB2312" w:eastAsia="仿宋_GB2312"/>
          <w:sz w:val="32"/>
          <w:szCs w:val="32"/>
        </w:rPr>
        <w:t>。</w:t>
      </w:r>
    </w:p>
    <w:p>
      <w:pPr>
        <w:spacing w:line="600" w:lineRule="atLeast"/>
        <w:ind w:firstLine="643" w:firstLineChars="200"/>
        <w:rPr>
          <w:rFonts w:ascii="仿宋_GB2312" w:eastAsia="仿宋_GB2312"/>
          <w:b/>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6"/>
        </w:numPr>
        <w:spacing w:line="600" w:lineRule="exact"/>
        <w:ind w:firstLine="663"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事业收入：指事业单位开展专业业务活动及辅助活动取得的收入。学校保教费收入等。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 xml:space="preserve">一般公共服务 </w:t>
      </w:r>
      <w:r>
        <w:rPr>
          <w:rFonts w:hint="eastAsia" w:ascii="仿宋_GB2312" w:hAnsi="Times New Roman" w:eastAsia="仿宋_GB2312" w:cs="Times New Roman"/>
          <w:color w:val="auto"/>
          <w:kern w:val="2"/>
          <w:sz w:val="32"/>
          <w:szCs w:val="32"/>
        </w:rPr>
        <w:t>2011099</w:t>
      </w:r>
      <w:r>
        <w:rPr>
          <w:rFonts w:hint="eastAsia" w:ascii="仿宋_GB2312" w:eastAsia="仿宋_GB2312"/>
          <w:color w:val="auto"/>
          <w:sz w:val="32"/>
          <w:szCs w:val="32"/>
        </w:rPr>
        <w:t>：</w:t>
      </w:r>
      <w:r>
        <w:rPr>
          <w:rFonts w:hint="eastAsia" w:hAnsi="仿宋"/>
          <w:color w:val="auto"/>
          <w:sz w:val="32"/>
          <w:szCs w:val="32"/>
        </w:rPr>
        <w:t>指学校聘用三支一扶人员的一次性补贴支出。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教育2050201：指学校举办的学前教育支出。2050202：指学校举办的小前教育支出。2050203：指学校举办的初中教育支出。</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 xml:space="preserve">社会保障和就业 </w:t>
      </w:r>
      <w:r>
        <w:rPr>
          <w:rFonts w:ascii="仿宋_GB2312" w:eastAsia="仿宋_GB2312"/>
          <w:color w:val="auto"/>
          <w:sz w:val="32"/>
          <w:szCs w:val="32"/>
        </w:rPr>
        <w:t>2080505</w:t>
      </w:r>
      <w:r>
        <w:rPr>
          <w:rFonts w:hint="eastAsia" w:ascii="仿宋_GB2312" w:eastAsia="仿宋_GB2312"/>
          <w:color w:val="auto"/>
          <w:sz w:val="32"/>
          <w:szCs w:val="32"/>
        </w:rPr>
        <w:t>：</w:t>
      </w:r>
      <w:r>
        <w:rPr>
          <w:rFonts w:hint="eastAsia" w:hAnsi="仿宋"/>
          <w:color w:val="auto"/>
          <w:sz w:val="32"/>
          <w:szCs w:val="32"/>
        </w:rPr>
        <w:t>指学校在社会保障与就业方面的支出。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 xml:space="preserve">医疗卫生与计划生育 </w:t>
      </w:r>
      <w:r>
        <w:rPr>
          <w:rFonts w:ascii="仿宋_GB2312" w:eastAsia="仿宋_GB2312"/>
          <w:sz w:val="32"/>
          <w:szCs w:val="32"/>
        </w:rPr>
        <w:t>2100502</w:t>
      </w:r>
      <w:r>
        <w:rPr>
          <w:rFonts w:hint="eastAsia" w:ascii="仿宋_GB2312" w:eastAsia="仿宋_GB2312"/>
          <w:sz w:val="32"/>
          <w:szCs w:val="32"/>
        </w:rPr>
        <w:t>：指学校用于教职工医疗保险方面的支出。</w:t>
      </w:r>
    </w:p>
    <w:p>
      <w:pPr>
        <w:pStyle w:val="23"/>
        <w:spacing w:line="560" w:lineRule="exact"/>
        <w:ind w:firstLine="640" w:firstLineChars="200"/>
        <w:rPr>
          <w:rFonts w:hAnsi="仿宋"/>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住房保障2210201：指</w:t>
      </w:r>
      <w:r>
        <w:rPr>
          <w:rFonts w:hint="eastAsia" w:hAnsi="仿宋"/>
          <w:color w:val="auto"/>
          <w:sz w:val="32"/>
          <w:szCs w:val="32"/>
        </w:rPr>
        <w:t>学校用于住房方面的支出。学校按人力资源和社会保障部、财政部规定的基本工资和津贴补贴以及规定比例为职工缴纳的住房公积金。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 xml:space="preserve">达川区金垭镇中心学校 </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w:t>
      </w:r>
      <w:r>
        <w:rPr>
          <w:rFonts w:hint="eastAsia" w:ascii="黑体" w:hAnsi="黑体" w:eastAsia="黑体" w:cs="方正小标宋简体"/>
          <w:sz w:val="36"/>
          <w:szCs w:val="36"/>
          <w:lang w:eastAsia="zh-CN"/>
        </w:rPr>
        <w:t>项目</w:t>
      </w:r>
      <w:r>
        <w:rPr>
          <w:rFonts w:hint="eastAsia" w:ascii="黑体" w:hAnsi="黑体" w:eastAsia="黑体" w:cs="方正小标宋简体"/>
          <w:sz w:val="36"/>
          <w:szCs w:val="36"/>
        </w:rPr>
        <w:t>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达川区金垭镇中心学校是一所九年一贯制学校，单位性质为：全额拨款事业单位，设立5个内设部门：教务处、政教处、安全办公室、党建办公室、后勤处。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2018年我校在职教职工50人，临聘人员11人。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8年本年收入合计747.5万元，其中：一般公共预算财政拨款收入674.44万元，占90.23%；政府性基金预算财政拨款收入67.01万元，占8.96%；国有资本经营预算财政拨款收入0万元，占0%；事业收入6.05万元，占0.81%；经营收入0万元，占0%；附属单位上缴收入0万元，占0%；其他收入0万元，占0%。</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8年本年支出合计729.59万元，其中：基本支出662.58万元，占90.82%；项目支出67.01万元，占9.18%；上缴上级支出0万元，占0%；经营支出0万元，占0%；对附属单位补助支出0万元，占0%。</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制定了切实有效的绩效预算目标并严格按照既定目标实施，执行总体较为有效、效果良好。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w:t>
      </w:r>
      <w:r>
        <w:rPr>
          <w:rFonts w:hint="eastAsia" w:ascii="仿宋" w:hAnsi="仿宋" w:eastAsia="仿宋" w:cs="仿宋_GB2312"/>
          <w:sz w:val="32"/>
          <w:szCs w:val="32"/>
        </w:rPr>
        <w:t>情况良好</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rPr>
        <w:t>较好</w:t>
      </w:r>
      <w:r>
        <w:rPr>
          <w:rFonts w:ascii="仿宋" w:hAnsi="仿宋" w:eastAsia="仿宋" w:cs="仿宋_GB2312"/>
          <w:sz w:val="32"/>
          <w:szCs w:val="32"/>
        </w:rPr>
        <w:t>、</w:t>
      </w:r>
      <w:r>
        <w:rPr>
          <w:rFonts w:hint="eastAsia" w:ascii="仿宋" w:hAnsi="仿宋" w:eastAsia="仿宋" w:cs="仿宋_GB2312"/>
          <w:sz w:val="32"/>
          <w:szCs w:val="32"/>
        </w:rPr>
        <w:t>做到</w:t>
      </w:r>
      <w:r>
        <w:rPr>
          <w:rFonts w:ascii="仿宋" w:hAnsi="仿宋" w:eastAsia="仿宋" w:cs="仿宋_GB2312"/>
          <w:sz w:val="32"/>
          <w:szCs w:val="32"/>
        </w:rPr>
        <w:t>绩效目标公开和自评公开</w:t>
      </w:r>
      <w:r>
        <w:rPr>
          <w:rFonts w:hint="eastAsia" w:ascii="仿宋" w:hAnsi="仿宋" w:eastAsia="仿宋" w:cs="仿宋_GB2312"/>
          <w:sz w:val="32"/>
          <w:szCs w:val="32"/>
        </w:rPr>
        <w:t>同时做好</w:t>
      </w:r>
      <w:r>
        <w:rPr>
          <w:rFonts w:ascii="仿宋" w:hAnsi="仿宋" w:eastAsia="仿宋" w:cs="仿宋_GB2312"/>
          <w:sz w:val="32"/>
          <w:szCs w:val="32"/>
        </w:rPr>
        <w:t>评价结果整改和应用结果反馈</w:t>
      </w:r>
      <w:r>
        <w:rPr>
          <w:rFonts w:hint="eastAsia" w:ascii="仿宋" w:hAnsi="仿宋" w:eastAsia="仿宋" w:cs="仿宋_GB2312"/>
          <w:sz w:val="32"/>
          <w:szCs w:val="32"/>
        </w:rPr>
        <w:t>工作</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我校部门整体支出绩效评价结论为：良好。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预算财务分析工作须常态化，</w:t>
      </w:r>
      <w:r>
        <w:rPr>
          <w:rFonts w:hint="eastAsia" w:ascii="仿宋" w:hAnsi="仿宋" w:eastAsia="仿宋" w:cs="仿宋_GB2312"/>
          <w:sz w:val="32"/>
          <w:szCs w:val="32"/>
        </w:rPr>
        <w:t>预算编制有待更严格执行。预算编制与实际支出项目有的存在差异。</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预算财务分析工作常态化，定期做好预算支出财务分析，做好部门整体支出预算评价工作。</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61" w:name="_Toc15396617"/>
      <w:r>
        <w:rPr>
          <w:rStyle w:val="25"/>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达川区金垭镇中心学校</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2018年民生工程以外人员经费项目支出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学校经费的大头是</w:t>
      </w:r>
      <w:r>
        <w:rPr>
          <w:rFonts w:hint="eastAsia" w:ascii="仿宋_GB2312" w:hAnsi="仿宋_GB2312" w:eastAsia="仿宋_GB2312" w:cs="仿宋_GB2312"/>
          <w:sz w:val="32"/>
          <w:szCs w:val="32"/>
        </w:rPr>
        <w:t>民生工程以外</w:t>
      </w:r>
      <w:r>
        <w:rPr>
          <w:rFonts w:hint="eastAsia" w:ascii="仿宋" w:hAnsi="仿宋" w:eastAsia="仿宋" w:cs="仿宋_GB2312"/>
          <w:sz w:val="32"/>
          <w:szCs w:val="32"/>
        </w:rPr>
        <w:t>人员经费，涉及全体教职员工的权益和福利，因此学校把这项费用纳入项目支出绩效评价。</w:t>
      </w:r>
      <w:r>
        <w:rPr>
          <w:rFonts w:ascii="仿宋" w:hAnsi="仿宋" w:eastAsia="仿宋" w:cs="仿宋_GB2312"/>
          <w:sz w:val="32"/>
          <w:szCs w:val="32"/>
        </w:rPr>
        <w:t>绩效目标设置</w:t>
      </w:r>
      <w:r>
        <w:rPr>
          <w:rFonts w:hint="eastAsia" w:ascii="仿宋" w:hAnsi="仿宋" w:eastAsia="仿宋" w:cs="仿宋_GB2312"/>
          <w:sz w:val="32"/>
          <w:szCs w:val="32"/>
        </w:rPr>
        <w:t>为是否足额发放在职教师工资、购买养老保险、职业年金、医保、工伤、住房公积金、工会经费及临聘人员的工资补助。</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w:t>
      </w:r>
      <w:r>
        <w:rPr>
          <w:rFonts w:hint="eastAsia" w:ascii="仿宋" w:hAnsi="仿宋" w:eastAsia="仿宋" w:cs="仿宋_GB2312"/>
          <w:sz w:val="32"/>
          <w:szCs w:val="32"/>
        </w:rPr>
        <w:t>分配</w:t>
      </w:r>
      <w:r>
        <w:rPr>
          <w:rFonts w:hint="eastAsia" w:ascii="仿宋" w:hAnsi="仿宋" w:eastAsia="仿宋"/>
          <w:sz w:val="32"/>
          <w:szCs w:val="32"/>
        </w:rPr>
        <w:t>573.68</w:t>
      </w:r>
      <w:r>
        <w:rPr>
          <w:rFonts w:hint="eastAsia" w:ascii="仿宋" w:hAnsi="仿宋" w:eastAsia="仿宋" w:cs="仿宋_GB2312"/>
          <w:sz w:val="32"/>
          <w:szCs w:val="32"/>
        </w:rPr>
        <w:t>万元，足额用于发放学校教职员工的工资、五险一金。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数量指标做到应享尽享，质量指标做到足额及时补助，时效指标做到全部及时补助，成本指标做到财政拨款及时到位</w:t>
      </w:r>
      <w:r>
        <w:rPr>
          <w:rFonts w:ascii="仿宋" w:hAnsi="仿宋" w:eastAsia="仿宋" w:cs="仿宋_GB2312"/>
          <w:sz w:val="32"/>
          <w:szCs w:val="32"/>
        </w:rPr>
        <w:t>，经济效益</w:t>
      </w:r>
      <w:r>
        <w:rPr>
          <w:rFonts w:hint="eastAsia" w:ascii="仿宋" w:hAnsi="仿宋" w:eastAsia="仿宋" w:cs="仿宋_GB2312"/>
          <w:sz w:val="32"/>
          <w:szCs w:val="32"/>
        </w:rPr>
        <w:t>为让全体教职员工全部及时得到补助，</w:t>
      </w:r>
      <w:r>
        <w:rPr>
          <w:rFonts w:ascii="仿宋" w:hAnsi="仿宋" w:eastAsia="仿宋" w:cs="仿宋_GB2312"/>
          <w:sz w:val="32"/>
          <w:szCs w:val="32"/>
        </w:rPr>
        <w:t>受益群体满意度</w:t>
      </w:r>
      <w:r>
        <w:rPr>
          <w:rFonts w:hint="eastAsia" w:ascii="仿宋" w:hAnsi="仿宋" w:eastAsia="仿宋" w:cs="仿宋_GB2312"/>
          <w:sz w:val="32"/>
          <w:szCs w:val="32"/>
        </w:rPr>
        <w:t>为满意</w:t>
      </w:r>
      <w:r>
        <w:rPr>
          <w:rFonts w:ascii="仿宋" w:hAnsi="仿宋" w:eastAsia="仿宋" w:cs="仿宋_GB2312"/>
          <w:sz w:val="32"/>
          <w:szCs w:val="32"/>
        </w:rPr>
        <w:t>。</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left="640"/>
        <w:rPr>
          <w:rFonts w:ascii="仿宋" w:hAnsi="仿宋" w:eastAsia="仿宋" w:cs="仿宋_GB2312"/>
          <w:sz w:val="32"/>
          <w:szCs w:val="32"/>
        </w:rPr>
      </w:pPr>
      <w:r>
        <w:rPr>
          <w:rFonts w:hint="eastAsia" w:ascii="仿宋" w:hAnsi="仿宋" w:eastAsia="仿宋" w:cs="仿宋_GB2312"/>
          <w:sz w:val="32"/>
          <w:szCs w:val="32"/>
        </w:rPr>
        <w:t>暂未发现问题。</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640"/>
        <w:rPr>
          <w:rStyle w:val="25"/>
          <w:rFonts w:ascii="仿宋" w:hAnsi="仿宋" w:eastAsia="仿宋" w:cs="仿宋_GB2312"/>
          <w:b w:val="0"/>
          <w:bCs w:val="0"/>
          <w:kern w:val="2"/>
          <w:sz w:val="32"/>
          <w:szCs w:val="32"/>
        </w:rPr>
      </w:pPr>
      <w:r>
        <w:rPr>
          <w:rStyle w:val="25"/>
          <w:rFonts w:hint="eastAsia" w:ascii="仿宋" w:hAnsi="仿宋" w:eastAsia="仿宋" w:cs="仿宋_GB2312"/>
          <w:b w:val="0"/>
          <w:bCs w:val="0"/>
          <w:kern w:val="2"/>
          <w:sz w:val="32"/>
          <w:szCs w:val="32"/>
        </w:rPr>
        <w:t>无。</w:t>
      </w: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600" w:lineRule="exact"/>
        <w:jc w:val="center"/>
        <w:outlineLvl w:val="0"/>
        <w:rPr>
          <w:rStyle w:val="25"/>
          <w:rFonts w:ascii="黑体" w:hAnsi="黑体" w:eastAsia="黑体"/>
          <w:b w:val="0"/>
        </w:rPr>
      </w:pPr>
      <w:bookmarkStart w:id="62" w:name="_Toc15396618"/>
      <w:r>
        <w:rPr>
          <w:rFonts w:hint="eastAsia" w:ascii="黑体" w:hAnsi="黑体" w:eastAsia="黑体"/>
          <w:sz w:val="44"/>
          <w:szCs w:val="44"/>
        </w:rPr>
        <w:t>第</w:t>
      </w:r>
      <w:r>
        <w:rPr>
          <w:rStyle w:val="25"/>
          <w:rFonts w:hint="eastAsia" w:ascii="黑体" w:hAnsi="黑体" w:eastAsia="黑体"/>
          <w:b w:val="0"/>
        </w:rPr>
        <w:t>五部分 附表</w:t>
      </w:r>
      <w:bookmarkEnd w:id="57"/>
      <w:bookmarkEnd w:id="62"/>
    </w:p>
    <w:p>
      <w:pPr>
        <w:spacing w:line="600" w:lineRule="exact"/>
        <w:jc w:val="center"/>
        <w:outlineLvl w:val="0"/>
        <w:rPr>
          <w:rFonts w:ascii="仿宋" w:hAnsi="仿宋" w:eastAsia="仿宋"/>
          <w:b/>
          <w:sz w:val="44"/>
          <w:szCs w:val="44"/>
        </w:rPr>
      </w:pPr>
    </w:p>
    <w:p>
      <w:pPr>
        <w:pStyle w:val="3"/>
        <w:rPr>
          <w:rFonts w:ascii="仿宋" w:hAnsi="仿宋" w:eastAsia="仿宋"/>
        </w:rPr>
      </w:pPr>
      <w:bookmarkStart w:id="63" w:name="_Toc15396619"/>
      <w:r>
        <w:rPr>
          <w:rFonts w:hint="eastAsia" w:ascii="仿宋" w:hAnsi="仿宋" w:eastAsia="仿宋"/>
          <w:b w:val="0"/>
        </w:rPr>
        <w:t>一、收</w:t>
      </w:r>
      <w:r>
        <w:rPr>
          <w:rStyle w:val="26"/>
          <w:rFonts w:hint="eastAsia" w:ascii="仿宋" w:hAnsi="仿宋" w:eastAsia="仿宋"/>
          <w:b w:val="0"/>
          <w:bCs w:val="0"/>
        </w:rPr>
        <w:t>入支出决算总表</w:t>
      </w:r>
      <w:bookmarkEnd w:id="63"/>
    </w:p>
    <w:p>
      <w:pPr>
        <w:pStyle w:val="3"/>
        <w:rPr>
          <w:rFonts w:ascii="仿宋" w:hAnsi="仿宋" w:eastAsia="仿宋"/>
        </w:rPr>
      </w:pPr>
      <w:bookmarkStart w:id="64" w:name="_Toc15396620"/>
      <w:r>
        <w:rPr>
          <w:rFonts w:hint="eastAsia" w:ascii="仿宋" w:hAnsi="仿宋" w:eastAsia="仿宋"/>
          <w:b w:val="0"/>
        </w:rPr>
        <w:t>二、收</w:t>
      </w:r>
      <w:r>
        <w:rPr>
          <w:rStyle w:val="26"/>
          <w:rFonts w:hint="eastAsia" w:ascii="仿宋" w:hAnsi="仿宋" w:eastAsia="仿宋"/>
          <w:b w:val="0"/>
          <w:bCs w:val="0"/>
        </w:rPr>
        <w:t>入总表</w:t>
      </w:r>
      <w:bookmarkEnd w:id="64"/>
    </w:p>
    <w:p>
      <w:pPr>
        <w:pStyle w:val="3"/>
        <w:rPr>
          <w:rFonts w:ascii="仿宋" w:hAnsi="仿宋" w:eastAsia="仿宋"/>
        </w:rPr>
      </w:pPr>
      <w:bookmarkStart w:id="65"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出总表</w:t>
      </w:r>
      <w:bookmarkEnd w:id="65"/>
    </w:p>
    <w:p>
      <w:pPr>
        <w:pStyle w:val="3"/>
        <w:rPr>
          <w:rFonts w:ascii="仿宋" w:hAnsi="仿宋" w:eastAsia="仿宋"/>
          <w:b w:val="0"/>
        </w:rPr>
      </w:pPr>
      <w:bookmarkStart w:id="66"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6"/>
    </w:p>
    <w:p>
      <w:pPr>
        <w:pStyle w:val="3"/>
        <w:rPr>
          <w:rFonts w:ascii="仿宋" w:hAnsi="仿宋" w:eastAsia="仿宋"/>
        </w:rPr>
      </w:pPr>
      <w:bookmarkStart w:id="67"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rPr>
      </w:pPr>
      <w:bookmarkStart w:id="68" w:name="_Toc15396624"/>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rPr>
      </w:pPr>
      <w:bookmarkStart w:id="69"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rPr>
      </w:pPr>
      <w:bookmarkStart w:id="70"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rPr>
      </w:pPr>
      <w:bookmarkStart w:id="71"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rPr>
      </w:pPr>
      <w:bookmarkStart w:id="72"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rPr>
      </w:pPr>
      <w:bookmarkStart w:id="73"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rPr>
      </w:pPr>
      <w:bookmarkStart w:id="74"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rPr>
      </w:pPr>
      <w:bookmarkStart w:id="75"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29ED"/>
    <w:rsid w:val="000222C6"/>
    <w:rsid w:val="0002549F"/>
    <w:rsid w:val="000317A9"/>
    <w:rsid w:val="00034B62"/>
    <w:rsid w:val="000433AD"/>
    <w:rsid w:val="0006487A"/>
    <w:rsid w:val="00065F8F"/>
    <w:rsid w:val="000768F2"/>
    <w:rsid w:val="00087BCE"/>
    <w:rsid w:val="0009184B"/>
    <w:rsid w:val="0009593C"/>
    <w:rsid w:val="000A76B5"/>
    <w:rsid w:val="000B047F"/>
    <w:rsid w:val="000B5923"/>
    <w:rsid w:val="000B5A48"/>
    <w:rsid w:val="000B6FF3"/>
    <w:rsid w:val="000C3467"/>
    <w:rsid w:val="000C3CA6"/>
    <w:rsid w:val="000C621C"/>
    <w:rsid w:val="000D1267"/>
    <w:rsid w:val="000D1D50"/>
    <w:rsid w:val="000D293F"/>
    <w:rsid w:val="000D552F"/>
    <w:rsid w:val="000D5782"/>
    <w:rsid w:val="000D724A"/>
    <w:rsid w:val="000E6613"/>
    <w:rsid w:val="000E7119"/>
    <w:rsid w:val="00114E9B"/>
    <w:rsid w:val="00140A23"/>
    <w:rsid w:val="00144650"/>
    <w:rsid w:val="0014729F"/>
    <w:rsid w:val="00157BAB"/>
    <w:rsid w:val="001654D1"/>
    <w:rsid w:val="00180AC2"/>
    <w:rsid w:val="0018106D"/>
    <w:rsid w:val="00185F81"/>
    <w:rsid w:val="001877A7"/>
    <w:rsid w:val="0019150A"/>
    <w:rsid w:val="00191536"/>
    <w:rsid w:val="00196687"/>
    <w:rsid w:val="001A712A"/>
    <w:rsid w:val="001C0962"/>
    <w:rsid w:val="001C1DF1"/>
    <w:rsid w:val="001D7531"/>
    <w:rsid w:val="001E737D"/>
    <w:rsid w:val="001F0592"/>
    <w:rsid w:val="001F7506"/>
    <w:rsid w:val="001F7B9D"/>
    <w:rsid w:val="002006CD"/>
    <w:rsid w:val="00202B36"/>
    <w:rsid w:val="00204B7A"/>
    <w:rsid w:val="0021101A"/>
    <w:rsid w:val="00216C21"/>
    <w:rsid w:val="00220536"/>
    <w:rsid w:val="00235629"/>
    <w:rsid w:val="00244457"/>
    <w:rsid w:val="00254518"/>
    <w:rsid w:val="00260C38"/>
    <w:rsid w:val="002616C0"/>
    <w:rsid w:val="002617DA"/>
    <w:rsid w:val="002662AA"/>
    <w:rsid w:val="0027365B"/>
    <w:rsid w:val="00275891"/>
    <w:rsid w:val="00280496"/>
    <w:rsid w:val="00295495"/>
    <w:rsid w:val="002A09B6"/>
    <w:rsid w:val="002B009B"/>
    <w:rsid w:val="002B2613"/>
    <w:rsid w:val="002B72EE"/>
    <w:rsid w:val="002D0309"/>
    <w:rsid w:val="002F1818"/>
    <w:rsid w:val="002F567B"/>
    <w:rsid w:val="00315E55"/>
    <w:rsid w:val="003216A9"/>
    <w:rsid w:val="00326C11"/>
    <w:rsid w:val="00366360"/>
    <w:rsid w:val="0037013F"/>
    <w:rsid w:val="00380C92"/>
    <w:rsid w:val="0038245D"/>
    <w:rsid w:val="0038593C"/>
    <w:rsid w:val="003A484F"/>
    <w:rsid w:val="003B06F3"/>
    <w:rsid w:val="003B0BE0"/>
    <w:rsid w:val="003B0C1B"/>
    <w:rsid w:val="003B2C39"/>
    <w:rsid w:val="003B3D42"/>
    <w:rsid w:val="003B6698"/>
    <w:rsid w:val="003B688C"/>
    <w:rsid w:val="003C0291"/>
    <w:rsid w:val="003C39AE"/>
    <w:rsid w:val="003C7B60"/>
    <w:rsid w:val="003D1C72"/>
    <w:rsid w:val="003D1FB2"/>
    <w:rsid w:val="003D66DA"/>
    <w:rsid w:val="003E1310"/>
    <w:rsid w:val="003E6F55"/>
    <w:rsid w:val="00406254"/>
    <w:rsid w:val="004223DE"/>
    <w:rsid w:val="00423AE8"/>
    <w:rsid w:val="00434489"/>
    <w:rsid w:val="00435B25"/>
    <w:rsid w:val="00437085"/>
    <w:rsid w:val="00443880"/>
    <w:rsid w:val="0044445D"/>
    <w:rsid w:val="004464F4"/>
    <w:rsid w:val="00461BB5"/>
    <w:rsid w:val="00471401"/>
    <w:rsid w:val="004720A1"/>
    <w:rsid w:val="00473F31"/>
    <w:rsid w:val="0048263A"/>
    <w:rsid w:val="00485BE4"/>
    <w:rsid w:val="00487E5D"/>
    <w:rsid w:val="004A711F"/>
    <w:rsid w:val="004B199D"/>
    <w:rsid w:val="004B4690"/>
    <w:rsid w:val="004E0A2D"/>
    <w:rsid w:val="004E206B"/>
    <w:rsid w:val="004E6DF7"/>
    <w:rsid w:val="004F0FBD"/>
    <w:rsid w:val="004F1C74"/>
    <w:rsid w:val="004F6AF8"/>
    <w:rsid w:val="00505A47"/>
    <w:rsid w:val="00506EA7"/>
    <w:rsid w:val="00512FDA"/>
    <w:rsid w:val="0052008F"/>
    <w:rsid w:val="00520DA0"/>
    <w:rsid w:val="005664BB"/>
    <w:rsid w:val="0057481D"/>
    <w:rsid w:val="0057680D"/>
    <w:rsid w:val="0058486E"/>
    <w:rsid w:val="00595FB0"/>
    <w:rsid w:val="005A570F"/>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6343B"/>
    <w:rsid w:val="00664777"/>
    <w:rsid w:val="00670089"/>
    <w:rsid w:val="006748A4"/>
    <w:rsid w:val="00683E73"/>
    <w:rsid w:val="00686BC8"/>
    <w:rsid w:val="00691DDE"/>
    <w:rsid w:val="006932FC"/>
    <w:rsid w:val="006A3141"/>
    <w:rsid w:val="006A5E34"/>
    <w:rsid w:val="006B2422"/>
    <w:rsid w:val="006B2B9A"/>
    <w:rsid w:val="006B707A"/>
    <w:rsid w:val="006C1937"/>
    <w:rsid w:val="006E2588"/>
    <w:rsid w:val="006F020C"/>
    <w:rsid w:val="00705901"/>
    <w:rsid w:val="007127B7"/>
    <w:rsid w:val="00716D18"/>
    <w:rsid w:val="0072209D"/>
    <w:rsid w:val="00732457"/>
    <w:rsid w:val="00740C28"/>
    <w:rsid w:val="007416B6"/>
    <w:rsid w:val="007428E3"/>
    <w:rsid w:val="00746F48"/>
    <w:rsid w:val="0075404D"/>
    <w:rsid w:val="00760236"/>
    <w:rsid w:val="0076182A"/>
    <w:rsid w:val="0076191E"/>
    <w:rsid w:val="007677BF"/>
    <w:rsid w:val="00767B7E"/>
    <w:rsid w:val="007770C3"/>
    <w:rsid w:val="00784D24"/>
    <w:rsid w:val="00785FBA"/>
    <w:rsid w:val="00786E4A"/>
    <w:rsid w:val="007875EB"/>
    <w:rsid w:val="0079426B"/>
    <w:rsid w:val="007B3C57"/>
    <w:rsid w:val="007C1CAF"/>
    <w:rsid w:val="007D312A"/>
    <w:rsid w:val="007D3385"/>
    <w:rsid w:val="007D3F19"/>
    <w:rsid w:val="007E23B0"/>
    <w:rsid w:val="007E7583"/>
    <w:rsid w:val="007F1991"/>
    <w:rsid w:val="007F2C2F"/>
    <w:rsid w:val="007F448A"/>
    <w:rsid w:val="007F55FC"/>
    <w:rsid w:val="007F5665"/>
    <w:rsid w:val="00800112"/>
    <w:rsid w:val="008253BB"/>
    <w:rsid w:val="00833C26"/>
    <w:rsid w:val="0083706E"/>
    <w:rsid w:val="008423A5"/>
    <w:rsid w:val="00844DE7"/>
    <w:rsid w:val="00850625"/>
    <w:rsid w:val="00853718"/>
    <w:rsid w:val="00855221"/>
    <w:rsid w:val="00860645"/>
    <w:rsid w:val="00871F71"/>
    <w:rsid w:val="00885AF4"/>
    <w:rsid w:val="00885EB2"/>
    <w:rsid w:val="008939CD"/>
    <w:rsid w:val="008B31D5"/>
    <w:rsid w:val="008B666D"/>
    <w:rsid w:val="008B768C"/>
    <w:rsid w:val="008C4DB1"/>
    <w:rsid w:val="008C4EAF"/>
    <w:rsid w:val="008C5176"/>
    <w:rsid w:val="008C7FD0"/>
    <w:rsid w:val="008D4484"/>
    <w:rsid w:val="008E1DE7"/>
    <w:rsid w:val="008E707C"/>
    <w:rsid w:val="008F1F6C"/>
    <w:rsid w:val="008F2472"/>
    <w:rsid w:val="008F2D37"/>
    <w:rsid w:val="008F4482"/>
    <w:rsid w:val="00900B08"/>
    <w:rsid w:val="00902155"/>
    <w:rsid w:val="00902FA3"/>
    <w:rsid w:val="0091525E"/>
    <w:rsid w:val="00922F90"/>
    <w:rsid w:val="00923564"/>
    <w:rsid w:val="0092392E"/>
    <w:rsid w:val="00931537"/>
    <w:rsid w:val="009315F9"/>
    <w:rsid w:val="00946945"/>
    <w:rsid w:val="00951248"/>
    <w:rsid w:val="0095152F"/>
    <w:rsid w:val="00954C49"/>
    <w:rsid w:val="00961E76"/>
    <w:rsid w:val="0096407E"/>
    <w:rsid w:val="0097099F"/>
    <w:rsid w:val="00971997"/>
    <w:rsid w:val="00971FFC"/>
    <w:rsid w:val="009811A8"/>
    <w:rsid w:val="00985935"/>
    <w:rsid w:val="0098660A"/>
    <w:rsid w:val="009874B2"/>
    <w:rsid w:val="009931C3"/>
    <w:rsid w:val="009A0751"/>
    <w:rsid w:val="009B2C43"/>
    <w:rsid w:val="009B4EAE"/>
    <w:rsid w:val="009B7573"/>
    <w:rsid w:val="009C22F4"/>
    <w:rsid w:val="009C2E98"/>
    <w:rsid w:val="009D3447"/>
    <w:rsid w:val="009D4711"/>
    <w:rsid w:val="009E554C"/>
    <w:rsid w:val="009F1185"/>
    <w:rsid w:val="009F18CD"/>
    <w:rsid w:val="009F2A13"/>
    <w:rsid w:val="009F2D2D"/>
    <w:rsid w:val="009F4C53"/>
    <w:rsid w:val="00A04EB0"/>
    <w:rsid w:val="00A13CC1"/>
    <w:rsid w:val="00A16847"/>
    <w:rsid w:val="00A21E26"/>
    <w:rsid w:val="00A237D8"/>
    <w:rsid w:val="00A268C4"/>
    <w:rsid w:val="00A307CD"/>
    <w:rsid w:val="00A40A00"/>
    <w:rsid w:val="00A40D53"/>
    <w:rsid w:val="00A4142F"/>
    <w:rsid w:val="00A5230D"/>
    <w:rsid w:val="00A52F66"/>
    <w:rsid w:val="00A56DF2"/>
    <w:rsid w:val="00A67AB5"/>
    <w:rsid w:val="00A732FE"/>
    <w:rsid w:val="00A7628F"/>
    <w:rsid w:val="00A91760"/>
    <w:rsid w:val="00A93B00"/>
    <w:rsid w:val="00A93C21"/>
    <w:rsid w:val="00AC3C6A"/>
    <w:rsid w:val="00AD5620"/>
    <w:rsid w:val="00AD7C1B"/>
    <w:rsid w:val="00AE16BA"/>
    <w:rsid w:val="00AE1EBE"/>
    <w:rsid w:val="00AF38AB"/>
    <w:rsid w:val="00AF4F30"/>
    <w:rsid w:val="00AF5C2C"/>
    <w:rsid w:val="00AF7433"/>
    <w:rsid w:val="00B03C9D"/>
    <w:rsid w:val="00B060AE"/>
    <w:rsid w:val="00B10517"/>
    <w:rsid w:val="00B14E76"/>
    <w:rsid w:val="00B161B8"/>
    <w:rsid w:val="00B177F2"/>
    <w:rsid w:val="00B2048C"/>
    <w:rsid w:val="00B2267D"/>
    <w:rsid w:val="00B310B9"/>
    <w:rsid w:val="00B33D33"/>
    <w:rsid w:val="00B35F3F"/>
    <w:rsid w:val="00B36CBB"/>
    <w:rsid w:val="00B425E0"/>
    <w:rsid w:val="00B42FB5"/>
    <w:rsid w:val="00B440AA"/>
    <w:rsid w:val="00B44B70"/>
    <w:rsid w:val="00B47DAA"/>
    <w:rsid w:val="00B53C56"/>
    <w:rsid w:val="00B575DB"/>
    <w:rsid w:val="00B77EA6"/>
    <w:rsid w:val="00B80C8A"/>
    <w:rsid w:val="00B81598"/>
    <w:rsid w:val="00B841F1"/>
    <w:rsid w:val="00B944D6"/>
    <w:rsid w:val="00B975CC"/>
    <w:rsid w:val="00BB4DF0"/>
    <w:rsid w:val="00BC289F"/>
    <w:rsid w:val="00BC5361"/>
    <w:rsid w:val="00BC5460"/>
    <w:rsid w:val="00BC6B50"/>
    <w:rsid w:val="00BD0E25"/>
    <w:rsid w:val="00BD4DA9"/>
    <w:rsid w:val="00BF5BD6"/>
    <w:rsid w:val="00C03E31"/>
    <w:rsid w:val="00C0410F"/>
    <w:rsid w:val="00C107FF"/>
    <w:rsid w:val="00C33E72"/>
    <w:rsid w:val="00C354B2"/>
    <w:rsid w:val="00C35554"/>
    <w:rsid w:val="00C42709"/>
    <w:rsid w:val="00C533CC"/>
    <w:rsid w:val="00C54E85"/>
    <w:rsid w:val="00C559E3"/>
    <w:rsid w:val="00C5751C"/>
    <w:rsid w:val="00C61BFC"/>
    <w:rsid w:val="00C62B85"/>
    <w:rsid w:val="00C65438"/>
    <w:rsid w:val="00C84A36"/>
    <w:rsid w:val="00C91CBB"/>
    <w:rsid w:val="00CC09B6"/>
    <w:rsid w:val="00CC666F"/>
    <w:rsid w:val="00CD1E3F"/>
    <w:rsid w:val="00CE44F6"/>
    <w:rsid w:val="00CE49DA"/>
    <w:rsid w:val="00CE6F6B"/>
    <w:rsid w:val="00CE7B61"/>
    <w:rsid w:val="00D00095"/>
    <w:rsid w:val="00D14591"/>
    <w:rsid w:val="00D20620"/>
    <w:rsid w:val="00D26091"/>
    <w:rsid w:val="00D34E7C"/>
    <w:rsid w:val="00D35489"/>
    <w:rsid w:val="00D4346B"/>
    <w:rsid w:val="00D43811"/>
    <w:rsid w:val="00D51276"/>
    <w:rsid w:val="00D7035F"/>
    <w:rsid w:val="00D71A44"/>
    <w:rsid w:val="00D928F7"/>
    <w:rsid w:val="00DA0754"/>
    <w:rsid w:val="00DA5D4F"/>
    <w:rsid w:val="00DA65AC"/>
    <w:rsid w:val="00DB1913"/>
    <w:rsid w:val="00DC410D"/>
    <w:rsid w:val="00DC68CA"/>
    <w:rsid w:val="00DC6FCA"/>
    <w:rsid w:val="00DC7CBA"/>
    <w:rsid w:val="00DD421E"/>
    <w:rsid w:val="00DD73B7"/>
    <w:rsid w:val="00DF28BC"/>
    <w:rsid w:val="00DF34B9"/>
    <w:rsid w:val="00DF5413"/>
    <w:rsid w:val="00E01053"/>
    <w:rsid w:val="00E07ACF"/>
    <w:rsid w:val="00E11FBF"/>
    <w:rsid w:val="00E22629"/>
    <w:rsid w:val="00E331A1"/>
    <w:rsid w:val="00E33202"/>
    <w:rsid w:val="00E336A9"/>
    <w:rsid w:val="00E50624"/>
    <w:rsid w:val="00E537A8"/>
    <w:rsid w:val="00E568DF"/>
    <w:rsid w:val="00E64269"/>
    <w:rsid w:val="00E64D62"/>
    <w:rsid w:val="00E71D79"/>
    <w:rsid w:val="00E7479E"/>
    <w:rsid w:val="00E82267"/>
    <w:rsid w:val="00E82DA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817FC"/>
    <w:rsid w:val="00F81FD9"/>
    <w:rsid w:val="00F841AA"/>
    <w:rsid w:val="00F9713D"/>
    <w:rsid w:val="00FA23E8"/>
    <w:rsid w:val="00FB05E0"/>
    <w:rsid w:val="00FD3CC1"/>
    <w:rsid w:val="00FE2B82"/>
    <w:rsid w:val="00FF1E02"/>
    <w:rsid w:val="00FF30B4"/>
    <w:rsid w:val="057F47C8"/>
    <w:rsid w:val="0870113C"/>
    <w:rsid w:val="0BC46FD2"/>
    <w:rsid w:val="10C055FF"/>
    <w:rsid w:val="16BB723D"/>
    <w:rsid w:val="182B3889"/>
    <w:rsid w:val="23943DA8"/>
    <w:rsid w:val="240371BF"/>
    <w:rsid w:val="29FD04D3"/>
    <w:rsid w:val="2C2B09A6"/>
    <w:rsid w:val="2C72086D"/>
    <w:rsid w:val="2C9D5E52"/>
    <w:rsid w:val="319F7F4E"/>
    <w:rsid w:val="38401C31"/>
    <w:rsid w:val="38775F50"/>
    <w:rsid w:val="395B2E7A"/>
    <w:rsid w:val="3A0375F1"/>
    <w:rsid w:val="3FAC04DF"/>
    <w:rsid w:val="57AE7F7A"/>
    <w:rsid w:val="59833BC0"/>
    <w:rsid w:val="68555BB7"/>
    <w:rsid w:val="714E0DE4"/>
    <w:rsid w:val="745F1823"/>
    <w:rsid w:val="758A17B4"/>
    <w:rsid w:val="7ACA271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99B671-856C-416E-8498-02391185524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1486</Words>
  <Characters>8476</Characters>
  <Lines>70</Lines>
  <Paragraphs>19</Paragraphs>
  <TotalTime>9</TotalTime>
  <ScaleCrop>false</ScaleCrop>
  <LinksUpToDate>false</LinksUpToDate>
  <CharactersWithSpaces>9943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2021-05-22T04:03:07Z</dcterms:modified>
  <dc:title>四川省***</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