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7" w:name="_GoBack"/>
      <w:bookmarkEnd w:id="7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96475"/>
      <w:bookmarkStart w:id="4" w:name="_Toc15377193"/>
      <w:bookmarkStart w:id="5" w:name="_Toc15378441"/>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476"/>
      <w:bookmarkStart w:id="8" w:name="_Toc15378442"/>
      <w:bookmarkStart w:id="9" w:name="_Toc15377194"/>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达州市达川区赵家镇中心卫生院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p/>
    <w:p>
      <w:pPr>
        <w:pStyle w:val="11"/>
        <w:bidi w:val="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w:t>
      </w:r>
      <w:r>
        <w:rPr>
          <w:rStyle w:val="15"/>
          <w:rFonts w:hint="eastAsia"/>
          <w:lang w:val="en-US" w:eastAsia="zh-CN"/>
        </w:rPr>
        <w:t>19</w:t>
      </w:r>
      <w:r>
        <w:rPr>
          <w:rStyle w:val="15"/>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23"/>
        <w:numPr>
          <w:ilvl w:val="0"/>
          <w:numId w:val="0"/>
        </w:numPr>
        <w:spacing w:line="580" w:lineRule="exact"/>
        <w:ind w:left="0" w:leftChars="0" w:firstLine="420" w:firstLineChars="150"/>
        <w:rPr>
          <w:rFonts w:hint="eastAsia" w:ascii="黑体" w:hAnsi="黑体" w:eastAsia="黑体" w:cstheme="majorBidi"/>
          <w:bCs/>
          <w:sz w:val="32"/>
          <w:szCs w:val="32"/>
        </w:rPr>
      </w:pPr>
      <w:r>
        <w:rPr>
          <w:rFonts w:hint="eastAsia" w:ascii="仿宋" w:hAnsi="仿宋" w:eastAsia="仿宋"/>
          <w:sz w:val="28"/>
          <w:szCs w:val="28"/>
          <w:lang w:val="en-US" w:eastAsia="zh-CN"/>
        </w:rPr>
        <w:t>十、</w:t>
      </w:r>
      <w:r>
        <w:rPr>
          <w:rStyle w:val="15"/>
          <w:rFonts w:hint="eastAsia" w:ascii="仿宋" w:hAnsi="仿宋" w:eastAsia="仿宋" w:cstheme="majorBidi"/>
          <w:bCs/>
          <w:kern w:val="2"/>
          <w:sz w:val="28"/>
          <w:szCs w:val="28"/>
          <w:lang w:val="en-US" w:eastAsia="zh-CN" w:bidi="ar-SA"/>
        </w:rPr>
        <w:t>预算绩效情况说明</w:t>
      </w:r>
      <w:r>
        <w:rPr>
          <w:rFonts w:ascii="仿宋" w:hAnsi="仿宋" w:eastAsia="仿宋"/>
          <w:sz w:val="28"/>
          <w:szCs w:val="28"/>
        </w:rPr>
        <w:tab/>
      </w:r>
      <w:r>
        <w:rPr>
          <w:rFonts w:hint="eastAsia" w:ascii="仿宋" w:hAnsi="仿宋" w:eastAsia="仿宋"/>
          <w:sz w:val="28"/>
          <w:szCs w:val="28"/>
          <w:lang w:val="en-US" w:eastAsia="zh-CN"/>
        </w:rPr>
        <w:t>.......................... ......12</w:t>
      </w:r>
    </w:p>
    <w:p>
      <w:pPr>
        <w:rPr>
          <w:rFonts w:hint="default" w:eastAsia="仿宋"/>
          <w:lang w:val="en-US" w:eastAsia="zh-CN"/>
        </w:rPr>
      </w:pP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17</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20</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26</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_GB2312" w:eastAsia="仿宋_GB2312"/>
          <w:color w:val="000000"/>
          <w:sz w:val="32"/>
          <w:szCs w:val="32"/>
          <w:lang w:eastAsia="zh-CN"/>
        </w:rPr>
        <w:t>我院是一所一级甲等中心卫生院，</w:t>
      </w:r>
      <w:r>
        <w:rPr>
          <w:rFonts w:hint="eastAsia" w:ascii="仿宋_GB2312" w:eastAsia="仿宋_GB2312"/>
          <w:color w:val="000000"/>
          <w:sz w:val="32"/>
          <w:szCs w:val="32"/>
        </w:rPr>
        <w:t>在地方政府和卫生行政部门领导下，根据党的方针、政策及市、区卫</w:t>
      </w:r>
      <w:r>
        <w:rPr>
          <w:rFonts w:hint="eastAsia" w:ascii="仿宋_GB2312" w:eastAsia="仿宋_GB2312"/>
          <w:color w:val="000000"/>
          <w:sz w:val="32"/>
          <w:szCs w:val="32"/>
          <w:lang w:eastAsia="zh-CN"/>
        </w:rPr>
        <w:t>计</w:t>
      </w:r>
      <w:r>
        <w:rPr>
          <w:rFonts w:hint="eastAsia" w:ascii="仿宋_GB2312" w:eastAsia="仿宋_GB2312"/>
          <w:color w:val="000000"/>
          <w:sz w:val="32"/>
          <w:szCs w:val="32"/>
        </w:rPr>
        <w:t>局对乡镇卫生服务工作的总体要求</w:t>
      </w:r>
      <w:r>
        <w:rPr>
          <w:rFonts w:hint="eastAsia" w:ascii="仿宋_GB2312" w:eastAsia="仿宋_GB2312"/>
          <w:color w:val="000000"/>
          <w:sz w:val="32"/>
          <w:szCs w:val="32"/>
          <w:lang w:eastAsia="zh-CN"/>
        </w:rPr>
        <w:t>，开展</w:t>
      </w:r>
      <w:r>
        <w:rPr>
          <w:rFonts w:hint="eastAsia" w:ascii="仿宋_GB2312" w:eastAsia="仿宋_GB2312"/>
          <w:color w:val="000000"/>
          <w:sz w:val="32"/>
          <w:szCs w:val="32"/>
        </w:rPr>
        <w:t>以老年、妇女、儿童和慢性病人为重点的集预防、医疗、保健、康复、健康教育、计划生育指导为一体的综合性卫生服务。</w:t>
      </w:r>
      <w:r>
        <w:rPr>
          <w:rFonts w:hint="eastAsia" w:ascii="仿宋_GB2312" w:eastAsia="仿宋_GB2312"/>
          <w:color w:val="000000"/>
          <w:sz w:val="32"/>
          <w:szCs w:val="32"/>
          <w:lang w:eastAsia="zh-CN"/>
        </w:rPr>
        <w:t>我院</w:t>
      </w:r>
      <w:r>
        <w:rPr>
          <w:rFonts w:ascii="仿宋_GB2312" w:hAnsi="仿宋" w:eastAsia="仿宋_GB2312"/>
          <w:sz w:val="32"/>
          <w:szCs w:val="32"/>
        </w:rPr>
        <w:t>下辖</w:t>
      </w:r>
      <w:r>
        <w:rPr>
          <w:rFonts w:hint="eastAsia" w:ascii="仿宋_GB2312" w:hAnsi="仿宋" w:eastAsia="仿宋_GB2312"/>
          <w:sz w:val="32"/>
          <w:szCs w:val="32"/>
          <w:lang w:val="en-US" w:eastAsia="zh-CN"/>
        </w:rPr>
        <w:t>12</w:t>
      </w:r>
      <w:r>
        <w:rPr>
          <w:rFonts w:ascii="仿宋_GB2312" w:hAnsi="仿宋" w:eastAsia="仿宋_GB2312"/>
          <w:sz w:val="32"/>
          <w:szCs w:val="32"/>
        </w:rPr>
        <w:t>个村卫生室</w:t>
      </w:r>
      <w:r>
        <w:rPr>
          <w:rFonts w:hint="eastAsia" w:ascii="仿宋_GB2312" w:hAnsi="仿宋" w:eastAsia="仿宋_GB2312"/>
          <w:sz w:val="32"/>
          <w:szCs w:val="32"/>
          <w:lang w:val="en-US" w:eastAsia="zh-CN"/>
        </w:rPr>
        <w:t>28</w:t>
      </w:r>
      <w:r>
        <w:rPr>
          <w:rFonts w:ascii="仿宋_GB2312" w:hAnsi="仿宋" w:eastAsia="仿宋_GB2312"/>
          <w:sz w:val="32"/>
          <w:szCs w:val="32"/>
        </w:rPr>
        <w:t>名乡村医生，</w:t>
      </w:r>
      <w:r>
        <w:rPr>
          <w:rFonts w:hint="eastAsia" w:ascii="仿宋_GB2312" w:eastAsia="仿宋_GB2312"/>
          <w:color w:val="000000"/>
          <w:sz w:val="32"/>
          <w:szCs w:val="32"/>
        </w:rPr>
        <w:t>现有在职职工共</w:t>
      </w:r>
      <w:r>
        <w:rPr>
          <w:rFonts w:hint="eastAsia"/>
          <w:color w:val="000000"/>
          <w:sz w:val="32"/>
          <w:szCs w:val="32"/>
          <w:lang w:val="en-US" w:eastAsia="zh-CN"/>
        </w:rPr>
        <w:t>68</w:t>
      </w:r>
      <w:r>
        <w:rPr>
          <w:rFonts w:hint="eastAsia" w:ascii="仿宋_GB2312" w:eastAsia="仿宋_GB2312"/>
          <w:color w:val="000000"/>
          <w:sz w:val="32"/>
          <w:szCs w:val="32"/>
        </w:rPr>
        <w:t>人，其中</w:t>
      </w:r>
      <w:r>
        <w:rPr>
          <w:rFonts w:hint="eastAsia" w:ascii="仿宋_GB2312" w:eastAsia="仿宋_GB2312"/>
          <w:color w:val="000000"/>
          <w:sz w:val="32"/>
          <w:szCs w:val="32"/>
          <w:lang w:eastAsia="zh-CN"/>
        </w:rPr>
        <w:t>在编</w:t>
      </w:r>
      <w:r>
        <w:rPr>
          <w:rFonts w:hint="eastAsia" w:ascii="仿宋_GB2312" w:eastAsia="仿宋_GB2312"/>
          <w:color w:val="000000"/>
          <w:sz w:val="32"/>
          <w:szCs w:val="32"/>
        </w:rPr>
        <w:t>职工</w:t>
      </w:r>
      <w:r>
        <w:rPr>
          <w:rFonts w:hint="eastAsia"/>
          <w:color w:val="000000"/>
          <w:sz w:val="32"/>
          <w:szCs w:val="32"/>
          <w:lang w:val="en-US" w:eastAsia="zh-CN"/>
        </w:rPr>
        <w:t>63</w:t>
      </w:r>
      <w:r>
        <w:rPr>
          <w:rFonts w:hint="eastAsia" w:ascii="仿宋_GB2312" w:eastAsia="仿宋_GB2312"/>
          <w:color w:val="000000"/>
          <w:sz w:val="32"/>
          <w:szCs w:val="32"/>
        </w:rPr>
        <w:t>人，临聘人员</w:t>
      </w:r>
      <w:r>
        <w:rPr>
          <w:rFonts w:hint="eastAsia"/>
          <w:color w:val="000000"/>
          <w:sz w:val="32"/>
          <w:szCs w:val="32"/>
          <w:lang w:val="en-US" w:eastAsia="zh-CN"/>
        </w:rPr>
        <w:t>5</w:t>
      </w:r>
      <w:r>
        <w:rPr>
          <w:rFonts w:hint="eastAsia" w:ascii="仿宋_GB2312" w:eastAsia="仿宋_GB2312"/>
          <w:color w:val="000000"/>
          <w:sz w:val="32"/>
          <w:szCs w:val="32"/>
        </w:rPr>
        <w:t>人，其中高级职称</w:t>
      </w:r>
      <w:r>
        <w:rPr>
          <w:rFonts w:hint="eastAsia"/>
          <w:color w:val="000000"/>
          <w:sz w:val="32"/>
          <w:szCs w:val="32"/>
          <w:lang w:val="en-US" w:eastAsia="zh-CN"/>
        </w:rPr>
        <w:t>10</w:t>
      </w:r>
      <w:r>
        <w:rPr>
          <w:rFonts w:hint="eastAsia" w:ascii="仿宋_GB2312" w:eastAsia="仿宋_GB2312"/>
          <w:color w:val="000000"/>
          <w:sz w:val="32"/>
          <w:szCs w:val="32"/>
        </w:rPr>
        <w:t>名、中级职称</w:t>
      </w:r>
      <w:r>
        <w:rPr>
          <w:rFonts w:hint="eastAsia"/>
          <w:color w:val="000000"/>
          <w:sz w:val="32"/>
          <w:szCs w:val="32"/>
          <w:lang w:val="en-US" w:eastAsia="zh-CN"/>
        </w:rPr>
        <w:t>20</w:t>
      </w:r>
      <w:r>
        <w:rPr>
          <w:rFonts w:hint="eastAsia" w:ascii="仿宋_GB2312" w:eastAsia="仿宋_GB2312"/>
          <w:color w:val="000000"/>
          <w:sz w:val="32"/>
          <w:szCs w:val="32"/>
        </w:rPr>
        <w:t>人，占地面积</w:t>
      </w:r>
      <w:r>
        <w:rPr>
          <w:rFonts w:hint="eastAsia" w:ascii="仿宋_GB2312" w:eastAsia="仿宋_GB2312"/>
          <w:color w:val="000000"/>
          <w:sz w:val="32"/>
          <w:szCs w:val="32"/>
          <w:lang w:val="en-US" w:eastAsia="zh-CN"/>
        </w:rPr>
        <w:t>5619</w:t>
      </w:r>
      <w:r>
        <w:rPr>
          <w:rFonts w:hint="eastAsia" w:ascii="仿宋_GB2312" w:eastAsia="仿宋_GB2312"/>
          <w:color w:val="000000"/>
          <w:sz w:val="32"/>
          <w:szCs w:val="32"/>
        </w:rPr>
        <w:t>㎡，</w:t>
      </w:r>
      <w:r>
        <w:rPr>
          <w:rFonts w:hint="eastAsia"/>
          <w:color w:val="000000"/>
          <w:sz w:val="32"/>
          <w:szCs w:val="32"/>
          <w:lang w:eastAsia="zh-CN"/>
        </w:rPr>
        <w:t>房屋建筑面积</w:t>
      </w:r>
      <w:r>
        <w:rPr>
          <w:rFonts w:hint="eastAsia"/>
          <w:color w:val="000000"/>
          <w:sz w:val="32"/>
          <w:szCs w:val="32"/>
          <w:lang w:val="en-US" w:eastAsia="zh-CN"/>
        </w:rPr>
        <w:t>7037</w:t>
      </w:r>
      <w:r>
        <w:rPr>
          <w:rFonts w:hint="eastAsia" w:ascii="仿宋_GB2312" w:eastAsia="仿宋_GB2312"/>
          <w:color w:val="000000"/>
          <w:sz w:val="32"/>
          <w:szCs w:val="32"/>
        </w:rPr>
        <w:t>㎡，服务人口</w:t>
      </w:r>
      <w:r>
        <w:rPr>
          <w:rFonts w:hint="eastAsia"/>
          <w:color w:val="000000"/>
          <w:sz w:val="32"/>
          <w:szCs w:val="32"/>
          <w:lang w:val="en-US" w:eastAsia="zh-CN"/>
        </w:rPr>
        <w:t>2.12</w:t>
      </w:r>
      <w:r>
        <w:rPr>
          <w:rFonts w:hint="eastAsia" w:ascii="仿宋_GB2312" w:eastAsia="仿宋_GB2312"/>
          <w:color w:val="000000"/>
          <w:sz w:val="32"/>
          <w:szCs w:val="32"/>
        </w:rPr>
        <w:t>万人。</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年重点工作完成情况。</w:t>
      </w:r>
      <w:bookmarkEnd w:id="18"/>
      <w:bookmarkEnd w:id="19"/>
    </w:p>
    <w:p>
      <w:pPr>
        <w:adjustRightInd w:val="0"/>
        <w:snapToGrid w:val="0"/>
        <w:spacing w:line="600" w:lineRule="atLeast"/>
        <w:ind w:firstLine="704" w:firstLineChars="220"/>
        <w:rPr>
          <w:rFonts w:hint="eastAsia" w:ascii="仿宋" w:hAnsi="仿宋" w:eastAsia="仿宋"/>
          <w:bCs/>
          <w:color w:val="000000"/>
          <w:sz w:val="32"/>
          <w:szCs w:val="32"/>
        </w:rPr>
      </w:pPr>
      <w:r>
        <w:rPr>
          <w:rFonts w:hint="eastAsia" w:ascii="仿宋_GB2312" w:hAnsi="Times New Roman" w:eastAsia="仿宋_GB2312" w:cs="Times New Roman"/>
          <w:sz w:val="32"/>
          <w:szCs w:val="32"/>
        </w:rPr>
        <w:t>201</w:t>
      </w:r>
      <w:r>
        <w:rPr>
          <w:rFonts w:hint="eastAsia" w:ascii="仿宋_GB2312" w:eastAsia="仿宋_GB2312" w:cs="Times New Roman"/>
          <w:sz w:val="32"/>
          <w:szCs w:val="32"/>
          <w:lang w:val="en-US" w:eastAsia="zh-CN"/>
        </w:rPr>
        <w:t>9</w:t>
      </w:r>
      <w:r>
        <w:rPr>
          <w:rFonts w:hint="eastAsia" w:ascii="仿宋_GB2312" w:hAnsi="Times New Roman" w:eastAsia="仿宋_GB2312" w:cs="Times New Roman"/>
          <w:sz w:val="32"/>
          <w:szCs w:val="32"/>
          <w:lang w:val="en-US" w:eastAsia="zh-CN"/>
        </w:rPr>
        <w:t>年</w:t>
      </w:r>
      <w:r>
        <w:rPr>
          <w:rFonts w:hint="eastAsia" w:ascii="仿宋_GB2312" w:hAnsi="Times New Roman" w:eastAsia="仿宋_GB2312" w:cs="Times New Roman"/>
          <w:sz w:val="32"/>
          <w:szCs w:val="32"/>
        </w:rPr>
        <w:t>达川区</w:t>
      </w:r>
      <w:r>
        <w:rPr>
          <w:rFonts w:hint="eastAsia" w:ascii="仿宋_GB2312" w:hAnsi="Times New Roman" w:eastAsia="仿宋_GB2312" w:cs="Times New Roman"/>
          <w:sz w:val="32"/>
          <w:szCs w:val="32"/>
          <w:lang w:eastAsia="zh-CN"/>
        </w:rPr>
        <w:t>赵家</w:t>
      </w:r>
      <w:r>
        <w:rPr>
          <w:rFonts w:hint="eastAsia" w:ascii="仿宋_GB2312" w:hAnsi="Times New Roman" w:eastAsia="仿宋_GB2312" w:cs="Times New Roman"/>
          <w:sz w:val="32"/>
          <w:szCs w:val="32"/>
        </w:rPr>
        <w:t>镇中心卫生院</w:t>
      </w:r>
      <w:r>
        <w:rPr>
          <w:rFonts w:hint="eastAsia" w:ascii="仿宋_GB2312" w:hAnsi="Times New Roman" w:eastAsia="仿宋_GB2312" w:cs="Times New Roman"/>
          <w:sz w:val="32"/>
          <w:szCs w:val="32"/>
          <w:lang w:eastAsia="zh-CN"/>
        </w:rPr>
        <w:t>的卫生工作</w:t>
      </w:r>
      <w:r>
        <w:rPr>
          <w:rFonts w:hint="eastAsia" w:ascii="仿宋_GB2312" w:hAnsi="Times New Roman" w:eastAsia="仿宋_GB2312" w:cs="Times New Roman"/>
          <w:sz w:val="32"/>
          <w:szCs w:val="32"/>
        </w:rPr>
        <w:t>在镇党委、政府</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区卫生</w:t>
      </w:r>
      <w:r>
        <w:rPr>
          <w:rFonts w:hint="eastAsia" w:ascii="仿宋_GB2312" w:hAnsi="Times New Roman" w:eastAsia="仿宋_GB2312" w:cs="Times New Roman"/>
          <w:sz w:val="32"/>
          <w:szCs w:val="32"/>
          <w:lang w:eastAsia="zh-CN"/>
        </w:rPr>
        <w:t>计生</w:t>
      </w:r>
      <w:r>
        <w:rPr>
          <w:rFonts w:hint="eastAsia" w:ascii="仿宋_GB2312" w:hAnsi="Times New Roman" w:eastAsia="仿宋_GB2312" w:cs="Times New Roman"/>
          <w:sz w:val="32"/>
          <w:szCs w:val="32"/>
        </w:rPr>
        <w:t>局领导下，</w:t>
      </w:r>
      <w:bookmarkStart w:id="20" w:name="OLE_LINK1"/>
      <w:r>
        <w:rPr>
          <w:rFonts w:hint="eastAsia" w:ascii="仿宋_GB2312" w:hAnsi="Times New Roman" w:eastAsia="仿宋_GB2312" w:cs="Times New Roman"/>
          <w:sz w:val="32"/>
          <w:szCs w:val="32"/>
          <w:rtl w:val="0"/>
        </w:rPr>
        <w:t>坚持以“三个代表”重要思想为指导，认真贯彻落实党的</w:t>
      </w:r>
      <w:r>
        <w:rPr>
          <w:rFonts w:hint="eastAsia" w:ascii="仿宋_GB2312" w:hAnsi="Times New Roman" w:eastAsia="仿宋_GB2312" w:cs="Times New Roman"/>
          <w:sz w:val="32"/>
          <w:szCs w:val="32"/>
          <w:rtl w:val="0"/>
          <w:lang w:eastAsia="zh-CN"/>
        </w:rPr>
        <w:t>十九</w:t>
      </w:r>
      <w:r>
        <w:rPr>
          <w:rFonts w:hint="eastAsia" w:ascii="仿宋_GB2312" w:hAnsi="Times New Roman" w:eastAsia="仿宋_GB2312" w:cs="Times New Roman"/>
          <w:sz w:val="32"/>
          <w:szCs w:val="32"/>
          <w:rtl w:val="0"/>
        </w:rPr>
        <w:t>大精神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习近平新时代中国特色社会主义思想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习近平总书记对四川工作系列重要指示精神和省委十一届三次全会精神，落实市第四次党代会部署</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认真贯彻落实国家新冠肺炎防控相关政策和要求</w:t>
      </w:r>
      <w:bookmarkEnd w:id="20"/>
      <w:r>
        <w:rPr>
          <w:rFonts w:hint="eastAsia" w:ascii="仿宋_GB2312" w:eastAsia="仿宋_GB2312" w:cs="Times New Roman"/>
          <w:sz w:val="32"/>
          <w:szCs w:val="32"/>
          <w:lang w:eastAsia="zh-CN"/>
        </w:rPr>
        <w:t>，坚决做好疫情防控工作，</w:t>
      </w:r>
      <w:r>
        <w:rPr>
          <w:rFonts w:hint="eastAsia" w:ascii="仿宋_GB2312" w:hAnsi="Times New Roman" w:eastAsia="仿宋_GB2312" w:cs="Times New Roman"/>
          <w:sz w:val="32"/>
          <w:szCs w:val="32"/>
          <w:rtl w:val="0"/>
        </w:rPr>
        <w:t>强化“以病人为中心，以质量为核心”的服务理念</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加强政治思想和医德医风教育</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抓好医疗核心制度落实，严格</w:t>
      </w:r>
      <w:r>
        <w:rPr>
          <w:rFonts w:hint="eastAsia" w:ascii="仿宋_GB2312" w:hAnsi="Times New Roman" w:eastAsia="仿宋_GB2312" w:cs="Times New Roman"/>
          <w:sz w:val="32"/>
          <w:szCs w:val="32"/>
          <w:lang w:eastAsia="zh-CN"/>
        </w:rPr>
        <w:t>医疗保险</w:t>
      </w:r>
      <w:r>
        <w:rPr>
          <w:rFonts w:hint="eastAsia" w:ascii="仿宋_GB2312" w:hAnsi="Times New Roman" w:eastAsia="仿宋_GB2312" w:cs="Times New Roman"/>
          <w:sz w:val="32"/>
          <w:szCs w:val="32"/>
        </w:rPr>
        <w:t>制度和基</w:t>
      </w:r>
      <w:r>
        <w:rPr>
          <w:rFonts w:hint="eastAsia" w:ascii="仿宋_GB2312" w:hAnsi="Times New Roman" w:eastAsia="仿宋_GB2312" w:cs="Times New Roman"/>
          <w:sz w:val="32"/>
          <w:szCs w:val="32"/>
          <w:lang w:eastAsia="zh-CN"/>
        </w:rPr>
        <w:t>本</w:t>
      </w:r>
      <w:r>
        <w:rPr>
          <w:rFonts w:hint="eastAsia" w:ascii="仿宋_GB2312" w:hAnsi="Times New Roman" w:eastAsia="仿宋_GB2312" w:cs="Times New Roman"/>
          <w:sz w:val="32"/>
          <w:szCs w:val="32"/>
        </w:rPr>
        <w:t>公共卫生项目实施，努力做好辖区内疾病预防控制工作，严格执行药品网上采购“阳光采购”方案</w:t>
      </w:r>
      <w:r>
        <w:rPr>
          <w:rFonts w:hint="eastAsia" w:ascii="仿宋_GB2312" w:hAnsi="Times New Roman" w:eastAsia="仿宋_GB2312" w:cs="Times New Roman"/>
          <w:sz w:val="32"/>
          <w:szCs w:val="32"/>
          <w:lang w:eastAsia="zh-CN"/>
        </w:rPr>
        <w:t>及</w:t>
      </w:r>
      <w:r>
        <w:rPr>
          <w:rFonts w:hint="eastAsia" w:ascii="仿宋_GB2312" w:hAnsi="Times New Roman" w:eastAsia="仿宋_GB2312" w:cs="Times New Roman"/>
          <w:sz w:val="32"/>
          <w:szCs w:val="32"/>
        </w:rPr>
        <w:t>基本药物制度和抗菌药物应用管理的规定。</w:t>
      </w:r>
    </w:p>
    <w:p>
      <w:pPr>
        <w:pStyle w:val="3"/>
        <w:rPr>
          <w:rStyle w:val="25"/>
          <w:b w:val="0"/>
          <w:bCs w:val="0"/>
        </w:rPr>
      </w:pPr>
      <w:bookmarkStart w:id="21" w:name="_Toc15377200"/>
      <w:bookmarkStart w:id="22"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pStyle w:val="5"/>
        <w:adjustRightInd w:val="0"/>
        <w:snapToGrid w:val="0"/>
        <w:spacing w:line="600" w:lineRule="exact"/>
        <w:ind w:firstLine="672" w:firstLineChars="210"/>
        <w:rPr>
          <w:rFonts w:hint="eastAsia"/>
          <w:color w:val="000000"/>
          <w:sz w:val="32"/>
          <w:szCs w:val="32"/>
        </w:rPr>
      </w:pPr>
      <w:r>
        <w:rPr>
          <w:rFonts w:hint="eastAsia"/>
          <w:color w:val="000000"/>
          <w:sz w:val="32"/>
          <w:szCs w:val="32"/>
        </w:rPr>
        <w:t> </w:t>
      </w:r>
      <w:r>
        <w:rPr>
          <w:rFonts w:hint="eastAsia"/>
          <w:color w:val="000000"/>
          <w:sz w:val="32"/>
          <w:szCs w:val="32"/>
          <w:lang w:eastAsia="zh-CN"/>
        </w:rPr>
        <w:t>201</w:t>
      </w:r>
      <w:r>
        <w:rPr>
          <w:rFonts w:hint="eastAsia"/>
          <w:color w:val="000000"/>
          <w:sz w:val="32"/>
          <w:szCs w:val="32"/>
          <w:lang w:val="en-US" w:eastAsia="zh-CN"/>
        </w:rPr>
        <w:t>9</w:t>
      </w:r>
      <w:r>
        <w:rPr>
          <w:rFonts w:hint="eastAsia" w:hAnsi="仿宋" w:cs="仿宋"/>
          <w:color w:val="000000"/>
          <w:sz w:val="32"/>
          <w:szCs w:val="32"/>
        </w:rPr>
        <w:t>年度，纳入本部门决算汇编范围的独立核算单位共</w:t>
      </w:r>
      <w:r>
        <w:rPr>
          <w:rFonts w:hint="eastAsia"/>
          <w:color w:val="000000"/>
          <w:sz w:val="32"/>
          <w:szCs w:val="32"/>
        </w:rPr>
        <w:t>   1  </w:t>
      </w:r>
      <w:r>
        <w:rPr>
          <w:rFonts w:hint="eastAsia" w:hAnsi="仿宋" w:cs="仿宋"/>
          <w:color w:val="000000"/>
          <w:sz w:val="32"/>
          <w:szCs w:val="32"/>
        </w:rPr>
        <w:t>个</w:t>
      </w:r>
      <w:r>
        <w:rPr>
          <w:rFonts w:hint="eastAsia"/>
          <w:color w:val="000000"/>
          <w:sz w:val="32"/>
          <w:szCs w:val="32"/>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3" w:name="_Toc15377204"/>
      <w:bookmarkStart w:id="24"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w:t>
      </w:r>
      <w:r>
        <w:rPr>
          <w:rStyle w:val="24"/>
          <w:rFonts w:hint="eastAsia" w:ascii="黑体" w:hAnsi="黑体" w:eastAsia="黑体"/>
          <w:b w:val="0"/>
          <w:bCs w:val="0"/>
          <w:lang w:val="en-US" w:eastAsia="zh-CN"/>
        </w:rPr>
        <w:t>9</w:t>
      </w:r>
      <w:r>
        <w:rPr>
          <w:rStyle w:val="24"/>
          <w:rFonts w:hint="eastAsia" w:ascii="黑体" w:hAnsi="黑体" w:eastAsia="黑体"/>
          <w:b w:val="0"/>
          <w:bCs w:val="0"/>
        </w:rPr>
        <w:t>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96603"/>
      <w:bookmarkStart w:id="26"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1478.40</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254.09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20.75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本年度医疗收入增加，结转资金较上年增加。</w:t>
      </w: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600" w:firstLineChars="500"/>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pStyle w:val="23"/>
        <w:numPr>
          <w:ilvl w:val="0"/>
          <w:numId w:val="1"/>
        </w:numPr>
        <w:spacing w:line="600" w:lineRule="exact"/>
        <w:ind w:firstLineChars="0"/>
        <w:outlineLvl w:val="1"/>
        <w:rPr>
          <w:rStyle w:val="25"/>
          <w:rFonts w:ascii="黑体" w:hAnsi="黑体" w:eastAsia="黑体"/>
          <w:b w:val="0"/>
        </w:rPr>
      </w:pPr>
      <w:bookmarkStart w:id="27" w:name="_Toc15377206"/>
      <w:bookmarkStart w:id="28"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1387.74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682.39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49.17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705.35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50.83</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outlineLvl w:val="1"/>
        <w:rPr>
          <w:rFonts w:hint="eastAsia" w:ascii="仿宋" w:hAnsi="仿宋" w:eastAsia="仿宋"/>
          <w:color w:val="000000"/>
          <w:sz w:val="32"/>
          <w:szCs w:val="32"/>
        </w:rPr>
      </w:pPr>
    </w:p>
    <w:p>
      <w:pPr>
        <w:spacing w:line="240" w:lineRule="auto"/>
        <w:ind w:firstLine="420" w:firstLineChars="200"/>
        <w:outlineLvl w:val="1"/>
        <w:rPr>
          <w:rFonts w:hint="eastAsia" w:ascii="仿宋" w:hAnsi="仿宋" w:eastAsia="仿宋"/>
          <w:color w:val="000000"/>
          <w:sz w:val="32"/>
          <w:szCs w:val="32"/>
        </w:rPr>
      </w:pPr>
      <w:r>
        <w:drawing>
          <wp:inline distT="0" distB="0" distL="114300" distR="114300">
            <wp:extent cx="5046980" cy="3061970"/>
            <wp:effectExtent l="4445" t="4445" r="15875" b="1968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1233.68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1080.89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87.62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152.79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12.38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240" w:lineRule="auto"/>
        <w:ind w:firstLine="640"/>
        <w:rPr>
          <w:rFonts w:hint="eastAsia" w:ascii="仿宋" w:hAnsi="仿宋" w:eastAsia="仿宋"/>
          <w:color w:val="000000"/>
          <w:sz w:val="32"/>
          <w:szCs w:val="32"/>
        </w:rPr>
      </w:pPr>
      <w:r>
        <w:drawing>
          <wp:inline distT="0" distB="0" distL="114300" distR="114300">
            <wp:extent cx="5269230" cy="2936875"/>
            <wp:effectExtent l="4445" t="4445" r="22225" b="1143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rPr>
          <w:rFonts w:hint="eastAsia" w:ascii="仿宋" w:hAnsi="仿宋" w:eastAsia="仿宋" w:cs="Times New Roman"/>
          <w:color w:val="000000"/>
          <w:sz w:val="32"/>
          <w:szCs w:val="32"/>
          <w:lang w:val="en-US" w:eastAsia="en-US"/>
        </w:rPr>
      </w:pPr>
      <w:r>
        <w:rPr>
          <w:rFonts w:ascii="仿宋" w:hAnsi="仿宋" w:eastAsia="仿宋" w:cs="Times New Roman"/>
          <w:color w:val="000000"/>
          <w:sz w:val="32"/>
          <w:szCs w:val="32"/>
        </w:rPr>
        <w:t>201</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rPr>
        <w:t>年财政拨款收、支总计</w:t>
      </w:r>
      <w:r>
        <w:rPr>
          <w:rFonts w:hint="eastAsia" w:ascii="仿宋" w:hAnsi="仿宋" w:eastAsia="仿宋" w:cs="Times New Roman"/>
          <w:color w:val="000000"/>
          <w:sz w:val="32"/>
          <w:szCs w:val="32"/>
          <w:lang w:val="en-US" w:eastAsia="zh-CN"/>
        </w:rPr>
        <w:t>773.05</w:t>
      </w:r>
      <w:r>
        <w:rPr>
          <w:rFonts w:hint="eastAsia" w:ascii="仿宋" w:hAnsi="仿宋" w:eastAsia="仿宋" w:cs="Times New Roman"/>
          <w:color w:val="000000"/>
          <w:sz w:val="32"/>
          <w:szCs w:val="32"/>
        </w:rPr>
        <w:t>万元。与</w:t>
      </w:r>
      <w:r>
        <w:rPr>
          <w:rFonts w:ascii="仿宋" w:hAnsi="仿宋" w:eastAsia="仿宋" w:cs="Times New Roman"/>
          <w:color w:val="000000"/>
          <w:sz w:val="32"/>
          <w:szCs w:val="32"/>
        </w:rPr>
        <w:t>201</w:t>
      </w:r>
      <w:r>
        <w:rPr>
          <w:rFonts w:hint="eastAsia" w:ascii="仿宋" w:hAnsi="仿宋" w:eastAsia="仿宋" w:cs="Times New Roman"/>
          <w:color w:val="000000"/>
          <w:sz w:val="32"/>
          <w:szCs w:val="32"/>
          <w:lang w:val="en-US" w:eastAsia="zh-CN"/>
        </w:rPr>
        <w:t>8</w:t>
      </w:r>
      <w:r>
        <w:rPr>
          <w:rFonts w:hint="eastAsia" w:ascii="仿宋" w:hAnsi="仿宋" w:eastAsia="仿宋" w:cs="Times New Roman"/>
          <w:color w:val="000000"/>
          <w:sz w:val="32"/>
          <w:szCs w:val="32"/>
        </w:rPr>
        <w:t>年相比，财政拨款收、支总计各</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62.60</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8.81</w:t>
      </w:r>
      <w:r>
        <w:rPr>
          <w:rFonts w:ascii="仿宋" w:hAnsi="仿宋" w:eastAsia="仿宋" w:cs="Times New Roman"/>
          <w:color w:val="000000"/>
          <w:sz w:val="32"/>
          <w:szCs w:val="32"/>
        </w:rPr>
        <w:t>%</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主要变动原因是财政拨款收入较上年增加以及项目支出增加</w:t>
      </w:r>
      <w:r>
        <w:rPr>
          <w:rFonts w:hint="eastAsia" w:ascii="仿宋" w:hAnsi="仿宋" w:eastAsia="仿宋" w:cs="Times New Roman"/>
          <w:color w:val="000000"/>
          <w:sz w:val="32"/>
          <w:szCs w:val="32"/>
          <w:lang w:val="en-US" w:eastAsia="en-US"/>
        </w:rPr>
        <w:t>，201</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lang w:val="en-US" w:eastAsia="en-US"/>
        </w:rPr>
        <w:t>年结转资金</w:t>
      </w:r>
      <w:r>
        <w:rPr>
          <w:rFonts w:hint="eastAsia" w:ascii="仿宋" w:hAnsi="仿宋" w:eastAsia="仿宋" w:cs="Times New Roman"/>
          <w:color w:val="000000"/>
          <w:sz w:val="32"/>
          <w:szCs w:val="32"/>
          <w:lang w:val="en-US" w:eastAsia="zh-CN"/>
        </w:rPr>
        <w:t>增加</w:t>
      </w:r>
      <w:r>
        <w:rPr>
          <w:rFonts w:hint="eastAsia" w:ascii="仿宋" w:hAnsi="仿宋" w:eastAsia="仿宋" w:cs="Times New Roman"/>
          <w:color w:val="000000"/>
          <w:sz w:val="32"/>
          <w:szCs w:val="32"/>
          <w:lang w:val="en-US" w:eastAsia="en-US"/>
        </w:rPr>
        <w:t>。</w:t>
      </w: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rPr>
          <w:rFonts w:hint="eastAsia" w:ascii="仿宋" w:hAnsi="仿宋" w:eastAsia="仿宋" w:cs="Times New Roman"/>
          <w:color w:val="000000"/>
          <w:sz w:val="32"/>
          <w:szCs w:val="32"/>
          <w:lang w:val="en-US" w:eastAsia="en-US"/>
        </w:rPr>
      </w:pPr>
    </w:p>
    <w:p>
      <w:pPr>
        <w:spacing w:line="600" w:lineRule="exact"/>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r>
        <w:drawing>
          <wp:anchor distT="0" distB="0" distL="114300" distR="114300" simplePos="0" relativeHeight="251662336" behindDoc="0" locked="0" layoutInCell="1" allowOverlap="1">
            <wp:simplePos x="0" y="0"/>
            <wp:positionH relativeFrom="column">
              <wp:posOffset>410845</wp:posOffset>
            </wp:positionH>
            <wp:positionV relativeFrom="paragraph">
              <wp:posOffset>-2453005</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960" w:firstLineChars="3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25"/>
          <w:rFonts w:ascii="黑体" w:hAnsi="黑体" w:eastAsia="黑体"/>
          <w:b w:val="0"/>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528.33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46.60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年相比，一般公共预算财政拨减少</w:t>
      </w:r>
      <w:r>
        <w:rPr>
          <w:rFonts w:hint="eastAsia" w:ascii="仿宋" w:hAnsi="仿宋" w:eastAsia="仿宋"/>
          <w:color w:val="000000"/>
          <w:sz w:val="32"/>
          <w:szCs w:val="32"/>
          <w:lang w:val="en-US" w:eastAsia="zh-CN"/>
        </w:rPr>
        <w:t>91.46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14.76</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是本年基本支出财政拨款减少。</w:t>
      </w:r>
    </w:p>
    <w:p>
      <w:pPr>
        <w:spacing w:line="600" w:lineRule="exact"/>
        <w:rPr>
          <w:rFonts w:hint="eastAsia" w:ascii="仿宋" w:hAnsi="仿宋" w:eastAsia="仿宋"/>
          <w:color w:val="000000"/>
          <w:sz w:val="32"/>
          <w:szCs w:val="32"/>
          <w:lang w:eastAsia="zh-CN"/>
        </w:rPr>
      </w:pPr>
    </w:p>
    <w:p>
      <w:pPr>
        <w:spacing w:line="600" w:lineRule="exact"/>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420" w:firstLineChars="200"/>
        <w:rPr>
          <w:rFonts w:hint="eastAsia" w:ascii="仿宋" w:hAnsi="仿宋" w:eastAsia="仿宋"/>
          <w:color w:val="000000"/>
          <w:sz w:val="32"/>
          <w:szCs w:val="32"/>
          <w:lang w:eastAsia="zh-CN"/>
        </w:rPr>
      </w:pPr>
      <w:r>
        <w:drawing>
          <wp:anchor distT="0" distB="0" distL="114300" distR="114300" simplePos="0" relativeHeight="251663360"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528.33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b/>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73.52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13.92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w:t>
      </w:r>
      <w:r>
        <w:rPr>
          <w:rFonts w:hint="eastAsia" w:ascii="仿宋" w:hAnsi="仿宋" w:eastAsia="仿宋"/>
          <w:b/>
          <w:bCs/>
          <w:color w:val="000000" w:themeColor="text1"/>
          <w:sz w:val="32"/>
          <w:szCs w:val="32"/>
          <w:lang w:eastAsia="zh-CN"/>
          <w14:textFill>
            <w14:solidFill>
              <w14:schemeClr w14:val="tx1"/>
            </w14:solidFill>
          </w14:textFill>
        </w:rPr>
        <w:t>健康</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408.44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77.31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bCs/>
          <w:color w:val="000000" w:themeColor="text1"/>
          <w:sz w:val="32"/>
          <w:szCs w:val="32"/>
          <w:lang w:val="en-US"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46.37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8.78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4384" behindDoc="0" locked="0" layoutInCell="1" allowOverlap="1">
            <wp:simplePos x="0" y="0"/>
            <wp:positionH relativeFrom="column">
              <wp:posOffset>490220</wp:posOffset>
            </wp:positionH>
            <wp:positionV relativeFrom="paragraph">
              <wp:posOffset>132080</wp:posOffset>
            </wp:positionV>
            <wp:extent cx="4572000" cy="2562860"/>
            <wp:effectExtent l="4445" t="4445" r="14605" b="23495"/>
            <wp:wrapSquare wrapText="bothSides"/>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Style w:val="14"/>
          <w:rFonts w:hint="eastAsia" w:ascii="仿宋" w:hAnsi="仿宋" w:eastAsia="仿宋"/>
          <w:bCs/>
          <w:color w:val="000000"/>
          <w:sz w:val="32"/>
          <w:szCs w:val="32"/>
        </w:rPr>
      </w:pPr>
      <w:bookmarkStart w:id="38" w:name="_Toc15378460"/>
      <w:bookmarkStart w:id="39" w:name="_Toc15377444"/>
      <w:bookmarkStart w:id="40" w:name="_Toc15377213"/>
      <w:r>
        <w:rPr>
          <w:rFonts w:hint="eastAsia" w:ascii="仿宋" w:hAnsi="仿宋" w:eastAsia="仿宋"/>
          <w:b/>
          <w:color w:val="000000" w:themeColor="text1"/>
          <w:sz w:val="32"/>
          <w:szCs w:val="32"/>
          <w14:textFill>
            <w14:solidFill>
              <w14:schemeClr w14:val="tx1"/>
            </w14:solidFill>
          </w14:textFill>
        </w:rPr>
        <w:t>201</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528.33万元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77.42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1</w:t>
      </w:r>
      <w:r>
        <w:rPr>
          <w:rStyle w:val="14"/>
          <w:rFonts w:hint="eastAsia" w:ascii="仿宋_GB2312" w:eastAsia="仿宋_GB2312"/>
          <w:color w:val="000000"/>
          <w:sz w:val="32"/>
          <w:szCs w:val="32"/>
        </w:rPr>
        <w:t>.社会保障和就业（208）行政事业单位离退休（20805）机关事业单位基本养老保险缴费支出（2080505）:</w:t>
      </w:r>
      <w:r>
        <w:rPr>
          <w:rFonts w:hint="eastAsia" w:ascii="仿宋_GB2312" w:hAnsi="Times New Roman" w:eastAsia="仿宋_GB2312" w:cs="Times New Roman"/>
          <w:color w:val="000000"/>
          <w:sz w:val="32"/>
          <w:szCs w:val="32"/>
          <w:lang w:eastAsia="zh-CN"/>
        </w:rPr>
        <w:t>支出</w:t>
      </w:r>
      <w:r>
        <w:rPr>
          <w:rFonts w:hint="eastAsia" w:ascii="仿宋_GB2312" w:eastAsia="仿宋_GB2312"/>
          <w:color w:val="000000"/>
          <w:sz w:val="32"/>
          <w:szCs w:val="32"/>
        </w:rPr>
        <w:t>决算为</w:t>
      </w:r>
      <w:r>
        <w:rPr>
          <w:rFonts w:hint="eastAsia" w:ascii="仿宋_GB2312" w:eastAsia="仿宋_GB2312"/>
          <w:color w:val="000000"/>
          <w:sz w:val="32"/>
          <w:szCs w:val="32"/>
          <w:lang w:eastAsia="zh-CN"/>
        </w:rPr>
        <w:t>数</w:t>
      </w:r>
      <w:r>
        <w:rPr>
          <w:rFonts w:hint="eastAsia" w:ascii="仿宋_GB2312" w:eastAsia="仿宋_GB2312"/>
          <w:color w:val="000000"/>
          <w:sz w:val="32"/>
          <w:szCs w:val="32"/>
          <w:lang w:val="en-US" w:eastAsia="zh-CN"/>
        </w:rPr>
        <w:t>68.02万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_GB2312" w:eastAsia="仿宋_GB2312"/>
          <w:color w:val="000000"/>
          <w:sz w:val="32"/>
          <w:szCs w:val="32"/>
          <w:lang w:val="en-US" w:eastAsia="zh-CN"/>
        </w:rPr>
        <w:t>2</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-基层医疗卫生机构(21003</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 乡镇卫生院(2100302):</w:t>
      </w:r>
      <w:r>
        <w:rPr>
          <w:rFonts w:hint="eastAsia" w:ascii="仿宋_GB2312" w:hAnsi="Times New Roman" w:eastAsia="仿宋_GB2312" w:cs="Times New Roman"/>
          <w:color w:val="000000"/>
          <w:sz w:val="32"/>
          <w:szCs w:val="32"/>
          <w:lang w:val="en-US" w:eastAsia="zh-CN"/>
        </w:rPr>
        <w:t>支出</w:t>
      </w:r>
      <w:r>
        <w:rPr>
          <w:rFonts w:hint="eastAsia" w:ascii="仿宋_GB2312" w:eastAsia="仿宋_GB2312"/>
          <w:color w:val="000000"/>
          <w:sz w:val="32"/>
          <w:szCs w:val="32"/>
        </w:rPr>
        <w:t>决算</w:t>
      </w:r>
      <w:r>
        <w:rPr>
          <w:rFonts w:hint="eastAsia" w:ascii="仿宋_GB2312" w:eastAsia="仿宋_GB2312"/>
          <w:color w:val="000000"/>
          <w:sz w:val="32"/>
          <w:szCs w:val="32"/>
          <w:lang w:eastAsia="zh-CN"/>
        </w:rPr>
        <w:t>数</w:t>
      </w: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226.40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完成预算59.51%。</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小于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lang w:eastAsia="zh-CN"/>
        </w:rPr>
        <w:t>本年财政拨款支出减少。</w:t>
      </w:r>
    </w:p>
    <w:p>
      <w:pPr>
        <w:ind w:firstLine="630"/>
        <w:rPr>
          <w:rFonts w:hint="eastAsia" w:ascii="仿宋_GB2312" w:eastAsia="仿宋_GB2312"/>
          <w:color w:val="000000"/>
          <w:sz w:val="32"/>
          <w:szCs w:val="32"/>
          <w:lang w:eastAsia="zh-CN"/>
        </w:rPr>
      </w:pPr>
      <w:r>
        <w:rPr>
          <w:rStyle w:val="14"/>
          <w:rFonts w:hint="eastAsia" w:ascii="仿宋_GB2312" w:eastAsia="仿宋_GB2312"/>
          <w:color w:val="000000"/>
          <w:sz w:val="32"/>
          <w:szCs w:val="32"/>
          <w:lang w:val="en-US" w:eastAsia="zh-CN"/>
        </w:rPr>
        <w:t>3</w:t>
      </w:r>
      <w:r>
        <w:rPr>
          <w:rStyle w:val="14"/>
          <w:rFonts w:hint="eastAsia" w:ascii="仿宋_GB2312" w:eastAsia="仿宋_GB2312"/>
          <w:color w:val="000000"/>
          <w:sz w:val="32"/>
          <w:szCs w:val="32"/>
        </w:rPr>
        <w:t>.医疗卫生与计划生育（210）基层医疗卫生机构（21003）其他基层医疗卫生机构支出（2100399）：</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26.99</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ind w:firstLine="63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Style w:val="14"/>
          <w:rFonts w:hint="eastAsia" w:ascii="仿宋_GB2312" w:eastAsia="仿宋_GB2312"/>
          <w:color w:val="000000"/>
          <w:sz w:val="32"/>
          <w:szCs w:val="32"/>
        </w:rPr>
        <w:t xml:space="preserve"> 医疗卫生与计划生育（210）公共卫生（21004）基本公共卫生服务（2100408）：</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125.80</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.住房保障支出(221)-住房改革支出(22102)- 住房公积金(2210201):</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46.37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eastAsia="zh-CN"/>
        </w:rPr>
        <w:t>医疗保障</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 xml:space="preserve">)- </w:t>
      </w:r>
      <w:r>
        <w:rPr>
          <w:rStyle w:val="14"/>
          <w:rFonts w:hint="eastAsia" w:ascii="仿宋_GB2312" w:eastAsia="仿宋_GB2312"/>
          <w:color w:val="000000"/>
          <w:sz w:val="32"/>
          <w:szCs w:val="32"/>
          <w:lang w:eastAsia="zh-CN"/>
        </w:rPr>
        <w:t>事业单位医疗</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02):</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29.24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7</w:t>
      </w:r>
      <w:r>
        <w:rPr>
          <w:rStyle w:val="14"/>
          <w:rFonts w:hint="eastAsia" w:ascii="仿宋_GB2312" w:eastAsia="仿宋_GB2312"/>
          <w:color w:val="000000"/>
          <w:sz w:val="32"/>
          <w:szCs w:val="32"/>
        </w:rPr>
        <w:t>.社会保障和就业（208）行政事业单位离退休（20805）  机关事业单位职业年金缴费支出（208050</w:t>
      </w: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5.51万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tabs>
          <w:tab w:val="right" w:pos="8306"/>
        </w:tabs>
        <w:spacing w:line="600" w:lineRule="exact"/>
        <w:ind w:firstLine="640"/>
        <w:outlineLvl w:val="1"/>
        <w:rPr>
          <w:rStyle w:val="25"/>
        </w:rPr>
      </w:pPr>
      <w:bookmarkStart w:id="41" w:name="_Toc15396608"/>
      <w:bookmarkStart w:id="4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375.54</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352.54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3" w:name="_Toc15396609"/>
      <w:bookmarkStart w:id="44"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hint="eastAsia"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无</w:t>
      </w:r>
    </w:p>
    <w:p>
      <w:pPr>
        <w:spacing w:line="600" w:lineRule="exact"/>
        <w:ind w:firstLine="640"/>
        <w:outlineLvl w:val="1"/>
        <w:rPr>
          <w:rStyle w:val="25"/>
          <w:rFonts w:ascii="黑体" w:hAnsi="黑体" w:eastAsia="黑体"/>
        </w:rPr>
      </w:pPr>
      <w:bookmarkStart w:id="47" w:name="_Toc15396610"/>
      <w:bookmarkStart w:id="48"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无</w:t>
      </w:r>
    </w:p>
    <w:p>
      <w:pPr>
        <w:numPr>
          <w:ilvl w:val="0"/>
          <w:numId w:val="2"/>
        </w:numPr>
        <w:spacing w:line="600" w:lineRule="exact"/>
        <w:ind w:firstLine="640"/>
        <w:outlineLvl w:val="1"/>
        <w:rPr>
          <w:rStyle w:val="25"/>
          <w:rFonts w:ascii="黑体" w:hAnsi="黑体" w:eastAsia="黑体"/>
          <w:b w:val="0"/>
        </w:rPr>
      </w:pPr>
      <w:bookmarkStart w:id="49" w:name="_Toc15396611"/>
      <w:bookmarkStart w:id="50" w:name="_Toc15377219"/>
      <w:r>
        <w:rPr>
          <w:rStyle w:val="25"/>
          <w:rFonts w:hint="eastAsia" w:ascii="黑体" w:hAnsi="黑体" w:eastAsia="黑体"/>
          <w:b w:val="0"/>
        </w:rPr>
        <w:t>国有资本经营预算支出决算情况说明</w:t>
      </w:r>
      <w:bookmarkEnd w:id="49"/>
      <w:bookmarkEnd w:id="50"/>
    </w:p>
    <w:p>
      <w:pPr>
        <w:numPr>
          <w:ilvl w:val="0"/>
          <w:numId w:val="0"/>
        </w:numPr>
        <w:spacing w:line="600" w:lineRule="exact"/>
        <w:outlineLvl w:val="1"/>
        <w:rPr>
          <w:rStyle w:val="25"/>
          <w:rFonts w:hint="default" w:ascii="黑体" w:hAnsi="黑体" w:eastAsia="黑体"/>
          <w:b w:val="0"/>
          <w:lang w:val="en-US" w:eastAsia="zh-CN"/>
        </w:rPr>
      </w:pPr>
      <w:r>
        <w:rPr>
          <w:rStyle w:val="25"/>
          <w:rFonts w:hint="eastAsia" w:ascii="黑体" w:hAnsi="黑体" w:eastAsia="黑体"/>
          <w:b w:val="0"/>
          <w:lang w:val="en-US" w:eastAsia="zh-CN"/>
        </w:rPr>
        <w:t xml:space="preserve">    无</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年部门整体支出开展绩效自评，从评价情况来看本单位按要求对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年单位整体支出开展绩效自评，从评价情况来看，本单位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w:t>
      </w:r>
      <w:r>
        <w:rPr>
          <w:rFonts w:hint="eastAsia" w:ascii="仿宋_GB2312" w:hAnsi="仿宋_GB2312" w:eastAsia="仿宋_GB2312" w:cs="仿宋_GB2312"/>
          <w:sz w:val="32"/>
          <w:szCs w:val="32"/>
          <w:lang w:val="en-US" w:eastAsia="zh-CN"/>
        </w:rPr>
        <w:t>26.99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26.99</w:t>
      </w:r>
      <w:r>
        <w:rPr>
          <w:rFonts w:hint="eastAsia" w:ascii="仿宋_GB2312" w:hAnsi="仿宋_GB2312" w:eastAsia="仿宋_GB2312" w:cs="仿宋_GB2312"/>
          <w:sz w:val="32"/>
          <w:szCs w:val="32"/>
        </w:rPr>
        <w:t>万元，完成预算的100%。通过项目实施，保障了201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w:t>
      </w:r>
      <w:r>
        <w:rPr>
          <w:rFonts w:hint="eastAsia" w:ascii="仿宋_GB2312" w:hAnsi="仿宋_GB2312" w:eastAsia="仿宋_GB2312" w:cs="仿宋_GB2312"/>
          <w:sz w:val="32"/>
          <w:szCs w:val="32"/>
          <w:lang w:val="en-US" w:eastAsia="zh-CN"/>
        </w:rPr>
        <w:t>125.80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125.80</w:t>
      </w:r>
      <w:r>
        <w:rPr>
          <w:rFonts w:hint="eastAsia" w:ascii="仿宋_GB2312" w:hAnsi="仿宋_GB2312" w:eastAsia="仿宋_GB2312" w:cs="仿宋_GB2312"/>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赵家</w:t>
            </w:r>
            <w:r>
              <w:rPr>
                <w:rFonts w:hint="eastAsia" w:ascii="宋体" w:hAnsi="宋体" w:cs="宋体"/>
                <w:color w:val="000000"/>
                <w:sz w:val="24"/>
              </w:rPr>
              <w:t>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26.99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26.99</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26.99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26.99</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26.99</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26.99</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7</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赵家</w:t>
            </w:r>
            <w:r>
              <w:rPr>
                <w:rFonts w:hint="eastAsia" w:ascii="宋体" w:hAnsi="宋体" w:cs="宋体"/>
                <w:color w:val="000000"/>
                <w:sz w:val="24"/>
              </w:rPr>
              <w:t>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125.80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125.80</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125.80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125.80</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125.80</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125.80</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w:t>
            </w:r>
            <w:r>
              <w:rPr>
                <w:rFonts w:hint="eastAsia" w:ascii="宋体" w:hAnsi="宋体" w:cs="宋体"/>
                <w:color w:val="000000"/>
                <w:sz w:val="24"/>
                <w:lang w:val="en-US" w:eastAsia="zh-CN"/>
              </w:rPr>
              <w:t>125.80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w:t>
            </w:r>
            <w:r>
              <w:rPr>
                <w:rFonts w:hint="eastAsia" w:ascii="宋体" w:hAnsi="宋体" w:cs="宋体"/>
                <w:color w:val="000000"/>
                <w:sz w:val="24"/>
                <w:lang w:val="en-US" w:eastAsia="zh-CN"/>
              </w:rPr>
              <w:t>1</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2</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5</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Style w:val="25"/>
          <w:rFonts w:ascii="黑体" w:hAnsi="黑体" w:eastAsia="黑体"/>
          <w:b w:val="0"/>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年部门整体支出绩效评价情况开展自评，《四川省达州市达川区</w:t>
      </w:r>
      <w:r>
        <w:rPr>
          <w:rFonts w:hint="eastAsia" w:ascii="仿宋_GB2312" w:hAnsi="仿宋_GB2312" w:eastAsia="仿宋_GB2312" w:cs="仿宋_GB2312"/>
          <w:sz w:val="32"/>
          <w:szCs w:val="32"/>
          <w:lang w:eastAsia="zh-CN"/>
        </w:rPr>
        <w:t>赵家镇中心</w:t>
      </w:r>
      <w:r>
        <w:rPr>
          <w:rFonts w:hint="eastAsia" w:ascii="仿宋_GB2312" w:hAnsi="仿宋_GB2312" w:eastAsia="仿宋_GB2312" w:cs="仿宋_GB2312"/>
          <w:sz w:val="32"/>
          <w:szCs w:val="32"/>
        </w:rPr>
        <w:t>卫生院201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年部门整体支出绩效评价报告》见附件。本部门未自行组织其他项目绩效评价。</w:t>
      </w:r>
    </w:p>
    <w:p>
      <w:pPr>
        <w:spacing w:line="600" w:lineRule="exact"/>
        <w:ind w:firstLine="640" w:firstLineChars="200"/>
        <w:outlineLvl w:val="1"/>
        <w:rPr>
          <w:rStyle w:val="25"/>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1"/>
      <w:bookmarkEnd w:id="52"/>
    </w:p>
    <w:p>
      <w:pPr>
        <w:spacing w:line="600" w:lineRule="exact"/>
        <w:ind w:firstLine="643" w:firstLineChars="200"/>
        <w:outlineLvl w:val="2"/>
        <w:rPr>
          <w:rFonts w:hint="eastAsia" w:ascii="仿宋" w:hAnsi="仿宋" w:eastAsia="仿宋"/>
          <w:b/>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达州市达川区赵家镇中心卫生院</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5"/>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55" w:name="_Toc15377224"/>
      <w:r>
        <w:rPr>
          <w:rFonts w:hint="eastAsia" w:ascii="仿宋" w:hAnsi="仿宋" w:eastAsia="仿宋"/>
          <w:b/>
          <w:color w:val="000000"/>
          <w:sz w:val="32"/>
          <w:szCs w:val="32"/>
        </w:rPr>
        <w:t>国有资产占有使用情况</w:t>
      </w:r>
      <w:bookmarkEnd w:id="55"/>
    </w:p>
    <w:p>
      <w:pPr>
        <w:spacing w:line="600" w:lineRule="exact"/>
        <w:ind w:firstLine="645"/>
        <w:rPr>
          <w:rFonts w:eastAsia="仿宋_GB2312"/>
          <w:color w:val="000000"/>
          <w:kern w:val="0"/>
          <w:sz w:val="32"/>
          <w:szCs w:val="32"/>
        </w:rPr>
      </w:pPr>
      <w:r>
        <w:rPr>
          <w:rFonts w:hint="eastAsia" w:ascii="仿宋" w:hAnsi="仿宋" w:eastAsia="仿宋"/>
          <w:b/>
          <w:color w:val="000000"/>
          <w:sz w:val="32"/>
          <w:szCs w:val="32"/>
          <w:lang w:val="en-US" w:eastAsia="zh-CN"/>
        </w:rPr>
        <w:t xml:space="preserve"> </w:t>
      </w:r>
      <w:r>
        <w:rPr>
          <w:rFonts w:eastAsia="仿宋_GB2312"/>
          <w:color w:val="000000"/>
          <w:kern w:val="0"/>
          <w:sz w:val="32"/>
          <w:szCs w:val="32"/>
        </w:rPr>
        <w:t>截至201</w:t>
      </w:r>
      <w:r>
        <w:rPr>
          <w:rFonts w:hint="eastAsia" w:eastAsia="仿宋_GB2312"/>
          <w:color w:val="000000"/>
          <w:kern w:val="0"/>
          <w:sz w:val="32"/>
          <w:szCs w:val="32"/>
          <w:lang w:val="en-US" w:eastAsia="zh-CN"/>
        </w:rPr>
        <w:t>9</w:t>
      </w:r>
      <w:r>
        <w:rPr>
          <w:rFonts w:eastAsia="仿宋_GB2312"/>
          <w:color w:val="000000"/>
          <w:kern w:val="0"/>
          <w:sz w:val="32"/>
          <w:szCs w:val="32"/>
        </w:rPr>
        <w:t>年12月31日，达州市达川区</w:t>
      </w:r>
      <w:r>
        <w:rPr>
          <w:rFonts w:hint="eastAsia" w:eastAsia="仿宋_GB2312"/>
          <w:color w:val="000000"/>
          <w:kern w:val="0"/>
          <w:sz w:val="32"/>
          <w:szCs w:val="32"/>
          <w:lang w:eastAsia="zh-CN"/>
        </w:rPr>
        <w:t>赵家</w:t>
      </w:r>
      <w:r>
        <w:rPr>
          <w:rFonts w:eastAsia="仿宋_GB2312"/>
          <w:color w:val="000000"/>
          <w:kern w:val="0"/>
          <w:sz w:val="32"/>
          <w:szCs w:val="32"/>
        </w:rPr>
        <w:t>镇中心卫生院共有车辆1辆，其中：特种专业技术用车1辆（救护车1</w:t>
      </w:r>
      <w:r>
        <w:rPr>
          <w:rFonts w:hint="eastAsia" w:eastAsia="仿宋_GB2312"/>
          <w:color w:val="000000"/>
          <w:kern w:val="0"/>
          <w:sz w:val="32"/>
          <w:szCs w:val="32"/>
          <w:lang w:eastAsia="zh-CN"/>
        </w:rPr>
        <w:t>辆</w:t>
      </w:r>
      <w:r>
        <w:rPr>
          <w:rFonts w:eastAsia="仿宋_GB2312"/>
          <w:color w:val="000000"/>
          <w:kern w:val="0"/>
          <w:sz w:val="32"/>
          <w:szCs w:val="32"/>
        </w:rPr>
        <w:t>）；单价50万元以上通用设备</w:t>
      </w:r>
      <w:r>
        <w:rPr>
          <w:rFonts w:hint="eastAsia" w:eastAsia="仿宋_GB2312"/>
          <w:color w:val="000000"/>
          <w:kern w:val="0"/>
          <w:sz w:val="32"/>
          <w:szCs w:val="32"/>
        </w:rPr>
        <w:t>无</w:t>
      </w:r>
      <w:r>
        <w:rPr>
          <w:rFonts w:eastAsia="仿宋_GB2312"/>
          <w:color w:val="000000"/>
          <w:kern w:val="0"/>
          <w:sz w:val="32"/>
          <w:szCs w:val="32"/>
        </w:rPr>
        <w:t>，单价100万元以上专用设备</w:t>
      </w:r>
      <w:r>
        <w:rPr>
          <w:rFonts w:hint="eastAsia" w:eastAsia="仿宋_GB2312"/>
          <w:color w:val="000000"/>
          <w:kern w:val="0"/>
          <w:sz w:val="32"/>
          <w:szCs w:val="32"/>
        </w:rPr>
        <w:t>无</w:t>
      </w:r>
      <w:r>
        <w:rPr>
          <w:rFonts w:eastAsia="仿宋_GB2312"/>
          <w:color w:val="000000"/>
          <w:kern w:val="0"/>
          <w:sz w:val="32"/>
          <w:szCs w:val="32"/>
        </w:rPr>
        <w:t>。</w:t>
      </w:r>
    </w:p>
    <w:p>
      <w:pPr>
        <w:numPr>
          <w:ilvl w:val="0"/>
          <w:numId w:val="0"/>
        </w:numPr>
        <w:autoSpaceDE w:val="0"/>
        <w:autoSpaceDN w:val="0"/>
        <w:adjustRightInd w:val="0"/>
        <w:spacing w:line="600" w:lineRule="exact"/>
        <w:jc w:val="left"/>
        <w:outlineLvl w:val="2"/>
        <w:rPr>
          <w:rFonts w:hint="default" w:ascii="仿宋" w:hAnsi="仿宋" w:eastAsia="仿宋"/>
          <w:b/>
          <w:color w:val="000000"/>
          <w:sz w:val="32"/>
          <w:szCs w:val="32"/>
          <w:lang w:val="en-US" w:eastAsia="zh-CN"/>
        </w:rPr>
      </w:pP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6"/>
      <w:bookmarkEnd w:id="57"/>
    </w:p>
    <w:p>
      <w:pPr>
        <w:numPr>
          <w:ilvl w:val="0"/>
          <w:numId w:val="0"/>
        </w:numPr>
        <w:spacing w:line="600" w:lineRule="exact"/>
        <w:jc w:val="both"/>
        <w:outlineLvl w:val="0"/>
        <w:rPr>
          <w:rStyle w:val="24"/>
          <w:rFonts w:ascii="黑体" w:hAnsi="黑体" w:eastAsia="黑体"/>
          <w:b w:val="0"/>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hint="eastAsia" w:ascii="仿宋_GB2312" w:eastAsia="仿宋_GB2312" w:cs="Arial"/>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hint="eastAsia" w:ascii="仿宋_GB2312" w:eastAsia="仿宋_GB2312"/>
          <w:color w:val="000000"/>
          <w:sz w:val="32"/>
          <w:szCs w:val="32"/>
        </w:rPr>
      </w:pPr>
      <w:r>
        <w:rPr>
          <w:rStyle w:val="14"/>
          <w:rFonts w:hint="eastAsia" w:ascii="仿宋_GB2312" w:eastAsia="仿宋_GB2312"/>
          <w:b w:val="0"/>
          <w:color w:val="000000"/>
          <w:sz w:val="32"/>
          <w:szCs w:val="32"/>
          <w:lang w:val="en-US" w:eastAsia="zh-CN"/>
        </w:rPr>
        <w:t>10</w:t>
      </w:r>
      <w:r>
        <w:rPr>
          <w:rStyle w:val="14"/>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numPr>
          <w:ilvl w:val="0"/>
          <w:numId w:val="0"/>
        </w:numPr>
        <w:spacing w:line="600" w:lineRule="exact"/>
        <w:jc w:val="both"/>
        <w:outlineLvl w:val="0"/>
        <w:rPr>
          <w:rStyle w:val="24"/>
          <w:rFonts w:hint="default" w:ascii="黑体" w:hAnsi="黑体" w:eastAsia="黑体"/>
          <w:b w:val="0"/>
          <w:lang w:val="en-US" w:eastAsia="zh-CN"/>
        </w:rPr>
      </w:pPr>
    </w:p>
    <w:p>
      <w:pPr>
        <w:spacing w:line="600" w:lineRule="exact"/>
        <w:jc w:val="left"/>
        <w:rPr>
          <w:rFonts w:ascii="宋体"/>
          <w:b/>
          <w:color w:val="000000"/>
          <w:sz w:val="44"/>
          <w:szCs w:val="44"/>
        </w:rPr>
      </w:pPr>
    </w:p>
    <w:p>
      <w:pPr>
        <w:spacing w:line="600" w:lineRule="exact"/>
        <w:jc w:val="center"/>
        <w:outlineLvl w:val="0"/>
        <w:rPr>
          <w:rStyle w:val="24"/>
          <w:rFonts w:ascii="黑体" w:hAnsi="黑体" w:eastAsia="黑体"/>
          <w:b w:val="0"/>
        </w:rPr>
      </w:pPr>
      <w:bookmarkStart w:id="58" w:name="_Toc15396614"/>
      <w:bookmarkStart w:id="59"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60" w:name="_Toc15396615"/>
      <w:r>
        <w:rPr>
          <w:rStyle w:val="24"/>
          <w:rFonts w:hint="eastAsia" w:ascii="仿宋" w:hAnsi="仿宋" w:eastAsia="仿宋"/>
          <w:b w:val="0"/>
          <w:bCs w:val="0"/>
          <w:sz w:val="32"/>
          <w:szCs w:val="32"/>
        </w:rPr>
        <w:t>附件1</w:t>
      </w:r>
      <w:bookmarkEnd w:id="60"/>
    </w:p>
    <w:p>
      <w:pPr>
        <w:spacing w:line="600" w:lineRule="exact"/>
        <w:jc w:val="center"/>
        <w:outlineLvl w:val="0"/>
        <w:rPr>
          <w:rFonts w:ascii="黑体" w:hAnsi="黑体" w:eastAsia="黑体" w:cs="方正小标宋简体"/>
          <w:sz w:val="36"/>
          <w:szCs w:val="36"/>
        </w:rPr>
      </w:pPr>
      <w:bookmarkStart w:id="61" w:name="_Toc15396616"/>
      <w:r>
        <w:rPr>
          <w:rFonts w:hint="eastAsia" w:ascii="黑体" w:hAnsi="黑体" w:eastAsia="黑体" w:cs="方正小标宋简体"/>
          <w:sz w:val="36"/>
          <w:szCs w:val="36"/>
        </w:rPr>
        <w:t>达州市达川区</w:t>
      </w:r>
      <w:r>
        <w:rPr>
          <w:rFonts w:hint="eastAsia" w:ascii="黑体" w:hAnsi="黑体" w:eastAsia="黑体" w:cs="方正小标宋简体"/>
          <w:sz w:val="36"/>
          <w:szCs w:val="36"/>
          <w:lang w:eastAsia="zh-CN"/>
        </w:rPr>
        <w:t>赵家镇中心</w:t>
      </w:r>
      <w:r>
        <w:rPr>
          <w:rFonts w:hint="eastAsia" w:ascii="黑体" w:hAnsi="黑体" w:eastAsia="黑体" w:cs="方正小标宋简体"/>
          <w:sz w:val="36"/>
          <w:szCs w:val="36"/>
        </w:rPr>
        <w:t>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61"/>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赵家镇中心</w:t>
      </w:r>
      <w:r>
        <w:rPr>
          <w:rFonts w:hint="eastAsia" w:ascii="仿宋" w:hAnsi="仿宋" w:eastAsia="仿宋" w:cs="仿宋_GB2312"/>
          <w:sz w:val="32"/>
          <w:szCs w:val="32"/>
        </w:rPr>
        <w:t>卫生院是一家</w:t>
      </w:r>
      <w:r>
        <w:rPr>
          <w:rFonts w:hint="eastAsia" w:ascii="仿宋" w:hAnsi="仿宋" w:eastAsia="仿宋" w:cs="仿宋_GB2312"/>
          <w:sz w:val="32"/>
          <w:szCs w:val="32"/>
          <w:lang w:eastAsia="zh-CN"/>
        </w:rPr>
        <w:t>一级预算单位</w:t>
      </w:r>
      <w:r>
        <w:rPr>
          <w:rFonts w:hint="eastAsia" w:ascii="仿宋" w:hAnsi="仿宋" w:eastAsia="仿宋" w:cs="仿宋_GB2312"/>
          <w:sz w:val="32"/>
          <w:szCs w:val="32"/>
        </w:rPr>
        <w:t>，无其他下属单位。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赵家镇中心</w:t>
      </w:r>
      <w:r>
        <w:rPr>
          <w:rFonts w:hint="eastAsia" w:ascii="仿宋" w:hAnsi="仿宋" w:eastAsia="仿宋" w:cs="仿宋_GB2312"/>
          <w:sz w:val="32"/>
          <w:szCs w:val="32"/>
        </w:rPr>
        <w:t>卫生院是</w:t>
      </w:r>
      <w:r>
        <w:rPr>
          <w:rFonts w:hint="eastAsia" w:ascii="仿宋" w:hAnsi="仿宋" w:eastAsia="仿宋" w:cs="仿宋_GB2312"/>
          <w:sz w:val="32"/>
          <w:szCs w:val="32"/>
          <w:lang w:eastAsia="zh-CN"/>
        </w:rPr>
        <w:t>一级甲等卫生院</w:t>
      </w:r>
      <w:r>
        <w:rPr>
          <w:rFonts w:hint="eastAsia" w:ascii="仿宋" w:hAnsi="仿宋" w:eastAsia="仿宋" w:cs="仿宋_GB2312"/>
          <w:sz w:val="32"/>
          <w:szCs w:val="32"/>
        </w:rPr>
        <w:t>，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DR、B超、全自动生化分析仪、麻醉呼吸机等辅助设备，现设有内科、外科、妇产科、五官科、中医科、理疗科等科室。开展了中下腹部手术，剖宫产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达州市达川区</w:t>
      </w:r>
      <w:r>
        <w:rPr>
          <w:rFonts w:hint="eastAsia" w:ascii="仿宋" w:hAnsi="仿宋" w:eastAsia="仿宋" w:cs="仿宋_GB2312"/>
          <w:sz w:val="32"/>
          <w:szCs w:val="32"/>
          <w:lang w:eastAsia="zh-CN"/>
        </w:rPr>
        <w:t>赵家镇中心</w:t>
      </w:r>
      <w:r>
        <w:rPr>
          <w:rFonts w:hint="eastAsia" w:ascii="仿宋" w:hAnsi="仿宋" w:eastAsia="仿宋"/>
          <w:sz w:val="32"/>
          <w:szCs w:val="32"/>
        </w:rPr>
        <w:t>卫生院，在201</w:t>
      </w:r>
      <w:r>
        <w:rPr>
          <w:rFonts w:hint="eastAsia" w:ascii="仿宋" w:hAnsi="仿宋" w:eastAsia="仿宋"/>
          <w:sz w:val="32"/>
          <w:szCs w:val="32"/>
          <w:lang w:val="en-US" w:eastAsia="zh-CN"/>
        </w:rPr>
        <w:t>9</w:t>
      </w:r>
      <w:r>
        <w:rPr>
          <w:rFonts w:hint="eastAsia" w:ascii="仿宋" w:hAnsi="仿宋" w:eastAsia="仿宋"/>
          <w:sz w:val="32"/>
          <w:szCs w:val="32"/>
        </w:rPr>
        <w:t>年年初有在编职工</w:t>
      </w:r>
      <w:r>
        <w:rPr>
          <w:rFonts w:hint="eastAsia" w:ascii="仿宋" w:hAnsi="仿宋" w:eastAsia="仿宋"/>
          <w:sz w:val="32"/>
          <w:szCs w:val="32"/>
          <w:lang w:val="en-US" w:eastAsia="zh-CN"/>
        </w:rPr>
        <w:t>67</w:t>
      </w:r>
      <w:r>
        <w:rPr>
          <w:rFonts w:hint="eastAsia" w:ascii="仿宋" w:hAnsi="仿宋" w:eastAsia="仿宋"/>
          <w:sz w:val="32"/>
          <w:szCs w:val="32"/>
        </w:rPr>
        <w:t>人，在201</w:t>
      </w:r>
      <w:r>
        <w:rPr>
          <w:rFonts w:hint="eastAsia" w:ascii="仿宋" w:hAnsi="仿宋" w:eastAsia="仿宋"/>
          <w:sz w:val="32"/>
          <w:szCs w:val="32"/>
          <w:lang w:val="en-US" w:eastAsia="zh-CN"/>
        </w:rPr>
        <w:t>9</w:t>
      </w:r>
      <w:r>
        <w:rPr>
          <w:rFonts w:hint="eastAsia" w:ascii="仿宋" w:hAnsi="仿宋" w:eastAsia="仿宋"/>
          <w:sz w:val="32"/>
          <w:szCs w:val="32"/>
        </w:rPr>
        <w:t>年末在编职工</w:t>
      </w:r>
      <w:r>
        <w:rPr>
          <w:rFonts w:hint="eastAsia" w:ascii="仿宋" w:hAnsi="仿宋" w:eastAsia="仿宋"/>
          <w:sz w:val="32"/>
          <w:szCs w:val="32"/>
          <w:lang w:val="en-US" w:eastAsia="zh-CN"/>
        </w:rPr>
        <w:t>63</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退休</w:t>
      </w:r>
      <w:r>
        <w:rPr>
          <w:rFonts w:hint="eastAsia" w:ascii="仿宋" w:hAnsi="仿宋" w:eastAsia="仿宋"/>
          <w:sz w:val="32"/>
          <w:szCs w:val="32"/>
          <w:lang w:val="en-US" w:eastAsia="zh-CN"/>
        </w:rPr>
        <w:t>34</w:t>
      </w:r>
      <w:r>
        <w:rPr>
          <w:rFonts w:hint="eastAsia" w:ascii="仿宋" w:hAnsi="仿宋" w:eastAsia="仿宋"/>
          <w:sz w:val="32"/>
          <w:szCs w:val="32"/>
        </w:rPr>
        <w:t>人，调出</w:t>
      </w:r>
      <w:r>
        <w:rPr>
          <w:rFonts w:hint="eastAsia" w:ascii="仿宋" w:hAnsi="仿宋" w:eastAsia="仿宋"/>
          <w:sz w:val="32"/>
          <w:szCs w:val="32"/>
          <w:lang w:val="en-US" w:eastAsia="zh-CN"/>
        </w:rPr>
        <w:t>0</w:t>
      </w:r>
      <w:r>
        <w:rPr>
          <w:rFonts w:hint="eastAsia" w:ascii="仿宋" w:hAnsi="仿宋" w:eastAsia="仿宋"/>
          <w:sz w:val="32"/>
          <w:szCs w:val="32"/>
        </w:rPr>
        <w:t>人，201</w:t>
      </w:r>
      <w:r>
        <w:rPr>
          <w:rFonts w:hint="eastAsia" w:ascii="仿宋" w:hAnsi="仿宋" w:eastAsia="仿宋"/>
          <w:sz w:val="32"/>
          <w:szCs w:val="32"/>
          <w:lang w:val="en-US" w:eastAsia="zh-CN"/>
        </w:rPr>
        <w:t>9</w:t>
      </w:r>
      <w:r>
        <w:rPr>
          <w:rFonts w:hint="eastAsia" w:ascii="仿宋" w:hAnsi="仿宋" w:eastAsia="仿宋"/>
          <w:sz w:val="32"/>
          <w:szCs w:val="32"/>
        </w:rPr>
        <w:t>年末我院有临聘人员</w:t>
      </w:r>
      <w:r>
        <w:rPr>
          <w:rFonts w:hint="eastAsia" w:ascii="仿宋" w:hAnsi="仿宋" w:eastAsia="仿宋"/>
          <w:sz w:val="32"/>
          <w:szCs w:val="32"/>
          <w:lang w:val="en-US" w:eastAsia="zh-CN"/>
        </w:rPr>
        <w:t>5</w:t>
      </w:r>
      <w:r>
        <w:rPr>
          <w:rFonts w:hint="eastAsia" w:ascii="仿宋" w:hAnsi="仿宋" w:eastAsia="仿宋"/>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年我院财政拨款收入总计</w:t>
      </w:r>
      <w:r>
        <w:rPr>
          <w:rFonts w:hint="eastAsia" w:ascii="仿宋" w:hAnsi="仿宋" w:eastAsia="仿宋" w:cs="仿宋_GB2312"/>
          <w:sz w:val="32"/>
          <w:szCs w:val="32"/>
          <w:lang w:val="en-US" w:eastAsia="zh-CN"/>
        </w:rPr>
        <w:t>773.05</w:t>
      </w:r>
      <w:r>
        <w:rPr>
          <w:rFonts w:hint="eastAsia" w:ascii="仿宋" w:hAnsi="仿宋" w:eastAsia="仿宋" w:cs="仿宋_GB2312"/>
          <w:sz w:val="32"/>
          <w:szCs w:val="32"/>
        </w:rPr>
        <w:t>万元，其中一般公共预算财政拨款收入</w:t>
      </w:r>
      <w:r>
        <w:rPr>
          <w:rFonts w:hint="eastAsia" w:ascii="仿宋" w:hAnsi="仿宋" w:eastAsia="仿宋" w:cs="仿宋_GB2312"/>
          <w:sz w:val="32"/>
          <w:szCs w:val="32"/>
          <w:lang w:val="en-US" w:eastAsia="zh-CN"/>
        </w:rPr>
        <w:t>682.39</w:t>
      </w:r>
      <w:r>
        <w:rPr>
          <w:rFonts w:hint="eastAsia" w:ascii="仿宋" w:hAnsi="仿宋" w:eastAsia="仿宋" w:cs="仿宋_GB2312"/>
          <w:sz w:val="32"/>
          <w:szCs w:val="32"/>
        </w:rPr>
        <w:t>万元，年初财政补助结转和结余</w:t>
      </w:r>
      <w:r>
        <w:rPr>
          <w:rFonts w:hint="eastAsia" w:ascii="仿宋" w:hAnsi="仿宋" w:eastAsia="仿宋" w:cs="仿宋_GB2312"/>
          <w:sz w:val="32"/>
          <w:szCs w:val="32"/>
          <w:lang w:val="en-US" w:eastAsia="zh-CN"/>
        </w:rPr>
        <w:t>90.66</w:t>
      </w:r>
      <w:r>
        <w:rPr>
          <w:rFonts w:hint="eastAsia" w:ascii="仿宋" w:hAnsi="仿宋" w:eastAsia="仿宋" w:cs="仿宋_GB2312"/>
          <w:sz w:val="32"/>
          <w:szCs w:val="32"/>
        </w:rPr>
        <w:t>万元。</w:t>
      </w:r>
    </w:p>
    <w:p>
      <w:pPr>
        <w:numPr>
          <w:ilvl w:val="0"/>
          <w:numId w:val="7"/>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年我院财政拨款支出总计</w:t>
      </w:r>
      <w:r>
        <w:rPr>
          <w:rFonts w:hint="eastAsia" w:ascii="仿宋" w:hAnsi="仿宋" w:eastAsia="仿宋" w:cs="仿宋_GB2312"/>
          <w:sz w:val="32"/>
          <w:szCs w:val="32"/>
          <w:lang w:val="en-US" w:eastAsia="zh-CN"/>
        </w:rPr>
        <w:t>773.05</w:t>
      </w:r>
      <w:r>
        <w:rPr>
          <w:rFonts w:hint="eastAsia" w:ascii="仿宋" w:hAnsi="仿宋" w:eastAsia="仿宋" w:cs="仿宋_GB2312"/>
          <w:sz w:val="32"/>
          <w:szCs w:val="32"/>
        </w:rPr>
        <w:t>万元，其中一般公共预算财政拨款支出</w:t>
      </w:r>
      <w:r>
        <w:rPr>
          <w:rFonts w:hint="eastAsia" w:ascii="仿宋" w:hAnsi="仿宋" w:eastAsia="仿宋" w:cs="仿宋_GB2312"/>
          <w:sz w:val="32"/>
          <w:szCs w:val="32"/>
          <w:lang w:val="en-US" w:eastAsia="zh-CN"/>
        </w:rPr>
        <w:t>528.33</w:t>
      </w:r>
      <w:r>
        <w:rPr>
          <w:rFonts w:hint="eastAsia" w:ascii="仿宋" w:hAnsi="仿宋" w:eastAsia="仿宋" w:cs="仿宋_GB2312"/>
          <w:sz w:val="32"/>
          <w:szCs w:val="32"/>
        </w:rPr>
        <w:t>万元，年末财政补助结转和结余</w:t>
      </w:r>
      <w:r>
        <w:rPr>
          <w:rFonts w:hint="eastAsia" w:ascii="仿宋" w:hAnsi="仿宋" w:eastAsia="仿宋" w:cs="仿宋_GB2312"/>
          <w:sz w:val="32"/>
          <w:szCs w:val="32"/>
          <w:lang w:val="en-US" w:eastAsia="zh-CN"/>
        </w:rPr>
        <w:t>244.72</w:t>
      </w:r>
      <w:r>
        <w:rPr>
          <w:rFonts w:hint="eastAsia" w:ascii="仿宋" w:hAnsi="仿宋" w:eastAsia="仿宋" w:cs="仿宋_GB2312"/>
          <w:sz w:val="32"/>
          <w:szCs w:val="32"/>
        </w:rPr>
        <w:t>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年预算编制工作，按时完成基础库、项目库报送工作，并按时提交部门预算草案。绩效目标是预算编制的前提和基础，按照“费随事定”的原则，201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 12 月 31 日，我院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年财政资金一般公共预算财政拨款执行进度为</w:t>
      </w:r>
      <w:r>
        <w:rPr>
          <w:rFonts w:hint="eastAsia" w:ascii="仿宋" w:hAnsi="仿宋" w:eastAsia="仿宋" w:cs="仿宋_GB2312"/>
          <w:sz w:val="32"/>
          <w:szCs w:val="32"/>
          <w:lang w:val="en-US" w:eastAsia="zh-CN"/>
        </w:rPr>
        <w:t>77.42</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ascii="仿宋" w:hAnsi="仿宋" w:eastAsia="仿宋" w:cs="仿宋_GB2312"/>
          <w:sz w:val="32"/>
          <w:szCs w:val="32"/>
        </w:rPr>
        <w:t xml:space="preserve"> 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pStyle w:val="3"/>
        <w:rPr>
          <w:rStyle w:val="24"/>
          <w:rFonts w:hint="eastAsia" w:ascii="仿宋" w:hAnsi="仿宋" w:eastAsia="仿宋"/>
          <w:b w:val="0"/>
          <w:bCs w:val="0"/>
          <w:sz w:val="32"/>
          <w:szCs w:val="32"/>
        </w:rPr>
      </w:pPr>
      <w:bookmarkStart w:id="62" w:name="_Toc15396617"/>
      <w:r>
        <w:rPr>
          <w:rStyle w:val="24"/>
          <w:rFonts w:hint="eastAsia" w:ascii="仿宋" w:hAnsi="仿宋" w:eastAsia="仿宋"/>
          <w:b w:val="0"/>
          <w:bCs w:val="0"/>
          <w:sz w:val="32"/>
          <w:szCs w:val="32"/>
        </w:rPr>
        <w:t>附件2</w:t>
      </w:r>
      <w:bookmarkEnd w:id="62"/>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达州市达川区赵家镇中心卫生院</w:t>
      </w:r>
    </w:p>
    <w:p>
      <w:pPr>
        <w:rPr>
          <w:rFonts w:hint="default" w:eastAsia="仿宋"/>
          <w:lang w:val="en-US" w:eastAsia="zh-CN"/>
        </w:rPr>
      </w:pPr>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lang w:eastAsia="zh-CN"/>
        </w:rPr>
        <w:t>年项目支出绩效评价报告</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提高基本公共卫生服务项目均等化水平，推进基本公卫生服务项目开展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r>
        <w:rPr>
          <w:rFonts w:hint="eastAsia" w:ascii="仿宋" w:hAnsi="仿宋" w:eastAsia="仿宋"/>
          <w:sz w:val="32"/>
          <w:szCs w:val="32"/>
          <w:lang w:eastAsia="zh-CN"/>
        </w:rPr>
        <w:t>项目</w:t>
      </w:r>
      <w:r>
        <w:rPr>
          <w:rFonts w:hint="eastAsia" w:ascii="仿宋" w:hAnsi="仿宋" w:eastAsia="仿宋"/>
          <w:sz w:val="32"/>
          <w:szCs w:val="32"/>
        </w:rPr>
        <w:t>支出绩效自评得分为</w:t>
      </w:r>
      <w:r>
        <w:rPr>
          <w:rFonts w:hint="eastAsia" w:ascii="仿宋" w:hAnsi="仿宋" w:eastAsia="仿宋"/>
          <w:sz w:val="32"/>
          <w:szCs w:val="32"/>
          <w:lang w:val="en-US" w:eastAsia="zh-CN"/>
        </w:rPr>
        <w:t>88</w:t>
      </w:r>
      <w:r>
        <w:rPr>
          <w:rFonts w:hint="eastAsia" w:ascii="仿宋" w:hAnsi="仿宋" w:eastAsia="仿宋"/>
          <w:sz w:val="32"/>
          <w:szCs w:val="32"/>
        </w:rPr>
        <w:t>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125.80万元、基层医疗机构基本药物制度</w:t>
      </w:r>
      <w:r>
        <w:rPr>
          <w:rFonts w:hint="eastAsia" w:ascii="仿宋" w:hAnsi="仿宋" w:eastAsia="仿宋"/>
          <w:sz w:val="32"/>
          <w:szCs w:val="32"/>
          <w:lang w:eastAsia="zh-CN"/>
        </w:rPr>
        <w:t>下拨资金</w:t>
      </w:r>
      <w:r>
        <w:rPr>
          <w:rFonts w:hint="eastAsia" w:ascii="仿宋" w:hAnsi="仿宋" w:eastAsia="仿宋"/>
          <w:sz w:val="32"/>
          <w:szCs w:val="32"/>
          <w:lang w:val="en-US" w:eastAsia="zh-CN"/>
        </w:rPr>
        <w:t>26.99万元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（2）资金使用。</w:t>
      </w:r>
      <w:r>
        <w:rPr>
          <w:rFonts w:hint="eastAsia" w:ascii="仿宋" w:hAnsi="仿宋" w:eastAsia="仿宋"/>
          <w:sz w:val="32"/>
          <w:szCs w:val="32"/>
          <w:lang w:eastAsia="zh-CN"/>
        </w:rPr>
        <w:t>各单位根据业务需要购买货物及工作运行开支</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，居民满意度、建档立卡贫困户满意度≧90%；基本药物零差率销售率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_GB2312" w:hAnsi="仿宋_GB2312" w:eastAsia="仿宋" w:cs="仿宋_GB2312"/>
          <w:sz w:val="32"/>
          <w:szCs w:val="32"/>
          <w:lang w:eastAsia="zh-CN"/>
        </w:rPr>
      </w:pPr>
      <w:r>
        <w:rPr>
          <w:rFonts w:hint="eastAsia" w:ascii="仿宋" w:hAnsi="仿宋" w:eastAsia="仿宋"/>
          <w:sz w:val="32"/>
          <w:szCs w:val="32"/>
        </w:rPr>
        <w:t>3、进一步完善和落实相关管理制度，加强内部控制管理制度学习，严格遵照相关制度贯彻落实到位，做到精细化管</w:t>
      </w:r>
      <w:r>
        <w:rPr>
          <w:rFonts w:hint="eastAsia" w:ascii="仿宋" w:hAnsi="仿宋" w:eastAsia="仿宋"/>
          <w:sz w:val="32"/>
          <w:szCs w:val="32"/>
          <w:lang w:eastAsia="zh-CN"/>
        </w:rPr>
        <w:t>理。</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4"/>
          <w:rFonts w:ascii="黑体" w:hAnsi="黑体" w:eastAsia="黑体"/>
          <w:b w:val="0"/>
        </w:rPr>
      </w:pPr>
      <w:bookmarkStart w:id="63"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9"/>
      <w:bookmarkEnd w:id="6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4"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5"/>
    </w:p>
    <w:p>
      <w:pPr>
        <w:pStyle w:val="3"/>
        <w:rPr>
          <w:rFonts w:ascii="仿宋" w:hAnsi="仿宋" w:eastAsia="仿宋"/>
          <w:color w:val="000000"/>
        </w:rPr>
      </w:pPr>
      <w:bookmarkStart w:id="6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6"/>
    </w:p>
    <w:p>
      <w:pPr>
        <w:pStyle w:val="3"/>
        <w:rPr>
          <w:rFonts w:ascii="仿宋" w:hAnsi="仿宋" w:eastAsia="仿宋"/>
          <w:b w:val="0"/>
          <w:color w:val="000000"/>
        </w:rPr>
      </w:pPr>
      <w:bookmarkStart w:id="67"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7"/>
    </w:p>
    <w:p>
      <w:pPr>
        <w:pStyle w:val="3"/>
        <w:rPr>
          <w:rFonts w:ascii="仿宋" w:hAnsi="仿宋" w:eastAsia="仿宋"/>
          <w:color w:val="000000"/>
        </w:rPr>
      </w:pPr>
      <w:bookmarkStart w:id="6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8"/>
    </w:p>
    <w:p>
      <w:pPr>
        <w:pStyle w:val="3"/>
        <w:rPr>
          <w:rFonts w:ascii="仿宋" w:hAnsi="仿宋" w:eastAsia="仿宋"/>
          <w:color w:val="000000"/>
        </w:rPr>
      </w:pPr>
      <w:bookmarkStart w:id="69"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14:textFill>
            <w14:solidFill>
              <w14:schemeClr w14:val="tx1"/>
            </w14:solidFill>
          </w14:textFill>
        </w:rPr>
      </w:pPr>
      <w:bookmarkStart w:id="7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Segoe Print"/>
    <w:panose1 w:val="0201060906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F4911366"/>
    <w:multiLevelType w:val="singleLevel"/>
    <w:tmpl w:val="F4911366"/>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1BA8B6F6"/>
    <w:multiLevelType w:val="singleLevel"/>
    <w:tmpl w:val="1BA8B6F6"/>
    <w:lvl w:ilvl="0" w:tentative="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2B83"/>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8638F2"/>
    <w:rsid w:val="01DB193B"/>
    <w:rsid w:val="02256450"/>
    <w:rsid w:val="0279634B"/>
    <w:rsid w:val="03DB27F6"/>
    <w:rsid w:val="048A0FE5"/>
    <w:rsid w:val="04DC2EF8"/>
    <w:rsid w:val="052865C6"/>
    <w:rsid w:val="054142A6"/>
    <w:rsid w:val="071C094A"/>
    <w:rsid w:val="07446BB2"/>
    <w:rsid w:val="075A7A20"/>
    <w:rsid w:val="076E6C2E"/>
    <w:rsid w:val="07FF57C8"/>
    <w:rsid w:val="082F566E"/>
    <w:rsid w:val="0840164D"/>
    <w:rsid w:val="08D37AE0"/>
    <w:rsid w:val="08D40476"/>
    <w:rsid w:val="091E455D"/>
    <w:rsid w:val="0A6516D9"/>
    <w:rsid w:val="0A8957EF"/>
    <w:rsid w:val="0F3C6E92"/>
    <w:rsid w:val="10A81160"/>
    <w:rsid w:val="10C055FF"/>
    <w:rsid w:val="111817F9"/>
    <w:rsid w:val="11922636"/>
    <w:rsid w:val="11923ED2"/>
    <w:rsid w:val="13CA407F"/>
    <w:rsid w:val="146D667F"/>
    <w:rsid w:val="16BB723D"/>
    <w:rsid w:val="17306424"/>
    <w:rsid w:val="19982436"/>
    <w:rsid w:val="1A675C1A"/>
    <w:rsid w:val="1BA33A82"/>
    <w:rsid w:val="1CF55D8C"/>
    <w:rsid w:val="1CFD6AA5"/>
    <w:rsid w:val="1E313D56"/>
    <w:rsid w:val="1E7C4864"/>
    <w:rsid w:val="1EAF2A13"/>
    <w:rsid w:val="1EE6715C"/>
    <w:rsid w:val="20456374"/>
    <w:rsid w:val="20C66EE9"/>
    <w:rsid w:val="211E71CA"/>
    <w:rsid w:val="21224806"/>
    <w:rsid w:val="21760C51"/>
    <w:rsid w:val="22BD12D4"/>
    <w:rsid w:val="236A3ECF"/>
    <w:rsid w:val="23FB3926"/>
    <w:rsid w:val="240371BF"/>
    <w:rsid w:val="2474596A"/>
    <w:rsid w:val="2596790C"/>
    <w:rsid w:val="28511EFA"/>
    <w:rsid w:val="29FD04D3"/>
    <w:rsid w:val="2B075042"/>
    <w:rsid w:val="2BA87372"/>
    <w:rsid w:val="2C212C6F"/>
    <w:rsid w:val="2D8B6D20"/>
    <w:rsid w:val="2DE41053"/>
    <w:rsid w:val="2DF6486A"/>
    <w:rsid w:val="2E5A1EFA"/>
    <w:rsid w:val="2EDE005A"/>
    <w:rsid w:val="2EFF50B2"/>
    <w:rsid w:val="3024324C"/>
    <w:rsid w:val="30AE146E"/>
    <w:rsid w:val="31696855"/>
    <w:rsid w:val="319F7F4E"/>
    <w:rsid w:val="334A6470"/>
    <w:rsid w:val="33783A67"/>
    <w:rsid w:val="346A3AB3"/>
    <w:rsid w:val="35AF1F71"/>
    <w:rsid w:val="35FF1CC1"/>
    <w:rsid w:val="369D1D71"/>
    <w:rsid w:val="395114BD"/>
    <w:rsid w:val="397244F3"/>
    <w:rsid w:val="3A3A66C7"/>
    <w:rsid w:val="3B2B73AF"/>
    <w:rsid w:val="3BE32A8D"/>
    <w:rsid w:val="3C4B5029"/>
    <w:rsid w:val="3CEC322C"/>
    <w:rsid w:val="3E364D87"/>
    <w:rsid w:val="3F7E187C"/>
    <w:rsid w:val="40B71887"/>
    <w:rsid w:val="414E4ECA"/>
    <w:rsid w:val="41786CB3"/>
    <w:rsid w:val="41896E11"/>
    <w:rsid w:val="425C1A75"/>
    <w:rsid w:val="42F82B99"/>
    <w:rsid w:val="42FC33EB"/>
    <w:rsid w:val="4304062D"/>
    <w:rsid w:val="43C17E81"/>
    <w:rsid w:val="449B048E"/>
    <w:rsid w:val="44CB3CFA"/>
    <w:rsid w:val="456414C2"/>
    <w:rsid w:val="458A7233"/>
    <w:rsid w:val="45B8029E"/>
    <w:rsid w:val="467A6C1A"/>
    <w:rsid w:val="47237E6C"/>
    <w:rsid w:val="4A095728"/>
    <w:rsid w:val="4A8932D9"/>
    <w:rsid w:val="4B137BEF"/>
    <w:rsid w:val="4B163E9F"/>
    <w:rsid w:val="4B3E4288"/>
    <w:rsid w:val="4B766D4B"/>
    <w:rsid w:val="4D55723C"/>
    <w:rsid w:val="4DCB34A7"/>
    <w:rsid w:val="4DE4047A"/>
    <w:rsid w:val="4E2A7A88"/>
    <w:rsid w:val="4F5517AB"/>
    <w:rsid w:val="515071EA"/>
    <w:rsid w:val="51B317D9"/>
    <w:rsid w:val="51FD40DD"/>
    <w:rsid w:val="542906AF"/>
    <w:rsid w:val="56A7294C"/>
    <w:rsid w:val="56AC36E1"/>
    <w:rsid w:val="57A45343"/>
    <w:rsid w:val="5B166034"/>
    <w:rsid w:val="5B1D73F9"/>
    <w:rsid w:val="5CC966C3"/>
    <w:rsid w:val="5CF4307A"/>
    <w:rsid w:val="5D457EBD"/>
    <w:rsid w:val="5D693D83"/>
    <w:rsid w:val="5E434B14"/>
    <w:rsid w:val="5EB56BB1"/>
    <w:rsid w:val="5EC81A39"/>
    <w:rsid w:val="5EFA7DCC"/>
    <w:rsid w:val="5F71274B"/>
    <w:rsid w:val="5F863C42"/>
    <w:rsid w:val="603563C9"/>
    <w:rsid w:val="60A513F8"/>
    <w:rsid w:val="61420CF3"/>
    <w:rsid w:val="62395D60"/>
    <w:rsid w:val="62832321"/>
    <w:rsid w:val="62C57CC4"/>
    <w:rsid w:val="63F23B05"/>
    <w:rsid w:val="64B07D65"/>
    <w:rsid w:val="65850572"/>
    <w:rsid w:val="65D47265"/>
    <w:rsid w:val="67163B5B"/>
    <w:rsid w:val="67911BE7"/>
    <w:rsid w:val="6BEB648F"/>
    <w:rsid w:val="6C097052"/>
    <w:rsid w:val="6C0F367D"/>
    <w:rsid w:val="6D68227B"/>
    <w:rsid w:val="6E493775"/>
    <w:rsid w:val="6FEB41DC"/>
    <w:rsid w:val="70740342"/>
    <w:rsid w:val="7085743D"/>
    <w:rsid w:val="70910491"/>
    <w:rsid w:val="70F9730E"/>
    <w:rsid w:val="71ED1780"/>
    <w:rsid w:val="738A398F"/>
    <w:rsid w:val="74A86E9D"/>
    <w:rsid w:val="75ED5900"/>
    <w:rsid w:val="762D1A94"/>
    <w:rsid w:val="77882EDC"/>
    <w:rsid w:val="78D526A4"/>
    <w:rsid w:val="7977020D"/>
    <w:rsid w:val="79D3083A"/>
    <w:rsid w:val="79E451CD"/>
    <w:rsid w:val="7A154CD3"/>
    <w:rsid w:val="7A406BB6"/>
    <w:rsid w:val="7A9940F0"/>
    <w:rsid w:val="7B8E1787"/>
    <w:rsid w:val="7C5B224E"/>
    <w:rsid w:val="7CBF6E66"/>
    <w:rsid w:val="7D2652DD"/>
    <w:rsid w:val="7D523148"/>
    <w:rsid w:val="7D8B6D74"/>
    <w:rsid w:val="7E792CAC"/>
    <w:rsid w:val="7F9C1C39"/>
    <w:rsid w:val="7FB60E90"/>
    <w:rsid w:val="7FC63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22270;&#3492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22270;&#3492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22270;&#34920;&#27169;&#264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915;&#31639;&#20844;&#24320;\&#22270;&#34920;&#27169;&#264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915;&#31639;&#20844;&#24320;\&#22270;&#34920;&#27169;&#2649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915;&#31639;&#20844;&#24320;\&#22270;&#3492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r>
              <a:t> </a:t>
            </a:r>
          </a:p>
        </c:rich>
      </c:tx>
      <c:layout>
        <c:manualLayout>
          <c:xMode val="edge"/>
          <c:yMode val="edge"/>
          <c:x val="0.258888888888889"/>
          <c:y val="0.0243055555555556"/>
        </c:manualLayout>
      </c:layout>
      <c:overlay val="0"/>
      <c:spPr>
        <a:noFill/>
        <a:ln>
          <a:noFill/>
        </a:ln>
        <a:effectLst/>
      </c:spPr>
    </c:title>
    <c:autoTitleDeleted val="0"/>
    <c:plotArea>
      <c:layout/>
      <c:barChart>
        <c:barDir val="col"/>
        <c:grouping val="stacked"/>
        <c:varyColors val="0"/>
        <c:ser>
          <c:idx val="0"/>
          <c:order val="0"/>
          <c:tx>
            <c:strRef>
              <c:f>[图表模板.xlsx]赵家!$C$1</c:f>
              <c:strCache>
                <c:ptCount val="1"/>
                <c:pt idx="0">
                  <c:v>收、支决算总计变动情况图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[图表模板.xlsx]赵家!$B$2:$B$3</c:f>
              <c:strCache>
                <c:ptCount val="2"/>
                <c:pt idx="0">
                  <c:v>2019年</c:v>
                </c:pt>
                <c:pt idx="1">
                  <c:v>2018年</c:v>
                </c:pt>
              </c:strCache>
            </c:strRef>
          </c:cat>
          <c:val>
            <c:numRef>
              <c:f>[图表模板.xlsx]赵家!$C$2:$C$3</c:f>
              <c:numCache>
                <c:formatCode>#,##0.00</c:formatCode>
                <c:ptCount val="2"/>
                <c:pt idx="0">
                  <c:v>1478.4</c:v>
                </c:pt>
                <c:pt idx="1">
                  <c:v>1224.31</c:v>
                </c:pt>
              </c:numCache>
            </c:numRef>
          </c:val>
        </c:ser>
        <c:dLbls>
          <c:showLegendKey val="0"/>
          <c:showVal val="1"/>
          <c:showCatName val="0"/>
          <c:showSerName val="0"/>
          <c:showPercent val="0"/>
          <c:showBubbleSize val="0"/>
        </c:dLbls>
        <c:gapWidth val="150"/>
        <c:overlap val="100"/>
        <c:axId val="909377856"/>
        <c:axId val="824084875"/>
      </c:barChart>
      <c:catAx>
        <c:axId val="9093778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084875"/>
        <c:crosses val="autoZero"/>
        <c:auto val="1"/>
        <c:lblAlgn val="ctr"/>
        <c:lblOffset val="100"/>
        <c:noMultiLvlLbl val="0"/>
      </c:catAx>
      <c:valAx>
        <c:axId val="8240848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37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a:p>
            <a:pPr defTabSz="914400">
              <a:defRPr lang="zh-CN" sz="1400" b="0" i="0" u="none" strike="noStrike" kern="1200" spc="0" baseline="0">
                <a:solidFill>
                  <a:schemeClr val="tx1">
                    <a:lumMod val="65000"/>
                    <a:lumOff val="35000"/>
                  </a:schemeClr>
                </a:solidFill>
                <a:latin typeface="+mn-lt"/>
                <a:ea typeface="+mn-ea"/>
                <a:cs typeface="+mn-cs"/>
              </a:defRPr>
            </a:pPr>
            <a:r>
              <a:t>                      单位：万元</a:t>
            </a:r>
          </a:p>
        </c:rich>
      </c:tx>
      <c:layout/>
      <c:overlay val="0"/>
      <c:spPr>
        <a:noFill/>
        <a:ln>
          <a:noFill/>
        </a:ln>
        <a:effectLst/>
      </c:spPr>
    </c:title>
    <c:autoTitleDeleted val="0"/>
    <c:plotArea>
      <c:layout>
        <c:manualLayout>
          <c:layoutTarget val="inner"/>
          <c:xMode val="edge"/>
          <c:yMode val="edge"/>
          <c:x val="0.333537996980372"/>
          <c:y val="0.262980049875312"/>
          <c:w val="0.336698540513337"/>
          <c:h val="0.556126350789692"/>
        </c:manualLayout>
      </c:layout>
      <c:pieChart>
        <c:varyColors val="1"/>
        <c:ser>
          <c:idx val="1"/>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([图表模板.xlsx]赵家!$A$26,[图表模板.xlsx]赵家!$A$30)</c:f>
              <c:strCache>
                <c:ptCount val="2"/>
                <c:pt idx="0">
                  <c:v>一般公共预算财政拨款收入</c:v>
                </c:pt>
                <c:pt idx="1">
                  <c:v>事业收入</c:v>
                </c:pt>
              </c:strCache>
            </c:strRef>
          </c:cat>
          <c:val>
            <c:numRef>
              <c:f>([图表模板.xlsx]赵家!$B$26,[图表模板.xlsx]赵家!$B$30)</c:f>
              <c:numCache>
                <c:formatCode>#,##0.00</c:formatCode>
                <c:ptCount val="2"/>
                <c:pt idx="0">
                  <c:v>682.39</c:v>
                </c:pt>
                <c:pt idx="1">
                  <c:v>705.35</c:v>
                </c:pt>
              </c:numCache>
            </c:numRef>
          </c:val>
        </c:ser>
        <c:ser>
          <c:idx val="0"/>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([图表模板.xlsx]赵家!$A$26,[图表模板.xlsx]赵家!$A$30)</c:f>
              <c:strCache>
                <c:ptCount val="2"/>
                <c:pt idx="0">
                  <c:v>一般公共预算财政拨款收入</c:v>
                </c:pt>
                <c:pt idx="1">
                  <c:v>事业收入</c:v>
                </c:pt>
              </c:strCache>
            </c:strRef>
          </c:cat>
          <c:val>
            <c:numRef>
              <c:f>([图表模板.xlsx]赵家!$C$26,[图表模板.xlsx]赵家!$C$30)</c:f>
              <c:numCache>
                <c:formatCode>0.00%</c:formatCode>
                <c:ptCount val="2"/>
                <c:pt idx="0">
                  <c:v>0.49172755703518</c:v>
                </c:pt>
                <c:pt idx="1">
                  <c:v>0.508272442964821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t>支出决算结构图</a:t>
            </a:r>
            <a:endParaRPr sz="1800"/>
          </a:p>
          <a:p>
            <a:pPr defTabSz="914400">
              <a:defRPr lang="zh-CN" sz="1400" b="0" i="0" u="none" strike="noStrike" kern="1200" spc="0" baseline="0">
                <a:solidFill>
                  <a:schemeClr val="tx1">
                    <a:lumMod val="65000"/>
                    <a:lumOff val="35000"/>
                  </a:schemeClr>
                </a:solidFill>
                <a:latin typeface="+mn-lt"/>
                <a:ea typeface="+mn-ea"/>
                <a:cs typeface="+mn-cs"/>
              </a:defRPr>
            </a:pPr>
            <a:r>
              <a:t>       </a:t>
            </a:r>
            <a:r>
              <a:rPr sz="1200"/>
              <a:t> 单位：万元</a:t>
            </a:r>
            <a:endParaRPr sz="1200"/>
          </a:p>
        </c:rich>
      </c:tx>
      <c:layout>
        <c:manualLayout>
          <c:xMode val="edge"/>
          <c:yMode val="edge"/>
          <c:x val="0.35931721832343"/>
          <c:y val="0.0416856232939035"/>
        </c:manualLayout>
      </c:layout>
      <c:overlay val="0"/>
      <c:spPr>
        <a:noFill/>
        <a:ln>
          <a:noFill/>
        </a:ln>
        <a:effectLst/>
      </c:spPr>
    </c:title>
    <c:autoTitleDeleted val="0"/>
    <c:plotArea>
      <c:layout/>
      <c:pieChart>
        <c:varyColors val="1"/>
        <c:ser>
          <c:idx val="0"/>
          <c:order val="0"/>
          <c:spPr/>
          <c:explosion val="0"/>
          <c:dPt>
            <c:idx val="0"/>
            <c:bubble3D val="0"/>
            <c:explosion val="16"/>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[图表模板.xlsx]赵家!$A$47:$A$48</c:f>
              <c:strCache>
                <c:ptCount val="2"/>
                <c:pt idx="0">
                  <c:v>基本支出</c:v>
                </c:pt>
                <c:pt idx="1">
                  <c:v>项目支出</c:v>
                </c:pt>
              </c:strCache>
            </c:strRef>
          </c:cat>
          <c:val>
            <c:numRef>
              <c:f>[图表模板.xlsx]赵家!$B$47:$B$48</c:f>
              <c:numCache>
                <c:formatCode>#,##0.00</c:formatCode>
                <c:ptCount val="2"/>
                <c:pt idx="0">
                  <c:v>1080.89</c:v>
                </c:pt>
                <c:pt idx="1">
                  <c:v>152.79</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[图表模板.xlsx]赵家!$B$67</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[图表模板.xlsx]赵家!$A$68:$A$69</c:f>
              <c:strCache>
                <c:ptCount val="2"/>
                <c:pt idx="0">
                  <c:v>2019年</c:v>
                </c:pt>
                <c:pt idx="1">
                  <c:v>2018年</c:v>
                </c:pt>
              </c:strCache>
            </c:strRef>
          </c:cat>
          <c:val>
            <c:numRef>
              <c:f>[图表模板.xlsx]赵家!$B$68:$B$69</c:f>
              <c:numCache>
                <c:formatCode>General</c:formatCode>
                <c:ptCount val="2"/>
                <c:pt idx="0">
                  <c:v>773.05</c:v>
                </c:pt>
                <c:pt idx="1">
                  <c:v>710.45</c:v>
                </c:pt>
              </c:numCache>
            </c:numRef>
          </c:val>
        </c:ser>
        <c:dLbls>
          <c:showLegendKey val="0"/>
          <c:showVal val="1"/>
          <c:showCatName val="0"/>
          <c:showSerName val="0"/>
          <c:showPercent val="0"/>
          <c:showBubbleSize val="0"/>
        </c:dLbls>
        <c:gapWidth val="150"/>
        <c:overlap val="100"/>
        <c:axId val="774320489"/>
        <c:axId val="871128475"/>
      </c:barChart>
      <c:catAx>
        <c:axId val="7743204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1128475"/>
        <c:crosses val="autoZero"/>
        <c:auto val="1"/>
        <c:lblAlgn val="ctr"/>
        <c:lblOffset val="100"/>
        <c:noMultiLvlLbl val="0"/>
      </c:catAx>
      <c:valAx>
        <c:axId val="8711284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3204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                                                   单位：万元</a:t>
            </a:r>
          </a:p>
        </c:rich>
      </c:tx>
      <c:layout>
        <c:manualLayout>
          <c:xMode val="edge"/>
          <c:yMode val="edge"/>
          <c:x val="0.142222222222222"/>
          <c:y val="0.0243337195828505"/>
        </c:manualLayout>
      </c:layout>
      <c:overlay val="0"/>
      <c:spPr>
        <a:noFill/>
        <a:ln>
          <a:noFill/>
        </a:ln>
        <a:effectLst/>
      </c:spPr>
    </c:title>
    <c:autoTitleDeleted val="0"/>
    <c:plotArea>
      <c:layout>
        <c:manualLayout>
          <c:layoutTarget val="inner"/>
          <c:xMode val="edge"/>
          <c:yMode val="edge"/>
          <c:x val="0.0748055555555556"/>
          <c:y val="0.257937427578216"/>
          <c:w val="0.894638888888889"/>
          <c:h val="0.633464658169177"/>
        </c:manualLayout>
      </c:layout>
      <c:barChart>
        <c:barDir val="col"/>
        <c:grouping val="clustered"/>
        <c:varyColors val="0"/>
        <c:ser>
          <c:idx val="0"/>
          <c:order val="0"/>
          <c:tx>
            <c:strRef>
              <c:f>[图表模板.xlsx]赵家!$B$86</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[图表模板.xlsx]赵家!$A$87:$A$88</c:f>
              <c:strCache>
                <c:ptCount val="2"/>
                <c:pt idx="0">
                  <c:v>2019年</c:v>
                </c:pt>
                <c:pt idx="1">
                  <c:v>2018年</c:v>
                </c:pt>
              </c:strCache>
            </c:strRef>
          </c:cat>
          <c:val>
            <c:numRef>
              <c:f>[图表模板.xlsx]赵家!$B$87:$B$88</c:f>
              <c:numCache>
                <c:formatCode>General</c:formatCode>
                <c:ptCount val="2"/>
                <c:pt idx="0">
                  <c:v>528.33</c:v>
                </c:pt>
                <c:pt idx="1">
                  <c:v>619.79</c:v>
                </c:pt>
              </c:numCache>
            </c:numRef>
          </c:val>
        </c:ser>
        <c:dLbls>
          <c:showLegendKey val="0"/>
          <c:showVal val="1"/>
          <c:showCatName val="0"/>
          <c:showSerName val="0"/>
          <c:showPercent val="0"/>
          <c:showBubbleSize val="0"/>
        </c:dLbls>
        <c:gapWidth val="219"/>
        <c:overlap val="-27"/>
        <c:axId val="715543173"/>
        <c:axId val="193179635"/>
      </c:barChart>
      <c:catAx>
        <c:axId val="715543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179635"/>
        <c:crosses val="autoZero"/>
        <c:auto val="1"/>
        <c:lblAlgn val="ctr"/>
        <c:lblOffset val="100"/>
        <c:noMultiLvlLbl val="0"/>
      </c:catAx>
      <c:valAx>
        <c:axId val="1931796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5431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t>一般公共预算财政拨款支出决算结构</a:t>
            </a:r>
            <a:endParaRPr sz="1600"/>
          </a:p>
          <a:p>
            <a:pPr defTabSz="914400">
              <a:defRPr lang="zh-CN" sz="1400" b="0" i="0" u="none" strike="noStrike" kern="1200" spc="0" baseline="0">
                <a:solidFill>
                  <a:schemeClr val="tx1">
                    <a:lumMod val="65000"/>
                    <a:lumOff val="35000"/>
                  </a:schemeClr>
                </a:solidFill>
                <a:latin typeface="+mn-lt"/>
                <a:ea typeface="+mn-ea"/>
                <a:cs typeface="+mn-cs"/>
              </a:defRPr>
            </a:pPr>
            <a:r>
              <a:rPr sz="1200"/>
              <a:t>                                                            单位：万元</a:t>
            </a:r>
            <a:endParaRPr sz="1200"/>
          </a:p>
        </c:rich>
      </c:tx>
      <c:layout>
        <c:manualLayout>
          <c:xMode val="edge"/>
          <c:yMode val="edge"/>
          <c:x val="0.144166666666667"/>
          <c:y val="0.02601585728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([图表模板.xlsx]赵家!$A$109:$A$110,[图表模板.xlsx]赵家!$A$120)</c:f>
              <c:strCache>
                <c:ptCount val="3"/>
                <c:pt idx="0">
                  <c:v>社会保障和就业支出</c:v>
                </c:pt>
                <c:pt idx="1">
                  <c:v>卫生健康支出</c:v>
                </c:pt>
                <c:pt idx="2">
                  <c:v>住房保障支出</c:v>
                </c:pt>
              </c:strCache>
            </c:strRef>
          </c:cat>
          <c:val>
            <c:numRef>
              <c:f>([图表模板.xlsx]赵家!$B$109:$B$110,[图表模板.xlsx]赵家!$B$120)</c:f>
              <c:numCache>
                <c:formatCode>#,##0.00</c:formatCode>
                <c:ptCount val="3"/>
                <c:pt idx="0">
                  <c:v>73.52</c:v>
                </c:pt>
                <c:pt idx="1">
                  <c:v>408.44</c:v>
                </c:pt>
                <c:pt idx="2">
                  <c:v>46.37</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([图表模板.xlsx]赵家!$A$109:$A$110,[图表模板.xlsx]赵家!$A$120)</c:f>
              <c:strCache>
                <c:ptCount val="3"/>
                <c:pt idx="0">
                  <c:v>社会保障和就业支出</c:v>
                </c:pt>
                <c:pt idx="1">
                  <c:v>卫生健康支出</c:v>
                </c:pt>
                <c:pt idx="2">
                  <c:v>住房保障支出</c:v>
                </c:pt>
              </c:strCache>
            </c:strRef>
          </c:cat>
          <c:val>
            <c:numRef>
              <c:f>([图表模板.xlsx]赵家!$C$109:$C$110,[图表模板.xlsx]赵家!$C$120)</c:f>
              <c:numCache>
                <c:formatCode>0.00%</c:formatCode>
                <c:ptCount val="3"/>
                <c:pt idx="0">
                  <c:v>0.139155452084871</c:v>
                </c:pt>
                <c:pt idx="1">
                  <c:v>0.77307743266519</c:v>
                </c:pt>
                <c:pt idx="2">
                  <c:v>0.0877671152499385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41</TotalTime>
  <ScaleCrop>false</ScaleCrop>
  <LinksUpToDate>false</LinksUpToDate>
  <CharactersWithSpaces>9641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2019-08-01T00:48:00Z</cp:lastPrinted>
  <dcterms:modified xsi:type="dcterms:W3CDTF">2021-02-22T01:41:40Z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