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5" w:name="_GoBack"/>
      <w:bookmarkEnd w:id="75"/>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425"/>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426"/>
      <w:bookmarkStart w:id="7" w:name="_Toc15396476"/>
      <w:bookmarkStart w:id="8" w:name="_Toc15396598"/>
      <w:bookmarkStart w:id="9" w:name="_Toc15378442"/>
      <w:bookmarkStart w:id="10" w:name="_Toc15377194"/>
      <w:r>
        <w:rPr>
          <w:rFonts w:hint="eastAsia" w:ascii="方正小标宋简体" w:hAnsi="宋体" w:eastAsia="方正小标宋简体"/>
          <w:color w:val="000000"/>
          <w:sz w:val="72"/>
          <w:szCs w:val="72"/>
        </w:rPr>
        <w:t>达州市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达川区</w:t>
      </w:r>
      <w:bookmarkStart w:id="11" w:name="_Toc15306268"/>
      <w:r>
        <w:rPr>
          <w:rFonts w:hint="eastAsia" w:ascii="方正小标宋简体" w:hAnsi="宋体" w:eastAsia="方正小标宋简体"/>
          <w:color w:val="000000"/>
          <w:sz w:val="72"/>
          <w:szCs w:val="72"/>
        </w:rPr>
        <w:t>黄都乡卫生院部门决算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公开时间：2020年9月12日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rPr>
        <w:t>9年度部门决算情况说明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15</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fldChar w:fldCharType="begin"/>
      </w:r>
      <w:r>
        <w:instrText xml:space="preserve"> PAGEREF _Toc15396614 \h </w:instrText>
      </w:r>
      <w:r>
        <w:fldChar w:fldCharType="separate"/>
      </w:r>
      <w:r>
        <w:t>18</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fldChar w:fldCharType="begin"/>
      </w:r>
      <w:r>
        <w:instrText xml:space="preserve"> PAGEREF _Toc15396618 \h </w:instrText>
      </w:r>
      <w:r>
        <w:fldChar w:fldCharType="separate"/>
      </w:r>
      <w:r>
        <w:t>24</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color w:val="000000"/>
          <w:sz w:val="32"/>
          <w:szCs w:val="32"/>
        </w:rPr>
        <w:t>在地方政府和卫健行政主管部门领导下，根据党的方针、政策及市、区卫健局对乡乡卫生服务工作的总体要求、做好乡乡卫生服务行政业务工作，积极开展以保护、促进人民健康，不断提高居民生活质量为目的的卫生保健，认真落实各项卫生工作指标。开展以村为范围，家庭为单位，健康为中心，人的生命为过程的以老年、妇女、儿童和慢性病人为重点的集预防、医疗、保健、康复、健康教育、计划生育指导为一体的综合性医疗卫生服务单位。</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adjustRightInd w:val="0"/>
        <w:snapToGrid w:val="0"/>
        <w:spacing w:line="600" w:lineRule="atLeast"/>
        <w:ind w:firstLine="704" w:firstLineChars="220"/>
        <w:rPr>
          <w:rFonts w:ascii="仿宋_GB2312" w:eastAsia="仿宋_GB2312"/>
          <w:bCs/>
          <w:color w:val="000000"/>
          <w:sz w:val="32"/>
          <w:szCs w:val="32"/>
        </w:rPr>
      </w:pPr>
      <w:r>
        <w:rPr>
          <w:rFonts w:hint="eastAsia" w:ascii="仿宋_GB2312" w:eastAsia="仿宋_GB2312"/>
          <w:sz w:val="32"/>
          <w:szCs w:val="32"/>
        </w:rPr>
        <w:t>2019年达川区黄都乡卫生院的卫生工作在乡党委、政府和区卫健局领导下，</w:t>
      </w:r>
      <w:bookmarkStart w:id="20" w:name="OLE_LINK1"/>
      <w:r>
        <w:rPr>
          <w:rFonts w:hint="eastAsia" w:ascii="仿宋_GB2312" w:eastAsia="仿宋_GB2312"/>
          <w:sz w:val="32"/>
          <w:szCs w:val="32"/>
        </w:rPr>
        <w:t>坚持以“以病人为中心，以质量为核心”的服务理念，</w:t>
      </w:r>
      <w:bookmarkEnd w:id="20"/>
      <w:r>
        <w:rPr>
          <w:rFonts w:hint="eastAsia" w:ascii="仿宋_GB2312" w:eastAsia="仿宋_GB2312"/>
          <w:sz w:val="32"/>
          <w:szCs w:val="32"/>
        </w:rPr>
        <w:t>加强政治思想和医德医风教育，抓好医疗核心制度落实，严格医疗保险制度和基本公共卫生项目实施，努力做好辖区内疾病预防控制工作，严格执行药品网上采购“阳光采购”方案及基本药物制度和抗菌药物应用管理的规定。</w:t>
      </w:r>
      <w:r>
        <w:rPr>
          <w:rFonts w:hint="eastAsia" w:ascii="仿宋_GB2312" w:eastAsia="仿宋_GB2312"/>
          <w:bCs/>
          <w:color w:val="000000"/>
          <w:sz w:val="32"/>
          <w:szCs w:val="32"/>
        </w:rPr>
        <w:t>完成了对辖区65岁以上老人及重点人群的体检工作等公共卫生服务保障的工作，同时完成了对辖区居民就近医疗服务的医疗保障。</w:t>
      </w:r>
    </w:p>
    <w:p>
      <w:pPr>
        <w:pStyle w:val="3"/>
        <w:rPr>
          <w:rStyle w:val="25"/>
          <w:b w:val="0"/>
          <w:bCs w:val="0"/>
        </w:rPr>
      </w:pPr>
      <w:bookmarkStart w:id="21" w:name="_Toc15377200"/>
      <w:bookmarkStart w:id="22"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before="93" w:line="600" w:lineRule="exact"/>
        <w:ind w:firstLine="672" w:firstLineChars="210"/>
        <w:rPr>
          <w:color w:val="FF0000"/>
          <w:sz w:val="32"/>
          <w:szCs w:val="32"/>
        </w:rPr>
      </w:pPr>
      <w:bookmarkStart w:id="23" w:name="_Toc15396602"/>
      <w:bookmarkStart w:id="24" w:name="_Toc15377204"/>
      <w:r>
        <w:rPr>
          <w:rFonts w:hint="eastAsia" w:hAnsi="仿宋_GB2312" w:cs="仿宋_GB2312"/>
          <w:color w:val="000000"/>
          <w:sz w:val="32"/>
          <w:szCs w:val="32"/>
        </w:rPr>
        <w:t>达州市达川区黄都乡卫生院为</w:t>
      </w:r>
      <w:r>
        <w:rPr>
          <w:rFonts w:hint="eastAsia"/>
          <w:color w:val="000000"/>
          <w:sz w:val="32"/>
          <w:szCs w:val="32"/>
        </w:rPr>
        <w:t>财政差额补助</w:t>
      </w:r>
      <w:r>
        <w:rPr>
          <w:rFonts w:hint="eastAsia" w:hAnsi="仿宋_GB2312" w:cs="仿宋_GB2312"/>
          <w:color w:val="000000"/>
          <w:sz w:val="32"/>
          <w:szCs w:val="32"/>
        </w:rPr>
        <w:t>事业单位1个。</w:t>
      </w:r>
      <w:r>
        <w:rPr>
          <w:rFonts w:hint="eastAsia" w:hAnsi="仿宋"/>
          <w:sz w:val="32"/>
          <w:szCs w:val="32"/>
        </w:rPr>
        <w:t>年末实有人数</w:t>
      </w:r>
      <w:r>
        <w:rPr>
          <w:rFonts w:hint="eastAsia" w:ascii="仿宋" w:hAnsi="仿宋" w:eastAsia="仿宋"/>
          <w:sz w:val="32"/>
          <w:szCs w:val="32"/>
        </w:rPr>
        <w:t>达州市达川区黄都乡卫生院，</w:t>
      </w:r>
      <w:r>
        <w:rPr>
          <w:rFonts w:hint="eastAsia" w:hAnsi="仿宋"/>
          <w:sz w:val="32"/>
          <w:szCs w:val="32"/>
        </w:rPr>
        <w:t>年末实有人数15（含临聘5人）人，其中事业专技人员9人、事业工勤人员1人、临聘人员5人；退休人员3人。</w:t>
      </w:r>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77205"/>
      <w:bookmarkStart w:id="2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rPr>
          <w:rFonts w:ascii="仿宋" w:hAnsi="仿宋" w:eastAsia="仿宋"/>
          <w:color w:val="FF0000"/>
          <w:sz w:val="32"/>
          <w:szCs w:val="32"/>
        </w:rPr>
      </w:pPr>
      <w:r>
        <w:rPr>
          <w:rFonts w:hint="eastAsia" w:ascii="仿宋" w:hAnsi="仿宋" w:eastAsia="仿宋"/>
          <w:sz w:val="32"/>
          <w:szCs w:val="32"/>
        </w:rPr>
        <w:t>2019年度收、支总计321.80万元。与2018年的</w:t>
      </w:r>
      <w:r>
        <w:rPr>
          <w:rFonts w:hint="eastAsia" w:ascii="仿宋" w:hAnsi="仿宋" w:eastAsia="仿宋"/>
          <w:color w:val="000000"/>
          <w:sz w:val="32"/>
          <w:szCs w:val="32"/>
        </w:rPr>
        <w:t>288.39</w:t>
      </w:r>
      <w:r>
        <w:rPr>
          <w:rFonts w:hint="eastAsia" w:ascii="仿宋" w:hAnsi="仿宋" w:eastAsia="仿宋"/>
          <w:sz w:val="32"/>
          <w:szCs w:val="32"/>
        </w:rPr>
        <w:t>万元相比，收、支总计各增加33.41万元，增加11.59</w:t>
      </w:r>
      <w:r>
        <w:rPr>
          <w:rFonts w:ascii="仿宋" w:hAnsi="仿宋" w:eastAsia="仿宋"/>
          <w:sz w:val="32"/>
          <w:szCs w:val="32"/>
        </w:rPr>
        <w:t>%</w:t>
      </w:r>
      <w:r>
        <w:rPr>
          <w:rFonts w:hint="eastAsia" w:ascii="仿宋" w:hAnsi="仿宋" w:eastAsia="仿宋"/>
          <w:sz w:val="32"/>
          <w:szCs w:val="32"/>
        </w:rPr>
        <w:t>。主要变动原因是财政拨款补助收入增加。</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627880" cy="2620010"/>
            <wp:effectExtent l="0" t="0" r="1270" b="889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4627880" cy="2620010"/>
                    </a:xfrm>
                    <a:prstGeom prst="rect">
                      <a:avLst/>
                    </a:prstGeom>
                  </pic:spPr>
                </pic:pic>
              </a:graphicData>
            </a:graphic>
          </wp:inline>
        </w:drawing>
      </w:r>
    </w:p>
    <w:p>
      <w:pPr>
        <w:spacing w:line="600" w:lineRule="exact"/>
        <w:ind w:firstLine="640" w:firstLineChars="200"/>
        <w:jc w:val="cente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7" w:name="_Toc15377206"/>
      <w:bookmarkStart w:id="28"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9年本年收入合计250.38万元，其中：一般公共预算财政拨款收入177.09万元，占70.73</w:t>
      </w:r>
      <w:r>
        <w:rPr>
          <w:rFonts w:ascii="仿宋" w:hAnsi="仿宋" w:eastAsia="仿宋"/>
          <w:color w:val="000000"/>
          <w:sz w:val="32"/>
          <w:szCs w:val="32"/>
        </w:rPr>
        <w:t>%</w:t>
      </w:r>
      <w:r>
        <w:rPr>
          <w:rFonts w:hint="eastAsia" w:ascii="仿宋" w:hAnsi="仿宋" w:eastAsia="仿宋"/>
          <w:color w:val="000000"/>
          <w:sz w:val="32"/>
          <w:szCs w:val="32"/>
        </w:rPr>
        <w:t>；事业收入73.29万元，占29.27</w:t>
      </w:r>
      <w:r>
        <w:rPr>
          <w:rFonts w:ascii="仿宋" w:hAnsi="仿宋" w:eastAsia="仿宋"/>
          <w:color w:val="000000"/>
          <w:sz w:val="32"/>
          <w:szCs w:val="32"/>
        </w:rPr>
        <w:t>%</w:t>
      </w:r>
      <w:r>
        <w:rPr>
          <w:rFonts w:hint="eastAsia" w:ascii="仿宋" w:hAnsi="仿宋" w:eastAsia="仿宋"/>
          <w:color w:val="000000"/>
          <w:sz w:val="32"/>
          <w:szCs w:val="32"/>
        </w:rPr>
        <w:t>。</w:t>
      </w:r>
    </w:p>
    <w:p>
      <w:pPr>
        <w:outlineLvl w:val="1"/>
      </w:pPr>
      <w:r>
        <w:drawing>
          <wp:inline distT="0" distB="0" distL="114300" distR="114300">
            <wp:extent cx="5074920" cy="3161665"/>
            <wp:effectExtent l="0" t="0" r="11430" b="635"/>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7"/>
                    <a:stretch>
                      <a:fillRect/>
                    </a:stretch>
                  </pic:blipFill>
                  <pic:spPr>
                    <a:xfrm>
                      <a:off x="0" y="0"/>
                      <a:ext cx="5074920" cy="3161665"/>
                    </a:xfrm>
                    <a:prstGeom prst="rect">
                      <a:avLst/>
                    </a:prstGeom>
                  </pic:spPr>
                </pic:pic>
              </a:graphicData>
            </a:graphic>
          </wp:inline>
        </w:drawing>
      </w:r>
    </w:p>
    <w:p>
      <w:pPr>
        <w:ind w:firstLine="420" w:firstLineChars="200"/>
        <w:outlineLvl w:val="1"/>
      </w:pPr>
    </w:p>
    <w:p>
      <w:pPr>
        <w:spacing w:line="600" w:lineRule="exact"/>
        <w:ind w:firstLine="1600" w:firstLineChars="5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9年本年支出合计252.88万元，其中：基本支出</w:t>
      </w:r>
    </w:p>
    <w:p>
      <w:pPr>
        <w:spacing w:line="600" w:lineRule="exact"/>
        <w:rPr>
          <w:rFonts w:ascii="仿宋" w:hAnsi="仿宋" w:eastAsia="仿宋"/>
          <w:color w:val="000000"/>
          <w:sz w:val="32"/>
          <w:szCs w:val="32"/>
          <w:shd w:val="pct10" w:color="auto" w:fill="FFFFFF"/>
        </w:rPr>
      </w:pPr>
      <w:r>
        <w:rPr>
          <w:rFonts w:hint="eastAsia" w:ascii="仿宋" w:hAnsi="仿宋" w:eastAsia="仿宋"/>
          <w:color w:val="000000"/>
          <w:sz w:val="32"/>
          <w:szCs w:val="32"/>
        </w:rPr>
        <w:t>156.94万元，占62.06</w:t>
      </w:r>
      <w:r>
        <w:rPr>
          <w:rFonts w:ascii="仿宋" w:hAnsi="仿宋" w:eastAsia="仿宋"/>
          <w:color w:val="000000"/>
          <w:sz w:val="32"/>
          <w:szCs w:val="32"/>
        </w:rPr>
        <w:t>%</w:t>
      </w:r>
      <w:r>
        <w:rPr>
          <w:rFonts w:hint="eastAsia" w:ascii="仿宋" w:hAnsi="仿宋" w:eastAsia="仿宋"/>
          <w:color w:val="000000"/>
          <w:sz w:val="32"/>
          <w:szCs w:val="32"/>
        </w:rPr>
        <w:t>；项目支出95.94万元，占37.94</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5154930" cy="3211195"/>
            <wp:effectExtent l="0" t="0" r="7620" b="8255"/>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8"/>
                    <a:stretch>
                      <a:fillRect/>
                    </a:stretch>
                  </pic:blipFill>
                  <pic:spPr>
                    <a:xfrm>
                      <a:off x="0" y="0"/>
                      <a:ext cx="5154930" cy="3211195"/>
                    </a:xfrm>
                    <a:prstGeom prst="rect">
                      <a:avLst/>
                    </a:prstGeom>
                  </pic:spPr>
                </pic:pic>
              </a:graphicData>
            </a:graphic>
          </wp:inline>
        </w:drawing>
      </w:r>
    </w:p>
    <w:p>
      <w:pPr>
        <w:spacing w:line="600" w:lineRule="exact"/>
        <w:ind w:firstLine="1280" w:firstLineChars="4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outlineLvl w:val="1"/>
        <w:rPr>
          <w:rFonts w:ascii="黑体" w:hAnsi="黑体" w:eastAsia="黑体"/>
          <w:color w:val="000000"/>
          <w:sz w:val="32"/>
          <w:szCs w:val="32"/>
        </w:rPr>
      </w:pPr>
      <w:bookmarkStart w:id="31" w:name="_Toc15377208"/>
      <w:bookmarkStart w:id="32" w:name="_Toc15396606"/>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sz w:val="32"/>
          <w:szCs w:val="32"/>
        </w:rPr>
        <w:t>248.51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8年的199.33万元相比，财政拨款收、支总计均增加49.18万元，增加24.67</w:t>
      </w:r>
      <w:r>
        <w:rPr>
          <w:rFonts w:ascii="仿宋" w:hAnsi="仿宋" w:eastAsia="仿宋"/>
          <w:color w:val="000000"/>
          <w:sz w:val="32"/>
          <w:szCs w:val="32"/>
        </w:rPr>
        <w:t>%</w:t>
      </w:r>
      <w:r>
        <w:rPr>
          <w:rFonts w:hint="eastAsia" w:ascii="仿宋" w:hAnsi="仿宋" w:eastAsia="仿宋"/>
          <w:color w:val="000000"/>
          <w:sz w:val="32"/>
          <w:szCs w:val="32"/>
        </w:rPr>
        <w:t>。主要变动原因是2019年人员增加，人员经费及公用经费增加。</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145405" cy="2722880"/>
            <wp:effectExtent l="0" t="0" r="17145" b="1270"/>
            <wp:docPr id="5" name="图片 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4"/>
                    <pic:cNvPicPr>
                      <a:picLocks noChangeAspect="1"/>
                    </pic:cNvPicPr>
                  </pic:nvPicPr>
                  <pic:blipFill>
                    <a:blip r:embed="rId9"/>
                    <a:stretch>
                      <a:fillRect/>
                    </a:stretch>
                  </pic:blipFill>
                  <pic:spPr>
                    <a:xfrm>
                      <a:off x="0" y="0"/>
                      <a:ext cx="5145405" cy="2722880"/>
                    </a:xfrm>
                    <a:prstGeom prst="rect">
                      <a:avLst/>
                    </a:prstGeom>
                  </pic:spPr>
                </pic:pic>
              </a:graphicData>
            </a:graphic>
          </wp:inline>
        </w:drawing>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9年一般公共预算财政拨款支出179.59万元，占本年支出合计的71.02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8年的127.91万元相比，一般公共预算财政拨款增加51.68万元，增加40.41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bCs/>
          <w:color w:val="000000"/>
          <w:sz w:val="32"/>
          <w:szCs w:val="32"/>
        </w:rPr>
        <w:t>一般公共预算财政拨款</w:t>
      </w:r>
      <w:r>
        <w:rPr>
          <w:rFonts w:hint="eastAsia" w:ascii="仿宋" w:hAnsi="仿宋" w:eastAsia="仿宋"/>
          <w:color w:val="000000"/>
          <w:sz w:val="32"/>
          <w:szCs w:val="32"/>
        </w:rPr>
        <w:t>支出增加。</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269230" cy="2788285"/>
            <wp:effectExtent l="0" t="0" r="7620" b="12065"/>
            <wp:docPr id="6" name="图片 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1"/>
                    </pic:cNvPicPr>
                  </pic:nvPicPr>
                  <pic:blipFill>
                    <a:blip r:embed="rId10"/>
                    <a:stretch>
                      <a:fillRect/>
                    </a:stretch>
                  </pic:blipFill>
                  <pic:spPr>
                    <a:xfrm>
                      <a:off x="0" y="0"/>
                      <a:ext cx="5269230" cy="2788285"/>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179.59</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支出12.95万元，占7.21</w:t>
      </w:r>
      <w:r>
        <w:rPr>
          <w:rFonts w:ascii="仿宋" w:hAnsi="仿宋" w:eastAsia="仿宋"/>
          <w:color w:val="000000" w:themeColor="text1"/>
          <w:sz w:val="32"/>
          <w:szCs w:val="32"/>
        </w:rPr>
        <w:t>%</w:t>
      </w:r>
      <w:r>
        <w:rPr>
          <w:rFonts w:hint="eastAsia" w:ascii="仿宋" w:hAnsi="仿宋" w:eastAsia="仿宋"/>
          <w:color w:val="000000" w:themeColor="text1"/>
          <w:sz w:val="32"/>
          <w:szCs w:val="32"/>
        </w:rPr>
        <w:t>；卫生健康支出158.20万元，占88.09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；住房保障支出8.44万元，占4.70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drawing>
          <wp:inline distT="0" distB="0" distL="114300" distR="114300">
            <wp:extent cx="5271770" cy="3306445"/>
            <wp:effectExtent l="0" t="0" r="5080" b="8255"/>
            <wp:docPr id="7" name="图片 7"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6"/>
                    <pic:cNvPicPr>
                      <a:picLocks noChangeAspect="1"/>
                    </pic:cNvPicPr>
                  </pic:nvPicPr>
                  <pic:blipFill>
                    <a:blip r:embed="rId11"/>
                    <a:stretch>
                      <a:fillRect/>
                    </a:stretch>
                  </pic:blipFill>
                  <pic:spPr>
                    <a:xfrm>
                      <a:off x="0" y="0"/>
                      <a:ext cx="5271770" cy="3306445"/>
                    </a:xfrm>
                    <a:prstGeom prst="rect">
                      <a:avLst/>
                    </a:prstGeom>
                  </pic:spPr>
                </pic:pic>
              </a:graphicData>
            </a:graphic>
          </wp:inline>
        </w:drawing>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7213"/>
      <w:bookmarkStart w:id="39" w:name="_Toc15377444"/>
      <w:bookmarkStart w:id="40" w:name="_Toc15378460"/>
      <w:r>
        <w:rPr>
          <w:rFonts w:hint="eastAsia" w:ascii="仿宋" w:hAnsi="仿宋" w:eastAsia="仿宋"/>
          <w:b/>
          <w:color w:val="000000" w:themeColor="text1"/>
          <w:sz w:val="32"/>
          <w:szCs w:val="32"/>
        </w:rPr>
        <w:t>2019年一般公共预算支出决算数为</w:t>
      </w:r>
      <w:r>
        <w:rPr>
          <w:rFonts w:hint="eastAsia" w:ascii="仿宋" w:hAnsi="仿宋" w:eastAsia="仿宋"/>
          <w:color w:val="000000"/>
          <w:sz w:val="32"/>
          <w:szCs w:val="32"/>
        </w:rPr>
        <w:t>179.59</w:t>
      </w:r>
      <w:r>
        <w:rPr>
          <w:rFonts w:hint="eastAsia" w:ascii="仿宋" w:hAnsi="仿宋" w:eastAsia="仿宋"/>
          <w:b/>
          <w:color w:val="000000" w:themeColor="text1"/>
          <w:sz w:val="32"/>
          <w:szCs w:val="32"/>
        </w:rPr>
        <w:t>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预算72.27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numPr>
          <w:ilvl w:val="0"/>
          <w:numId w:val="2"/>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社会保障和就业（208）-行政事业单位离退休（20805）-机关事业单位基本养老保险缴费支出（2080505）</w:t>
      </w:r>
      <w:r>
        <w:rPr>
          <w:rStyle w:val="14"/>
          <w:rFonts w:hint="eastAsia" w:ascii="仿宋_GB2312" w:eastAsia="仿宋_GB2312"/>
          <w:color w:val="000000"/>
          <w:sz w:val="32"/>
          <w:szCs w:val="32"/>
        </w:rPr>
        <w:t>：</w:t>
      </w:r>
      <w:r>
        <w:rPr>
          <w:rStyle w:val="14"/>
          <w:rFonts w:hint="eastAsia" w:ascii="仿宋" w:hAnsi="仿宋" w:eastAsia="仿宋"/>
          <w:b w:val="0"/>
          <w:bCs/>
          <w:color w:val="000000"/>
          <w:sz w:val="32"/>
          <w:szCs w:val="32"/>
        </w:rPr>
        <w:t>2019年决算数为8.07万元，完成预算率100%,主要用于：缴纳职工养老保险。</w:t>
      </w:r>
    </w:p>
    <w:p>
      <w:pPr>
        <w:numPr>
          <w:ilvl w:val="0"/>
          <w:numId w:val="2"/>
        </w:num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社会保障和就业（208）-抚恤（20808）-死亡抚恤（2080801）</w:t>
      </w:r>
      <w:r>
        <w:rPr>
          <w:rStyle w:val="14"/>
          <w:rFonts w:hint="eastAsia" w:ascii="仿宋" w:hAnsi="仿宋" w:eastAsia="仿宋"/>
          <w:b w:val="0"/>
          <w:bCs/>
          <w:color w:val="000000"/>
          <w:sz w:val="32"/>
          <w:szCs w:val="32"/>
        </w:rPr>
        <w:t>2019年决算数为4.88万元，完成预算率100%,主要用于：死亡职工抚恤金发放。</w:t>
      </w:r>
    </w:p>
    <w:p>
      <w:pPr>
        <w:spacing w:line="600" w:lineRule="exact"/>
        <w:ind w:firstLine="643" w:firstLineChars="200"/>
        <w:rPr>
          <w:rStyle w:val="14"/>
          <w:rFonts w:eastAsia="仿宋_GB2312"/>
          <w:b w:val="0"/>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-基层医疗卫生机构(21003)- 乡乡卫生院(2100302):</w:t>
      </w:r>
      <w:r>
        <w:rPr>
          <w:rStyle w:val="14"/>
          <w:rFonts w:hint="eastAsia" w:ascii="仿宋" w:hAnsi="仿宋" w:eastAsia="仿宋"/>
          <w:b w:val="0"/>
          <w:bCs/>
          <w:color w:val="000000"/>
          <w:sz w:val="32"/>
          <w:szCs w:val="32"/>
        </w:rPr>
        <w:t>2019年决算数为55.52万元</w:t>
      </w:r>
      <w:r>
        <w:rPr>
          <w:rStyle w:val="14"/>
          <w:rFonts w:hint="eastAsia" w:ascii="仿宋" w:hAnsi="仿宋" w:eastAsia="仿宋"/>
          <w:b w:val="0"/>
          <w:bCs/>
          <w:color w:val="000000"/>
          <w:sz w:val="32"/>
          <w:szCs w:val="32"/>
        </w:rPr>
        <w:tab/>
      </w:r>
      <w:r>
        <w:rPr>
          <w:rStyle w:val="14"/>
          <w:rFonts w:hint="eastAsia" w:ascii="仿宋" w:hAnsi="仿宋" w:eastAsia="仿宋"/>
          <w:b w:val="0"/>
          <w:bCs/>
          <w:color w:val="000000"/>
          <w:sz w:val="32"/>
          <w:szCs w:val="32"/>
        </w:rPr>
        <w:t>;完成预算率44.62%,</w:t>
      </w:r>
      <w:r>
        <w:rPr>
          <w:rStyle w:val="14"/>
          <w:rFonts w:ascii="仿宋" w:hAnsi="仿宋" w:eastAsia="仿宋"/>
          <w:b w:val="0"/>
          <w:bCs/>
          <w:color w:val="000000"/>
          <w:sz w:val="32"/>
          <w:szCs w:val="32"/>
        </w:rPr>
        <w:t>决算数</w:t>
      </w:r>
      <w:r>
        <w:rPr>
          <w:rStyle w:val="14"/>
          <w:rFonts w:hint="eastAsia" w:ascii="仿宋" w:hAnsi="仿宋" w:eastAsia="仿宋"/>
          <w:b w:val="0"/>
          <w:bCs/>
          <w:color w:val="000000"/>
          <w:sz w:val="32"/>
          <w:szCs w:val="32"/>
        </w:rPr>
        <w:t>小于</w:t>
      </w:r>
      <w:r>
        <w:rPr>
          <w:rStyle w:val="14"/>
          <w:rFonts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rPr>
        <w:t>年末财政应返还额度结转。</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-基层医疗卫生机构(21003)-其他基层医疗卫生机构支出（2100399)：</w:t>
      </w:r>
      <w:r>
        <w:rPr>
          <w:rStyle w:val="14"/>
          <w:rFonts w:hint="eastAsia" w:ascii="仿宋" w:hAnsi="仿宋" w:eastAsia="仿宋"/>
          <w:b w:val="0"/>
          <w:bCs/>
          <w:color w:val="000000"/>
          <w:sz w:val="32"/>
          <w:szCs w:val="32"/>
        </w:rPr>
        <w:t>2019年决算数为17.50万元；完成预算率100%,主要用于：基本药物采购。</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卫生健康支出(210)</w:t>
      </w:r>
      <w:r>
        <w:rPr>
          <w:rStyle w:val="14"/>
          <w:rFonts w:hint="eastAsia" w:ascii="仿宋" w:hAnsi="仿宋" w:eastAsia="仿宋"/>
          <w:bCs/>
          <w:color w:val="000000"/>
          <w:sz w:val="32"/>
          <w:szCs w:val="32"/>
        </w:rPr>
        <w:tab/>
      </w:r>
      <w:r>
        <w:rPr>
          <w:rStyle w:val="14"/>
          <w:rFonts w:hint="eastAsia" w:ascii="仿宋" w:hAnsi="仿宋" w:eastAsia="仿宋"/>
          <w:bCs/>
          <w:color w:val="000000"/>
          <w:sz w:val="32"/>
          <w:szCs w:val="32"/>
        </w:rPr>
        <w:t>-公共卫生（21004）-  基本公共卫生服务（2100408）：</w:t>
      </w:r>
      <w:r>
        <w:rPr>
          <w:rStyle w:val="14"/>
          <w:rFonts w:hint="eastAsia" w:ascii="仿宋" w:hAnsi="仿宋" w:eastAsia="仿宋"/>
          <w:b w:val="0"/>
          <w:bCs/>
          <w:color w:val="000000"/>
          <w:sz w:val="32"/>
          <w:szCs w:val="32"/>
        </w:rPr>
        <w:t>2019年决算数为78.44万元完成预算率100%,主要用于：基本公共卫生服务类支出</w:t>
      </w:r>
      <w:r>
        <w:rPr>
          <w:rStyle w:val="14"/>
          <w:rFonts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卫生健康支出(210)-行政事业单位医疗（21011）-  事业单位医疗（2101102）：</w:t>
      </w:r>
      <w:r>
        <w:rPr>
          <w:rStyle w:val="14"/>
          <w:rFonts w:hint="eastAsia" w:ascii="仿宋" w:hAnsi="仿宋" w:eastAsia="仿宋"/>
          <w:b w:val="0"/>
          <w:bCs/>
          <w:color w:val="000000"/>
          <w:sz w:val="32"/>
          <w:szCs w:val="32"/>
        </w:rPr>
        <w:t>2019年决算数为4.24万元，完成预算率100%,主要用于：主要用于缴纳职工医疗保险及补充医疗保险基金。</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.住房保障支出（221）住房改革支出（22102）住房公积金（2210201）:</w:t>
      </w:r>
      <w:r>
        <w:rPr>
          <w:rStyle w:val="14"/>
          <w:rFonts w:hint="eastAsia" w:ascii="仿宋" w:hAnsi="仿宋" w:eastAsia="仿宋"/>
          <w:b w:val="0"/>
          <w:bCs/>
          <w:color w:val="000000"/>
          <w:sz w:val="32"/>
          <w:szCs w:val="32"/>
        </w:rPr>
        <w:t>2019年决算数</w:t>
      </w:r>
      <w:r>
        <w:rPr>
          <w:rStyle w:val="14"/>
          <w:rFonts w:ascii="仿宋" w:hAnsi="仿宋" w:eastAsia="仿宋"/>
          <w:b w:val="0"/>
          <w:bCs/>
          <w:color w:val="000000"/>
          <w:sz w:val="32"/>
          <w:szCs w:val="32"/>
        </w:rPr>
        <w:t>决算为</w:t>
      </w:r>
      <w:r>
        <w:rPr>
          <w:rStyle w:val="14"/>
          <w:rFonts w:hint="eastAsia" w:ascii="仿宋" w:hAnsi="仿宋" w:eastAsia="仿宋"/>
          <w:b w:val="0"/>
          <w:bCs/>
          <w:color w:val="000000"/>
          <w:sz w:val="32"/>
          <w:szCs w:val="32"/>
        </w:rPr>
        <w:t>8.44</w:t>
      </w:r>
      <w:r>
        <w:rPr>
          <w:rStyle w:val="14"/>
          <w:rFonts w:ascii="仿宋" w:hAnsi="仿宋" w:eastAsia="仿宋"/>
          <w:b w:val="0"/>
          <w:bCs/>
          <w:color w:val="000000"/>
          <w:sz w:val="32"/>
          <w:szCs w:val="32"/>
        </w:rPr>
        <w:t>万元，完成预算100%</w:t>
      </w:r>
      <w:r>
        <w:rPr>
          <w:rStyle w:val="14"/>
          <w:rFonts w:hint="eastAsia" w:ascii="仿宋" w:hAnsi="仿宋" w:eastAsia="仿宋"/>
          <w:b w:val="0"/>
          <w:bCs/>
          <w:color w:val="000000"/>
          <w:sz w:val="32"/>
          <w:szCs w:val="32"/>
        </w:rPr>
        <w:t>,主要用于：缴纳职工住房公积金。</w:t>
      </w:r>
    </w:p>
    <w:p>
      <w:pPr>
        <w:tabs>
          <w:tab w:val="right" w:pos="8306"/>
        </w:tabs>
        <w:spacing w:line="600" w:lineRule="exact"/>
        <w:ind w:firstLine="640"/>
        <w:outlineLvl w:val="1"/>
        <w:rPr>
          <w:rStyle w:val="25"/>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9年一般公共预算财政拨款基本支出83.65万元，其中：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人员经费60.42万元，主要包括：基本工资、津贴补贴、奖金、绩效工资、机关事业单位基本养老保险缴费、职业年金缴费、生活补助、医疗费、奖励金、住房公积金等。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公用经费23.23万元，主要包括：办公费、印刷费、手续费、邮电费、水费、电费、邮电费、差旅费、其他交通费、其他商品和服务支出等。</w:t>
      </w:r>
    </w:p>
    <w:p>
      <w:pPr>
        <w:spacing w:line="600" w:lineRule="exact"/>
        <w:ind w:firstLine="640"/>
        <w:outlineLvl w:val="1"/>
        <w:rPr>
          <w:rStyle w:val="25"/>
          <w:rFonts w:ascii="黑体" w:hAnsi="黑体" w:eastAsia="黑体"/>
          <w:b w:val="0"/>
        </w:rPr>
      </w:pPr>
      <w:bookmarkStart w:id="43" w:name="_Toc15396609"/>
      <w:bookmarkStart w:id="44" w:name="_Toc15377215"/>
      <w:bookmarkStart w:id="45" w:name="_Toc15377223"/>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6" w:name="_Toc15377216"/>
      <w:r>
        <w:rPr>
          <w:rFonts w:hint="eastAsia" w:ascii="仿宋" w:hAnsi="仿宋" w:eastAsia="仿宋"/>
          <w:b/>
          <w:color w:val="000000"/>
          <w:sz w:val="32"/>
          <w:szCs w:val="32"/>
        </w:rPr>
        <w:t>（一）“三公”经费财政拨款支出决算总体情况说明</w:t>
      </w:r>
      <w:bookmarkEnd w:id="46"/>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无</w:t>
      </w:r>
    </w:p>
    <w:p>
      <w:pPr>
        <w:spacing w:line="600" w:lineRule="exact"/>
        <w:ind w:firstLine="640"/>
        <w:outlineLvl w:val="2"/>
        <w:rPr>
          <w:rFonts w:ascii="仿宋" w:hAnsi="仿宋" w:eastAsia="仿宋"/>
          <w:b/>
          <w:color w:val="000000"/>
          <w:sz w:val="32"/>
          <w:szCs w:val="32"/>
        </w:rPr>
      </w:pPr>
      <w:bookmarkStart w:id="47" w:name="_Toc15377217"/>
      <w:r>
        <w:rPr>
          <w:rFonts w:hint="eastAsia" w:ascii="仿宋" w:hAnsi="仿宋" w:eastAsia="仿宋"/>
          <w:b/>
          <w:color w:val="000000"/>
          <w:sz w:val="32"/>
          <w:szCs w:val="32"/>
        </w:rPr>
        <w:t>（二）“三公”经费财政拨款支出决算具体情况说明</w:t>
      </w:r>
      <w:bookmarkEnd w:id="47"/>
    </w:p>
    <w:p>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无</w:t>
      </w:r>
      <w:bookmarkStart w:id="48" w:name="_Toc15396610"/>
      <w:bookmarkStart w:id="49"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numPr>
          <w:ilvl w:val="0"/>
          <w:numId w:val="3"/>
        </w:numPr>
        <w:spacing w:line="600" w:lineRule="exact"/>
        <w:ind w:firstLine="640"/>
        <w:outlineLvl w:val="1"/>
        <w:rPr>
          <w:rStyle w:val="25"/>
          <w:rFonts w:ascii="黑体" w:hAnsi="黑体" w:eastAsia="黑体"/>
          <w:b w:val="0"/>
        </w:rPr>
      </w:pPr>
      <w:bookmarkStart w:id="50" w:name="_Toc15377219"/>
      <w:bookmarkStart w:id="51" w:name="_Toc15396611"/>
      <w:r>
        <w:rPr>
          <w:rStyle w:val="25"/>
          <w:rFonts w:hint="eastAsia" w:ascii="黑体" w:hAnsi="黑体" w:eastAsia="黑体"/>
          <w:b w:val="0"/>
        </w:rPr>
        <w:t>国有资本经营预算支出决算情况说明</w:t>
      </w:r>
      <w:bookmarkEnd w:id="50"/>
      <w:bookmarkEnd w:id="5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spacing w:line="600" w:lineRule="exact"/>
        <w:ind w:firstLine="800" w:firstLineChars="250"/>
        <w:outlineLvl w:val="1"/>
        <w:rPr>
          <w:rStyle w:val="25"/>
          <w:rFonts w:ascii="黑体" w:hAnsi="黑体" w:eastAsia="黑体"/>
        </w:rPr>
      </w:pPr>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日，共有车辆1辆，其中：其他用车1辆，</w:t>
      </w:r>
      <w:r>
        <w:rPr>
          <w:rFonts w:hint="eastAsia" w:ascii="仿宋_GB2312" w:eastAsia="仿宋_GB2312"/>
          <w:color w:val="000000" w:themeColor="text1"/>
          <w:sz w:val="32"/>
          <w:szCs w:val="32"/>
        </w:rPr>
        <w:t>其他用车主要是用于急救。单价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等2个项目开展了预算事前绩效评估，对2个项目编制了绩效目标，预算执行过程中，选取2个项目开展绩效监控，年终执行完毕后，对2个项目开展了绩效目标完成情况自评。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本单位按要求对2019年部门整体支出开展绩效自评，从评价情况来看本单位按要求对 2019年单位整体支出开展绩效自评，从评价情况来看，本单位 2019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spacing w:line="580" w:lineRule="exact"/>
        <w:ind w:firstLine="960" w:firstLineChars="3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bookmarkStart w:id="52" w:name="_Toc15377221"/>
      <w:bookmarkStart w:id="53" w:name="_Toc15396612"/>
      <w:r>
        <w:rPr>
          <w:rFonts w:hint="eastAsia" w:ascii="仿宋_GB2312" w:hAnsi="仿宋_GB2312" w:eastAsia="仿宋_GB2312" w:cs="仿宋_GB2312"/>
          <w:sz w:val="32"/>
          <w:szCs w:val="32"/>
        </w:rPr>
        <w:t xml:space="preserve">    本单位在2019年度部门决算中反映“基本公共卫生服务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17.50万元，执行数为17.50万元，完成预算的100%。通过项目实施，保障了2019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78.44万元，执行数为78.44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达州市达川区黄都乡卫生院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17.50万元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17.50万元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17.50万元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17.50万元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完成2019年基本药物资金补助17.50万元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完成2019年基本药物资金补助17.50万元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达州市达川区黄都乡卫生院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78.44万元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78.44万元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78.44万元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78.44万元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完成2019年基本公共卫生服务78.44万元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完成2019年基本公共卫生服务78.44万元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完成2019年基本公共卫生服78.44万元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四川省达州市达川区黄都乡卫生院2019年部门整体支出绩效评价报告》见附件1。《国家基本公共卫生服务、基层医疗卫生机构实施国家基本药物制度和综合改革项目2019年绩效评价报告》见附件2。</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bookmarkEnd w:id="45"/>
    <w:bookmarkEnd w:id="52"/>
    <w:bookmarkEnd w:id="53"/>
    <w:p>
      <w:pPr>
        <w:numPr>
          <w:ilvl w:val="0"/>
          <w:numId w:val="4"/>
        </w:numPr>
        <w:spacing w:line="600" w:lineRule="exact"/>
        <w:ind w:firstLine="663" w:firstLineChars="150"/>
        <w:jc w:val="center"/>
        <w:outlineLvl w:val="0"/>
        <w:rPr>
          <w:rStyle w:val="24"/>
          <w:rFonts w:ascii="黑体" w:hAnsi="黑体" w:eastAsia="黑体"/>
          <w:b w:val="0"/>
        </w:rPr>
      </w:pPr>
      <w:bookmarkStart w:id="54" w:name="_Toc15396613"/>
      <w:bookmarkStart w:id="55"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bookmarkStart w:id="56"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ascii="仿宋_GB2312" w:eastAsia="仿宋_GB2312" w:cs="Arial"/>
          <w:color w:val="000000"/>
          <w:sz w:val="32"/>
          <w:szCs w:val="32"/>
        </w:rPr>
      </w:pPr>
      <w:r>
        <w:rPr>
          <w:rFonts w:hint="eastAsia" w:ascii="仿宋_GB2312" w:eastAsia="仿宋_GB2312"/>
          <w:color w:val="000000"/>
          <w:sz w:val="32"/>
          <w:szCs w:val="32"/>
        </w:rPr>
        <w:t>9.社会保障和就业（208）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ascii="仿宋_GB2312" w:eastAsia="仿宋_GB2312"/>
          <w:color w:val="000000"/>
          <w:sz w:val="32"/>
          <w:szCs w:val="32"/>
        </w:rPr>
      </w:pPr>
      <w:r>
        <w:rPr>
          <w:rStyle w:val="14"/>
          <w:rFonts w:hint="eastAsia" w:ascii="仿宋_GB2312" w:eastAsia="仿宋_GB2312"/>
          <w:b w:val="0"/>
          <w:color w:val="000000"/>
          <w:sz w:val="32"/>
          <w:szCs w:val="32"/>
        </w:rPr>
        <w:t>10.卫生健康支出（210）基层医疗卫生机构（03）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center"/>
        <w:outlineLvl w:val="0"/>
        <w:rPr>
          <w:rStyle w:val="24"/>
        </w:rPr>
      </w:pPr>
    </w:p>
    <w:p>
      <w:pPr>
        <w:pStyle w:val="3"/>
        <w:rPr>
          <w:rStyle w:val="24"/>
          <w:rFonts w:ascii="仿宋" w:hAnsi="仿宋" w:eastAsia="仿宋"/>
          <w:b w:val="0"/>
          <w:bCs w:val="0"/>
          <w:sz w:val="32"/>
          <w:szCs w:val="32"/>
        </w:rPr>
      </w:pPr>
      <w:bookmarkStart w:id="58" w:name="_Toc15396615"/>
      <w:r>
        <w:rPr>
          <w:rStyle w:val="24"/>
          <w:rFonts w:hint="eastAsia" w:ascii="仿宋" w:hAnsi="仿宋" w:eastAsia="仿宋"/>
          <w:b w:val="0"/>
          <w:bCs w:val="0"/>
          <w:sz w:val="32"/>
          <w:szCs w:val="32"/>
        </w:rPr>
        <w:t>附件1</w:t>
      </w:r>
      <w:bookmarkEnd w:id="58"/>
    </w:p>
    <w:p>
      <w:pPr>
        <w:spacing w:line="600" w:lineRule="exact"/>
        <w:jc w:val="center"/>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达州市达川区黄都乡卫生院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部门2019年部门整体支出绩效评价报告</w:t>
      </w:r>
      <w:bookmarkEnd w:id="59"/>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达州市达川区黄都乡卫生院是一家差额补助性事业单位，无其他下属单位。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bookmarkStart w:id="60" w:name="_Toc15396617"/>
      <w:r>
        <w:rPr>
          <w:rFonts w:hint="eastAsia" w:ascii="仿宋" w:hAnsi="仿宋" w:eastAsia="仿宋" w:cs="仿宋_GB2312"/>
          <w:sz w:val="32"/>
          <w:szCs w:val="32"/>
        </w:rPr>
        <w:t>达州市达川区黄都乡卫生院是一所一级甲等基层卫生医疗机构。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我院拥有X光、彩超、全自动生化分析仪、麻醉呼吸机等辅助设备，现设有内科、外科、中医科、理疗科等科室。开展了中下腹部手术等常规手术。能对常见病，多发病以及部分疑难杂症做出准确的诊断和治疗。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pStyle w:val="5"/>
        <w:adjustRightInd w:val="0"/>
        <w:snapToGrid w:val="0"/>
        <w:spacing w:before="93" w:line="600" w:lineRule="exact"/>
        <w:ind w:firstLine="672" w:firstLineChars="210"/>
        <w:rPr>
          <w:sz w:val="32"/>
          <w:szCs w:val="32"/>
        </w:rPr>
      </w:pPr>
      <w:r>
        <w:rPr>
          <w:rFonts w:hint="eastAsia" w:ascii="仿宋" w:hAnsi="仿宋" w:eastAsia="仿宋"/>
          <w:sz w:val="32"/>
          <w:szCs w:val="32"/>
        </w:rPr>
        <w:t>达州市达川区黄都乡卫生院，</w:t>
      </w:r>
      <w:r>
        <w:rPr>
          <w:rFonts w:hint="eastAsia" w:hAnsi="仿宋"/>
          <w:sz w:val="32"/>
          <w:szCs w:val="32"/>
        </w:rPr>
        <w:t>年末实有人数15（含临聘5人）人，其中事业专技人员9人、事业工勤人员1人、临聘人员5人；退休人员3人。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2019年我院财政拨款收入总计248.51万元，其中一般公共预算财政拨款收入177.09万元，年初财政补助结转和结余71.42万元。</w:t>
      </w:r>
    </w:p>
    <w:p>
      <w:pPr>
        <w:numPr>
          <w:ilvl w:val="0"/>
          <w:numId w:val="5"/>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2019年我院财政拨款支出总计248.51万元，其中一般公共预算财政拨款支出179.59万元年末财政补助结转和结余68.92万元。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2019年预算编制工作，按时完成基础库、项目库报送工作，并按时提交部门预算草案。绩效目标是预算编制的前提和基础，按照“费随事定”的原则，2019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2019 年 12 月 31 日，我院 2019 年财政资金一般公共预算财政拨款执行进度为</w:t>
      </w:r>
      <w:r>
        <w:rPr>
          <w:rStyle w:val="14"/>
          <w:rFonts w:hint="eastAsia" w:ascii="仿宋" w:hAnsi="仿宋" w:eastAsia="仿宋"/>
          <w:bCs/>
          <w:color w:val="000000"/>
          <w:sz w:val="32"/>
          <w:szCs w:val="32"/>
        </w:rPr>
        <w:t>72.27</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rPr>
        <w:t>9</w:t>
      </w:r>
      <w:r>
        <w:rPr>
          <w:rFonts w:ascii="仿宋" w:hAnsi="仿宋" w:eastAsia="仿宋" w:cs="仿宋_GB2312"/>
          <w:sz w:val="32"/>
          <w:szCs w:val="32"/>
        </w:rPr>
        <w:t>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Pr>
        <w:widowControl/>
        <w:jc w:val="left"/>
        <w:rPr>
          <w:rStyle w:val="24"/>
          <w:rFonts w:ascii="仿宋" w:hAnsi="仿宋" w:eastAsia="仿宋"/>
          <w:b w:val="0"/>
          <w:bCs w:val="0"/>
          <w:sz w:val="32"/>
          <w:szCs w:val="32"/>
        </w:rPr>
      </w:pPr>
    </w:p>
    <w:p>
      <w:pPr>
        <w:widowControl/>
        <w:jc w:val="left"/>
        <w:rPr>
          <w:rStyle w:val="24"/>
          <w:rFonts w:ascii="仿宋" w:hAnsi="仿宋" w:eastAsia="仿宋"/>
          <w:b w:val="0"/>
          <w:bCs w:val="0"/>
          <w:sz w:val="32"/>
          <w:szCs w:val="32"/>
        </w:rPr>
      </w:pPr>
    </w:p>
    <w:p>
      <w:pPr>
        <w:widowControl/>
        <w:jc w:val="left"/>
        <w:rPr>
          <w:rStyle w:val="24"/>
          <w:rFonts w:ascii="仿宋" w:hAnsi="仿宋" w:eastAsia="仿宋"/>
          <w:b w:val="0"/>
          <w:bCs w:val="0"/>
          <w:sz w:val="32"/>
          <w:szCs w:val="32"/>
        </w:rPr>
      </w:pPr>
      <w:r>
        <w:rPr>
          <w:rStyle w:val="24"/>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2019年达川区黄都乡卫生院</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提高基本公共卫生服务项目均等化水平，推进基本公卫生服务项目开展；巩固基本药物制度，不断提升服务能力和水平，筑牢基层医疗卫生服务网底，实现医改“保基本、强基层、建机制”的目标。开展项目是基本公共卫生服务和基层医疗机构基本药物制度。</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总体看，我单位预算编制及执行决算较为准确，支出管理较为规范，财务管理制度较完善，项目支出整体绩效较好。项目支出绩效自评得分为85分。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w:t>
      </w:r>
      <w:r>
        <w:rPr>
          <w:rFonts w:hint="eastAsia" w:ascii="仿宋" w:hAnsi="仿宋" w:eastAsia="仿宋"/>
          <w:sz w:val="32"/>
          <w:szCs w:val="32"/>
        </w:rPr>
        <w:t>资金110.43万元、基层医疗机构基本药物制度</w:t>
      </w:r>
      <w:r>
        <w:rPr>
          <w:rFonts w:hint="eastAsia" w:ascii="仿宋" w:hAnsi="仿宋" w:eastAsia="仿宋"/>
          <w:sz w:val="32"/>
          <w:szCs w:val="32"/>
          <w:lang w:eastAsia="zh-CN"/>
        </w:rPr>
        <w:t>下拨</w:t>
      </w:r>
      <w:r>
        <w:rPr>
          <w:rFonts w:hint="eastAsia" w:ascii="仿宋" w:hAnsi="仿宋" w:eastAsia="仿宋"/>
          <w:sz w:val="32"/>
          <w:szCs w:val="32"/>
        </w:rPr>
        <w:t>资金23.89万元。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（2）资金使用。各单位根据业务需要购买货物及工作运行开支。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规范基本公共卫生服务行为，推进基本公卫生服务项目开展，不断提升服务能力和水平，筑牢基层医疗卫生服务网底，实现医改“保基本、强基层、建机制”的目标。通确保</w:t>
      </w:r>
      <w:r>
        <w:rPr>
          <w:rFonts w:hint="eastAsia" w:ascii="仿宋" w:hAnsi="仿宋" w:eastAsia="仿宋"/>
          <w:sz w:val="32"/>
          <w:szCs w:val="32"/>
        </w:rPr>
        <w:t>基本公共卫生服务和基层医疗机构基本药物制度顺利实施。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为广大群众提供公共卫生安全保障，居民满意度、建档立卡贫困户满意度≧90%；基本药物零差率销售率100%，政府办基层医疗卫生机构基本药物制度覆盖率100%。</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2、建议财政部门加强对财务人员做好各项财务工作的指导和培训，尤其是加强《政府会计制度》等新的会计制度学习和培训，规范部门预算收支核算。</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3、进一步完善和落实相关管理制度，加强内部控制管理制度学习，严格遵照相关制度贯彻落实到位，做到精细化管理。</w:t>
      </w:r>
    </w:p>
    <w:bookmarkEnd w:id="60"/>
    <w:p>
      <w:pPr>
        <w:spacing w:line="600" w:lineRule="exact"/>
        <w:jc w:val="center"/>
        <w:outlineLvl w:val="0"/>
        <w:rPr>
          <w:rFonts w:ascii="黑体" w:hAnsi="黑体" w:eastAsia="黑体"/>
          <w:color w:val="000000"/>
          <w:sz w:val="44"/>
          <w:szCs w:val="44"/>
        </w:rPr>
      </w:pPr>
      <w:bookmarkStart w:id="61"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6"/>
      <w:bookmarkEnd w:id="61"/>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rPr>
      </w:pPr>
      <w:bookmarkStart w:id="74"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KaiTi_GB2312">
    <w:altName w:val="楷体"/>
    <w:panose1 w:val="02010609060101010101"/>
    <w:charset w:val="01"/>
    <w:family w:val="auto"/>
    <w:pitch w:val="default"/>
    <w:sig w:usb0="00000000" w:usb1="00000000" w:usb2="01010111" w:usb3="01010101" w:csb0="0105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9</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BA8B6F6"/>
    <w:multiLevelType w:val="singleLevel"/>
    <w:tmpl w:val="1BA8B6F6"/>
    <w:lvl w:ilvl="0" w:tentative="0">
      <w:start w:val="2"/>
      <w:numFmt w:val="chineseCounting"/>
      <w:suff w:val="nothing"/>
      <w:lvlText w:val="（%1）"/>
      <w:lvlJc w:val="left"/>
      <w:rPr>
        <w:rFonts w:hint="eastAsia"/>
      </w:rPr>
    </w:lvl>
  </w:abstractNum>
  <w:abstractNum w:abstractNumId="4">
    <w:nsid w:val="4ECAA810"/>
    <w:multiLevelType w:val="singleLevel"/>
    <w:tmpl w:val="4ECAA810"/>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60DE3"/>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053B0"/>
    <w:rsid w:val="0021101A"/>
    <w:rsid w:val="00220536"/>
    <w:rsid w:val="00235629"/>
    <w:rsid w:val="00260C38"/>
    <w:rsid w:val="002616C0"/>
    <w:rsid w:val="002662AA"/>
    <w:rsid w:val="00280496"/>
    <w:rsid w:val="00295495"/>
    <w:rsid w:val="002B2613"/>
    <w:rsid w:val="002F1818"/>
    <w:rsid w:val="002F567B"/>
    <w:rsid w:val="003216A9"/>
    <w:rsid w:val="003367E0"/>
    <w:rsid w:val="00343043"/>
    <w:rsid w:val="0037013F"/>
    <w:rsid w:val="00380C92"/>
    <w:rsid w:val="003A484F"/>
    <w:rsid w:val="003B0BE0"/>
    <w:rsid w:val="003B0C1B"/>
    <w:rsid w:val="003B688C"/>
    <w:rsid w:val="003C0291"/>
    <w:rsid w:val="003C39AE"/>
    <w:rsid w:val="003C7B60"/>
    <w:rsid w:val="003D1FB2"/>
    <w:rsid w:val="003D66DA"/>
    <w:rsid w:val="003E1310"/>
    <w:rsid w:val="003E2070"/>
    <w:rsid w:val="003E6F55"/>
    <w:rsid w:val="003F2A57"/>
    <w:rsid w:val="00406254"/>
    <w:rsid w:val="004223DE"/>
    <w:rsid w:val="00434489"/>
    <w:rsid w:val="00437085"/>
    <w:rsid w:val="00443880"/>
    <w:rsid w:val="004464F4"/>
    <w:rsid w:val="00471401"/>
    <w:rsid w:val="00471705"/>
    <w:rsid w:val="00473F31"/>
    <w:rsid w:val="0048263A"/>
    <w:rsid w:val="00487E5D"/>
    <w:rsid w:val="004A711F"/>
    <w:rsid w:val="004B199D"/>
    <w:rsid w:val="004B4384"/>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36DC"/>
    <w:rsid w:val="00664777"/>
    <w:rsid w:val="00666FCE"/>
    <w:rsid w:val="006748A4"/>
    <w:rsid w:val="00683E73"/>
    <w:rsid w:val="006A3141"/>
    <w:rsid w:val="006A5E34"/>
    <w:rsid w:val="006B2422"/>
    <w:rsid w:val="006B2B9A"/>
    <w:rsid w:val="006C1937"/>
    <w:rsid w:val="006F020C"/>
    <w:rsid w:val="006F358E"/>
    <w:rsid w:val="00711B40"/>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0B0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1129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5357"/>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01E7"/>
    <w:rsid w:val="00BB4DF0"/>
    <w:rsid w:val="00BC289F"/>
    <w:rsid w:val="00BC5361"/>
    <w:rsid w:val="00BC5460"/>
    <w:rsid w:val="00BC6B50"/>
    <w:rsid w:val="00BD0E25"/>
    <w:rsid w:val="00BF5BD6"/>
    <w:rsid w:val="00C03E31"/>
    <w:rsid w:val="00C21A68"/>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13D59"/>
    <w:rsid w:val="00D20620"/>
    <w:rsid w:val="00D26091"/>
    <w:rsid w:val="00D34E7C"/>
    <w:rsid w:val="00D35489"/>
    <w:rsid w:val="00D51276"/>
    <w:rsid w:val="00D7035F"/>
    <w:rsid w:val="00DA6309"/>
    <w:rsid w:val="00DA65AC"/>
    <w:rsid w:val="00DB1913"/>
    <w:rsid w:val="00DC410D"/>
    <w:rsid w:val="00DC68CA"/>
    <w:rsid w:val="00DC7CBA"/>
    <w:rsid w:val="00DD73B7"/>
    <w:rsid w:val="00DF28BC"/>
    <w:rsid w:val="00DF34B9"/>
    <w:rsid w:val="00E00F9A"/>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62A9E"/>
    <w:rsid w:val="00F81FD9"/>
    <w:rsid w:val="00F841AA"/>
    <w:rsid w:val="00FA23E8"/>
    <w:rsid w:val="00FA602B"/>
    <w:rsid w:val="00FD3CC1"/>
    <w:rsid w:val="00FF1E02"/>
    <w:rsid w:val="00FF30B4"/>
    <w:rsid w:val="02EB6E10"/>
    <w:rsid w:val="03335754"/>
    <w:rsid w:val="04766894"/>
    <w:rsid w:val="05002AFB"/>
    <w:rsid w:val="058C5185"/>
    <w:rsid w:val="06EB25AD"/>
    <w:rsid w:val="071A23C8"/>
    <w:rsid w:val="08216114"/>
    <w:rsid w:val="09726E49"/>
    <w:rsid w:val="0A197B0F"/>
    <w:rsid w:val="0A5357C5"/>
    <w:rsid w:val="0B2A3A26"/>
    <w:rsid w:val="0C3B6768"/>
    <w:rsid w:val="0F773861"/>
    <w:rsid w:val="10C055FF"/>
    <w:rsid w:val="12150D46"/>
    <w:rsid w:val="12703840"/>
    <w:rsid w:val="133377B4"/>
    <w:rsid w:val="14E27812"/>
    <w:rsid w:val="16BB723D"/>
    <w:rsid w:val="197D2647"/>
    <w:rsid w:val="19944E3D"/>
    <w:rsid w:val="19CE654B"/>
    <w:rsid w:val="1F98779B"/>
    <w:rsid w:val="21E07E5B"/>
    <w:rsid w:val="23266E9E"/>
    <w:rsid w:val="240371BF"/>
    <w:rsid w:val="27BD0549"/>
    <w:rsid w:val="28F029D2"/>
    <w:rsid w:val="29C67CD5"/>
    <w:rsid w:val="29FD04D3"/>
    <w:rsid w:val="2A516F0F"/>
    <w:rsid w:val="2E3D121B"/>
    <w:rsid w:val="305F4AE4"/>
    <w:rsid w:val="30E17B90"/>
    <w:rsid w:val="316F74CB"/>
    <w:rsid w:val="319F7F4E"/>
    <w:rsid w:val="34C846B4"/>
    <w:rsid w:val="35842484"/>
    <w:rsid w:val="363D68AE"/>
    <w:rsid w:val="39FC0F6F"/>
    <w:rsid w:val="3B020B52"/>
    <w:rsid w:val="3BBF733D"/>
    <w:rsid w:val="3CBD0F5B"/>
    <w:rsid w:val="3E8D0D50"/>
    <w:rsid w:val="413A2E48"/>
    <w:rsid w:val="41A20556"/>
    <w:rsid w:val="42772933"/>
    <w:rsid w:val="42EB5126"/>
    <w:rsid w:val="434C130C"/>
    <w:rsid w:val="43D5167A"/>
    <w:rsid w:val="450260A0"/>
    <w:rsid w:val="479C1B1D"/>
    <w:rsid w:val="4A913EAB"/>
    <w:rsid w:val="4AE05CAB"/>
    <w:rsid w:val="4AE75803"/>
    <w:rsid w:val="4B3B6F2B"/>
    <w:rsid w:val="4B9757F8"/>
    <w:rsid w:val="4BC10015"/>
    <w:rsid w:val="4E036A30"/>
    <w:rsid w:val="4E327C7A"/>
    <w:rsid w:val="4E3853CD"/>
    <w:rsid w:val="4EF53295"/>
    <w:rsid w:val="4FEF5456"/>
    <w:rsid w:val="51627982"/>
    <w:rsid w:val="521D2A08"/>
    <w:rsid w:val="54791508"/>
    <w:rsid w:val="56E47F66"/>
    <w:rsid w:val="58115405"/>
    <w:rsid w:val="59725B92"/>
    <w:rsid w:val="598F6955"/>
    <w:rsid w:val="5A2C0C83"/>
    <w:rsid w:val="5AD844A0"/>
    <w:rsid w:val="5BB80ABF"/>
    <w:rsid w:val="5E9F4AD9"/>
    <w:rsid w:val="60477E97"/>
    <w:rsid w:val="619961AC"/>
    <w:rsid w:val="64AD74A7"/>
    <w:rsid w:val="65AB7752"/>
    <w:rsid w:val="65DB31BD"/>
    <w:rsid w:val="660F0DA8"/>
    <w:rsid w:val="6636726F"/>
    <w:rsid w:val="680928EC"/>
    <w:rsid w:val="682714AF"/>
    <w:rsid w:val="697E2C59"/>
    <w:rsid w:val="69BE68EF"/>
    <w:rsid w:val="6FE045CE"/>
    <w:rsid w:val="724427F6"/>
    <w:rsid w:val="731A51CB"/>
    <w:rsid w:val="764D602A"/>
    <w:rsid w:val="76982A7A"/>
    <w:rsid w:val="770C4FE6"/>
    <w:rsid w:val="77265E80"/>
    <w:rsid w:val="781E269E"/>
    <w:rsid w:val="78B748A2"/>
    <w:rsid w:val="7A3A7C81"/>
    <w:rsid w:val="7B0628BC"/>
    <w:rsid w:val="7B6809BF"/>
    <w:rsid w:val="7D5773C4"/>
    <w:rsid w:val="7DB96755"/>
    <w:rsid w:val="7EF70D37"/>
    <w:rsid w:val="7F0711D7"/>
    <w:rsid w:val="7F7B0B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73B2D-CD44-4CA1-92CE-C2D4E54C7C9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7939</Words>
  <Characters>3069</Characters>
  <Lines>25</Lines>
  <Paragraphs>21</Paragraphs>
  <TotalTime>14</TotalTime>
  <ScaleCrop>false</ScaleCrop>
  <LinksUpToDate>false</LinksUpToDate>
  <CharactersWithSpaces>10987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2020-09-17T03:32:00Z</cp:lastPrinted>
  <dcterms:modified xsi:type="dcterms:W3CDTF">2021-02-22T01:13:52Z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