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8441"/>
      <w:bookmarkStart w:id="2" w:name="_Toc15377193"/>
      <w:bookmarkStart w:id="3" w:name="_Toc15377425"/>
      <w:bookmarkStart w:id="4" w:name="_Toc15396597"/>
      <w:bookmarkStart w:id="5" w:name="_Toc15396475"/>
      <w:r>
        <w:rPr>
          <w:rFonts w:ascii="黑体" w:hAnsi="黑体" w:eastAsia="黑体"/>
          <w:color w:val="000000"/>
          <w:sz w:val="52"/>
          <w:szCs w:val="52"/>
        </w:rPr>
        <w:t>201</w:t>
      </w:r>
      <w:r>
        <w:rPr>
          <w:rFonts w:hint="eastAsia" w:ascii="黑体" w:hAnsi="黑体" w:eastAsia="黑体"/>
          <w:color w:val="000000"/>
          <w:sz w:val="52"/>
          <w:szCs w:val="52"/>
        </w:rPr>
        <w:t>9</w:t>
      </w:r>
      <w:r>
        <w:rPr>
          <w:rFonts w:hint="eastAsia" w:ascii="方正小标宋简体" w:hAnsi="宋体" w:eastAsia="方正小标宋简体"/>
          <w:color w:val="000000"/>
          <w:sz w:val="52"/>
          <w:szCs w:val="52"/>
        </w:rPr>
        <w:t>年度</w:t>
      </w:r>
      <w:bookmarkEnd w:id="1"/>
      <w:bookmarkEnd w:id="2"/>
      <w:bookmarkEnd w:id="3"/>
      <w:bookmarkEnd w:id="4"/>
      <w:bookmarkEnd w:id="5"/>
      <w:bookmarkStart w:id="6" w:name="_Toc15396476"/>
      <w:bookmarkStart w:id="7" w:name="_Toc15396598"/>
      <w:bookmarkStart w:id="8" w:name="_Toc15377426"/>
      <w:bookmarkStart w:id="9" w:name="_Toc15377194"/>
      <w:bookmarkStart w:id="10" w:name="_Toc15378442"/>
      <w:r>
        <w:rPr>
          <w:rFonts w:hint="eastAsia" w:ascii="方正小标宋简体" w:hAnsi="宋体" w:eastAsia="方正小标宋简体"/>
          <w:color w:val="000000"/>
          <w:sz w:val="52"/>
          <w:szCs w:val="52"/>
        </w:rPr>
        <w:t>达州市达川区</w:t>
      </w:r>
      <w:bookmarkEnd w:id="0"/>
      <w:bookmarkStart w:id="11" w:name="_Toc15306268"/>
      <w:r>
        <w:rPr>
          <w:rFonts w:hint="eastAsia" w:ascii="方正小标宋简体" w:hAnsi="宋体" w:eastAsia="方正小标宋简体"/>
          <w:color w:val="000000"/>
          <w:sz w:val="52"/>
          <w:szCs w:val="52"/>
        </w:rPr>
        <w:t>亭子镇中心卫生院部门决算</w:t>
      </w:r>
      <w:bookmarkEnd w:id="6"/>
      <w:bookmarkEnd w:id="7"/>
      <w:bookmarkEnd w:id="8"/>
      <w:bookmarkEnd w:id="9"/>
      <w:bookmarkEnd w:id="10"/>
      <w:bookmarkEnd w:id="11"/>
      <w:r>
        <w:rPr>
          <w:rFonts w:hint="eastAsia" w:ascii="方正小标宋简体" w:hAnsi="宋体" w:eastAsia="方正小标宋简体"/>
          <w:color w:val="000000"/>
          <w:sz w:val="52"/>
          <w:szCs w:val="52"/>
        </w:rPr>
        <w:t>编制说明</w:t>
      </w:r>
    </w:p>
    <w:p>
      <w:pPr>
        <w:widowControl/>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widowControl/>
        <w:jc w:val="center"/>
        <w:rPr>
          <w:rFonts w:ascii="黑体" w:hAnsi="黑体" w:eastAsia="黑体"/>
          <w:color w:val="000000"/>
          <w:sz w:val="48"/>
          <w:szCs w:val="48"/>
        </w:rPr>
      </w:pPr>
      <w:bookmarkStart w:id="12" w:name="_Toc15377196"/>
      <w:bookmarkStart w:id="13" w:name="_Toc15396599"/>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公开时间：2020年9月18日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19年度部门决算情况说明</w:t>
      </w:r>
      <w:r>
        <w:tab/>
      </w:r>
      <w:r>
        <w:rPr>
          <w:rFonts w:hint="eastAsia"/>
          <w:lang w:val="en-US" w:eastAsia="zh-CN"/>
        </w:rPr>
        <w:t>6</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hint="eastAsia"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1</w:t>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2</w:t>
      </w:r>
    </w:p>
    <w:p>
      <w:pPr>
        <w:pStyle w:val="11"/>
        <w:rPr>
          <w:rFonts w:hint="eastAsia" w:ascii="仿宋" w:hAnsi="仿宋" w:eastAsia="仿宋" w:cstheme="minorBidi"/>
          <w:sz w:val="28"/>
          <w:szCs w:val="28"/>
          <w:lang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sz w:val="28"/>
          <w:szCs w:val="28"/>
          <w:lang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pPr>
      <w:r>
        <w:fldChar w:fldCharType="begin"/>
      </w:r>
      <w:r>
        <w:instrText xml:space="preserve"> HYPERLINK \l "_Toc15396615" </w:instrText>
      </w:r>
      <w:r>
        <w:fldChar w:fldCharType="separate"/>
      </w:r>
      <w:r>
        <w:rPr>
          <w:rStyle w:val="15"/>
          <w:rFonts w:hint="eastAsia" w:ascii="仿宋" w:hAnsi="仿宋" w:eastAsia="仿宋"/>
          <w:sz w:val="28"/>
          <w:szCs w:val="28"/>
        </w:rPr>
        <w:t>十、预算绩效情况说明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lang w:val="en-US" w:eastAsia="zh-CN"/>
        </w:rPr>
        <w:t>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7</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1</w:t>
      </w:r>
      <w:r>
        <w:rPr>
          <w:rFonts w:hint="eastAsia"/>
        </w:rPr>
        <w:fldChar w:fldCharType="end"/>
      </w:r>
      <w:r>
        <w:rPr>
          <w:rFonts w:hint="eastAsia"/>
        </w:rPr>
        <w:t>7</w:t>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rPr>
        <w:t>2</w:t>
      </w:r>
      <w:r>
        <w:rPr>
          <w:rFonts w:hint="eastAsia"/>
        </w:rPr>
        <w:fldChar w:fldCharType="end"/>
      </w:r>
      <w:r>
        <w:rPr>
          <w:rFonts w:hint="eastAsia"/>
        </w:rPr>
        <w:t>0</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4</w:t>
      </w:r>
    </w:p>
    <w:p>
      <w:pPr>
        <w:pStyle w:val="10"/>
        <w:rPr>
          <w:rFonts w:hint="eastAsia" w:eastAsia="仿宋" w:cstheme="minorBidi"/>
          <w:lang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rPr>
        <w:t>2</w:t>
      </w:r>
      <w:r>
        <w:rPr>
          <w:rFonts w:hint="eastAsia"/>
        </w:rPr>
        <w:fldChar w:fldCharType="end"/>
      </w:r>
      <w:r>
        <w:rPr>
          <w:rFonts w:hint="eastAsia"/>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财政拨款支出决算明细表（政府经济分类科目）2</w:t>
      </w:r>
      <w:r>
        <w:rPr>
          <w:rFonts w:hint="eastAsia" w:ascii="仿宋" w:hAnsi="仿宋" w:eastAsia="仿宋"/>
          <w:sz w:val="28"/>
          <w:szCs w:val="28"/>
        </w:rPr>
        <w:fldChar w:fldCharType="end"/>
      </w:r>
      <w:r>
        <w:rPr>
          <w:rFonts w:hint="eastAsia" w:ascii="仿宋" w:hAnsi="仿宋" w:eastAsia="仿宋"/>
          <w:sz w:val="28"/>
          <w:szCs w:val="28"/>
        </w:rPr>
        <w:t>9</w:t>
      </w:r>
    </w:p>
    <w:p>
      <w:pPr>
        <w:pStyle w:val="11"/>
        <w:rPr>
          <w:rFonts w:hint="eastAsia" w:ascii="仿宋" w:hAnsi="仿宋" w:eastAsia="仿宋" w:cstheme="minorBidi"/>
          <w:sz w:val="28"/>
          <w:szCs w:val="28"/>
          <w:lang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8"/>
          <w:szCs w:val="28"/>
          <w:lang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eastAsia" w:ascii="仿宋" w:hAnsi="仿宋" w:eastAsia="仿宋" w:cstheme="minorBidi"/>
          <w:sz w:val="24"/>
          <w:lang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lang w:val="en-US" w:eastAsia="zh-CN"/>
        </w:rPr>
        <w:t>6</w:t>
      </w:r>
    </w:p>
    <w:p>
      <w:pPr>
        <w:widowControl/>
        <w:spacing w:line="440" w:lineRule="exact"/>
        <w:jc w:val="left"/>
        <w:rPr>
          <w:rFonts w:ascii="仿宋" w:hAnsi="仿宋" w:eastAsia="仿宋"/>
          <w:bCs/>
          <w:kern w:val="44"/>
          <w:sz w:val="24"/>
        </w:rPr>
      </w:pPr>
      <w:r>
        <w:rPr>
          <w:rFonts w:ascii="仿宋" w:hAnsi="仿宋" w:eastAsia="仿宋"/>
          <w:color w:val="000000"/>
          <w:sz w:val="24"/>
        </w:rPr>
        <w:fldChar w:fldCharType="end"/>
      </w:r>
      <w:r>
        <w:rPr>
          <w:rFonts w:ascii="仿宋" w:hAnsi="仿宋" w:eastAsia="仿宋"/>
          <w:b/>
          <w:sz w:val="24"/>
        </w:rPr>
        <w:br w:type="page"/>
      </w:r>
    </w:p>
    <w:p>
      <w:pPr>
        <w:pStyle w:val="2"/>
        <w:jc w:val="center"/>
        <w:rPr>
          <w:rStyle w:val="24"/>
          <w:rFonts w:ascii="仿宋_GB2312" w:hAnsi="仿宋_GB2312" w:eastAsia="仿宋_GB2312" w:cs="仿宋_GB2312"/>
          <w:b/>
          <w:bCs w:val="0"/>
        </w:rPr>
      </w:pPr>
      <w:r>
        <w:rPr>
          <w:rFonts w:hint="eastAsia" w:ascii="仿宋_GB2312" w:hAnsi="仿宋_GB2312" w:eastAsia="仿宋_GB2312" w:cs="仿宋_GB2312"/>
          <w:b w:val="0"/>
        </w:rPr>
        <w:t xml:space="preserve">第一部分 </w:t>
      </w:r>
      <w:r>
        <w:rPr>
          <w:rStyle w:val="24"/>
          <w:rFonts w:hint="eastAsia" w:ascii="仿宋_GB2312" w:hAnsi="仿宋_GB2312" w:eastAsia="仿宋_GB2312" w:cs="仿宋_GB2312"/>
          <w:b w:val="0"/>
          <w:bCs w:val="0"/>
        </w:rPr>
        <w:t>部门概况</w:t>
      </w:r>
      <w:bookmarkEnd w:id="12"/>
      <w:bookmarkEnd w:id="13"/>
    </w:p>
    <w:p>
      <w:pPr>
        <w:widowControl/>
        <w:jc w:val="left"/>
        <w:rPr>
          <w:rFonts w:ascii="仿宋_GB2312" w:hAnsi="仿宋_GB2312" w:eastAsia="仿宋_GB2312" w:cs="仿宋_GB2312"/>
          <w:color w:val="000000"/>
          <w:sz w:val="32"/>
          <w:szCs w:val="32"/>
        </w:rPr>
      </w:pPr>
    </w:p>
    <w:p>
      <w:pPr>
        <w:pStyle w:val="3"/>
        <w:rPr>
          <w:rStyle w:val="25"/>
          <w:rFonts w:ascii="仿宋_GB2312" w:hAnsi="仿宋_GB2312" w:eastAsia="仿宋_GB2312" w:cs="仿宋_GB2312"/>
          <w:b w:val="0"/>
          <w:bCs w:val="0"/>
        </w:rPr>
      </w:pPr>
      <w:bookmarkStart w:id="14" w:name="_Toc15396600"/>
      <w:bookmarkStart w:id="15" w:name="_Toc15377197"/>
      <w:r>
        <w:rPr>
          <w:rFonts w:hint="eastAsia" w:ascii="仿宋_GB2312" w:hAnsi="仿宋_GB2312" w:eastAsia="仿宋_GB2312" w:cs="仿宋_GB2312"/>
          <w:b w:val="0"/>
          <w:color w:val="000000"/>
        </w:rPr>
        <w:t>一、基</w:t>
      </w:r>
      <w:r>
        <w:rPr>
          <w:rStyle w:val="25"/>
          <w:rFonts w:hint="eastAsia" w:ascii="仿宋_GB2312" w:hAnsi="仿宋_GB2312" w:eastAsia="仿宋_GB2312" w:cs="仿宋_GB2312"/>
          <w:b w:val="0"/>
          <w:bCs w:val="0"/>
        </w:rPr>
        <w:t>本职能及主要工作</w:t>
      </w:r>
      <w:bookmarkEnd w:id="14"/>
      <w:bookmarkEnd w:id="15"/>
    </w:p>
    <w:p>
      <w:pPr>
        <w:spacing w:line="440" w:lineRule="exact"/>
        <w:ind w:firstLine="640" w:firstLineChars="200"/>
        <w:rPr>
          <w:rFonts w:ascii="仿宋_GB2312" w:hAnsi="仿宋_GB2312" w:eastAsia="仿宋_GB2312" w:cs="仿宋_GB2312"/>
          <w:sz w:val="30"/>
          <w:szCs w:val="30"/>
        </w:rPr>
      </w:pPr>
      <w:bookmarkStart w:id="16" w:name="_Toc15377198"/>
      <w:bookmarkStart w:id="17" w:name="_Toc15378445"/>
      <w:r>
        <w:rPr>
          <w:rFonts w:hint="eastAsia" w:ascii="仿宋_GB2312" w:hAnsi="仿宋_GB2312" w:eastAsia="仿宋_GB2312" w:cs="仿宋_GB2312"/>
          <w:bCs/>
          <w:color w:val="000000"/>
          <w:sz w:val="32"/>
          <w:szCs w:val="32"/>
        </w:rPr>
        <w:t>（一）主要职能。</w:t>
      </w:r>
      <w:r>
        <w:rPr>
          <w:rFonts w:hint="eastAsia" w:ascii="仿宋_GB2312" w:hAnsi="仿宋_GB2312" w:eastAsia="仿宋_GB2312" w:cs="仿宋_GB2312"/>
          <w:sz w:val="30"/>
          <w:szCs w:val="30"/>
        </w:rPr>
        <w:t>在地方政府和卫健局的领导下，根据党的方针、政策及市、区卫健局对社区卫生服务工作的总体要求、做好社区卫生服务行政业务工作，积极开展以保护、促进人民健康，不断提高居民生活质量为目的的卫生保健，认真落实各项卫生工作指标。开展以社区为范围，家庭为单位，健康为中心，人的生命为过程的以老年、妇女、儿童和慢性病人为重点的集预防、医疗、保健、康复、健康教育、计划生育指导为一体的综合性社区卫生服务。</w:t>
      </w:r>
    </w:p>
    <w:bookmarkEnd w:id="16"/>
    <w:bookmarkEnd w:id="17"/>
    <w:p>
      <w:pPr>
        <w:pStyle w:val="5"/>
        <w:adjustRightInd w:val="0"/>
        <w:snapToGrid w:val="0"/>
        <w:spacing w:before="93" w:line="600" w:lineRule="exact"/>
        <w:ind w:firstLine="672" w:firstLineChars="210"/>
        <w:outlineLvl w:val="2"/>
        <w:rPr>
          <w:rFonts w:hAnsi="仿宋_GB2312" w:cs="仿宋_GB2312"/>
          <w:bCs/>
          <w:color w:val="000000"/>
          <w:sz w:val="32"/>
          <w:szCs w:val="32"/>
        </w:rPr>
      </w:pPr>
      <w:bookmarkStart w:id="18" w:name="_Toc15377199"/>
      <w:bookmarkStart w:id="19" w:name="_Toc15378446"/>
      <w:r>
        <w:rPr>
          <w:rFonts w:hint="eastAsia" w:hAnsi="仿宋_GB2312" w:cs="仿宋_GB2312"/>
          <w:bCs/>
          <w:color w:val="000000"/>
          <w:sz w:val="32"/>
          <w:szCs w:val="32"/>
        </w:rPr>
        <w:t>（二）2019年重点工作完成情况。</w:t>
      </w:r>
      <w:bookmarkEnd w:id="18"/>
      <w:bookmarkEnd w:id="19"/>
    </w:p>
    <w:p>
      <w:pPr>
        <w:pStyle w:val="5"/>
        <w:adjustRightInd w:val="0"/>
        <w:snapToGrid w:val="0"/>
        <w:spacing w:before="93" w:line="600" w:lineRule="exact"/>
        <w:ind w:firstLine="672" w:firstLineChars="210"/>
        <w:outlineLvl w:val="2"/>
        <w:rPr>
          <w:rFonts w:hAnsi="仿宋_GB2312" w:cs="仿宋_GB2312"/>
          <w:bCs/>
          <w:color w:val="000000"/>
          <w:sz w:val="32"/>
          <w:szCs w:val="32"/>
        </w:rPr>
      </w:pPr>
      <w:r>
        <w:rPr>
          <w:rFonts w:hint="eastAsia" w:hAnsi="仿宋_GB2312" w:cs="仿宋_GB2312"/>
          <w:bCs/>
          <w:color w:val="000000"/>
          <w:sz w:val="32"/>
          <w:szCs w:val="32"/>
        </w:rPr>
        <w:t>2019年我院在当地政府及上级</w:t>
      </w:r>
      <w:r>
        <w:rPr>
          <w:rFonts w:hint="eastAsia" w:hAnsi="仿宋_GB2312" w:cs="仿宋_GB2312"/>
          <w:szCs w:val="30"/>
        </w:rPr>
        <w:t>卫健局</w:t>
      </w:r>
      <w:r>
        <w:rPr>
          <w:rFonts w:hint="eastAsia" w:hAnsi="仿宋_GB2312" w:cs="仿宋_GB2312"/>
          <w:bCs/>
          <w:color w:val="000000"/>
          <w:sz w:val="32"/>
          <w:szCs w:val="32"/>
        </w:rPr>
        <w:t>的领导下，圆满完成了各项任务，业务收入稳步提高，政务及党建工作也取得了长足进步。</w:t>
      </w:r>
    </w:p>
    <w:p>
      <w:pPr>
        <w:pStyle w:val="5"/>
        <w:adjustRightInd w:val="0"/>
        <w:snapToGrid w:val="0"/>
        <w:spacing w:before="93" w:line="600" w:lineRule="exact"/>
        <w:ind w:firstLine="672" w:firstLineChars="210"/>
        <w:outlineLvl w:val="2"/>
        <w:rPr>
          <w:rFonts w:hAnsi="仿宋_GB2312" w:cs="仿宋_GB2312"/>
          <w:bCs/>
          <w:color w:val="000000"/>
          <w:sz w:val="32"/>
          <w:szCs w:val="32"/>
        </w:rPr>
      </w:pPr>
      <w:r>
        <w:rPr>
          <w:rFonts w:hint="eastAsia" w:hAnsi="仿宋_GB2312" w:cs="仿宋_GB2312"/>
          <w:bCs/>
          <w:color w:val="000000"/>
          <w:sz w:val="32"/>
          <w:szCs w:val="32"/>
        </w:rPr>
        <w:t>1：狠抓业务收入，在新的领导班子成立后，加强了业务培训和管理，狠抓医德医风，规范医疗行为，严格控制药品不合理增长，切实减轻农民看病难、看病贵的问题。</w:t>
      </w:r>
    </w:p>
    <w:p>
      <w:pPr>
        <w:pStyle w:val="5"/>
        <w:adjustRightInd w:val="0"/>
        <w:snapToGrid w:val="0"/>
        <w:spacing w:before="93" w:line="600" w:lineRule="exact"/>
        <w:ind w:firstLine="672" w:firstLineChars="210"/>
        <w:outlineLvl w:val="2"/>
        <w:rPr>
          <w:rFonts w:hAnsi="仿宋_GB2312" w:cs="仿宋_GB2312"/>
          <w:bCs/>
          <w:color w:val="000000"/>
          <w:sz w:val="32"/>
          <w:szCs w:val="32"/>
        </w:rPr>
      </w:pPr>
      <w:r>
        <w:rPr>
          <w:rFonts w:hint="eastAsia" w:hAnsi="仿宋_GB2312" w:cs="仿宋_GB2312"/>
          <w:bCs/>
          <w:color w:val="000000"/>
          <w:sz w:val="32"/>
          <w:szCs w:val="32"/>
        </w:rPr>
        <w:t>2：加强公共卫生监督和管理，全面落实公共卫生14大类管理工作，特别是进一步完善了辖区内服务人口的健康管理档案，加强了预防接种宣传；多次开展基层医疗服务活动；加强了传染病管理，按月随访。</w:t>
      </w:r>
    </w:p>
    <w:p>
      <w:pPr>
        <w:pStyle w:val="5"/>
        <w:adjustRightInd w:val="0"/>
        <w:snapToGrid w:val="0"/>
        <w:spacing w:before="93" w:line="600" w:lineRule="exact"/>
        <w:ind w:firstLine="672" w:firstLineChars="210"/>
        <w:outlineLvl w:val="2"/>
        <w:rPr>
          <w:rFonts w:hAnsi="仿宋_GB2312" w:cs="仿宋_GB2312"/>
          <w:bCs/>
          <w:color w:val="000000"/>
          <w:sz w:val="32"/>
          <w:szCs w:val="32"/>
        </w:rPr>
      </w:pPr>
      <w:r>
        <w:rPr>
          <w:rFonts w:hint="eastAsia" w:hAnsi="仿宋_GB2312" w:cs="仿宋_GB2312"/>
          <w:bCs/>
          <w:color w:val="000000"/>
          <w:sz w:val="32"/>
          <w:szCs w:val="32"/>
        </w:rPr>
        <w:t>3：进一步落实和加强党建和政务工作，不仅在制度上创新，而且在行动中得到了落实，让我院精神面貌焕然一新，职工积极性得到了提高。</w:t>
      </w:r>
    </w:p>
    <w:p>
      <w:pPr>
        <w:pStyle w:val="3"/>
        <w:rPr>
          <w:rStyle w:val="25"/>
          <w:rFonts w:ascii="仿宋_GB2312" w:hAnsi="仿宋_GB2312" w:eastAsia="仿宋_GB2312" w:cs="仿宋_GB2312"/>
          <w:b w:val="0"/>
          <w:bCs w:val="0"/>
        </w:rPr>
      </w:pPr>
      <w:bookmarkStart w:id="20" w:name="_Toc15396601"/>
      <w:bookmarkStart w:id="21" w:name="_Toc15377200"/>
      <w:r>
        <w:rPr>
          <w:rFonts w:hint="eastAsia" w:ascii="仿宋_GB2312" w:hAnsi="仿宋_GB2312" w:eastAsia="仿宋_GB2312" w:cs="仿宋_GB2312"/>
          <w:b w:val="0"/>
          <w:color w:val="000000"/>
        </w:rPr>
        <w:t>二、机</w:t>
      </w:r>
      <w:r>
        <w:rPr>
          <w:rStyle w:val="25"/>
          <w:rFonts w:hint="eastAsia" w:ascii="仿宋_GB2312" w:hAnsi="仿宋_GB2312" w:eastAsia="仿宋_GB2312" w:cs="仿宋_GB2312"/>
          <w:b w:val="0"/>
          <w:bCs w:val="0"/>
        </w:rPr>
        <w:t>构设置</w:t>
      </w:r>
      <w:bookmarkEnd w:id="20"/>
      <w:bookmarkEnd w:id="21"/>
    </w:p>
    <w:p>
      <w:pPr>
        <w:snapToGrid w:val="0"/>
        <w:spacing w:line="520" w:lineRule="exact"/>
        <w:ind w:firstLine="960" w:firstLineChars="3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1：我院共设置了门诊和住院部，划分了急诊科，门诊部、住院部、护理部、医技科、放射科、理疗科及后勤管理办公室等共13个科室。</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2：我院为差额拨款的事业单位</w:t>
      </w: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个，并且全部纳入2019年部门决算范围</w:t>
      </w:r>
    </w:p>
    <w:p>
      <w:pPr>
        <w:pStyle w:val="2"/>
        <w:ind w:right="440"/>
        <w:rPr>
          <w:rFonts w:ascii="仿宋_GB2312" w:hAnsi="仿宋_GB2312" w:eastAsia="仿宋_GB2312" w:cs="仿宋_GB2312"/>
          <w:b w:val="0"/>
          <w:color w:val="000000"/>
        </w:rPr>
      </w:pPr>
      <w:bookmarkStart w:id="22" w:name="_Toc15377204"/>
      <w:bookmarkStart w:id="23" w:name="_Toc15396602"/>
    </w:p>
    <w:p>
      <w:pPr>
        <w:pStyle w:val="2"/>
        <w:ind w:right="440"/>
        <w:rPr>
          <w:rFonts w:ascii="仿宋_GB2312" w:hAnsi="仿宋_GB2312" w:eastAsia="仿宋_GB2312" w:cs="仿宋_GB2312"/>
          <w:b w:val="0"/>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p>
      <w:pPr>
        <w:pStyle w:val="2"/>
        <w:ind w:right="440"/>
        <w:rPr>
          <w:rStyle w:val="24"/>
          <w:rFonts w:ascii="仿宋_GB2312" w:hAnsi="仿宋_GB2312" w:eastAsia="仿宋_GB2312" w:cs="仿宋_GB2312"/>
          <w:b w:val="0"/>
          <w:bCs w:val="0"/>
        </w:rPr>
      </w:pPr>
      <w:r>
        <w:rPr>
          <w:rFonts w:hint="eastAsia" w:ascii="仿宋_GB2312" w:hAnsi="仿宋_GB2312" w:eastAsia="仿宋_GB2312" w:cs="仿宋_GB2312"/>
          <w:b w:val="0"/>
          <w:color w:val="000000"/>
        </w:rPr>
        <w:t>第二部分</w:t>
      </w:r>
      <w:r>
        <w:rPr>
          <w:rFonts w:hint="eastAsia" w:ascii="仿宋_GB2312" w:hAnsi="仿宋_GB2312" w:eastAsia="仿宋_GB2312" w:cs="仿宋_GB2312"/>
          <w:color w:val="000000"/>
        </w:rPr>
        <w:t xml:space="preserve"> </w:t>
      </w:r>
      <w:r>
        <w:rPr>
          <w:rStyle w:val="24"/>
          <w:rFonts w:hint="eastAsia" w:ascii="仿宋_GB2312" w:hAnsi="仿宋_GB2312" w:eastAsia="仿宋_GB2312" w:cs="仿宋_GB2312"/>
          <w:b w:val="0"/>
          <w:bCs w:val="0"/>
        </w:rPr>
        <w:t>2019年度部门决算情况说明</w:t>
      </w:r>
      <w:bookmarkEnd w:id="22"/>
      <w:bookmarkEnd w:id="23"/>
    </w:p>
    <w:p>
      <w:pPr>
        <w:rPr>
          <w:rFonts w:ascii="仿宋_GB2312" w:hAnsi="仿宋_GB2312" w:eastAsia="仿宋_GB2312" w:cs="仿宋_GB2312"/>
        </w:rPr>
      </w:pPr>
    </w:p>
    <w:p>
      <w:pPr>
        <w:pStyle w:val="23"/>
        <w:numPr>
          <w:ilvl w:val="0"/>
          <w:numId w:val="1"/>
        </w:numPr>
        <w:spacing w:line="600" w:lineRule="exact"/>
        <w:ind w:firstLineChars="0"/>
        <w:outlineLvl w:val="1"/>
        <w:rPr>
          <w:rStyle w:val="25"/>
          <w:rFonts w:ascii="仿宋_GB2312" w:hAnsi="仿宋_GB2312" w:eastAsia="仿宋_GB2312" w:cs="仿宋_GB2312"/>
          <w:b w:val="0"/>
        </w:rPr>
      </w:pPr>
      <w:bookmarkStart w:id="24" w:name="_Toc15377205"/>
      <w:bookmarkStart w:id="25" w:name="_Toc15396603"/>
      <w:r>
        <w:rPr>
          <w:rFonts w:hint="eastAsia" w:ascii="仿宋_GB2312" w:hAnsi="仿宋_GB2312" w:eastAsia="仿宋_GB2312" w:cs="仿宋_GB2312"/>
          <w:color w:val="000000"/>
          <w:sz w:val="32"/>
          <w:szCs w:val="32"/>
        </w:rPr>
        <w:t>收</w:t>
      </w:r>
      <w:r>
        <w:rPr>
          <w:rStyle w:val="25"/>
          <w:rFonts w:hint="eastAsia" w:ascii="仿宋_GB2312" w:hAnsi="仿宋_GB2312" w:eastAsia="仿宋_GB2312" w:cs="仿宋_GB2312"/>
          <w:b w:val="0"/>
        </w:rPr>
        <w:t>入支出决算总体情况说明</w:t>
      </w:r>
      <w:bookmarkEnd w:id="24"/>
      <w:bookmarkEnd w:id="25"/>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2019年度收支总计1880.55万元。与2018年相比，收、支总计1801.93各增加78.62万元，增长4.36%。主要变动原因是财政收入增加</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（图1：收、支决算总计变动情况图）（柱状图）</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drawing>
          <wp:anchor distT="0" distB="0" distL="114300" distR="114300" simplePos="0" relativeHeight="251665408" behindDoc="1" locked="0" layoutInCell="1" allowOverlap="1">
            <wp:simplePos x="0" y="0"/>
            <wp:positionH relativeFrom="column">
              <wp:posOffset>125095</wp:posOffset>
            </wp:positionH>
            <wp:positionV relativeFrom="paragraph">
              <wp:posOffset>71120</wp:posOffset>
            </wp:positionV>
            <wp:extent cx="4880610" cy="3429000"/>
            <wp:effectExtent l="4445" t="4445" r="10795" b="14605"/>
            <wp:wrapTight wrapText="bothSides">
              <wp:wrapPolygon>
                <wp:start x="-20" y="-28"/>
                <wp:lineTo x="-20" y="21572"/>
                <wp:lineTo x="21563" y="21572"/>
                <wp:lineTo x="21563" y="-28"/>
                <wp:lineTo x="-20" y="-28"/>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jc w:val="left"/>
        <w:rPr>
          <w:rFonts w:ascii="仿宋_GB2312" w:hAnsi="仿宋_GB2312" w:eastAsia="仿宋_GB2312" w:cs="仿宋_GB2312"/>
        </w:rPr>
      </w:pPr>
    </w:p>
    <w:p>
      <w:pPr>
        <w:spacing w:line="600" w:lineRule="exact"/>
        <w:ind w:firstLine="420" w:firstLineChars="200"/>
        <w:jc w:val="left"/>
        <w:rPr>
          <w:rFonts w:ascii="仿宋_GB2312" w:hAnsi="仿宋_GB2312" w:eastAsia="仿宋_GB2312" w:cs="仿宋_GB2312"/>
        </w:rPr>
      </w:pPr>
    </w:p>
    <w:p>
      <w:pPr>
        <w:spacing w:line="600" w:lineRule="exact"/>
        <w:jc w:val="left"/>
        <w:rPr>
          <w:rFonts w:ascii="仿宋_GB2312" w:hAnsi="仿宋_GB2312" w:eastAsia="仿宋_GB2312" w:cs="仿宋_GB2312"/>
          <w:color w:val="000000"/>
          <w:sz w:val="32"/>
          <w:szCs w:val="32"/>
        </w:rPr>
      </w:pPr>
    </w:p>
    <w:p>
      <w:pPr>
        <w:spacing w:line="600" w:lineRule="exact"/>
        <w:ind w:firstLine="640" w:firstLineChars="200"/>
        <w:jc w:val="left"/>
        <w:rPr>
          <w:rFonts w:ascii="仿宋_GB2312" w:hAnsi="仿宋_GB2312" w:eastAsia="仿宋_GB2312" w:cs="仿宋_GB2312"/>
          <w:color w:val="000000"/>
          <w:sz w:val="32"/>
          <w:szCs w:val="32"/>
        </w:rPr>
      </w:pPr>
    </w:p>
    <w:p>
      <w:pPr>
        <w:spacing w:line="600" w:lineRule="exact"/>
        <w:ind w:firstLine="640" w:firstLineChars="200"/>
        <w:jc w:val="left"/>
        <w:rPr>
          <w:rFonts w:ascii="仿宋_GB2312" w:hAnsi="仿宋_GB2312" w:eastAsia="仿宋_GB2312" w:cs="仿宋_GB2312"/>
          <w:color w:val="000000"/>
          <w:sz w:val="32"/>
          <w:szCs w:val="32"/>
        </w:rPr>
      </w:pPr>
    </w:p>
    <w:p>
      <w:pPr>
        <w:pStyle w:val="23"/>
        <w:numPr>
          <w:ilvl w:val="0"/>
          <w:numId w:val="1"/>
        </w:numPr>
        <w:spacing w:line="600" w:lineRule="exact"/>
        <w:ind w:firstLineChars="0"/>
        <w:outlineLvl w:val="1"/>
        <w:rPr>
          <w:rStyle w:val="25"/>
          <w:rFonts w:ascii="仿宋_GB2312" w:hAnsi="仿宋_GB2312" w:eastAsia="仿宋_GB2312" w:cs="仿宋_GB2312"/>
          <w:b w:val="0"/>
        </w:rPr>
      </w:pPr>
      <w:bookmarkStart w:id="26" w:name="_Toc15396604"/>
      <w:bookmarkStart w:id="27" w:name="_Toc15377206"/>
      <w:r>
        <w:rPr>
          <w:rFonts w:hint="eastAsia" w:ascii="仿宋_GB2312" w:hAnsi="仿宋_GB2312" w:eastAsia="仿宋_GB2312" w:cs="仿宋_GB2312"/>
          <w:color w:val="000000"/>
          <w:sz w:val="32"/>
          <w:szCs w:val="32"/>
        </w:rPr>
        <w:t>收</w:t>
      </w:r>
      <w:r>
        <w:rPr>
          <w:rStyle w:val="25"/>
          <w:rFonts w:hint="eastAsia" w:ascii="仿宋_GB2312" w:hAnsi="仿宋_GB2312" w:eastAsia="仿宋_GB2312" w:cs="仿宋_GB2312"/>
          <w:b w:val="0"/>
        </w:rPr>
        <w:t>入决算情况说明</w:t>
      </w:r>
      <w:bookmarkEnd w:id="26"/>
      <w:bookmarkEnd w:id="27"/>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2019年本年收入合计1694.89万元，其中：一般公共预算财政拨款收入792.07万元，占46.73%；事业收入902.82万元，占53.27%；</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drawing>
          <wp:anchor distT="0" distB="0" distL="114300" distR="114300" simplePos="0" relativeHeight="251667456" behindDoc="1" locked="0" layoutInCell="1" allowOverlap="1">
            <wp:simplePos x="0" y="0"/>
            <wp:positionH relativeFrom="column">
              <wp:posOffset>172720</wp:posOffset>
            </wp:positionH>
            <wp:positionV relativeFrom="paragraph">
              <wp:posOffset>156210</wp:posOffset>
            </wp:positionV>
            <wp:extent cx="4718685" cy="2835910"/>
            <wp:effectExtent l="4445" t="4445" r="20320" b="17145"/>
            <wp:wrapTight wrapText="bothSides">
              <wp:wrapPolygon>
                <wp:start x="-20" y="-34"/>
                <wp:lineTo x="-20" y="21440"/>
                <wp:lineTo x="21519" y="21440"/>
                <wp:lineTo x="21519" y="-34"/>
                <wp:lineTo x="-20" y="-34"/>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rPr>
        <w:t>（图2：收入决算结构图）（饼状图）</w:t>
      </w:r>
    </w:p>
    <w:p>
      <w:pPr>
        <w:pStyle w:val="23"/>
        <w:numPr>
          <w:ilvl w:val="0"/>
          <w:numId w:val="1"/>
        </w:numPr>
        <w:spacing w:line="600" w:lineRule="exact"/>
        <w:ind w:firstLineChars="0"/>
        <w:outlineLvl w:val="1"/>
        <w:rPr>
          <w:rStyle w:val="25"/>
          <w:rFonts w:ascii="仿宋_GB2312" w:hAnsi="仿宋_GB2312" w:eastAsia="仿宋_GB2312" w:cs="仿宋_GB2312"/>
          <w:b w:val="0"/>
        </w:rPr>
      </w:pPr>
      <w:bookmarkStart w:id="28" w:name="_Toc15377207"/>
      <w:bookmarkStart w:id="29" w:name="_Toc15396605"/>
      <w:r>
        <w:rPr>
          <w:rFonts w:hint="eastAsia" w:ascii="仿宋_GB2312" w:hAnsi="仿宋_GB2312" w:eastAsia="仿宋_GB2312" w:cs="仿宋_GB2312"/>
          <w:color w:val="000000"/>
          <w:sz w:val="32"/>
          <w:szCs w:val="32"/>
        </w:rPr>
        <w:t>支</w:t>
      </w:r>
      <w:r>
        <w:rPr>
          <w:rStyle w:val="25"/>
          <w:rFonts w:hint="eastAsia" w:ascii="仿宋_GB2312" w:hAnsi="仿宋_GB2312" w:eastAsia="仿宋_GB2312" w:cs="仿宋_GB2312"/>
          <w:b w:val="0"/>
        </w:rPr>
        <w:t>出决算情况说明</w:t>
      </w:r>
      <w:bookmarkEnd w:id="28"/>
      <w:bookmarkEnd w:id="29"/>
    </w:p>
    <w:p>
      <w:pPr>
        <w:spacing w:line="60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2019年本年支出合计1569.83万元，其中：基本支出1340.86万元，占85.41%；项目支出228.97万元，占14.59%；</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（图3：支出决算结构图）（饼状图）</w:t>
      </w:r>
    </w:p>
    <w:p>
      <w:pPr>
        <w:spacing w:line="600" w:lineRule="exact"/>
        <w:ind w:firstLine="640" w:firstLineChars="200"/>
        <w:rPr>
          <w:rFonts w:ascii="仿宋_GB2312" w:hAnsi="仿宋_GB2312" w:eastAsia="仿宋_GB2312" w:cs="仿宋_GB2312"/>
          <w:color w:val="FF0000"/>
          <w:sz w:val="32"/>
          <w:szCs w:val="32"/>
        </w:rPr>
      </w:pPr>
    </w:p>
    <w:p>
      <w:pPr>
        <w:spacing w:line="600" w:lineRule="exact"/>
        <w:ind w:firstLine="640" w:firstLineChars="200"/>
        <w:rPr>
          <w:rFonts w:ascii="仿宋_GB2312" w:hAnsi="仿宋_GB2312" w:eastAsia="仿宋_GB2312" w:cs="仿宋_GB2312"/>
          <w:color w:val="FF0000"/>
          <w:sz w:val="32"/>
          <w:szCs w:val="32"/>
        </w:rPr>
      </w:pPr>
    </w:p>
    <w:p>
      <w:pPr>
        <w:spacing w:line="600" w:lineRule="exact"/>
        <w:ind w:firstLine="640" w:firstLineChars="200"/>
        <w:rPr>
          <w:rFonts w:ascii="仿宋_GB2312" w:hAnsi="仿宋_GB2312" w:eastAsia="仿宋_GB2312" w:cs="仿宋_GB2312"/>
          <w:color w:val="FF0000"/>
          <w:sz w:val="32"/>
          <w:szCs w:val="32"/>
        </w:rPr>
      </w:pPr>
    </w:p>
    <w:p>
      <w:pPr>
        <w:spacing w:line="600" w:lineRule="exact"/>
        <w:ind w:firstLine="640" w:firstLineChars="200"/>
        <w:rPr>
          <w:rFonts w:ascii="仿宋_GB2312" w:hAnsi="仿宋_GB2312" w:eastAsia="仿宋_GB2312" w:cs="仿宋_GB2312"/>
          <w:color w:val="FF0000"/>
          <w:sz w:val="32"/>
          <w:szCs w:val="3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tabs>
          <w:tab w:val="left" w:pos="1251"/>
        </w:tabs>
        <w:jc w:val="left"/>
        <w:rPr>
          <w:rFonts w:ascii="仿宋_GB2312" w:hAnsi="仿宋_GB2312" w:eastAsia="仿宋_GB2312" w:cs="仿宋_GB2312"/>
        </w:rPr>
      </w:pPr>
      <w:r>
        <w:rPr>
          <w:rFonts w:hint="eastAsia" w:ascii="仿宋_GB2312" w:hAnsi="仿宋_GB2312" w:eastAsia="仿宋_GB2312" w:cs="仿宋_GB2312"/>
        </w:rPr>
        <w:tab/>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drawing>
          <wp:anchor distT="0" distB="0" distL="114300" distR="114300" simplePos="0" relativeHeight="251668480" behindDoc="1" locked="0" layoutInCell="1" allowOverlap="1">
            <wp:simplePos x="0" y="0"/>
            <wp:positionH relativeFrom="column">
              <wp:posOffset>410845</wp:posOffset>
            </wp:positionH>
            <wp:positionV relativeFrom="paragraph">
              <wp:posOffset>-2605405</wp:posOffset>
            </wp:positionV>
            <wp:extent cx="4594860" cy="2886710"/>
            <wp:effectExtent l="4445" t="4445" r="10795" b="23495"/>
            <wp:wrapTight wrapText="bothSides">
              <wp:wrapPolygon>
                <wp:start x="-21" y="-33"/>
                <wp:lineTo x="-21" y="21491"/>
                <wp:lineTo x="21561" y="21491"/>
                <wp:lineTo x="21561" y="-33"/>
                <wp:lineTo x="-21" y="-33"/>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hAnsi="仿宋_GB2312" w:eastAsia="仿宋_GB2312" w:cs="仿宋_GB2312"/>
          <w:color w:val="FF0000"/>
          <w:sz w:val="32"/>
          <w:szCs w:val="32"/>
        </w:rPr>
      </w:pPr>
    </w:p>
    <w:p>
      <w:pPr>
        <w:spacing w:line="600" w:lineRule="exact"/>
        <w:ind w:firstLine="640" w:firstLineChars="200"/>
        <w:rPr>
          <w:rFonts w:ascii="仿宋_GB2312" w:hAnsi="仿宋_GB2312" w:eastAsia="仿宋_GB2312" w:cs="仿宋_GB2312"/>
          <w:color w:val="FF0000"/>
          <w:sz w:val="32"/>
          <w:szCs w:val="32"/>
        </w:rPr>
      </w:pPr>
    </w:p>
    <w:p>
      <w:pPr>
        <w:spacing w:line="600" w:lineRule="exact"/>
        <w:ind w:firstLine="640" w:firstLineChars="200"/>
        <w:outlineLvl w:val="1"/>
        <w:rPr>
          <w:rStyle w:val="25"/>
          <w:rFonts w:ascii="仿宋_GB2312" w:hAnsi="仿宋_GB2312" w:eastAsia="仿宋_GB2312" w:cs="仿宋_GB2312"/>
          <w:b w:val="0"/>
        </w:rPr>
      </w:pPr>
      <w:bookmarkStart w:id="30" w:name="_Toc15377208"/>
      <w:bookmarkStart w:id="31" w:name="_Toc15396606"/>
      <w:r>
        <w:rPr>
          <w:rFonts w:hint="eastAsia" w:ascii="仿宋_GB2312" w:hAnsi="仿宋_GB2312" w:eastAsia="仿宋_GB2312" w:cs="仿宋_GB2312"/>
          <w:color w:val="000000"/>
          <w:sz w:val="32"/>
          <w:szCs w:val="32"/>
        </w:rPr>
        <w:t>四、财</w:t>
      </w:r>
      <w:r>
        <w:rPr>
          <w:rStyle w:val="25"/>
          <w:rFonts w:hint="eastAsia" w:ascii="仿宋_GB2312" w:hAnsi="仿宋_GB2312" w:eastAsia="仿宋_GB2312" w:cs="仿宋_GB2312"/>
          <w:b w:val="0"/>
        </w:rPr>
        <w:t>政拨款收入支出决算总体情况说明</w:t>
      </w:r>
      <w:bookmarkEnd w:id="30"/>
      <w:bookmarkEnd w:id="31"/>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2019年财政拨款收、支总计977.73万元。与2018年相比，财政拨款收、支总计868.82各增加108.91万元，增长12.53%。主要变动原因是公共卫生投入增加；医疗部门人员成本上升（包括工资和五险一金）</w:t>
      </w:r>
    </w:p>
    <w:p>
      <w:pPr>
        <w:spacing w:line="60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（图4：财政拨款收、支决算总计变动情况）（柱状图）</w:t>
      </w:r>
    </w:p>
    <w:p>
      <w:pPr>
        <w:ind w:firstLine="640" w:firstLineChars="200"/>
        <w:rPr>
          <w:rFonts w:ascii="仿宋_GB2312" w:hAnsi="仿宋_GB2312" w:eastAsia="仿宋_GB2312" w:cs="仿宋_GB2312"/>
          <w:b/>
          <w:color w:val="00B050"/>
          <w:sz w:val="32"/>
          <w:szCs w:val="32"/>
        </w:rPr>
      </w:pPr>
      <w:r>
        <w:rPr>
          <w:rFonts w:hint="eastAsia" w:ascii="仿宋_GB2312" w:hAnsi="仿宋_GB2312" w:eastAsia="仿宋_GB2312" w:cs="仿宋_GB2312"/>
          <w:color w:val="000000"/>
          <w:sz w:val="32"/>
          <w:szCs w:val="32"/>
        </w:rPr>
        <w:drawing>
          <wp:inline distT="0" distB="0" distL="114300" distR="114300">
            <wp:extent cx="4975225" cy="3818890"/>
            <wp:effectExtent l="4445" t="4445" r="11430" b="571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仿宋_GB2312" w:hAnsi="仿宋_GB2312" w:eastAsia="仿宋_GB2312" w:cs="仿宋_GB2312"/>
          <w:b w:val="0"/>
        </w:rPr>
      </w:pPr>
      <w:bookmarkStart w:id="32" w:name="_Toc15396607"/>
      <w:bookmarkStart w:id="33" w:name="_Toc15377209"/>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b/>
          <w:color w:val="000000"/>
          <w:sz w:val="32"/>
          <w:szCs w:val="32"/>
        </w:rPr>
        <w:t>一</w:t>
      </w:r>
      <w:r>
        <w:rPr>
          <w:rStyle w:val="25"/>
          <w:rFonts w:hint="eastAsia" w:ascii="仿宋_GB2312" w:hAnsi="仿宋_GB2312" w:eastAsia="仿宋_GB2312" w:cs="仿宋_GB2312"/>
          <w:b w:val="0"/>
        </w:rPr>
        <w:t>般公共预算财政拨款支出决算情况说明</w:t>
      </w:r>
      <w:bookmarkEnd w:id="32"/>
      <w:bookmarkEnd w:id="33"/>
    </w:p>
    <w:p>
      <w:pPr>
        <w:spacing w:line="600" w:lineRule="exact"/>
        <w:ind w:firstLine="643" w:firstLineChars="200"/>
        <w:outlineLvl w:val="2"/>
        <w:rPr>
          <w:rFonts w:ascii="仿宋_GB2312" w:hAnsi="仿宋_GB2312" w:eastAsia="仿宋_GB2312" w:cs="仿宋_GB2312"/>
          <w:b/>
          <w:color w:val="000000"/>
          <w:sz w:val="32"/>
          <w:szCs w:val="32"/>
        </w:rPr>
      </w:pPr>
      <w:bookmarkStart w:id="34" w:name="_Toc15377210"/>
      <w:r>
        <w:rPr>
          <w:rFonts w:hint="eastAsia" w:ascii="仿宋_GB2312" w:hAnsi="仿宋_GB2312" w:eastAsia="仿宋_GB2312" w:cs="仿宋_GB2312"/>
          <w:b/>
          <w:color w:val="000000"/>
          <w:sz w:val="32"/>
          <w:szCs w:val="32"/>
        </w:rPr>
        <w:t>（一）一般公共预算财政拨款支出决算总体情况</w:t>
      </w:r>
      <w:bookmarkEnd w:id="34"/>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2019年一般公共预算财政拨款支出667.01万元，占本年支出合计的42.49%。与2018年683.16相比，一般公共预算财政拨款减少16.15万元，减少2.4%。主要变动原因是财政资金结转下年增加。</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（图5：一般公共预算财政拨款支出决算变动情况）（柱状图）</w:t>
      </w:r>
    </w:p>
    <w:p>
      <w:pPr>
        <w:spacing w:line="600" w:lineRule="exact"/>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_GB2312" w:hAnsi="仿宋_GB2312" w:eastAsia="仿宋_GB2312" w:cs="仿宋_GB2312"/>
          <w:b/>
          <w:color w:val="000000"/>
          <w:sz w:val="32"/>
          <w:szCs w:val="32"/>
        </w:rPr>
      </w:pPr>
      <w:bookmarkStart w:id="35" w:name="_Toc15377211"/>
      <w:r>
        <w:rPr>
          <w:rFonts w:hint="eastAsia" w:ascii="仿宋_GB2312" w:hAnsi="仿宋_GB2312" w:eastAsia="仿宋_GB2312" w:cs="仿宋_GB2312"/>
          <w:b/>
          <w:color w:val="000000"/>
          <w:sz w:val="32"/>
          <w:szCs w:val="32"/>
        </w:rPr>
        <w:t>（二）一般公共预算财政拨款支出决算结构情况</w:t>
      </w:r>
      <w:bookmarkEnd w:id="35"/>
    </w:p>
    <w:p>
      <w:pPr>
        <w:spacing w:line="60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2019年一般公共预算财</w:t>
      </w:r>
      <w:r>
        <w:rPr>
          <w:rFonts w:hint="eastAsia" w:ascii="仿宋_GB2312" w:hAnsi="仿宋_GB2312" w:eastAsia="仿宋_GB2312" w:cs="仿宋_GB2312"/>
          <w:color w:val="000000" w:themeColor="text1"/>
          <w:sz w:val="32"/>
          <w:szCs w:val="32"/>
        </w:rPr>
        <w:t>政拨款支出667.01万元，主要用于以下方面:</w:t>
      </w:r>
      <w:r>
        <w:rPr>
          <w:rFonts w:hint="eastAsia" w:ascii="仿宋_GB2312" w:hAnsi="仿宋_GB2312" w:eastAsia="仿宋_GB2312" w:cs="仿宋_GB2312"/>
          <w:b/>
          <w:color w:val="000000" w:themeColor="text1"/>
          <w:sz w:val="32"/>
          <w:szCs w:val="32"/>
        </w:rPr>
        <w:t>社会保障和就业（类）</w:t>
      </w:r>
      <w:r>
        <w:rPr>
          <w:rFonts w:hint="eastAsia" w:ascii="仿宋_GB2312" w:hAnsi="仿宋_GB2312" w:eastAsia="仿宋_GB2312" w:cs="仿宋_GB2312"/>
          <w:color w:val="000000" w:themeColor="text1"/>
          <w:sz w:val="32"/>
          <w:szCs w:val="32"/>
        </w:rPr>
        <w:t>支出50万元，占7.5%；</w:t>
      </w:r>
      <w:r>
        <w:rPr>
          <w:rFonts w:hint="eastAsia" w:ascii="仿宋_GB2312" w:hAnsi="仿宋_GB2312" w:eastAsia="仿宋_GB2312" w:cs="仿宋_GB2312"/>
          <w:b/>
          <w:bCs/>
          <w:color w:val="000000" w:themeColor="text1"/>
          <w:sz w:val="32"/>
          <w:szCs w:val="32"/>
        </w:rPr>
        <w:t>卫生健康支出</w:t>
      </w:r>
      <w:r>
        <w:rPr>
          <w:rFonts w:hint="eastAsia" w:ascii="仿宋_GB2312" w:hAnsi="仿宋_GB2312" w:eastAsia="仿宋_GB2312" w:cs="仿宋_GB2312"/>
          <w:color w:val="000000" w:themeColor="text1"/>
          <w:sz w:val="32"/>
          <w:szCs w:val="32"/>
        </w:rPr>
        <w:t>587.01万元，占88%；</w:t>
      </w:r>
      <w:r>
        <w:rPr>
          <w:rFonts w:hint="eastAsia" w:ascii="仿宋_GB2312" w:hAnsi="仿宋_GB2312" w:eastAsia="仿宋_GB2312" w:cs="仿宋_GB2312"/>
          <w:b/>
          <w:bCs/>
          <w:color w:val="000000" w:themeColor="text1"/>
          <w:sz w:val="32"/>
          <w:szCs w:val="32"/>
        </w:rPr>
        <w:t>住房保障支出</w:t>
      </w:r>
      <w:r>
        <w:rPr>
          <w:rFonts w:hint="eastAsia" w:ascii="仿宋_GB2312" w:hAnsi="仿宋_GB2312" w:eastAsia="仿宋_GB2312" w:cs="仿宋_GB2312"/>
          <w:color w:val="000000" w:themeColor="text1"/>
          <w:sz w:val="32"/>
          <w:szCs w:val="32"/>
        </w:rPr>
        <w:t>30万元，占4.5%。</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rPr>
        <w:drawing>
          <wp:anchor distT="0" distB="0" distL="114300" distR="114300" simplePos="0" relativeHeight="251669504" behindDoc="1" locked="0" layoutInCell="1" allowOverlap="1">
            <wp:simplePos x="0" y="0"/>
            <wp:positionH relativeFrom="column">
              <wp:posOffset>410845</wp:posOffset>
            </wp:positionH>
            <wp:positionV relativeFrom="paragraph">
              <wp:posOffset>223520</wp:posOffset>
            </wp:positionV>
            <wp:extent cx="4927600" cy="2772410"/>
            <wp:effectExtent l="4445" t="4445" r="20955" b="23495"/>
            <wp:wrapTight wrapText="bothSides">
              <wp:wrapPolygon>
                <wp:start x="-19" y="-35"/>
                <wp:lineTo x="-19" y="21486"/>
                <wp:lineTo x="21525" y="21486"/>
                <wp:lineTo x="21525" y="-35"/>
                <wp:lineTo x="-19" y="-35"/>
              </wp:wrapPolygon>
            </wp:wrapTight>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rPr>
          <w:rFonts w:ascii="仿宋_GB2312" w:hAnsi="仿宋_GB2312" w:eastAsia="仿宋_GB2312" w:cs="仿宋_GB2312"/>
          <w:b/>
          <w:color w:val="000000"/>
          <w:sz w:val="32"/>
          <w:szCs w:val="32"/>
        </w:rPr>
      </w:pPr>
      <w:bookmarkStart w:id="36" w:name="_Toc15377212"/>
      <w:r>
        <w:rPr>
          <w:rFonts w:hint="eastAsia" w:ascii="仿宋_GB2312" w:hAnsi="仿宋_GB2312" w:eastAsia="仿宋_GB2312" w:cs="仿宋_GB2312"/>
          <w:b/>
          <w:color w:val="000000"/>
          <w:sz w:val="32"/>
          <w:szCs w:val="32"/>
        </w:rPr>
        <w:t>（三）一般公共预算财政拨款支出决算具体情况</w:t>
      </w:r>
      <w:bookmarkEnd w:id="36"/>
    </w:p>
    <w:p>
      <w:pPr>
        <w:spacing w:line="600" w:lineRule="exact"/>
        <w:ind w:firstLine="643" w:firstLineChars="200"/>
        <w:outlineLvl w:val="2"/>
        <w:rPr>
          <w:rFonts w:ascii="仿宋_GB2312" w:hAnsi="仿宋_GB2312" w:eastAsia="仿宋_GB2312" w:cs="仿宋_GB2312"/>
          <w:color w:val="FF0000"/>
          <w:sz w:val="32"/>
          <w:szCs w:val="32"/>
        </w:rPr>
      </w:pPr>
      <w:bookmarkStart w:id="37" w:name="_Toc15377213"/>
      <w:bookmarkStart w:id="38" w:name="_Toc15378460"/>
      <w:bookmarkStart w:id="39" w:name="_Toc15377444"/>
      <w:r>
        <w:rPr>
          <w:rFonts w:hint="eastAsia" w:ascii="仿宋_GB2312" w:hAnsi="仿宋_GB2312" w:eastAsia="仿宋_GB2312" w:cs="仿宋_GB2312"/>
          <w:b/>
          <w:color w:val="000000" w:themeColor="text1"/>
          <w:sz w:val="32"/>
          <w:szCs w:val="32"/>
        </w:rPr>
        <w:t>2019年般公共预算支出决算数为667.01万元</w:t>
      </w:r>
      <w:r>
        <w:rPr>
          <w:rFonts w:hint="eastAsia" w:ascii="仿宋_GB2312" w:hAnsi="仿宋_GB2312" w:eastAsia="仿宋_GB2312" w:cs="仿宋_GB2312"/>
          <w:color w:val="000000" w:themeColor="text1"/>
          <w:sz w:val="32"/>
          <w:szCs w:val="32"/>
        </w:rPr>
        <w:t>，</w:t>
      </w:r>
      <w:r>
        <w:rPr>
          <w:rStyle w:val="14"/>
          <w:rFonts w:hint="eastAsia" w:ascii="仿宋_GB2312" w:hAnsi="仿宋_GB2312" w:eastAsia="仿宋_GB2312" w:cs="仿宋_GB2312"/>
          <w:bCs/>
          <w:color w:val="000000" w:themeColor="text1"/>
          <w:sz w:val="32"/>
          <w:szCs w:val="32"/>
        </w:rPr>
        <w:t>完成</w:t>
      </w:r>
      <w:r>
        <w:rPr>
          <w:rStyle w:val="14"/>
          <w:rFonts w:hint="eastAsia" w:ascii="仿宋_GB2312" w:hAnsi="仿宋_GB2312" w:eastAsia="仿宋_GB2312" w:cs="仿宋_GB2312"/>
          <w:bCs/>
          <w:color w:val="000000"/>
          <w:sz w:val="32"/>
          <w:szCs w:val="32"/>
        </w:rPr>
        <w:t>预算84.21%。其中：</w:t>
      </w:r>
      <w:bookmarkEnd w:id="37"/>
      <w:bookmarkEnd w:id="38"/>
      <w:bookmarkEnd w:id="39"/>
    </w:p>
    <w:p>
      <w:pPr>
        <w:spacing w:line="600" w:lineRule="exact"/>
        <w:ind w:firstLine="643" w:firstLineChars="200"/>
        <w:rPr>
          <w:rStyle w:val="14"/>
          <w:rFonts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1.</w:t>
      </w:r>
      <w:r>
        <w:rPr>
          <w:rStyle w:val="14"/>
          <w:rFonts w:hint="eastAsia" w:ascii="仿宋_GB2312" w:hAnsi="仿宋_GB2312" w:eastAsia="仿宋_GB2312" w:cs="仿宋_GB2312"/>
          <w:color w:val="000000"/>
          <w:sz w:val="32"/>
          <w:szCs w:val="32"/>
        </w:rPr>
        <w:t>社会保障和就业（208）行政事业单位离退休（20805）机关事业单位基本养老保险缴费支出（2080505）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 w:val="0"/>
          <w:bCs/>
          <w:color w:val="000000"/>
          <w:sz w:val="32"/>
          <w:szCs w:val="32"/>
        </w:rPr>
        <w:t xml:space="preserve"> 支出决算为50万元，完成预算100%。</w:t>
      </w:r>
    </w:p>
    <w:p>
      <w:pPr>
        <w:spacing w:line="600" w:lineRule="exact"/>
        <w:ind w:firstLine="643" w:firstLineChars="200"/>
        <w:rPr>
          <w:rFonts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2</w:t>
      </w:r>
      <w:r>
        <w:rPr>
          <w:rStyle w:val="14"/>
          <w:rFonts w:hint="eastAsia" w:ascii="仿宋_GB2312" w:hAnsi="仿宋_GB2312" w:eastAsia="仿宋_GB2312" w:cs="仿宋_GB2312"/>
          <w:bCs/>
          <w:sz w:val="32"/>
          <w:szCs w:val="32"/>
        </w:rPr>
        <w:t>卫生健康支出</w:t>
      </w:r>
      <w:r>
        <w:rPr>
          <w:rStyle w:val="14"/>
          <w:rFonts w:hint="eastAsia" w:ascii="仿宋_GB2312" w:hAnsi="仿宋_GB2312" w:eastAsia="仿宋_GB2312" w:cs="仿宋_GB2312"/>
          <w:sz w:val="32"/>
          <w:szCs w:val="32"/>
        </w:rPr>
        <w:t>（210）基层医疗卫生机构（21003）乡镇卫生院（2100302）</w:t>
      </w:r>
      <w:r>
        <w:rPr>
          <w:rStyle w:val="14"/>
          <w:rFonts w:hint="eastAsia" w:ascii="仿宋_GB2312" w:hAnsi="仿宋_GB2312" w:eastAsia="仿宋_GB2312" w:cs="仿宋_GB2312"/>
          <w:color w:val="000000"/>
          <w:sz w:val="32"/>
          <w:szCs w:val="32"/>
        </w:rPr>
        <w:t>:</w:t>
      </w:r>
      <w:r>
        <w:rPr>
          <w:rStyle w:val="14"/>
          <w:rFonts w:hint="eastAsia" w:ascii="仿宋_GB2312" w:hAnsi="仿宋_GB2312" w:eastAsia="仿宋_GB2312" w:cs="仿宋_GB2312"/>
          <w:b w:val="0"/>
          <w:bCs/>
          <w:color w:val="000000"/>
          <w:sz w:val="32"/>
          <w:szCs w:val="32"/>
        </w:rPr>
        <w:t>支出决算为347.77万元，完成预算81.29%，决算数小于预算数的主要原因是年末财政拨款结转结余。</w:t>
      </w:r>
    </w:p>
    <w:p>
      <w:pPr>
        <w:spacing w:line="600" w:lineRule="exact"/>
        <w:ind w:firstLine="643" w:firstLineChars="200"/>
        <w:rPr>
          <w:rStyle w:val="14"/>
          <w:rFonts w:ascii="仿宋_GB2312" w:hAnsi="仿宋_GB2312" w:eastAsia="仿宋_GB2312" w:cs="仿宋_GB2312"/>
          <w:b w:val="0"/>
          <w:bCs/>
          <w:color w:val="000000"/>
          <w:sz w:val="32"/>
          <w:szCs w:val="32"/>
        </w:rPr>
      </w:pPr>
      <w:r>
        <w:rPr>
          <w:rStyle w:val="14"/>
          <w:rFonts w:hint="eastAsia" w:ascii="仿宋_GB2312" w:hAnsi="仿宋_GB2312" w:eastAsia="仿宋_GB2312" w:cs="仿宋_GB2312"/>
          <w:color w:val="000000"/>
          <w:sz w:val="32"/>
          <w:szCs w:val="32"/>
        </w:rPr>
        <w:t>3</w:t>
      </w:r>
      <w:r>
        <w:rPr>
          <w:rStyle w:val="14"/>
          <w:rFonts w:hint="eastAsia" w:ascii="仿宋_GB2312" w:hAnsi="仿宋_GB2312" w:eastAsia="仿宋_GB2312" w:cs="仿宋_GB2312"/>
          <w:bCs/>
          <w:sz w:val="32"/>
          <w:szCs w:val="32"/>
        </w:rPr>
        <w:t>卫生健康支出</w:t>
      </w:r>
      <w:r>
        <w:rPr>
          <w:rStyle w:val="14"/>
          <w:rFonts w:hint="eastAsia" w:ascii="仿宋_GB2312" w:hAnsi="仿宋_GB2312" w:eastAsia="仿宋_GB2312" w:cs="仿宋_GB2312"/>
          <w:sz w:val="32"/>
          <w:szCs w:val="32"/>
        </w:rPr>
        <w:t>（210）基层医疗卫生机构（21003）乡镇卫生院（2100302）</w:t>
      </w:r>
      <w:r>
        <w:rPr>
          <w:rStyle w:val="14"/>
          <w:rFonts w:hint="eastAsia" w:ascii="仿宋_GB2312" w:hAnsi="仿宋_GB2312" w:eastAsia="仿宋_GB2312" w:cs="仿宋_GB2312"/>
          <w:color w:val="000000"/>
          <w:sz w:val="32"/>
          <w:szCs w:val="32"/>
        </w:rPr>
        <w:t>其他基层医疗卫生机构支出（2100399）：</w:t>
      </w:r>
      <w:r>
        <w:rPr>
          <w:rStyle w:val="14"/>
          <w:rFonts w:hint="eastAsia" w:ascii="仿宋_GB2312" w:hAnsi="仿宋_GB2312" w:eastAsia="仿宋_GB2312" w:cs="仿宋_GB2312"/>
          <w:b w:val="0"/>
          <w:bCs/>
          <w:color w:val="000000"/>
          <w:sz w:val="32"/>
          <w:szCs w:val="32"/>
        </w:rPr>
        <w:t>支出决算为40.51万元，完成预算100%，</w:t>
      </w:r>
    </w:p>
    <w:p>
      <w:pPr>
        <w:spacing w:line="600" w:lineRule="exact"/>
        <w:ind w:firstLine="640" w:firstLineChars="200"/>
        <w:rPr>
          <w:rStyle w:val="14"/>
          <w:rFonts w:ascii="仿宋_GB2312" w:hAnsi="仿宋_GB2312" w:eastAsia="仿宋_GB2312" w:cs="仿宋_GB2312"/>
          <w:b w:val="0"/>
          <w:bCs/>
          <w:color w:val="000000"/>
          <w:sz w:val="32"/>
          <w:szCs w:val="32"/>
        </w:rPr>
      </w:pPr>
      <w:r>
        <w:rPr>
          <w:rFonts w:hint="eastAsia" w:ascii="仿宋_GB2312" w:hAnsi="仿宋_GB2312" w:eastAsia="仿宋_GB2312" w:cs="仿宋_GB2312"/>
          <w:color w:val="000000"/>
          <w:sz w:val="32"/>
          <w:szCs w:val="32"/>
        </w:rPr>
        <w:t>4.</w:t>
      </w:r>
      <w:r>
        <w:rPr>
          <w:rStyle w:val="14"/>
          <w:rFonts w:hint="eastAsia" w:ascii="仿宋_GB2312" w:hAnsi="仿宋_GB2312" w:eastAsia="仿宋_GB2312" w:cs="仿宋_GB2312"/>
          <w:color w:val="000000"/>
          <w:sz w:val="32"/>
          <w:szCs w:val="32"/>
        </w:rPr>
        <w:t xml:space="preserve"> </w:t>
      </w:r>
      <w:r>
        <w:rPr>
          <w:rStyle w:val="14"/>
          <w:rFonts w:hint="eastAsia" w:ascii="仿宋_GB2312" w:hAnsi="仿宋_GB2312" w:eastAsia="仿宋_GB2312" w:cs="仿宋_GB2312"/>
          <w:bCs/>
          <w:sz w:val="32"/>
          <w:szCs w:val="32"/>
        </w:rPr>
        <w:t>卫生健康支出</w:t>
      </w:r>
      <w:r>
        <w:rPr>
          <w:rStyle w:val="14"/>
          <w:rFonts w:hint="eastAsia" w:ascii="仿宋_GB2312" w:hAnsi="仿宋_GB2312" w:eastAsia="仿宋_GB2312" w:cs="仿宋_GB2312"/>
          <w:color w:val="000000"/>
          <w:sz w:val="32"/>
          <w:szCs w:val="32"/>
        </w:rPr>
        <w:t>（210）公共卫生（21004）基本公共卫生服务（2100408）：</w:t>
      </w:r>
      <w:r>
        <w:rPr>
          <w:rStyle w:val="14"/>
          <w:rFonts w:hint="eastAsia" w:ascii="仿宋_GB2312" w:hAnsi="仿宋_GB2312" w:eastAsia="仿宋_GB2312" w:cs="仿宋_GB2312"/>
          <w:b w:val="0"/>
          <w:bCs/>
          <w:color w:val="000000"/>
          <w:sz w:val="32"/>
          <w:szCs w:val="32"/>
        </w:rPr>
        <w:t>支出决算为188.46万元，完成预算100%。</w:t>
      </w:r>
    </w:p>
    <w:p>
      <w:pPr>
        <w:spacing w:line="600" w:lineRule="exact"/>
        <w:ind w:firstLine="640" w:firstLineChars="200"/>
        <w:rPr>
          <w:rStyle w:val="14"/>
          <w:rFonts w:ascii="仿宋_GB2312" w:hAnsi="仿宋_GB2312" w:eastAsia="仿宋_GB2312" w:cs="仿宋_GB2312"/>
          <w:b w:val="0"/>
          <w:bCs/>
          <w:color w:val="000000"/>
          <w:sz w:val="32"/>
          <w:szCs w:val="32"/>
        </w:rPr>
      </w:pPr>
      <w:r>
        <w:rPr>
          <w:rStyle w:val="14"/>
          <w:rFonts w:hint="eastAsia" w:ascii="仿宋_GB2312" w:hAnsi="仿宋_GB2312" w:eastAsia="仿宋_GB2312" w:cs="仿宋_GB2312"/>
          <w:b w:val="0"/>
          <w:bCs/>
          <w:color w:val="000000"/>
          <w:sz w:val="32"/>
          <w:szCs w:val="32"/>
        </w:rPr>
        <w:t>5.</w:t>
      </w:r>
      <w:r>
        <w:rPr>
          <w:rStyle w:val="14"/>
          <w:rFonts w:hint="eastAsia" w:ascii="仿宋_GB2312" w:hAnsi="仿宋_GB2312" w:eastAsia="仿宋_GB2312" w:cs="仿宋_GB2312"/>
          <w:bCs/>
          <w:sz w:val="32"/>
          <w:szCs w:val="32"/>
        </w:rPr>
        <w:t>卫生健康支出</w:t>
      </w:r>
      <w:r>
        <w:rPr>
          <w:rStyle w:val="14"/>
          <w:rFonts w:hint="eastAsia" w:ascii="仿宋_GB2312" w:hAnsi="仿宋_GB2312" w:eastAsia="仿宋_GB2312" w:cs="仿宋_GB2312"/>
          <w:color w:val="000000"/>
          <w:sz w:val="32"/>
          <w:szCs w:val="32"/>
        </w:rPr>
        <w:t>(210)</w:t>
      </w:r>
      <w:r>
        <w:rPr>
          <w:rStyle w:val="14"/>
          <w:rFonts w:hint="eastAsia" w:ascii="仿宋_GB2312" w:hAnsi="仿宋_GB2312" w:eastAsia="仿宋_GB2312" w:cs="仿宋_GB2312"/>
          <w:color w:val="000000"/>
          <w:sz w:val="32"/>
          <w:szCs w:val="32"/>
        </w:rPr>
        <w:tab/>
      </w:r>
      <w:r>
        <w:rPr>
          <w:rStyle w:val="14"/>
          <w:rFonts w:hint="eastAsia" w:ascii="仿宋_GB2312" w:hAnsi="仿宋_GB2312" w:eastAsia="仿宋_GB2312" w:cs="仿宋_GB2312"/>
          <w:color w:val="000000"/>
          <w:sz w:val="32"/>
          <w:szCs w:val="32"/>
        </w:rPr>
        <w:t>-医疗保障(21005)- 事业单位医疗(2100502):</w:t>
      </w:r>
      <w:r>
        <w:rPr>
          <w:rStyle w:val="14"/>
          <w:rFonts w:hint="eastAsia" w:ascii="仿宋_GB2312" w:hAnsi="仿宋_GB2312" w:eastAsia="仿宋_GB2312" w:cs="仿宋_GB2312"/>
          <w:b w:val="0"/>
          <w:bCs/>
          <w:color w:val="000000"/>
          <w:sz w:val="32"/>
          <w:szCs w:val="32"/>
        </w:rPr>
        <w:t>支出决算为10.27万元，完成预算100%。</w:t>
      </w:r>
    </w:p>
    <w:p>
      <w:pPr>
        <w:spacing w:line="600" w:lineRule="exact"/>
        <w:ind w:firstLine="640" w:firstLineChars="200"/>
        <w:rPr>
          <w:rStyle w:val="14"/>
          <w:rFonts w:ascii="仿宋_GB2312" w:hAnsi="仿宋_GB2312" w:eastAsia="仿宋_GB2312" w:cs="仿宋_GB2312"/>
          <w:b w:val="0"/>
          <w:bCs/>
          <w:color w:val="000000"/>
          <w:sz w:val="32"/>
          <w:szCs w:val="32"/>
        </w:rPr>
      </w:pPr>
      <w:r>
        <w:rPr>
          <w:rStyle w:val="14"/>
          <w:rFonts w:hint="eastAsia" w:ascii="仿宋_GB2312" w:hAnsi="仿宋_GB2312" w:eastAsia="仿宋_GB2312" w:cs="仿宋_GB2312"/>
          <w:b w:val="0"/>
          <w:bCs/>
          <w:color w:val="000000"/>
          <w:sz w:val="32"/>
          <w:szCs w:val="32"/>
        </w:rPr>
        <w:t>6.</w:t>
      </w:r>
      <w:r>
        <w:rPr>
          <w:rStyle w:val="14"/>
          <w:rFonts w:hint="eastAsia" w:ascii="仿宋_GB2312" w:hAnsi="仿宋_GB2312" w:eastAsia="仿宋_GB2312" w:cs="仿宋_GB2312"/>
          <w:color w:val="000000"/>
          <w:sz w:val="32"/>
          <w:szCs w:val="32"/>
        </w:rPr>
        <w:t>住房保障支出(221)-住房改革支出(22102)- 住房公积金(2210201):</w:t>
      </w:r>
      <w:r>
        <w:rPr>
          <w:rStyle w:val="14"/>
          <w:rFonts w:hint="eastAsia" w:ascii="仿宋_GB2312" w:hAnsi="仿宋_GB2312" w:eastAsia="仿宋_GB2312" w:cs="仿宋_GB2312"/>
          <w:b w:val="0"/>
          <w:bCs/>
          <w:color w:val="000000"/>
          <w:sz w:val="32"/>
          <w:szCs w:val="32"/>
        </w:rPr>
        <w:t>支出决算为30万元，完成预算100%。</w:t>
      </w:r>
    </w:p>
    <w:p>
      <w:pPr>
        <w:tabs>
          <w:tab w:val="right" w:pos="8306"/>
        </w:tabs>
        <w:spacing w:line="600" w:lineRule="exact"/>
        <w:ind w:firstLine="640" w:firstLineChars="200"/>
        <w:outlineLvl w:val="1"/>
        <w:rPr>
          <w:rStyle w:val="25"/>
          <w:rFonts w:ascii="仿宋_GB2312" w:hAnsi="仿宋_GB2312" w:eastAsia="仿宋_GB2312" w:cs="仿宋_GB2312"/>
        </w:rPr>
      </w:pPr>
      <w:bookmarkStart w:id="40" w:name="_Toc15396608"/>
      <w:bookmarkStart w:id="41" w:name="_Toc15377214"/>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b/>
          <w:color w:val="000000"/>
          <w:sz w:val="32"/>
          <w:szCs w:val="32"/>
        </w:rPr>
        <w:t>、一</w:t>
      </w:r>
      <w:r>
        <w:rPr>
          <w:rStyle w:val="25"/>
          <w:rFonts w:hint="eastAsia" w:ascii="仿宋_GB2312" w:hAnsi="仿宋_GB2312" w:eastAsia="仿宋_GB2312" w:cs="仿宋_GB2312"/>
          <w:b w:val="0"/>
        </w:rPr>
        <w:t>般公共预算财政拨款基本支出决算情况说明</w:t>
      </w:r>
      <w:bookmarkEnd w:id="40"/>
      <w:bookmarkEnd w:id="41"/>
      <w:r>
        <w:rPr>
          <w:rStyle w:val="25"/>
          <w:rFonts w:hint="eastAsia" w:ascii="仿宋_GB2312" w:hAnsi="仿宋_GB2312" w:eastAsia="仿宋_GB2312" w:cs="仿宋_GB2312"/>
          <w:b w:val="0"/>
        </w:rPr>
        <w:tab/>
      </w:r>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2019年一般公共预算财政拨款基本支出438.04万元，其中：</w:t>
      </w:r>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408.04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30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仿宋_GB2312" w:hAnsi="仿宋_GB2312" w:eastAsia="仿宋_GB2312" w:cs="仿宋_GB2312"/>
          <w:b w:val="0"/>
        </w:rPr>
      </w:pPr>
      <w:bookmarkStart w:id="42" w:name="_Toc15377215"/>
      <w:bookmarkStart w:id="43" w:name="_Toc15396609"/>
      <w:r>
        <w:rPr>
          <w:rFonts w:hint="eastAsia" w:ascii="仿宋_GB2312" w:hAnsi="仿宋_GB2312" w:eastAsia="仿宋_GB2312" w:cs="仿宋_GB2312"/>
          <w:color w:val="000000"/>
          <w:sz w:val="32"/>
          <w:szCs w:val="32"/>
        </w:rPr>
        <w:t>七、</w:t>
      </w:r>
      <w:r>
        <w:rPr>
          <w:rStyle w:val="25"/>
          <w:rFonts w:hint="eastAsia" w:ascii="仿宋_GB2312" w:hAnsi="仿宋_GB2312" w:eastAsia="仿宋_GB2312" w:cs="仿宋_GB2312"/>
        </w:rPr>
        <w:t>“</w:t>
      </w:r>
      <w:r>
        <w:rPr>
          <w:rStyle w:val="25"/>
          <w:rFonts w:hint="eastAsia" w:ascii="仿宋_GB2312" w:hAnsi="仿宋_GB2312" w:eastAsia="仿宋_GB2312" w:cs="仿宋_GB2312"/>
          <w:b w:val="0"/>
        </w:rPr>
        <w:t>三公”经费财政拨款支出决算情况说明</w:t>
      </w:r>
      <w:bookmarkEnd w:id="42"/>
      <w:bookmarkEnd w:id="43"/>
    </w:p>
    <w:p>
      <w:pPr>
        <w:spacing w:line="600" w:lineRule="exact"/>
        <w:ind w:firstLine="640"/>
        <w:outlineLvl w:val="2"/>
        <w:rPr>
          <w:rFonts w:ascii="仿宋_GB2312" w:hAnsi="仿宋_GB2312" w:eastAsia="仿宋_GB2312" w:cs="仿宋_GB2312"/>
          <w:b/>
          <w:color w:val="000000"/>
          <w:sz w:val="32"/>
          <w:szCs w:val="32"/>
        </w:rPr>
      </w:pPr>
      <w:bookmarkStart w:id="44" w:name="_Toc15377216"/>
      <w:r>
        <w:rPr>
          <w:rFonts w:hint="eastAsia" w:ascii="仿宋_GB2312" w:hAnsi="仿宋_GB2312" w:eastAsia="仿宋_GB2312" w:cs="仿宋_GB2312"/>
          <w:b/>
          <w:color w:val="000000"/>
          <w:sz w:val="32"/>
          <w:szCs w:val="32"/>
        </w:rPr>
        <w:t>（一）“三公”经费财政拨款支出决算总体情况说明</w:t>
      </w:r>
      <w:bookmarkEnd w:id="44"/>
    </w:p>
    <w:p>
      <w:pPr>
        <w:spacing w:line="600" w:lineRule="exact"/>
        <w:ind w:firstLine="640"/>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sz w:val="32"/>
          <w:szCs w:val="32"/>
        </w:rPr>
        <w:t>2019年无“三公”经费财政拨款支出。</w:t>
      </w:r>
    </w:p>
    <w:p>
      <w:pPr>
        <w:spacing w:line="600" w:lineRule="exact"/>
        <w:ind w:firstLine="640"/>
        <w:outlineLvl w:val="2"/>
        <w:rPr>
          <w:rFonts w:ascii="仿宋_GB2312" w:hAnsi="仿宋_GB2312" w:eastAsia="仿宋_GB2312" w:cs="仿宋_GB2312"/>
          <w:b/>
          <w:color w:val="000000"/>
          <w:sz w:val="32"/>
          <w:szCs w:val="32"/>
        </w:rPr>
      </w:pPr>
      <w:bookmarkStart w:id="45" w:name="_Toc15377217"/>
      <w:r>
        <w:rPr>
          <w:rFonts w:hint="eastAsia" w:ascii="仿宋_GB2312" w:hAnsi="仿宋_GB2312" w:eastAsia="仿宋_GB2312" w:cs="仿宋_GB2312"/>
          <w:b/>
          <w:color w:val="000000"/>
          <w:sz w:val="32"/>
          <w:szCs w:val="32"/>
        </w:rPr>
        <w:t>（二）“三公”经费财政拨款支出决算具体情况说明</w:t>
      </w:r>
      <w:bookmarkEnd w:id="45"/>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2019年“三公”经费财政拨款支出决算中，因公出国（境）费支出决算0万元；公务用车购置及运行维护费支出决算0万元；公务接待费支出决算0万元。</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0万元。</w:t>
      </w:r>
    </w:p>
    <w:p>
      <w:pPr>
        <w:spacing w:line="600" w:lineRule="exact"/>
        <w:ind w:firstLine="64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rPr>
        <w:t>0万元。</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国内公务接待支出</w:t>
      </w:r>
      <w:r>
        <w:rPr>
          <w:rFonts w:hint="eastAsia" w:ascii="仿宋_GB2312" w:hAnsi="仿宋_GB2312" w:eastAsia="仿宋_GB2312" w:cs="仿宋_GB2312"/>
          <w:color w:val="000000"/>
          <w:sz w:val="32"/>
          <w:szCs w:val="32"/>
        </w:rPr>
        <w:t>0万元。</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rPr>
        <w:t>0万元。</w:t>
      </w:r>
      <w:bookmarkStart w:id="46" w:name="_Toc15396610"/>
      <w:bookmarkStart w:id="47" w:name="_Toc15377218"/>
    </w:p>
    <w:p>
      <w:pPr>
        <w:spacing w:line="600" w:lineRule="exact"/>
        <w:ind w:firstLine="640"/>
        <w:outlineLvl w:val="1"/>
        <w:rPr>
          <w:rStyle w:val="25"/>
          <w:rFonts w:ascii="仿宋_GB2312" w:hAnsi="仿宋_GB2312" w:eastAsia="仿宋_GB2312" w:cs="仿宋_GB2312"/>
        </w:rPr>
      </w:pPr>
      <w:r>
        <w:rPr>
          <w:rFonts w:hint="eastAsia" w:ascii="仿宋_GB2312" w:hAnsi="仿宋_GB2312" w:eastAsia="仿宋_GB2312" w:cs="仿宋_GB2312"/>
          <w:color w:val="000000"/>
          <w:sz w:val="32"/>
          <w:szCs w:val="32"/>
        </w:rPr>
        <w:t>八、</w:t>
      </w:r>
      <w:r>
        <w:rPr>
          <w:rStyle w:val="25"/>
          <w:rFonts w:hint="eastAsia" w:ascii="仿宋_GB2312" w:hAnsi="仿宋_GB2312" w:eastAsia="仿宋_GB2312" w:cs="仿宋_GB2312"/>
          <w:b w:val="0"/>
        </w:rPr>
        <w:t>政府性基金预算支出决算情况说明</w:t>
      </w:r>
      <w:bookmarkEnd w:id="46"/>
      <w:bookmarkEnd w:id="47"/>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2019年无政府性基金预算拨款支出。</w:t>
      </w:r>
    </w:p>
    <w:p>
      <w:pPr>
        <w:numPr>
          <w:ilvl w:val="0"/>
          <w:numId w:val="2"/>
        </w:numPr>
        <w:spacing w:line="600" w:lineRule="exact"/>
        <w:ind w:firstLine="640"/>
        <w:outlineLvl w:val="1"/>
        <w:rPr>
          <w:rStyle w:val="25"/>
          <w:rFonts w:ascii="仿宋_GB2312" w:hAnsi="仿宋_GB2312" w:eastAsia="仿宋_GB2312" w:cs="仿宋_GB2312"/>
          <w:b w:val="0"/>
        </w:rPr>
      </w:pPr>
      <w:bookmarkStart w:id="48" w:name="_Toc15396611"/>
      <w:bookmarkStart w:id="49" w:name="_Toc15377219"/>
      <w:r>
        <w:rPr>
          <w:rStyle w:val="25"/>
          <w:rFonts w:hint="eastAsia" w:ascii="仿宋_GB2312" w:hAnsi="仿宋_GB2312" w:eastAsia="仿宋_GB2312" w:cs="仿宋_GB2312"/>
          <w:b w:val="0"/>
        </w:rPr>
        <w:t>国有资本经营预算支出决算情况说明</w:t>
      </w:r>
      <w:bookmarkEnd w:id="48"/>
      <w:bookmarkEnd w:id="49"/>
    </w:p>
    <w:p>
      <w:pPr>
        <w:spacing w:line="600" w:lineRule="exact"/>
        <w:ind w:firstLine="640"/>
        <w:rPr>
          <w:rFonts w:ascii="仿宋_GB2312" w:hAnsi="仿宋_GB2312" w:eastAsia="仿宋_GB2312" w:cs="仿宋_GB2312"/>
          <w:sz w:val="44"/>
          <w:szCs w:val="44"/>
        </w:rPr>
      </w:pPr>
      <w:r>
        <w:rPr>
          <w:rFonts w:hint="eastAsia" w:ascii="仿宋_GB2312" w:hAnsi="仿宋_GB2312" w:eastAsia="仿宋_GB2312" w:cs="仿宋_GB2312"/>
          <w:color w:val="000000"/>
          <w:sz w:val="32"/>
          <w:szCs w:val="32"/>
        </w:rPr>
        <w:t>2019年我单位无国有资本经营预算拨款支出。</w:t>
      </w:r>
    </w:p>
    <w:p>
      <w:pPr>
        <w:spacing w:line="600" w:lineRule="exact"/>
        <w:ind w:firstLine="800" w:firstLineChars="250"/>
        <w:outlineLvl w:val="1"/>
        <w:rPr>
          <w:rStyle w:val="25"/>
          <w:rFonts w:ascii="仿宋_GB2312" w:hAnsi="仿宋_GB2312" w:eastAsia="仿宋_GB2312" w:cs="仿宋_GB2312"/>
        </w:rPr>
      </w:pPr>
      <w:bookmarkStart w:id="50" w:name="_Toc15377221"/>
      <w:bookmarkStart w:id="51" w:name="_Toc15396612"/>
      <w:r>
        <w:rPr>
          <w:rFonts w:hint="eastAsia" w:ascii="仿宋_GB2312" w:hAnsi="仿宋_GB2312" w:eastAsia="仿宋_GB2312" w:cs="仿宋_GB2312"/>
          <w:color w:val="000000"/>
          <w:sz w:val="32"/>
          <w:szCs w:val="32"/>
        </w:rPr>
        <w:t>十</w:t>
      </w:r>
      <w:r>
        <w:rPr>
          <w:rStyle w:val="25"/>
          <w:rFonts w:hint="eastAsia" w:ascii="仿宋_GB2312" w:hAnsi="仿宋_GB2312" w:eastAsia="仿宋_GB2312" w:cs="仿宋_GB2312"/>
        </w:rPr>
        <w:t>、</w:t>
      </w:r>
      <w:r>
        <w:rPr>
          <w:rStyle w:val="25"/>
          <w:rFonts w:hint="eastAsia" w:ascii="仿宋_GB2312" w:hAnsi="仿宋_GB2312" w:eastAsia="仿宋_GB2312" w:cs="仿宋_GB2312"/>
          <w:b w:val="0"/>
        </w:rPr>
        <w:t>其他重要事项的情况说明</w:t>
      </w:r>
      <w:bookmarkEnd w:id="50"/>
      <w:bookmarkEnd w:id="51"/>
    </w:p>
    <w:p>
      <w:pPr>
        <w:spacing w:line="600" w:lineRule="exact"/>
        <w:ind w:firstLine="643" w:firstLineChars="200"/>
        <w:outlineLvl w:val="2"/>
        <w:rPr>
          <w:rFonts w:ascii="仿宋_GB2312" w:hAnsi="仿宋_GB2312" w:eastAsia="仿宋_GB2312" w:cs="仿宋_GB2312"/>
          <w:color w:val="000000"/>
          <w:sz w:val="32"/>
          <w:szCs w:val="32"/>
        </w:rPr>
      </w:pPr>
      <w:bookmarkStart w:id="52" w:name="_Toc15377222"/>
      <w:r>
        <w:rPr>
          <w:rFonts w:hint="eastAsia" w:ascii="仿宋_GB2312" w:hAnsi="仿宋_GB2312" w:eastAsia="仿宋_GB2312" w:cs="仿宋_GB2312"/>
          <w:b/>
          <w:color w:val="000000"/>
          <w:sz w:val="32"/>
          <w:szCs w:val="32"/>
        </w:rPr>
        <w:t>（一）机关运行经费支出情况</w:t>
      </w:r>
      <w:bookmarkEnd w:id="52"/>
    </w:p>
    <w:p>
      <w:pPr>
        <w:autoSpaceDE w:val="0"/>
        <w:autoSpaceDN w:val="0"/>
        <w:adjustRightInd w:val="0"/>
        <w:spacing w:line="600" w:lineRule="exact"/>
        <w:ind w:firstLine="640" w:firstLineChars="200"/>
        <w:jc w:val="left"/>
        <w:outlineLvl w:val="2"/>
        <w:rPr>
          <w:rFonts w:ascii="仿宋_GB2312" w:hAnsi="仿宋_GB2312" w:eastAsia="仿宋_GB2312" w:cs="仿宋_GB2312"/>
          <w:color w:val="000000"/>
          <w:sz w:val="32"/>
          <w:szCs w:val="32"/>
        </w:rPr>
      </w:pPr>
      <w:bookmarkStart w:id="53" w:name="_Toc15377223"/>
      <w:r>
        <w:rPr>
          <w:rFonts w:hint="eastAsia" w:ascii="仿宋_GB2312" w:hAnsi="仿宋_GB2312" w:eastAsia="仿宋_GB2312" w:cs="仿宋_GB2312"/>
          <w:color w:val="000000"/>
          <w:sz w:val="32"/>
          <w:szCs w:val="32"/>
        </w:rPr>
        <w:t>无</w:t>
      </w:r>
    </w:p>
    <w:p>
      <w:pPr>
        <w:autoSpaceDE w:val="0"/>
        <w:autoSpaceDN w:val="0"/>
        <w:adjustRightInd w:val="0"/>
        <w:spacing w:line="600" w:lineRule="exact"/>
        <w:ind w:firstLine="643" w:firstLineChars="200"/>
        <w:jc w:val="left"/>
        <w:outlineLvl w:val="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（二）政府采购支出情况</w:t>
      </w:r>
      <w:bookmarkEnd w:id="5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2019年，亭子镇中心卫生院政府采购13.52万元，主要用于电脑和空调开支。</w:t>
      </w:r>
    </w:p>
    <w:p>
      <w:pPr>
        <w:autoSpaceDE w:val="0"/>
        <w:autoSpaceDN w:val="0"/>
        <w:adjustRightInd w:val="0"/>
        <w:spacing w:line="600" w:lineRule="exact"/>
        <w:ind w:firstLine="643" w:firstLineChars="200"/>
        <w:jc w:val="left"/>
        <w:outlineLvl w:val="2"/>
        <w:rPr>
          <w:rFonts w:ascii="仿宋_GB2312" w:hAnsi="仿宋_GB2312" w:eastAsia="仿宋_GB2312" w:cs="仿宋_GB2312"/>
          <w:b/>
          <w:color w:val="000000"/>
          <w:sz w:val="32"/>
          <w:szCs w:val="32"/>
        </w:rPr>
      </w:pPr>
      <w:bookmarkStart w:id="54" w:name="_Toc15377224"/>
      <w:r>
        <w:rPr>
          <w:rFonts w:hint="eastAsia" w:ascii="仿宋_GB2312" w:hAnsi="仿宋_GB2312" w:eastAsia="仿宋_GB2312" w:cs="仿宋_GB2312"/>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截至2019年12月31日，我单位共有车辆1辆，其中：其他用车1辆（救护车）</w:t>
      </w:r>
      <w:r>
        <w:rPr>
          <w:rFonts w:hint="eastAsia" w:ascii="仿宋_GB2312" w:hAnsi="仿宋_GB2312" w:eastAsia="仿宋_GB2312" w:cs="仿宋_GB2312"/>
          <w:color w:val="000000" w:themeColor="text1"/>
          <w:sz w:val="32"/>
          <w:szCs w:val="32"/>
        </w:rPr>
        <w:t>其他用车主要是用于医疗急救。单价50万元以上通用设备1台（套），单价100</w:t>
      </w:r>
      <w:r>
        <w:rPr>
          <w:rFonts w:hint="eastAsia" w:ascii="仿宋_GB2312" w:hAnsi="仿宋_GB2312" w:eastAsia="仿宋_GB2312" w:cs="仿宋_GB2312"/>
          <w:color w:val="000000"/>
          <w:sz w:val="32"/>
          <w:szCs w:val="32"/>
        </w:rPr>
        <w:t>万元以上专用设备无。</w:t>
      </w:r>
    </w:p>
    <w:p>
      <w:pPr>
        <w:autoSpaceDE w:val="0"/>
        <w:autoSpaceDN w:val="0"/>
        <w:adjustRightInd w:val="0"/>
        <w:spacing w:line="600" w:lineRule="exact"/>
        <w:ind w:firstLine="643" w:firstLineChars="200"/>
        <w:jc w:val="left"/>
        <w:outlineLvl w:val="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本单位按要求对2019年部门整体支出开展绩效自评，从评价情况来看，本单位 2019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1.项目绩效目标完成情况。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本部门在2019年度部门决算中反映“基本公共卫生服务”“基本药物补助”等2个项目绩效目标实际完成情况。          1：基本药物补助项目绩效目标完成情况综述。项目全年预算数40.51万元，执行数为40.51万元，完成预算的100%。通过项目实施，保障了2019年我院基本药物采购资金的保障，发现的主要问题：对专项项目推进工作重视度有待加强，对。下一步改进措施：积极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188.46万元，执行数为188.46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6"/>
                <w:szCs w:val="36"/>
              </w:rPr>
            </w:pPr>
            <w:r>
              <w:rPr>
                <w:rFonts w:hint="eastAsia" w:ascii="仿宋_GB2312" w:hAnsi="仿宋_GB2312" w:eastAsia="仿宋_GB2312" w:cs="仿宋_GB2312"/>
                <w:b/>
                <w:bCs/>
                <w:color w:val="000000"/>
                <w:kern w:val="0"/>
                <w:sz w:val="36"/>
                <w:szCs w:val="36"/>
              </w:rPr>
              <w:t>项目绩效目标完成情况表</w:t>
            </w:r>
            <w:r>
              <w:rPr>
                <w:rFonts w:hint="eastAsia" w:ascii="仿宋_GB2312" w:hAnsi="仿宋_GB2312" w:eastAsia="仿宋_GB2312" w:cs="仿宋_GB2312"/>
                <w:b/>
                <w:bCs/>
                <w:color w:val="000000"/>
                <w:kern w:val="0"/>
                <w:sz w:val="36"/>
                <w:szCs w:val="36"/>
              </w:rPr>
              <w:br w:type="textWrapping"/>
            </w:r>
            <w:r>
              <w:rPr>
                <w:rFonts w:hint="eastAsia" w:ascii="仿宋_GB2312" w:hAnsi="仿宋_GB2312" w:eastAsia="仿宋_GB2312" w:cs="仿宋_GB2312"/>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基本药物补助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达州市达川区亭子镇中心卫生院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40.51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40.51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40.51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40.51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完成2019年基本药物资金补助40.51万元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完成2019年基本药物资金补助40.51万元</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完成2019年基药采购数量任务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34" w:hRule="atLeast"/>
          <w:jc w:val="center"/>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仿宋_GB2312" w:hAnsi="仿宋_GB2312" w:eastAsia="仿宋_GB2312" w:cs="仿宋_GB2312"/>
                <w:color w:val="000000"/>
                <w:sz w:val="36"/>
                <w:szCs w:val="36"/>
              </w:rPr>
            </w:pPr>
            <w:r>
              <w:rPr>
                <w:rFonts w:hint="eastAsia" w:ascii="仿宋_GB2312" w:hAnsi="仿宋_GB2312" w:eastAsia="仿宋_GB2312" w:cs="仿宋_GB2312"/>
                <w:bCs/>
                <w:color w:val="000000"/>
                <w:kern w:val="0"/>
                <w:sz w:val="36"/>
                <w:szCs w:val="36"/>
              </w:rPr>
              <w:t>项目支出绩效目标完成情况表</w:t>
            </w:r>
            <w:r>
              <w:rPr>
                <w:rFonts w:hint="eastAsia" w:ascii="仿宋_GB2312" w:hAnsi="仿宋_GB2312" w:eastAsia="仿宋_GB2312" w:cs="仿宋_GB2312"/>
                <w:b/>
                <w:bCs/>
                <w:color w:val="000000"/>
                <w:kern w:val="0"/>
                <w:sz w:val="36"/>
                <w:szCs w:val="36"/>
              </w:rPr>
              <w:br w:type="textWrapping"/>
            </w:r>
            <w:r>
              <w:rPr>
                <w:rFonts w:hint="eastAsia" w:ascii="仿宋_GB2312" w:hAnsi="仿宋_GB2312" w:eastAsia="仿宋_GB2312" w:cs="仿宋_GB2312"/>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基本公共卫生服务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达州市达川区亭子镇中心卫生院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188.46万元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188.46万元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188.46万元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188.46万元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完成2019年基本公共卫生服务188.46万元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完成2018年基本公共卫生服务188.46万元</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完成2018年基本公共卫生服188.46万元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达到80%以上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r>
        <w:tblPrEx>
          <w:tblCellMar>
            <w:top w:w="0" w:type="dxa"/>
            <w:left w:w="0" w:type="dxa"/>
            <w:bottom w:w="0" w:type="dxa"/>
            <w:right w:w="0" w:type="dxa"/>
          </w:tblCellMar>
        </w:tblPrEx>
        <w:trPr>
          <w:trHeight w:val="105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通过基本公共卫生服务的开展使群众对改项目的认可度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已完成100%</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四川省达州市达川区亭子镇中心卫生院2019年部门整体支出绩效评价报告》见附件一。《国家基本公共卫生服务、基层医疗卫生机构实施国家基本药物制度和综合改革项目2019年绩效评价报告》见附件二。</w:t>
      </w:r>
    </w:p>
    <w:p>
      <w:pPr>
        <w:spacing w:line="580" w:lineRule="exact"/>
        <w:ind w:firstLine="640" w:firstLineChars="200"/>
        <w:rPr>
          <w:rStyle w:val="25"/>
          <w:rFonts w:ascii="仿宋_GB2312" w:hAnsi="仿宋_GB2312" w:eastAsia="仿宋_GB2312" w:cs="仿宋_GB2312"/>
          <w:b w:val="0"/>
        </w:rPr>
      </w:pPr>
    </w:p>
    <w:p>
      <w:pPr>
        <w:widowControl/>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br w:type="page"/>
      </w:r>
    </w:p>
    <w:p>
      <w:pPr>
        <w:numPr>
          <w:ilvl w:val="0"/>
          <w:numId w:val="3"/>
        </w:numPr>
        <w:spacing w:line="600" w:lineRule="exact"/>
        <w:ind w:firstLine="660" w:firstLineChars="150"/>
        <w:jc w:val="center"/>
        <w:outlineLvl w:val="0"/>
        <w:rPr>
          <w:rStyle w:val="24"/>
          <w:rFonts w:ascii="仿宋_GB2312" w:hAnsi="仿宋_GB2312" w:eastAsia="仿宋_GB2312" w:cs="仿宋_GB2312"/>
          <w:b w:val="0"/>
        </w:rPr>
      </w:pPr>
      <w:bookmarkStart w:id="55" w:name="_Toc15396613"/>
      <w:bookmarkStart w:id="56" w:name="_Toc15377225"/>
      <w:r>
        <w:rPr>
          <w:rFonts w:hint="eastAsia" w:ascii="仿宋_GB2312" w:hAnsi="仿宋_GB2312" w:eastAsia="仿宋_GB2312" w:cs="仿宋_GB2312"/>
          <w:color w:val="000000"/>
          <w:sz w:val="44"/>
          <w:szCs w:val="44"/>
        </w:rPr>
        <w:t>名</w:t>
      </w:r>
      <w:r>
        <w:rPr>
          <w:rStyle w:val="24"/>
          <w:rFonts w:hint="eastAsia" w:ascii="仿宋_GB2312" w:hAnsi="仿宋_GB2312" w:eastAsia="仿宋_GB2312" w:cs="仿宋_GB2312"/>
          <w:b w:val="0"/>
        </w:rPr>
        <w:t>词解释</w:t>
      </w:r>
      <w:bookmarkEnd w:id="55"/>
      <w:bookmarkEnd w:id="56"/>
    </w:p>
    <w:p>
      <w:pPr>
        <w:spacing w:line="600" w:lineRule="exact"/>
        <w:jc w:val="left"/>
        <w:rPr>
          <w:rFonts w:ascii="仿宋_GB2312" w:hAnsi="仿宋_GB2312" w:eastAsia="仿宋_GB2312" w:cs="仿宋_GB2312"/>
          <w:b/>
          <w:color w:val="000000"/>
          <w:sz w:val="44"/>
          <w:szCs w:val="44"/>
        </w:rPr>
      </w:pP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 </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7.结余分配：指事业单位按照事业单位会计制度的规定从非财政补助结余中分配的事业基金和职工福利基金等。</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ind w:firstLine="784" w:firstLineChars="245"/>
        <w:rPr>
          <w:rFonts w:ascii="仿宋_GB2312" w:hAnsi="仿宋_GB2312" w:eastAsia="仿宋_GB2312" w:cs="仿宋_GB2312"/>
          <w:color w:val="000000"/>
          <w:sz w:val="32"/>
          <w:szCs w:val="32"/>
        </w:rPr>
      </w:pPr>
      <w:bookmarkStart w:id="57" w:name="_Toc15377226"/>
      <w:r>
        <w:rPr>
          <w:rFonts w:hint="eastAsia" w:ascii="仿宋_GB2312" w:hAnsi="仿宋_GB2312" w:eastAsia="仿宋_GB2312" w:cs="仿宋_GB2312"/>
          <w:color w:val="000000"/>
          <w:sz w:val="32"/>
          <w:szCs w:val="32"/>
        </w:rPr>
        <w:t>9.社会保障和就业（208）行政事业单位离退休（05）</w:t>
      </w:r>
      <w:r>
        <w:rPr>
          <w:rFonts w:hint="eastAsia" w:ascii="仿宋_GB2312" w:hAnsi="仿宋_GB2312" w:eastAsia="仿宋_GB2312" w:cs="仿宋_GB2312"/>
          <w:color w:val="000000"/>
          <w:sz w:val="22"/>
          <w:szCs w:val="22"/>
        </w:rPr>
        <w:t xml:space="preserve"> </w:t>
      </w:r>
      <w:r>
        <w:rPr>
          <w:rFonts w:hint="eastAsia" w:ascii="仿宋_GB2312" w:hAnsi="仿宋_GB2312" w:eastAsia="仿宋_GB2312" w:cs="仿宋_GB2312"/>
          <w:color w:val="000000"/>
          <w:sz w:val="32"/>
          <w:szCs w:val="32"/>
        </w:rPr>
        <w:t xml:space="preserve"> 机关事业单位基本养老保险缴费支出（05）：反映机构事业单位实施养老保险制度由单位缴纳的基本养老保险支出；</w:t>
      </w:r>
    </w:p>
    <w:p>
      <w:pPr>
        <w:ind w:firstLine="640" w:firstLineChars="200"/>
        <w:rPr>
          <w:rFonts w:ascii="仿宋_GB2312" w:hAnsi="仿宋_GB2312" w:eastAsia="仿宋_GB2312" w:cs="仿宋_GB2312"/>
          <w:color w:val="000000"/>
          <w:sz w:val="32"/>
          <w:szCs w:val="32"/>
        </w:rPr>
      </w:pPr>
      <w:r>
        <w:rPr>
          <w:rStyle w:val="14"/>
          <w:rFonts w:hint="eastAsia" w:ascii="仿宋_GB2312" w:hAnsi="仿宋_GB2312" w:eastAsia="仿宋_GB2312" w:cs="仿宋_GB2312"/>
          <w:b w:val="0"/>
          <w:color w:val="000000"/>
          <w:sz w:val="32"/>
          <w:szCs w:val="32"/>
        </w:rPr>
        <w:t>10.卫生健康支出（210）基层医疗卫生机构（03）</w:t>
      </w:r>
      <w:r>
        <w:rPr>
          <w:rFonts w:hint="eastAsia" w:ascii="仿宋_GB2312" w:hAnsi="仿宋_GB2312" w:eastAsia="仿宋_GB2312" w:cs="仿宋_GB2312"/>
          <w:color w:val="000000"/>
          <w:sz w:val="32"/>
          <w:szCs w:val="32"/>
        </w:rPr>
        <w:t>乡镇卫生院</w:t>
      </w:r>
      <w:r>
        <w:rPr>
          <w:rStyle w:val="14"/>
          <w:rFonts w:hint="eastAsia" w:ascii="仿宋_GB2312" w:hAnsi="仿宋_GB2312" w:eastAsia="仿宋_GB2312" w:cs="仿宋_GB2312"/>
          <w:b w:val="0"/>
          <w:color w:val="000000"/>
          <w:sz w:val="32"/>
          <w:szCs w:val="32"/>
        </w:rPr>
        <w:t>（02）反映医疗卫生与计划生育</w:t>
      </w:r>
      <w:r>
        <w:rPr>
          <w:rFonts w:hint="eastAsia" w:ascii="仿宋_GB2312" w:hAnsi="仿宋_GB2312" w:eastAsia="仿宋_GB2312" w:cs="仿宋_GB2312"/>
          <w:color w:val="000000"/>
          <w:sz w:val="32"/>
          <w:szCs w:val="32"/>
        </w:rPr>
        <w:t>用于医疗卫生与计划生育管理事务方面的支出；</w:t>
      </w:r>
      <w:r>
        <w:rPr>
          <w:rStyle w:val="14"/>
          <w:rFonts w:hint="eastAsia" w:ascii="仿宋_GB2312" w:hAnsi="仿宋_GB2312" w:eastAsia="仿宋_GB2312" w:cs="仿宋_GB2312"/>
          <w:b w:val="0"/>
          <w:color w:val="000000"/>
          <w:sz w:val="32"/>
          <w:szCs w:val="32"/>
        </w:rPr>
        <w:t>（210）基层医疗卫生机构（03）其他基层医疗卫生机构支出（99）</w:t>
      </w:r>
      <w:r>
        <w:rPr>
          <w:rFonts w:hint="eastAsia" w:ascii="仿宋_GB2312" w:hAnsi="仿宋_GB2312" w:eastAsia="仿宋_GB2312" w:cs="仿宋_GB2312"/>
          <w:color w:val="000000"/>
          <w:sz w:val="32"/>
          <w:szCs w:val="32"/>
        </w:rPr>
        <w:t>反映其他用于医疗卫生与计划生育管理事务方面的支出；</w:t>
      </w:r>
      <w:r>
        <w:rPr>
          <w:rStyle w:val="14"/>
          <w:rFonts w:hint="eastAsia" w:ascii="仿宋_GB2312" w:hAnsi="仿宋_GB2312" w:eastAsia="仿宋_GB2312" w:cs="仿宋_GB2312"/>
          <w:b w:val="0"/>
          <w:color w:val="000000"/>
          <w:sz w:val="32"/>
          <w:szCs w:val="32"/>
        </w:rPr>
        <w:t>卫生健康支出（210）</w:t>
      </w:r>
      <w:r>
        <w:rPr>
          <w:rFonts w:hint="eastAsia" w:ascii="仿宋_GB2312" w:hAnsi="仿宋_GB2312" w:eastAsia="仿宋_GB2312" w:cs="仿宋_GB2312"/>
          <w:color w:val="000000"/>
          <w:sz w:val="32"/>
          <w:szCs w:val="32"/>
        </w:rPr>
        <w:t>公共卫生</w:t>
      </w:r>
      <w:r>
        <w:rPr>
          <w:rStyle w:val="14"/>
          <w:rFonts w:hint="eastAsia" w:ascii="仿宋_GB2312" w:hAnsi="仿宋_GB2312" w:eastAsia="仿宋_GB2312" w:cs="仿宋_GB2312"/>
          <w:b w:val="0"/>
          <w:color w:val="000000"/>
          <w:sz w:val="32"/>
          <w:szCs w:val="32"/>
        </w:rPr>
        <w:t>（04）基本公共卫生服务（08）反映基本公共卫生服务支出;（210）基层医疗卫生机构（11）行政事业单位医疗（02）反映事业单位医疗支出;（221）住房保障支出（02）住房改革支出（01）反映单位缴纳的住房公积金支出。</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11.基本支出：指为保障机构正常运转、完成日常工作任务而发生的人员支出和公用支出。</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12.项目支出：指在基本支出之外为完成特定行政任务和事业发展目标所发生的支出。 </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13.经营支出：指事业单位在专业业务活动及其辅助活动之外开展非独立核算经营活动发生的支出。</w:t>
      </w:r>
    </w:p>
    <w:p>
      <w:pPr>
        <w:pStyle w:val="2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jc w:val="left"/>
        <w:outlineLvl w:val="0"/>
        <w:rPr>
          <w:rStyle w:val="24"/>
          <w:rFonts w:ascii="仿宋_GB2312" w:hAnsi="仿宋_GB2312" w:eastAsia="仿宋_GB2312" w:cs="仿宋_GB2312"/>
          <w:b w:val="0"/>
        </w:rPr>
      </w:pPr>
      <w:r>
        <w:rPr>
          <w:rFonts w:hint="eastAsia" w:ascii="仿宋_GB2312" w:hAnsi="仿宋_GB2312" w:eastAsia="仿宋_GB2312" w:cs="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仿宋_GB2312" w:eastAsia="仿宋_GB2312" w:cs="仿宋_GB2312"/>
          <w:b/>
          <w:color w:val="000000"/>
          <w:sz w:val="44"/>
          <w:szCs w:val="44"/>
        </w:rPr>
        <w:br w:type="page"/>
      </w:r>
      <w:bookmarkStart w:id="58" w:name="_Toc15396614"/>
      <w:r>
        <w:rPr>
          <w:rFonts w:hint="eastAsia" w:ascii="仿宋_GB2312" w:hAnsi="仿宋_GB2312" w:eastAsia="仿宋_GB2312" w:cs="仿宋_GB2312"/>
          <w:color w:val="000000"/>
          <w:sz w:val="44"/>
          <w:szCs w:val="44"/>
        </w:rPr>
        <w:t>第</w:t>
      </w:r>
      <w:r>
        <w:rPr>
          <w:rStyle w:val="24"/>
          <w:rFonts w:hint="eastAsia" w:ascii="仿宋_GB2312" w:hAnsi="仿宋_GB2312" w:eastAsia="仿宋_GB2312" w:cs="仿宋_GB2312"/>
          <w:b w:val="0"/>
        </w:rPr>
        <w:t>四部分 附件</w:t>
      </w:r>
      <w:bookmarkEnd w:id="58"/>
    </w:p>
    <w:p>
      <w:pPr>
        <w:pStyle w:val="3"/>
        <w:rPr>
          <w:rStyle w:val="24"/>
          <w:rFonts w:ascii="仿宋_GB2312" w:hAnsi="仿宋_GB2312" w:eastAsia="仿宋_GB2312" w:cs="仿宋_GB2312"/>
          <w:b w:val="0"/>
          <w:bCs w:val="0"/>
          <w:sz w:val="32"/>
          <w:szCs w:val="32"/>
        </w:rPr>
      </w:pPr>
      <w:bookmarkStart w:id="59" w:name="_Toc15396615"/>
      <w:r>
        <w:rPr>
          <w:rStyle w:val="24"/>
          <w:rFonts w:hint="eastAsia" w:ascii="仿宋_GB2312" w:hAnsi="仿宋_GB2312" w:eastAsia="仿宋_GB2312" w:cs="仿宋_GB2312"/>
          <w:b w:val="0"/>
          <w:bCs w:val="0"/>
          <w:sz w:val="32"/>
          <w:szCs w:val="32"/>
        </w:rPr>
        <w:t>附件1</w:t>
      </w:r>
      <w:bookmarkEnd w:id="59"/>
    </w:p>
    <w:p>
      <w:pPr>
        <w:spacing w:line="600" w:lineRule="exact"/>
        <w:jc w:val="center"/>
        <w:outlineLvl w:val="0"/>
        <w:rPr>
          <w:rFonts w:ascii="仿宋_GB2312" w:hAnsi="仿宋_GB2312" w:eastAsia="仿宋_GB2312" w:cs="仿宋_GB2312"/>
          <w:b/>
          <w:bCs/>
          <w:sz w:val="36"/>
          <w:szCs w:val="36"/>
        </w:rPr>
      </w:pPr>
      <w:bookmarkStart w:id="60" w:name="_Toc15396616"/>
      <w:r>
        <w:rPr>
          <w:rFonts w:hint="eastAsia" w:ascii="仿宋_GB2312" w:hAnsi="仿宋_GB2312" w:eastAsia="仿宋_GB2312" w:cs="仿宋_GB2312"/>
          <w:b/>
          <w:bCs/>
          <w:sz w:val="36"/>
          <w:szCs w:val="36"/>
        </w:rPr>
        <w:t>达州市达川区亭子镇中心卫生院</w:t>
      </w:r>
    </w:p>
    <w:p>
      <w:pPr>
        <w:spacing w:line="600" w:lineRule="exact"/>
        <w:jc w:val="center"/>
        <w:outlineLvl w:val="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2019年部门整体支出绩效评价报告</w:t>
      </w:r>
      <w:bookmarkEnd w:id="6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一、部门（单位）概况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（一）机构组成。</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达州市达川区亭子镇中心卫生院是一家一级预算单位，无其他下属单位。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（二）机构职能。</w:t>
      </w:r>
    </w:p>
    <w:p>
      <w:pPr>
        <w:adjustRightInd w:val="0"/>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达州市达川区亭子镇中心卫生院是一级甲等卫生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拥有DR、B超、全自动生化分析仪、麻醉呼吸机等辅助设备，现设有内科、外科、妇产科、五官科、中医科、理疗科等科室。开展了中下腹部手术，剖宫产手术等常规手术。能对常见病，多发病以及部分疑难杂症做出准确的诊断和治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（三）人员概况。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达州市达川区亭子镇中心卫生院，在2019年年初有在编职工67人，在2019年末在编职工66人，退休14人，调出0人，2019年末我院有临聘人员10人。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二、部门财政资金收支情况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（一）部门财政资金收入情况。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2019年我院财政拨款收入总计977.72万元，其中一般公共预算财政拨款收入792.07万元，年初财政补助结转和结余185.66万元。</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部门财政资金支出情况。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2019年我院财政拨款支出总计977.73万元，其中一般公共预算财政拨款支出667.01万元，年末财政补助结转和结余310.72万元。</w:t>
      </w:r>
    </w:p>
    <w:p>
      <w:pPr>
        <w:numPr>
          <w:ilvl w:val="0"/>
          <w:numId w:val="1"/>
        </w:numPr>
        <w:spacing w:line="580" w:lineRule="exact"/>
        <w:ind w:left="1360" w:leftChars="0" w:hanging="7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部门整体预算绩效管理情况</w:t>
      </w:r>
    </w:p>
    <w:p>
      <w:pPr>
        <w:numPr>
          <w:ilvl w:val="0"/>
          <w:numId w:val="0"/>
        </w:numPr>
        <w:spacing w:line="580" w:lineRule="exact"/>
        <w:ind w:left="64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（一）部门预算管理。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2019年预算编制工作，按时完成基础库、项目库报送工作，并按时提交部门预算草案。绩效目标是预算编制的前提和基础，按照“费随事定”的原则，2019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 2019 年 12 月 31 日，我院 2019 年财政资金一般公共预算财政拨款执行进度为84.21%。</w:t>
      </w:r>
    </w:p>
    <w:p>
      <w:pPr>
        <w:spacing w:before="270" w:line="3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（二）专项预算管理。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严格遵循《预算法》等相关法律法规和财政局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四、评价结论及建议</w:t>
      </w:r>
    </w:p>
    <w:p>
      <w:pPr>
        <w:spacing w:line="580" w:lineRule="exact"/>
        <w:ind w:firstLine="640" w:firstLineChars="200"/>
        <w:rPr>
          <w:rFonts w:ascii="仿宋_GB2312" w:hAnsi="仿宋_GB2312" w:eastAsia="仿宋_GB2312" w:cs="仿宋_GB2312"/>
          <w:color w:val="000000"/>
          <w:sz w:val="32"/>
          <w:szCs w:val="22"/>
        </w:rPr>
      </w:pPr>
      <w:r>
        <w:rPr>
          <w:rFonts w:hint="eastAsia" w:ascii="仿宋_GB2312" w:hAnsi="仿宋_GB2312" w:eastAsia="仿宋_GB2312" w:cs="仿宋_GB2312"/>
          <w:color w:val="000000"/>
          <w:sz w:val="32"/>
          <w:szCs w:val="2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 年我单位整体支出绩效评价自查自评结果良好。财务制度较健全，财务管理较规范，全年基本支出保障了部门的正常运行和日程工作的正常开展，全额保障了项目支出工作的开展，履职成效明显，达到了预期绩效目标和预期经济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（二）存在问题。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建议区财政局根据实际需求，重新核定我单位医疗收入和基本支出控制数，提高财政补助经费定额标准，保证正常工作运转。</w:t>
      </w:r>
    </w:p>
    <w:p>
      <w:pPr>
        <w:rPr>
          <w:rFonts w:ascii="仿宋_GB2312" w:hAnsi="仿宋_GB2312" w:eastAsia="仿宋_GB2312" w:cs="仿宋_GB231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pStyle w:val="3"/>
        <w:rPr>
          <w:rStyle w:val="24"/>
          <w:rFonts w:ascii="仿宋_GB2312" w:hAnsi="仿宋_GB2312" w:eastAsia="仿宋_GB2312" w:cs="仿宋_GB2312"/>
          <w:b w:val="0"/>
          <w:bCs w:val="0"/>
          <w:sz w:val="32"/>
          <w:szCs w:val="32"/>
        </w:rPr>
      </w:pPr>
      <w:bookmarkStart w:id="61" w:name="_Toc15396617"/>
      <w:r>
        <w:rPr>
          <w:rStyle w:val="24"/>
          <w:rFonts w:hint="eastAsia" w:ascii="仿宋_GB2312" w:hAnsi="仿宋_GB2312" w:eastAsia="仿宋_GB2312" w:cs="仿宋_GB2312"/>
          <w:b w:val="0"/>
          <w:bCs w:val="0"/>
          <w:sz w:val="32"/>
          <w:szCs w:val="32"/>
        </w:rPr>
        <w:t>附件2</w:t>
      </w:r>
      <w:bookmarkEnd w:id="61"/>
    </w:p>
    <w:p>
      <w:pPr>
        <w:spacing w:line="600" w:lineRule="exact"/>
        <w:jc w:val="center"/>
        <w:outlineLvl w:val="0"/>
        <w:rPr>
          <w:rFonts w:ascii="仿宋_GB2312" w:hAnsi="仿宋_GB2312" w:eastAsia="仿宋_GB2312" w:cs="仿宋_GB2312"/>
          <w:sz w:val="36"/>
          <w:szCs w:val="36"/>
        </w:rPr>
      </w:pPr>
      <w:r>
        <w:rPr>
          <w:rFonts w:hint="eastAsia" w:ascii="仿宋_GB2312" w:hAnsi="仿宋_GB2312" w:eastAsia="仿宋_GB2312" w:cs="仿宋_GB2312"/>
          <w:sz w:val="36"/>
          <w:szCs w:val="36"/>
        </w:rPr>
        <w:t>达州市达川区亭子镇中心卫生院</w:t>
      </w:r>
    </w:p>
    <w:p>
      <w:pPr>
        <w:rPr>
          <w:rFonts w:ascii="仿宋_GB2312" w:hAnsi="仿宋_GB2312" w:eastAsia="仿宋_GB2312" w:cs="仿宋_GB2312"/>
        </w:rPr>
      </w:pPr>
    </w:p>
    <w:p>
      <w:pPr>
        <w:spacing w:line="600" w:lineRule="exact"/>
        <w:jc w:val="center"/>
        <w:outlineLvl w:val="0"/>
        <w:rPr>
          <w:rFonts w:ascii="仿宋_GB2312" w:hAnsi="仿宋_GB2312" w:eastAsia="仿宋_GB2312" w:cs="仿宋_GB2312"/>
          <w:sz w:val="36"/>
          <w:szCs w:val="36"/>
        </w:rPr>
      </w:pPr>
      <w:r>
        <w:rPr>
          <w:rFonts w:hint="eastAsia" w:ascii="仿宋_GB2312" w:hAnsi="仿宋_GB2312" w:eastAsia="仿宋_GB2312" w:cs="仿宋_GB2312"/>
          <w:sz w:val="36"/>
          <w:szCs w:val="36"/>
        </w:rPr>
        <w:t>2019年项目支出绩效评价报告</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一、评价工作开展及项目情况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高基本公共卫生服务项目均等化水平，推进基本公卫生服务项目开展；巩固基本药物制度，不断提升服务能力和水平，筑牢基层医疗卫生服务网底，实现医改“保基本、强基层、建机制”的目标。开展项目是基本公共卫生服务和基层医疗机构基本药物制度。</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二、评价结论及绩效分析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总体看，我单位预算编制及执行决算较为准确，支出管理较为规范，财务管理制度较完善，项目支出整体绩效较好。项目支出绩效自评得分为88分。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（二）绩效分析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1、项目决策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（1）资金计划及到位。基本公共卫生服务</w:t>
      </w:r>
      <w:r>
        <w:rPr>
          <w:rFonts w:hint="eastAsia" w:ascii="仿宋_GB2312" w:hAnsi="仿宋_GB2312" w:eastAsia="仿宋_GB2312" w:cs="仿宋_GB2312"/>
          <w:sz w:val="32"/>
          <w:szCs w:val="32"/>
          <w:lang w:eastAsia="zh-CN"/>
        </w:rPr>
        <w:t>下拨</w:t>
      </w:r>
      <w:r>
        <w:rPr>
          <w:rFonts w:hint="eastAsia" w:ascii="仿宋_GB2312" w:hAnsi="仿宋_GB2312" w:eastAsia="仿宋_GB2312" w:cs="仿宋_GB2312"/>
          <w:sz w:val="32"/>
          <w:szCs w:val="32"/>
        </w:rPr>
        <w:t>资金188.46万元、基层医疗机构基本药物制度</w:t>
      </w:r>
      <w:bookmarkStart w:id="62" w:name="_GoBack"/>
      <w:bookmarkEnd w:id="62"/>
      <w:r>
        <w:rPr>
          <w:rFonts w:hint="eastAsia" w:ascii="仿宋_GB2312" w:hAnsi="仿宋_GB2312" w:eastAsia="仿宋_GB2312" w:cs="仿宋_GB2312"/>
          <w:sz w:val="32"/>
          <w:szCs w:val="32"/>
          <w:lang w:eastAsia="zh-CN"/>
        </w:rPr>
        <w:t>下拨</w:t>
      </w:r>
      <w:r>
        <w:rPr>
          <w:rFonts w:hint="eastAsia" w:ascii="仿宋_GB2312" w:hAnsi="仿宋_GB2312" w:eastAsia="仿宋_GB2312" w:cs="仿宋_GB2312"/>
          <w:sz w:val="32"/>
          <w:szCs w:val="32"/>
        </w:rPr>
        <w:t>资金40.51万元。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（2）资金使用。各单位根据业务需要购买货物及工作运行开支。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范基本公共卫生服务行为，推进基本公卫生服务项目开展，不断提升服务能力和水平，筑牢基层医疗卫生服务网底，实现医改“保基本、强基层、建机制”的目标。通确保基本公共卫生服务和基层医疗机构基本药物制度顺利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3、项目绩效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为广大群众提供公共卫生安全保障，居民满意度、建档立卡贫困户满意度≧90%；基本药物零差率销售率100%，政府办基层医疗卫生机构基本药物制度覆盖率100%。</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（三）存在主要问题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一是预算不够明确和细化。预算执行力度还要进一步加强。二是单位缺少专业的会计人员。三是各项管理制度还待进一步完善。</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（四）相关措施建议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1、细化预算编制工作，将进一步重视预算的编制工作，加强单位内部机构的预算管理意识，科学规划预算编制的精确度，提高财政资金使用效率，加强内部预算编制的审核和预算控制指标的下达。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2、建议财政部门加强对财务人员做好各项财务工作的指导和培训，尤其是加强《政府会计制度》等新的会计制度学习和培训，规范部门预算收支核算。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3、进一步完善和落实相关管理制度，加强内部控制管理制度学习，严格遵照相关制度贯彻落实到位，做到精细化管理。</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仿宋_GB2312" w:hAnsi="仿宋_GB2312" w:eastAsia="仿宋_GB2312" w:cs="仿宋_GB2312"/>
          <w:b w:val="0"/>
        </w:rPr>
      </w:pPr>
      <w:r>
        <w:rPr>
          <w:rFonts w:hint="eastAsia" w:ascii="仿宋_GB2312" w:hAnsi="仿宋_GB2312" w:eastAsia="仿宋_GB2312" w:cs="仿宋_GB2312"/>
          <w:color w:val="000000"/>
          <w:sz w:val="44"/>
          <w:szCs w:val="44"/>
        </w:rPr>
        <w:t>第</w:t>
      </w:r>
      <w:r>
        <w:rPr>
          <w:rStyle w:val="24"/>
          <w:rFonts w:hint="eastAsia" w:ascii="仿宋_GB2312" w:hAnsi="仿宋_GB2312" w:eastAsia="仿宋_GB2312" w:cs="仿宋_GB2312"/>
          <w:b w:val="0"/>
        </w:rPr>
        <w:t>五部分 附表</w:t>
      </w:r>
    </w:p>
    <w:p>
      <w:pPr>
        <w:spacing w:line="600" w:lineRule="exact"/>
        <w:jc w:val="center"/>
        <w:outlineLvl w:val="0"/>
        <w:rPr>
          <w:rFonts w:ascii="仿宋_GB2312" w:hAnsi="仿宋_GB2312" w:eastAsia="仿宋_GB2312" w:cs="仿宋_GB2312"/>
          <w:b/>
          <w:color w:val="000000"/>
          <w:sz w:val="44"/>
          <w:szCs w:val="44"/>
        </w:rPr>
      </w:pPr>
    </w:p>
    <w:p>
      <w:pPr>
        <w:pStyle w:val="3"/>
        <w:rPr>
          <w:rFonts w:ascii="仿宋_GB2312" w:hAnsi="仿宋_GB2312" w:eastAsia="仿宋_GB2312" w:cs="仿宋_GB2312"/>
          <w:color w:val="000000"/>
        </w:rPr>
      </w:pPr>
      <w:r>
        <w:rPr>
          <w:rFonts w:hint="eastAsia" w:ascii="仿宋_GB2312" w:hAnsi="仿宋_GB2312" w:eastAsia="仿宋_GB2312" w:cs="仿宋_GB2312"/>
          <w:b w:val="0"/>
          <w:color w:val="000000"/>
        </w:rPr>
        <w:t>一、收</w:t>
      </w:r>
      <w:r>
        <w:rPr>
          <w:rStyle w:val="25"/>
          <w:rFonts w:hint="eastAsia" w:ascii="仿宋_GB2312" w:hAnsi="仿宋_GB2312" w:eastAsia="仿宋_GB2312" w:cs="仿宋_GB2312"/>
          <w:b w:val="0"/>
          <w:bCs w:val="0"/>
        </w:rPr>
        <w:t>入支出决算总表</w:t>
      </w:r>
    </w:p>
    <w:p>
      <w:pPr>
        <w:pStyle w:val="3"/>
        <w:rPr>
          <w:rFonts w:ascii="仿宋_GB2312" w:hAnsi="仿宋_GB2312" w:eastAsia="仿宋_GB2312" w:cs="仿宋_GB2312"/>
          <w:color w:val="000000"/>
        </w:rPr>
      </w:pPr>
      <w:r>
        <w:rPr>
          <w:rFonts w:hint="eastAsia" w:ascii="仿宋_GB2312" w:hAnsi="仿宋_GB2312" w:eastAsia="仿宋_GB2312" w:cs="仿宋_GB2312"/>
          <w:b w:val="0"/>
          <w:color w:val="000000"/>
        </w:rPr>
        <w:t>二、收</w:t>
      </w:r>
      <w:r>
        <w:rPr>
          <w:rStyle w:val="25"/>
          <w:rFonts w:hint="eastAsia" w:ascii="仿宋_GB2312" w:hAnsi="仿宋_GB2312" w:eastAsia="仿宋_GB2312" w:cs="仿宋_GB2312"/>
          <w:b w:val="0"/>
          <w:bCs w:val="0"/>
        </w:rPr>
        <w:t>入总表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5"/>
          <w:rFonts w:hint="eastAsia" w:ascii="仿宋_GB2312" w:hAnsi="仿宋_GB2312" w:eastAsia="仿宋_GB2312" w:cs="仿宋_GB2312"/>
          <w:b w:val="0"/>
          <w:bCs w:val="0"/>
        </w:rPr>
        <w:t>出总表</w:t>
      </w:r>
    </w:p>
    <w:p>
      <w:pPr>
        <w:pStyle w:val="3"/>
        <w:rPr>
          <w:rFonts w:ascii="仿宋_GB2312" w:hAnsi="仿宋_GB2312" w:eastAsia="仿宋_GB2312" w:cs="仿宋_GB2312"/>
          <w:b w:val="0"/>
          <w:color w:val="000000"/>
        </w:rPr>
      </w:pPr>
      <w:r>
        <w:rPr>
          <w:rStyle w:val="25"/>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5"/>
          <w:rFonts w:hint="eastAsia" w:ascii="仿宋_GB2312" w:hAnsi="仿宋_GB2312" w:eastAsia="仿宋_GB2312" w:cs="仿宋_GB2312"/>
          <w:b w:val="0"/>
          <w:bCs w:val="0"/>
        </w:rPr>
        <w:t>政拨款收入支出决算总表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5"/>
          <w:rFonts w:hint="eastAsia" w:ascii="仿宋_GB2312" w:hAnsi="仿宋_GB2312" w:eastAsia="仿宋_GB2312" w:cs="仿宋_GB2312"/>
          <w:b w:val="0"/>
          <w:bCs w:val="0"/>
        </w:rPr>
        <w:t>政拨款支出决算明细表（政府经济分类科目）</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般公共预算财政拨款支出决算表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般公共预算财政拨款支出决算明细表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般公共预算财政拨款基本支出决算表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般公共预算财政拨款项目支出决算表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般公共预算财政拨款“三公”经费支出决算表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5"/>
          <w:rFonts w:hint="eastAsia" w:ascii="仿宋_GB2312" w:hAnsi="仿宋_GB2312" w:eastAsia="仿宋_GB2312" w:cs="仿宋_GB2312"/>
          <w:b w:val="0"/>
          <w:bCs w:val="0"/>
        </w:rPr>
        <w:t>府性基金预算财政拨款收入支出决算表</w:t>
      </w:r>
    </w:p>
    <w:p>
      <w:pPr>
        <w:pStyle w:val="3"/>
        <w:rPr>
          <w:rFonts w:ascii="仿宋_GB2312" w:hAnsi="仿宋_GB2312" w:eastAsia="仿宋_GB2312" w:cs="仿宋_GB2312"/>
          <w:color w:val="000000"/>
        </w:rPr>
      </w:pPr>
      <w:r>
        <w:rPr>
          <w:rStyle w:val="25"/>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5"/>
          <w:rFonts w:hint="eastAsia" w:ascii="仿宋_GB2312" w:hAnsi="仿宋_GB2312" w:eastAsia="仿宋_GB2312" w:cs="仿宋_GB2312"/>
          <w:b w:val="0"/>
          <w:bCs w:val="0"/>
        </w:rPr>
        <w:t>府性基金预算财政拨款“三公”经费支出决算表</w:t>
      </w:r>
    </w:p>
    <w:p>
      <w:pPr>
        <w:pStyle w:val="3"/>
        <w:rPr>
          <w:rFonts w:ascii="仿宋_GB2312" w:hAnsi="仿宋_GB2312" w:eastAsia="仿宋_GB2312" w:cs="仿宋_GB2312"/>
          <w:color w:val="000000" w:themeColor="text1"/>
        </w:rPr>
      </w:pPr>
      <w:r>
        <w:rPr>
          <w:rStyle w:val="25"/>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5"/>
          <w:rFonts w:hint="eastAsia" w:ascii="仿宋_GB2312" w:hAnsi="仿宋_GB2312" w:eastAsia="仿宋_GB2312" w:cs="仿宋_GB2312"/>
          <w:b w:val="0"/>
          <w:bCs w:val="0"/>
        </w:rPr>
        <w:t>有资本经营预算支出决算表</w:t>
      </w:r>
    </w:p>
    <w:bookmarkEnd w:id="57"/>
    <w:p>
      <w:pPr>
        <w:pStyle w:val="3"/>
        <w:rPr>
          <w:rFonts w:ascii="仿宋_GB2312" w:hAnsi="仿宋_GB2312" w:eastAsia="仿宋_GB2312" w:cs="仿宋_GB2312"/>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7</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BA8B6F6"/>
    <w:multiLevelType w:val="singleLevel"/>
    <w:tmpl w:val="1BA8B6F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0585"/>
    <w:rsid w:val="00114E9B"/>
    <w:rsid w:val="00142216"/>
    <w:rsid w:val="00144D6A"/>
    <w:rsid w:val="0014729F"/>
    <w:rsid w:val="00157BAB"/>
    <w:rsid w:val="001654D1"/>
    <w:rsid w:val="00174518"/>
    <w:rsid w:val="001760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65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0E1A"/>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153F2"/>
    <w:rsid w:val="02390F2C"/>
    <w:rsid w:val="10C055FF"/>
    <w:rsid w:val="133607A3"/>
    <w:rsid w:val="14A241CC"/>
    <w:rsid w:val="16A81DC9"/>
    <w:rsid w:val="16BB723D"/>
    <w:rsid w:val="18F445C0"/>
    <w:rsid w:val="240371BF"/>
    <w:rsid w:val="29FD04D3"/>
    <w:rsid w:val="2D067455"/>
    <w:rsid w:val="2ED3026B"/>
    <w:rsid w:val="2F8436E2"/>
    <w:rsid w:val="305166C5"/>
    <w:rsid w:val="319F7F4E"/>
    <w:rsid w:val="31B31E0F"/>
    <w:rsid w:val="33F52EED"/>
    <w:rsid w:val="3CCF1DFE"/>
    <w:rsid w:val="3F476263"/>
    <w:rsid w:val="408A38BD"/>
    <w:rsid w:val="477D2836"/>
    <w:rsid w:val="4A3A62ED"/>
    <w:rsid w:val="4ACC3E20"/>
    <w:rsid w:val="4C6966FC"/>
    <w:rsid w:val="4ECE2238"/>
    <w:rsid w:val="52DE4482"/>
    <w:rsid w:val="579670DA"/>
    <w:rsid w:val="58EE3C49"/>
    <w:rsid w:val="63BE2FCD"/>
    <w:rsid w:val="66B62A6E"/>
    <w:rsid w:val="6F113556"/>
    <w:rsid w:val="72734D90"/>
    <w:rsid w:val="7E2779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chemeClr val="tx1">
                    <a:lumMod val="65000"/>
                    <a:lumOff val="35000"/>
                  </a:schemeClr>
                </a:solidFill>
                <a:uFillTx/>
              </a:rPr>
              <a:t>收、支决算总计变动情况（万元）</a:t>
            </a:r>
            <a:endParaRPr b="1">
              <a:solidFill>
                <a:schemeClr val="tx1">
                  <a:lumMod val="65000"/>
                  <a:lumOff val="35000"/>
                </a:schemeClr>
              </a:solidFill>
              <a:uFillTx/>
            </a:endParaRPr>
          </a:p>
        </c:rich>
      </c:tx>
      <c:layout/>
      <c:overlay val="0"/>
      <c:spPr>
        <a:noFill/>
        <a:ln>
          <a:noFill/>
        </a:ln>
        <a:effectLst/>
      </c:spPr>
    </c:title>
    <c:autoTitleDeleted val="0"/>
    <c:plotArea>
      <c:layout>
        <c:manualLayout>
          <c:layoutTarget val="inner"/>
          <c:xMode val="edge"/>
          <c:yMode val="edge"/>
          <c:x val="0.0571948998178506"/>
          <c:y val="0.176296296296296"/>
          <c:w val="0.889461358313817"/>
          <c:h val="0.769333333333333"/>
        </c:manualLayout>
      </c:layout>
      <c:barChart>
        <c:barDir val="col"/>
        <c:grouping val="stacked"/>
        <c:varyColors val="0"/>
        <c:ser>
          <c:idx val="0"/>
          <c:order val="0"/>
          <c:tx>
            <c:strRef>
              <c:f>Sheet1!$B$1</c:f>
              <c:strCache>
                <c:ptCount val="1"/>
                <c:pt idx="0">
                  <c:v>收、支决算总计变动情况图（万元）
</c:v>
                </c:pt>
              </c:strCache>
            </c:strRef>
          </c:tx>
          <c:spPr>
            <a:solidFill>
              <a:schemeClr val="accent1"/>
            </a:solidFill>
            <a:ln>
              <a:noFill/>
            </a:ln>
            <a:effectLst/>
          </c:spPr>
          <c:invertIfNegative val="0"/>
          <c:dLbls>
            <c:dLbl>
              <c:idx val="0"/>
              <c:layout>
                <c:manualLayout>
                  <c:x val="-0.00585480093676815"/>
                  <c:y val="-0.2722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75800156128025"/>
                  <c:y val="-0.3722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1801.93</c:v>
                </c:pt>
                <c:pt idx="1">
                  <c:v>1880.55</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Sheet1!$A$2:$A$3</c:f>
              <c:strCache>
                <c:ptCount val="2"/>
                <c:pt idx="0">
                  <c:v>2018年</c:v>
                </c:pt>
                <c:pt idx="1">
                  <c:v>2019年</c:v>
                </c:pt>
              </c:strCache>
            </c:strRef>
          </c:cat>
          <c:val>
            <c:numRef>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2018年</c:v>
                </c:pt>
                <c:pt idx="1">
                  <c:v>2019年</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100"/>
        <c:axId val="71129728"/>
        <c:axId val="71144960"/>
      </c:barChart>
      <c:catAx>
        <c:axId val="711297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44960"/>
        <c:crosses val="autoZero"/>
        <c:auto val="1"/>
        <c:lblAlgn val="ctr"/>
        <c:lblOffset val="100"/>
        <c:noMultiLvlLbl val="0"/>
      </c:catAx>
      <c:valAx>
        <c:axId val="7114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2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r>
              <a:rPr b="1" u="none" strike="noStrike" cap="none" normalizeH="0">
                <a:solidFill>
                  <a:schemeClr val="tx1">
                    <a:lumMod val="65000"/>
                    <a:lumOff val="35000"/>
                  </a:schemeClr>
                </a:solidFill>
                <a:uFill>
                  <a:solidFill>
                    <a:schemeClr val="tx1">
                      <a:lumMod val="65000"/>
                      <a:lumOff val="35000"/>
                    </a:schemeClr>
                  </a:solidFill>
                </a:uFill>
              </a:rPr>
              <a:t>收入决算结构图</a:t>
            </a:r>
            <a:endParaRPr b="1" u="none" strike="noStrike" cap="none" normalizeH="0">
              <a:solidFill>
                <a:schemeClr val="tx1">
                  <a:lumMod val="65000"/>
                  <a:lumOff val="35000"/>
                </a:schemeClr>
              </a:solidFill>
              <a:uFill>
                <a:solidFill>
                  <a:schemeClr val="tx1">
                    <a:lumMod val="65000"/>
                    <a:lumOff val="35000"/>
                  </a:schemeClr>
                </a:solidFill>
              </a:uFill>
            </a:endParaRPr>
          </a:p>
        </c:rich>
      </c:tx>
      <c:layout/>
      <c:overlay val="0"/>
      <c:spPr>
        <a:noFill/>
        <a:ln>
          <a:noFill/>
        </a:ln>
        <a:effectLst/>
      </c:sp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财政拔款收入</c:v>
                </c:pt>
                <c:pt idx="1">
                  <c:v>事业收入</c:v>
                </c:pt>
              </c:strCache>
            </c:strRef>
          </c:cat>
          <c:val>
            <c:numRef>
              <c:f>Sheet1!$B$2:$B$5</c:f>
              <c:numCache>
                <c:formatCode>General</c:formatCode>
                <c:ptCount val="4"/>
                <c:pt idx="0">
                  <c:v>792.07</c:v>
                </c:pt>
                <c:pt idx="1">
                  <c:v>902.82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1340.86</c:v>
                </c:pt>
                <c:pt idx="1">
                  <c:v>228.97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0575"/>
          <c:y val="0.1245"/>
          <c:w val="0.8938"/>
          <c:h val="0.716566666666667"/>
        </c:manualLayout>
      </c:layout>
      <c:barChart>
        <c:barDir val="col"/>
        <c:grouping val="stacked"/>
        <c:varyColors val="0"/>
        <c:ser>
          <c:idx val="0"/>
          <c:order val="0"/>
          <c:tx>
            <c:strRef>
              <c:f>Sheet1!$B$1</c:f>
              <c:strCache>
                <c:ptCount val="1"/>
                <c:pt idx="0">
                  <c:v>财政拨款收、支决算总计变动情况表（万元）
</c:v>
                </c:pt>
              </c:strCache>
            </c:strRef>
          </c:tx>
          <c:spPr>
            <a:solidFill>
              <a:schemeClr val="accent1"/>
            </a:solidFill>
            <a:ln>
              <a:noFill/>
            </a:ln>
            <a:effectLst/>
          </c:spPr>
          <c:invertIfNegative val="0"/>
          <c:dLbls>
            <c:dLbl>
              <c:idx val="0"/>
              <c:layout>
                <c:manualLayout>
                  <c:x val="0.000546277221895233"/>
                  <c:y val="-0.269825407382774"/>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36"/>
                      <c:h val="0.0565"/>
                    </c:manualLayout>
                  </c15:layout>
                </c:ext>
              </c:extLst>
            </c:dLbl>
            <c:dLbl>
              <c:idx val="1"/>
              <c:layout>
                <c:manualLayout>
                  <c:x val="0.000218510888758072"/>
                  <c:y val="-0.334610076488194"/>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58375"/>
                      <c:h val="0.07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868.82</c:v>
                </c:pt>
                <c:pt idx="1">
                  <c:v>977.73</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Sheet1!$A$2:$A$3</c:f>
              <c:strCache>
                <c:ptCount val="2"/>
                <c:pt idx="0">
                  <c:v>2018年</c:v>
                </c:pt>
                <c:pt idx="1">
                  <c:v>2019年</c:v>
                </c:pt>
              </c:strCache>
            </c:strRef>
          </c:cat>
          <c:val>
            <c:numRef>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2018年</c:v>
                </c:pt>
                <c:pt idx="1">
                  <c:v>2019年</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100"/>
        <c:axId val="129381888"/>
        <c:axId val="129383424"/>
      </c:barChart>
      <c:catAx>
        <c:axId val="1293818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383424"/>
        <c:crosses val="autoZero"/>
        <c:auto val="1"/>
        <c:lblAlgn val="ctr"/>
        <c:lblOffset val="100"/>
        <c:noMultiLvlLbl val="0"/>
      </c:catAx>
      <c:valAx>
        <c:axId val="129383424"/>
        <c:scaling>
          <c:orientation val="minMax"/>
          <c:max val="100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381888"/>
        <c:crosses val="autoZero"/>
        <c:crossBetween val="between"/>
        <c:minorUnit val="100"/>
      </c:valAx>
      <c:spPr>
        <a:noFill/>
        <a:ln>
          <a:noFill/>
        </a:ln>
        <a:effectLst/>
      </c:spPr>
    </c:plotArea>
    <c:legend>
      <c:legendPos val="b"/>
      <c:legendEntry>
        <c:idx val="0"/>
        <c:txPr>
          <a:bodyPr rot="0" spcFirstLastPara="0" vertOverflow="ellipsis" vert="horz" wrap="square" anchor="ctr" anchorCtr="1"/>
          <a:lstStyle/>
          <a:p>
            <a:pPr>
              <a:defRPr lang="zh-CN" sz="14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Entry>
      <c:legendEntry>
        <c:idx val="1"/>
        <c:delete val="1"/>
      </c:legendEntry>
      <c:legendEntry>
        <c:idx val="2"/>
        <c:delete val="1"/>
      </c:legendEntry>
      <c:layout>
        <c:manualLayout>
          <c:xMode val="edge"/>
          <c:yMode val="edge"/>
          <c:x val="0.130695596681557"/>
          <c:y val="0.0334220152976388"/>
          <c:w val="0.771665603063179"/>
          <c:h val="0.0914532756900565"/>
        </c:manualLayout>
      </c:layout>
      <c:overlay val="0"/>
      <c:spPr>
        <a:noFill/>
        <a:ln>
          <a:noFill/>
        </a:ln>
        <a:effectLst/>
      </c:spPr>
      <c:txPr>
        <a:bodyPr rot="0" spcFirstLastPara="0" vertOverflow="ellipsis" vert="horz" wrap="square" anchor="ctr" anchorCtr="1"/>
        <a:lstStyle/>
        <a:p>
          <a:pPr>
            <a:defRPr lang="zh-CN" sz="1400" b="1"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9375"/>
          <c:y val="0.035"/>
        </c:manualLayout>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683.16</c:v>
                </c:pt>
                <c:pt idx="1">
                  <c:v>667.01</c:v>
                </c:pt>
              </c:numCache>
            </c:numRef>
          </c:val>
        </c:ser>
        <c:ser>
          <c:idx val="1"/>
          <c:order val="1"/>
          <c:tx>
            <c:strRef>
              <c:f>Sheet1!#REF!</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129419520"/>
        <c:axId val="133931008"/>
      </c:barChart>
      <c:catAx>
        <c:axId val="1294195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931008"/>
        <c:crosses val="autoZero"/>
        <c:auto val="1"/>
        <c:lblAlgn val="ctr"/>
        <c:lblOffset val="100"/>
        <c:noMultiLvlLbl val="0"/>
      </c:catAx>
      <c:valAx>
        <c:axId val="1339310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4195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住房保障支出</c:v>
                </c:pt>
              </c:strCache>
            </c:strRef>
          </c:cat>
          <c:val>
            <c:numRef>
              <c:f>Sheet1!$B$2:$B$5</c:f>
              <c:numCache>
                <c:formatCode>General</c:formatCode>
                <c:ptCount val="4"/>
                <c:pt idx="0">
                  <c:v>50</c:v>
                </c:pt>
                <c:pt idx="1">
                  <c:v>587.01</c:v>
                </c:pt>
                <c:pt idx="2">
                  <c:v>30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47C44F-1114-4770-8A04-4F7EA5849103}">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1599</Words>
  <Characters>9120</Characters>
  <Lines>76</Lines>
  <Paragraphs>21</Paragraphs>
  <TotalTime>64</TotalTime>
  <ScaleCrop>false</ScaleCrop>
  <LinksUpToDate>false</LinksUpToDate>
  <CharactersWithSpaces>10698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2020-09-17T08:58:00Z</cp:lastPrinted>
  <dcterms:modified xsi:type="dcterms:W3CDTF">2021-02-22T01:00:41Z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