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77" w:name="_GoBack"/>
      <w:bookmarkEnd w:id="77"/>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96597"/>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742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r>
        <w:rPr>
          <w:rFonts w:hint="eastAsia" w:eastAsia="方正小标宋简体" w:asciiTheme="minorHAnsi" w:hAnsiTheme="minorHAnsi"/>
          <w:color w:val="000000"/>
          <w:sz w:val="72"/>
          <w:szCs w:val="72"/>
        </w:rPr>
        <w:t>檀木镇</w:t>
      </w:r>
      <w:r>
        <w:rPr>
          <w:rFonts w:hint="eastAsia" w:ascii="方正小标宋简体" w:hAnsi="宋体" w:eastAsia="方正小标宋简体"/>
          <w:color w:val="000000"/>
          <w:sz w:val="72"/>
          <w:szCs w:val="72"/>
        </w:rPr>
        <w:t>卫生院部门决算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公开时间：2020年9月1</w:t>
      </w:r>
      <w:r>
        <w:rPr>
          <w:rFonts w:hint="eastAsia"/>
          <w:lang w:val="en-US" w:eastAsia="zh-CN"/>
        </w:rPr>
        <w:t>7</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19年度部门决算情况说明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23"/>
        <w:spacing w:line="580" w:lineRule="exact"/>
        <w:ind w:firstLineChars="150"/>
        <w:rPr>
          <w:rFonts w:ascii="黑体" w:hAnsi="黑体" w:eastAsia="黑体" w:cstheme="majorBidi"/>
          <w:bCs/>
          <w:sz w:val="32"/>
          <w:szCs w:val="32"/>
        </w:rPr>
      </w:pPr>
      <w:r>
        <w:rPr>
          <w:rFonts w:hint="eastAsia" w:ascii="仿宋" w:hAnsi="仿宋" w:eastAsia="仿宋"/>
          <w:sz w:val="28"/>
          <w:szCs w:val="28"/>
        </w:rPr>
        <w:t>十、</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 ......12</w:t>
      </w:r>
    </w:p>
    <w:p>
      <w:pPr>
        <w:rPr>
          <w:rFonts w:eastAsia="仿宋"/>
        </w:rPr>
      </w:pP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Style w:val="24"/>
          <w:rFonts w:ascii="黑体" w:hAnsi="黑体" w:eastAsia="黑体"/>
          <w:b w:val="0"/>
        </w:rPr>
      </w:pPr>
      <w:bookmarkStart w:id="12" w:name="_Toc15396599"/>
      <w:bookmarkStart w:id="13" w:name="_Toc15377196"/>
      <w:r>
        <w:rPr>
          <w:rFonts w:ascii="黑体" w:hAnsi="黑体" w:eastAsia="黑体"/>
          <w:b/>
        </w:rPr>
        <w:br w:type="page"/>
      </w:r>
      <w:bookmarkEnd w:id="12"/>
      <w:bookmarkEnd w:id="13"/>
    </w:p>
    <w:p>
      <w:pPr>
        <w:widowControl/>
        <w:jc w:val="left"/>
        <w:rPr>
          <w:rFonts w:ascii="黑体" w:eastAsia="黑体"/>
          <w:color w:val="000000"/>
          <w:sz w:val="32"/>
          <w:szCs w:val="32"/>
        </w:rPr>
      </w:pP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p>
    <w:p>
      <w:pPr>
        <w:widowControl/>
        <w:jc w:val="left"/>
        <w:rPr>
          <w:rFonts w:ascii="黑体" w:eastAsia="黑体"/>
          <w:color w:val="000000"/>
          <w:sz w:val="32"/>
          <w:szCs w:val="32"/>
        </w:rPr>
      </w:pPr>
    </w:p>
    <w:p>
      <w:pPr>
        <w:widowControl/>
        <w:jc w:val="left"/>
        <w:rPr>
          <w:rFonts w:ascii="黑体" w:eastAsia="黑体"/>
          <w:color w:val="000000"/>
          <w:sz w:val="32"/>
          <w:szCs w:val="32"/>
        </w:rPr>
      </w:pPr>
      <w:bookmarkStart w:id="14" w:name="_Toc15377204"/>
      <w:bookmarkStart w:id="15" w:name="_Toc15396602"/>
    </w:p>
    <w:p>
      <w:pPr>
        <w:pStyle w:val="3"/>
        <w:rPr>
          <w:rStyle w:val="25"/>
          <w:rFonts w:ascii="仿宋" w:hAnsi="仿宋" w:eastAsia="仿宋"/>
          <w:b w:val="0"/>
          <w:bCs w:val="0"/>
        </w:rPr>
      </w:pPr>
      <w:bookmarkStart w:id="16" w:name="_Toc15396600"/>
      <w:bookmarkStart w:id="17"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5"/>
      <w:bookmarkStart w:id="19" w:name="_Toc15377198"/>
      <w:r>
        <w:rPr>
          <w:rFonts w:hint="eastAsia" w:ascii="仿宋" w:hAnsi="仿宋" w:eastAsia="仿宋"/>
          <w:bCs/>
          <w:color w:val="000000"/>
          <w:sz w:val="32"/>
          <w:szCs w:val="32"/>
        </w:rPr>
        <w:t>（一）主要职能。</w:t>
      </w:r>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我院是一所基层卫生院，提供以预防保健、基本医疗、健康教育、计划生育、康复为主要内容的综合性服务，全面实施国家基本公共卫生服务和重大公共卫生服务项目，提高农民保健意识。受区卫</w:t>
      </w:r>
      <w:r>
        <w:rPr>
          <w:rFonts w:hint="eastAsia" w:ascii="仿宋_GB2312" w:eastAsia="仿宋_GB2312"/>
          <w:sz w:val="32"/>
          <w:szCs w:val="32"/>
          <w:lang w:eastAsia="zh-CN"/>
        </w:rPr>
        <w:t>健</w:t>
      </w:r>
      <w:r>
        <w:rPr>
          <w:rFonts w:hint="eastAsia" w:ascii="仿宋_GB2312" w:eastAsia="仿宋_GB2312"/>
          <w:sz w:val="32"/>
          <w:szCs w:val="32"/>
        </w:rPr>
        <w:t>局委托承担辖区内公共卫生管理，负责对村级卫生机构的技术指导和对乡村医生的培训。</w:t>
      </w:r>
    </w:p>
    <w:bookmarkEnd w:id="18"/>
    <w:bookmarkEnd w:id="19"/>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8446"/>
      <w:bookmarkStart w:id="21"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0"/>
      <w:bookmarkEnd w:id="21"/>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2019年达川区</w:t>
      </w:r>
      <w:r>
        <w:rPr>
          <w:rFonts w:hint="eastAsia" w:ascii="宋体" w:hAnsi="宋体" w:cs="宋体"/>
          <w:sz w:val="32"/>
          <w:szCs w:val="32"/>
        </w:rPr>
        <w:t>檀木镇</w:t>
      </w:r>
      <w:r>
        <w:rPr>
          <w:rFonts w:hint="eastAsia" w:ascii="仿宋_GB2312" w:eastAsia="仿宋_GB2312"/>
          <w:sz w:val="32"/>
          <w:szCs w:val="32"/>
        </w:rPr>
        <w:t>卫生院的卫生工作在镇党委、政府和区卫</w:t>
      </w:r>
      <w:r>
        <w:rPr>
          <w:rFonts w:hint="eastAsia" w:ascii="仿宋_GB2312" w:eastAsia="仿宋_GB2312"/>
          <w:sz w:val="32"/>
          <w:szCs w:val="32"/>
          <w:lang w:eastAsia="zh-CN"/>
        </w:rPr>
        <w:t>健</w:t>
      </w:r>
      <w:r>
        <w:rPr>
          <w:rFonts w:hint="eastAsia" w:ascii="仿宋_GB2312" w:eastAsia="仿宋_GB2312"/>
          <w:sz w:val="32"/>
          <w:szCs w:val="32"/>
        </w:rPr>
        <w:t>局领导下，</w:t>
      </w:r>
      <w:bookmarkStart w:id="22" w:name="OLE_LINK1"/>
      <w:r>
        <w:rPr>
          <w:rFonts w:hint="eastAsia" w:ascii="仿宋_GB2312" w:eastAsia="仿宋_GB2312"/>
          <w:sz w:val="32"/>
          <w:szCs w:val="32"/>
        </w:rPr>
        <w:t>坚持以“三个代表”重要思想为指导，认真贯彻落实党的十九大精神，强化“以病人为中心，以质量为核心”的服务理念，深入全面贯彻党的十九大精神、习近平新时代中国特色社会主义思想、习近平总书记对四川工作系列重要指示精神和省委十一届三次全会精神，落实市第四次党代会部署。深入开展“六个年”、“廉洁医院建设”活动。</w:t>
      </w:r>
      <w:bookmarkEnd w:id="22"/>
      <w:r>
        <w:rPr>
          <w:rFonts w:hint="eastAsia" w:ascii="仿宋_GB2312" w:eastAsia="仿宋_GB2312"/>
          <w:sz w:val="32"/>
          <w:szCs w:val="32"/>
        </w:rPr>
        <w:t>加强政治思想和医德医风教育，抓好医疗核心制度落实，严格医疗保险制度和基本公共卫生项目实施，努力做好辖区内疾病预防控制工作，严格执行药品网上采购“阳光采购”方案及基本药物制度和抗菌药物应用管理的规定。</w:t>
      </w:r>
    </w:p>
    <w:p>
      <w:pPr>
        <w:pStyle w:val="3"/>
        <w:rPr>
          <w:rStyle w:val="25"/>
          <w:b w:val="0"/>
          <w:bCs w:val="0"/>
        </w:rPr>
      </w:pPr>
      <w:bookmarkStart w:id="23" w:name="_Toc15396601"/>
      <w:bookmarkStart w:id="24"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3"/>
      <w:bookmarkEnd w:id="24"/>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檀木镇</w:t>
      </w:r>
      <w:r>
        <w:rPr>
          <w:rFonts w:hint="eastAsia" w:ascii="仿宋_GB2312" w:hAnsi="仿宋_GB2312" w:eastAsia="仿宋_GB2312" w:cs="仿宋_GB2312"/>
          <w:color w:val="000000"/>
          <w:sz w:val="32"/>
          <w:szCs w:val="32"/>
        </w:rPr>
        <w:t>卫生院为事业单位1个，内设院办、行政办公室、财务科、医保办、公共卫生科、医生门诊部、护理部、医技科室、中西药房、收费室、手术室等；</w:t>
      </w:r>
      <w:r>
        <w:rPr>
          <w:rFonts w:hint="eastAsia" w:ascii="仿宋_GB2312" w:hAnsi="仿宋" w:eastAsia="仿宋_GB2312"/>
          <w:sz w:val="32"/>
          <w:szCs w:val="32"/>
        </w:rPr>
        <w:t>年末实有人数26</w:t>
      </w:r>
      <w:r>
        <w:rPr>
          <w:rFonts w:hint="eastAsia" w:ascii="宋体" w:hAnsi="宋体" w:cs="宋体"/>
          <w:sz w:val="32"/>
          <w:szCs w:val="32"/>
        </w:rPr>
        <w:t>人</w:t>
      </w:r>
      <w:r>
        <w:rPr>
          <w:rFonts w:hint="eastAsia" w:ascii="仿宋_GB2312" w:hAnsi="仿宋" w:eastAsia="仿宋_GB2312"/>
          <w:sz w:val="32"/>
          <w:szCs w:val="32"/>
        </w:rPr>
        <w:t>、临聘13人，其中事业专技人员10人、事业工勤人员3人、临聘人员13人；退休人员9人。</w:t>
      </w:r>
    </w:p>
    <w:p>
      <w:pPr>
        <w:widowControl/>
        <w:jc w:val="left"/>
        <w:rPr>
          <w:rFonts w:ascii="仿宋" w:hAnsi="仿宋" w:eastAsia="仿宋"/>
          <w:color w:val="000000"/>
          <w:kern w:val="0"/>
          <w:sz w:val="32"/>
          <w:szCs w:val="32"/>
        </w:rPr>
      </w:pP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14"/>
      <w:bookmarkEnd w:id="15"/>
    </w:p>
    <w:p/>
    <w:p>
      <w:pPr>
        <w:pStyle w:val="23"/>
        <w:numPr>
          <w:ilvl w:val="0"/>
          <w:numId w:val="1"/>
        </w:numPr>
        <w:spacing w:line="600" w:lineRule="exact"/>
        <w:ind w:firstLineChars="0"/>
        <w:outlineLvl w:val="1"/>
        <w:rPr>
          <w:rStyle w:val="25"/>
          <w:rFonts w:ascii="黑体" w:hAnsi="黑体" w:eastAsia="黑体"/>
          <w:b w:val="0"/>
        </w:rPr>
      </w:pPr>
      <w:bookmarkStart w:id="25" w:name="_Toc15377205"/>
      <w:bookmarkStart w:id="26"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2019年度收、支总计801.16万元。与2018年相比，收、支总计599.02万元，各增加202.14万元，增加33.75</w:t>
      </w:r>
      <w:r>
        <w:rPr>
          <w:rFonts w:ascii="仿宋" w:hAnsi="仿宋" w:eastAsia="仿宋"/>
          <w:color w:val="000000"/>
          <w:sz w:val="32"/>
          <w:szCs w:val="32"/>
        </w:rPr>
        <w:t>%</w:t>
      </w:r>
      <w:r>
        <w:rPr>
          <w:rFonts w:hint="eastAsia" w:ascii="仿宋" w:hAnsi="仿宋" w:eastAsia="仿宋"/>
          <w:color w:val="000000"/>
          <w:sz w:val="32"/>
          <w:szCs w:val="32"/>
        </w:rPr>
        <w:t>。主要变动原因是本年度医疗收入增加，结转资金较上年增加。</w:t>
      </w:r>
    </w:p>
    <w:p>
      <w:pPr>
        <w:ind w:firstLine="640" w:firstLineChars="200"/>
        <w:rPr>
          <w:rFonts w:ascii="仿宋" w:hAnsi="仿宋" w:eastAsia="仿宋"/>
          <w:color w:val="000000"/>
          <w:sz w:val="32"/>
          <w:szCs w:val="32"/>
        </w:rPr>
      </w:pPr>
    </w:p>
    <w:p>
      <w:pPr>
        <w:rPr>
          <w:rFonts w:ascii="仿宋" w:hAnsi="仿宋" w:eastAsia="仿宋"/>
          <w:color w:val="000000"/>
          <w:sz w:val="32"/>
          <w:szCs w:val="32"/>
        </w:rPr>
      </w:pPr>
      <w: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p>
    <w:p>
      <w:pPr>
        <w:spacing w:line="600" w:lineRule="exact"/>
        <w:ind w:firstLine="1600" w:firstLineChars="5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7" w:name="_Toc15377206"/>
      <w:bookmarkStart w:id="28"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7"/>
      <w:bookmarkEnd w:id="28"/>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9年本年收入合计718.80万元，其中：一般公共预算财政拨款收入215.78万元，占30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；政府性基金预算财政拨款收入0万元；国有资本经营预算财政拨款收入0万元；事业收入503.02万元，占69.98</w:t>
      </w:r>
      <w:r>
        <w:rPr>
          <w:rFonts w:ascii="仿宋" w:hAnsi="仿宋" w:eastAsia="仿宋"/>
          <w:color w:val="000000"/>
          <w:sz w:val="32"/>
          <w:szCs w:val="32"/>
        </w:rPr>
        <w:t>%</w:t>
      </w:r>
      <w:r>
        <w:rPr>
          <w:rFonts w:hint="eastAsia" w:ascii="仿宋" w:hAnsi="仿宋" w:eastAsia="仿宋"/>
          <w:color w:val="000000"/>
          <w:sz w:val="32"/>
          <w:szCs w:val="32"/>
        </w:rPr>
        <w:t>；经营收入0万元；附属单位上缴收入0万元；其他收入0万元。</w:t>
      </w:r>
    </w:p>
    <w:p>
      <w:pPr>
        <w:spacing w:line="600" w:lineRule="exact"/>
        <w:outlineLvl w:val="1"/>
        <w:rPr>
          <w:rFonts w:ascii="仿宋" w:hAnsi="仿宋" w:eastAsia="仿宋"/>
          <w:color w:val="000000"/>
          <w:sz w:val="32"/>
          <w:szCs w:val="32"/>
        </w:rPr>
      </w:pPr>
    </w:p>
    <w:p>
      <w:pPr>
        <w:ind w:firstLine="420" w:firstLineChars="200"/>
        <w:outlineLvl w:val="1"/>
        <w:rPr>
          <w:rFonts w:ascii="仿宋" w:hAnsi="仿宋" w:eastAsia="仿宋"/>
          <w:color w:val="000000"/>
          <w:sz w:val="32"/>
          <w:szCs w:val="32"/>
        </w:rPr>
      </w:pPr>
      <w: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pPr>
        <w:spacing w:line="600" w:lineRule="exact"/>
        <w:ind w:firstLine="2240" w:firstLineChars="700"/>
        <w:rPr>
          <w:rFonts w:ascii="仿宋_GB2312" w:eastAsia="仿宋_GB2312"/>
          <w:color w:val="FF0000"/>
          <w:sz w:val="32"/>
          <w:szCs w:val="32"/>
        </w:rPr>
      </w:pPr>
      <w:r>
        <w:rPr>
          <w:rFonts w:hint="eastAsia" w:ascii="仿宋" w:hAnsi="仿宋" w:eastAsia="仿宋"/>
          <w:color w:val="000000" w:themeColor="text1"/>
          <w:sz w:val="32"/>
          <w:szCs w:val="32"/>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29" w:name="_Toc15396605"/>
      <w:bookmarkStart w:id="30"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9"/>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9年本年支出合计696.05万元，其中：基本支出556.41万元，占79.93</w:t>
      </w:r>
      <w:r>
        <w:rPr>
          <w:rFonts w:ascii="仿宋" w:hAnsi="仿宋" w:eastAsia="仿宋"/>
          <w:color w:val="000000"/>
          <w:sz w:val="32"/>
          <w:szCs w:val="32"/>
        </w:rPr>
        <w:t>%</w:t>
      </w:r>
      <w:r>
        <w:rPr>
          <w:rFonts w:hint="eastAsia" w:ascii="仿宋" w:hAnsi="仿宋" w:eastAsia="仿宋"/>
          <w:color w:val="000000"/>
          <w:sz w:val="32"/>
          <w:szCs w:val="32"/>
        </w:rPr>
        <w:t>；项目支出139.64万元，占20.06</w:t>
      </w:r>
      <w:r>
        <w:rPr>
          <w:rFonts w:ascii="仿宋" w:hAnsi="仿宋" w:eastAsia="仿宋"/>
          <w:color w:val="000000"/>
          <w:sz w:val="32"/>
          <w:szCs w:val="32"/>
        </w:rPr>
        <w:t>%</w:t>
      </w:r>
      <w:r>
        <w:rPr>
          <w:rFonts w:hint="eastAsia" w:ascii="仿宋" w:hAnsi="仿宋" w:eastAsia="仿宋"/>
          <w:color w:val="000000"/>
          <w:sz w:val="32"/>
          <w:szCs w:val="32"/>
        </w:rPr>
        <w:t>；上缴上级支出0万元；经营支出0万元；对附属单位补助支出0万元。</w:t>
      </w:r>
    </w:p>
    <w:p>
      <w:pPr>
        <w:ind w:firstLine="640"/>
        <w:rPr>
          <w:rFonts w:ascii="仿宋" w:hAnsi="仿宋" w:eastAsia="仿宋"/>
          <w:color w:val="000000"/>
          <w:sz w:val="32"/>
          <w:szCs w:val="32"/>
        </w:rPr>
      </w:pPr>
      <w:r>
        <w:drawing>
          <wp:inline distT="0" distB="0" distL="0" distR="0">
            <wp:extent cx="4572000" cy="2743200"/>
            <wp:effectExtent l="19050" t="0" r="1905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pPr>
        <w:spacing w:line="600" w:lineRule="exact"/>
        <w:ind w:firstLine="2240" w:firstLineChars="7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1" w:name="_Toc15396606"/>
      <w:bookmarkStart w:id="32"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1"/>
      <w:bookmarkEnd w:id="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9年财政拨款收、支总计298.14万元。与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8年相比，财政拨款收、支总计各减少13.83万元，减少4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预算变化、年末结转增加</w:t>
      </w:r>
      <w:r>
        <w:rPr>
          <w:rFonts w:hint="eastAsia" w:ascii="仿宋" w:hAnsi="仿宋" w:eastAsia="仿宋"/>
          <w:color w:val="000000"/>
          <w:sz w:val="32"/>
          <w:szCs w:val="32"/>
          <w:lang w:eastAsia="en-US"/>
        </w:rPr>
        <w:t>。</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83840" behindDoc="0" locked="0" layoutInCell="1" allowOverlap="1">
            <wp:simplePos x="0" y="0"/>
            <wp:positionH relativeFrom="column">
              <wp:posOffset>142875</wp:posOffset>
            </wp:positionH>
            <wp:positionV relativeFrom="paragraph">
              <wp:posOffset>-809625</wp:posOffset>
            </wp:positionV>
            <wp:extent cx="4572000" cy="2743200"/>
            <wp:effectExtent l="19050" t="0" r="19050" b="0"/>
            <wp:wrapNone/>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800" w:firstLineChars="25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800" w:firstLineChars="250"/>
        <w:outlineLvl w:val="1"/>
        <w:rPr>
          <w:rStyle w:val="25"/>
          <w:rFonts w:ascii="黑体" w:hAnsi="黑体" w:eastAsia="黑体"/>
          <w:b w:val="0"/>
        </w:rPr>
      </w:pPr>
      <w:bookmarkStart w:id="33" w:name="_Toc15377209"/>
      <w:bookmarkStart w:id="3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9年一般公共预算财政拨款支出193.03万元，占本年支出合计的34.68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8年相比，一般公共预算财政拨减少36.58万元，减少15.93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年末结转增加</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84864" behindDoc="0" locked="0" layoutInCell="1" allowOverlap="1">
            <wp:simplePos x="0" y="0"/>
            <wp:positionH relativeFrom="column">
              <wp:posOffset>333375</wp:posOffset>
            </wp:positionH>
            <wp:positionV relativeFrom="paragraph">
              <wp:posOffset>247650</wp:posOffset>
            </wp:positionV>
            <wp:extent cx="4572000" cy="2743200"/>
            <wp:effectExtent l="19050" t="0" r="19050" b="0"/>
            <wp:wrapNone/>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ascii="仿宋" w:hAnsi="仿宋" w:eastAsia="仿宋"/>
          <w:color w:val="000000"/>
          <w:sz w:val="32"/>
          <w:szCs w:val="32"/>
        </w:rPr>
        <w:t xml:space="preserve">  </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政拨款支出193.03万元，主要用于以下方面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支出115.11万元；</w:t>
      </w:r>
      <w:r>
        <w:rPr>
          <w:rFonts w:hint="eastAsia" w:ascii="仿宋" w:hAnsi="仿宋" w:eastAsia="仿宋"/>
          <w:b/>
          <w:color w:val="000000" w:themeColor="text1"/>
          <w:sz w:val="32"/>
          <w:szCs w:val="32"/>
        </w:rPr>
        <w:t>教育支出（类）0</w:t>
      </w:r>
      <w:r>
        <w:rPr>
          <w:rFonts w:hint="eastAsia" w:ascii="仿宋" w:hAnsi="仿宋" w:eastAsia="仿宋"/>
          <w:color w:val="000000" w:themeColor="text1"/>
          <w:sz w:val="32"/>
          <w:szCs w:val="32"/>
        </w:rPr>
        <w:t>万元；</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支出12.68万元，占6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卫生健康支出（类）</w:t>
      </w:r>
      <w:r>
        <w:rPr>
          <w:rFonts w:hint="eastAsia" w:ascii="仿宋" w:hAnsi="仿宋" w:eastAsia="仿宋"/>
          <w:color w:val="000000" w:themeColor="text1"/>
          <w:sz w:val="32"/>
          <w:szCs w:val="32"/>
        </w:rPr>
        <w:t>170.84万元，占88.50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住房保障支出（类）</w:t>
      </w:r>
      <w:r>
        <w:rPr>
          <w:rFonts w:hint="eastAsia" w:ascii="仿宋" w:hAnsi="仿宋" w:eastAsia="仿宋"/>
          <w:color w:val="000000" w:themeColor="text1"/>
          <w:sz w:val="32"/>
          <w:szCs w:val="32"/>
        </w:rPr>
        <w:t>9.51万元，占4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85888" behindDoc="0" locked="0" layoutInCell="1" allowOverlap="1">
            <wp:simplePos x="0" y="0"/>
            <wp:positionH relativeFrom="column">
              <wp:posOffset>504825</wp:posOffset>
            </wp:positionH>
            <wp:positionV relativeFrom="paragraph">
              <wp:posOffset>295275</wp:posOffset>
            </wp:positionV>
            <wp:extent cx="4572000" cy="2438400"/>
            <wp:effectExtent l="19050" t="0" r="19050" b="0"/>
            <wp:wrapNone/>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r>
        <w:rPr>
          <w:rFonts w:ascii="仿宋" w:hAnsi="仿宋" w:eastAsia="仿宋"/>
          <w:color w:val="000000" w:themeColor="text1"/>
          <w:sz w:val="32"/>
          <w:szCs w:val="32"/>
        </w:rPr>
        <w:t xml:space="preserve"> </w:t>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960" w:firstLineChars="300"/>
        <w:rPr>
          <w:rFonts w:ascii="仿宋" w:hAnsi="仿宋" w:eastAsia="仿宋"/>
          <w:color w:val="000000"/>
          <w:sz w:val="32"/>
          <w:szCs w:val="32"/>
        </w:rPr>
      </w:pPr>
    </w:p>
    <w:p>
      <w:pPr>
        <w:tabs>
          <w:tab w:val="left" w:pos="4810"/>
        </w:tabs>
        <w:spacing w:line="600" w:lineRule="exact"/>
        <w:ind w:firstLine="960" w:firstLineChars="3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w:t>
      </w:r>
      <w:r>
        <w:rPr>
          <w:rFonts w:ascii="仿宋" w:hAnsi="仿宋" w:eastAsia="仿宋"/>
          <w:color w:val="000000"/>
          <w:sz w:val="32"/>
          <w:szCs w:val="32"/>
        </w:rPr>
        <w:tab/>
      </w: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Style w:val="14"/>
          <w:rFonts w:ascii="仿宋" w:hAnsi="仿宋" w:eastAsia="仿宋"/>
          <w:bCs/>
          <w:color w:val="000000"/>
          <w:sz w:val="32"/>
          <w:szCs w:val="32"/>
        </w:rPr>
      </w:pPr>
      <w:bookmarkStart w:id="38" w:name="_Toc15377213"/>
      <w:bookmarkStart w:id="39" w:name="_Toc15377444"/>
      <w:bookmarkStart w:id="40" w:name="_Toc15378460"/>
      <w:r>
        <w:rPr>
          <w:rFonts w:hint="eastAsia" w:ascii="仿宋" w:hAnsi="仿宋" w:eastAsia="仿宋"/>
          <w:b/>
          <w:color w:val="000000" w:themeColor="text1"/>
          <w:sz w:val="32"/>
          <w:szCs w:val="32"/>
        </w:rPr>
        <w:t>2019年一般公共预算支出决算数为193.03万元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预算75.10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bookmarkEnd w:id="38"/>
      <w:bookmarkEnd w:id="39"/>
      <w:bookmarkEnd w:id="40"/>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1.社会保障和就业（208）行政事业单位离退休（20805）机关事业单位基本养老保险缴费支出（2080505）:</w:t>
      </w:r>
      <w:r>
        <w:rPr>
          <w:rFonts w:hint="eastAsia" w:ascii="仿宋_GB2312" w:eastAsia="仿宋_GB2312"/>
          <w:color w:val="000000"/>
          <w:sz w:val="32"/>
          <w:szCs w:val="32"/>
        </w:rPr>
        <w:t>支出决算为数12.67万元，完成预算100%。</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-基层医疗卫生机构(21003</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 乡镇卫生院(2100302):</w:t>
      </w:r>
      <w:r>
        <w:rPr>
          <w:rFonts w:hint="eastAsia" w:ascii="仿宋_GB2312" w:eastAsia="仿宋_GB2312"/>
          <w:color w:val="000000"/>
          <w:sz w:val="32"/>
          <w:szCs w:val="32"/>
        </w:rPr>
        <w:t>支出决算数为25.82万元，完成预算</w:t>
      </w:r>
      <w:r>
        <w:rPr>
          <w:rFonts w:hint="eastAsia" w:ascii="仿宋_GB2312" w:eastAsia="仿宋_GB2312"/>
          <w:color w:val="000000"/>
          <w:sz w:val="32"/>
          <w:szCs w:val="32"/>
          <w:lang w:val="en-US" w:eastAsia="zh-CN"/>
        </w:rPr>
        <w:t>52.55</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支算数小于预算数的原因系年末结转增加</w:t>
      </w:r>
      <w:r>
        <w:rPr>
          <w:rFonts w:hint="eastAsia" w:ascii="仿宋_GB2312" w:eastAsia="仿宋_GB2312"/>
          <w:color w:val="000000"/>
          <w:sz w:val="32"/>
          <w:szCs w:val="32"/>
        </w:rPr>
        <w:t>。</w:t>
      </w:r>
    </w:p>
    <w:p>
      <w:pPr>
        <w:ind w:firstLine="630"/>
        <w:rPr>
          <w:rFonts w:ascii="仿宋_GB2312" w:eastAsia="仿宋_GB2312"/>
          <w:color w:val="000000"/>
          <w:sz w:val="32"/>
          <w:szCs w:val="32"/>
        </w:rPr>
      </w:pPr>
      <w:r>
        <w:rPr>
          <w:rStyle w:val="14"/>
          <w:rFonts w:hint="eastAsia" w:ascii="仿宋_GB2312" w:eastAsia="仿宋_GB2312"/>
          <w:color w:val="000000"/>
          <w:sz w:val="32"/>
          <w:szCs w:val="32"/>
        </w:rPr>
        <w:t>3.</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rPr>
        <w:t>(210)基层医疗卫生机构（21003）其他基层医疗卫生机构支出（2100399）：</w:t>
      </w:r>
      <w:r>
        <w:rPr>
          <w:rFonts w:hint="eastAsia" w:ascii="仿宋_GB2312" w:eastAsia="仿宋_GB2312"/>
          <w:color w:val="000000"/>
          <w:sz w:val="32"/>
          <w:szCs w:val="32"/>
        </w:rPr>
        <w:t>支出决算数为24.53万元，完成预算数100%。</w:t>
      </w:r>
    </w:p>
    <w:p>
      <w:pPr>
        <w:ind w:firstLine="630"/>
        <w:rPr>
          <w:rFonts w:ascii="仿宋_GB2312" w:eastAsia="仿宋_GB2312"/>
          <w:color w:val="000000"/>
          <w:sz w:val="32"/>
          <w:szCs w:val="32"/>
        </w:rPr>
      </w:pPr>
      <w:r>
        <w:rPr>
          <w:rFonts w:hint="eastAsia" w:ascii="仿宋_GB2312" w:eastAsia="仿宋_GB2312"/>
          <w:color w:val="000000"/>
          <w:sz w:val="32"/>
          <w:szCs w:val="32"/>
        </w:rPr>
        <w:t>4.</w:t>
      </w:r>
      <w:r>
        <w:rPr>
          <w:rStyle w:val="14"/>
          <w:rFonts w:hint="eastAsia" w:ascii="仿宋_GB2312" w:eastAsia="仿宋_GB2312"/>
          <w:color w:val="000000"/>
          <w:sz w:val="32"/>
          <w:szCs w:val="32"/>
        </w:rPr>
        <w:t xml:space="preserve"> </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rPr>
        <w:t>(210)公共卫生（21004）基本公共卫生服务（2100408）：</w:t>
      </w:r>
      <w:r>
        <w:rPr>
          <w:rFonts w:hint="eastAsia" w:ascii="仿宋_GB2312" w:eastAsia="仿宋_GB2312"/>
          <w:color w:val="000000"/>
          <w:sz w:val="32"/>
          <w:szCs w:val="32"/>
        </w:rPr>
        <w:t>支出决算数为115.11万元，完成预算数100%。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5.住房保障支出(221)-住房改革支出(22102)- 住房公积金(2210201):</w:t>
      </w:r>
      <w:r>
        <w:rPr>
          <w:rFonts w:hint="eastAsia" w:ascii="仿宋_GB2312" w:eastAsia="仿宋_GB2312"/>
          <w:color w:val="000000"/>
          <w:sz w:val="32"/>
          <w:szCs w:val="32"/>
        </w:rPr>
        <w:t>支出决算数为9.51万元，完成预算100%。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6.</w:t>
      </w:r>
      <w:r>
        <w:rPr>
          <w:rStyle w:val="14"/>
          <w:rFonts w:hint="eastAsia" w:ascii="仿宋_GB2312" w:eastAsia="仿宋_GB2312"/>
          <w:color w:val="000000"/>
          <w:sz w:val="32"/>
          <w:szCs w:val="32"/>
          <w:lang w:eastAsia="zh-CN"/>
        </w:rPr>
        <w:t>卫生健康支出</w:t>
      </w:r>
      <w:r>
        <w:rPr>
          <w:rStyle w:val="14"/>
          <w:rFonts w:hint="eastAsia" w:ascii="仿宋_GB2312" w:eastAsia="仿宋_GB2312"/>
          <w:color w:val="000000"/>
          <w:sz w:val="32"/>
          <w:szCs w:val="32"/>
        </w:rPr>
        <w:t>(210)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-医疗保障(21005)- 事业单位医疗(2100502):</w:t>
      </w:r>
      <w:r>
        <w:rPr>
          <w:rFonts w:hint="eastAsia" w:ascii="仿宋_GB2312" w:eastAsia="仿宋_GB2312"/>
          <w:color w:val="000000"/>
          <w:sz w:val="32"/>
          <w:szCs w:val="32"/>
        </w:rPr>
        <w:t>支出决算数为5.39万元，完成预算100%。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7.社会保障和就业（208）行政事业单位离退休（20805）  机关事业单位职业年金缴费支出（2080506）:</w:t>
      </w:r>
      <w:r>
        <w:rPr>
          <w:rFonts w:hint="eastAsia" w:ascii="仿宋_GB2312" w:eastAsia="仿宋_GB2312"/>
          <w:color w:val="000000"/>
          <w:sz w:val="32"/>
          <w:szCs w:val="32"/>
        </w:rPr>
        <w:t>支出决算数为6.51万元，完成预算100%。</w:t>
      </w:r>
    </w:p>
    <w:p>
      <w:pPr>
        <w:tabs>
          <w:tab w:val="right" w:pos="8306"/>
        </w:tabs>
        <w:spacing w:line="600" w:lineRule="exact"/>
        <w:ind w:firstLine="640"/>
        <w:outlineLvl w:val="1"/>
        <w:rPr>
          <w:rStyle w:val="25"/>
        </w:rPr>
      </w:pPr>
      <w:bookmarkStart w:id="41" w:name="_Toc15396608"/>
      <w:bookmarkStart w:id="42"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1"/>
      <w:bookmarkEnd w:id="42"/>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9年一般公共预算财政拨款基本支出53.4万元，其中：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48.4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3" w:name="_Toc15396609"/>
      <w:bookmarkStart w:id="44"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spacing w:line="600" w:lineRule="exact"/>
        <w:ind w:firstLine="640"/>
        <w:outlineLvl w:val="1"/>
        <w:rPr>
          <w:rStyle w:val="25"/>
          <w:rFonts w:ascii="黑体" w:hAnsi="黑体" w:eastAsia="黑体"/>
        </w:rPr>
      </w:pPr>
      <w:bookmarkStart w:id="47" w:name="_Toc15377218"/>
      <w:bookmarkStart w:id="48"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numPr>
          <w:ilvl w:val="0"/>
          <w:numId w:val="2"/>
        </w:numPr>
        <w:spacing w:line="600" w:lineRule="exact"/>
        <w:ind w:firstLine="640"/>
        <w:outlineLvl w:val="1"/>
        <w:rPr>
          <w:rStyle w:val="25"/>
          <w:rFonts w:ascii="黑体" w:hAnsi="黑体" w:eastAsia="黑体"/>
          <w:b w:val="0"/>
        </w:rPr>
      </w:pPr>
      <w:bookmarkStart w:id="49" w:name="_Toc15377219"/>
      <w:bookmarkStart w:id="50" w:name="_Toc15396611"/>
      <w:r>
        <w:rPr>
          <w:rStyle w:val="25"/>
          <w:rFonts w:hint="eastAsia" w:ascii="黑体" w:hAnsi="黑体" w:eastAsia="黑体"/>
          <w:b w:val="0"/>
        </w:rPr>
        <w:t>国有资本经营预算支出决算情况说明</w:t>
      </w:r>
      <w:bookmarkEnd w:id="49"/>
      <w:bookmarkEnd w:id="50"/>
    </w:p>
    <w:p>
      <w:pPr>
        <w:spacing w:line="600" w:lineRule="exact"/>
        <w:outlineLvl w:val="1"/>
        <w:rPr>
          <w:rStyle w:val="25"/>
          <w:rFonts w:ascii="黑体" w:hAnsi="黑体" w:eastAsia="黑体"/>
          <w:b w:val="0"/>
        </w:rPr>
      </w:pPr>
      <w:r>
        <w:rPr>
          <w:rStyle w:val="25"/>
          <w:rFonts w:hint="eastAsia" w:ascii="黑体" w:hAnsi="黑体" w:eastAsia="黑体"/>
          <w:b w:val="0"/>
        </w:rPr>
        <w:t xml:space="preserve">    无</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本单位在2019年度部门决算中反映“基本公共卫生服务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24.53万元，执行数为24.53万元，完成预算的100%。通过项目实施，保障了2019年我院基本药物采购资金的保障，发现的主要问题：对专项项目推进工作重视度有待加强，对。下一步改进措施：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115.11万元，执行数为115.11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基本药物补助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达州市达川区檀木镇卫生院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完成2019年基本药物资金补助24.53万元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完成2019年基本药物资金补助24.53万元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达到87%以上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达州市达川区檀木镇卫生院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115.11万元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115.11万元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115.11万元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115.11万元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完成2019年基本公共卫生服务115.11万元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完成2019年基本公共卫生服务115.11万元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完成2019年基本公共卫生服115.11万元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达到91%以上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达到82%以上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Style w:val="25"/>
          <w:rFonts w:ascii="黑体" w:hAnsi="黑体" w:eastAsia="黑体"/>
          <w:b w:val="0"/>
        </w:rPr>
      </w:pPr>
      <w:r>
        <w:rPr>
          <w:rFonts w:hint="eastAsia" w:ascii="仿宋_GB2312" w:hAnsi="仿宋_GB2312" w:eastAsia="仿宋_GB2312" w:cs="仿宋_GB2312"/>
          <w:sz w:val="32"/>
          <w:szCs w:val="32"/>
        </w:rPr>
        <w:t>本部门按要求对2019年部门整体支出绩效评价情况开展自评，《四川省达州市达川区檀木镇卫生院2019年部门整体支出绩效评价报告》见附件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《国家基本公共卫生服务、基层医疗卫生机构实施国家基本药物制度和综合改革项目201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年绩效</w:t>
      </w:r>
      <w:r>
        <w:rPr>
          <w:rFonts w:hint="eastAsia" w:ascii="仿宋_GB2312" w:hAnsi="仿宋_GB2312" w:eastAsia="仿宋_GB2312" w:cs="仿宋_GB2312"/>
          <w:sz w:val="32"/>
          <w:szCs w:val="32"/>
        </w:rPr>
        <w:t>评价报告》见</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w:t>
      </w:r>
    </w:p>
    <w:p>
      <w:pPr>
        <w:spacing w:line="600" w:lineRule="exact"/>
        <w:ind w:firstLine="640" w:firstLineChars="200"/>
        <w:outlineLvl w:val="1"/>
        <w:rPr>
          <w:rStyle w:val="25"/>
          <w:rFonts w:ascii="黑体" w:hAnsi="黑体" w:eastAsia="黑体"/>
        </w:rPr>
      </w:pPr>
      <w:bookmarkStart w:id="51" w:name="_Toc15377221"/>
      <w:bookmarkStart w:id="52"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b/>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9年，达州市达川区檀木镇卫生院政府采购支出总额0万元，其中：政府采购货物支出0万元、政府采购工程支出0万元、政府采购服务支出0万元。</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4"/>
      <w:r>
        <w:rPr>
          <w:rFonts w:hint="eastAsia" w:ascii="仿宋" w:hAnsi="仿宋" w:eastAsia="仿宋"/>
          <w:b/>
          <w:color w:val="000000"/>
          <w:sz w:val="32"/>
          <w:szCs w:val="32"/>
        </w:rPr>
        <w:t>国有资产占有使用情况</w:t>
      </w:r>
      <w:bookmarkEnd w:id="55"/>
    </w:p>
    <w:p>
      <w:pPr>
        <w:spacing w:line="600" w:lineRule="exact"/>
        <w:ind w:firstLine="645"/>
        <w:rPr>
          <w:rFonts w:eastAsia="仿宋_GB2312"/>
          <w:color w:val="000000"/>
          <w:kern w:val="0"/>
          <w:sz w:val="32"/>
          <w:szCs w:val="32"/>
        </w:rPr>
      </w:pPr>
      <w:r>
        <w:rPr>
          <w:rFonts w:hint="eastAsia" w:ascii="仿宋" w:hAnsi="仿宋" w:eastAsia="仿宋"/>
          <w:b/>
          <w:color w:val="000000"/>
          <w:sz w:val="32"/>
          <w:szCs w:val="32"/>
        </w:rPr>
        <w:t xml:space="preserve"> </w:t>
      </w:r>
      <w:r>
        <w:rPr>
          <w:rFonts w:eastAsia="仿宋_GB2312"/>
          <w:color w:val="000000"/>
          <w:kern w:val="0"/>
          <w:sz w:val="32"/>
          <w:szCs w:val="32"/>
        </w:rPr>
        <w:t>截至201</w:t>
      </w:r>
      <w:r>
        <w:rPr>
          <w:rFonts w:hint="eastAsia" w:eastAsia="仿宋_GB2312"/>
          <w:color w:val="000000"/>
          <w:kern w:val="0"/>
          <w:sz w:val="32"/>
          <w:szCs w:val="32"/>
        </w:rPr>
        <w:t>9</w:t>
      </w:r>
      <w:r>
        <w:rPr>
          <w:rFonts w:eastAsia="仿宋_GB2312"/>
          <w:color w:val="000000"/>
          <w:kern w:val="0"/>
          <w:sz w:val="32"/>
          <w:szCs w:val="32"/>
        </w:rPr>
        <w:t>年12月31日，达州市达川区</w:t>
      </w:r>
      <w:r>
        <w:rPr>
          <w:rFonts w:hint="eastAsia" w:eastAsia="仿宋_GB2312"/>
          <w:color w:val="000000"/>
          <w:kern w:val="0"/>
          <w:sz w:val="32"/>
          <w:szCs w:val="32"/>
        </w:rPr>
        <w:t>檀木镇</w:t>
      </w:r>
      <w:r>
        <w:rPr>
          <w:rFonts w:eastAsia="仿宋_GB2312"/>
          <w:color w:val="000000"/>
          <w:kern w:val="0"/>
          <w:sz w:val="32"/>
          <w:szCs w:val="32"/>
        </w:rPr>
        <w:t>卫生院共有车辆1辆，其中：特种专业技术用车1辆（救护车1</w:t>
      </w:r>
      <w:r>
        <w:rPr>
          <w:rFonts w:hint="eastAsia" w:eastAsia="仿宋_GB2312"/>
          <w:color w:val="000000"/>
          <w:kern w:val="0"/>
          <w:sz w:val="32"/>
          <w:szCs w:val="32"/>
        </w:rPr>
        <w:t>辆</w:t>
      </w:r>
      <w:r>
        <w:rPr>
          <w:rFonts w:eastAsia="仿宋_GB2312"/>
          <w:color w:val="000000"/>
          <w:kern w:val="0"/>
          <w:sz w:val="32"/>
          <w:szCs w:val="32"/>
        </w:rPr>
        <w:t>）；。</w:t>
      </w:r>
    </w:p>
    <w:p>
      <w:pPr>
        <w:autoSpaceDE w:val="0"/>
        <w:autoSpaceDN w:val="0"/>
        <w:adjustRightInd w:val="0"/>
        <w:spacing w:line="600" w:lineRule="exact"/>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6" w:name="_Toc15396613"/>
      <w:bookmarkStart w:id="57"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6"/>
      <w:bookmarkEnd w:id="57"/>
    </w:p>
    <w:p>
      <w:pPr>
        <w:spacing w:line="600" w:lineRule="exact"/>
        <w:outlineLvl w:val="0"/>
        <w:rPr>
          <w:rStyle w:val="24"/>
          <w:rFonts w:ascii="黑体" w:hAnsi="黑体" w:eastAsia="黑体"/>
          <w:b w:val="0"/>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784" w:firstLineChars="245"/>
        <w:rPr>
          <w:rFonts w:ascii="仿宋_GB2312" w:eastAsia="仿宋_GB2312" w:cs="Arial"/>
          <w:color w:val="000000"/>
          <w:sz w:val="32"/>
          <w:szCs w:val="32"/>
        </w:rPr>
      </w:pPr>
      <w:r>
        <w:rPr>
          <w:rFonts w:hint="eastAsia" w:ascii="仿宋_GB2312" w:eastAsia="仿宋_GB2312"/>
          <w:color w:val="000000"/>
          <w:sz w:val="32"/>
          <w:szCs w:val="32"/>
        </w:rPr>
        <w:t>9.社会保障和就业（208）</w:t>
      </w:r>
      <w:r>
        <w:rPr>
          <w:rFonts w:hint="eastAsia" w:ascii="仿宋_GB2312" w:eastAsia="仿宋_GB2312" w:cs="Arial"/>
          <w:color w:val="000000"/>
          <w:sz w:val="32"/>
          <w:szCs w:val="32"/>
        </w:rPr>
        <w:t>行政事业单位离退休（05</w:t>
      </w:r>
      <w:r>
        <w:rPr>
          <w:rFonts w:hint="eastAsia" w:cs="Arial"/>
          <w:color w:val="000000"/>
          <w:sz w:val="32"/>
          <w:szCs w:val="32"/>
        </w:rPr>
        <w:t>）</w:t>
      </w:r>
      <w:r>
        <w:rPr>
          <w:rFonts w:hint="eastAsia" w:cs="Arial"/>
          <w:color w:val="000000"/>
          <w:sz w:val="22"/>
          <w:szCs w:val="22"/>
        </w:rPr>
        <w:t xml:space="preserve"> </w:t>
      </w:r>
      <w:r>
        <w:rPr>
          <w:rFonts w:hint="eastAsia" w:ascii="仿宋_GB2312" w:eastAsia="仿宋_GB2312" w:cs="Arial"/>
          <w:color w:val="000000"/>
          <w:sz w:val="32"/>
          <w:szCs w:val="32"/>
        </w:rPr>
        <w:t xml:space="preserve"> 机关事业单位基本养老保险缴费支出（05）</w:t>
      </w:r>
      <w:r>
        <w:rPr>
          <w:rFonts w:hint="eastAsia" w:ascii="仿宋_GB2312" w:eastAsia="仿宋_GB2312"/>
          <w:color w:val="000000"/>
          <w:sz w:val="32"/>
          <w:szCs w:val="32"/>
        </w:rPr>
        <w:t>：反映机构事业单位实施养老保险制度由单位缴纳的基本养老保险</w:t>
      </w:r>
      <w:r>
        <w:rPr>
          <w:rFonts w:hint="eastAsia" w:ascii="仿宋_GB2312" w:eastAsia="仿宋_GB2312" w:cs="Arial"/>
          <w:color w:val="000000"/>
          <w:sz w:val="32"/>
          <w:szCs w:val="32"/>
        </w:rPr>
        <w:t>支出；</w:t>
      </w:r>
    </w:p>
    <w:p>
      <w:pPr>
        <w:ind w:firstLine="784" w:firstLineChars="245"/>
        <w:rPr>
          <w:rFonts w:ascii="仿宋_GB2312" w:eastAsia="仿宋_GB2312"/>
          <w:b w:val="0"/>
          <w:bCs/>
          <w:color w:val="000000"/>
          <w:sz w:val="32"/>
          <w:szCs w:val="32"/>
        </w:rPr>
      </w:pPr>
      <w:r>
        <w:rPr>
          <w:rStyle w:val="14"/>
          <w:rFonts w:hint="eastAsia" w:ascii="仿宋_GB2312" w:eastAsia="仿宋_GB2312"/>
          <w:b w:val="0"/>
          <w:color w:val="000000"/>
          <w:sz w:val="32"/>
          <w:szCs w:val="32"/>
        </w:rPr>
        <w:t>10.</w:t>
      </w:r>
      <w:r>
        <w:rPr>
          <w:rStyle w:val="14"/>
          <w:rFonts w:hint="eastAsia" w:ascii="仿宋_GB2312" w:eastAsia="仿宋_GB2312"/>
          <w:b w:val="0"/>
          <w:bCs/>
          <w:color w:val="000000"/>
          <w:sz w:val="32"/>
          <w:szCs w:val="32"/>
          <w:lang w:eastAsia="zh-CN"/>
        </w:rPr>
        <w:t>卫生健康支出</w:t>
      </w:r>
      <w:r>
        <w:rPr>
          <w:rStyle w:val="14"/>
          <w:rFonts w:hint="eastAsia" w:ascii="仿宋_GB2312" w:eastAsia="仿宋_GB2312"/>
          <w:b w:val="0"/>
          <w:bCs/>
          <w:color w:val="000000"/>
          <w:sz w:val="32"/>
          <w:szCs w:val="32"/>
        </w:rPr>
        <w:t>(210)基层医疗卫生机构（03）</w:t>
      </w:r>
      <w:r>
        <w:rPr>
          <w:rFonts w:hint="eastAsia" w:ascii="仿宋_GB2312" w:eastAsia="仿宋_GB2312" w:cs="Arial"/>
          <w:b w:val="0"/>
          <w:bCs/>
          <w:color w:val="000000"/>
          <w:sz w:val="32"/>
          <w:szCs w:val="32"/>
        </w:rPr>
        <w:t>乡镇卫生院</w:t>
      </w:r>
      <w:r>
        <w:rPr>
          <w:rStyle w:val="14"/>
          <w:rFonts w:hint="eastAsia" w:ascii="仿宋_GB2312" w:eastAsia="仿宋_GB2312"/>
          <w:b w:val="0"/>
          <w:bCs/>
          <w:color w:val="000000"/>
          <w:sz w:val="32"/>
          <w:szCs w:val="32"/>
        </w:rPr>
        <w:t>（02）反映医疗卫生与计划生育</w:t>
      </w:r>
      <w:r>
        <w:rPr>
          <w:rFonts w:hint="eastAsia" w:ascii="仿宋_GB2312" w:eastAsia="仿宋_GB2312"/>
          <w:b w:val="0"/>
          <w:bCs/>
          <w:color w:val="000000"/>
          <w:sz w:val="32"/>
          <w:szCs w:val="32"/>
        </w:rPr>
        <w:t>用于医疗卫生与计划生育管理事务方面的支出；</w:t>
      </w:r>
      <w:r>
        <w:rPr>
          <w:rStyle w:val="14"/>
          <w:rFonts w:hint="eastAsia" w:ascii="仿宋_GB2312" w:eastAsia="仿宋_GB2312"/>
          <w:b w:val="0"/>
          <w:bCs/>
          <w:color w:val="000000"/>
          <w:sz w:val="32"/>
          <w:szCs w:val="32"/>
          <w:lang w:eastAsia="zh-CN"/>
        </w:rPr>
        <w:t>卫生健康支出</w:t>
      </w:r>
      <w:r>
        <w:rPr>
          <w:rStyle w:val="14"/>
          <w:rFonts w:hint="eastAsia" w:ascii="仿宋_GB2312" w:eastAsia="仿宋_GB2312"/>
          <w:b w:val="0"/>
          <w:bCs/>
          <w:color w:val="000000"/>
          <w:sz w:val="32"/>
          <w:szCs w:val="32"/>
        </w:rPr>
        <w:t>(210)基层医疗卫生机构（03）其他基层医疗卫生机构支出（99）</w:t>
      </w:r>
      <w:r>
        <w:rPr>
          <w:rFonts w:hint="eastAsia" w:ascii="仿宋_GB2312" w:eastAsia="仿宋_GB2312"/>
          <w:b w:val="0"/>
          <w:bCs/>
          <w:color w:val="000000"/>
          <w:sz w:val="32"/>
          <w:szCs w:val="32"/>
        </w:rPr>
        <w:t>反映其他用于医疗卫生与计划生育管理事务方面的支出；</w:t>
      </w:r>
      <w:r>
        <w:rPr>
          <w:rStyle w:val="14"/>
          <w:rFonts w:hint="eastAsia" w:ascii="仿宋_GB2312" w:eastAsia="仿宋_GB2312"/>
          <w:b w:val="0"/>
          <w:bCs/>
          <w:color w:val="000000"/>
          <w:sz w:val="32"/>
          <w:szCs w:val="32"/>
          <w:lang w:eastAsia="zh-CN"/>
        </w:rPr>
        <w:t>卫生健康支出</w:t>
      </w:r>
      <w:r>
        <w:rPr>
          <w:rStyle w:val="14"/>
          <w:rFonts w:hint="eastAsia" w:ascii="仿宋_GB2312" w:eastAsia="仿宋_GB2312"/>
          <w:b w:val="0"/>
          <w:bCs/>
          <w:color w:val="000000"/>
          <w:sz w:val="32"/>
          <w:szCs w:val="32"/>
        </w:rPr>
        <w:t>(210)</w:t>
      </w:r>
      <w:r>
        <w:rPr>
          <w:rFonts w:hint="eastAsia" w:ascii="仿宋_GB2312" w:eastAsia="仿宋_GB2312" w:cs="Arial"/>
          <w:b w:val="0"/>
          <w:bCs/>
          <w:color w:val="000000"/>
          <w:sz w:val="32"/>
          <w:szCs w:val="32"/>
        </w:rPr>
        <w:t>公共卫生</w:t>
      </w:r>
      <w:r>
        <w:rPr>
          <w:rStyle w:val="14"/>
          <w:rFonts w:hint="eastAsia" w:ascii="仿宋_GB2312" w:eastAsia="仿宋_GB2312"/>
          <w:b w:val="0"/>
          <w:bCs/>
          <w:color w:val="000000"/>
          <w:sz w:val="32"/>
          <w:szCs w:val="32"/>
        </w:rPr>
        <w:t>（04）基本公共卫生服务（08）反映基本公共卫生服务支出。</w:t>
      </w:r>
    </w:p>
    <w:p>
      <w:pPr>
        <w:ind w:firstLine="640" w:firstLineChars="200"/>
        <w:rPr>
          <w:rFonts w:ascii="仿宋_GB2312" w:eastAsia="仿宋_GB2312"/>
          <w:color w:val="000000"/>
          <w:sz w:val="32"/>
          <w:szCs w:val="32"/>
        </w:rPr>
      </w:pPr>
      <w:r>
        <w:rPr>
          <w:rFonts w:hint="eastAsia" w:ascii="仿宋_GB2312" w:eastAsia="仿宋_GB2312"/>
          <w:b w:val="0"/>
          <w:bCs/>
          <w:color w:val="000000"/>
          <w:sz w:val="32"/>
          <w:szCs w:val="32"/>
        </w:rPr>
        <w:t>11.基本支出：指为保障机构</w:t>
      </w:r>
      <w:r>
        <w:rPr>
          <w:rFonts w:hint="eastAsia" w:ascii="仿宋_GB2312" w:eastAsia="仿宋_GB2312"/>
          <w:color w:val="000000"/>
          <w:sz w:val="32"/>
          <w:szCs w:val="32"/>
        </w:rPr>
        <w:t>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Style w:val="24"/>
          <w:rFonts w:ascii="黑体" w:hAnsi="黑体" w:eastAsia="黑体"/>
          <w:b w:val="0"/>
        </w:rPr>
      </w:pPr>
    </w:p>
    <w:p>
      <w:pPr>
        <w:spacing w:line="600" w:lineRule="exact"/>
        <w:jc w:val="left"/>
        <w:rPr>
          <w:rFonts w:ascii="宋体"/>
          <w:b/>
          <w:color w:val="000000"/>
          <w:sz w:val="44"/>
          <w:szCs w:val="44"/>
        </w:rPr>
      </w:pPr>
    </w:p>
    <w:p>
      <w:pPr>
        <w:spacing w:line="600" w:lineRule="exact"/>
        <w:jc w:val="center"/>
        <w:outlineLvl w:val="0"/>
        <w:rPr>
          <w:rStyle w:val="24"/>
          <w:rFonts w:ascii="黑体" w:hAnsi="黑体" w:eastAsia="黑体"/>
          <w:b w:val="0"/>
        </w:rPr>
      </w:pPr>
      <w:bookmarkStart w:id="58" w:name="_Toc15396614"/>
      <w:bookmarkStart w:id="59"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60" w:name="_Toc15396615"/>
      <w:r>
        <w:rPr>
          <w:rStyle w:val="24"/>
          <w:rFonts w:hint="eastAsia" w:ascii="仿宋" w:hAnsi="仿宋" w:eastAsia="仿宋"/>
          <w:b w:val="0"/>
          <w:bCs w:val="0"/>
          <w:sz w:val="32"/>
          <w:szCs w:val="32"/>
        </w:rPr>
        <w:t>附件1</w:t>
      </w:r>
      <w:bookmarkEnd w:id="60"/>
    </w:p>
    <w:p>
      <w:pPr>
        <w:spacing w:line="600" w:lineRule="exact"/>
        <w:jc w:val="center"/>
        <w:outlineLvl w:val="0"/>
        <w:rPr>
          <w:rFonts w:ascii="黑体" w:hAnsi="黑体" w:eastAsia="黑体" w:cs="方正小标宋简体"/>
          <w:sz w:val="36"/>
          <w:szCs w:val="36"/>
        </w:rPr>
      </w:pPr>
      <w:bookmarkStart w:id="61" w:name="_Toc15396616"/>
      <w:r>
        <w:rPr>
          <w:rFonts w:hint="eastAsia" w:ascii="黑体" w:hAnsi="黑体" w:eastAsia="黑体" w:cs="方正小标宋简体"/>
          <w:sz w:val="36"/>
          <w:szCs w:val="36"/>
        </w:rPr>
        <w:t>达州市达川区檀木镇卫生院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1"/>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 w:hAnsi="楷体" w:eastAsia="楷体" w:cs="仿宋_GB2312"/>
          <w:sz w:val="32"/>
          <w:szCs w:val="32"/>
        </w:rPr>
      </w:pPr>
      <w:r>
        <w:rPr>
          <w:rFonts w:ascii="楷体" w:hAnsi="楷体" w:eastAsia="楷体" w:cs="仿宋_GB2312"/>
          <w:sz w:val="32"/>
          <w:szCs w:val="32"/>
        </w:rPr>
        <w:t>（一）机构组成。</w:t>
      </w:r>
    </w:p>
    <w:p>
      <w:pPr>
        <w:spacing w:line="580" w:lineRule="exact"/>
        <w:rPr>
          <w:rFonts w:ascii="仿宋" w:hAnsi="仿宋" w:eastAsia="仿宋" w:cs="仿宋_GB2312"/>
          <w:sz w:val="32"/>
          <w:szCs w:val="32"/>
        </w:rPr>
      </w:pPr>
      <w:r>
        <w:rPr>
          <w:rFonts w:hint="eastAsia" w:ascii="仿宋" w:hAnsi="仿宋" w:eastAsia="仿宋" w:cs="仿宋_GB2312"/>
          <w:sz w:val="32"/>
          <w:szCs w:val="32"/>
        </w:rPr>
        <w:t>达州市达川区檀木镇卫生院是一家一级预算单位，无其他下属单位。</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檀木镇卫生院是一所基层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sz w:val="32"/>
          <w:szCs w:val="32"/>
        </w:rPr>
        <w:t>内设院办、行政办公室、财务科、医保办、公共卫生科、医生门诊部、护理部、医技科室、中西药房、收费室、手术室等；</w:t>
      </w:r>
      <w:r>
        <w:rPr>
          <w:rFonts w:hint="eastAsia" w:ascii="仿宋" w:hAnsi="仿宋" w:eastAsia="仿宋" w:cs="仿宋_GB2312"/>
          <w:sz w:val="32"/>
          <w:szCs w:val="32"/>
        </w:rPr>
        <w:t>能对常见病，多发病以及部分疑难杂症做出准确的诊断和治疗。</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w:t>
      </w:r>
      <w:r>
        <w:rPr>
          <w:rFonts w:ascii="楷体" w:hAnsi="楷体" w:eastAsia="楷体" w:cs="仿宋_GB2312"/>
          <w:sz w:val="32"/>
          <w:szCs w:val="32"/>
        </w:rPr>
        <w:t>人员概况。</w:t>
      </w:r>
    </w:p>
    <w:p>
      <w:pPr>
        <w:widowControl/>
        <w:jc w:val="left"/>
        <w:rPr>
          <w:rFonts w:hint="eastAsia"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檀木镇</w:t>
      </w:r>
      <w:r>
        <w:rPr>
          <w:rFonts w:hint="eastAsia" w:ascii="仿宋_GB2312" w:hAnsi="仿宋_GB2312" w:eastAsia="仿宋_GB2312" w:cs="仿宋_GB2312"/>
          <w:color w:val="000000"/>
          <w:sz w:val="32"/>
          <w:szCs w:val="32"/>
        </w:rPr>
        <w:t>卫生院为事业单位1个，</w:t>
      </w:r>
      <w:r>
        <w:rPr>
          <w:rFonts w:hint="eastAsia" w:ascii="仿宋_GB2312" w:hAnsi="仿宋" w:eastAsia="仿宋_GB2312"/>
          <w:sz w:val="32"/>
          <w:szCs w:val="32"/>
        </w:rPr>
        <w:t>年末实有人数26</w:t>
      </w:r>
      <w:r>
        <w:rPr>
          <w:rFonts w:hint="eastAsia" w:ascii="宋体" w:hAnsi="宋体" w:cs="宋体"/>
          <w:sz w:val="32"/>
          <w:szCs w:val="32"/>
        </w:rPr>
        <w:t>人</w:t>
      </w:r>
      <w:r>
        <w:rPr>
          <w:rFonts w:hint="eastAsia" w:ascii="仿宋_GB2312" w:hAnsi="仿宋" w:eastAsia="仿宋_GB2312"/>
          <w:sz w:val="32"/>
          <w:szCs w:val="32"/>
        </w:rPr>
        <w:t>、临聘13人，其中事业专技人员10人、事业工勤人员3人、临聘人员13人；退休人员9人。</w:t>
      </w:r>
    </w:p>
    <w:p>
      <w:pPr>
        <w:widowControl/>
        <w:ind w:firstLine="960" w:firstLineChars="300"/>
        <w:jc w:val="left"/>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2019年我院财政拨款收入总计298.14万元，其中一般公共预算财政拨款收入215.78万元，年初财政补助结转和结余82.36万元。</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2019年我院财政拨款支出总计298.14万元，其中一般公共预算财政拨款支出193.03万元，年末财政补助结转和结余105.11万元。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 2019 年 12 月 31 日，我院 2019 年财政资金一般公共预算财政拨款执行进度为82.69%。</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w:t>
      </w:r>
      <w:r>
        <w:rPr>
          <w:rFonts w:ascii="仿宋" w:hAnsi="仿宋" w:eastAsia="仿宋" w:cs="仿宋_GB2312"/>
          <w:sz w:val="32"/>
          <w:szCs w:val="32"/>
        </w:rPr>
        <w:t xml:space="preserve"> 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p>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3"/>
        <w:rPr>
          <w:rStyle w:val="24"/>
          <w:rFonts w:ascii="仿宋" w:hAnsi="仿宋" w:eastAsia="仿宋"/>
          <w:b w:val="0"/>
          <w:bCs w:val="0"/>
          <w:sz w:val="32"/>
          <w:szCs w:val="32"/>
        </w:rPr>
      </w:pPr>
      <w:bookmarkStart w:id="62" w:name="_Toc15396617"/>
      <w:r>
        <w:rPr>
          <w:rStyle w:val="24"/>
          <w:rFonts w:hint="eastAsia" w:ascii="仿宋" w:hAnsi="仿宋" w:eastAsia="仿宋"/>
          <w:b w:val="0"/>
          <w:bCs w:val="0"/>
          <w:sz w:val="32"/>
          <w:szCs w:val="32"/>
        </w:rPr>
        <w:t>附件2</w:t>
      </w:r>
      <w:bookmarkEnd w:id="62"/>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达州市达川区檀木镇卫生院</w:t>
      </w:r>
    </w:p>
    <w:p>
      <w:pPr>
        <w:rPr>
          <w:rFonts w:eastAsia="仿宋"/>
        </w:rPr>
      </w:pP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2019年项目支出绩效评价报告</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一、评价工作开展及项目情况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总体看，我单位预算编制及执行决算较为准确，支出管理较为规范，财务管理制度较完善，项目支出整体绩效较好。项目支出绩效自评得分为88分。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1、项目决策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（1）资金计划及到位。基本公共卫生服务</w:t>
      </w:r>
      <w:r>
        <w:rPr>
          <w:rFonts w:hint="eastAsia" w:ascii="仿宋" w:hAnsi="仿宋" w:eastAsia="仿宋"/>
          <w:sz w:val="32"/>
          <w:szCs w:val="32"/>
          <w:lang w:eastAsia="zh-CN"/>
        </w:rPr>
        <w:t>下拨</w:t>
      </w:r>
      <w:r>
        <w:rPr>
          <w:rFonts w:hint="eastAsia" w:ascii="仿宋" w:hAnsi="仿宋" w:eastAsia="仿宋"/>
          <w:sz w:val="32"/>
          <w:szCs w:val="32"/>
        </w:rPr>
        <w:t>资金115.11万元、基层医疗机构基本药物制度</w:t>
      </w:r>
      <w:r>
        <w:rPr>
          <w:rFonts w:hint="eastAsia" w:ascii="仿宋" w:hAnsi="仿宋" w:eastAsia="仿宋"/>
          <w:sz w:val="32"/>
          <w:szCs w:val="32"/>
          <w:lang w:eastAsia="zh-CN"/>
        </w:rPr>
        <w:t>下拨</w:t>
      </w:r>
      <w:r>
        <w:rPr>
          <w:rFonts w:hint="eastAsia" w:ascii="仿宋" w:hAnsi="仿宋" w:eastAsia="仿宋"/>
          <w:sz w:val="32"/>
          <w:szCs w:val="32"/>
        </w:rPr>
        <w:t>资金24.53万元。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（2）资金使用。各单位根据业务需要购买货物及工作运行开支。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规范基本公共卫生服务行为，推进基本公卫生服务项目开展，不断提升服务能力和水平，筑牢基层医疗卫生服务网底，实现医改“保基本、强基层、建机制”的目标。通确保</w:t>
      </w:r>
      <w:r>
        <w:rPr>
          <w:rFonts w:hint="eastAsia" w:ascii="仿宋" w:hAnsi="仿宋" w:eastAsia="仿宋"/>
          <w:sz w:val="32"/>
          <w:szCs w:val="32"/>
        </w:rPr>
        <w:t>基本公共卫生服务和基层医疗机构基本药物制度顺利实施。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3、项目绩效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为广大群众提供公共卫生安全保障，居民满意度、建档立卡贫困户满意度≧90%；基本药物零差率销售率100%，政府办基层医疗卫生机构基本药物制度覆盖率100%。</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（三）存在主要问题</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一是预算不够明确和细化。预算执行力度还要进一步加强。二是单位缺少专业的会计人员。三是各项管理制度还待进一步完善。</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（四）相关措施建议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1、细化预算编制工作，将进一步重视预算的编制工作，加强单位内部机构的预算管理意识，科学规划预算编制的精确度，提高财政资金使用效率，加强内部预算编制的审核和预算控制指标的下达。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2、建议财政部门加强对财务人员做好各项财务工作的指导和培训，尤其是加强《政府会计制度》等新的会计制度学习和培训，规范部门预算收支核算。</w:t>
      </w:r>
    </w:p>
    <w:p>
      <w:pPr>
        <w:spacing w:line="580" w:lineRule="exact"/>
        <w:ind w:firstLine="640" w:firstLineChars="200"/>
        <w:rPr>
          <w:rFonts w:ascii="仿宋_GB2312" w:hAnsi="仿宋_GB2312" w:eastAsia="仿宋" w:cs="仿宋_GB2312"/>
          <w:sz w:val="32"/>
          <w:szCs w:val="32"/>
        </w:rPr>
      </w:pPr>
      <w:r>
        <w:rPr>
          <w:rFonts w:hint="eastAsia" w:ascii="仿宋" w:hAnsi="仿宋" w:eastAsia="仿宋"/>
          <w:sz w:val="32"/>
          <w:szCs w:val="32"/>
        </w:rPr>
        <w:t>3、进一步完善和落实相关管理制度，加强内部控制管理制度学习，严格遵照相关制度贯彻落实到位，做到精细化管理。</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bookmarkStart w:id="6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9"/>
      <w:bookmarkEnd w:id="63"/>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Fonts w:ascii="仿宋" w:hAnsi="仿宋" w:eastAsia="仿宋"/>
          <w:color w:val="00000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8"/>
    </w:p>
    <w:p>
      <w:pPr>
        <w:pStyle w:val="3"/>
        <w:rPr>
          <w:rFonts w:ascii="仿宋" w:hAnsi="仿宋" w:eastAsia="仿宋"/>
          <w:color w:val="000000"/>
        </w:rPr>
      </w:pPr>
      <w:bookmarkStart w:id="69"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Segoe Print"/>
    <w:panose1 w:val="02010609060101010101"/>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4911366"/>
    <w:multiLevelType w:val="singleLevel"/>
    <w:tmpl w:val="F4911366"/>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1BA8B6F6"/>
    <w:multiLevelType w:val="singleLevel"/>
    <w:tmpl w:val="1BA8B6F6"/>
    <w:lvl w:ilvl="0" w:tentative="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39A"/>
    <w:rsid w:val="0006487A"/>
    <w:rsid w:val="00065F8F"/>
    <w:rsid w:val="000768F2"/>
    <w:rsid w:val="00083583"/>
    <w:rsid w:val="0009184B"/>
    <w:rsid w:val="00094362"/>
    <w:rsid w:val="0009593C"/>
    <w:rsid w:val="000B047F"/>
    <w:rsid w:val="000B5923"/>
    <w:rsid w:val="000B5A48"/>
    <w:rsid w:val="000B6FF3"/>
    <w:rsid w:val="000C3467"/>
    <w:rsid w:val="000C3CA6"/>
    <w:rsid w:val="000D1267"/>
    <w:rsid w:val="000D1D50"/>
    <w:rsid w:val="000D5782"/>
    <w:rsid w:val="000E6613"/>
    <w:rsid w:val="000E7119"/>
    <w:rsid w:val="000F387F"/>
    <w:rsid w:val="00114E9B"/>
    <w:rsid w:val="0014729F"/>
    <w:rsid w:val="00157BAB"/>
    <w:rsid w:val="001654D1"/>
    <w:rsid w:val="00170581"/>
    <w:rsid w:val="00175841"/>
    <w:rsid w:val="0018106D"/>
    <w:rsid w:val="00184152"/>
    <w:rsid w:val="001877A7"/>
    <w:rsid w:val="00191536"/>
    <w:rsid w:val="00196687"/>
    <w:rsid w:val="001C0962"/>
    <w:rsid w:val="001C234A"/>
    <w:rsid w:val="001D7531"/>
    <w:rsid w:val="001E737D"/>
    <w:rsid w:val="001F0592"/>
    <w:rsid w:val="001F7506"/>
    <w:rsid w:val="002006CD"/>
    <w:rsid w:val="00202B36"/>
    <w:rsid w:val="00204B7A"/>
    <w:rsid w:val="002064ED"/>
    <w:rsid w:val="0021101A"/>
    <w:rsid w:val="00215C96"/>
    <w:rsid w:val="00220536"/>
    <w:rsid w:val="00235629"/>
    <w:rsid w:val="00260C38"/>
    <w:rsid w:val="002616A5"/>
    <w:rsid w:val="002616C0"/>
    <w:rsid w:val="002662AA"/>
    <w:rsid w:val="00280496"/>
    <w:rsid w:val="00280B82"/>
    <w:rsid w:val="00295495"/>
    <w:rsid w:val="002A652A"/>
    <w:rsid w:val="002B2613"/>
    <w:rsid w:val="002D1449"/>
    <w:rsid w:val="002E11E6"/>
    <w:rsid w:val="002F1818"/>
    <w:rsid w:val="002F222E"/>
    <w:rsid w:val="002F567B"/>
    <w:rsid w:val="002F7647"/>
    <w:rsid w:val="00305384"/>
    <w:rsid w:val="0032132D"/>
    <w:rsid w:val="003216A9"/>
    <w:rsid w:val="00325231"/>
    <w:rsid w:val="0037013F"/>
    <w:rsid w:val="00380C92"/>
    <w:rsid w:val="00387FB0"/>
    <w:rsid w:val="003A2E95"/>
    <w:rsid w:val="003A484F"/>
    <w:rsid w:val="003B0BE0"/>
    <w:rsid w:val="003B0C1B"/>
    <w:rsid w:val="003B688C"/>
    <w:rsid w:val="003C0291"/>
    <w:rsid w:val="003C39AE"/>
    <w:rsid w:val="003C7680"/>
    <w:rsid w:val="003C7B60"/>
    <w:rsid w:val="003D1FB2"/>
    <w:rsid w:val="003D66DA"/>
    <w:rsid w:val="003E1310"/>
    <w:rsid w:val="003E2171"/>
    <w:rsid w:val="003E6F55"/>
    <w:rsid w:val="003F2F9B"/>
    <w:rsid w:val="00406254"/>
    <w:rsid w:val="004223DE"/>
    <w:rsid w:val="00434489"/>
    <w:rsid w:val="00437085"/>
    <w:rsid w:val="00443880"/>
    <w:rsid w:val="004464F4"/>
    <w:rsid w:val="00471401"/>
    <w:rsid w:val="00473F31"/>
    <w:rsid w:val="00475ED1"/>
    <w:rsid w:val="0048263A"/>
    <w:rsid w:val="00487E5D"/>
    <w:rsid w:val="004A711F"/>
    <w:rsid w:val="004A71DD"/>
    <w:rsid w:val="004B199D"/>
    <w:rsid w:val="004B4690"/>
    <w:rsid w:val="004C0DED"/>
    <w:rsid w:val="004E0A2D"/>
    <w:rsid w:val="004E206B"/>
    <w:rsid w:val="004E6DF7"/>
    <w:rsid w:val="004F0FBD"/>
    <w:rsid w:val="00505A47"/>
    <w:rsid w:val="00512FDA"/>
    <w:rsid w:val="00520DA0"/>
    <w:rsid w:val="005664BB"/>
    <w:rsid w:val="0057481D"/>
    <w:rsid w:val="0058486E"/>
    <w:rsid w:val="005904E9"/>
    <w:rsid w:val="005D1C8B"/>
    <w:rsid w:val="005D5CED"/>
    <w:rsid w:val="005E4C2E"/>
    <w:rsid w:val="005F1A4C"/>
    <w:rsid w:val="00605688"/>
    <w:rsid w:val="006070AF"/>
    <w:rsid w:val="00607E6C"/>
    <w:rsid w:val="006101B1"/>
    <w:rsid w:val="00614E44"/>
    <w:rsid w:val="0061638B"/>
    <w:rsid w:val="00622830"/>
    <w:rsid w:val="00630AEF"/>
    <w:rsid w:val="006325F8"/>
    <w:rsid w:val="00634C9A"/>
    <w:rsid w:val="00637ABE"/>
    <w:rsid w:val="006437DD"/>
    <w:rsid w:val="006440E4"/>
    <w:rsid w:val="00651825"/>
    <w:rsid w:val="0066343B"/>
    <w:rsid w:val="00663688"/>
    <w:rsid w:val="00664777"/>
    <w:rsid w:val="00673A72"/>
    <w:rsid w:val="006748A4"/>
    <w:rsid w:val="00683E73"/>
    <w:rsid w:val="006A3141"/>
    <w:rsid w:val="006A5E34"/>
    <w:rsid w:val="006B1C7D"/>
    <w:rsid w:val="006B2422"/>
    <w:rsid w:val="006B2B9A"/>
    <w:rsid w:val="006C1937"/>
    <w:rsid w:val="006C7938"/>
    <w:rsid w:val="006F020C"/>
    <w:rsid w:val="007127B7"/>
    <w:rsid w:val="007416B6"/>
    <w:rsid w:val="00746F48"/>
    <w:rsid w:val="0075404D"/>
    <w:rsid w:val="0076182A"/>
    <w:rsid w:val="00765A91"/>
    <w:rsid w:val="00767B7E"/>
    <w:rsid w:val="00771355"/>
    <w:rsid w:val="007770C3"/>
    <w:rsid w:val="00777D97"/>
    <w:rsid w:val="00784D24"/>
    <w:rsid w:val="00785FBA"/>
    <w:rsid w:val="00786E4A"/>
    <w:rsid w:val="007875EB"/>
    <w:rsid w:val="007901A9"/>
    <w:rsid w:val="0079426B"/>
    <w:rsid w:val="007A2343"/>
    <w:rsid w:val="007B0945"/>
    <w:rsid w:val="007B2174"/>
    <w:rsid w:val="007D312A"/>
    <w:rsid w:val="007D3F19"/>
    <w:rsid w:val="007E23B0"/>
    <w:rsid w:val="007E3835"/>
    <w:rsid w:val="007F1991"/>
    <w:rsid w:val="007F2C2F"/>
    <w:rsid w:val="007F55FC"/>
    <w:rsid w:val="007F5665"/>
    <w:rsid w:val="00800112"/>
    <w:rsid w:val="008253BB"/>
    <w:rsid w:val="008327CC"/>
    <w:rsid w:val="0083706E"/>
    <w:rsid w:val="008423A5"/>
    <w:rsid w:val="00850625"/>
    <w:rsid w:val="00853718"/>
    <w:rsid w:val="008542FD"/>
    <w:rsid w:val="00855221"/>
    <w:rsid w:val="00860645"/>
    <w:rsid w:val="00866FB2"/>
    <w:rsid w:val="00870A26"/>
    <w:rsid w:val="00871F71"/>
    <w:rsid w:val="00885AF4"/>
    <w:rsid w:val="00891847"/>
    <w:rsid w:val="008939CD"/>
    <w:rsid w:val="008B768C"/>
    <w:rsid w:val="008C4DB1"/>
    <w:rsid w:val="008C4EAF"/>
    <w:rsid w:val="008C5176"/>
    <w:rsid w:val="008C7FD0"/>
    <w:rsid w:val="008E1DE7"/>
    <w:rsid w:val="008E526F"/>
    <w:rsid w:val="008E707C"/>
    <w:rsid w:val="00900B08"/>
    <w:rsid w:val="00902155"/>
    <w:rsid w:val="00902FA3"/>
    <w:rsid w:val="00906F23"/>
    <w:rsid w:val="00923564"/>
    <w:rsid w:val="0092392E"/>
    <w:rsid w:val="009315F9"/>
    <w:rsid w:val="0094341B"/>
    <w:rsid w:val="00946945"/>
    <w:rsid w:val="00946E40"/>
    <w:rsid w:val="00951248"/>
    <w:rsid w:val="0095152F"/>
    <w:rsid w:val="00954C49"/>
    <w:rsid w:val="0097099F"/>
    <w:rsid w:val="00971997"/>
    <w:rsid w:val="00971FFC"/>
    <w:rsid w:val="00982A3E"/>
    <w:rsid w:val="0098660A"/>
    <w:rsid w:val="009931C3"/>
    <w:rsid w:val="009B2C43"/>
    <w:rsid w:val="009B4EAE"/>
    <w:rsid w:val="009B7573"/>
    <w:rsid w:val="009C22F4"/>
    <w:rsid w:val="009C2E98"/>
    <w:rsid w:val="009D3447"/>
    <w:rsid w:val="009D4711"/>
    <w:rsid w:val="009F1185"/>
    <w:rsid w:val="009F1751"/>
    <w:rsid w:val="009F18CD"/>
    <w:rsid w:val="009F2A13"/>
    <w:rsid w:val="00A029DA"/>
    <w:rsid w:val="00A04EB0"/>
    <w:rsid w:val="00A13CC1"/>
    <w:rsid w:val="00A16847"/>
    <w:rsid w:val="00A237D8"/>
    <w:rsid w:val="00A268C4"/>
    <w:rsid w:val="00A307CD"/>
    <w:rsid w:val="00A3633A"/>
    <w:rsid w:val="00A40A00"/>
    <w:rsid w:val="00A4142F"/>
    <w:rsid w:val="00A56DF2"/>
    <w:rsid w:val="00A67AB5"/>
    <w:rsid w:val="00A763DC"/>
    <w:rsid w:val="00A8461F"/>
    <w:rsid w:val="00A91760"/>
    <w:rsid w:val="00A93B00"/>
    <w:rsid w:val="00A93C21"/>
    <w:rsid w:val="00AB23C8"/>
    <w:rsid w:val="00AC3C6A"/>
    <w:rsid w:val="00AC7F06"/>
    <w:rsid w:val="00AD5620"/>
    <w:rsid w:val="00AD7C1B"/>
    <w:rsid w:val="00AE16BA"/>
    <w:rsid w:val="00AE1EBE"/>
    <w:rsid w:val="00AF17C8"/>
    <w:rsid w:val="00B01410"/>
    <w:rsid w:val="00B030A7"/>
    <w:rsid w:val="00B03C9D"/>
    <w:rsid w:val="00B060AE"/>
    <w:rsid w:val="00B069C5"/>
    <w:rsid w:val="00B10517"/>
    <w:rsid w:val="00B1326E"/>
    <w:rsid w:val="00B14E76"/>
    <w:rsid w:val="00B161B8"/>
    <w:rsid w:val="00B16429"/>
    <w:rsid w:val="00B2048C"/>
    <w:rsid w:val="00B26443"/>
    <w:rsid w:val="00B310B9"/>
    <w:rsid w:val="00B33724"/>
    <w:rsid w:val="00B35F3F"/>
    <w:rsid w:val="00B36CBB"/>
    <w:rsid w:val="00B425E0"/>
    <w:rsid w:val="00B440AA"/>
    <w:rsid w:val="00B44B70"/>
    <w:rsid w:val="00B53C56"/>
    <w:rsid w:val="00B7742A"/>
    <w:rsid w:val="00B77EA6"/>
    <w:rsid w:val="00B81598"/>
    <w:rsid w:val="00B841F1"/>
    <w:rsid w:val="00B944D6"/>
    <w:rsid w:val="00BB4DF0"/>
    <w:rsid w:val="00BB65B3"/>
    <w:rsid w:val="00BC289F"/>
    <w:rsid w:val="00BC5361"/>
    <w:rsid w:val="00BC5460"/>
    <w:rsid w:val="00BC6B50"/>
    <w:rsid w:val="00BD0E25"/>
    <w:rsid w:val="00BE4F6C"/>
    <w:rsid w:val="00BF43FB"/>
    <w:rsid w:val="00BF5BD6"/>
    <w:rsid w:val="00C03E31"/>
    <w:rsid w:val="00C11476"/>
    <w:rsid w:val="00C24F7C"/>
    <w:rsid w:val="00C33E72"/>
    <w:rsid w:val="00C354B2"/>
    <w:rsid w:val="00C35554"/>
    <w:rsid w:val="00C42709"/>
    <w:rsid w:val="00C533CC"/>
    <w:rsid w:val="00C5751C"/>
    <w:rsid w:val="00C60B7D"/>
    <w:rsid w:val="00C61BFC"/>
    <w:rsid w:val="00C62B85"/>
    <w:rsid w:val="00C65438"/>
    <w:rsid w:val="00C85E70"/>
    <w:rsid w:val="00C91CBB"/>
    <w:rsid w:val="00CC09B6"/>
    <w:rsid w:val="00CC666F"/>
    <w:rsid w:val="00CD1E3F"/>
    <w:rsid w:val="00CE44F6"/>
    <w:rsid w:val="00CE49DA"/>
    <w:rsid w:val="00CE7B61"/>
    <w:rsid w:val="00D00095"/>
    <w:rsid w:val="00D07833"/>
    <w:rsid w:val="00D17A93"/>
    <w:rsid w:val="00D20620"/>
    <w:rsid w:val="00D23EFC"/>
    <w:rsid w:val="00D250CD"/>
    <w:rsid w:val="00D26091"/>
    <w:rsid w:val="00D32B83"/>
    <w:rsid w:val="00D34E7C"/>
    <w:rsid w:val="00D35489"/>
    <w:rsid w:val="00D46A7E"/>
    <w:rsid w:val="00D51276"/>
    <w:rsid w:val="00D7035F"/>
    <w:rsid w:val="00D87987"/>
    <w:rsid w:val="00DA042F"/>
    <w:rsid w:val="00DA65AC"/>
    <w:rsid w:val="00DB1913"/>
    <w:rsid w:val="00DC410D"/>
    <w:rsid w:val="00DC68CA"/>
    <w:rsid w:val="00DC7CBA"/>
    <w:rsid w:val="00DD5CE4"/>
    <w:rsid w:val="00DD73B7"/>
    <w:rsid w:val="00DE5B5F"/>
    <w:rsid w:val="00DF28BC"/>
    <w:rsid w:val="00DF34B9"/>
    <w:rsid w:val="00E01053"/>
    <w:rsid w:val="00E06BFE"/>
    <w:rsid w:val="00E07ACF"/>
    <w:rsid w:val="00E132E9"/>
    <w:rsid w:val="00E331A1"/>
    <w:rsid w:val="00E33202"/>
    <w:rsid w:val="00E336A9"/>
    <w:rsid w:val="00E50624"/>
    <w:rsid w:val="00E568DF"/>
    <w:rsid w:val="00E64269"/>
    <w:rsid w:val="00E82267"/>
    <w:rsid w:val="00E902A0"/>
    <w:rsid w:val="00EA010F"/>
    <w:rsid w:val="00ED1B63"/>
    <w:rsid w:val="00ED386B"/>
    <w:rsid w:val="00ED3C1F"/>
    <w:rsid w:val="00ED4085"/>
    <w:rsid w:val="00ED420E"/>
    <w:rsid w:val="00EE0A33"/>
    <w:rsid w:val="00EE2F57"/>
    <w:rsid w:val="00EF4C34"/>
    <w:rsid w:val="00EF77C6"/>
    <w:rsid w:val="00F00E27"/>
    <w:rsid w:val="00F05438"/>
    <w:rsid w:val="00F1144A"/>
    <w:rsid w:val="00F11CA5"/>
    <w:rsid w:val="00F1361C"/>
    <w:rsid w:val="00F160C7"/>
    <w:rsid w:val="00F33DF0"/>
    <w:rsid w:val="00F36D8F"/>
    <w:rsid w:val="00F417B1"/>
    <w:rsid w:val="00F602DF"/>
    <w:rsid w:val="00F61072"/>
    <w:rsid w:val="00F81FD9"/>
    <w:rsid w:val="00F841AA"/>
    <w:rsid w:val="00FA23E8"/>
    <w:rsid w:val="00FB7B4C"/>
    <w:rsid w:val="00FD3CC1"/>
    <w:rsid w:val="00FF1E02"/>
    <w:rsid w:val="00FF30B4"/>
    <w:rsid w:val="00FF5CB1"/>
    <w:rsid w:val="018638F2"/>
    <w:rsid w:val="01DB193B"/>
    <w:rsid w:val="02256450"/>
    <w:rsid w:val="0279634B"/>
    <w:rsid w:val="03DB27F6"/>
    <w:rsid w:val="048A0FE5"/>
    <w:rsid w:val="04DC2EF8"/>
    <w:rsid w:val="052865C6"/>
    <w:rsid w:val="054142A6"/>
    <w:rsid w:val="071C094A"/>
    <w:rsid w:val="07446BB2"/>
    <w:rsid w:val="075A7A20"/>
    <w:rsid w:val="076E6C2E"/>
    <w:rsid w:val="07FF57C8"/>
    <w:rsid w:val="082F566E"/>
    <w:rsid w:val="0840164D"/>
    <w:rsid w:val="08D37AE0"/>
    <w:rsid w:val="08D40476"/>
    <w:rsid w:val="091E455D"/>
    <w:rsid w:val="0A0C77EA"/>
    <w:rsid w:val="0A6516D9"/>
    <w:rsid w:val="0A8957EF"/>
    <w:rsid w:val="0F3C6E92"/>
    <w:rsid w:val="10A81160"/>
    <w:rsid w:val="10C055FF"/>
    <w:rsid w:val="111817F9"/>
    <w:rsid w:val="11922636"/>
    <w:rsid w:val="11923ED2"/>
    <w:rsid w:val="13CA407F"/>
    <w:rsid w:val="146D667F"/>
    <w:rsid w:val="16BB723D"/>
    <w:rsid w:val="17306424"/>
    <w:rsid w:val="19982436"/>
    <w:rsid w:val="1A675C1A"/>
    <w:rsid w:val="1BA33A82"/>
    <w:rsid w:val="1CF55D8C"/>
    <w:rsid w:val="1CFD6AA5"/>
    <w:rsid w:val="1E313D56"/>
    <w:rsid w:val="1E7C4864"/>
    <w:rsid w:val="1EAF2A13"/>
    <w:rsid w:val="1EE6715C"/>
    <w:rsid w:val="20456374"/>
    <w:rsid w:val="211E71CA"/>
    <w:rsid w:val="21224806"/>
    <w:rsid w:val="21760C51"/>
    <w:rsid w:val="22BD12D4"/>
    <w:rsid w:val="236A3ECF"/>
    <w:rsid w:val="23FB3926"/>
    <w:rsid w:val="240371BF"/>
    <w:rsid w:val="2474596A"/>
    <w:rsid w:val="2596790C"/>
    <w:rsid w:val="28511EFA"/>
    <w:rsid w:val="29FD04D3"/>
    <w:rsid w:val="2B075042"/>
    <w:rsid w:val="2BA87372"/>
    <w:rsid w:val="2D8B6D20"/>
    <w:rsid w:val="2DE41053"/>
    <w:rsid w:val="2DF6486A"/>
    <w:rsid w:val="2E5A1EFA"/>
    <w:rsid w:val="2EDE005A"/>
    <w:rsid w:val="2EFF50B2"/>
    <w:rsid w:val="3024324C"/>
    <w:rsid w:val="30AE146E"/>
    <w:rsid w:val="31696855"/>
    <w:rsid w:val="319F7F4E"/>
    <w:rsid w:val="334A6470"/>
    <w:rsid w:val="33783A67"/>
    <w:rsid w:val="346A3AB3"/>
    <w:rsid w:val="35AF1F71"/>
    <w:rsid w:val="35FF1CC1"/>
    <w:rsid w:val="369D1D71"/>
    <w:rsid w:val="395114BD"/>
    <w:rsid w:val="397244F3"/>
    <w:rsid w:val="3A3A66C7"/>
    <w:rsid w:val="3B2B73AF"/>
    <w:rsid w:val="3BE32A8D"/>
    <w:rsid w:val="3C4B5029"/>
    <w:rsid w:val="3CEC322C"/>
    <w:rsid w:val="3E364D87"/>
    <w:rsid w:val="3F7E187C"/>
    <w:rsid w:val="40B71887"/>
    <w:rsid w:val="414E4ECA"/>
    <w:rsid w:val="41786CB3"/>
    <w:rsid w:val="41896E11"/>
    <w:rsid w:val="425C1A75"/>
    <w:rsid w:val="42F82B99"/>
    <w:rsid w:val="4304062D"/>
    <w:rsid w:val="43C17E81"/>
    <w:rsid w:val="449B048E"/>
    <w:rsid w:val="44CB3CFA"/>
    <w:rsid w:val="456414C2"/>
    <w:rsid w:val="458A7233"/>
    <w:rsid w:val="45B8029E"/>
    <w:rsid w:val="467A6C1A"/>
    <w:rsid w:val="47237E6C"/>
    <w:rsid w:val="4A095728"/>
    <w:rsid w:val="4A8932D9"/>
    <w:rsid w:val="4B137BEF"/>
    <w:rsid w:val="4B163E9F"/>
    <w:rsid w:val="4B3E4288"/>
    <w:rsid w:val="4B766D4B"/>
    <w:rsid w:val="4D55723C"/>
    <w:rsid w:val="4DCB34A7"/>
    <w:rsid w:val="4DE4047A"/>
    <w:rsid w:val="4E2A7A88"/>
    <w:rsid w:val="4F5517AB"/>
    <w:rsid w:val="515071EA"/>
    <w:rsid w:val="51B317D9"/>
    <w:rsid w:val="51FD40DD"/>
    <w:rsid w:val="542906AF"/>
    <w:rsid w:val="56A7294C"/>
    <w:rsid w:val="56AC36E1"/>
    <w:rsid w:val="57A45343"/>
    <w:rsid w:val="5B166034"/>
    <w:rsid w:val="5B1D73F9"/>
    <w:rsid w:val="5CC966C3"/>
    <w:rsid w:val="5CF4307A"/>
    <w:rsid w:val="5D457EBD"/>
    <w:rsid w:val="5D693D83"/>
    <w:rsid w:val="5E434B14"/>
    <w:rsid w:val="5EB56BB1"/>
    <w:rsid w:val="5EC81A39"/>
    <w:rsid w:val="5EFA1794"/>
    <w:rsid w:val="5EFA7DCC"/>
    <w:rsid w:val="5F71274B"/>
    <w:rsid w:val="5F863C42"/>
    <w:rsid w:val="603563C9"/>
    <w:rsid w:val="60A513F8"/>
    <w:rsid w:val="61420CF3"/>
    <w:rsid w:val="62395D60"/>
    <w:rsid w:val="62832321"/>
    <w:rsid w:val="62C57CC4"/>
    <w:rsid w:val="63F23B05"/>
    <w:rsid w:val="64B07D65"/>
    <w:rsid w:val="65850572"/>
    <w:rsid w:val="65D47265"/>
    <w:rsid w:val="67163B5B"/>
    <w:rsid w:val="67496329"/>
    <w:rsid w:val="67911BE7"/>
    <w:rsid w:val="6BEB648F"/>
    <w:rsid w:val="6C097052"/>
    <w:rsid w:val="6C0F367D"/>
    <w:rsid w:val="6D1861AB"/>
    <w:rsid w:val="6D68227B"/>
    <w:rsid w:val="6E493775"/>
    <w:rsid w:val="6FEB41DC"/>
    <w:rsid w:val="70740342"/>
    <w:rsid w:val="7085743D"/>
    <w:rsid w:val="70910491"/>
    <w:rsid w:val="70F9730E"/>
    <w:rsid w:val="71ED1780"/>
    <w:rsid w:val="738A398F"/>
    <w:rsid w:val="74A86E9D"/>
    <w:rsid w:val="75ED5900"/>
    <w:rsid w:val="762D1A94"/>
    <w:rsid w:val="77882EDC"/>
    <w:rsid w:val="78D526A4"/>
    <w:rsid w:val="7977020D"/>
    <w:rsid w:val="79D3083A"/>
    <w:rsid w:val="79E451CD"/>
    <w:rsid w:val="7A154CD3"/>
    <w:rsid w:val="7A406BB6"/>
    <w:rsid w:val="7A9940F0"/>
    <w:rsid w:val="7B8E1787"/>
    <w:rsid w:val="7C5B224E"/>
    <w:rsid w:val="7CBF6E66"/>
    <w:rsid w:val="7D2652DD"/>
    <w:rsid w:val="7D523148"/>
    <w:rsid w:val="7D8B6D74"/>
    <w:rsid w:val="7E792CAC"/>
    <w:rsid w:val="7F9C1C39"/>
    <w:rsid w:val="7FB60E90"/>
    <w:rsid w:val="7FC63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Sheet1!$A$7:$A$9</c:f>
              <c:strCache>
                <c:ptCount val="3"/>
                <c:pt idx="0">
                  <c:v>收、支决算总计变动情况图</c:v>
                </c:pt>
                <c:pt idx="1">
                  <c:v>2018收、支决算总计变动情况图</c:v>
                </c:pt>
                <c:pt idx="2">
                  <c:v>2019收、支决算总计变动情况图</c:v>
                </c:pt>
              </c:strCache>
            </c:strRef>
          </c:cat>
          <c:val>
            <c:numRef>
              <c:f>Sheet1!$B$7:$B$9</c:f>
              <c:numCache>
                <c:formatCode>General</c:formatCode>
                <c:ptCount val="3"/>
                <c:pt idx="1" c:formatCode="#,##0.00">
                  <c:v>599.02</c:v>
                </c:pt>
                <c:pt idx="2">
                  <c:v>801.16</c:v>
                </c:pt>
              </c:numCache>
            </c:numRef>
          </c:val>
        </c:ser>
        <c:ser>
          <c:idx val="1"/>
          <c:order val="1"/>
          <c:invertIfNegative val="0"/>
          <c:dLbls>
            <c:delete val="1"/>
          </c:dLbls>
          <c:cat>
            <c:strRef>
              <c:f>Sheet1!$A$7:$A$9</c:f>
              <c:strCache>
                <c:ptCount val="3"/>
                <c:pt idx="0">
                  <c:v>收、支决算总计变动情况图</c:v>
                </c:pt>
                <c:pt idx="1">
                  <c:v>2018收、支决算总计变动情况图</c:v>
                </c:pt>
                <c:pt idx="2">
                  <c:v>2019收、支决算总计变动情况图</c:v>
                </c:pt>
              </c:strCache>
            </c:strRef>
          </c:cat>
          <c:val>
            <c:numRef>
              <c:f>Sheet1!$C$7:$C$9</c:f>
              <c:numCache>
                <c:formatCode>General</c:formatCode>
                <c:ptCount val="3"/>
              </c:numCache>
            </c:numRef>
          </c:val>
        </c:ser>
        <c:dLbls>
          <c:showLegendKey val="0"/>
          <c:showVal val="0"/>
          <c:showCatName val="0"/>
          <c:showSerName val="0"/>
          <c:showPercent val="0"/>
          <c:showBubbleSize val="0"/>
        </c:dLbls>
        <c:gapWidth val="150"/>
        <c:overlap val="100"/>
        <c:axId val="215238144"/>
        <c:axId val="215246720"/>
      </c:barChart>
      <c:catAx>
        <c:axId val="2152381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5246720"/>
        <c:crosses val="autoZero"/>
        <c:auto val="1"/>
        <c:lblAlgn val="ctr"/>
        <c:lblOffset val="100"/>
        <c:noMultiLvlLbl val="0"/>
      </c:catAx>
      <c:valAx>
        <c:axId val="2152467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52381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6708223972005"/>
          <c:y val="0.069919072615923"/>
          <c:w val="0.729133420822397"/>
          <c:h val="0.486466535433071"/>
        </c:manualLayout>
      </c:layout>
      <c:pieChart>
        <c:varyColors val="1"/>
        <c:ser>
          <c:idx val="0"/>
          <c:order val="0"/>
          <c:explosion val="0"/>
          <c:dPt>
            <c:idx val="0"/>
            <c:bubble3D val="0"/>
          </c:dPt>
          <c:dPt>
            <c:idx val="1"/>
            <c:bubble3D val="0"/>
          </c:dPt>
          <c:dPt>
            <c:idx val="2"/>
            <c:bubble3D val="0"/>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Sheet1!$A$25:$A$27</c:f>
              <c:strCache>
                <c:ptCount val="3"/>
                <c:pt idx="0">
                  <c:v>收入决算结构图、单位万元</c:v>
                </c:pt>
                <c:pt idx="1">
                  <c:v>财政收入</c:v>
                </c:pt>
                <c:pt idx="2">
                  <c:v>事业收入</c:v>
                </c:pt>
              </c:strCache>
            </c:strRef>
          </c:cat>
          <c:val>
            <c:numRef>
              <c:f>Sheet1!$B$25:$B$27</c:f>
              <c:numCache>
                <c:formatCode>General</c:formatCode>
                <c:ptCount val="3"/>
                <c:pt idx="1" c:formatCode="#,##0.00">
                  <c:v>215.78</c:v>
                </c:pt>
                <c:pt idx="2">
                  <c:v>503.02</c:v>
                </c:pt>
              </c:numCache>
            </c:numRef>
          </c:val>
        </c:ser>
        <c:ser>
          <c:idx val="1"/>
          <c:order val="1"/>
          <c:explosion val="0"/>
          <c:dPt>
            <c:idx val="0"/>
            <c:bubble3D val="0"/>
          </c:dPt>
          <c:dPt>
            <c:idx val="1"/>
            <c:bubble3D val="0"/>
          </c:dPt>
          <c:dPt>
            <c:idx val="2"/>
            <c:bubble3D val="0"/>
          </c:dPt>
          <c:dLbls>
            <c:delete val="1"/>
          </c:dLbls>
          <c:cat>
            <c:strRef>
              <c:f>Sheet1!$A$25:$A$27</c:f>
              <c:strCache>
                <c:ptCount val="3"/>
                <c:pt idx="0">
                  <c:v>收入决算结构图、单位万元</c:v>
                </c:pt>
                <c:pt idx="1">
                  <c:v>财政收入</c:v>
                </c:pt>
                <c:pt idx="2">
                  <c:v>事业收入</c:v>
                </c:pt>
              </c:strCache>
            </c:strRef>
          </c:cat>
          <c:val>
            <c:numRef>
              <c:f>Sheet1!$C$25:$C$27</c:f>
              <c:numCache>
                <c:formatCode>General</c:formatCode>
                <c:ptCount val="3"/>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Sheet1!$A$50:$A$52</c:f>
              <c:strCache>
                <c:ptCount val="3"/>
                <c:pt idx="0">
                  <c:v>支出决算结构图、单位万元</c:v>
                </c:pt>
                <c:pt idx="1">
                  <c:v>基本支出</c:v>
                </c:pt>
                <c:pt idx="2">
                  <c:v>项目支出</c:v>
                </c:pt>
              </c:strCache>
            </c:strRef>
          </c:cat>
          <c:val>
            <c:numRef>
              <c:f>Sheet1!$B$50:$B$52</c:f>
              <c:numCache>
                <c:formatCode>General</c:formatCode>
                <c:ptCount val="3"/>
                <c:pt idx="1" c:formatCode="#,##0.00">
                  <c:v>556.41</c:v>
                </c:pt>
                <c:pt idx="2">
                  <c:v>139.64</c:v>
                </c:pt>
              </c:numCache>
            </c:numRef>
          </c:val>
        </c:ser>
        <c:ser>
          <c:idx val="1"/>
          <c:order val="1"/>
          <c:explosion val="0"/>
          <c:dPt>
            <c:idx val="0"/>
            <c:bubble3D val="0"/>
          </c:dPt>
          <c:dPt>
            <c:idx val="1"/>
            <c:bubble3D val="0"/>
          </c:dPt>
          <c:dPt>
            <c:idx val="2"/>
            <c:bubble3D val="0"/>
          </c:dPt>
          <c:dLbls>
            <c:delete val="1"/>
          </c:dLbls>
          <c:cat>
            <c:strRef>
              <c:f>Sheet1!$A$50:$A$52</c:f>
              <c:strCache>
                <c:ptCount val="3"/>
                <c:pt idx="0">
                  <c:v>支出决算结构图、单位万元</c:v>
                </c:pt>
                <c:pt idx="1">
                  <c:v>基本支出</c:v>
                </c:pt>
                <c:pt idx="2">
                  <c:v>项目支出</c:v>
                </c:pt>
              </c:strCache>
            </c:strRef>
          </c:cat>
          <c:val>
            <c:numRef>
              <c:f>Sheet1!$C$50:$C$52</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Sheet1!$A$68:$A$70</c:f>
              <c:strCache>
                <c:ptCount val="3"/>
                <c:pt idx="0">
                  <c:v>财政拨款收入支出决算结构图、单位万元</c:v>
                </c:pt>
                <c:pt idx="1">
                  <c:v>2018年</c:v>
                </c:pt>
                <c:pt idx="2">
                  <c:v>2019年</c:v>
                </c:pt>
              </c:strCache>
            </c:strRef>
          </c:cat>
          <c:val>
            <c:numRef>
              <c:f>Sheet1!$B$68:$B$70</c:f>
              <c:numCache>
                <c:formatCode>General</c:formatCode>
                <c:ptCount val="3"/>
                <c:pt idx="1">
                  <c:v>311.97</c:v>
                </c:pt>
                <c:pt idx="2">
                  <c:v>298.14</c:v>
                </c:pt>
              </c:numCache>
            </c:numRef>
          </c:val>
        </c:ser>
        <c:ser>
          <c:idx val="1"/>
          <c:order val="1"/>
          <c:invertIfNegative val="0"/>
          <c:dLbls>
            <c:delete val="1"/>
          </c:dLbls>
          <c:cat>
            <c:strRef>
              <c:f>Sheet1!$A$68:$A$70</c:f>
              <c:strCache>
                <c:ptCount val="3"/>
                <c:pt idx="0">
                  <c:v>财政拨款收入支出决算结构图、单位万元</c:v>
                </c:pt>
                <c:pt idx="1">
                  <c:v>2018年</c:v>
                </c:pt>
                <c:pt idx="2">
                  <c:v>2019年</c:v>
                </c:pt>
              </c:strCache>
            </c:strRef>
          </c:cat>
          <c:val>
            <c:numRef>
              <c:f>Sheet1!$C$68:$C$70</c:f>
              <c:numCache>
                <c:formatCode>General</c:formatCode>
                <c:ptCount val="3"/>
              </c:numCache>
            </c:numRef>
          </c:val>
        </c:ser>
        <c:dLbls>
          <c:showLegendKey val="0"/>
          <c:showVal val="0"/>
          <c:showCatName val="0"/>
          <c:showSerName val="0"/>
          <c:showPercent val="0"/>
          <c:showBubbleSize val="0"/>
        </c:dLbls>
        <c:gapWidth val="150"/>
        <c:overlap val="100"/>
        <c:axId val="216922752"/>
        <c:axId val="216969984"/>
      </c:barChart>
      <c:catAx>
        <c:axId val="2169227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969984"/>
        <c:crosses val="autoZero"/>
        <c:auto val="1"/>
        <c:lblAlgn val="ctr"/>
        <c:lblOffset val="100"/>
        <c:noMultiLvlLbl val="0"/>
      </c:catAx>
      <c:valAx>
        <c:axId val="216969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9227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Sheet1!$A$95:$A$97</c:f>
              <c:strCache>
                <c:ptCount val="3"/>
                <c:pt idx="0">
                  <c:v>一般公共预算财政拨款支出决算变动情况、单位万元</c:v>
                </c:pt>
                <c:pt idx="1">
                  <c:v>2018年</c:v>
                </c:pt>
                <c:pt idx="2">
                  <c:v>2019年</c:v>
                </c:pt>
              </c:strCache>
            </c:strRef>
          </c:cat>
          <c:val>
            <c:numRef>
              <c:f>Sheet1!$B$95:$B$97</c:f>
              <c:numCache>
                <c:formatCode>General</c:formatCode>
                <c:ptCount val="3"/>
                <c:pt idx="1">
                  <c:v>229.61</c:v>
                </c:pt>
                <c:pt idx="2">
                  <c:v>193.03</c:v>
                </c:pt>
              </c:numCache>
            </c:numRef>
          </c:val>
        </c:ser>
        <c:ser>
          <c:idx val="1"/>
          <c:order val="1"/>
          <c:invertIfNegative val="0"/>
          <c:dLbls>
            <c:delete val="1"/>
          </c:dLbls>
          <c:cat>
            <c:strRef>
              <c:f>Sheet1!$A$95:$A$97</c:f>
              <c:strCache>
                <c:ptCount val="3"/>
                <c:pt idx="0">
                  <c:v>一般公共预算财政拨款支出决算变动情况、单位万元</c:v>
                </c:pt>
                <c:pt idx="1">
                  <c:v>2018年</c:v>
                </c:pt>
                <c:pt idx="2">
                  <c:v>2019年</c:v>
                </c:pt>
              </c:strCache>
            </c:strRef>
          </c:cat>
          <c:val>
            <c:numRef>
              <c:f>Sheet1!$C$95:$C$97</c:f>
              <c:numCache>
                <c:formatCode>General</c:formatCode>
                <c:ptCount val="3"/>
              </c:numCache>
            </c:numRef>
          </c:val>
        </c:ser>
        <c:dLbls>
          <c:showLegendKey val="0"/>
          <c:showVal val="0"/>
          <c:showCatName val="0"/>
          <c:showSerName val="0"/>
          <c:showPercent val="0"/>
          <c:showBubbleSize val="0"/>
        </c:dLbls>
        <c:gapWidth val="150"/>
        <c:overlap val="100"/>
        <c:axId val="217053824"/>
        <c:axId val="217394176"/>
      </c:barChart>
      <c:catAx>
        <c:axId val="2170538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394176"/>
        <c:crosses val="autoZero"/>
        <c:auto val="1"/>
        <c:lblAlgn val="ctr"/>
        <c:lblOffset val="100"/>
        <c:noMultiLvlLbl val="0"/>
      </c:catAx>
      <c:valAx>
        <c:axId val="2173941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0538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1264216972878"/>
          <c:y val="0.101852034120735"/>
          <c:w val="0.538888888888889"/>
          <c:h val="0.898148148148148"/>
        </c:manualLayout>
      </c:layout>
      <c:pieChart>
        <c:varyColors val="1"/>
        <c:ser>
          <c:idx val="0"/>
          <c:order val="0"/>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Sheet1!$B$115:$B$119</c:f>
              <c:numCache>
                <c:formatCode>General</c:formatCode>
                <c:ptCount val="5"/>
                <c:pt idx="1">
                  <c:v>115.11</c:v>
                </c:pt>
                <c:pt idx="2">
                  <c:v>12.68</c:v>
                </c:pt>
                <c:pt idx="3">
                  <c:v>170.84</c:v>
                </c:pt>
                <c:pt idx="4">
                  <c:v>9.51</c:v>
                </c:pt>
              </c:numCache>
            </c:numRef>
          </c:val>
        </c:ser>
        <c:ser>
          <c:idx val="1"/>
          <c:order val="1"/>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Sheet1!$C$115:$C$119</c:f>
              <c:numCache>
                <c:formatCode>General</c:formatCode>
                <c:ptCount val="5"/>
              </c:numCache>
            </c:numRef>
          </c:val>
        </c:ser>
        <c:ser>
          <c:idx val="2"/>
          <c:order val="2"/>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Sheet1!$D$115:$D$119</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36154199475066"/>
          <c:y val="0.211382463910761"/>
          <c:w val="0.324956911636046"/>
          <c:h val="0.7855684055118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C5B2E-1F85-434A-9353-74BE1790AF2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1688</Words>
  <Characters>9624</Characters>
  <Lines>80</Lines>
  <Paragraphs>22</Paragraphs>
  <TotalTime>1</TotalTime>
  <ScaleCrop>false</ScaleCrop>
  <LinksUpToDate>false</LinksUpToDate>
  <CharactersWithSpaces>11290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2021-02-19T06:40:44Z</dcterms:modified>
  <dc:title>四川省***</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