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7" w:name="_GoBack"/>
      <w:bookmarkEnd w:id="77"/>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7425"/>
      <w:bookmarkStart w:id="5" w:name="_Toc15378441"/>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达州市达川区木子镇卫生院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12</w:t>
      </w:r>
      <w:r>
        <w:rPr>
          <w:rFonts w:hint="eastAsia"/>
        </w:rPr>
        <w:t>日</w:t>
      </w:r>
    </w:p>
    <w:p/>
    <w:p>
      <w:pPr>
        <w:pStyle w:val="11"/>
        <w:bidi w:val="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lang w:val="en-US" w:eastAsia="zh-CN"/>
        </w:rPr>
        <w:t>9</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23"/>
        <w:numPr>
          <w:ilvl w:val="0"/>
          <w:numId w:val="0"/>
        </w:numPr>
        <w:spacing w:line="580" w:lineRule="exact"/>
        <w:ind w:left="0" w:leftChars="0" w:firstLine="420" w:firstLineChars="150"/>
        <w:rPr>
          <w:rStyle w:val="15"/>
          <w:rFonts w:hint="default" w:ascii="仿宋" w:hAnsi="仿宋" w:eastAsia="仿宋" w:cstheme="majorBidi"/>
          <w:bCs/>
          <w:kern w:val="2"/>
          <w:sz w:val="28"/>
          <w:szCs w:val="28"/>
          <w:lang w:val="en-US" w:eastAsia="zh-CN" w:bidi="ar-SA"/>
        </w:rPr>
      </w:pPr>
      <w:r>
        <w:rPr>
          <w:rStyle w:val="15"/>
          <w:rFonts w:hint="eastAsia" w:ascii="仿宋" w:hAnsi="仿宋" w:eastAsia="仿宋" w:cstheme="majorBidi"/>
          <w:bCs/>
          <w:kern w:val="2"/>
          <w:sz w:val="28"/>
          <w:szCs w:val="28"/>
          <w:lang w:val="en-US" w:eastAsia="zh-CN" w:bidi="ar-SA"/>
        </w:rPr>
        <w:t>十、预算绩效情况说明..................................12</w:t>
      </w:r>
    </w:p>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25</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我院是一所一级</w:t>
      </w:r>
      <w:r>
        <w:rPr>
          <w:rFonts w:hint="eastAsia"/>
          <w:color w:val="000000"/>
          <w:sz w:val="32"/>
          <w:szCs w:val="32"/>
          <w:lang w:eastAsia="zh-CN"/>
        </w:rPr>
        <w:t>乙</w:t>
      </w:r>
      <w:r>
        <w:rPr>
          <w:rFonts w:hint="eastAsia" w:ascii="仿宋_GB2312" w:eastAsia="仿宋_GB2312"/>
          <w:color w:val="000000"/>
          <w:sz w:val="32"/>
          <w:szCs w:val="32"/>
          <w:lang w:eastAsia="zh-CN"/>
        </w:rPr>
        <w:t>等卫生院，</w:t>
      </w:r>
      <w:r>
        <w:rPr>
          <w:rFonts w:hint="eastAsia" w:ascii="仿宋_GB2312" w:eastAsia="仿宋_GB2312"/>
          <w:color w:val="000000"/>
          <w:sz w:val="32"/>
          <w:szCs w:val="32"/>
        </w:rPr>
        <w:t>在地方政府和卫生行政部门领导下，根据党的方针、政策及市、区卫</w:t>
      </w:r>
      <w:r>
        <w:rPr>
          <w:rFonts w:hint="eastAsia" w:ascii="仿宋_GB2312" w:eastAsia="仿宋_GB2312"/>
          <w:color w:val="000000"/>
          <w:sz w:val="32"/>
          <w:szCs w:val="32"/>
          <w:lang w:eastAsia="zh-CN"/>
        </w:rPr>
        <w:t>计</w:t>
      </w:r>
      <w:r>
        <w:rPr>
          <w:rFonts w:hint="eastAsia" w:ascii="仿宋_GB2312" w:eastAsia="仿宋_GB2312"/>
          <w:color w:val="000000"/>
          <w:sz w:val="32"/>
          <w:szCs w:val="32"/>
        </w:rPr>
        <w:t>局对乡镇卫生服务工作的总体要求</w:t>
      </w:r>
      <w:r>
        <w:rPr>
          <w:rFonts w:hint="eastAsia" w:ascii="仿宋_GB2312" w:eastAsia="仿宋_GB2312"/>
          <w:color w:val="000000"/>
          <w:sz w:val="32"/>
          <w:szCs w:val="32"/>
          <w:lang w:eastAsia="zh-CN"/>
        </w:rPr>
        <w:t>，开展</w:t>
      </w:r>
      <w:r>
        <w:rPr>
          <w:rFonts w:hint="eastAsia" w:ascii="仿宋_GB2312" w:eastAsia="仿宋_GB2312"/>
          <w:color w:val="000000"/>
          <w:sz w:val="32"/>
          <w:szCs w:val="32"/>
        </w:rPr>
        <w:t>以老年、妇女、儿童和慢性病人为重点的集预防、医疗、保健、康复、健康教育、计划生育指导为一体的综合性卫生服务。</w:t>
      </w:r>
      <w:r>
        <w:rPr>
          <w:rFonts w:hint="eastAsia" w:ascii="仿宋_GB2312" w:eastAsia="仿宋_GB2312"/>
          <w:color w:val="000000"/>
          <w:sz w:val="32"/>
          <w:szCs w:val="32"/>
          <w:lang w:eastAsia="zh-CN"/>
        </w:rPr>
        <w:t>我院</w:t>
      </w:r>
      <w:r>
        <w:rPr>
          <w:rFonts w:hint="eastAsia" w:ascii="仿宋_GB2312" w:eastAsia="仿宋_GB2312"/>
          <w:color w:val="000000"/>
          <w:sz w:val="32"/>
          <w:szCs w:val="32"/>
        </w:rPr>
        <w:t>现有在</w:t>
      </w:r>
      <w:r>
        <w:rPr>
          <w:rFonts w:hint="eastAsia"/>
          <w:color w:val="000000"/>
          <w:sz w:val="32"/>
          <w:szCs w:val="32"/>
          <w:lang w:eastAsia="zh-CN"/>
        </w:rPr>
        <w:t>编</w:t>
      </w:r>
      <w:r>
        <w:rPr>
          <w:rFonts w:hint="eastAsia" w:ascii="仿宋_GB2312" w:eastAsia="仿宋_GB2312"/>
          <w:color w:val="000000"/>
          <w:sz w:val="32"/>
          <w:szCs w:val="32"/>
        </w:rPr>
        <w:t>职工共</w:t>
      </w:r>
      <w:r>
        <w:rPr>
          <w:rFonts w:hint="eastAsia"/>
          <w:color w:val="000000"/>
          <w:sz w:val="32"/>
          <w:szCs w:val="32"/>
          <w:lang w:val="en-US" w:eastAsia="zh-CN"/>
        </w:rPr>
        <w:t>12</w:t>
      </w:r>
      <w:r>
        <w:rPr>
          <w:rFonts w:hint="eastAsia" w:ascii="仿宋_GB2312" w:eastAsia="仿宋_GB2312"/>
          <w:color w:val="000000"/>
          <w:sz w:val="32"/>
          <w:szCs w:val="32"/>
        </w:rPr>
        <w:t>人</w:t>
      </w:r>
      <w:bookmarkStart w:id="18" w:name="_Toc15378446"/>
      <w:bookmarkStart w:id="19" w:name="_Toc15377199"/>
      <w:r>
        <w:rPr>
          <w:rFonts w:hint="eastAsia"/>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atLeast"/>
        <w:ind w:firstLine="704" w:firstLineChars="220"/>
        <w:rPr>
          <w:rFonts w:hint="eastAsia" w:ascii="仿宋" w:hAnsi="仿宋" w:eastAsia="仿宋"/>
          <w:bCs/>
          <w:color w:val="000000"/>
          <w:sz w:val="32"/>
          <w:szCs w:val="32"/>
        </w:rPr>
      </w:pPr>
      <w:r>
        <w:rPr>
          <w:rFonts w:hint="eastAsia" w:ascii="仿宋_GB2312" w:hAnsi="Times New Roman" w:eastAsia="仿宋_GB2312" w:cs="Times New Roman"/>
          <w:sz w:val="32"/>
          <w:szCs w:val="32"/>
        </w:rPr>
        <w:t>201</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val="en-US" w:eastAsia="zh-CN"/>
        </w:rPr>
        <w:t>年</w:t>
      </w:r>
      <w:r>
        <w:rPr>
          <w:rFonts w:hint="eastAsia" w:ascii="仿宋_GB2312" w:hAnsi="Times New Roman" w:eastAsia="仿宋_GB2312" w:cs="Times New Roman"/>
          <w:sz w:val="32"/>
          <w:szCs w:val="32"/>
        </w:rPr>
        <w:t>达川区</w:t>
      </w:r>
      <w:r>
        <w:rPr>
          <w:rFonts w:hint="eastAsia" w:ascii="仿宋_GB2312" w:eastAsia="仿宋_GB2312" w:cs="Times New Roman"/>
          <w:sz w:val="32"/>
          <w:szCs w:val="32"/>
          <w:lang w:eastAsia="zh-CN"/>
        </w:rPr>
        <w:t>木子镇</w:t>
      </w:r>
      <w:r>
        <w:rPr>
          <w:rFonts w:hint="eastAsia" w:ascii="仿宋_GB2312" w:hAnsi="Times New Roman" w:eastAsia="仿宋_GB2312" w:cs="Times New Roman"/>
          <w:sz w:val="32"/>
          <w:szCs w:val="32"/>
        </w:rPr>
        <w:t>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20" w:name="OLE_LINK1"/>
      <w:r>
        <w:rPr>
          <w:rFonts w:hint="eastAsia" w:ascii="仿宋_GB2312" w:hAnsi="Times New Roman" w:eastAsia="仿宋_GB2312" w:cs="Times New Roman"/>
          <w:sz w:val="32"/>
          <w:szCs w:val="32"/>
          <w:rtl w:val="0"/>
        </w:rPr>
        <w:t>坚持以“三个代表”重要思想为指导，认真贯彻落实党的</w:t>
      </w:r>
      <w:r>
        <w:rPr>
          <w:rFonts w:hint="eastAsia" w:ascii="仿宋_GB2312" w:hAnsi="Times New Roman" w:eastAsia="仿宋_GB2312" w:cs="Times New Roman"/>
          <w:sz w:val="32"/>
          <w:szCs w:val="32"/>
          <w:rtl w:val="0"/>
          <w:lang w:eastAsia="zh-CN"/>
        </w:rPr>
        <w:t>十九</w:t>
      </w:r>
      <w:r>
        <w:rPr>
          <w:rFonts w:hint="eastAsia" w:ascii="仿宋_GB2312" w:hAnsi="Times New Roman" w:eastAsia="仿宋_GB2312" w:cs="Times New Roman"/>
          <w:sz w:val="32"/>
          <w:szCs w:val="32"/>
          <w:rtl w:val="0"/>
        </w:rPr>
        <w:t>大精神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认真贯彻落实国家新冠肺炎防控相关政策和要求</w:t>
      </w:r>
      <w:bookmarkEnd w:id="20"/>
      <w:r>
        <w:rPr>
          <w:rFonts w:hint="eastAsia" w:ascii="仿宋_GB2312" w:eastAsia="仿宋_GB2312" w:cs="Times New Roman"/>
          <w:sz w:val="32"/>
          <w:szCs w:val="32"/>
          <w:lang w:eastAsia="zh-CN"/>
        </w:rPr>
        <w:t>，坚决做好疫情防控工作，</w:t>
      </w:r>
      <w:r>
        <w:rPr>
          <w:rFonts w:hint="eastAsia" w:ascii="仿宋_GB2312" w:hAnsi="Times New Roman" w:eastAsia="仿宋_GB2312" w:cs="Times New Roman"/>
          <w:sz w:val="32"/>
          <w:szCs w:val="32"/>
          <w:rtl w:val="0"/>
        </w:rPr>
        <w:t>强化“以病人为中心，以质量为核心”的服务理念</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加强政治思想和医德医风教育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抓好医疗核心制度落实，严格</w:t>
      </w:r>
      <w:r>
        <w:rPr>
          <w:rFonts w:hint="eastAsia" w:ascii="仿宋_GB2312" w:hAnsi="Times New Roman" w:eastAsia="仿宋_GB2312" w:cs="Times New Roman"/>
          <w:sz w:val="32"/>
          <w:szCs w:val="32"/>
          <w:lang w:eastAsia="zh-CN"/>
        </w:rPr>
        <w:t>医疗保险</w:t>
      </w:r>
      <w:r>
        <w:rPr>
          <w:rFonts w:hint="eastAsia" w:ascii="仿宋_GB2312" w:hAnsi="Times New Roman" w:eastAsia="仿宋_GB2312" w:cs="Times New Roman"/>
          <w:sz w:val="32"/>
          <w:szCs w:val="32"/>
        </w:rPr>
        <w:t>制度和基</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公共卫生项目实施，努力做好辖区内疾病预防控制工作，严格执行药品网上采购“阳光采购”方案</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基本药物制度和抗菌药物应用管理的规定。</w:t>
      </w:r>
    </w:p>
    <w:p>
      <w:pPr>
        <w:adjustRightInd w:val="0"/>
        <w:snapToGrid w:val="0"/>
        <w:spacing w:line="600" w:lineRule="atLeast"/>
        <w:ind w:firstLine="704" w:firstLineChars="220"/>
        <w:rPr>
          <w:rFonts w:hint="eastAsia" w:ascii="仿宋" w:hAnsi="仿宋" w:eastAsia="仿宋"/>
          <w:bCs/>
          <w:color w:val="000000"/>
          <w:sz w:val="32"/>
          <w:szCs w:val="32"/>
        </w:rPr>
      </w:pPr>
    </w:p>
    <w:p>
      <w:pPr>
        <w:pStyle w:val="3"/>
        <w:rPr>
          <w:rStyle w:val="25"/>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line="600" w:lineRule="exact"/>
        <w:ind w:firstLine="672" w:firstLineChars="210"/>
        <w:rPr>
          <w:rFonts w:hint="eastAsia"/>
          <w:color w:val="000000"/>
          <w:sz w:val="32"/>
          <w:szCs w:val="32"/>
        </w:rPr>
      </w:pPr>
      <w:r>
        <w:rPr>
          <w:rFonts w:hint="eastAsia"/>
          <w:color w:val="000000"/>
          <w:sz w:val="32"/>
          <w:szCs w:val="32"/>
        </w:rPr>
        <w:t> </w:t>
      </w:r>
      <w:r>
        <w:rPr>
          <w:rFonts w:hint="eastAsia"/>
          <w:color w:val="000000"/>
          <w:sz w:val="32"/>
          <w:szCs w:val="32"/>
          <w:lang w:eastAsia="zh-CN"/>
        </w:rPr>
        <w:t>201</w:t>
      </w:r>
      <w:r>
        <w:rPr>
          <w:rFonts w:hint="eastAsia"/>
          <w:color w:val="000000"/>
          <w:sz w:val="32"/>
          <w:szCs w:val="32"/>
          <w:lang w:val="en-US" w:eastAsia="zh-CN"/>
        </w:rPr>
        <w:t>9</w:t>
      </w:r>
      <w:r>
        <w:rPr>
          <w:rFonts w:hint="eastAsia" w:hAnsi="仿宋" w:cs="仿宋"/>
          <w:color w:val="000000"/>
          <w:sz w:val="32"/>
          <w:szCs w:val="32"/>
        </w:rPr>
        <w:t>年度，纳入本部门决算汇编范围的独立核算单位共</w:t>
      </w:r>
      <w:r>
        <w:rPr>
          <w:rFonts w:hint="eastAsia"/>
          <w:color w:val="000000"/>
          <w:sz w:val="32"/>
          <w:szCs w:val="32"/>
        </w:rPr>
        <w:t>   1  </w:t>
      </w:r>
      <w:r>
        <w:rPr>
          <w:rFonts w:hint="eastAsia" w:hAnsi="仿宋" w:cs="仿宋"/>
          <w:color w:val="000000"/>
          <w:sz w:val="32"/>
          <w:szCs w:val="32"/>
        </w:rPr>
        <w:t>个</w:t>
      </w:r>
      <w:r>
        <w:rPr>
          <w:rFonts w:hint="eastAsia"/>
          <w:color w:val="000000"/>
          <w:sz w:val="32"/>
          <w:szCs w:val="32"/>
        </w:rPr>
        <w:t>。</w:t>
      </w:r>
    </w:p>
    <w:p>
      <w:pPr>
        <w:ind w:firstLine="800" w:firstLineChars="250"/>
        <w:rPr>
          <w:rFonts w:ascii="仿宋" w:hAnsi="仿宋" w:eastAsia="仿宋"/>
          <w:sz w:val="32"/>
          <w:szCs w:val="32"/>
        </w:rPr>
      </w:pPr>
    </w:p>
    <w:p>
      <w:pPr>
        <w:pStyle w:val="5"/>
        <w:adjustRightInd w:val="0"/>
        <w:snapToGrid w:val="0"/>
        <w:spacing w:before="93" w:line="600" w:lineRule="exac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96602"/>
      <w:bookmarkStart w:id="24"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w:t>
      </w:r>
      <w:r>
        <w:rPr>
          <w:rStyle w:val="24"/>
          <w:rFonts w:hint="eastAsia" w:ascii="黑体" w:hAnsi="黑体" w:eastAsia="黑体"/>
          <w:b w:val="0"/>
          <w:bCs w:val="0"/>
          <w:lang w:val="en-US" w:eastAsia="zh-CN"/>
        </w:rPr>
        <w:t>9</w:t>
      </w:r>
      <w:r>
        <w:rPr>
          <w:rStyle w:val="24"/>
          <w:rFonts w:hint="eastAsia" w:ascii="黑体" w:hAnsi="黑体" w:eastAsia="黑体"/>
          <w:b w:val="0"/>
          <w:bCs w:val="0"/>
        </w:rPr>
        <w:t>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498</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77.12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18.32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本年度医疗收入增加。</w:t>
      </w: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415.11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203.97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49.14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211.14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50.86</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sz w:val="32"/>
          <w:szCs w:val="32"/>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417.73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329.81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78.95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87.92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21.05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240" w:lineRule="auto"/>
        <w:ind w:firstLine="640"/>
        <w:rPr>
          <w:rFonts w:hint="eastAsia" w:ascii="仿宋" w:hAnsi="仿宋" w:eastAsia="仿宋"/>
          <w:color w:val="000000"/>
          <w:sz w:val="32"/>
          <w:szCs w:val="32"/>
        </w:rPr>
      </w:pPr>
      <w:r>
        <w:drawing>
          <wp:inline distT="0" distB="0" distL="114300" distR="114300">
            <wp:extent cx="5269230" cy="3145790"/>
            <wp:effectExtent l="4445" t="4445" r="2222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96606"/>
      <w:bookmarkStart w:id="32"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hint="eastAsia" w:ascii="仿宋" w:hAnsi="仿宋" w:eastAsia="仿宋" w:cs="Times New Roman"/>
          <w:color w:val="000000"/>
          <w:sz w:val="32"/>
          <w:szCs w:val="32"/>
          <w:lang w:val="en-US" w:eastAsia="en-US"/>
        </w:rPr>
      </w:pP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rPr>
        <w:t>年财政拨款收、支总计</w:t>
      </w:r>
      <w:r>
        <w:rPr>
          <w:rFonts w:hint="eastAsia" w:ascii="仿宋" w:hAnsi="仿宋" w:eastAsia="仿宋" w:cs="Times New Roman"/>
          <w:color w:val="000000"/>
          <w:sz w:val="32"/>
          <w:szCs w:val="32"/>
          <w:lang w:val="en-US" w:eastAsia="zh-CN"/>
        </w:rPr>
        <w:t>286.86</w:t>
      </w:r>
      <w:r>
        <w:rPr>
          <w:rFonts w:hint="eastAsia" w:ascii="仿宋" w:hAnsi="仿宋" w:eastAsia="仿宋" w:cs="Times New Roman"/>
          <w:color w:val="000000"/>
          <w:sz w:val="32"/>
          <w:szCs w:val="32"/>
        </w:rPr>
        <w:t>万元。与</w:t>
      </w:r>
      <w:r>
        <w:rPr>
          <w:rFonts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8</w:t>
      </w:r>
      <w:r>
        <w:rPr>
          <w:rFonts w:hint="eastAsia" w:ascii="仿宋" w:hAnsi="仿宋" w:eastAsia="仿宋" w:cs="Times New Roman"/>
          <w:color w:val="000000"/>
          <w:sz w:val="32"/>
          <w:szCs w:val="32"/>
        </w:rPr>
        <w:t>年相比，财政拨款收、支总计各</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51.56</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21.91</w:t>
      </w:r>
      <w:r>
        <w:rPr>
          <w:rFonts w:ascii="仿宋" w:hAnsi="仿宋" w:eastAsia="仿宋" w:cs="Times New Roman"/>
          <w:color w:val="000000"/>
          <w:sz w:val="32"/>
          <w:szCs w:val="32"/>
        </w:rPr>
        <w:t>%</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主要变动原因是</w:t>
      </w:r>
      <w:r>
        <w:rPr>
          <w:rFonts w:hint="eastAsia" w:ascii="仿宋" w:hAnsi="仿宋" w:eastAsia="仿宋" w:cs="Times New Roman"/>
          <w:color w:val="000000"/>
          <w:sz w:val="32"/>
          <w:szCs w:val="32"/>
          <w:lang w:val="en-US" w:eastAsia="en-US"/>
        </w:rPr>
        <w:t>对往年财政拨款结转资金的支付力度</w:t>
      </w:r>
      <w:r>
        <w:rPr>
          <w:rFonts w:hint="eastAsia" w:ascii="仿宋" w:hAnsi="仿宋" w:eastAsia="仿宋" w:cs="Times New Roman"/>
          <w:color w:val="000000"/>
          <w:sz w:val="32"/>
          <w:szCs w:val="32"/>
          <w:lang w:val="en-US" w:eastAsia="zh-CN"/>
        </w:rPr>
        <w:t>略有下降</w:t>
      </w:r>
      <w:r>
        <w:rPr>
          <w:rFonts w:hint="eastAsia" w:ascii="仿宋" w:hAnsi="仿宋" w:eastAsia="仿宋" w:cs="Times New Roman"/>
          <w:color w:val="000000"/>
          <w:sz w:val="32"/>
          <w:szCs w:val="32"/>
          <w:lang w:val="en-US" w:eastAsia="en-US"/>
        </w:rPr>
        <w:t>，</w:t>
      </w:r>
      <w:r>
        <w:rPr>
          <w:rFonts w:hint="eastAsia" w:ascii="仿宋" w:hAnsi="仿宋" w:eastAsia="仿宋" w:cs="Times New Roman"/>
          <w:color w:val="000000"/>
          <w:sz w:val="32"/>
          <w:szCs w:val="32"/>
          <w:lang w:val="en-US" w:eastAsia="zh-CN"/>
        </w:rPr>
        <w:t>财政拨款收入增加</w:t>
      </w:r>
      <w:r>
        <w:rPr>
          <w:rFonts w:hint="eastAsia" w:ascii="仿宋" w:hAnsi="仿宋" w:eastAsia="仿宋" w:cs="Times New Roman"/>
          <w:color w:val="000000"/>
          <w:sz w:val="32"/>
          <w:szCs w:val="32"/>
          <w:lang w:val="en-US" w:eastAsia="en-US"/>
        </w:rPr>
        <w:t>。</w:t>
      </w: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olor w:val="000000"/>
          <w:sz w:val="32"/>
          <w:szCs w:val="32"/>
          <w:lang w:eastAsia="zh-CN"/>
        </w:rPr>
      </w:pPr>
      <w:r>
        <w:drawing>
          <wp:anchor distT="0" distB="0" distL="114300" distR="114300" simplePos="0" relativeHeight="251672576"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1280" w:firstLineChars="4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206.59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49.46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w:t>
      </w:r>
      <w:r>
        <w:rPr>
          <w:rFonts w:hint="eastAsia" w:ascii="仿宋" w:hAnsi="仿宋" w:eastAsia="仿宋"/>
          <w:color w:val="000000"/>
          <w:sz w:val="32"/>
          <w:szCs w:val="32"/>
          <w:lang w:eastAsia="zh-CN"/>
        </w:rPr>
        <w:t>款增加</w:t>
      </w:r>
      <w:r>
        <w:rPr>
          <w:rFonts w:hint="eastAsia" w:ascii="仿宋" w:hAnsi="仿宋" w:eastAsia="仿宋"/>
          <w:color w:val="000000"/>
          <w:sz w:val="32"/>
          <w:szCs w:val="32"/>
          <w:lang w:val="en-US" w:eastAsia="zh-CN"/>
        </w:rPr>
        <w:t>54.18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35.55</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是本年基本支出财政拨款增加。</w:t>
      </w: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r>
        <w:drawing>
          <wp:anchor distT="0" distB="0" distL="114300" distR="114300" simplePos="0" relativeHeight="251673600" behindDoc="0" locked="0" layoutInCell="1" allowOverlap="1">
            <wp:simplePos x="0" y="0"/>
            <wp:positionH relativeFrom="column">
              <wp:posOffset>404495</wp:posOffset>
            </wp:positionH>
            <wp:positionV relativeFrom="paragraph">
              <wp:posOffset>-2453005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30" w:firstLineChars="300"/>
      </w:pPr>
    </w:p>
    <w:p>
      <w:pPr>
        <w:spacing w:line="60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206.59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16.8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卫生健康支出（类）</w:t>
      </w:r>
      <w:r>
        <w:rPr>
          <w:rFonts w:hint="eastAsia" w:ascii="仿宋" w:hAnsi="仿宋" w:eastAsia="仿宋"/>
          <w:color w:val="000000" w:themeColor="text1"/>
          <w:sz w:val="32"/>
          <w:szCs w:val="32"/>
          <w:lang w:val="en-US" w:eastAsia="zh-CN"/>
          <w14:textFill>
            <w14:solidFill>
              <w14:schemeClr w14:val="tx1"/>
            </w14:solidFill>
          </w14:textFill>
        </w:rPr>
        <w:t>178.96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86.63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10.83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5.24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74624" behindDoc="0" locked="0" layoutInCell="1" allowOverlap="1">
            <wp:simplePos x="0" y="0"/>
            <wp:positionH relativeFrom="column">
              <wp:posOffset>433070</wp:posOffset>
            </wp:positionH>
            <wp:positionV relativeFrom="paragraph">
              <wp:posOffset>137795</wp:posOffset>
            </wp:positionV>
            <wp:extent cx="4458335" cy="2430145"/>
            <wp:effectExtent l="4445" t="4445" r="13970" b="22860"/>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Style w:val="14"/>
          <w:rFonts w:hint="eastAsia" w:ascii="仿宋" w:hAnsi="仿宋" w:eastAsia="仿宋"/>
          <w:bCs/>
          <w:color w:val="000000"/>
          <w:sz w:val="32"/>
          <w:szCs w:val="32"/>
        </w:rPr>
      </w:pPr>
      <w:bookmarkStart w:id="38" w:name="_Toc15378460"/>
      <w:bookmarkStart w:id="39" w:name="_Toc15377444"/>
      <w:bookmarkStart w:id="40" w:name="_Toc15377213"/>
      <w:r>
        <w:rPr>
          <w:rFonts w:hint="eastAsia" w:ascii="仿宋" w:hAnsi="仿宋" w:eastAsia="仿宋"/>
          <w:b/>
          <w:color w:val="000000" w:themeColor="text1"/>
          <w:sz w:val="32"/>
          <w:szCs w:val="32"/>
          <w14:textFill>
            <w14:solidFill>
              <w14:schemeClr w14:val="tx1"/>
            </w14:solidFill>
          </w14:textFill>
        </w:rPr>
        <w:t>201</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206.59</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101.28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1</w:t>
      </w:r>
      <w:r>
        <w:rPr>
          <w:rStyle w:val="14"/>
          <w:rFonts w:hint="eastAsia" w:ascii="仿宋_GB2312" w:eastAsia="仿宋_GB2312"/>
          <w:color w:val="000000"/>
          <w:sz w:val="32"/>
          <w:szCs w:val="32"/>
        </w:rPr>
        <w:t>.社会保障和就业（208）行政事业单位离退休（20805）机关事业单位基本养老保险缴费支出（2080505）:</w:t>
      </w:r>
      <w:r>
        <w:rPr>
          <w:rFonts w:hint="eastAsia" w:ascii="仿宋_GB2312" w:hAnsi="Times New Roman" w:eastAsia="仿宋_GB2312" w:cs="Times New Roman"/>
          <w:color w:val="000000"/>
          <w:sz w:val="32"/>
          <w:szCs w:val="32"/>
          <w:lang w:eastAsia="zh-CN"/>
        </w:rPr>
        <w:t>支出</w:t>
      </w:r>
      <w:r>
        <w:rPr>
          <w:rFonts w:hint="eastAsia" w:ascii="仿宋_GB2312" w:eastAsia="仿宋_GB2312"/>
          <w:color w:val="000000"/>
          <w:sz w:val="32"/>
          <w:szCs w:val="32"/>
        </w:rPr>
        <w:t>决算为</w:t>
      </w:r>
      <w:r>
        <w:rPr>
          <w:rFonts w:hint="eastAsia" w:ascii="仿宋_GB2312" w:eastAsia="仿宋_GB2312"/>
          <w:color w:val="000000"/>
          <w:sz w:val="32"/>
          <w:szCs w:val="32"/>
          <w:lang w:eastAsia="zh-CN"/>
        </w:rPr>
        <w:t>数</w:t>
      </w:r>
      <w:r>
        <w:rPr>
          <w:rFonts w:hint="eastAsia" w:ascii="仿宋_GB2312" w:eastAsia="仿宋_GB2312"/>
          <w:color w:val="000000"/>
          <w:sz w:val="32"/>
          <w:szCs w:val="32"/>
          <w:lang w:val="en-US" w:eastAsia="zh-CN"/>
        </w:rPr>
        <w:t>14.44万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_GB2312" w:eastAsia="仿宋_GB2312"/>
          <w:color w:val="000000"/>
          <w:sz w:val="32"/>
          <w:szCs w:val="32"/>
          <w:lang w:val="en-US" w:eastAsia="zh-CN"/>
        </w:rPr>
        <w:t>2</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乡镇卫生院(2100302):</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84.89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完成预算103.18%。</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本年财政拨款支出有所增加。</w:t>
      </w:r>
    </w:p>
    <w:p>
      <w:pPr>
        <w:ind w:firstLine="630"/>
        <w:rPr>
          <w:rFonts w:hint="eastAsia" w:ascii="仿宋_GB2312" w:eastAsia="仿宋_GB2312"/>
          <w:color w:val="000000"/>
          <w:sz w:val="32"/>
          <w:szCs w:val="32"/>
          <w:lang w:eastAsia="zh-CN"/>
        </w:rPr>
      </w:pPr>
      <w:r>
        <w:rPr>
          <w:rStyle w:val="14"/>
          <w:rFonts w:hint="eastAsia" w:ascii="仿宋_GB2312" w:eastAsia="仿宋_GB2312"/>
          <w:color w:val="000000"/>
          <w:sz w:val="32"/>
          <w:szCs w:val="32"/>
          <w:lang w:val="en-US" w:eastAsia="zh-CN"/>
        </w:rPr>
        <w:t>3</w:t>
      </w:r>
      <w:r>
        <w:rPr>
          <w:rStyle w:val="14"/>
          <w:rFonts w:hint="eastAsia" w:ascii="仿宋_GB2312" w:eastAsia="仿宋_GB2312"/>
          <w:color w:val="000000"/>
          <w:sz w:val="32"/>
          <w:szCs w:val="32"/>
        </w:rPr>
        <w:t>.医疗卫生与计划生育（210）基层医疗卫生机构（21003）其他基层医疗卫生机构支出（2100399）：</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15.48</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ind w:firstLine="63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14"/>
          <w:rFonts w:hint="eastAsia" w:ascii="仿宋_GB2312" w:eastAsia="仿宋_GB2312"/>
          <w:color w:val="000000"/>
          <w:sz w:val="32"/>
          <w:szCs w:val="32"/>
        </w:rPr>
        <w:t xml:space="preserve"> 医疗卫生与计划生育（210）公共卫生（21004）基本公共卫生服务（2100408）：</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72.44</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.住房保障支出(221)-住房改革支出(22102)- 住房公积金(2210201):</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10.83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医疗保障</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 xml:space="preserve">)- </w:t>
      </w:r>
      <w:r>
        <w:rPr>
          <w:rStyle w:val="14"/>
          <w:rFonts w:hint="eastAsia" w:ascii="仿宋_GB2312" w:eastAsia="仿宋_GB2312"/>
          <w:color w:val="000000"/>
          <w:sz w:val="32"/>
          <w:szCs w:val="32"/>
          <w:lang w:eastAsia="zh-CN"/>
        </w:rPr>
        <w:t>事业单位医疗</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02):</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w:t>
      </w:r>
      <w:r>
        <w:rPr>
          <w:rFonts w:hint="eastAsia" w:ascii="仿宋_GB2312" w:eastAsia="仿宋_GB2312"/>
          <w:color w:val="000000"/>
          <w:sz w:val="32"/>
          <w:szCs w:val="32"/>
          <w:lang w:eastAsia="zh-CN"/>
        </w:rPr>
        <w:t>为</w:t>
      </w:r>
      <w:r>
        <w:rPr>
          <w:rFonts w:hint="eastAsia" w:ascii="仿宋_GB2312" w:eastAsia="仿宋_GB2312"/>
          <w:color w:val="000000"/>
          <w:sz w:val="32"/>
          <w:szCs w:val="32"/>
          <w:lang w:val="en-US" w:eastAsia="zh-CN"/>
        </w:rPr>
        <w:t>6.15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7</w:t>
      </w:r>
      <w:r>
        <w:rPr>
          <w:rStyle w:val="14"/>
          <w:rFonts w:hint="eastAsia" w:ascii="仿宋_GB2312" w:eastAsia="仿宋_GB2312"/>
          <w:color w:val="000000"/>
          <w:sz w:val="32"/>
          <w:szCs w:val="32"/>
        </w:rPr>
        <w:t>.社会保障和就业（208）行政事业单位离退休（20805）  机关事业单位职业年金缴费支出（208050</w:t>
      </w: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2.36万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118.67</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106.66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12.01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hint="eastAsia"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outlineLvl w:val="1"/>
        <w:rPr>
          <w:rStyle w:val="25"/>
          <w:rFonts w:ascii="黑体" w:hAnsi="黑体" w:eastAsia="黑体"/>
        </w:rPr>
      </w:pPr>
      <w:bookmarkStart w:id="47" w:name="_Toc15377218"/>
      <w:bookmarkStart w:id="48"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无</w:t>
      </w:r>
    </w:p>
    <w:p>
      <w:pPr>
        <w:numPr>
          <w:ilvl w:val="0"/>
          <w:numId w:val="2"/>
        </w:numPr>
        <w:spacing w:line="600" w:lineRule="exact"/>
        <w:ind w:firstLine="640"/>
        <w:outlineLvl w:val="1"/>
        <w:rPr>
          <w:rStyle w:val="25"/>
          <w:rFonts w:ascii="黑体" w:hAnsi="黑体" w:eastAsia="黑体"/>
          <w:b w:val="0"/>
        </w:rPr>
      </w:pPr>
      <w:bookmarkStart w:id="49" w:name="_Toc15377219"/>
      <w:bookmarkStart w:id="50" w:name="_Toc15396611"/>
      <w:r>
        <w:rPr>
          <w:rStyle w:val="25"/>
          <w:rFonts w:hint="eastAsia" w:ascii="黑体" w:hAnsi="黑体" w:eastAsia="黑体"/>
          <w:b w:val="0"/>
        </w:rPr>
        <w:t>国有资本经营预算支出决算情况说明</w:t>
      </w:r>
      <w:bookmarkEnd w:id="49"/>
      <w:bookmarkEnd w:id="50"/>
    </w:p>
    <w:p>
      <w:pPr>
        <w:numPr>
          <w:ilvl w:val="0"/>
          <w:numId w:val="0"/>
        </w:numPr>
        <w:spacing w:line="600" w:lineRule="exact"/>
        <w:outlineLvl w:val="1"/>
        <w:rPr>
          <w:rStyle w:val="25"/>
          <w:rFonts w:hint="default" w:ascii="黑体" w:hAnsi="黑体" w:eastAsia="黑体"/>
          <w:b w:val="0"/>
          <w:lang w:val="en-US" w:eastAsia="zh-CN"/>
        </w:rPr>
      </w:pPr>
      <w:r>
        <w:rPr>
          <w:rStyle w:val="25"/>
          <w:rFonts w:hint="eastAsia" w:ascii="黑体" w:hAnsi="黑体" w:eastAsia="黑体"/>
          <w:b w:val="0"/>
          <w:lang w:val="en-US" w:eastAsia="zh-CN"/>
        </w:rPr>
        <w:t xml:space="preserve">    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年部门整体支出开展绩效自评，从评价情况来看本单位按要求对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年单位整体支出开展绩效自评，从评价情况来看，本单位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15.48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15.48</w:t>
      </w:r>
      <w:r>
        <w:rPr>
          <w:rFonts w:hint="eastAsia" w:ascii="仿宋_GB2312" w:hAnsi="仿宋_GB2312" w:eastAsia="仿宋_GB2312" w:cs="仿宋_GB2312"/>
          <w:sz w:val="32"/>
          <w:szCs w:val="32"/>
        </w:rPr>
        <w:t>万元，完成预算的100%。通过项目实施，保障了201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72.44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72.44</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木子镇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15.48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15.48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15.48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15.48</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15.48</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15.48</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w:t>
            </w:r>
            <w:r>
              <w:rPr>
                <w:rFonts w:hint="eastAsia" w:ascii="宋体" w:hAnsi="宋体" w:cs="宋体"/>
                <w:color w:val="000000"/>
                <w:sz w:val="24"/>
                <w:lang w:val="en-US" w:eastAsia="zh-CN"/>
              </w:rPr>
              <w:t>98</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6</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木子镇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72.44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72.44</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72.44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72.44</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72.44</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72.44</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w:t>
            </w:r>
            <w:r>
              <w:rPr>
                <w:rFonts w:hint="eastAsia" w:ascii="宋体" w:hAnsi="宋体" w:cs="宋体"/>
                <w:color w:val="000000"/>
                <w:sz w:val="24"/>
                <w:lang w:val="en-US" w:eastAsia="zh-CN"/>
              </w:rPr>
              <w:t>72.44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w:t>
            </w:r>
            <w:r>
              <w:rPr>
                <w:rFonts w:hint="eastAsia" w:ascii="宋体" w:hAnsi="宋体" w:cs="宋体"/>
                <w:color w:val="000000"/>
                <w:sz w:val="24"/>
                <w:lang w:val="en-US" w:eastAsia="zh-CN"/>
              </w:rPr>
              <w:t>95</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1</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6</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Style w:val="25"/>
          <w:rFonts w:hint="eastAsia" w:ascii="黑体" w:hAnsi="黑体" w:eastAsia="黑体"/>
          <w:b w:val="0"/>
          <w:lang w:eastAsia="zh-CN"/>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年部门整体支出绩效评价情况开展自评，《四川省达州市达川区</w:t>
      </w:r>
      <w:r>
        <w:rPr>
          <w:rFonts w:hint="eastAsia" w:ascii="仿宋_GB2312" w:hAnsi="仿宋_GB2312" w:eastAsia="仿宋_GB2312" w:cs="仿宋_GB2312"/>
          <w:sz w:val="32"/>
          <w:szCs w:val="32"/>
          <w:lang w:eastAsia="zh-CN"/>
        </w:rPr>
        <w:t>木子镇</w:t>
      </w:r>
      <w:r>
        <w:rPr>
          <w:rFonts w:hint="eastAsia" w:ascii="仿宋_GB2312" w:hAnsi="仿宋_GB2312" w:eastAsia="仿宋_GB2312" w:cs="仿宋_GB2312"/>
          <w:sz w:val="32"/>
          <w:szCs w:val="32"/>
        </w:rPr>
        <w:t>卫生院201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年部门整体支出绩效评价报告》见附件。本部门未自行组织其他项目绩效评价。</w:t>
      </w:r>
    </w:p>
    <w:p>
      <w:pPr>
        <w:spacing w:line="600" w:lineRule="exact"/>
        <w:ind w:firstLine="640" w:firstLineChars="200"/>
        <w:outlineLvl w:val="1"/>
        <w:rPr>
          <w:rStyle w:val="25"/>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b/>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5" w:name="_Toc15377224"/>
      <w:r>
        <w:rPr>
          <w:rFonts w:hint="eastAsia" w:ascii="仿宋" w:hAnsi="仿宋" w:eastAsia="仿宋"/>
          <w:b/>
          <w:color w:val="000000"/>
          <w:sz w:val="32"/>
          <w:szCs w:val="32"/>
        </w:rPr>
        <w:t>国有资产占有使用情况</w:t>
      </w:r>
      <w:bookmarkEnd w:id="55"/>
    </w:p>
    <w:p>
      <w:pPr>
        <w:spacing w:line="600" w:lineRule="exact"/>
        <w:ind w:firstLine="645"/>
        <w:rPr>
          <w:rFonts w:eastAsia="仿宋_GB2312"/>
          <w:color w:val="000000"/>
          <w:kern w:val="0"/>
          <w:sz w:val="32"/>
          <w:szCs w:val="32"/>
        </w:rPr>
      </w:pPr>
      <w:r>
        <w:rPr>
          <w:rFonts w:hint="eastAsia" w:ascii="仿宋" w:hAnsi="仿宋" w:eastAsia="仿宋"/>
          <w:b/>
          <w:color w:val="000000"/>
          <w:sz w:val="32"/>
          <w:szCs w:val="32"/>
          <w:lang w:val="en-US" w:eastAsia="zh-CN"/>
        </w:rPr>
        <w:t xml:space="preserve"> </w:t>
      </w:r>
      <w:r>
        <w:rPr>
          <w:rFonts w:eastAsia="仿宋_GB2312"/>
          <w:color w:val="000000"/>
          <w:kern w:val="0"/>
          <w:sz w:val="32"/>
          <w:szCs w:val="32"/>
        </w:rPr>
        <w:t>截至201</w:t>
      </w:r>
      <w:r>
        <w:rPr>
          <w:rFonts w:hint="eastAsia" w:eastAsia="仿宋_GB2312"/>
          <w:color w:val="000000"/>
          <w:kern w:val="0"/>
          <w:sz w:val="32"/>
          <w:szCs w:val="32"/>
          <w:lang w:val="en-US" w:eastAsia="zh-CN"/>
        </w:rPr>
        <w:t>9</w:t>
      </w:r>
      <w:r>
        <w:rPr>
          <w:rFonts w:eastAsia="仿宋_GB2312"/>
          <w:color w:val="000000"/>
          <w:kern w:val="0"/>
          <w:sz w:val="32"/>
          <w:szCs w:val="32"/>
        </w:rPr>
        <w:t>年12月31日，达州市达川区</w:t>
      </w:r>
      <w:r>
        <w:rPr>
          <w:rFonts w:hint="eastAsia" w:eastAsia="仿宋_GB2312"/>
          <w:color w:val="000000"/>
          <w:kern w:val="0"/>
          <w:sz w:val="32"/>
          <w:szCs w:val="32"/>
          <w:lang w:eastAsia="zh-CN"/>
        </w:rPr>
        <w:t>木子镇</w:t>
      </w:r>
      <w:r>
        <w:rPr>
          <w:rFonts w:eastAsia="仿宋_GB2312"/>
          <w:color w:val="000000"/>
          <w:kern w:val="0"/>
          <w:sz w:val="32"/>
          <w:szCs w:val="32"/>
        </w:rPr>
        <w:t>卫生院共有车辆1辆，其中：特种专业技术用车1辆（救护车1</w:t>
      </w:r>
      <w:r>
        <w:rPr>
          <w:rFonts w:hint="eastAsia" w:eastAsia="仿宋_GB2312"/>
          <w:color w:val="000000"/>
          <w:kern w:val="0"/>
          <w:sz w:val="32"/>
          <w:szCs w:val="32"/>
          <w:lang w:eastAsia="zh-CN"/>
        </w:rPr>
        <w:t>辆</w:t>
      </w:r>
      <w:r>
        <w:rPr>
          <w:rFonts w:eastAsia="仿宋_GB2312"/>
          <w:color w:val="000000"/>
          <w:kern w:val="0"/>
          <w:sz w:val="32"/>
          <w:szCs w:val="32"/>
        </w:rPr>
        <w:t>）；单价50万元以上通用设备</w:t>
      </w:r>
      <w:r>
        <w:rPr>
          <w:rFonts w:hint="eastAsia" w:eastAsia="仿宋_GB2312"/>
          <w:color w:val="000000"/>
          <w:kern w:val="0"/>
          <w:sz w:val="32"/>
          <w:szCs w:val="32"/>
        </w:rPr>
        <w:t>无</w:t>
      </w:r>
      <w:r>
        <w:rPr>
          <w:rFonts w:eastAsia="仿宋_GB2312"/>
          <w:color w:val="000000"/>
          <w:kern w:val="0"/>
          <w:sz w:val="32"/>
          <w:szCs w:val="32"/>
        </w:rPr>
        <w:t>，单价100万元以上专用设备</w:t>
      </w:r>
      <w:r>
        <w:rPr>
          <w:rFonts w:hint="eastAsia" w:eastAsia="仿宋_GB2312"/>
          <w:color w:val="000000"/>
          <w:kern w:val="0"/>
          <w:sz w:val="32"/>
          <w:szCs w:val="32"/>
        </w:rPr>
        <w:t>无</w:t>
      </w:r>
      <w:r>
        <w:rPr>
          <w:rFonts w:eastAsia="仿宋_GB2312"/>
          <w:color w:val="000000"/>
          <w:kern w:val="0"/>
          <w:sz w:val="32"/>
          <w:szCs w:val="32"/>
        </w:rPr>
        <w:t>。</w:t>
      </w:r>
    </w:p>
    <w:p>
      <w:pPr>
        <w:numPr>
          <w:ilvl w:val="0"/>
          <w:numId w:val="0"/>
        </w:numPr>
        <w:autoSpaceDE w:val="0"/>
        <w:autoSpaceDN w:val="0"/>
        <w:adjustRightInd w:val="0"/>
        <w:spacing w:line="600" w:lineRule="exact"/>
        <w:jc w:val="left"/>
        <w:outlineLvl w:val="2"/>
        <w:rPr>
          <w:rFonts w:hint="default" w:ascii="仿宋" w:hAnsi="仿宋" w:eastAsia="仿宋"/>
          <w:b/>
          <w:color w:val="000000"/>
          <w:sz w:val="32"/>
          <w:szCs w:val="32"/>
          <w:lang w:val="en-US" w:eastAsia="zh-CN"/>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6" w:name="_Toc15396613"/>
      <w:bookmarkStart w:id="57"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numPr>
          <w:ilvl w:val="0"/>
          <w:numId w:val="0"/>
        </w:numPr>
        <w:spacing w:line="600" w:lineRule="exact"/>
        <w:jc w:val="both"/>
        <w:outlineLvl w:val="0"/>
        <w:rPr>
          <w:rStyle w:val="24"/>
          <w:rFonts w:hint="default" w:ascii="黑体" w:hAnsi="黑体" w:eastAsia="黑体"/>
          <w:b w:val="0"/>
          <w:lang w:val="en-US" w:eastAsia="zh-CN"/>
        </w:rPr>
      </w:pP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bookmarkStart w:id="58" w:name="_Toc15396614"/>
      <w:bookmarkStart w:id="59"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木子镇</w:t>
      </w:r>
      <w:r>
        <w:rPr>
          <w:rFonts w:hint="eastAsia" w:ascii="黑体" w:hAnsi="黑体" w:eastAsia="黑体" w:cs="方正小标宋简体"/>
          <w:sz w:val="36"/>
          <w:szCs w:val="36"/>
        </w:rPr>
        <w:t>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61"/>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木子镇</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一级预算单位</w:t>
      </w:r>
      <w:r>
        <w:rPr>
          <w:rFonts w:hint="eastAsia" w:ascii="仿宋" w:hAnsi="仿宋" w:eastAsia="仿宋" w:cs="仿宋_GB2312"/>
          <w:sz w:val="32"/>
          <w:szCs w:val="32"/>
        </w:rPr>
        <w:t>，无其他下属单位。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木子镇</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一级乙等卫生院</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我院拥有DR、B超、全自动生化分析仪、麻醉呼吸机等辅助设备，现设有内科、外科、中医科等科室。能对常见病，多发病以及部分疑难杂症做出准确的诊断和治疗。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木子镇</w:t>
      </w:r>
      <w:r>
        <w:rPr>
          <w:rFonts w:hint="eastAsia" w:ascii="仿宋" w:hAnsi="仿宋" w:eastAsia="仿宋"/>
          <w:sz w:val="32"/>
          <w:szCs w:val="32"/>
        </w:rPr>
        <w:t>卫生院，在201</w:t>
      </w:r>
      <w:r>
        <w:rPr>
          <w:rFonts w:hint="eastAsia" w:ascii="仿宋" w:hAnsi="仿宋" w:eastAsia="仿宋"/>
          <w:sz w:val="32"/>
          <w:szCs w:val="32"/>
          <w:lang w:val="en-US" w:eastAsia="zh-CN"/>
        </w:rPr>
        <w:t>9</w:t>
      </w:r>
      <w:r>
        <w:rPr>
          <w:rFonts w:hint="eastAsia" w:ascii="仿宋" w:hAnsi="仿宋" w:eastAsia="仿宋"/>
          <w:sz w:val="32"/>
          <w:szCs w:val="32"/>
        </w:rPr>
        <w:t>年末在编职工</w:t>
      </w:r>
      <w:r>
        <w:rPr>
          <w:rFonts w:hint="eastAsia" w:ascii="仿宋" w:hAnsi="仿宋" w:eastAsia="仿宋"/>
          <w:sz w:val="32"/>
          <w:szCs w:val="32"/>
          <w:lang w:val="en-US" w:eastAsia="zh-CN"/>
        </w:rPr>
        <w:t>12</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退休</w:t>
      </w:r>
      <w:r>
        <w:rPr>
          <w:rFonts w:hint="eastAsia" w:ascii="仿宋" w:hAnsi="仿宋" w:eastAsia="仿宋"/>
          <w:sz w:val="32"/>
          <w:szCs w:val="32"/>
          <w:lang w:val="en-US" w:eastAsia="zh-CN"/>
        </w:rPr>
        <w:t>12</w:t>
      </w:r>
      <w:r>
        <w:rPr>
          <w:rFonts w:hint="eastAsia" w:ascii="仿宋" w:hAnsi="仿宋" w:eastAsia="仿宋"/>
          <w:sz w:val="32"/>
          <w:szCs w:val="32"/>
        </w:rPr>
        <w:t>人，201</w:t>
      </w:r>
      <w:r>
        <w:rPr>
          <w:rFonts w:hint="eastAsia" w:ascii="仿宋" w:hAnsi="仿宋" w:eastAsia="仿宋"/>
          <w:sz w:val="32"/>
          <w:szCs w:val="32"/>
          <w:lang w:val="en-US" w:eastAsia="zh-CN"/>
        </w:rPr>
        <w:t>9</w:t>
      </w:r>
      <w:r>
        <w:rPr>
          <w:rFonts w:hint="eastAsia" w:ascii="仿宋" w:hAnsi="仿宋" w:eastAsia="仿宋"/>
          <w:sz w:val="32"/>
          <w:szCs w:val="32"/>
        </w:rPr>
        <w:t>年末我院有临聘人员</w:t>
      </w:r>
      <w:r>
        <w:rPr>
          <w:rFonts w:hint="eastAsia" w:ascii="仿宋" w:hAnsi="仿宋" w:eastAsia="仿宋"/>
          <w:sz w:val="32"/>
          <w:szCs w:val="32"/>
          <w:lang w:val="en-US" w:eastAsia="zh-CN"/>
        </w:rPr>
        <w:t>5</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年我院财政拨款收入总计</w:t>
      </w:r>
      <w:r>
        <w:rPr>
          <w:rFonts w:hint="eastAsia" w:ascii="仿宋" w:hAnsi="仿宋" w:eastAsia="仿宋" w:cs="仿宋_GB2312"/>
          <w:sz w:val="32"/>
          <w:szCs w:val="32"/>
          <w:lang w:val="en-US" w:eastAsia="zh-CN"/>
        </w:rPr>
        <w:t>286.86</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203.97</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82.89</w:t>
      </w:r>
      <w:r>
        <w:rPr>
          <w:rFonts w:hint="eastAsia" w:ascii="仿宋" w:hAnsi="仿宋" w:eastAsia="仿宋" w:cs="仿宋_GB2312"/>
          <w:sz w:val="32"/>
          <w:szCs w:val="32"/>
        </w:rPr>
        <w:t>万元。</w:t>
      </w:r>
    </w:p>
    <w:p>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年我院财政拨款支出总计</w:t>
      </w:r>
      <w:r>
        <w:rPr>
          <w:rFonts w:hint="eastAsia" w:ascii="仿宋" w:hAnsi="仿宋" w:eastAsia="仿宋" w:cs="仿宋_GB2312"/>
          <w:sz w:val="32"/>
          <w:szCs w:val="32"/>
          <w:lang w:val="en-US" w:eastAsia="zh-CN"/>
        </w:rPr>
        <w:t>286.86</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206.59</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80.27</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年预算编制工作，按时完成基础库、项目库报送工作，并按时提交部门预算草案。绩效目标是预算编制的前提和基础，按照“费随事定”的原则，201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 12 月 31 日，我院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年财政资金一般公共预算财政拨款执行进度为</w:t>
      </w:r>
      <w:r>
        <w:rPr>
          <w:rFonts w:hint="eastAsia" w:ascii="仿宋" w:hAnsi="仿宋" w:eastAsia="仿宋" w:cs="仿宋_GB2312"/>
          <w:sz w:val="32"/>
          <w:szCs w:val="32"/>
          <w:lang w:val="en-US" w:eastAsia="zh-CN"/>
        </w:rPr>
        <w:t>101.28</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ascii="仿宋" w:hAnsi="仿宋" w:eastAsia="仿宋" w:cs="仿宋_GB2312"/>
          <w:sz w:val="32"/>
          <w:szCs w:val="32"/>
        </w:rPr>
        <w:t xml:space="preserve">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黑体" w:hAnsi="黑体" w:eastAsia="黑体" w:cs="黑体"/>
          <w:sz w:val="32"/>
          <w:szCs w:val="32"/>
        </w:rPr>
      </w:pPr>
    </w:p>
    <w:p>
      <w:pPr>
        <w:spacing w:line="580" w:lineRule="exact"/>
        <w:rPr>
          <w:rFonts w:ascii="黑体" w:hAnsi="黑体" w:eastAsia="黑体" w:cs="黑体"/>
          <w:sz w:val="32"/>
          <w:szCs w:val="32"/>
        </w:rPr>
      </w:pPr>
    </w:p>
    <w:p>
      <w:pPr>
        <w:pStyle w:val="3"/>
        <w:rPr>
          <w:rStyle w:val="24"/>
          <w:rFonts w:hint="eastAsia" w:ascii="仿宋" w:hAnsi="仿宋" w:eastAsia="仿宋"/>
          <w:b w:val="0"/>
          <w:bCs w:val="0"/>
          <w:sz w:val="32"/>
          <w:szCs w:val="32"/>
        </w:rPr>
      </w:pPr>
      <w:bookmarkStart w:id="62" w:name="_Toc15396617"/>
      <w:r>
        <w:rPr>
          <w:rStyle w:val="24"/>
          <w:rFonts w:hint="eastAsia" w:ascii="仿宋" w:hAnsi="仿宋" w:eastAsia="仿宋"/>
          <w:b w:val="0"/>
          <w:bCs w:val="0"/>
          <w:sz w:val="32"/>
          <w:szCs w:val="32"/>
        </w:rPr>
        <w:t>附件2</w:t>
      </w:r>
      <w:bookmarkEnd w:id="62"/>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达州市达川区木子镇卫生院</w:t>
      </w:r>
    </w:p>
    <w:p>
      <w:pPr>
        <w:rPr>
          <w:rFonts w:hint="default" w:eastAsia="仿宋"/>
          <w:lang w:val="en-US" w:eastAsia="zh-CN"/>
        </w:rPr>
      </w:pP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lang w:eastAsia="zh-CN"/>
        </w:rPr>
        <w:t>年项目支出绩效评价报告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85</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72.44万元、基层医疗机构基本药物制度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15.48万元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tabs>
          <w:tab w:val="left" w:pos="3366"/>
        </w:tabs>
        <w:spacing w:line="580" w:lineRule="exact"/>
        <w:rPr>
          <w:rFonts w:hint="eastAsia" w:ascii="仿宋_GB2312" w:hAnsi="仿宋_GB2312" w:eastAsia="仿宋_GB2312" w:cs="仿宋_GB2312"/>
          <w:sz w:val="32"/>
          <w:szCs w:val="32"/>
          <w:lang w:eastAsia="zh-CN"/>
        </w:rPr>
      </w:pPr>
    </w:p>
    <w:p>
      <w:pPr>
        <w:spacing w:line="600" w:lineRule="exact"/>
        <w:jc w:val="both"/>
        <w:outlineLvl w:val="0"/>
        <w:rPr>
          <w:rFonts w:hint="eastAsia" w:ascii="黑体" w:hAnsi="黑体" w:eastAsia="黑体"/>
          <w:color w:val="000000"/>
          <w:sz w:val="44"/>
          <w:szCs w:val="44"/>
        </w:rPr>
      </w:pPr>
      <w:bookmarkStart w:id="63" w:name="_Toc15396618"/>
    </w:p>
    <w:bookmarkEnd w:id="59"/>
    <w:bookmarkEnd w:id="63"/>
    <w:p>
      <w:pPr>
        <w:spacing w:line="600" w:lineRule="exact"/>
        <w:jc w:val="center"/>
        <w:outlineLvl w:val="0"/>
        <w:rPr>
          <w:rFonts w:ascii="仿宋" w:hAnsi="仿宋" w:eastAsia="仿宋"/>
          <w:b/>
          <w:color w:val="000000"/>
          <w:sz w:val="44"/>
          <w:szCs w:val="44"/>
        </w:rPr>
      </w:pPr>
    </w:p>
    <w:p>
      <w:pPr>
        <w:spacing w:line="600" w:lineRule="exact"/>
        <w:jc w:val="center"/>
        <w:outlineLvl w:val="0"/>
        <w:rPr>
          <w:rFonts w:hint="eastAsia" w:ascii="仿宋" w:hAnsi="仿宋" w:eastAsia="仿宋"/>
          <w:b w:val="0"/>
          <w:color w:val="000000"/>
        </w:rPr>
      </w:pPr>
      <w:bookmarkStart w:id="64" w:name="_Toc15396619"/>
      <w:r>
        <w:rPr>
          <w:rFonts w:hint="eastAsia" w:ascii="黑体" w:hAnsi="黑体" w:eastAsia="黑体"/>
          <w:color w:val="000000"/>
          <w:sz w:val="44"/>
          <w:szCs w:val="44"/>
        </w:rPr>
        <w:t>第</w:t>
      </w:r>
      <w:r>
        <w:rPr>
          <w:rStyle w:val="24"/>
          <w:rFonts w:hint="eastAsia" w:ascii="黑体" w:hAnsi="黑体" w:eastAsia="黑体"/>
          <w:b w:val="0"/>
        </w:rPr>
        <w:t>五部分 附表</w:t>
      </w:r>
    </w:p>
    <w:p>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14:textFill>
            <w14:solidFill>
              <w14:schemeClr w14:val="tx1"/>
            </w14:solidFill>
          </w14:textFill>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911366"/>
    <w:multiLevelType w:val="singleLevel"/>
    <w:tmpl w:val="F491136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2B83"/>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7A27E7"/>
    <w:rsid w:val="018638F2"/>
    <w:rsid w:val="01DB193B"/>
    <w:rsid w:val="02256450"/>
    <w:rsid w:val="036B6FA6"/>
    <w:rsid w:val="03DB27F6"/>
    <w:rsid w:val="048A0FE5"/>
    <w:rsid w:val="04DC2EF8"/>
    <w:rsid w:val="04DD0D44"/>
    <w:rsid w:val="04EC3BB7"/>
    <w:rsid w:val="04F80AD8"/>
    <w:rsid w:val="050F7048"/>
    <w:rsid w:val="06146334"/>
    <w:rsid w:val="06315350"/>
    <w:rsid w:val="071C094A"/>
    <w:rsid w:val="07446BB2"/>
    <w:rsid w:val="08D37AE0"/>
    <w:rsid w:val="08D40476"/>
    <w:rsid w:val="091E455D"/>
    <w:rsid w:val="09E65614"/>
    <w:rsid w:val="0A6516D9"/>
    <w:rsid w:val="0AD75D59"/>
    <w:rsid w:val="0B6D7CA7"/>
    <w:rsid w:val="0B8F086E"/>
    <w:rsid w:val="0CA33CBE"/>
    <w:rsid w:val="0CA9461C"/>
    <w:rsid w:val="0D0263BA"/>
    <w:rsid w:val="0D632AA0"/>
    <w:rsid w:val="0DB81C09"/>
    <w:rsid w:val="0DE95DCB"/>
    <w:rsid w:val="0DFE561C"/>
    <w:rsid w:val="0E5D0410"/>
    <w:rsid w:val="0E6A24FD"/>
    <w:rsid w:val="0FBE2B3A"/>
    <w:rsid w:val="0FC6338C"/>
    <w:rsid w:val="0FE25DEA"/>
    <w:rsid w:val="1004756C"/>
    <w:rsid w:val="10500BE6"/>
    <w:rsid w:val="106E33E1"/>
    <w:rsid w:val="10C055FF"/>
    <w:rsid w:val="10E06F7D"/>
    <w:rsid w:val="111817F9"/>
    <w:rsid w:val="11922636"/>
    <w:rsid w:val="11C06DD3"/>
    <w:rsid w:val="128D512C"/>
    <w:rsid w:val="12A43AC5"/>
    <w:rsid w:val="1338056B"/>
    <w:rsid w:val="15154A67"/>
    <w:rsid w:val="161F6C59"/>
    <w:rsid w:val="16562C28"/>
    <w:rsid w:val="168623C3"/>
    <w:rsid w:val="16AF61F0"/>
    <w:rsid w:val="16BB723D"/>
    <w:rsid w:val="17306424"/>
    <w:rsid w:val="1740730A"/>
    <w:rsid w:val="182D7BC7"/>
    <w:rsid w:val="19982436"/>
    <w:rsid w:val="1A675C1A"/>
    <w:rsid w:val="1AAC4939"/>
    <w:rsid w:val="1B9C438F"/>
    <w:rsid w:val="1C252A84"/>
    <w:rsid w:val="1C6B26FC"/>
    <w:rsid w:val="1C6C6703"/>
    <w:rsid w:val="1CFD6AA5"/>
    <w:rsid w:val="1E132302"/>
    <w:rsid w:val="1E645DDA"/>
    <w:rsid w:val="1E7C4864"/>
    <w:rsid w:val="1E9D6527"/>
    <w:rsid w:val="1EAF2A13"/>
    <w:rsid w:val="1EE6715C"/>
    <w:rsid w:val="203C0433"/>
    <w:rsid w:val="20456374"/>
    <w:rsid w:val="21224806"/>
    <w:rsid w:val="2196454A"/>
    <w:rsid w:val="22BD12D4"/>
    <w:rsid w:val="230D2D7B"/>
    <w:rsid w:val="236A3ECF"/>
    <w:rsid w:val="240371BF"/>
    <w:rsid w:val="24872936"/>
    <w:rsid w:val="24FF22D1"/>
    <w:rsid w:val="26C02DF9"/>
    <w:rsid w:val="2735761D"/>
    <w:rsid w:val="277A2B4C"/>
    <w:rsid w:val="27FB3587"/>
    <w:rsid w:val="28DA478C"/>
    <w:rsid w:val="29730650"/>
    <w:rsid w:val="29A9025F"/>
    <w:rsid w:val="29FD04D3"/>
    <w:rsid w:val="2A825C97"/>
    <w:rsid w:val="2A8C4477"/>
    <w:rsid w:val="2B4A2819"/>
    <w:rsid w:val="2B82753D"/>
    <w:rsid w:val="2BA87372"/>
    <w:rsid w:val="2BF735D5"/>
    <w:rsid w:val="2E5A1EFA"/>
    <w:rsid w:val="2E6E172A"/>
    <w:rsid w:val="2EC7787C"/>
    <w:rsid w:val="2EDE005A"/>
    <w:rsid w:val="30D9080E"/>
    <w:rsid w:val="312A31AC"/>
    <w:rsid w:val="319F7F4E"/>
    <w:rsid w:val="32D73928"/>
    <w:rsid w:val="334A6470"/>
    <w:rsid w:val="33783A67"/>
    <w:rsid w:val="34172D58"/>
    <w:rsid w:val="346A3AB3"/>
    <w:rsid w:val="347D1199"/>
    <w:rsid w:val="34F560BA"/>
    <w:rsid w:val="35740128"/>
    <w:rsid w:val="369D1D71"/>
    <w:rsid w:val="38FA4676"/>
    <w:rsid w:val="395114BD"/>
    <w:rsid w:val="39BD7078"/>
    <w:rsid w:val="39F001F7"/>
    <w:rsid w:val="3BE32A8D"/>
    <w:rsid w:val="3C165FD6"/>
    <w:rsid w:val="3C4B5029"/>
    <w:rsid w:val="3CEC322C"/>
    <w:rsid w:val="3E364D87"/>
    <w:rsid w:val="3E46105B"/>
    <w:rsid w:val="3E9556CF"/>
    <w:rsid w:val="3F9E6779"/>
    <w:rsid w:val="3FC24A9A"/>
    <w:rsid w:val="3FF877F1"/>
    <w:rsid w:val="40216189"/>
    <w:rsid w:val="4053306F"/>
    <w:rsid w:val="40AA1B33"/>
    <w:rsid w:val="40B71887"/>
    <w:rsid w:val="40BD2B65"/>
    <w:rsid w:val="414E4ECA"/>
    <w:rsid w:val="41572913"/>
    <w:rsid w:val="416720ED"/>
    <w:rsid w:val="41896E11"/>
    <w:rsid w:val="421530EB"/>
    <w:rsid w:val="42F82B99"/>
    <w:rsid w:val="4304062D"/>
    <w:rsid w:val="44315826"/>
    <w:rsid w:val="449B048E"/>
    <w:rsid w:val="44C93421"/>
    <w:rsid w:val="44CB3CFA"/>
    <w:rsid w:val="45585CF7"/>
    <w:rsid w:val="456414C2"/>
    <w:rsid w:val="458A7233"/>
    <w:rsid w:val="45B8029E"/>
    <w:rsid w:val="467A6C1A"/>
    <w:rsid w:val="46FE3C0C"/>
    <w:rsid w:val="47237E6C"/>
    <w:rsid w:val="49601E4F"/>
    <w:rsid w:val="4A095728"/>
    <w:rsid w:val="4A684B1F"/>
    <w:rsid w:val="4B163E9F"/>
    <w:rsid w:val="4B3E4288"/>
    <w:rsid w:val="4BD016A5"/>
    <w:rsid w:val="4BEB23F4"/>
    <w:rsid w:val="4D55723C"/>
    <w:rsid w:val="4DC335A0"/>
    <w:rsid w:val="4DE4047A"/>
    <w:rsid w:val="4DEF6FB8"/>
    <w:rsid w:val="4E184AA6"/>
    <w:rsid w:val="4E2A7A88"/>
    <w:rsid w:val="4FD12831"/>
    <w:rsid w:val="502357F3"/>
    <w:rsid w:val="507947FF"/>
    <w:rsid w:val="50C1559F"/>
    <w:rsid w:val="515071EA"/>
    <w:rsid w:val="515C2FD4"/>
    <w:rsid w:val="51B317D9"/>
    <w:rsid w:val="524B55EE"/>
    <w:rsid w:val="542906AF"/>
    <w:rsid w:val="559F3340"/>
    <w:rsid w:val="55D61F8D"/>
    <w:rsid w:val="561778F7"/>
    <w:rsid w:val="561C29C5"/>
    <w:rsid w:val="567E444B"/>
    <w:rsid w:val="56A7294C"/>
    <w:rsid w:val="56AC36E1"/>
    <w:rsid w:val="56C85054"/>
    <w:rsid w:val="56E81847"/>
    <w:rsid w:val="57A45343"/>
    <w:rsid w:val="57AD1CE2"/>
    <w:rsid w:val="590F16F3"/>
    <w:rsid w:val="5A2D7137"/>
    <w:rsid w:val="5A49709E"/>
    <w:rsid w:val="5AA61A71"/>
    <w:rsid w:val="5AE61A88"/>
    <w:rsid w:val="5AEE0A21"/>
    <w:rsid w:val="5B0C2C05"/>
    <w:rsid w:val="5B11392F"/>
    <w:rsid w:val="5B166034"/>
    <w:rsid w:val="5B172744"/>
    <w:rsid w:val="5CF4307A"/>
    <w:rsid w:val="5D693D83"/>
    <w:rsid w:val="5D7E77BB"/>
    <w:rsid w:val="5D84602B"/>
    <w:rsid w:val="5DCC5BFD"/>
    <w:rsid w:val="5DDF1CB3"/>
    <w:rsid w:val="5E434B14"/>
    <w:rsid w:val="5E6B621E"/>
    <w:rsid w:val="5E940C78"/>
    <w:rsid w:val="5EBC106D"/>
    <w:rsid w:val="5EC81A39"/>
    <w:rsid w:val="5EFA7DCC"/>
    <w:rsid w:val="5F71274B"/>
    <w:rsid w:val="5FEC7EF9"/>
    <w:rsid w:val="602543C5"/>
    <w:rsid w:val="603563C9"/>
    <w:rsid w:val="60A513F8"/>
    <w:rsid w:val="60E2336B"/>
    <w:rsid w:val="610F1A63"/>
    <w:rsid w:val="611C5F81"/>
    <w:rsid w:val="619E007D"/>
    <w:rsid w:val="61DE6509"/>
    <w:rsid w:val="62395D60"/>
    <w:rsid w:val="63F23B05"/>
    <w:rsid w:val="64FE0293"/>
    <w:rsid w:val="65850572"/>
    <w:rsid w:val="67163B5B"/>
    <w:rsid w:val="67911BE7"/>
    <w:rsid w:val="67A15213"/>
    <w:rsid w:val="68DB1E4F"/>
    <w:rsid w:val="698E5CBA"/>
    <w:rsid w:val="6ABB3971"/>
    <w:rsid w:val="6AE34F94"/>
    <w:rsid w:val="6BBC2A5B"/>
    <w:rsid w:val="6D68227B"/>
    <w:rsid w:val="6D713D74"/>
    <w:rsid w:val="6DA366E8"/>
    <w:rsid w:val="6EEF06A7"/>
    <w:rsid w:val="6F6A22A1"/>
    <w:rsid w:val="6FEB41DC"/>
    <w:rsid w:val="70740342"/>
    <w:rsid w:val="7085743D"/>
    <w:rsid w:val="70910491"/>
    <w:rsid w:val="719D42A0"/>
    <w:rsid w:val="71D56D8A"/>
    <w:rsid w:val="71ED1780"/>
    <w:rsid w:val="731C2BC3"/>
    <w:rsid w:val="734A62F1"/>
    <w:rsid w:val="736A0243"/>
    <w:rsid w:val="738A398F"/>
    <w:rsid w:val="73B85584"/>
    <w:rsid w:val="73E7563D"/>
    <w:rsid w:val="74A86E9D"/>
    <w:rsid w:val="757328E8"/>
    <w:rsid w:val="75ED5900"/>
    <w:rsid w:val="762D1A94"/>
    <w:rsid w:val="76D61436"/>
    <w:rsid w:val="77DE4F18"/>
    <w:rsid w:val="78D526A4"/>
    <w:rsid w:val="791234E4"/>
    <w:rsid w:val="79D3083A"/>
    <w:rsid w:val="79E451CD"/>
    <w:rsid w:val="7A022ECA"/>
    <w:rsid w:val="7A154CD3"/>
    <w:rsid w:val="7BE103B0"/>
    <w:rsid w:val="7C5B224E"/>
    <w:rsid w:val="7D3A2BB8"/>
    <w:rsid w:val="7D523148"/>
    <w:rsid w:val="7D8B6D74"/>
    <w:rsid w:val="7DD0697C"/>
    <w:rsid w:val="7E792CAC"/>
    <w:rsid w:val="7EC03042"/>
    <w:rsid w:val="7F1E524A"/>
    <w:rsid w:val="7F5E4069"/>
    <w:rsid w:val="7F9C1C39"/>
    <w:rsid w:val="7FC63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915;&#31639;&#20844;&#24320;\&#22270;&#3492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22270;&#3492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22270;&#34920;&#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2270;&#34920;&#27169;&#264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2270;&#34920;&#27169;&#264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22270;&#3492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rPr sz="1200"/>
              <a:t>                                            单位：万元</a:t>
            </a:r>
            <a:r>
              <a:t> </a:t>
            </a:r>
          </a:p>
        </c:rich>
      </c:tx>
      <c:layout>
        <c:manualLayout>
          <c:xMode val="edge"/>
          <c:yMode val="edge"/>
          <c:x val="0.258888888888889"/>
          <c:y val="0.0243055555555556"/>
        </c:manualLayout>
      </c:layout>
      <c:overlay val="0"/>
      <c:spPr>
        <a:noFill/>
        <a:ln>
          <a:noFill/>
        </a:ln>
        <a:effectLst/>
      </c:spPr>
    </c:title>
    <c:autoTitleDeleted val="0"/>
    <c:plotArea>
      <c:layout/>
      <c:barChart>
        <c:barDir val="col"/>
        <c:grouping val="stacked"/>
        <c:varyColors val="0"/>
        <c:ser>
          <c:idx val="0"/>
          <c:order val="0"/>
          <c:tx>
            <c:strRef>
              <c:f>[图表模板.xlsx]木子!$C$1</c:f>
              <c:strCache>
                <c:ptCount val="1"/>
                <c:pt idx="0">
                  <c:v>收、支决算总计变动情况图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[图表模板.xlsx]木子!$B$2:$B$3</c:f>
              <c:strCache>
                <c:ptCount val="2"/>
                <c:pt idx="0">
                  <c:v>2019年</c:v>
                </c:pt>
                <c:pt idx="1">
                  <c:v>2018年</c:v>
                </c:pt>
              </c:strCache>
            </c:strRef>
          </c:cat>
          <c:val>
            <c:numRef>
              <c:f>[图表模板.xlsx]木子!$C$2:$C$3</c:f>
              <c:numCache>
                <c:formatCode>#,##0.00</c:formatCode>
                <c:ptCount val="2"/>
                <c:pt idx="0">
                  <c:v>498</c:v>
                </c:pt>
                <c:pt idx="1">
                  <c:v>420.88</c:v>
                </c:pt>
              </c:numCache>
            </c:numRef>
          </c:val>
        </c:ser>
        <c:dLbls>
          <c:showLegendKey val="0"/>
          <c:showVal val="1"/>
          <c:showCatName val="0"/>
          <c:showSerName val="0"/>
          <c:showPercent val="0"/>
          <c:showBubbleSize val="0"/>
        </c:dLbls>
        <c:gapWidth val="150"/>
        <c:overlap val="100"/>
        <c:axId val="909377856"/>
        <c:axId val="824084875"/>
      </c:barChart>
      <c:catAx>
        <c:axId val="909377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084875"/>
        <c:crosses val="autoZero"/>
        <c:auto val="1"/>
        <c:lblAlgn val="ctr"/>
        <c:lblOffset val="100"/>
        <c:noMultiLvlLbl val="0"/>
      </c:catAx>
      <c:valAx>
        <c:axId val="8240848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37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         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366527777777778"/>
          <c:y val="0.024418604651162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[图表模板.xlsx]木子!$A$26:$A$33</c15:sqref>
                  </c15:fullRef>
                </c:ext>
              </c:extLst>
              <c:f>([图表模板.xlsx]木子!$A$26,[图表模板.xlsx]木子!$A$30)</c:f>
              <c:strCache>
                <c:ptCount val="2"/>
                <c:pt idx="0">
                  <c:v>一般公共预算财政拨款收入</c:v>
                </c:pt>
                <c:pt idx="1">
                  <c:v>事业收入</c:v>
                </c:pt>
              </c:strCache>
            </c:strRef>
          </c:cat>
          <c:val>
            <c:numRef>
              <c:extLst>
                <c:ext xmlns:c15="http://schemas.microsoft.com/office/drawing/2012/chart" uri="{02D57815-91ED-43cb-92C2-25804820EDAC}">
                  <c15:fullRef>
                    <c15:sqref>木子!$B$26:$B$33</c15:sqref>
                  </c15:fullRef>
                </c:ext>
              </c:extLst>
              <c:f>([图表模板.xlsx]木子!$B$26,[图表模板.xlsx]木子!$B$30)</c:f>
              <c:numCache>
                <c:formatCode>#,##0.00</c:formatCode>
                <c:ptCount val="2"/>
                <c:pt idx="0">
                  <c:v>203.97</c:v>
                </c:pt>
                <c:pt idx="1">
                  <c:v>211.14</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[图表模板.xlsx]木子!$A$26:$A$33</c15:sqref>
                  </c15:fullRef>
                </c:ext>
              </c:extLst>
              <c:f>([图表模板.xlsx]木子!$A$26,[图表模板.xlsx]木子!$A$30)</c:f>
              <c:strCache>
                <c:ptCount val="2"/>
                <c:pt idx="0">
                  <c:v>一般公共预算财政拨款收入</c:v>
                </c:pt>
                <c:pt idx="1">
                  <c:v>事业收入</c:v>
                </c:pt>
              </c:strCache>
            </c:strRef>
          </c:cat>
          <c:val>
            <c:numRef>
              <c:extLst>
                <c:ext xmlns:c15="http://schemas.microsoft.com/office/drawing/2012/chart" uri="{02D57815-91ED-43cb-92C2-25804820EDAC}">
                  <c15:fullRef>
                    <c15:sqref>木子!$C$26:$C$33</c15:sqref>
                  </c15:fullRef>
                </c:ext>
              </c:extLst>
              <c:f>([图表模板.xlsx]木子!$C$26,[图表模板.xlsx]木子!$C$30)</c:f>
              <c:numCache>
                <c:formatCode>0.00%</c:formatCode>
                <c:ptCount val="2"/>
                <c:pt idx="0">
                  <c:v>0.491363734913637</c:v>
                </c:pt>
                <c:pt idx="1">
                  <c:v>0.508636265086363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t>支出决算结构图</a:t>
            </a:r>
            <a:endParaRPr sz="1800"/>
          </a:p>
          <a:p>
            <a:pPr defTabSz="914400">
              <a:defRPr lang="zh-CN" sz="1400" b="0" i="0" u="none" strike="noStrike" kern="1200" spc="0" baseline="0">
                <a:solidFill>
                  <a:schemeClr val="tx1">
                    <a:lumMod val="65000"/>
                    <a:lumOff val="35000"/>
                  </a:schemeClr>
                </a:solidFill>
                <a:latin typeface="+mn-lt"/>
                <a:ea typeface="+mn-ea"/>
                <a:cs typeface="+mn-cs"/>
              </a:defRPr>
            </a:pPr>
            <a:r>
              <a:t>       </a:t>
            </a:r>
            <a:r>
              <a:rPr sz="1200"/>
              <a:t> 单位：万元</a:t>
            </a:r>
            <a:endParaRPr sz="1200"/>
          </a:p>
        </c:rich>
      </c:tx>
      <c:layout>
        <c:manualLayout>
          <c:xMode val="edge"/>
          <c:yMode val="edge"/>
          <c:x val="0.35931721832343"/>
          <c:y val="0.0416856232939035"/>
        </c:manualLayout>
      </c:layout>
      <c:overlay val="0"/>
      <c:spPr>
        <a:noFill/>
        <a:ln>
          <a:noFill/>
        </a:ln>
        <a:effectLst/>
      </c:spPr>
    </c:title>
    <c:autoTitleDeleted val="0"/>
    <c:plotArea>
      <c:layout/>
      <c:pieChart>
        <c:varyColors val="1"/>
        <c:ser>
          <c:idx val="0"/>
          <c:order val="0"/>
          <c:spPr/>
          <c:explosion val="0"/>
          <c:dPt>
            <c:idx val="0"/>
            <c:bubble3D val="0"/>
            <c:explosion val="16"/>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[图表模板.xlsx]木子!$A$47:$A$48</c:f>
              <c:strCache>
                <c:ptCount val="2"/>
                <c:pt idx="0">
                  <c:v>基本支出</c:v>
                </c:pt>
                <c:pt idx="1">
                  <c:v>项目支出</c:v>
                </c:pt>
              </c:strCache>
            </c:strRef>
          </c:cat>
          <c:val>
            <c:numRef>
              <c:f>[图表模板.xlsx]木子!$B$47:$B$48</c:f>
              <c:numCache>
                <c:formatCode>#,##0.00</c:formatCode>
                <c:ptCount val="2"/>
                <c:pt idx="0">
                  <c:v>329.81</c:v>
                </c:pt>
                <c:pt idx="1">
                  <c:v>87.92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overlay val="0"/>
      <c:spPr>
        <a:noFill/>
        <a:ln>
          <a:noFill/>
        </a:ln>
        <a:effectLst/>
      </c:spPr>
    </c:title>
    <c:autoTitleDeleted val="0"/>
    <c:plotArea>
      <c:layout/>
      <c:barChart>
        <c:barDir val="col"/>
        <c:grouping val="stacked"/>
        <c:varyColors val="0"/>
        <c:ser>
          <c:idx val="0"/>
          <c:order val="0"/>
          <c:tx>
            <c:strRef>
              <c:f>[图表模板.xlsx]木子!$B$67</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[图表模板.xlsx]木子!$A$68:$A$69</c:f>
              <c:strCache>
                <c:ptCount val="2"/>
                <c:pt idx="0">
                  <c:v>2019年</c:v>
                </c:pt>
                <c:pt idx="1">
                  <c:v>2018年</c:v>
                </c:pt>
              </c:strCache>
            </c:strRef>
          </c:cat>
          <c:val>
            <c:numRef>
              <c:f>[图表模板.xlsx]木子!$B$68:$B$69</c:f>
              <c:numCache>
                <c:formatCode>#,##0.00</c:formatCode>
                <c:ptCount val="2"/>
                <c:pt idx="0">
                  <c:v>286.86</c:v>
                </c:pt>
                <c:pt idx="1">
                  <c:v>235.3</c:v>
                </c:pt>
              </c:numCache>
            </c:numRef>
          </c:val>
        </c:ser>
        <c:dLbls>
          <c:showLegendKey val="0"/>
          <c:showVal val="1"/>
          <c:showCatName val="0"/>
          <c:showSerName val="0"/>
          <c:showPercent val="0"/>
          <c:showBubbleSize val="0"/>
        </c:dLbls>
        <c:gapWidth val="150"/>
        <c:overlap val="100"/>
        <c:axId val="774320489"/>
        <c:axId val="871128475"/>
      </c:barChart>
      <c:catAx>
        <c:axId val="77432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128475"/>
        <c:crosses val="autoZero"/>
        <c:auto val="1"/>
        <c:lblAlgn val="ctr"/>
        <c:lblOffset val="100"/>
        <c:noMultiLvlLbl val="0"/>
      </c:catAx>
      <c:valAx>
        <c:axId val="8711284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204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142222222222222"/>
          <c:y val="0.0243337195828505"/>
        </c:manualLayout>
      </c:layout>
      <c:overlay val="0"/>
      <c:spPr>
        <a:noFill/>
        <a:ln>
          <a:noFill/>
        </a:ln>
        <a:effectLst/>
      </c:spPr>
    </c:title>
    <c:autoTitleDeleted val="0"/>
    <c:plotArea>
      <c:layout>
        <c:manualLayout>
          <c:layoutTarget val="inner"/>
          <c:xMode val="edge"/>
          <c:yMode val="edge"/>
          <c:x val="0.0748055555555556"/>
          <c:y val="0.257937427578216"/>
          <c:w val="0.894638888888889"/>
          <c:h val="0.633464658169177"/>
        </c:manualLayout>
      </c:layout>
      <c:barChart>
        <c:barDir val="col"/>
        <c:grouping val="clustered"/>
        <c:varyColors val="0"/>
        <c:ser>
          <c:idx val="0"/>
          <c:order val="0"/>
          <c:tx>
            <c:strRef>
              <c:f>[图表模板.xlsx]木子!$B$86</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[图表模板.xlsx]木子!$A$87:$A$88</c:f>
              <c:strCache>
                <c:ptCount val="2"/>
                <c:pt idx="0">
                  <c:v>2019年</c:v>
                </c:pt>
                <c:pt idx="1">
                  <c:v>2018年</c:v>
                </c:pt>
              </c:strCache>
            </c:strRef>
          </c:cat>
          <c:val>
            <c:numRef>
              <c:f>[图表模板.xlsx]木子!$B$87:$B$88</c:f>
              <c:numCache>
                <c:formatCode>#,##0.00</c:formatCode>
                <c:ptCount val="2"/>
                <c:pt idx="0">
                  <c:v>206.59</c:v>
                </c:pt>
                <c:pt idx="1">
                  <c:v>152.41</c:v>
                </c:pt>
              </c:numCache>
            </c:numRef>
          </c:val>
        </c:ser>
        <c:dLbls>
          <c:showLegendKey val="0"/>
          <c:showVal val="1"/>
          <c:showCatName val="0"/>
          <c:showSerName val="0"/>
          <c:showPercent val="0"/>
          <c:showBubbleSize val="0"/>
        </c:dLbls>
        <c:gapWidth val="219"/>
        <c:overlap val="-27"/>
        <c:axId val="715543173"/>
        <c:axId val="193179635"/>
      </c:barChart>
      <c:catAx>
        <c:axId val="715543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179635"/>
        <c:crosses val="autoZero"/>
        <c:auto val="1"/>
        <c:lblAlgn val="ctr"/>
        <c:lblOffset val="100"/>
        <c:noMultiLvlLbl val="0"/>
      </c:catAx>
      <c:valAx>
        <c:axId val="1931796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543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                                      单位：万元</a:t>
            </a:r>
          </a:p>
        </c:rich>
      </c:tx>
      <c:layout>
        <c:manualLayout>
          <c:xMode val="edge"/>
          <c:yMode val="edge"/>
          <c:x val="0.195555555555556"/>
          <c:y val="0.05208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293148901213065"/>
                  <c:y val="0.00489933099633025"/>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[图表模板.xlsx]木子!$A$107:$A$121</c15:sqref>
                  </c15:fullRef>
                </c:ext>
              </c:extLst>
              <c:f>([图表模板.xlsx]木子!$A$109:$A$110,[图表模板.xlsx]木子!$A$120)</c:f>
              <c:strCache>
                <c:ptCount val="3"/>
                <c:pt idx="0">
                  <c:v>社会保障和就业支出</c:v>
                </c:pt>
                <c:pt idx="1">
                  <c:v>卫生健康支出</c:v>
                </c:pt>
                <c:pt idx="2">
                  <c:v>住房保障支出</c:v>
                </c:pt>
              </c:strCache>
            </c:strRef>
          </c:cat>
          <c:val>
            <c:numRef>
              <c:extLst>
                <c:ext xmlns:c15="http://schemas.microsoft.com/office/drawing/2012/chart" uri="{02D57815-91ED-43cb-92C2-25804820EDAC}">
                  <c15:fullRef>
                    <c15:sqref>木子!$B$107:$B$121</c15:sqref>
                  </c15:fullRef>
                </c:ext>
              </c:extLst>
              <c:f>([图表模板.xlsx]木子!$B$109:$B$110,[图表模板.xlsx]木子!$B$120)</c:f>
              <c:numCache>
                <c:formatCode>#,##0.00</c:formatCode>
                <c:ptCount val="3"/>
                <c:pt idx="0">
                  <c:v>16.8</c:v>
                </c:pt>
                <c:pt idx="1">
                  <c:v>178.96</c:v>
                </c:pt>
                <c:pt idx="2">
                  <c:v>10.83</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[图表模板.xlsx]木子!$A$107:$A$121</c15:sqref>
                  </c15:fullRef>
                </c:ext>
              </c:extLst>
              <c:f>([图表模板.xlsx]木子!$A$109:$A$110,[图表模板.xlsx]木子!$A$120)</c:f>
              <c:strCache>
                <c:ptCount val="3"/>
                <c:pt idx="0">
                  <c:v>社会保障和就业支出</c:v>
                </c:pt>
                <c:pt idx="1">
                  <c:v>卫生健康支出</c:v>
                </c:pt>
                <c:pt idx="2">
                  <c:v>住房保障支出</c:v>
                </c:pt>
              </c:strCache>
            </c:strRef>
          </c:cat>
          <c:val>
            <c:numRef>
              <c:extLst>
                <c:ext xmlns:c15="http://schemas.microsoft.com/office/drawing/2012/chart" uri="{02D57815-91ED-43cb-92C2-25804820EDAC}">
                  <c15:fullRef>
                    <c15:sqref>木子!$C$107:$C$121</c15:sqref>
                  </c15:fullRef>
                </c:ext>
              </c:extLst>
              <c:f>([图表模板.xlsx]木子!$C$109:$C$110,[图表模板.xlsx]木子!$C$120)</c:f>
              <c:numCache>
                <c:formatCode>0.00%</c:formatCode>
                <c:ptCount val="3"/>
                <c:pt idx="0">
                  <c:v>0.0813204898591413</c:v>
                </c:pt>
                <c:pt idx="1">
                  <c:v>0.866256837213805</c:v>
                </c:pt>
                <c:pt idx="2">
                  <c:v>0.0524226729270536</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9</TotalTime>
  <ScaleCrop>false</ScaleCrop>
  <LinksUpToDate>false</LinksUpToDate>
  <CharactersWithSpaces>9641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2021-02-19T06:36:23Z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