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75" w:name="_GoBack"/>
      <w:bookmarkEnd w:id="75"/>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475"/>
      <w:bookmarkStart w:id="3" w:name="_Toc15396597"/>
      <w:bookmarkStart w:id="4" w:name="_Toc15378441"/>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Start w:id="6" w:name="_Toc15377194"/>
      <w:bookmarkStart w:id="7" w:name="_Toc15396476"/>
      <w:bookmarkStart w:id="8" w:name="_Toc15378442"/>
      <w:bookmarkStart w:id="9" w:name="_Toc15377426"/>
      <w:bookmarkStart w:id="10" w:name="_Toc15396598"/>
      <w:r>
        <w:rPr>
          <w:rFonts w:hint="eastAsia" w:ascii="方正小标宋简体" w:hAnsi="宋体" w:eastAsia="方正小标宋简体"/>
          <w:color w:val="000000"/>
          <w:sz w:val="72"/>
          <w:szCs w:val="72"/>
        </w:rPr>
        <w:t>达州市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达川区</w:t>
      </w:r>
      <w:bookmarkStart w:id="11" w:name="_Toc15306268"/>
      <w:r>
        <w:rPr>
          <w:rFonts w:hint="eastAsia" w:ascii="方正小标宋简体" w:hAnsi="宋体" w:eastAsia="方正小标宋简体"/>
          <w:color w:val="000000"/>
          <w:sz w:val="72"/>
          <w:szCs w:val="72"/>
        </w:rPr>
        <w:t>黄庭乡卫生院部门决算</w:t>
      </w:r>
      <w:bookmarkEnd w:id="6"/>
      <w:bookmarkEnd w:id="7"/>
      <w:bookmarkEnd w:id="8"/>
      <w:bookmarkEnd w:id="9"/>
      <w:bookmarkEnd w:id="10"/>
      <w:bookmarkEnd w:id="11"/>
      <w:r>
        <w:rPr>
          <w:rFonts w:hint="eastAsia" w:ascii="方正小标宋简体" w:hAnsi="宋体" w:eastAsia="方正小标宋简体"/>
          <w:color w:val="000000"/>
          <w:sz w:val="72"/>
          <w:szCs w:val="72"/>
        </w:rPr>
        <w:t>编制说明</w:t>
      </w:r>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公开时间：2020年9月12日</w:t>
      </w:r>
    </w:p>
    <w:p/>
    <w:p>
      <w:pPr>
        <w:pStyle w:val="10"/>
        <w:rPr>
          <w:rFonts w:cstheme="minorBidi"/>
        </w:rPr>
      </w:pPr>
      <w:r>
        <w:fldChar w:fldCharType="begin"/>
      </w:r>
      <w:r>
        <w:instrText xml:space="preserve"> HYPERLINK \l "_Toc15396599" </w:instrText>
      </w:r>
      <w:r>
        <w:fldChar w:fldCharType="separate"/>
      </w:r>
      <w:r>
        <w:rPr>
          <w:rStyle w:val="15"/>
          <w:rFonts w:hint="eastAsia"/>
        </w:rPr>
        <w:t>第一部分部门概况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w:t>
      </w:r>
      <w:r>
        <w:rPr>
          <w:rStyle w:val="15"/>
          <w:rFonts w:hint="eastAsia"/>
        </w:rPr>
        <w:t>9年度部门决算情况说明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15</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四部分附件</w:t>
      </w:r>
      <w:r>
        <w:tab/>
      </w:r>
      <w:r>
        <w:fldChar w:fldCharType="begin"/>
      </w:r>
      <w:r>
        <w:instrText xml:space="preserve"> PAGEREF _Toc15396614 \h </w:instrText>
      </w:r>
      <w:r>
        <w:fldChar w:fldCharType="separate"/>
      </w:r>
      <w:r>
        <w:t>18</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18</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五部分附表</w:t>
      </w:r>
      <w:r>
        <w:tab/>
      </w:r>
      <w:r>
        <w:fldChar w:fldCharType="begin"/>
      </w:r>
      <w:r>
        <w:instrText xml:space="preserve"> PAGEREF _Toc15396618 \h </w:instrText>
      </w:r>
      <w:r>
        <w:fldChar w:fldCharType="separate"/>
      </w:r>
      <w:r>
        <w:t>24</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p>
    <w:bookmarkEnd w:id="16"/>
    <w:bookmarkEnd w:id="17"/>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color w:val="000000"/>
          <w:sz w:val="32"/>
          <w:szCs w:val="32"/>
        </w:rPr>
        <w:t>在地方政府和卫健行政主管部门领导下，根据党的方针、政策及市、区卫健局对乡乡卫生服务工作的总体要求、做好乡乡卫生服务行政业务工作，积极开展以保护、促进人民健康，不断提高居民生活质量为目的的卫生保健，认真落实各项卫生工作指标。开展以村为范围，家庭为单位，健康为中心，人的生命为过程的以老年、妇女、儿童和慢性病人为重点的集预防、医疗、保健、康复、健康教育、计划生育指导为一体的综合性医疗卫生服务单位。</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adjustRightInd w:val="0"/>
        <w:snapToGrid w:val="0"/>
        <w:spacing w:line="600" w:lineRule="atLeast"/>
        <w:ind w:firstLine="704" w:firstLineChars="220"/>
        <w:rPr>
          <w:rFonts w:ascii="仿宋_GB2312" w:eastAsia="仿宋_GB2312"/>
          <w:bCs/>
          <w:color w:val="000000"/>
          <w:sz w:val="32"/>
          <w:szCs w:val="32"/>
        </w:rPr>
      </w:pPr>
      <w:r>
        <w:rPr>
          <w:rFonts w:hint="eastAsia" w:ascii="仿宋_GB2312" w:eastAsia="仿宋_GB2312"/>
          <w:sz w:val="32"/>
          <w:szCs w:val="32"/>
        </w:rPr>
        <w:t>2019年达川区黄庭乡卫生院的卫生工作在乡党委、政府和区卫健局领导下，</w:t>
      </w:r>
      <w:bookmarkStart w:id="20" w:name="OLE_LINK1"/>
      <w:r>
        <w:rPr>
          <w:rFonts w:hint="eastAsia" w:ascii="仿宋_GB2312" w:eastAsia="仿宋_GB2312"/>
          <w:sz w:val="32"/>
          <w:szCs w:val="32"/>
        </w:rPr>
        <w:t>坚持以“以病人为中心，以质量为核心”的服务理念，</w:t>
      </w:r>
      <w:bookmarkEnd w:id="20"/>
      <w:r>
        <w:rPr>
          <w:rFonts w:hint="eastAsia" w:ascii="仿宋_GB2312" w:eastAsia="仿宋_GB2312"/>
          <w:sz w:val="32"/>
          <w:szCs w:val="32"/>
        </w:rPr>
        <w:t>加强政治思想和医德医风教育，抓好医疗核心制度落实，严格医疗保险制度和基本公共卫生项目实施，努力做好辖区内疾病预防控制工作，严格执行药品网上采购“阳光采购”方案及基本药物制度和抗菌药物应用管理的规定。</w:t>
      </w:r>
      <w:r>
        <w:rPr>
          <w:rFonts w:hint="eastAsia" w:ascii="仿宋_GB2312" w:eastAsia="仿宋_GB2312"/>
          <w:bCs/>
          <w:color w:val="000000"/>
          <w:sz w:val="32"/>
          <w:szCs w:val="32"/>
        </w:rPr>
        <w:t>完成了对辖区65岁以上老人及重点人群的体检工作等公共卫生服务保障的工作，同时完成了对辖区居民就近医疗服务的医疗保障。</w:t>
      </w:r>
    </w:p>
    <w:p>
      <w:pPr>
        <w:pStyle w:val="3"/>
        <w:rPr>
          <w:rStyle w:val="25"/>
          <w:b w:val="0"/>
          <w:bCs w:val="0"/>
        </w:rPr>
      </w:pPr>
      <w:bookmarkStart w:id="21" w:name="_Toc15396601"/>
      <w:bookmarkStart w:id="22"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1"/>
      <w:bookmarkEnd w:id="22"/>
    </w:p>
    <w:p>
      <w:pPr>
        <w:pStyle w:val="5"/>
        <w:adjustRightInd w:val="0"/>
        <w:snapToGrid w:val="0"/>
        <w:spacing w:before="93" w:line="600" w:lineRule="exact"/>
        <w:ind w:firstLine="672" w:firstLineChars="210"/>
        <w:rPr>
          <w:color w:val="FF0000"/>
          <w:sz w:val="32"/>
          <w:szCs w:val="32"/>
        </w:rPr>
      </w:pPr>
      <w:bookmarkStart w:id="23" w:name="_Toc15396602"/>
      <w:bookmarkStart w:id="24" w:name="_Toc15377204"/>
      <w:r>
        <w:rPr>
          <w:rFonts w:hint="eastAsia" w:hAnsi="仿宋_GB2312" w:cs="仿宋_GB2312"/>
          <w:color w:val="000000"/>
          <w:sz w:val="32"/>
          <w:szCs w:val="32"/>
        </w:rPr>
        <w:t>达州市达川区黄庭乡卫生院为</w:t>
      </w:r>
      <w:r>
        <w:rPr>
          <w:rFonts w:hint="eastAsia"/>
          <w:color w:val="000000"/>
          <w:sz w:val="32"/>
          <w:szCs w:val="32"/>
        </w:rPr>
        <w:t>财政差额补助</w:t>
      </w:r>
      <w:r>
        <w:rPr>
          <w:rFonts w:hint="eastAsia" w:hAnsi="仿宋_GB2312" w:cs="仿宋_GB2312"/>
          <w:color w:val="000000"/>
          <w:sz w:val="32"/>
          <w:szCs w:val="32"/>
        </w:rPr>
        <w:t>事业单位1个。</w:t>
      </w:r>
      <w:r>
        <w:rPr>
          <w:rFonts w:hint="eastAsia" w:hAnsi="仿宋"/>
          <w:sz w:val="32"/>
          <w:szCs w:val="32"/>
        </w:rPr>
        <w:t>年末实有人数</w:t>
      </w:r>
      <w:r>
        <w:rPr>
          <w:rFonts w:hint="eastAsia" w:ascii="仿宋" w:hAnsi="仿宋" w:eastAsia="仿宋"/>
          <w:sz w:val="32"/>
          <w:szCs w:val="32"/>
        </w:rPr>
        <w:t>达州市达川区黄庭乡卫生院，</w:t>
      </w:r>
      <w:r>
        <w:rPr>
          <w:rFonts w:hint="eastAsia" w:hAnsi="仿宋"/>
          <w:sz w:val="32"/>
          <w:szCs w:val="32"/>
        </w:rPr>
        <w:t>年末实有人数16（含临聘4人）人，其中事业专技人员7人、事业工勤人员5人、临聘人员4人；退休人员3人。</w:t>
      </w:r>
    </w:p>
    <w:p>
      <w:pPr>
        <w:pStyle w:val="2"/>
        <w:ind w:right="440"/>
        <w:jc w:val="right"/>
        <w:rPr>
          <w:rStyle w:val="24"/>
          <w:rFonts w:ascii="黑体" w:hAnsi="黑体" w:eastAsia="黑体"/>
          <w:b w:val="0"/>
          <w:bCs w:val="0"/>
        </w:rPr>
      </w:pPr>
      <w:r>
        <w:rPr>
          <w:rFonts w:hint="eastAsia" w:ascii="黑体" w:hAnsi="黑体" w:eastAsia="黑体"/>
          <w:b w:val="0"/>
          <w:color w:val="000000"/>
        </w:rPr>
        <w:t>第二部分</w:t>
      </w:r>
      <w:r>
        <w:rPr>
          <w:rStyle w:val="24"/>
          <w:rFonts w:hint="eastAsia" w:ascii="黑体" w:hAnsi="黑体" w:eastAsia="黑体"/>
          <w:b w:val="0"/>
          <w:bCs w:val="0"/>
        </w:rPr>
        <w:t>2019年度部门决算情况说明</w:t>
      </w:r>
      <w:bookmarkEnd w:id="23"/>
      <w:bookmarkEnd w:id="24"/>
    </w:p>
    <w:p/>
    <w:p>
      <w:pPr>
        <w:pStyle w:val="23"/>
        <w:numPr>
          <w:ilvl w:val="0"/>
          <w:numId w:val="1"/>
        </w:numPr>
        <w:spacing w:line="600" w:lineRule="exact"/>
        <w:ind w:firstLineChars="0"/>
        <w:outlineLvl w:val="1"/>
        <w:rPr>
          <w:rStyle w:val="25"/>
          <w:rFonts w:ascii="黑体" w:hAnsi="黑体" w:eastAsia="黑体"/>
          <w:b w:val="0"/>
        </w:rPr>
      </w:pPr>
      <w:bookmarkStart w:id="25" w:name="_Toc15396603"/>
      <w:bookmarkStart w:id="26"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5"/>
      <w:bookmarkEnd w:id="26"/>
    </w:p>
    <w:p>
      <w:pPr>
        <w:spacing w:line="600" w:lineRule="exact"/>
        <w:ind w:firstLine="640"/>
        <w:rPr>
          <w:rFonts w:ascii="仿宋" w:hAnsi="仿宋" w:eastAsia="仿宋"/>
          <w:color w:val="FF0000"/>
          <w:sz w:val="32"/>
          <w:szCs w:val="32"/>
        </w:rPr>
      </w:pPr>
      <w:r>
        <w:rPr>
          <w:rFonts w:hint="eastAsia" w:ascii="仿宋" w:hAnsi="仿宋" w:eastAsia="仿宋"/>
          <w:sz w:val="32"/>
          <w:szCs w:val="32"/>
        </w:rPr>
        <w:t>2019年度收、支总计204.44万元。与2018年的231.63万元相比，收、支总计各减少27.19万元，减少13.30</w:t>
      </w:r>
      <w:r>
        <w:rPr>
          <w:rFonts w:ascii="仿宋" w:hAnsi="仿宋" w:eastAsia="仿宋"/>
          <w:sz w:val="32"/>
          <w:szCs w:val="32"/>
        </w:rPr>
        <w:t>%</w:t>
      </w:r>
      <w:r>
        <w:rPr>
          <w:rFonts w:hint="eastAsia" w:ascii="仿宋" w:hAnsi="仿宋" w:eastAsia="仿宋"/>
          <w:sz w:val="32"/>
          <w:szCs w:val="32"/>
        </w:rPr>
        <w:t>。主要变动原因是财政拨款补助收入及事业收入均减少。</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inline distT="0" distB="0" distL="114300" distR="114300">
            <wp:extent cx="4577715" cy="2422525"/>
            <wp:effectExtent l="0" t="0" r="13335" b="1587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4577715" cy="2422525"/>
                    </a:xfrm>
                    <a:prstGeom prst="rect">
                      <a:avLst/>
                    </a:prstGeom>
                  </pic:spPr>
                </pic:pic>
              </a:graphicData>
            </a:graphic>
          </wp:inline>
        </w:drawing>
      </w:r>
    </w:p>
    <w:p>
      <w:pPr>
        <w:spacing w:line="600" w:lineRule="exact"/>
        <w:ind w:firstLine="640" w:firstLineChars="200"/>
        <w:jc w:val="cente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p>
    <w:p>
      <w:pPr>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7" w:name="_Toc15396604"/>
      <w:bookmarkStart w:id="28"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7"/>
      <w:bookmarkEnd w:id="28"/>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9年本年收入合计169.17万元，其中：一般公共预算财政拨款收入131.93万元，占77.99</w:t>
      </w:r>
      <w:r>
        <w:rPr>
          <w:rFonts w:ascii="仿宋" w:hAnsi="仿宋" w:eastAsia="仿宋"/>
          <w:color w:val="000000"/>
          <w:sz w:val="32"/>
          <w:szCs w:val="32"/>
        </w:rPr>
        <w:t>%</w:t>
      </w:r>
      <w:r>
        <w:rPr>
          <w:rFonts w:hint="eastAsia" w:ascii="仿宋" w:hAnsi="仿宋" w:eastAsia="仿宋"/>
          <w:color w:val="000000"/>
          <w:sz w:val="32"/>
          <w:szCs w:val="32"/>
        </w:rPr>
        <w:t>；事业收入37.24万元，占22.01</w:t>
      </w:r>
      <w:r>
        <w:rPr>
          <w:rFonts w:ascii="仿宋" w:hAnsi="仿宋" w:eastAsia="仿宋"/>
          <w:color w:val="000000"/>
          <w:sz w:val="32"/>
          <w:szCs w:val="32"/>
        </w:rPr>
        <w:t>%</w:t>
      </w:r>
      <w:r>
        <w:rPr>
          <w:rFonts w:hint="eastAsia" w:ascii="仿宋" w:hAnsi="仿宋" w:eastAsia="仿宋"/>
          <w:color w:val="000000"/>
          <w:sz w:val="32"/>
          <w:szCs w:val="32"/>
        </w:rPr>
        <w:t>。</w:t>
      </w:r>
    </w:p>
    <w:p>
      <w:pPr>
        <w:outlineLvl w:val="1"/>
      </w:pPr>
      <w:r>
        <w:drawing>
          <wp:inline distT="0" distB="0" distL="114300" distR="114300">
            <wp:extent cx="5272405" cy="3196590"/>
            <wp:effectExtent l="0" t="0" r="4445" b="3810"/>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7"/>
                    <a:stretch>
                      <a:fillRect/>
                    </a:stretch>
                  </pic:blipFill>
                  <pic:spPr>
                    <a:xfrm>
                      <a:off x="0" y="0"/>
                      <a:ext cx="5272405" cy="3196590"/>
                    </a:xfrm>
                    <a:prstGeom prst="rect">
                      <a:avLst/>
                    </a:prstGeom>
                  </pic:spPr>
                </pic:pic>
              </a:graphicData>
            </a:graphic>
          </wp:inline>
        </w:drawing>
      </w:r>
    </w:p>
    <w:p>
      <w:pPr>
        <w:ind w:firstLine="420" w:firstLineChars="200"/>
        <w:outlineLvl w:val="1"/>
      </w:pPr>
    </w:p>
    <w:p>
      <w:pPr>
        <w:spacing w:line="600" w:lineRule="exact"/>
        <w:ind w:firstLine="1600" w:firstLineChars="5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w:t>
      </w:r>
    </w:p>
    <w:p>
      <w:pPr>
        <w:pStyle w:val="23"/>
        <w:numPr>
          <w:ilvl w:val="0"/>
          <w:numId w:val="1"/>
        </w:numPr>
        <w:spacing w:line="600" w:lineRule="exact"/>
        <w:ind w:firstLineChars="0"/>
        <w:outlineLvl w:val="1"/>
        <w:rPr>
          <w:rStyle w:val="25"/>
          <w:rFonts w:ascii="黑体" w:hAnsi="黑体" w:eastAsia="黑体"/>
          <w:b w:val="0"/>
        </w:rPr>
      </w:pPr>
      <w:bookmarkStart w:id="29" w:name="_Toc15377207"/>
      <w:bookmarkStart w:id="30"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9"/>
      <w:bookmarkEnd w:id="30"/>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9年本年支出合计152.92万元，其中：基本支出</w:t>
      </w:r>
    </w:p>
    <w:p>
      <w:pPr>
        <w:spacing w:line="600" w:lineRule="exact"/>
        <w:rPr>
          <w:rFonts w:ascii="仿宋" w:hAnsi="仿宋" w:eastAsia="仿宋"/>
          <w:color w:val="000000"/>
          <w:sz w:val="32"/>
          <w:szCs w:val="32"/>
          <w:shd w:val="pct10" w:color="auto" w:fill="FFFFFF"/>
        </w:rPr>
      </w:pPr>
      <w:r>
        <w:rPr>
          <w:rFonts w:hint="eastAsia" w:ascii="仿宋" w:hAnsi="仿宋" w:eastAsia="仿宋"/>
          <w:color w:val="000000"/>
          <w:sz w:val="32"/>
          <w:szCs w:val="32"/>
        </w:rPr>
        <w:t>99.58万元，占65.12</w:t>
      </w:r>
      <w:r>
        <w:rPr>
          <w:rFonts w:ascii="仿宋" w:hAnsi="仿宋" w:eastAsia="仿宋"/>
          <w:color w:val="000000"/>
          <w:sz w:val="32"/>
          <w:szCs w:val="32"/>
        </w:rPr>
        <w:t>%</w:t>
      </w:r>
      <w:r>
        <w:rPr>
          <w:rFonts w:hint="eastAsia" w:ascii="仿宋" w:hAnsi="仿宋" w:eastAsia="仿宋"/>
          <w:color w:val="000000"/>
          <w:sz w:val="32"/>
          <w:szCs w:val="32"/>
        </w:rPr>
        <w:t>；项目支出53.34万元，占34.88</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jc w:val="center"/>
        <w:rPr>
          <w:rFonts w:ascii="仿宋" w:hAnsi="仿宋" w:eastAsia="仿宋"/>
          <w:color w:val="000000" w:themeColor="text1"/>
          <w:sz w:val="32"/>
          <w:szCs w:val="32"/>
        </w:rPr>
      </w:pPr>
      <w:r>
        <w:rPr>
          <w:rFonts w:hint="eastAsia" w:ascii="仿宋" w:hAnsi="仿宋" w:eastAsia="仿宋"/>
          <w:color w:val="000000" w:themeColor="text1"/>
          <w:sz w:val="32"/>
          <w:szCs w:val="32"/>
        </w:rPr>
        <w:drawing>
          <wp:inline distT="0" distB="0" distL="114300" distR="114300">
            <wp:extent cx="4547235" cy="2757170"/>
            <wp:effectExtent l="0" t="0" r="5715" b="5080"/>
            <wp:docPr id="6" name="图片 6"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3"/>
                    <pic:cNvPicPr>
                      <a:picLocks noChangeAspect="1"/>
                    </pic:cNvPicPr>
                  </pic:nvPicPr>
                  <pic:blipFill>
                    <a:blip r:embed="rId8"/>
                    <a:stretch>
                      <a:fillRect/>
                    </a:stretch>
                  </pic:blipFill>
                  <pic:spPr>
                    <a:xfrm>
                      <a:off x="0" y="0"/>
                      <a:ext cx="4547235" cy="2757170"/>
                    </a:xfrm>
                    <a:prstGeom prst="rect">
                      <a:avLst/>
                    </a:prstGeom>
                  </pic:spPr>
                </pic:pic>
              </a:graphicData>
            </a:graphic>
          </wp:inline>
        </w:drawing>
      </w:r>
    </w:p>
    <w:p>
      <w:pPr>
        <w:spacing w:line="600" w:lineRule="exact"/>
        <w:ind w:firstLine="1280" w:firstLineChars="4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w:t>
      </w:r>
    </w:p>
    <w:p>
      <w:pPr>
        <w:spacing w:line="600" w:lineRule="exact"/>
        <w:ind w:firstLine="640" w:firstLineChars="200"/>
        <w:outlineLvl w:val="1"/>
        <w:rPr>
          <w:rFonts w:ascii="黑体" w:hAnsi="黑体" w:eastAsia="黑体"/>
          <w:color w:val="000000"/>
          <w:sz w:val="32"/>
          <w:szCs w:val="32"/>
        </w:rPr>
      </w:pPr>
      <w:bookmarkStart w:id="31" w:name="_Toc15396606"/>
      <w:bookmarkStart w:id="32" w:name="_Toc15377208"/>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1"/>
      <w:bookmarkEnd w:id="3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sz w:val="32"/>
          <w:szCs w:val="32"/>
        </w:rPr>
        <w:t>167.20</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8年的162.34万元相比，财政拨款收、支总计均增加4.86万元，增加2.91</w:t>
      </w:r>
      <w:r>
        <w:rPr>
          <w:rFonts w:ascii="仿宋" w:hAnsi="仿宋" w:eastAsia="仿宋"/>
          <w:color w:val="000000"/>
          <w:sz w:val="32"/>
          <w:szCs w:val="32"/>
        </w:rPr>
        <w:t>%</w:t>
      </w:r>
      <w:r>
        <w:rPr>
          <w:rFonts w:hint="eastAsia" w:ascii="仿宋" w:hAnsi="仿宋" w:eastAsia="仿宋"/>
          <w:color w:val="000000"/>
          <w:sz w:val="32"/>
          <w:szCs w:val="32"/>
        </w:rPr>
        <w:t>。主要变动原因是人员增加，人员经费及公用经费增加。</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5034915" cy="2664460"/>
            <wp:effectExtent l="0" t="0" r="13335" b="2540"/>
            <wp:docPr id="7" name="图片 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4"/>
                    <pic:cNvPicPr>
                      <a:picLocks noChangeAspect="1"/>
                    </pic:cNvPicPr>
                  </pic:nvPicPr>
                  <pic:blipFill>
                    <a:blip r:embed="rId9"/>
                    <a:stretch>
                      <a:fillRect/>
                    </a:stretch>
                  </pic:blipFill>
                  <pic:spPr>
                    <a:xfrm>
                      <a:off x="0" y="0"/>
                      <a:ext cx="5034915" cy="2664460"/>
                    </a:xfrm>
                    <a:prstGeom prst="rect">
                      <a:avLst/>
                    </a:prstGeom>
                  </pic:spPr>
                </pic:pic>
              </a:graphicData>
            </a:graphic>
          </wp:inline>
        </w:drawing>
      </w:r>
    </w:p>
    <w:p>
      <w:pPr>
        <w:spacing w:line="600" w:lineRule="exact"/>
        <w:ind w:firstLine="640" w:firstLineChars="2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w:t>
      </w:r>
    </w:p>
    <w:p>
      <w:pPr>
        <w:spacing w:line="600" w:lineRule="exact"/>
        <w:ind w:firstLine="640" w:firstLineChars="200"/>
        <w:outlineLvl w:val="1"/>
        <w:rPr>
          <w:rStyle w:val="25"/>
          <w:rFonts w:ascii="黑体" w:hAnsi="黑体" w:eastAsia="黑体"/>
          <w:b w:val="0"/>
        </w:rPr>
      </w:pPr>
      <w:bookmarkStart w:id="33" w:name="_Toc15377209"/>
      <w:bookmarkStart w:id="34"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3"/>
      <w:bookmarkEnd w:id="34"/>
    </w:p>
    <w:p>
      <w:pPr>
        <w:spacing w:line="600" w:lineRule="exact"/>
        <w:ind w:firstLine="643" w:firstLineChars="200"/>
        <w:outlineLvl w:val="2"/>
        <w:rPr>
          <w:rFonts w:ascii="仿宋" w:hAnsi="仿宋" w:eastAsia="仿宋"/>
          <w:b/>
          <w:color w:val="000000"/>
          <w:sz w:val="32"/>
          <w:szCs w:val="32"/>
        </w:rPr>
      </w:pPr>
      <w:bookmarkStart w:id="35" w:name="_Toc15377210"/>
      <w:r>
        <w:rPr>
          <w:rFonts w:hint="eastAsia" w:ascii="仿宋" w:hAnsi="仿宋" w:eastAsia="仿宋"/>
          <w:b/>
          <w:color w:val="000000"/>
          <w:sz w:val="32"/>
          <w:szCs w:val="32"/>
        </w:rPr>
        <w:t>（一）一般公共预算财政拨款支出决算总体情况</w:t>
      </w:r>
      <w:bookmarkEnd w:id="3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9年一般公共预算财政拨款支出115.68万元，占本年支出合计的75.65</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8年的127.06万元相比，一般公共预算财政拨款减少11.38万元，减少8.96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bCs/>
          <w:color w:val="000000"/>
          <w:sz w:val="32"/>
          <w:szCs w:val="32"/>
        </w:rPr>
        <w:t>一般公共预算财政拨款</w:t>
      </w:r>
      <w:r>
        <w:rPr>
          <w:rFonts w:hint="eastAsia" w:ascii="仿宋" w:hAnsi="仿宋" w:eastAsia="仿宋"/>
          <w:color w:val="000000"/>
          <w:sz w:val="32"/>
          <w:szCs w:val="32"/>
        </w:rPr>
        <w:t>支出减少。</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4909820" cy="2598420"/>
            <wp:effectExtent l="0" t="0" r="5080" b="11430"/>
            <wp:docPr id="10" name="图片 10"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5"/>
                    <pic:cNvPicPr>
                      <a:picLocks noChangeAspect="1"/>
                    </pic:cNvPicPr>
                  </pic:nvPicPr>
                  <pic:blipFill>
                    <a:blip r:embed="rId10"/>
                    <a:stretch>
                      <a:fillRect/>
                    </a:stretch>
                  </pic:blipFill>
                  <pic:spPr>
                    <a:xfrm>
                      <a:off x="0" y="0"/>
                      <a:ext cx="4909820" cy="2598420"/>
                    </a:xfrm>
                    <a:prstGeom prst="rect">
                      <a:avLst/>
                    </a:prstGeom>
                  </pic:spPr>
                </pic:pic>
              </a:graphicData>
            </a:graphic>
          </wp:inline>
        </w:drawing>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w:t>
      </w:r>
    </w:p>
    <w:p>
      <w:pPr>
        <w:spacing w:line="600" w:lineRule="exact"/>
        <w:ind w:firstLine="643" w:firstLineChars="200"/>
        <w:outlineLvl w:val="2"/>
        <w:rPr>
          <w:rFonts w:ascii="仿宋" w:hAnsi="仿宋" w:eastAsia="仿宋"/>
          <w:b/>
          <w:color w:val="000000"/>
          <w:sz w:val="32"/>
          <w:szCs w:val="32"/>
        </w:rPr>
      </w:pPr>
      <w:bookmarkStart w:id="36" w:name="_Toc15377211"/>
      <w:r>
        <w:rPr>
          <w:rFonts w:hint="eastAsia" w:ascii="仿宋" w:hAnsi="仿宋" w:eastAsia="仿宋"/>
          <w:b/>
          <w:color w:val="000000"/>
          <w:sz w:val="32"/>
          <w:szCs w:val="32"/>
        </w:rPr>
        <w:t>（二）一般公共预算财政拨款支出决算结构情况</w:t>
      </w:r>
      <w:bookmarkEnd w:id="36"/>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rPr>
        <w:t>115.68</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支出7.57万元，占6.54</w:t>
      </w:r>
      <w:r>
        <w:rPr>
          <w:rFonts w:ascii="仿宋" w:hAnsi="仿宋" w:eastAsia="仿宋"/>
          <w:color w:val="000000" w:themeColor="text1"/>
          <w:sz w:val="32"/>
          <w:szCs w:val="32"/>
        </w:rPr>
        <w:t>%</w:t>
      </w:r>
      <w:r>
        <w:rPr>
          <w:rFonts w:hint="eastAsia" w:ascii="仿宋" w:hAnsi="仿宋" w:eastAsia="仿宋"/>
          <w:color w:val="000000" w:themeColor="text1"/>
          <w:sz w:val="32"/>
          <w:szCs w:val="32"/>
        </w:rPr>
        <w:t>；卫生健康支出102.23万元，占88.37</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；住房保障支出5.88万元，占5.09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ind w:firstLine="640"/>
        <w:rPr>
          <w:rFonts w:ascii="仿宋" w:hAnsi="仿宋" w:eastAsia="仿宋"/>
          <w:b/>
          <w:color w:val="000000" w:themeColor="text1"/>
          <w:sz w:val="32"/>
          <w:szCs w:val="32"/>
        </w:rPr>
      </w:pPr>
      <w:r>
        <w:rPr>
          <w:rFonts w:hint="eastAsia" w:ascii="仿宋" w:hAnsi="仿宋" w:eastAsia="仿宋"/>
          <w:b/>
          <w:color w:val="000000" w:themeColor="text1"/>
          <w:sz w:val="32"/>
          <w:szCs w:val="32"/>
        </w:rPr>
        <w:drawing>
          <wp:inline distT="0" distB="0" distL="114300" distR="114300">
            <wp:extent cx="4891405" cy="2965450"/>
            <wp:effectExtent l="0" t="0" r="4445" b="6350"/>
            <wp:docPr id="11" name="图片 11"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6"/>
                    <pic:cNvPicPr>
                      <a:picLocks noChangeAspect="1"/>
                    </pic:cNvPicPr>
                  </pic:nvPicPr>
                  <pic:blipFill>
                    <a:blip r:embed="rId11"/>
                    <a:stretch>
                      <a:fillRect/>
                    </a:stretch>
                  </pic:blipFill>
                  <pic:spPr>
                    <a:xfrm>
                      <a:off x="0" y="0"/>
                      <a:ext cx="4891405" cy="2965450"/>
                    </a:xfrm>
                    <a:prstGeom prst="rect">
                      <a:avLst/>
                    </a:prstGeom>
                  </pic:spPr>
                </pic:pic>
              </a:graphicData>
            </a:graphic>
          </wp:inline>
        </w:drawing>
      </w:r>
    </w:p>
    <w:p>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7" w:name="_Toc15377212"/>
      <w:r>
        <w:rPr>
          <w:rFonts w:hint="eastAsia" w:ascii="仿宋" w:hAnsi="仿宋" w:eastAsia="仿宋"/>
          <w:b/>
          <w:color w:val="000000"/>
          <w:sz w:val="32"/>
          <w:szCs w:val="32"/>
        </w:rPr>
        <w:t>（三）一般公共预算财政拨款支出决算具体情况</w:t>
      </w:r>
      <w:bookmarkEnd w:id="37"/>
    </w:p>
    <w:p>
      <w:pPr>
        <w:spacing w:line="600" w:lineRule="exact"/>
        <w:ind w:firstLine="643" w:firstLineChars="200"/>
        <w:outlineLvl w:val="2"/>
        <w:rPr>
          <w:rFonts w:ascii="仿宋" w:hAnsi="仿宋" w:eastAsia="仿宋"/>
          <w:color w:val="FF0000"/>
          <w:sz w:val="32"/>
          <w:szCs w:val="32"/>
        </w:rPr>
      </w:pPr>
      <w:bookmarkStart w:id="38" w:name="_Toc15377213"/>
      <w:bookmarkStart w:id="39" w:name="_Toc15378460"/>
      <w:bookmarkStart w:id="40" w:name="_Toc15377444"/>
      <w:r>
        <w:rPr>
          <w:rFonts w:hint="eastAsia" w:ascii="仿宋" w:hAnsi="仿宋" w:eastAsia="仿宋"/>
          <w:b/>
          <w:color w:val="000000" w:themeColor="text1"/>
          <w:sz w:val="32"/>
          <w:szCs w:val="32"/>
        </w:rPr>
        <w:t>2019年一般公共预算支出决算数为</w:t>
      </w:r>
      <w:r>
        <w:rPr>
          <w:rFonts w:hint="eastAsia" w:ascii="仿宋" w:hAnsi="仿宋" w:eastAsia="仿宋"/>
          <w:color w:val="000000"/>
          <w:sz w:val="32"/>
          <w:szCs w:val="32"/>
        </w:rPr>
        <w:t>115.68</w:t>
      </w:r>
      <w:r>
        <w:rPr>
          <w:rFonts w:hint="eastAsia" w:ascii="仿宋" w:hAnsi="仿宋" w:eastAsia="仿宋"/>
          <w:b/>
          <w:color w:val="000000" w:themeColor="text1"/>
          <w:sz w:val="32"/>
          <w:szCs w:val="32"/>
        </w:rPr>
        <w:t>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预算69.19</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8"/>
      <w:bookmarkEnd w:id="39"/>
      <w:bookmarkEnd w:id="40"/>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社会保障和就业（208）-行政事业单位离退休（20805）-机关事业单位基本养老保险缴费支出（2080505）</w:t>
      </w:r>
      <w:r>
        <w:rPr>
          <w:rStyle w:val="14"/>
          <w:rFonts w:hint="eastAsia" w:ascii="仿宋_GB2312" w:eastAsia="仿宋_GB2312"/>
          <w:color w:val="000000"/>
          <w:sz w:val="32"/>
          <w:szCs w:val="32"/>
        </w:rPr>
        <w:t>：</w:t>
      </w:r>
      <w:r>
        <w:rPr>
          <w:rStyle w:val="14"/>
          <w:rFonts w:hint="eastAsia" w:ascii="仿宋" w:hAnsi="仿宋" w:eastAsia="仿宋"/>
          <w:b w:val="0"/>
          <w:bCs/>
          <w:color w:val="000000"/>
          <w:sz w:val="32"/>
          <w:szCs w:val="32"/>
        </w:rPr>
        <w:t>2019年决算数为7.57万元，完成预算率100%,主要用于：缴纳职工养老保险。</w:t>
      </w:r>
    </w:p>
    <w:p>
      <w:pPr>
        <w:spacing w:line="600" w:lineRule="exact"/>
        <w:ind w:firstLine="643" w:firstLineChars="200"/>
        <w:rPr>
          <w:rStyle w:val="14"/>
          <w:rFonts w:eastAsia="仿宋_GB2312"/>
          <w:b w:val="0"/>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卫生健康支出(210)</w:t>
      </w:r>
      <w:r>
        <w:rPr>
          <w:rStyle w:val="14"/>
          <w:rFonts w:hint="eastAsia" w:ascii="仿宋" w:hAnsi="仿宋" w:eastAsia="仿宋"/>
          <w:bCs/>
          <w:color w:val="000000"/>
          <w:sz w:val="32"/>
          <w:szCs w:val="32"/>
        </w:rPr>
        <w:tab/>
      </w:r>
      <w:r>
        <w:rPr>
          <w:rStyle w:val="14"/>
          <w:rFonts w:hint="eastAsia" w:ascii="仿宋" w:hAnsi="仿宋" w:eastAsia="仿宋"/>
          <w:bCs/>
          <w:color w:val="000000"/>
          <w:sz w:val="32"/>
          <w:szCs w:val="32"/>
        </w:rPr>
        <w:t>-基层医疗卫生机构(21003)- 乡乡卫生院(2100302):</w:t>
      </w:r>
      <w:r>
        <w:rPr>
          <w:rStyle w:val="14"/>
          <w:rFonts w:hint="eastAsia" w:ascii="仿宋" w:hAnsi="仿宋" w:eastAsia="仿宋"/>
          <w:b w:val="0"/>
          <w:bCs/>
          <w:color w:val="000000"/>
          <w:sz w:val="32"/>
          <w:szCs w:val="32"/>
        </w:rPr>
        <w:t>2019年决算数为44.97万元</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rPr>
        <w:t>;完成预算率46.61%,</w:t>
      </w:r>
      <w:r>
        <w:rPr>
          <w:rStyle w:val="14"/>
          <w:rFonts w:ascii="仿宋" w:hAnsi="仿宋" w:eastAsia="仿宋"/>
          <w:b w:val="0"/>
          <w:bCs/>
          <w:color w:val="000000"/>
          <w:sz w:val="32"/>
          <w:szCs w:val="32"/>
        </w:rPr>
        <w:t>决算数</w:t>
      </w:r>
      <w:r>
        <w:rPr>
          <w:rStyle w:val="14"/>
          <w:rFonts w:hint="eastAsia" w:ascii="仿宋" w:hAnsi="仿宋" w:eastAsia="仿宋"/>
          <w:b w:val="0"/>
          <w:bCs/>
          <w:color w:val="000000"/>
          <w:sz w:val="32"/>
          <w:szCs w:val="32"/>
        </w:rPr>
        <w:t>小于</w:t>
      </w:r>
      <w:r>
        <w:rPr>
          <w:rStyle w:val="14"/>
          <w:rFonts w:ascii="仿宋" w:hAnsi="仿宋" w:eastAsia="仿宋"/>
          <w:b w:val="0"/>
          <w:bCs/>
          <w:color w:val="000000"/>
          <w:sz w:val="32"/>
          <w:szCs w:val="32"/>
        </w:rPr>
        <w:t>预算数的主要原因是</w:t>
      </w:r>
      <w:r>
        <w:rPr>
          <w:rStyle w:val="14"/>
          <w:rFonts w:hint="eastAsia" w:ascii="仿宋" w:hAnsi="仿宋" w:eastAsia="仿宋"/>
          <w:b w:val="0"/>
          <w:bCs/>
          <w:color w:val="000000"/>
          <w:sz w:val="32"/>
          <w:szCs w:val="32"/>
        </w:rPr>
        <w:t>应返还额度结转。</w:t>
      </w:r>
    </w:p>
    <w:p>
      <w:pPr>
        <w:spacing w:line="600" w:lineRule="exact"/>
        <w:rPr>
          <w:rFonts w:ascii="仿宋" w:hAnsi="仿宋" w:eastAsia="仿宋"/>
          <w:b/>
          <w:color w:val="000000"/>
          <w:sz w:val="32"/>
          <w:szCs w:val="32"/>
        </w:rPr>
      </w:pP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 xml:space="preserve"> 卫生健康支出(210)</w:t>
      </w:r>
      <w:r>
        <w:rPr>
          <w:rStyle w:val="14"/>
          <w:rFonts w:hint="eastAsia" w:ascii="仿宋" w:hAnsi="仿宋" w:eastAsia="仿宋"/>
          <w:bCs/>
          <w:color w:val="000000"/>
          <w:sz w:val="32"/>
          <w:szCs w:val="32"/>
        </w:rPr>
        <w:tab/>
      </w:r>
      <w:r>
        <w:rPr>
          <w:rStyle w:val="14"/>
          <w:rFonts w:hint="eastAsia" w:ascii="仿宋" w:hAnsi="仿宋" w:eastAsia="仿宋"/>
          <w:bCs/>
          <w:color w:val="000000"/>
          <w:sz w:val="32"/>
          <w:szCs w:val="32"/>
        </w:rPr>
        <w:t>-基层医疗卫生机构(21003)-其他基层医疗卫生机构支出（2100399)：</w:t>
      </w:r>
      <w:r>
        <w:rPr>
          <w:rStyle w:val="14"/>
          <w:rFonts w:hint="eastAsia" w:ascii="仿宋" w:hAnsi="仿宋" w:eastAsia="仿宋"/>
          <w:b w:val="0"/>
          <w:bCs/>
          <w:color w:val="000000"/>
          <w:sz w:val="32"/>
          <w:szCs w:val="32"/>
        </w:rPr>
        <w:t>2019年决算数为9.72万元；完成预算率100%,主要用于：基本药物采购。</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 xml:space="preserve"> 卫生健康支出(210)</w:t>
      </w:r>
      <w:r>
        <w:rPr>
          <w:rStyle w:val="14"/>
          <w:rFonts w:hint="eastAsia" w:ascii="仿宋" w:hAnsi="仿宋" w:eastAsia="仿宋"/>
          <w:bCs/>
          <w:color w:val="000000"/>
          <w:sz w:val="32"/>
          <w:szCs w:val="32"/>
        </w:rPr>
        <w:tab/>
      </w:r>
      <w:r>
        <w:rPr>
          <w:rStyle w:val="14"/>
          <w:rFonts w:hint="eastAsia" w:ascii="仿宋" w:hAnsi="仿宋" w:eastAsia="仿宋"/>
          <w:bCs/>
          <w:color w:val="000000"/>
          <w:sz w:val="32"/>
          <w:szCs w:val="32"/>
        </w:rPr>
        <w:t>-公共卫生（21004）-  基本公共卫生服务（2100408）：</w:t>
      </w:r>
      <w:r>
        <w:rPr>
          <w:rStyle w:val="14"/>
          <w:rFonts w:hint="eastAsia" w:ascii="仿宋" w:hAnsi="仿宋" w:eastAsia="仿宋"/>
          <w:b w:val="0"/>
          <w:bCs/>
          <w:color w:val="000000"/>
          <w:sz w:val="32"/>
          <w:szCs w:val="32"/>
        </w:rPr>
        <w:t>2019年决算数为43.62万元完成预算率100%,主要用于：基本公共卫生服务类支出</w:t>
      </w:r>
      <w:r>
        <w:rPr>
          <w:rStyle w:val="14"/>
          <w:rFonts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 xml:space="preserve"> 卫生健康支出(210)-行政事业单位医疗（21011）-  事业单位医疗（2101102）：</w:t>
      </w:r>
      <w:r>
        <w:rPr>
          <w:rStyle w:val="14"/>
          <w:rFonts w:hint="eastAsia" w:ascii="仿宋" w:hAnsi="仿宋" w:eastAsia="仿宋"/>
          <w:b w:val="0"/>
          <w:bCs/>
          <w:color w:val="000000"/>
          <w:sz w:val="32"/>
          <w:szCs w:val="32"/>
        </w:rPr>
        <w:t>2019年决算数为3.92万元，完成预算率100%,主要用于：主要用于缴纳职工医疗保险及补充医疗保险基金。</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6.住房保障支出（221）住房改革支出（22102）住房公积金（2210201）:</w:t>
      </w:r>
      <w:r>
        <w:rPr>
          <w:rStyle w:val="14"/>
          <w:rFonts w:hint="eastAsia" w:ascii="仿宋" w:hAnsi="仿宋" w:eastAsia="仿宋"/>
          <w:b w:val="0"/>
          <w:bCs/>
          <w:color w:val="000000"/>
          <w:sz w:val="32"/>
          <w:szCs w:val="32"/>
        </w:rPr>
        <w:t>2019年决算数</w:t>
      </w:r>
      <w:r>
        <w:rPr>
          <w:rStyle w:val="14"/>
          <w:rFonts w:ascii="仿宋" w:hAnsi="仿宋" w:eastAsia="仿宋"/>
          <w:b w:val="0"/>
          <w:bCs/>
          <w:color w:val="000000"/>
          <w:sz w:val="32"/>
          <w:szCs w:val="32"/>
        </w:rPr>
        <w:t>决算为</w:t>
      </w:r>
      <w:r>
        <w:rPr>
          <w:rStyle w:val="14"/>
          <w:rFonts w:hint="eastAsia" w:ascii="仿宋" w:hAnsi="仿宋" w:eastAsia="仿宋"/>
          <w:b w:val="0"/>
          <w:bCs/>
          <w:color w:val="000000"/>
          <w:sz w:val="32"/>
          <w:szCs w:val="32"/>
        </w:rPr>
        <w:t>5.88</w:t>
      </w:r>
      <w:r>
        <w:rPr>
          <w:rStyle w:val="14"/>
          <w:rFonts w:ascii="仿宋" w:hAnsi="仿宋" w:eastAsia="仿宋"/>
          <w:b w:val="0"/>
          <w:bCs/>
          <w:color w:val="000000"/>
          <w:sz w:val="32"/>
          <w:szCs w:val="32"/>
        </w:rPr>
        <w:t>万元，完成预算100%</w:t>
      </w:r>
      <w:r>
        <w:rPr>
          <w:rStyle w:val="14"/>
          <w:rFonts w:hint="eastAsia" w:ascii="仿宋" w:hAnsi="仿宋" w:eastAsia="仿宋"/>
          <w:b w:val="0"/>
          <w:bCs/>
          <w:color w:val="000000"/>
          <w:sz w:val="32"/>
          <w:szCs w:val="32"/>
        </w:rPr>
        <w:t>,主要用于：缴纳职工住房公积金。</w:t>
      </w:r>
    </w:p>
    <w:p>
      <w:pPr>
        <w:tabs>
          <w:tab w:val="right" w:pos="8306"/>
        </w:tabs>
        <w:spacing w:line="600" w:lineRule="exact"/>
        <w:ind w:firstLine="640"/>
        <w:outlineLvl w:val="1"/>
        <w:rPr>
          <w:rStyle w:val="25"/>
        </w:rPr>
      </w:pPr>
      <w:bookmarkStart w:id="41" w:name="_Toc15377214"/>
      <w:bookmarkStart w:id="42"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1"/>
      <w:bookmarkEnd w:id="42"/>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9年一般公共预算财政拨款基本支出62.34万元，其中：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人员经费45.57万元，主要包括：基本工资、津贴补贴、奖金、绩效工资、机关事业单位基本养老保险缴费、职业年金缴费、生活补助、医疗费、奖励金、住房公积金等。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公用经费16.77万元，主要包括：办公费、印刷费、水费、电费、邮电费、差旅费、其他交通费、其他商品和服务支出等。</w:t>
      </w:r>
    </w:p>
    <w:p>
      <w:pPr>
        <w:spacing w:line="600" w:lineRule="exact"/>
        <w:ind w:firstLine="640"/>
        <w:outlineLvl w:val="1"/>
        <w:rPr>
          <w:rStyle w:val="25"/>
          <w:rFonts w:ascii="黑体" w:hAnsi="黑体" w:eastAsia="黑体"/>
          <w:b w:val="0"/>
        </w:rPr>
      </w:pPr>
      <w:bookmarkStart w:id="43" w:name="_Toc15377215"/>
      <w:bookmarkStart w:id="44" w:name="_Toc15396609"/>
      <w:bookmarkStart w:id="45" w:name="_Toc15377223"/>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3"/>
      <w:bookmarkEnd w:id="44"/>
    </w:p>
    <w:p>
      <w:pPr>
        <w:spacing w:line="600" w:lineRule="exact"/>
        <w:ind w:firstLine="640"/>
        <w:outlineLvl w:val="2"/>
        <w:rPr>
          <w:rFonts w:ascii="仿宋" w:hAnsi="仿宋" w:eastAsia="仿宋"/>
          <w:b/>
          <w:color w:val="000000"/>
          <w:sz w:val="32"/>
          <w:szCs w:val="32"/>
        </w:rPr>
      </w:pPr>
      <w:bookmarkStart w:id="46" w:name="_Toc15377216"/>
      <w:r>
        <w:rPr>
          <w:rFonts w:hint="eastAsia" w:ascii="仿宋" w:hAnsi="仿宋" w:eastAsia="仿宋"/>
          <w:b/>
          <w:color w:val="000000"/>
          <w:sz w:val="32"/>
          <w:szCs w:val="32"/>
        </w:rPr>
        <w:t>（一）“三公”经费财政拨款支出决算总体情况说明</w:t>
      </w:r>
      <w:bookmarkEnd w:id="46"/>
    </w:p>
    <w:p>
      <w:pPr>
        <w:spacing w:line="600" w:lineRule="exact"/>
        <w:ind w:firstLine="640"/>
        <w:rPr>
          <w:rFonts w:ascii="仿宋" w:hAnsi="仿宋" w:eastAsia="仿宋"/>
          <w:b/>
          <w:color w:val="000000" w:themeColor="text1"/>
          <w:sz w:val="32"/>
          <w:szCs w:val="32"/>
        </w:rPr>
      </w:pPr>
      <w:r>
        <w:rPr>
          <w:rFonts w:hint="eastAsia" w:ascii="仿宋" w:hAnsi="仿宋" w:eastAsia="仿宋"/>
          <w:b/>
          <w:color w:val="000000"/>
          <w:sz w:val="32"/>
          <w:szCs w:val="32"/>
        </w:rPr>
        <w:t>无</w:t>
      </w:r>
    </w:p>
    <w:p>
      <w:pPr>
        <w:spacing w:line="600" w:lineRule="exact"/>
        <w:ind w:firstLine="640"/>
        <w:outlineLvl w:val="2"/>
        <w:rPr>
          <w:rFonts w:ascii="仿宋" w:hAnsi="仿宋" w:eastAsia="仿宋"/>
          <w:b/>
          <w:color w:val="000000"/>
          <w:sz w:val="32"/>
          <w:szCs w:val="32"/>
        </w:rPr>
      </w:pPr>
      <w:bookmarkStart w:id="47" w:name="_Toc15377217"/>
      <w:r>
        <w:rPr>
          <w:rFonts w:hint="eastAsia" w:ascii="仿宋" w:hAnsi="仿宋" w:eastAsia="仿宋"/>
          <w:b/>
          <w:color w:val="000000"/>
          <w:sz w:val="32"/>
          <w:szCs w:val="32"/>
        </w:rPr>
        <w:t>（二）“三公”经费财政拨款支出决算具体情况说明</w:t>
      </w:r>
      <w:bookmarkEnd w:id="47"/>
    </w:p>
    <w:p>
      <w:pPr>
        <w:spacing w:line="600" w:lineRule="exact"/>
        <w:ind w:firstLine="640"/>
        <w:outlineLvl w:val="1"/>
        <w:rPr>
          <w:rFonts w:ascii="仿宋" w:hAnsi="仿宋" w:eastAsia="仿宋"/>
          <w:color w:val="000000"/>
          <w:sz w:val="32"/>
          <w:szCs w:val="32"/>
        </w:rPr>
      </w:pPr>
      <w:r>
        <w:rPr>
          <w:rFonts w:hint="eastAsia" w:ascii="仿宋" w:hAnsi="仿宋" w:eastAsia="仿宋"/>
          <w:color w:val="000000"/>
          <w:sz w:val="32"/>
          <w:szCs w:val="32"/>
        </w:rPr>
        <w:t>无</w:t>
      </w:r>
      <w:bookmarkStart w:id="48" w:name="_Toc15377218"/>
      <w:bookmarkStart w:id="49"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8"/>
      <w:bookmarkEnd w:id="49"/>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numPr>
          <w:ilvl w:val="0"/>
          <w:numId w:val="2"/>
        </w:numPr>
        <w:spacing w:line="600" w:lineRule="exact"/>
        <w:ind w:firstLine="640"/>
        <w:outlineLvl w:val="1"/>
        <w:rPr>
          <w:rStyle w:val="25"/>
          <w:rFonts w:ascii="黑体" w:hAnsi="黑体" w:eastAsia="黑体"/>
          <w:b w:val="0"/>
        </w:rPr>
      </w:pPr>
      <w:bookmarkStart w:id="50" w:name="_Toc15377219"/>
      <w:bookmarkStart w:id="51" w:name="_Toc15396611"/>
      <w:r>
        <w:rPr>
          <w:rStyle w:val="25"/>
          <w:rFonts w:hint="eastAsia" w:ascii="黑体" w:hAnsi="黑体" w:eastAsia="黑体"/>
          <w:b w:val="0"/>
        </w:rPr>
        <w:t>国有资本经营预算支出决算情况说明</w:t>
      </w:r>
      <w:bookmarkEnd w:id="50"/>
      <w:bookmarkEnd w:id="51"/>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spacing w:line="600" w:lineRule="exact"/>
        <w:ind w:firstLine="800" w:firstLineChars="250"/>
        <w:outlineLvl w:val="1"/>
        <w:rPr>
          <w:rStyle w:val="25"/>
          <w:rFonts w:ascii="黑体" w:hAnsi="黑体" w:eastAsia="黑体"/>
        </w:rPr>
      </w:pPr>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p>
    <w:p>
      <w:pPr>
        <w:spacing w:line="600" w:lineRule="exact"/>
        <w:ind w:firstLine="643" w:firstLineChars="200"/>
        <w:outlineLvl w:val="2"/>
        <w:rPr>
          <w:rFonts w:ascii="仿宋" w:hAnsi="仿宋" w:eastAsia="仿宋"/>
          <w:color w:val="000000"/>
          <w:sz w:val="32"/>
          <w:szCs w:val="32"/>
        </w:rPr>
      </w:pPr>
      <w:r>
        <w:rPr>
          <w:rFonts w:hint="eastAsia" w:ascii="仿宋" w:hAnsi="仿宋" w:eastAsia="仿宋"/>
          <w:b/>
          <w:color w:val="000000"/>
          <w:sz w:val="32"/>
          <w:szCs w:val="32"/>
        </w:rPr>
        <w:t>（一）机关运行经费支出情况</w:t>
      </w:r>
    </w:p>
    <w:p>
      <w:pPr>
        <w:spacing w:line="600" w:lineRule="exact"/>
        <w:ind w:firstLine="640" w:firstLineChars="200"/>
        <w:rPr>
          <w:rFonts w:ascii="仿宋" w:hAnsi="仿宋" w:eastAsia="仿宋"/>
          <w:b/>
          <w:color w:val="FF0000"/>
          <w:sz w:val="32"/>
          <w:szCs w:val="32"/>
        </w:rPr>
      </w:pPr>
      <w:r>
        <w:rPr>
          <w:rFonts w:hint="eastAsia" w:ascii="仿宋_GB2312" w:eastAsia="仿宋_GB2312"/>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p>
    <w:p>
      <w:pPr>
        <w:spacing w:line="600" w:lineRule="exact"/>
        <w:ind w:firstLine="640" w:firstLineChars="200"/>
        <w:rPr>
          <w:rFonts w:ascii="仿宋" w:hAnsi="仿宋" w:eastAsia="仿宋"/>
          <w:b/>
          <w:color w:val="FF0000"/>
          <w:sz w:val="32"/>
          <w:szCs w:val="32"/>
        </w:rPr>
      </w:pPr>
      <w:r>
        <w:rPr>
          <w:rFonts w:hint="eastAsia" w:ascii="仿宋_GB2312" w:eastAsia="仿宋_GB2312"/>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日，共有车辆1辆，其中：其他用车1辆，</w:t>
      </w:r>
      <w:r>
        <w:rPr>
          <w:rFonts w:hint="eastAsia" w:ascii="仿宋_GB2312" w:eastAsia="仿宋_GB2312"/>
          <w:color w:val="000000" w:themeColor="text1"/>
          <w:sz w:val="32"/>
          <w:szCs w:val="32"/>
        </w:rPr>
        <w:t>其他用车主要是用于急救。单价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“基本药物补助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等2个项目开展了预算事前绩效评估，对2个项目编制了绩效目标，预算执行过程中，选取2个项目开展绩效监控，年终执行完毕后，对2个项目开展了绩效目标完成情况自评。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本单位按要求对2019年部门整体支出开展绩效自评，从评价情况来看本单位按要求对 2019年单位整体支出开展绩效自评，从评价情况来看，本单位 2019年单位整体支出绩效评价自查自评结果良好。财务制度较健全，财务管理较规范，全年基本支出保障了单位的正常运行和日程工作的正常开展，项目支出保障了重点工作的开展，履职成效明显，达到了预期绩效目标和预期经济效果。</w:t>
      </w:r>
    </w:p>
    <w:p>
      <w:pPr>
        <w:spacing w:line="580" w:lineRule="exact"/>
        <w:ind w:firstLine="960" w:firstLineChars="3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bookmarkStart w:id="52" w:name="_Toc15396612"/>
      <w:bookmarkStart w:id="53" w:name="_Toc15377221"/>
      <w:r>
        <w:rPr>
          <w:rFonts w:hint="eastAsia" w:ascii="仿宋_GB2312" w:hAnsi="仿宋_GB2312" w:eastAsia="仿宋_GB2312" w:cs="仿宋_GB2312"/>
          <w:sz w:val="32"/>
          <w:szCs w:val="32"/>
        </w:rPr>
        <w:t xml:space="preserve">    本单位在2019年度部门决算中反映“基本公共卫生服务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“基本药物补助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等2个项目绩效目标实际完成情况。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药物补助项目绩效目标完成情况综述。项目全年预算数9.72万元，执行数为9.72万元，完成预算的100%。通过项目实施，保障了2019年我院基本药物采购资金的保障，发现的主要问题：对专项项目推进工作重视度有待加强，对。下一步改进措施：极与财政部门衔接，在单位预算编制中从细从严，切实推进预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基本公共卫生服务项目绩效目标完成情况综述。项目年初预算数43.62万元，执行数为43.62万元，完成预算的100%。通过项目实施，保障了我院基本公共卫生服务的运行，发现的主要问题：基本公共卫生服务推进力度有待加强。下一步改进措施：积极与财政部门衔接，在单位部门预算编制中从细从严，切实推进预算。</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基本药物补助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达州市达川区黄庭乡卫生院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9.72万元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9.72万元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9.72万元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9.72万元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完成2019年基本药物资金补助9.72万元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完成2019年基本药物资金补助9.72万元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完成2019年基药采购数量任务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通过基药采购平台进行采购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每月按时完成采购计划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在基药平台采购基药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基药零差价进销让患者减轻负担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患者对基药零差价进销满意度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基本公共卫生服务</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达州市达川区黄庭乡卫生院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43.62万元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43.62万元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43.62万元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43.62万元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完成2019年基本公共卫生服务43.62万元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完成2019年基本公共卫生服务43.62万元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完成2019年基本公共卫生服43.62万元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通过基本公共卫生服务开展达到对辖区居民建档率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按时完成公卫相关工作及相关报表的上报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严格控制基本公共卫生服务经费支出做到专款专用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通过基本公共卫生服务的开展让群众知道该项目的开展目的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通过基本公共卫生服务的开展使群众对改项目的认可度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spacing w:line="580" w:lineRule="exact"/>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四川省达州市达川区黄庭乡卫生院2019年部门整体支出绩效评价报告》见附件1。《国家基本公共卫生服务、基层医疗卫生机构实施国家基本药物制度和综合改革项目2019年绩效评价报告》见附件2。</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bookmarkEnd w:id="45"/>
    <w:bookmarkEnd w:id="52"/>
    <w:bookmarkEnd w:id="53"/>
    <w:p>
      <w:pPr>
        <w:numPr>
          <w:ilvl w:val="0"/>
          <w:numId w:val="3"/>
        </w:numPr>
        <w:spacing w:line="600" w:lineRule="exact"/>
        <w:ind w:firstLine="663" w:firstLineChars="150"/>
        <w:jc w:val="center"/>
        <w:outlineLvl w:val="0"/>
        <w:rPr>
          <w:rStyle w:val="24"/>
          <w:rFonts w:ascii="黑体" w:hAnsi="黑体" w:eastAsia="黑体"/>
          <w:b w:val="0"/>
        </w:rPr>
      </w:pPr>
      <w:bookmarkStart w:id="54" w:name="_Toc15377225"/>
      <w:bookmarkStart w:id="55" w:name="_Toc15396613"/>
      <w:r>
        <w:rPr>
          <w:rFonts w:hint="eastAsia" w:ascii="黑体" w:hAnsi="黑体" w:eastAsia="黑体"/>
          <w:b/>
          <w:color w:val="000000"/>
          <w:sz w:val="44"/>
          <w:szCs w:val="44"/>
        </w:rPr>
        <w:t>名</w:t>
      </w:r>
      <w:r>
        <w:rPr>
          <w:rStyle w:val="24"/>
          <w:rFonts w:hint="eastAsia" w:ascii="黑体" w:hAnsi="黑体" w:eastAsia="黑体"/>
          <w:b w:val="0"/>
        </w:rPr>
        <w:t>词解释</w:t>
      </w:r>
      <w:bookmarkEnd w:id="54"/>
      <w:bookmarkEnd w:id="55"/>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bookmarkStart w:id="56"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784" w:firstLineChars="245"/>
        <w:rPr>
          <w:rFonts w:ascii="仿宋_GB2312" w:eastAsia="仿宋_GB2312" w:cs="Arial"/>
          <w:color w:val="000000"/>
          <w:sz w:val="32"/>
          <w:szCs w:val="32"/>
        </w:rPr>
      </w:pPr>
      <w:r>
        <w:rPr>
          <w:rFonts w:hint="eastAsia" w:ascii="仿宋_GB2312" w:eastAsia="仿宋_GB2312"/>
          <w:color w:val="000000"/>
          <w:sz w:val="32"/>
          <w:szCs w:val="32"/>
        </w:rPr>
        <w:t>9.社会保障和就业（208）</w:t>
      </w:r>
      <w:r>
        <w:rPr>
          <w:rFonts w:hint="eastAsia" w:ascii="仿宋_GB2312" w:eastAsia="仿宋_GB2312" w:cs="Arial"/>
          <w:color w:val="000000"/>
          <w:sz w:val="32"/>
          <w:szCs w:val="32"/>
        </w:rPr>
        <w:t>行政事业单位离退休（05</w:t>
      </w:r>
      <w:r>
        <w:rPr>
          <w:rFonts w:hint="eastAsia" w:cs="Arial"/>
          <w:color w:val="000000"/>
          <w:sz w:val="32"/>
          <w:szCs w:val="32"/>
        </w:rPr>
        <w:t>）</w:t>
      </w:r>
      <w:r>
        <w:rPr>
          <w:rFonts w:hint="eastAsia" w:ascii="仿宋_GB2312" w:eastAsia="仿宋_GB2312" w:cs="Arial"/>
          <w:color w:val="000000"/>
          <w:sz w:val="32"/>
          <w:szCs w:val="32"/>
        </w:rPr>
        <w:t xml:space="preserve"> 机关事业单位基本养老保险缴费支出（05）</w:t>
      </w:r>
      <w:r>
        <w:rPr>
          <w:rFonts w:hint="eastAsia" w:ascii="仿宋_GB2312" w:eastAsia="仿宋_GB2312"/>
          <w:color w:val="000000"/>
          <w:sz w:val="32"/>
          <w:szCs w:val="32"/>
        </w:rPr>
        <w:t>：反映机构事业单位实施养老保险制度由单位缴纳的基本养老保险</w:t>
      </w:r>
      <w:r>
        <w:rPr>
          <w:rFonts w:hint="eastAsia" w:ascii="仿宋_GB2312" w:eastAsia="仿宋_GB2312" w:cs="Arial"/>
          <w:color w:val="000000"/>
          <w:sz w:val="32"/>
          <w:szCs w:val="32"/>
        </w:rPr>
        <w:t>支出；</w:t>
      </w:r>
    </w:p>
    <w:p>
      <w:pPr>
        <w:ind w:firstLine="784" w:firstLineChars="245"/>
        <w:rPr>
          <w:rFonts w:ascii="仿宋_GB2312" w:eastAsia="仿宋_GB2312"/>
          <w:color w:val="000000"/>
          <w:sz w:val="32"/>
          <w:szCs w:val="32"/>
        </w:rPr>
      </w:pPr>
      <w:r>
        <w:rPr>
          <w:rStyle w:val="14"/>
          <w:rFonts w:hint="eastAsia" w:ascii="仿宋_GB2312" w:eastAsia="仿宋_GB2312"/>
          <w:b w:val="0"/>
          <w:color w:val="000000"/>
          <w:sz w:val="32"/>
          <w:szCs w:val="32"/>
        </w:rPr>
        <w:t>10.卫生健康支出（210）基层医疗卫生机构（03）</w:t>
      </w:r>
      <w:r>
        <w:rPr>
          <w:rFonts w:hint="eastAsia" w:ascii="仿宋_GB2312" w:eastAsia="仿宋_GB2312" w:cs="Arial"/>
          <w:color w:val="000000"/>
          <w:sz w:val="32"/>
          <w:szCs w:val="32"/>
        </w:rPr>
        <w:t>乡镇卫生院</w:t>
      </w:r>
      <w:r>
        <w:rPr>
          <w:rStyle w:val="14"/>
          <w:rFonts w:hint="eastAsia" w:ascii="仿宋_GB2312" w:eastAsia="仿宋_GB2312"/>
          <w:b w:val="0"/>
          <w:color w:val="000000"/>
          <w:sz w:val="32"/>
          <w:szCs w:val="32"/>
        </w:rPr>
        <w:t>（02）反映医疗卫生与计划生育</w:t>
      </w:r>
      <w:r>
        <w:rPr>
          <w:rFonts w:hint="eastAsia" w:ascii="仿宋_GB2312" w:eastAsia="仿宋_GB2312"/>
          <w:color w:val="000000"/>
          <w:sz w:val="32"/>
          <w:szCs w:val="32"/>
        </w:rPr>
        <w:t>用于医疗卫生与计划生育管理事务方面的支出；</w:t>
      </w:r>
      <w:r>
        <w:rPr>
          <w:rStyle w:val="14"/>
          <w:rFonts w:hint="eastAsia" w:ascii="仿宋_GB2312" w:eastAsia="仿宋_GB2312"/>
          <w:b w:val="0"/>
          <w:color w:val="000000"/>
          <w:sz w:val="32"/>
          <w:szCs w:val="32"/>
        </w:rPr>
        <w:t>基层医疗卫生机构（03）其他基层医疗卫生机构支出（99）</w:t>
      </w:r>
      <w:r>
        <w:rPr>
          <w:rFonts w:hint="eastAsia" w:ascii="仿宋_GB2312" w:eastAsia="仿宋_GB2312"/>
          <w:color w:val="000000"/>
          <w:sz w:val="32"/>
          <w:szCs w:val="32"/>
        </w:rPr>
        <w:t>反映其他用于医疗卫生与计划生育管理事务方面的支出；</w:t>
      </w:r>
      <w:r>
        <w:rPr>
          <w:rStyle w:val="14"/>
          <w:rFonts w:hint="eastAsia" w:ascii="仿宋_GB2312" w:eastAsia="仿宋_GB2312"/>
          <w:b w:val="0"/>
          <w:color w:val="000000"/>
          <w:sz w:val="32"/>
          <w:szCs w:val="32"/>
        </w:rPr>
        <w:t>卫生健康支出（210）</w:t>
      </w:r>
      <w:r>
        <w:rPr>
          <w:rFonts w:hint="eastAsia" w:ascii="仿宋_GB2312" w:eastAsia="仿宋_GB2312" w:cs="Arial"/>
          <w:color w:val="000000"/>
          <w:sz w:val="32"/>
          <w:szCs w:val="32"/>
        </w:rPr>
        <w:t>公共卫生</w:t>
      </w:r>
      <w:r>
        <w:rPr>
          <w:rStyle w:val="14"/>
          <w:rFonts w:hint="eastAsia" w:ascii="仿宋_GB2312" w:eastAsia="仿宋_GB2312"/>
          <w:b w:val="0"/>
          <w:color w:val="000000"/>
          <w:sz w:val="32"/>
          <w:szCs w:val="32"/>
        </w:rPr>
        <w:t>（04）基本公共卫生服务（08）反映基本公共卫生服务支出。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12.项目支出：指在基本支出之外为完成特定行政任务和事业发展目标所发生的支出。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14.“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r>
        <w:rPr>
          <w:rFonts w:ascii="宋体"/>
          <w:b/>
          <w:color w:val="000000"/>
          <w:sz w:val="44"/>
          <w:szCs w:val="44"/>
        </w:rPr>
        <w:br w:type="page"/>
      </w:r>
      <w:bookmarkStart w:id="57"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pPr>
        <w:spacing w:line="600" w:lineRule="exact"/>
        <w:jc w:val="center"/>
        <w:outlineLvl w:val="0"/>
        <w:rPr>
          <w:rStyle w:val="24"/>
        </w:rPr>
      </w:pPr>
    </w:p>
    <w:p>
      <w:pPr>
        <w:pStyle w:val="3"/>
        <w:rPr>
          <w:rStyle w:val="24"/>
          <w:rFonts w:ascii="仿宋" w:hAnsi="仿宋" w:eastAsia="仿宋"/>
          <w:b w:val="0"/>
          <w:bCs w:val="0"/>
          <w:sz w:val="32"/>
          <w:szCs w:val="32"/>
        </w:rPr>
      </w:pPr>
      <w:bookmarkStart w:id="58" w:name="_Toc15396615"/>
      <w:r>
        <w:rPr>
          <w:rStyle w:val="24"/>
          <w:rFonts w:hint="eastAsia" w:ascii="仿宋" w:hAnsi="仿宋" w:eastAsia="仿宋"/>
          <w:b w:val="0"/>
          <w:bCs w:val="0"/>
          <w:sz w:val="32"/>
          <w:szCs w:val="32"/>
        </w:rPr>
        <w:t>附件1</w:t>
      </w:r>
      <w:bookmarkEnd w:id="58"/>
    </w:p>
    <w:p>
      <w:pPr>
        <w:spacing w:line="600" w:lineRule="exact"/>
        <w:jc w:val="center"/>
        <w:outlineLvl w:val="0"/>
        <w:rPr>
          <w:rFonts w:ascii="黑体" w:hAnsi="黑体" w:eastAsia="黑体" w:cs="方正小标宋简体"/>
          <w:sz w:val="36"/>
          <w:szCs w:val="36"/>
        </w:rPr>
      </w:pPr>
      <w:bookmarkStart w:id="59" w:name="_Toc15396616"/>
      <w:r>
        <w:rPr>
          <w:rFonts w:hint="eastAsia" w:ascii="黑体" w:hAnsi="黑体" w:eastAsia="黑体" w:cs="方正小标宋简体"/>
          <w:sz w:val="36"/>
          <w:szCs w:val="36"/>
        </w:rPr>
        <w:t>达州市达川区黄庭乡卫生院</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部门2019年部门整体支出绩效评价报告</w:t>
      </w:r>
      <w:bookmarkEnd w:id="59"/>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一、单位概况</w:t>
      </w:r>
    </w:p>
    <w:p>
      <w:pPr>
        <w:spacing w:line="580" w:lineRule="exact"/>
        <w:ind w:firstLine="640" w:firstLineChars="200"/>
        <w:rPr>
          <w:rFonts w:ascii="楷体" w:hAnsi="楷体" w:eastAsia="楷体" w:cs="仿宋_GB2312"/>
          <w:sz w:val="32"/>
          <w:szCs w:val="32"/>
        </w:rPr>
      </w:pPr>
      <w:r>
        <w:rPr>
          <w:rFonts w:ascii="楷体" w:hAnsi="楷体" w:eastAsia="楷体" w:cs="仿宋_GB2312"/>
          <w:sz w:val="32"/>
          <w:szCs w:val="32"/>
        </w:rPr>
        <w:t>（一）机构组成。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达州市达川区黄庭乡卫生院是一家差额补助性事业单位，无其他下属单位。</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w:t>
      </w:r>
      <w:r>
        <w:rPr>
          <w:rFonts w:ascii="楷体" w:hAnsi="楷体" w:eastAsia="楷体" w:cs="仿宋_GB2312"/>
          <w:sz w:val="32"/>
          <w:szCs w:val="32"/>
        </w:rPr>
        <w:t>机构职能。</w:t>
      </w:r>
    </w:p>
    <w:p>
      <w:pPr>
        <w:adjustRightInd w:val="0"/>
        <w:snapToGrid w:val="0"/>
        <w:spacing w:line="600" w:lineRule="atLeast"/>
        <w:ind w:firstLine="640" w:firstLineChars="200"/>
        <w:rPr>
          <w:rFonts w:ascii="仿宋" w:hAnsi="仿宋" w:eastAsia="仿宋" w:cs="仿宋_GB2312"/>
          <w:sz w:val="32"/>
          <w:szCs w:val="32"/>
        </w:rPr>
      </w:pPr>
      <w:bookmarkStart w:id="60" w:name="_Toc15396617"/>
      <w:r>
        <w:rPr>
          <w:rFonts w:hint="eastAsia" w:ascii="仿宋" w:hAnsi="仿宋" w:eastAsia="仿宋" w:cs="仿宋_GB2312"/>
          <w:sz w:val="32"/>
          <w:szCs w:val="32"/>
        </w:rPr>
        <w:t>达州市达川区黄庭乡卫生院是一所一级甲等基层卫生医疗机构。为辖区居民提供以预防保健、基本医疗、健康教育、康复为主要内容的综合性服务，全面实施国家基本公共卫生服务和重大公共卫生服务项目，提高全民健康意识。负责对村级卫生机构的技术指导和对乡村医生的培训。</w:t>
      </w:r>
    </w:p>
    <w:p>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我院拥有X光、彩超、全自动生化分析仪、麻醉呼吸机等辅助设备，现设有内科、外科、中医科、理疗科等科室。开展了中下腹部手术等常规手术。能对常见病，多发病以及部分疑难杂症做出准确的诊断和治疗。</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w:t>
      </w:r>
      <w:r>
        <w:rPr>
          <w:rFonts w:ascii="楷体" w:hAnsi="楷体" w:eastAsia="楷体" w:cs="仿宋_GB2312"/>
          <w:sz w:val="32"/>
          <w:szCs w:val="32"/>
        </w:rPr>
        <w:t>人员概况。</w:t>
      </w:r>
    </w:p>
    <w:p>
      <w:pPr>
        <w:pStyle w:val="5"/>
        <w:adjustRightInd w:val="0"/>
        <w:snapToGrid w:val="0"/>
        <w:spacing w:before="93" w:line="600" w:lineRule="exact"/>
        <w:ind w:firstLine="672" w:firstLineChars="210"/>
        <w:rPr>
          <w:color w:val="FF0000"/>
          <w:sz w:val="32"/>
          <w:szCs w:val="32"/>
        </w:rPr>
      </w:pPr>
      <w:r>
        <w:rPr>
          <w:rFonts w:hint="eastAsia" w:ascii="仿宋" w:hAnsi="仿宋" w:eastAsia="仿宋"/>
          <w:sz w:val="32"/>
          <w:szCs w:val="32"/>
        </w:rPr>
        <w:t>达州市达川区黄庭乡卫生院，</w:t>
      </w:r>
      <w:r>
        <w:rPr>
          <w:rFonts w:hint="eastAsia" w:hAnsi="仿宋"/>
          <w:sz w:val="32"/>
          <w:szCs w:val="32"/>
        </w:rPr>
        <w:t>年末实有人数16（含临聘4人）人，其中事业专技人员7人、事业工勤人员5人、临聘人员4人；退休人员3人。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2019年我院财政拨款收入总计167.20万元，其中一般公共预算财政拨款收入131.93万元，年初财政补助结转和结余35.27万元。</w:t>
      </w:r>
    </w:p>
    <w:p>
      <w:pPr>
        <w:numPr>
          <w:ilvl w:val="0"/>
          <w:numId w:val="4"/>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2019年我院财政拨款支出总计167.20万元，其中一般公共预算财政拨款支出115.68万元，年末财政补助结转和结余51.52万元。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认真落实全面预算管理方针政策，基本支出强化预算统筹，项目支出强化专款专用，切实加强经费管理和预算管理。严格按照区财政局部门预算编制通知及有关要求，充分调查了解，做好前期准备工作，始终遵循部门预算编制的基本要求、程序要求及编制口径，紧紧围绕整体绩效目标，科学量化重点项目绩效目标，确保预算编制的准确性，按照科学的测算依据按时完成 2019年预算编制工作，按时完成基础库、项目库报送工作，并按时提交部门预算草案。绩效目标是预算编制的前提和基础，按照“费随事定”的原则，2019 年我院对项目按要求编制了部门预算项目绩效目标。从项目完成、项目效益、满意度等方面设置了绩效指标，综合反映项目预期完成的数量、成本、时效、质量，预期达到的社会效益、经济效益、生态效益、可持续影响以及服务对象满意度等情况。同时设置了以项目完成数量为核心的指标，用于评价绩效目标实际实现程度，反映与预期目标的偏离度。绩效目标编制要素完整，绩效指标设置做到了细化量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预算执行过程中，我院严格控制公用经费及非定额公用支出，认真开展绩效运行监控，积极推进预算执行进度，提高整体预算执行率。一是坚持将预算执行纳入单位目标考核，强化目标责任，树立预算管理的主体责任意识。二是开展预算执行中期评估调整工作。按照区财政局县级预算调整的要求，对照项目执行进度，及时做好沟通衔接，对经确认的暂不支出、执行留有结余的项目予以合理统筹调整，盘活资金，提高使用效率。三是积极开展绩效评价工作。严格落实基本公共卫生服务项目、基本药物资金补助等项目的绩效评价。</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截止 2019 年 12 月 31 日，我院 2019 年财政资金一般公共预算财政拨款执行进度为</w:t>
      </w:r>
      <w:r>
        <w:rPr>
          <w:rStyle w:val="14"/>
          <w:rFonts w:hint="eastAsia" w:ascii="仿宋" w:hAnsi="仿宋" w:eastAsia="仿宋"/>
          <w:bCs/>
          <w:color w:val="000000"/>
          <w:sz w:val="32"/>
          <w:szCs w:val="32"/>
        </w:rPr>
        <w:t>69.19</w:t>
      </w:r>
      <w:r>
        <w:rPr>
          <w:rFonts w:hint="eastAsia" w:ascii="仿宋" w:hAnsi="仿宋" w:eastAsia="仿宋" w:cs="仿宋_GB2312"/>
          <w:sz w:val="32"/>
          <w:szCs w:val="32"/>
        </w:rPr>
        <w:t>%。</w:t>
      </w:r>
    </w:p>
    <w:p>
      <w:pPr>
        <w:spacing w:before="270" w:line="33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专项项目设立实行项目储备制。除按明确的数量、标准、比例等进行据实计算的实施基本药物制度、基本公共卫生服务包括专项预算项目程序严密、规划合理、结果符合、分配科学、分配及时、专项预算绩效目标完成、实施绩效、违规记录等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我</w:t>
      </w:r>
      <w:r>
        <w:rPr>
          <w:rFonts w:hint="eastAsia" w:ascii="仿宋" w:hAnsi="仿宋" w:eastAsia="仿宋" w:cs="仿宋_GB2312"/>
          <w:sz w:val="32"/>
          <w:szCs w:val="32"/>
        </w:rPr>
        <w:t>单位</w:t>
      </w:r>
      <w:r>
        <w:rPr>
          <w:rFonts w:ascii="仿宋" w:hAnsi="仿宋" w:eastAsia="仿宋" w:cs="仿宋_GB2312"/>
          <w:sz w:val="32"/>
          <w:szCs w:val="32"/>
        </w:rPr>
        <w:t>严格遵循《预算法》等相关法律法规和财政</w:t>
      </w:r>
      <w:r>
        <w:rPr>
          <w:rFonts w:hint="eastAsia" w:ascii="仿宋" w:hAnsi="仿宋" w:eastAsia="仿宋" w:cs="仿宋_GB2312"/>
          <w:sz w:val="32"/>
          <w:szCs w:val="32"/>
        </w:rPr>
        <w:t>局</w:t>
      </w:r>
      <w:r>
        <w:rPr>
          <w:rFonts w:ascii="仿宋" w:hAnsi="仿宋" w:eastAsia="仿宋" w:cs="仿宋_GB2312"/>
          <w:sz w:val="32"/>
          <w:szCs w:val="32"/>
        </w:rPr>
        <w:t>相关要求，在规定时间内随同预决算向社会公开部门绩效目标和部门整体绩效自评情况。针对各单位绩效评价发现的问题，要求各单位建立台账，逐一整改。并根据绩效评价和日常管理中，存在的共性问题，通过完善制度加以改进管理</w:t>
      </w:r>
      <w:r>
        <w:rPr>
          <w:rFonts w:hint="eastAsia" w:ascii="仿宋" w:hAnsi="仿宋" w:eastAsia="仿宋" w:cs="仿宋_GB2312"/>
          <w:sz w:val="32"/>
          <w:szCs w:val="32"/>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KaiTi_GB2312" w:hAnsi="KaiTi_GB2312" w:eastAsia="Times New Roman" w:cs="KaiTi_GB2312"/>
          <w:color w:val="000000"/>
          <w:sz w:val="32"/>
          <w:szCs w:val="22"/>
        </w:rPr>
      </w:pPr>
      <w:r>
        <w:rPr>
          <w:rFonts w:ascii="KaiTi_GB2312" w:hAnsi="KaiTi_GB2312" w:eastAsia="Times New Roman" w:cs="KaiTi_GB2312"/>
          <w:color w:val="000000"/>
          <w:sz w:val="32"/>
          <w:szCs w:val="2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w:t>
      </w:r>
      <w:r>
        <w:rPr>
          <w:rFonts w:hint="eastAsia" w:ascii="仿宋" w:hAnsi="仿宋" w:eastAsia="仿宋" w:cs="仿宋_GB2312"/>
          <w:sz w:val="32"/>
          <w:szCs w:val="32"/>
        </w:rPr>
        <w:t>9</w:t>
      </w:r>
      <w:r>
        <w:rPr>
          <w:rFonts w:ascii="仿宋" w:hAnsi="仿宋" w:eastAsia="仿宋" w:cs="仿宋_GB2312"/>
          <w:sz w:val="32"/>
          <w:szCs w:val="32"/>
        </w:rPr>
        <w:t>年我</w:t>
      </w:r>
      <w:r>
        <w:rPr>
          <w:rFonts w:hint="eastAsia" w:ascii="仿宋" w:hAnsi="仿宋" w:eastAsia="仿宋" w:cs="仿宋_GB2312"/>
          <w:sz w:val="32"/>
          <w:szCs w:val="32"/>
        </w:rPr>
        <w:t>单位</w:t>
      </w:r>
      <w:r>
        <w:rPr>
          <w:rFonts w:ascii="仿宋" w:hAnsi="仿宋" w:eastAsia="仿宋" w:cs="仿宋_GB2312"/>
          <w:sz w:val="32"/>
          <w:szCs w:val="32"/>
        </w:rPr>
        <w:t>整体支出绩效评价自查自评结果良好。财务制度较健全，财务管理较规范，全年基本支出保障了部门的正常运行和日程工作的正常开展，</w:t>
      </w:r>
      <w:r>
        <w:rPr>
          <w:rFonts w:hint="eastAsia" w:ascii="仿宋" w:hAnsi="仿宋" w:eastAsia="仿宋" w:cs="仿宋_GB2312"/>
          <w:sz w:val="32"/>
          <w:szCs w:val="32"/>
        </w:rPr>
        <w:t>全额保障了</w:t>
      </w:r>
      <w:r>
        <w:rPr>
          <w:rFonts w:ascii="仿宋" w:hAnsi="仿宋" w:eastAsia="仿宋" w:cs="仿宋_GB2312"/>
          <w:sz w:val="32"/>
          <w:szCs w:val="32"/>
        </w:rPr>
        <w:t>项目支出工作的开展，履职成效明显，达到了预期绩效目标和预期经济效果。</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信息化建设不够完善。预算管理绩效监控的动态调整能力有待进一步提高，把绩效监控结果有效应用到预算执行和调整上。</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建议</w:t>
      </w:r>
      <w:r>
        <w:rPr>
          <w:rFonts w:hint="eastAsia" w:ascii="仿宋" w:hAnsi="仿宋" w:eastAsia="仿宋" w:cs="仿宋_GB2312"/>
          <w:sz w:val="32"/>
          <w:szCs w:val="32"/>
        </w:rPr>
        <w:t>区财政局</w:t>
      </w:r>
      <w:r>
        <w:rPr>
          <w:rFonts w:ascii="仿宋" w:hAnsi="仿宋" w:eastAsia="仿宋" w:cs="仿宋_GB2312"/>
          <w:sz w:val="32"/>
          <w:szCs w:val="32"/>
        </w:rPr>
        <w:t>根据实际需求，重新核定</w:t>
      </w:r>
      <w:r>
        <w:rPr>
          <w:rFonts w:hint="eastAsia" w:ascii="仿宋" w:hAnsi="仿宋" w:eastAsia="仿宋" w:cs="仿宋_GB2312"/>
          <w:sz w:val="32"/>
          <w:szCs w:val="32"/>
        </w:rPr>
        <w:t>我</w:t>
      </w:r>
      <w:r>
        <w:rPr>
          <w:rFonts w:ascii="仿宋" w:hAnsi="仿宋" w:eastAsia="仿宋" w:cs="仿宋_GB2312"/>
          <w:sz w:val="32"/>
          <w:szCs w:val="32"/>
        </w:rPr>
        <w:t>单位</w:t>
      </w:r>
      <w:r>
        <w:rPr>
          <w:rFonts w:hint="eastAsia" w:ascii="仿宋" w:hAnsi="仿宋" w:eastAsia="仿宋" w:cs="仿宋_GB2312"/>
          <w:sz w:val="32"/>
          <w:szCs w:val="32"/>
        </w:rPr>
        <w:t>医疗收入和</w:t>
      </w:r>
      <w:r>
        <w:rPr>
          <w:rFonts w:ascii="仿宋" w:hAnsi="仿宋" w:eastAsia="仿宋" w:cs="仿宋_GB2312"/>
          <w:sz w:val="32"/>
          <w:szCs w:val="32"/>
        </w:rPr>
        <w:t>基本支出控制数，提高</w:t>
      </w:r>
      <w:r>
        <w:rPr>
          <w:rFonts w:hint="eastAsia" w:ascii="仿宋" w:hAnsi="仿宋" w:eastAsia="仿宋" w:cs="仿宋_GB2312"/>
          <w:sz w:val="32"/>
          <w:szCs w:val="32"/>
        </w:rPr>
        <w:t>财政补助</w:t>
      </w:r>
      <w:r>
        <w:rPr>
          <w:rFonts w:ascii="仿宋" w:hAnsi="仿宋" w:eastAsia="仿宋" w:cs="仿宋_GB2312"/>
          <w:sz w:val="32"/>
          <w:szCs w:val="32"/>
        </w:rPr>
        <w:t>经费定额标准，保证正常工作运转。</w:t>
      </w:r>
    </w:p>
    <w:p>
      <w:pPr>
        <w:pStyle w:val="3"/>
        <w:rPr>
          <w:rStyle w:val="24"/>
          <w:rFonts w:ascii="仿宋" w:hAnsi="仿宋" w:eastAsia="仿宋"/>
          <w:b w:val="0"/>
          <w:bCs w:val="0"/>
          <w:sz w:val="32"/>
          <w:szCs w:val="32"/>
        </w:rPr>
      </w:pPr>
    </w:p>
    <w:p>
      <w:pPr>
        <w:widowControl/>
        <w:jc w:val="left"/>
        <w:rPr>
          <w:rStyle w:val="24"/>
          <w:rFonts w:ascii="仿宋" w:hAnsi="仿宋" w:eastAsia="仿宋"/>
          <w:b w:val="0"/>
          <w:bCs w:val="0"/>
          <w:sz w:val="32"/>
          <w:szCs w:val="32"/>
        </w:rPr>
      </w:pPr>
      <w:r>
        <w:rPr>
          <w:rStyle w:val="24"/>
          <w:rFonts w:hint="eastAsia" w:ascii="仿宋" w:hAnsi="仿宋" w:eastAsia="仿宋"/>
          <w:b w:val="0"/>
          <w:bCs w:val="0"/>
          <w:sz w:val="32"/>
          <w:szCs w:val="32"/>
        </w:rPr>
        <w:t>附件2</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2019年达川区黄庭乡卫生院</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项目支出绩效评价报告</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一、评价工作开展及项目情况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提高基本公共卫生服务项目均等化水平，推进基本公卫生服务项目开展；巩固基本药物制度，不断提升服务能力和水平，筑牢基层医疗卫生服务网底，实现医改“保基本、强基层、建机制”的目标。开展项目是基本公共卫生服务和基层医疗机构基本药物制度。</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二、评价结论及绩效分析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总体看，我单位预算编制及执行决算较为准确，支出管理较为规范，财务管理制度较完善，项目支出整体绩效较好。项目支出绩效自评得分为85分。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1、项目决策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（1）、资金计划及到位。基本公共卫生服务</w:t>
      </w:r>
      <w:r>
        <w:rPr>
          <w:rFonts w:hint="eastAsia" w:ascii="仿宋" w:hAnsi="仿宋" w:eastAsia="仿宋"/>
          <w:sz w:val="32"/>
          <w:szCs w:val="32"/>
          <w:lang w:eastAsia="zh-CN"/>
        </w:rPr>
        <w:t>下拨</w:t>
      </w:r>
      <w:r>
        <w:rPr>
          <w:rFonts w:hint="eastAsia" w:ascii="仿宋" w:hAnsi="仿宋" w:eastAsia="仿宋"/>
          <w:sz w:val="32"/>
          <w:szCs w:val="32"/>
        </w:rPr>
        <w:t>资金110.43万元、基层医疗机构基本药物制度</w:t>
      </w:r>
      <w:r>
        <w:rPr>
          <w:rFonts w:hint="eastAsia" w:ascii="仿宋" w:hAnsi="仿宋" w:eastAsia="仿宋"/>
          <w:sz w:val="32"/>
          <w:szCs w:val="32"/>
          <w:lang w:eastAsia="zh-CN"/>
        </w:rPr>
        <w:t>下拨</w:t>
      </w:r>
      <w:r>
        <w:rPr>
          <w:rFonts w:hint="eastAsia" w:ascii="仿宋" w:hAnsi="仿宋" w:eastAsia="仿宋"/>
          <w:sz w:val="32"/>
          <w:szCs w:val="32"/>
        </w:rPr>
        <w:t>资金23.89万元。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（2）、资金使用。各单位根据业务需要购买货物及工作运行开支。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2、项目管理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规范基本公共卫生服务行为，推进基本公卫生服务项目开展，不断提升服务能力和水平，筑牢基层医疗卫生服务网底，实现医改“保基本、强基层、建机制”的目标。通确保</w:t>
      </w:r>
      <w:r>
        <w:rPr>
          <w:rFonts w:hint="eastAsia" w:ascii="仿宋" w:hAnsi="仿宋" w:eastAsia="仿宋"/>
          <w:sz w:val="32"/>
          <w:szCs w:val="32"/>
        </w:rPr>
        <w:t>基本公共卫生服务和基层医疗机构基本药物制度顺利实施。</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3、项目绩效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为广大群众提供公共卫生安全保障，居民满意度、建档立卡贫困户满意度≧90%；基本药物零差率销售率100%，政府办基层医疗卫生机构基本药物制度覆盖率100%。</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（三）存在主要问题</w:t>
      </w:r>
    </w:p>
    <w:p>
      <w:pPr>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一是预算不够明确和细化。预算执行力度还要进一步加强。二是单位缺少专业的会计人员。三是各项管理制度还待进一步完善。</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（四）相关措施建议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1、细化预算编制工作，将进一步重视预算的编制工作，加强单位内部机构的预算管理意识，科学规划预算编制的精确度，提高财政资金使用效率，加强内部预算编制的审核和预算控制指标的下达。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2、建议财政部门加强对财务人员做好各项财务工作的指导和培训，尤其是加强《政府会计制度》等新的会计制度学习和培训，规范部门预算收支核算。</w:t>
      </w:r>
    </w:p>
    <w:p>
      <w:pPr>
        <w:spacing w:line="580" w:lineRule="exact"/>
        <w:ind w:firstLine="640" w:firstLineChars="200"/>
        <w:rPr>
          <w:rFonts w:ascii="仿宋_GB2312" w:hAnsi="仿宋_GB2312" w:eastAsia="仿宋_GB2312" w:cs="仿宋_GB2312"/>
          <w:sz w:val="32"/>
          <w:szCs w:val="32"/>
        </w:rPr>
      </w:pPr>
      <w:r>
        <w:rPr>
          <w:rFonts w:hint="eastAsia" w:ascii="仿宋" w:hAnsi="仿宋" w:eastAsia="仿宋"/>
          <w:sz w:val="32"/>
          <w:szCs w:val="32"/>
        </w:rPr>
        <w:t>3、进一步完善和落实相关管理制度，加强内部控制管理制度学习，严格遵照相关制度贯彻落实到位，做到精细化管理。</w:t>
      </w:r>
    </w:p>
    <w:p/>
    <w:bookmarkEnd w:id="60"/>
    <w:p>
      <w:pPr>
        <w:spacing w:line="600" w:lineRule="exact"/>
        <w:jc w:val="center"/>
        <w:outlineLvl w:val="0"/>
        <w:rPr>
          <w:rFonts w:ascii="黑体" w:hAnsi="黑体" w:eastAsia="黑体"/>
          <w:color w:val="000000"/>
          <w:sz w:val="44"/>
          <w:szCs w:val="44"/>
        </w:rPr>
      </w:pPr>
      <w:bookmarkStart w:id="61" w:name="_Toc15396618"/>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6"/>
      <w:bookmarkEnd w:id="61"/>
    </w:p>
    <w:p>
      <w:pPr>
        <w:pStyle w:val="3"/>
        <w:rPr>
          <w:rFonts w:ascii="仿宋" w:hAnsi="仿宋" w:eastAsia="仿宋"/>
          <w:color w:val="000000"/>
        </w:rPr>
      </w:pPr>
      <w:bookmarkStart w:id="62"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2"/>
    </w:p>
    <w:p>
      <w:pPr>
        <w:pStyle w:val="3"/>
        <w:rPr>
          <w:rFonts w:ascii="仿宋" w:hAnsi="仿宋" w:eastAsia="仿宋"/>
          <w:color w:val="000000"/>
        </w:rPr>
      </w:pPr>
      <w:bookmarkStart w:id="63"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3"/>
    </w:p>
    <w:p>
      <w:pPr>
        <w:pStyle w:val="3"/>
        <w:rPr>
          <w:rFonts w:ascii="仿宋" w:hAnsi="仿宋" w:eastAsia="仿宋"/>
          <w:color w:val="000000"/>
        </w:rPr>
      </w:pPr>
      <w:bookmarkStart w:id="64"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4"/>
    </w:p>
    <w:p>
      <w:pPr>
        <w:pStyle w:val="3"/>
        <w:rPr>
          <w:rFonts w:ascii="仿宋" w:hAnsi="仿宋" w:eastAsia="仿宋"/>
          <w:b w:val="0"/>
          <w:color w:val="000000"/>
        </w:rPr>
      </w:pPr>
      <w:bookmarkStart w:id="65"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5"/>
    </w:p>
    <w:p>
      <w:pPr>
        <w:pStyle w:val="3"/>
        <w:rPr>
          <w:rFonts w:ascii="仿宋" w:hAnsi="仿宋" w:eastAsia="仿宋"/>
          <w:color w:val="000000"/>
        </w:rPr>
      </w:pPr>
      <w:bookmarkStart w:id="66"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6"/>
    </w:p>
    <w:p>
      <w:pPr>
        <w:pStyle w:val="3"/>
        <w:rPr>
          <w:rFonts w:ascii="仿宋" w:hAnsi="仿宋" w:eastAsia="仿宋"/>
          <w:color w:val="000000"/>
        </w:rPr>
      </w:pPr>
      <w:bookmarkStart w:id="67"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7"/>
    </w:p>
    <w:p>
      <w:pPr>
        <w:pStyle w:val="3"/>
        <w:rPr>
          <w:rFonts w:ascii="仿宋" w:hAnsi="仿宋" w:eastAsia="仿宋"/>
          <w:color w:val="000000"/>
        </w:rPr>
      </w:pPr>
      <w:bookmarkStart w:id="68"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8"/>
    </w:p>
    <w:p>
      <w:pPr>
        <w:pStyle w:val="3"/>
        <w:rPr>
          <w:rFonts w:ascii="仿宋" w:hAnsi="仿宋" w:eastAsia="仿宋"/>
          <w:color w:val="000000"/>
        </w:rPr>
      </w:pPr>
      <w:bookmarkStart w:id="69"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9"/>
    </w:p>
    <w:p>
      <w:pPr>
        <w:pStyle w:val="3"/>
        <w:rPr>
          <w:rFonts w:ascii="仿宋" w:hAnsi="仿宋" w:eastAsia="仿宋"/>
          <w:color w:val="000000"/>
        </w:rPr>
      </w:pPr>
      <w:bookmarkStart w:id="70"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0"/>
    </w:p>
    <w:p>
      <w:pPr>
        <w:pStyle w:val="3"/>
        <w:rPr>
          <w:rFonts w:ascii="仿宋" w:hAnsi="仿宋" w:eastAsia="仿宋"/>
          <w:color w:val="000000"/>
        </w:rPr>
      </w:pPr>
      <w:bookmarkStart w:id="71"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1"/>
    </w:p>
    <w:p>
      <w:pPr>
        <w:pStyle w:val="3"/>
        <w:rPr>
          <w:rFonts w:ascii="仿宋" w:hAnsi="仿宋" w:eastAsia="仿宋"/>
          <w:color w:val="000000"/>
        </w:rPr>
      </w:pPr>
      <w:bookmarkStart w:id="72"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2"/>
    </w:p>
    <w:p>
      <w:pPr>
        <w:pStyle w:val="3"/>
        <w:rPr>
          <w:rFonts w:ascii="仿宋" w:hAnsi="仿宋" w:eastAsia="仿宋"/>
          <w:color w:val="000000"/>
        </w:rPr>
      </w:pPr>
      <w:bookmarkStart w:id="73"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3"/>
    </w:p>
    <w:p>
      <w:pPr>
        <w:pStyle w:val="3"/>
        <w:rPr>
          <w:rFonts w:ascii="仿宋" w:hAnsi="仿宋" w:eastAsia="仿宋"/>
          <w:color w:val="000000" w:themeColor="text1"/>
        </w:rPr>
      </w:pPr>
      <w:bookmarkStart w:id="74"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KaiTi_GB2312">
    <w:altName w:val="楷体"/>
    <w:panose1 w:val="02010609060101010101"/>
    <w:charset w:val="01"/>
    <w:family w:val="auto"/>
    <w:pitch w:val="default"/>
    <w:sig w:usb0="00000000" w:usb1="00000000" w:usb2="01010111" w:usb3="01010101" w:csb0="0105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BA8B6F6"/>
    <w:multiLevelType w:val="singleLevel"/>
    <w:tmpl w:val="1BA8B6F6"/>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32CAD"/>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4241"/>
    <w:rsid w:val="001D7531"/>
    <w:rsid w:val="001E737D"/>
    <w:rsid w:val="001F0592"/>
    <w:rsid w:val="001F7506"/>
    <w:rsid w:val="002006CD"/>
    <w:rsid w:val="00202B36"/>
    <w:rsid w:val="00204B7A"/>
    <w:rsid w:val="0021101A"/>
    <w:rsid w:val="00220536"/>
    <w:rsid w:val="00231790"/>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5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27D0"/>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6F4485"/>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27E7"/>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5357"/>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4D"/>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D0E3B"/>
    <w:rsid w:val="00BF5BD6"/>
    <w:rsid w:val="00C0179B"/>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13D59"/>
    <w:rsid w:val="00D20620"/>
    <w:rsid w:val="00D26091"/>
    <w:rsid w:val="00D34E7C"/>
    <w:rsid w:val="00D35489"/>
    <w:rsid w:val="00D46996"/>
    <w:rsid w:val="00D51276"/>
    <w:rsid w:val="00D617DE"/>
    <w:rsid w:val="00D7035F"/>
    <w:rsid w:val="00DA65AC"/>
    <w:rsid w:val="00DB1913"/>
    <w:rsid w:val="00DC410D"/>
    <w:rsid w:val="00DC68CA"/>
    <w:rsid w:val="00DC7CBA"/>
    <w:rsid w:val="00DD73B7"/>
    <w:rsid w:val="00DE7A38"/>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51BD"/>
    <w:rsid w:val="00EF77C6"/>
    <w:rsid w:val="00F05438"/>
    <w:rsid w:val="00F1361C"/>
    <w:rsid w:val="00F160C7"/>
    <w:rsid w:val="00F36D8F"/>
    <w:rsid w:val="00F417B1"/>
    <w:rsid w:val="00F602DF"/>
    <w:rsid w:val="00F81FD9"/>
    <w:rsid w:val="00F841AA"/>
    <w:rsid w:val="00FA23E8"/>
    <w:rsid w:val="00FD3CC1"/>
    <w:rsid w:val="00FF1E02"/>
    <w:rsid w:val="00FF30B4"/>
    <w:rsid w:val="03335754"/>
    <w:rsid w:val="05002AFB"/>
    <w:rsid w:val="058C5185"/>
    <w:rsid w:val="071A23C8"/>
    <w:rsid w:val="08216114"/>
    <w:rsid w:val="09726E49"/>
    <w:rsid w:val="0A197B0F"/>
    <w:rsid w:val="0A5357C5"/>
    <w:rsid w:val="0B2A3A26"/>
    <w:rsid w:val="0C3B6768"/>
    <w:rsid w:val="0F773861"/>
    <w:rsid w:val="10C055FF"/>
    <w:rsid w:val="12150D46"/>
    <w:rsid w:val="12703840"/>
    <w:rsid w:val="133377B4"/>
    <w:rsid w:val="16BB723D"/>
    <w:rsid w:val="197D2647"/>
    <w:rsid w:val="19944E3D"/>
    <w:rsid w:val="19CE654B"/>
    <w:rsid w:val="1F98779B"/>
    <w:rsid w:val="21E07E5B"/>
    <w:rsid w:val="23266E9E"/>
    <w:rsid w:val="240371BF"/>
    <w:rsid w:val="2567289C"/>
    <w:rsid w:val="27BD0549"/>
    <w:rsid w:val="28F029D2"/>
    <w:rsid w:val="29C67CD5"/>
    <w:rsid w:val="29FD04D3"/>
    <w:rsid w:val="2A516F0F"/>
    <w:rsid w:val="2E3D121B"/>
    <w:rsid w:val="305F4AE4"/>
    <w:rsid w:val="30E17B90"/>
    <w:rsid w:val="316F74CB"/>
    <w:rsid w:val="319F7F4E"/>
    <w:rsid w:val="34C846B4"/>
    <w:rsid w:val="35842484"/>
    <w:rsid w:val="39FC0F6F"/>
    <w:rsid w:val="3B020B52"/>
    <w:rsid w:val="3BBF733D"/>
    <w:rsid w:val="3CBD0F5B"/>
    <w:rsid w:val="3E8D0D50"/>
    <w:rsid w:val="413A2E48"/>
    <w:rsid w:val="41A20556"/>
    <w:rsid w:val="42772933"/>
    <w:rsid w:val="42EB5126"/>
    <w:rsid w:val="43D5167A"/>
    <w:rsid w:val="450260A0"/>
    <w:rsid w:val="479C1B1D"/>
    <w:rsid w:val="4A913EAB"/>
    <w:rsid w:val="4AE05CAB"/>
    <w:rsid w:val="4AE75803"/>
    <w:rsid w:val="4B3B6F2B"/>
    <w:rsid w:val="4B9757F8"/>
    <w:rsid w:val="4BC10015"/>
    <w:rsid w:val="4E036A30"/>
    <w:rsid w:val="4E327C7A"/>
    <w:rsid w:val="4E3853CD"/>
    <w:rsid w:val="4EF53295"/>
    <w:rsid w:val="4F565BAA"/>
    <w:rsid w:val="4FEF5456"/>
    <w:rsid w:val="51627982"/>
    <w:rsid w:val="54791508"/>
    <w:rsid w:val="56E47F66"/>
    <w:rsid w:val="576B5736"/>
    <w:rsid w:val="58115405"/>
    <w:rsid w:val="598F6955"/>
    <w:rsid w:val="59916F4B"/>
    <w:rsid w:val="5A2C0C83"/>
    <w:rsid w:val="5BB80ABF"/>
    <w:rsid w:val="5E9F4AD9"/>
    <w:rsid w:val="60477E97"/>
    <w:rsid w:val="619961AC"/>
    <w:rsid w:val="64AD74A7"/>
    <w:rsid w:val="65AB7752"/>
    <w:rsid w:val="65DB31BD"/>
    <w:rsid w:val="660F0DA8"/>
    <w:rsid w:val="6636726F"/>
    <w:rsid w:val="680545F7"/>
    <w:rsid w:val="680928EC"/>
    <w:rsid w:val="69BE68EF"/>
    <w:rsid w:val="6FE045CE"/>
    <w:rsid w:val="724427F6"/>
    <w:rsid w:val="731A51CB"/>
    <w:rsid w:val="764D602A"/>
    <w:rsid w:val="76982A7A"/>
    <w:rsid w:val="770C4FE6"/>
    <w:rsid w:val="77265E80"/>
    <w:rsid w:val="781E269E"/>
    <w:rsid w:val="78B748A2"/>
    <w:rsid w:val="7A3A7C81"/>
    <w:rsid w:val="7B0628BC"/>
    <w:rsid w:val="7B6809BF"/>
    <w:rsid w:val="7D5773C4"/>
    <w:rsid w:val="7DB96755"/>
    <w:rsid w:val="7EF70D37"/>
    <w:rsid w:val="7F0711D7"/>
    <w:rsid w:val="7F7B0B6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3A9FB7-798C-4282-B6C0-05DB43C8C064}">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7889</Words>
  <Characters>3032</Characters>
  <Lines>25</Lines>
  <Paragraphs>21</Paragraphs>
  <TotalTime>14</TotalTime>
  <ScaleCrop>false</ScaleCrop>
  <LinksUpToDate>false</LinksUpToDate>
  <CharactersWithSpaces>10900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2020-09-17T05:03:00Z</cp:lastPrinted>
  <dcterms:modified xsi:type="dcterms:W3CDTF">2021-02-19T06:34:00Z</dcterms:modified>
  <dc:title>四川省***</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