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425"/>
      <w:bookmarkStart w:id="4" w:name="_Toc15377193"/>
      <w:bookmarkStart w:id="5" w:name="_Toc15378441"/>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77426"/>
      <w:bookmarkStart w:id="9" w:name="_Toc15396598"/>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达州市达川区碑高乡卫生院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p/>
    <w:p>
      <w:pPr>
        <w:pStyle w:val="11"/>
        <w:bidi w:val="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lang w:val="en-US" w:eastAsia="zh-CN"/>
        </w:rPr>
        <w:t>9</w:t>
      </w:r>
      <w:r>
        <w:rPr>
          <w:rStyle w:val="15"/>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23"/>
        <w:numPr>
          <w:ilvl w:val="0"/>
          <w:numId w:val="0"/>
        </w:numPr>
        <w:spacing w:line="580" w:lineRule="exact"/>
        <w:ind w:left="288" w:leftChars="137" w:firstLine="131" w:firstLineChars="47"/>
        <w:rPr>
          <w:rStyle w:val="15"/>
          <w:rFonts w:hint="default" w:ascii="仿宋" w:hAnsi="仿宋" w:eastAsia="仿宋" w:cstheme="majorBidi"/>
          <w:bCs/>
          <w:kern w:val="2"/>
          <w:sz w:val="28"/>
          <w:szCs w:val="28"/>
          <w:lang w:val="en-US" w:eastAsia="zh-CN" w:bidi="ar-SA"/>
        </w:rPr>
      </w:pPr>
      <w:r>
        <w:rPr>
          <w:rStyle w:val="15"/>
          <w:rFonts w:hint="eastAsia" w:ascii="仿宋" w:hAnsi="仿宋" w:eastAsia="仿宋" w:cstheme="majorBidi"/>
          <w:bCs/>
          <w:kern w:val="2"/>
          <w:sz w:val="28"/>
          <w:szCs w:val="28"/>
          <w:lang w:val="en-US" w:eastAsia="zh-CN" w:bidi="ar-SA"/>
        </w:rPr>
        <w:t>十、预算绩效情况说明..................................12</w:t>
      </w:r>
    </w:p>
    <w:p>
      <w:pPr>
        <w:rPr>
          <w:rFonts w:hint="default" w:eastAsia="仿宋"/>
          <w:lang w:val="en-US" w:eastAsia="zh-CN"/>
        </w:rPr>
      </w:pP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我院是一所一级</w:t>
      </w:r>
      <w:r>
        <w:rPr>
          <w:rFonts w:hint="eastAsia"/>
          <w:color w:val="000000"/>
          <w:sz w:val="32"/>
          <w:szCs w:val="32"/>
          <w:lang w:eastAsia="zh-CN"/>
        </w:rPr>
        <w:t>乙</w:t>
      </w:r>
      <w:r>
        <w:rPr>
          <w:rFonts w:hint="eastAsia" w:ascii="仿宋_GB2312" w:eastAsia="仿宋_GB2312"/>
          <w:color w:val="000000"/>
          <w:sz w:val="32"/>
          <w:szCs w:val="32"/>
          <w:lang w:eastAsia="zh-CN"/>
        </w:rPr>
        <w:t>等卫生院，</w:t>
      </w:r>
      <w:r>
        <w:rPr>
          <w:rFonts w:hint="eastAsia" w:ascii="仿宋_GB2312" w:eastAsia="仿宋_GB2312"/>
          <w:color w:val="000000"/>
          <w:sz w:val="32"/>
          <w:szCs w:val="32"/>
        </w:rPr>
        <w:t>在地方政府和卫生行政部门领导下，根据党的方针、政策及市、区卫</w:t>
      </w:r>
      <w:r>
        <w:rPr>
          <w:rFonts w:hint="eastAsia" w:ascii="仿宋_GB2312" w:eastAsia="仿宋_GB2312"/>
          <w:color w:val="000000"/>
          <w:sz w:val="32"/>
          <w:szCs w:val="32"/>
          <w:lang w:eastAsia="zh-CN"/>
        </w:rPr>
        <w:t>计</w:t>
      </w:r>
      <w:r>
        <w:rPr>
          <w:rFonts w:hint="eastAsia" w:ascii="仿宋_GB2312" w:eastAsia="仿宋_GB2312"/>
          <w:color w:val="000000"/>
          <w:sz w:val="32"/>
          <w:szCs w:val="32"/>
        </w:rPr>
        <w:t>局对乡镇卫生服务工作的总体要求</w:t>
      </w:r>
      <w:r>
        <w:rPr>
          <w:rFonts w:hint="eastAsia" w:ascii="仿宋_GB2312" w:eastAsia="仿宋_GB2312"/>
          <w:color w:val="000000"/>
          <w:sz w:val="32"/>
          <w:szCs w:val="32"/>
          <w:lang w:eastAsia="zh-CN"/>
        </w:rPr>
        <w:t>，开展</w:t>
      </w:r>
      <w:r>
        <w:rPr>
          <w:rFonts w:hint="eastAsia" w:ascii="仿宋_GB2312" w:eastAsia="仿宋_GB2312"/>
          <w:color w:val="000000"/>
          <w:sz w:val="32"/>
          <w:szCs w:val="32"/>
        </w:rPr>
        <w:t>以老年、妇女、儿童和慢性病人为重点的集预防、医疗、保健、康复、健康教育、计划生育指导为一体的综合性卫生服务。</w:t>
      </w:r>
      <w:r>
        <w:rPr>
          <w:rFonts w:hint="eastAsia" w:ascii="仿宋_GB2312" w:eastAsia="仿宋_GB2312"/>
          <w:color w:val="000000"/>
          <w:sz w:val="32"/>
          <w:szCs w:val="32"/>
          <w:lang w:eastAsia="zh-CN"/>
        </w:rPr>
        <w:t>我院</w:t>
      </w:r>
      <w:r>
        <w:rPr>
          <w:rFonts w:hint="eastAsia" w:ascii="仿宋_GB2312" w:eastAsia="仿宋_GB2312"/>
          <w:color w:val="000000"/>
          <w:sz w:val="32"/>
          <w:szCs w:val="32"/>
        </w:rPr>
        <w:t>现有在</w:t>
      </w:r>
      <w:r>
        <w:rPr>
          <w:rFonts w:hint="eastAsia"/>
          <w:color w:val="000000"/>
          <w:sz w:val="32"/>
          <w:szCs w:val="32"/>
          <w:lang w:eastAsia="zh-CN"/>
        </w:rPr>
        <w:t>骗</w:t>
      </w:r>
      <w:r>
        <w:rPr>
          <w:rFonts w:hint="eastAsia" w:ascii="仿宋_GB2312" w:eastAsia="仿宋_GB2312"/>
          <w:color w:val="000000"/>
          <w:sz w:val="32"/>
          <w:szCs w:val="32"/>
        </w:rPr>
        <w:t>职工共</w:t>
      </w:r>
      <w:r>
        <w:rPr>
          <w:rFonts w:hint="eastAsia"/>
          <w:color w:val="000000"/>
          <w:sz w:val="32"/>
          <w:szCs w:val="32"/>
          <w:lang w:val="en-US" w:eastAsia="zh-CN"/>
        </w:rPr>
        <w:t>8</w:t>
      </w:r>
      <w:r>
        <w:rPr>
          <w:rFonts w:hint="eastAsia" w:ascii="仿宋_GB2312" w:eastAsia="仿宋_GB2312"/>
          <w:color w:val="000000"/>
          <w:sz w:val="32"/>
          <w:szCs w:val="32"/>
        </w:rPr>
        <w:t>人</w:t>
      </w:r>
      <w:bookmarkStart w:id="18" w:name="_Toc15378446"/>
      <w:bookmarkStart w:id="19" w:name="_Toc15377199"/>
      <w:r>
        <w:rPr>
          <w:rFonts w:hint="eastAsia"/>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年重点工作完成情况。</w:t>
      </w:r>
      <w:bookmarkEnd w:id="18"/>
      <w:bookmarkEnd w:id="19"/>
    </w:p>
    <w:p>
      <w:pPr>
        <w:adjustRightInd w:val="0"/>
        <w:snapToGrid w:val="0"/>
        <w:spacing w:line="600" w:lineRule="atLeast"/>
        <w:ind w:firstLine="704" w:firstLineChars="220"/>
        <w:rPr>
          <w:rFonts w:hint="eastAsia" w:ascii="仿宋" w:hAnsi="仿宋" w:eastAsia="仿宋"/>
          <w:bCs/>
          <w:color w:val="000000"/>
          <w:sz w:val="32"/>
          <w:szCs w:val="32"/>
        </w:rPr>
      </w:pPr>
      <w:r>
        <w:rPr>
          <w:rFonts w:hint="eastAsia" w:ascii="仿宋_GB2312" w:hAnsi="Times New Roman" w:eastAsia="仿宋_GB2312" w:cs="Times New Roman"/>
          <w:sz w:val="32"/>
          <w:szCs w:val="32"/>
        </w:rPr>
        <w:t>201</w:t>
      </w:r>
      <w:r>
        <w:rPr>
          <w:rFonts w:hint="eastAsia" w:ascii="仿宋_GB2312" w:eastAsia="仿宋_GB2312" w:cs="Times New Roman"/>
          <w:sz w:val="32"/>
          <w:szCs w:val="32"/>
          <w:lang w:val="en-US" w:eastAsia="zh-CN"/>
        </w:rPr>
        <w:t>9</w:t>
      </w:r>
      <w:r>
        <w:rPr>
          <w:rFonts w:hint="eastAsia" w:ascii="仿宋_GB2312" w:hAnsi="Times New Roman" w:eastAsia="仿宋_GB2312" w:cs="Times New Roman"/>
          <w:sz w:val="32"/>
          <w:szCs w:val="32"/>
          <w:lang w:val="en-US" w:eastAsia="zh-CN"/>
        </w:rPr>
        <w:t>年</w:t>
      </w:r>
      <w:r>
        <w:rPr>
          <w:rFonts w:hint="eastAsia" w:ascii="仿宋_GB2312" w:hAnsi="Times New Roman" w:eastAsia="仿宋_GB2312" w:cs="Times New Roman"/>
          <w:sz w:val="32"/>
          <w:szCs w:val="32"/>
        </w:rPr>
        <w:t>达川区</w:t>
      </w:r>
      <w:r>
        <w:rPr>
          <w:rFonts w:hint="eastAsia" w:ascii="仿宋_GB2312" w:eastAsia="仿宋_GB2312" w:cs="Times New Roman"/>
          <w:sz w:val="32"/>
          <w:szCs w:val="32"/>
          <w:lang w:eastAsia="zh-CN"/>
        </w:rPr>
        <w:t>碑高乡</w:t>
      </w:r>
      <w:r>
        <w:rPr>
          <w:rFonts w:hint="eastAsia" w:ascii="仿宋_GB2312" w:hAnsi="Times New Roman" w:eastAsia="仿宋_GB2312" w:cs="Times New Roman"/>
          <w:sz w:val="32"/>
          <w:szCs w:val="32"/>
        </w:rPr>
        <w:t>卫生院</w:t>
      </w:r>
      <w:r>
        <w:rPr>
          <w:rFonts w:hint="eastAsia" w:ascii="仿宋_GB2312" w:hAnsi="Times New Roman" w:eastAsia="仿宋_GB2312" w:cs="Times New Roman"/>
          <w:sz w:val="32"/>
          <w:szCs w:val="32"/>
          <w:lang w:eastAsia="zh-CN"/>
        </w:rPr>
        <w:t>的卫生工作</w:t>
      </w:r>
      <w:r>
        <w:rPr>
          <w:rFonts w:hint="eastAsia" w:ascii="仿宋_GB2312" w:hAnsi="Times New Roman" w:eastAsia="仿宋_GB2312" w:cs="Times New Roman"/>
          <w:sz w:val="32"/>
          <w:szCs w:val="32"/>
        </w:rPr>
        <w:t>在镇党委、政府</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区卫生</w:t>
      </w:r>
      <w:r>
        <w:rPr>
          <w:rFonts w:hint="eastAsia" w:ascii="仿宋_GB2312" w:hAnsi="Times New Roman" w:eastAsia="仿宋_GB2312" w:cs="Times New Roman"/>
          <w:sz w:val="32"/>
          <w:szCs w:val="32"/>
          <w:lang w:eastAsia="zh-CN"/>
        </w:rPr>
        <w:t>计生</w:t>
      </w:r>
      <w:r>
        <w:rPr>
          <w:rFonts w:hint="eastAsia" w:ascii="仿宋_GB2312" w:hAnsi="Times New Roman" w:eastAsia="仿宋_GB2312" w:cs="Times New Roman"/>
          <w:sz w:val="32"/>
          <w:szCs w:val="32"/>
        </w:rPr>
        <w:t>局领导下，</w:t>
      </w:r>
      <w:bookmarkStart w:id="20" w:name="OLE_LINK1"/>
      <w:r>
        <w:rPr>
          <w:rFonts w:hint="eastAsia" w:ascii="仿宋_GB2312" w:hAnsi="Times New Roman" w:eastAsia="仿宋_GB2312" w:cs="Times New Roman"/>
          <w:sz w:val="32"/>
          <w:szCs w:val="32"/>
          <w:rtl w:val="0"/>
        </w:rPr>
        <w:t>坚持以“三个代表”重要思想为指导，认真贯彻落实党的</w:t>
      </w:r>
      <w:r>
        <w:rPr>
          <w:rFonts w:hint="eastAsia" w:ascii="仿宋_GB2312" w:hAnsi="Times New Roman" w:eastAsia="仿宋_GB2312" w:cs="Times New Roman"/>
          <w:sz w:val="32"/>
          <w:szCs w:val="32"/>
          <w:rtl w:val="0"/>
          <w:lang w:eastAsia="zh-CN"/>
        </w:rPr>
        <w:t>十九</w:t>
      </w:r>
      <w:r>
        <w:rPr>
          <w:rFonts w:hint="eastAsia" w:ascii="仿宋_GB2312" w:hAnsi="Times New Roman" w:eastAsia="仿宋_GB2312" w:cs="Times New Roman"/>
          <w:sz w:val="32"/>
          <w:szCs w:val="32"/>
          <w:rtl w:val="0"/>
        </w:rPr>
        <w:t>大精神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习近平新时代中国特色社会主义思想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习近平总书记对四川工作系列重要指示精神和省委十一届三次全会精神，落实市第四次党代会部署</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认真贯彻落实国家新冠肺炎防控相关政策和要求</w:t>
      </w:r>
      <w:bookmarkEnd w:id="20"/>
      <w:r>
        <w:rPr>
          <w:rFonts w:hint="eastAsia" w:ascii="仿宋_GB2312" w:eastAsia="仿宋_GB2312" w:cs="Times New Roman"/>
          <w:sz w:val="32"/>
          <w:szCs w:val="32"/>
          <w:lang w:eastAsia="zh-CN"/>
        </w:rPr>
        <w:t>，坚决做好疫情防控工作，</w:t>
      </w:r>
      <w:r>
        <w:rPr>
          <w:rFonts w:hint="eastAsia" w:ascii="仿宋_GB2312" w:hAnsi="Times New Roman" w:eastAsia="仿宋_GB2312" w:cs="Times New Roman"/>
          <w:sz w:val="32"/>
          <w:szCs w:val="32"/>
          <w:rtl w:val="0"/>
        </w:rPr>
        <w:t>强化“以病人为中心，以质量为核心”的服务理念</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加强政治思想和医德医风教育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抓好医疗核心制度落实，严格</w:t>
      </w:r>
      <w:r>
        <w:rPr>
          <w:rFonts w:hint="eastAsia" w:ascii="仿宋_GB2312" w:hAnsi="Times New Roman" w:eastAsia="仿宋_GB2312" w:cs="Times New Roman"/>
          <w:sz w:val="32"/>
          <w:szCs w:val="32"/>
          <w:lang w:eastAsia="zh-CN"/>
        </w:rPr>
        <w:t>医疗保险</w:t>
      </w:r>
      <w:r>
        <w:rPr>
          <w:rFonts w:hint="eastAsia" w:ascii="仿宋_GB2312" w:hAnsi="Times New Roman" w:eastAsia="仿宋_GB2312" w:cs="Times New Roman"/>
          <w:sz w:val="32"/>
          <w:szCs w:val="32"/>
        </w:rPr>
        <w:t>制度和基</w:t>
      </w:r>
      <w:r>
        <w:rPr>
          <w:rFonts w:hint="eastAsia" w:ascii="仿宋_GB2312" w:hAnsi="Times New Roman" w:eastAsia="仿宋_GB2312" w:cs="Times New Roman"/>
          <w:sz w:val="32"/>
          <w:szCs w:val="32"/>
          <w:lang w:eastAsia="zh-CN"/>
        </w:rPr>
        <w:t>本</w:t>
      </w:r>
      <w:r>
        <w:rPr>
          <w:rFonts w:hint="eastAsia" w:ascii="仿宋_GB2312" w:hAnsi="Times New Roman" w:eastAsia="仿宋_GB2312" w:cs="Times New Roman"/>
          <w:sz w:val="32"/>
          <w:szCs w:val="32"/>
        </w:rPr>
        <w:t>公共卫生项目实施，努力做好辖区内疾病预防控制工作，严格执行药品网上采购“阳光采购”方案</w:t>
      </w:r>
      <w:r>
        <w:rPr>
          <w:rFonts w:hint="eastAsia" w:ascii="仿宋_GB2312" w:hAnsi="Times New Roman" w:eastAsia="仿宋_GB2312" w:cs="Times New Roman"/>
          <w:sz w:val="32"/>
          <w:szCs w:val="32"/>
          <w:lang w:eastAsia="zh-CN"/>
        </w:rPr>
        <w:t>及</w:t>
      </w:r>
      <w:r>
        <w:rPr>
          <w:rFonts w:hint="eastAsia" w:ascii="仿宋_GB2312" w:hAnsi="Times New Roman" w:eastAsia="仿宋_GB2312" w:cs="Times New Roman"/>
          <w:sz w:val="32"/>
          <w:szCs w:val="32"/>
        </w:rPr>
        <w:t>基本药物制度和抗菌药物应用管理的规定。</w:t>
      </w:r>
    </w:p>
    <w:p>
      <w:pPr>
        <w:pStyle w:val="3"/>
        <w:rPr>
          <w:rStyle w:val="25"/>
          <w:b w:val="0"/>
          <w:bCs w:val="0"/>
        </w:rPr>
      </w:pPr>
      <w:bookmarkStart w:id="21" w:name="_Toc15377200"/>
      <w:bookmarkStart w:id="22"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line="600" w:lineRule="exact"/>
        <w:ind w:firstLine="672" w:firstLineChars="210"/>
        <w:rPr>
          <w:rFonts w:hint="eastAsia"/>
          <w:color w:val="000000"/>
          <w:sz w:val="32"/>
          <w:szCs w:val="32"/>
        </w:rPr>
      </w:pPr>
      <w:r>
        <w:rPr>
          <w:rFonts w:hint="eastAsia"/>
          <w:color w:val="000000"/>
          <w:sz w:val="32"/>
          <w:szCs w:val="32"/>
        </w:rPr>
        <w:t> </w:t>
      </w:r>
      <w:r>
        <w:rPr>
          <w:rFonts w:hint="eastAsia"/>
          <w:color w:val="000000"/>
          <w:sz w:val="32"/>
          <w:szCs w:val="32"/>
          <w:lang w:eastAsia="zh-CN"/>
        </w:rPr>
        <w:t>201</w:t>
      </w:r>
      <w:r>
        <w:rPr>
          <w:rFonts w:hint="eastAsia"/>
          <w:color w:val="000000"/>
          <w:sz w:val="32"/>
          <w:szCs w:val="32"/>
          <w:lang w:val="en-US" w:eastAsia="zh-CN"/>
        </w:rPr>
        <w:t>9</w:t>
      </w:r>
      <w:r>
        <w:rPr>
          <w:rFonts w:hint="eastAsia" w:hAnsi="仿宋" w:cs="仿宋"/>
          <w:color w:val="000000"/>
          <w:sz w:val="32"/>
          <w:szCs w:val="32"/>
        </w:rPr>
        <w:t>年度，纳入本部门决算汇编范围的独立核算单位共</w:t>
      </w:r>
      <w:r>
        <w:rPr>
          <w:rFonts w:hint="eastAsia"/>
          <w:color w:val="000000"/>
          <w:sz w:val="32"/>
          <w:szCs w:val="32"/>
        </w:rPr>
        <w:t>   1  </w:t>
      </w:r>
      <w:r>
        <w:rPr>
          <w:rFonts w:hint="eastAsia" w:hAnsi="仿宋" w:cs="仿宋"/>
          <w:color w:val="000000"/>
          <w:sz w:val="32"/>
          <w:szCs w:val="32"/>
        </w:rPr>
        <w:t>个</w:t>
      </w:r>
      <w:r>
        <w:rPr>
          <w:rFonts w:hint="eastAsia"/>
          <w:color w:val="000000"/>
          <w:sz w:val="32"/>
          <w:szCs w:val="32"/>
        </w:rPr>
        <w:t>。</w:t>
      </w:r>
    </w:p>
    <w:p>
      <w:pPr>
        <w:ind w:firstLine="800" w:firstLineChars="250"/>
        <w:rPr>
          <w:rFonts w:ascii="仿宋" w:hAnsi="仿宋" w:eastAsia="仿宋"/>
          <w:sz w:val="32"/>
          <w:szCs w:val="32"/>
        </w:rPr>
      </w:pPr>
    </w:p>
    <w:p>
      <w:pPr>
        <w:pStyle w:val="5"/>
        <w:adjustRightInd w:val="0"/>
        <w:snapToGrid w:val="0"/>
        <w:spacing w:before="93" w:line="600" w:lineRule="exact"/>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3" w:name="_Toc15377204"/>
      <w:bookmarkStart w:id="24"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w:t>
      </w:r>
      <w:r>
        <w:rPr>
          <w:rStyle w:val="24"/>
          <w:rFonts w:hint="eastAsia" w:ascii="黑体" w:hAnsi="黑体" w:eastAsia="黑体"/>
          <w:b w:val="0"/>
          <w:bCs w:val="0"/>
          <w:lang w:val="en-US" w:eastAsia="zh-CN"/>
        </w:rPr>
        <w:t>9</w:t>
      </w:r>
      <w:r>
        <w:rPr>
          <w:rStyle w:val="24"/>
          <w:rFonts w:hint="eastAsia" w:ascii="黑体" w:hAnsi="黑体" w:eastAsia="黑体"/>
          <w:b w:val="0"/>
          <w:bCs w:val="0"/>
        </w:rPr>
        <w:t>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96603"/>
      <w:bookmarkStart w:id="26"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424.54</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5.27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1.23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本年度财政拨款收入略有减少，医疗收入减少。</w:t>
      </w: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340.10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143.62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42.23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196.48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57.77</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outlineLvl w:val="1"/>
        <w:rPr>
          <w:rFonts w:hint="eastAsia" w:ascii="仿宋" w:hAnsi="仿宋" w:eastAsia="仿宋"/>
          <w:color w:val="000000"/>
          <w:sz w:val="32"/>
          <w:szCs w:val="32"/>
        </w:rPr>
      </w:pPr>
    </w:p>
    <w:p>
      <w:pPr>
        <w:spacing w:line="240" w:lineRule="auto"/>
        <w:ind w:firstLine="420" w:firstLineChars="200"/>
        <w:outlineLvl w:val="1"/>
        <w:rPr>
          <w:rFonts w:hint="eastAsia" w:ascii="仿宋" w:hAnsi="仿宋" w:eastAsia="仿宋"/>
          <w:color w:val="000000"/>
          <w:sz w:val="32"/>
          <w:szCs w:val="32"/>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96605"/>
      <w:bookmarkStart w:id="30"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361.32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277.45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76.79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83.87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23.21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240" w:lineRule="auto"/>
        <w:ind w:firstLine="640"/>
        <w:rPr>
          <w:rFonts w:hint="eastAsia" w:ascii="仿宋" w:hAnsi="仿宋" w:eastAsia="仿宋"/>
          <w:color w:val="000000"/>
          <w:sz w:val="32"/>
          <w:szCs w:val="32"/>
        </w:rPr>
      </w:pPr>
      <w:r>
        <w:drawing>
          <wp:inline distT="0" distB="0" distL="114300" distR="114300">
            <wp:extent cx="5269230" cy="3145790"/>
            <wp:effectExtent l="4445" t="4445" r="22225"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rPr>
          <w:rFonts w:hint="eastAsia" w:ascii="仿宋" w:hAnsi="仿宋" w:eastAsia="仿宋" w:cs="Times New Roman"/>
          <w:color w:val="000000"/>
          <w:sz w:val="32"/>
          <w:szCs w:val="32"/>
          <w:lang w:val="en-US" w:eastAsia="en-US"/>
        </w:rPr>
      </w:pP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rPr>
        <w:t>年财政拨款收、支总计</w:t>
      </w:r>
      <w:r>
        <w:rPr>
          <w:rFonts w:hint="eastAsia" w:ascii="仿宋" w:hAnsi="仿宋" w:eastAsia="仿宋" w:cs="Times New Roman"/>
          <w:color w:val="000000"/>
          <w:sz w:val="32"/>
          <w:szCs w:val="32"/>
          <w:lang w:val="en-US" w:eastAsia="zh-CN"/>
        </w:rPr>
        <w:t>228.06</w:t>
      </w:r>
      <w:r>
        <w:rPr>
          <w:rFonts w:hint="eastAsia" w:ascii="仿宋" w:hAnsi="仿宋" w:eastAsia="仿宋" w:cs="Times New Roman"/>
          <w:color w:val="000000"/>
          <w:sz w:val="32"/>
          <w:szCs w:val="32"/>
        </w:rPr>
        <w:t>万元。与</w:t>
      </w: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rPr>
        <w:t>年相比，财政拨款收、支总计各</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14.22</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6.65</w:t>
      </w:r>
      <w:r>
        <w:rPr>
          <w:rFonts w:ascii="仿宋" w:hAnsi="仿宋" w:eastAsia="仿宋" w:cs="Times New Roman"/>
          <w:color w:val="000000"/>
          <w:sz w:val="32"/>
          <w:szCs w:val="32"/>
        </w:rPr>
        <w:t>%</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主要变动原因是项目预算收入增加</w:t>
      </w:r>
      <w:r>
        <w:rPr>
          <w:rFonts w:hint="eastAsia" w:ascii="仿宋" w:hAnsi="仿宋" w:eastAsia="仿宋" w:cs="Times New Roman"/>
          <w:color w:val="000000"/>
          <w:sz w:val="32"/>
          <w:szCs w:val="32"/>
          <w:lang w:val="en-US" w:eastAsia="en-US"/>
        </w:rPr>
        <w:t>。</w:t>
      </w: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olor w:val="000000"/>
          <w:sz w:val="32"/>
          <w:szCs w:val="32"/>
          <w:lang w:eastAsia="zh-CN"/>
        </w:rPr>
      </w:pPr>
      <w:r>
        <w:drawing>
          <wp:anchor distT="0" distB="0" distL="114300" distR="114300" simplePos="0" relativeHeight="251666432"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1280" w:firstLineChars="4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164.84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45.62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年相比，一般公共预算财政拨减少</w:t>
      </w:r>
      <w:r>
        <w:rPr>
          <w:rFonts w:hint="eastAsia" w:ascii="仿宋" w:hAnsi="仿宋" w:eastAsia="仿宋"/>
          <w:color w:val="000000"/>
          <w:sz w:val="32"/>
          <w:szCs w:val="32"/>
          <w:lang w:val="en-US" w:eastAsia="zh-CN"/>
        </w:rPr>
        <w:t>36.20</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18.01</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是本年基本支出财政拨款减少。</w:t>
      </w: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r>
        <w:drawing>
          <wp:anchor distT="0" distB="0" distL="114300" distR="114300" simplePos="0" relativeHeight="251667456" behindDoc="0" locked="0" layoutInCell="1" allowOverlap="1">
            <wp:simplePos x="0" y="0"/>
            <wp:positionH relativeFrom="column">
              <wp:posOffset>404495</wp:posOffset>
            </wp:positionH>
            <wp:positionV relativeFrom="paragraph">
              <wp:posOffset>-2453005</wp:posOffset>
            </wp:positionV>
            <wp:extent cx="4572000" cy="2743200"/>
            <wp:effectExtent l="4445" t="4445" r="14605" b="1460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960" w:firstLine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164.84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7.76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4.71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卫生健康支出（类）</w:t>
      </w:r>
      <w:r>
        <w:rPr>
          <w:rFonts w:hint="eastAsia" w:ascii="仿宋" w:hAnsi="仿宋" w:eastAsia="仿宋"/>
          <w:color w:val="000000" w:themeColor="text1"/>
          <w:sz w:val="32"/>
          <w:szCs w:val="32"/>
          <w:lang w:val="en-US" w:eastAsia="zh-CN"/>
          <w14:textFill>
            <w14:solidFill>
              <w14:schemeClr w14:val="tx1"/>
            </w14:solidFill>
          </w14:textFill>
        </w:rPr>
        <w:t>151.26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91.76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5.82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3.53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8480" behindDoc="0" locked="0" layoutInCell="1" allowOverlap="1">
            <wp:simplePos x="0" y="0"/>
            <wp:positionH relativeFrom="column">
              <wp:posOffset>328295</wp:posOffset>
            </wp:positionH>
            <wp:positionV relativeFrom="paragraph">
              <wp:posOffset>23495</wp:posOffset>
            </wp:positionV>
            <wp:extent cx="4562475" cy="2553335"/>
            <wp:effectExtent l="4445" t="4445" r="5080" b="13970"/>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Style w:val="14"/>
          <w:rFonts w:hint="eastAsia" w:ascii="仿宋" w:hAnsi="仿宋" w:eastAsia="仿宋"/>
          <w:bCs/>
          <w:color w:val="000000"/>
          <w:sz w:val="32"/>
          <w:szCs w:val="32"/>
        </w:rPr>
      </w:pPr>
      <w:bookmarkStart w:id="38" w:name="_Toc15378460"/>
      <w:bookmarkStart w:id="39" w:name="_Toc15377213"/>
      <w:bookmarkStart w:id="40" w:name="_Toc15377444"/>
      <w:r>
        <w:rPr>
          <w:rFonts w:hint="eastAsia" w:ascii="仿宋" w:hAnsi="仿宋" w:eastAsia="仿宋"/>
          <w:b/>
          <w:color w:val="000000" w:themeColor="text1"/>
          <w:sz w:val="32"/>
          <w:szCs w:val="32"/>
          <w14:textFill>
            <w14:solidFill>
              <w14:schemeClr w14:val="tx1"/>
            </w14:solidFill>
          </w14:textFill>
        </w:rPr>
        <w:t>201</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themeColor="text1"/>
          <w:sz w:val="32"/>
          <w:szCs w:val="32"/>
          <w:lang w:val="en-US" w:eastAsia="zh-CN"/>
          <w14:textFill>
            <w14:solidFill>
              <w14:schemeClr w14:val="tx1"/>
            </w14:solidFill>
          </w14:textFill>
        </w:rPr>
        <w:t>164.84</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114.78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1</w:t>
      </w:r>
      <w:r>
        <w:rPr>
          <w:rStyle w:val="14"/>
          <w:rFonts w:hint="eastAsia" w:ascii="仿宋_GB2312" w:eastAsia="仿宋_GB2312"/>
          <w:color w:val="000000"/>
          <w:sz w:val="32"/>
          <w:szCs w:val="32"/>
        </w:rPr>
        <w:t>.社会保障和就业（208）行政事业单位离退休（20805）机关事业单位基本养老保险缴费支出（2080505）:</w:t>
      </w:r>
      <w:r>
        <w:rPr>
          <w:rFonts w:hint="eastAsia" w:ascii="仿宋_GB2312" w:hAnsi="Times New Roman" w:eastAsia="仿宋_GB2312" w:cs="Times New Roman"/>
          <w:color w:val="000000"/>
          <w:sz w:val="32"/>
          <w:szCs w:val="32"/>
          <w:lang w:eastAsia="zh-CN"/>
        </w:rPr>
        <w:t>支出</w:t>
      </w:r>
      <w:r>
        <w:rPr>
          <w:rFonts w:hint="eastAsia" w:ascii="仿宋_GB2312" w:eastAsia="仿宋_GB2312"/>
          <w:color w:val="000000"/>
          <w:sz w:val="32"/>
          <w:szCs w:val="32"/>
        </w:rPr>
        <w:t>决算为</w:t>
      </w:r>
      <w:r>
        <w:rPr>
          <w:rFonts w:hint="eastAsia" w:ascii="仿宋_GB2312" w:eastAsia="仿宋_GB2312"/>
          <w:color w:val="000000"/>
          <w:sz w:val="32"/>
          <w:szCs w:val="32"/>
          <w:lang w:eastAsia="zh-CN"/>
        </w:rPr>
        <w:t>数</w:t>
      </w:r>
      <w:r>
        <w:rPr>
          <w:rFonts w:hint="eastAsia" w:ascii="仿宋_GB2312" w:eastAsia="仿宋_GB2312"/>
          <w:color w:val="000000"/>
          <w:sz w:val="32"/>
          <w:szCs w:val="32"/>
          <w:lang w:val="en-US" w:eastAsia="zh-CN"/>
        </w:rPr>
        <w:t>7.76万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_GB2312" w:eastAsia="仿宋_GB2312"/>
          <w:color w:val="000000"/>
          <w:sz w:val="32"/>
          <w:szCs w:val="32"/>
          <w:lang w:val="en-US" w:eastAsia="zh-CN"/>
        </w:rPr>
        <w:t>2</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-基层医疗卫生机构(21003</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 乡镇卫生院(2100302):</w:t>
      </w:r>
      <w:r>
        <w:rPr>
          <w:rFonts w:hint="eastAsia" w:ascii="仿宋_GB2312" w:hAnsi="Times New Roman" w:eastAsia="仿宋_GB2312" w:cs="Times New Roman"/>
          <w:color w:val="000000"/>
          <w:sz w:val="32"/>
          <w:szCs w:val="32"/>
          <w:lang w:val="en-US" w:eastAsia="zh-CN"/>
        </w:rPr>
        <w:t>支出</w:t>
      </w:r>
      <w:r>
        <w:rPr>
          <w:rFonts w:hint="eastAsia" w:ascii="仿宋_GB2312" w:eastAsia="仿宋_GB2312"/>
          <w:color w:val="000000"/>
          <w:sz w:val="32"/>
          <w:szCs w:val="32"/>
        </w:rPr>
        <w:t>决算</w:t>
      </w:r>
      <w:r>
        <w:rPr>
          <w:rFonts w:hint="eastAsia" w:ascii="仿宋_GB2312" w:eastAsia="仿宋_GB2312"/>
          <w:color w:val="000000"/>
          <w:sz w:val="32"/>
          <w:szCs w:val="32"/>
          <w:lang w:eastAsia="zh-CN"/>
        </w:rPr>
        <w:t>数</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64.08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完成预算149.48%。</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财政加大了对上年财政应返还额度的支付力度，</w:t>
      </w:r>
      <w:r>
        <w:rPr>
          <w:rStyle w:val="14"/>
          <w:rFonts w:hint="eastAsia" w:ascii="仿宋" w:hAnsi="仿宋" w:eastAsia="仿宋"/>
          <w:b w:val="0"/>
          <w:bCs/>
          <w:color w:val="000000"/>
          <w:sz w:val="32"/>
          <w:szCs w:val="32"/>
          <w:lang w:val="en-US" w:eastAsia="zh-CN"/>
        </w:rPr>
        <w:t>2019年</w:t>
      </w:r>
      <w:r>
        <w:rPr>
          <w:rStyle w:val="14"/>
          <w:rFonts w:hint="eastAsia" w:ascii="仿宋" w:hAnsi="仿宋" w:eastAsia="仿宋"/>
          <w:b w:val="0"/>
          <w:bCs/>
          <w:color w:val="000000"/>
          <w:sz w:val="32"/>
          <w:szCs w:val="32"/>
          <w:lang w:eastAsia="zh-CN"/>
        </w:rPr>
        <w:t>结转资金大幅减少。</w:t>
      </w:r>
    </w:p>
    <w:p>
      <w:pPr>
        <w:ind w:firstLine="630"/>
        <w:rPr>
          <w:rFonts w:hint="eastAsia" w:ascii="仿宋_GB2312" w:eastAsia="仿宋_GB2312"/>
          <w:color w:val="000000"/>
          <w:sz w:val="32"/>
          <w:szCs w:val="32"/>
          <w:lang w:eastAsia="zh-CN"/>
        </w:rPr>
      </w:pPr>
      <w:r>
        <w:rPr>
          <w:rStyle w:val="14"/>
          <w:rFonts w:hint="eastAsia" w:ascii="仿宋_GB2312" w:eastAsia="仿宋_GB2312"/>
          <w:color w:val="000000"/>
          <w:sz w:val="32"/>
          <w:szCs w:val="32"/>
          <w:lang w:val="en-US" w:eastAsia="zh-CN"/>
        </w:rPr>
        <w:t>3</w:t>
      </w:r>
      <w:r>
        <w:rPr>
          <w:rStyle w:val="14"/>
          <w:rFonts w:hint="eastAsia" w:ascii="仿宋_GB2312" w:eastAsia="仿宋_GB2312"/>
          <w:color w:val="000000"/>
          <w:sz w:val="32"/>
          <w:szCs w:val="32"/>
        </w:rPr>
        <w:t>.医疗卫生与计划生育（210）基层医疗卫生机构（21003）其他基层医疗卫生机构支出（2100399）：</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14.88</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ind w:firstLine="63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Style w:val="14"/>
          <w:rFonts w:hint="eastAsia" w:ascii="仿宋_GB2312" w:eastAsia="仿宋_GB2312"/>
          <w:color w:val="000000"/>
          <w:sz w:val="32"/>
          <w:szCs w:val="32"/>
        </w:rPr>
        <w:t xml:space="preserve"> 医疗卫生与计划生育（210）公共卫生（21004）基本公共卫生服务（2100408）：</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68.99</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.住房保障支出(221)-住房改革支出(22102)- 住房公积金(2210201):</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5.82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医疗保障</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 xml:space="preserve">)- </w:t>
      </w:r>
      <w:r>
        <w:rPr>
          <w:rStyle w:val="14"/>
          <w:rFonts w:hint="eastAsia" w:ascii="仿宋_GB2312" w:eastAsia="仿宋_GB2312"/>
          <w:color w:val="000000"/>
          <w:sz w:val="32"/>
          <w:szCs w:val="32"/>
          <w:lang w:eastAsia="zh-CN"/>
        </w:rPr>
        <w:t>事业单位医疗</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02):</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w:t>
      </w:r>
      <w:r>
        <w:rPr>
          <w:rFonts w:hint="eastAsia" w:ascii="仿宋_GB2312" w:eastAsia="仿宋_GB2312"/>
          <w:color w:val="000000"/>
          <w:sz w:val="32"/>
          <w:szCs w:val="32"/>
          <w:lang w:val="en-US" w:eastAsia="zh-CN"/>
        </w:rPr>
        <w:t>3.30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完成预算100%。</w:t>
      </w:r>
    </w:p>
    <w:p>
      <w:pPr>
        <w:tabs>
          <w:tab w:val="right" w:pos="8306"/>
        </w:tabs>
        <w:spacing w:line="600" w:lineRule="exact"/>
        <w:ind w:firstLine="640"/>
        <w:outlineLvl w:val="1"/>
        <w:rPr>
          <w:rStyle w:val="25"/>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80.97</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70.97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hint="eastAsia"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p>
    <w:p>
      <w:pPr>
        <w:spacing w:line="600" w:lineRule="exact"/>
        <w:ind w:firstLine="640"/>
        <w:outlineLvl w:val="1"/>
        <w:rPr>
          <w:rStyle w:val="25"/>
          <w:rFonts w:ascii="黑体" w:hAnsi="黑体" w:eastAsia="黑体"/>
        </w:rPr>
      </w:pPr>
      <w:bookmarkStart w:id="47" w:name="_Toc15396610"/>
      <w:bookmarkStart w:id="48"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无</w:t>
      </w:r>
    </w:p>
    <w:p>
      <w:pPr>
        <w:numPr>
          <w:ilvl w:val="0"/>
          <w:numId w:val="2"/>
        </w:numPr>
        <w:spacing w:line="600" w:lineRule="exact"/>
        <w:ind w:firstLine="640"/>
        <w:outlineLvl w:val="1"/>
        <w:rPr>
          <w:rStyle w:val="25"/>
          <w:rFonts w:ascii="黑体" w:hAnsi="黑体" w:eastAsia="黑体"/>
          <w:b w:val="0"/>
        </w:rPr>
      </w:pPr>
      <w:bookmarkStart w:id="49" w:name="_Toc15377219"/>
      <w:bookmarkStart w:id="50" w:name="_Toc15396611"/>
      <w:r>
        <w:rPr>
          <w:rStyle w:val="25"/>
          <w:rFonts w:hint="eastAsia" w:ascii="黑体" w:hAnsi="黑体" w:eastAsia="黑体"/>
          <w:b w:val="0"/>
        </w:rPr>
        <w:t>国有资本经营预算支出决算情况说明</w:t>
      </w:r>
      <w:bookmarkEnd w:id="49"/>
      <w:bookmarkEnd w:id="50"/>
    </w:p>
    <w:p>
      <w:pPr>
        <w:numPr>
          <w:ilvl w:val="0"/>
          <w:numId w:val="0"/>
        </w:numPr>
        <w:spacing w:line="600" w:lineRule="exact"/>
        <w:outlineLvl w:val="1"/>
        <w:rPr>
          <w:rStyle w:val="25"/>
          <w:rFonts w:hint="default" w:ascii="黑体" w:hAnsi="黑体" w:eastAsia="黑体"/>
          <w:b w:val="0"/>
          <w:lang w:val="en-US" w:eastAsia="zh-CN"/>
        </w:rPr>
      </w:pPr>
      <w:r>
        <w:rPr>
          <w:rStyle w:val="25"/>
          <w:rFonts w:hint="eastAsia" w:ascii="黑体" w:hAnsi="黑体" w:eastAsia="黑体"/>
          <w:b w:val="0"/>
          <w:lang w:val="en-US" w:eastAsia="zh-CN"/>
        </w:rPr>
        <w:t xml:space="preserve">    无</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年部门整体支出开展绩效自评，从评价情况来看本单位按要求对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年单位整体支出开展绩效自评，从评价情况来看，本单位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14.88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14.88</w:t>
      </w:r>
      <w:r>
        <w:rPr>
          <w:rFonts w:hint="eastAsia" w:ascii="仿宋_GB2312" w:hAnsi="仿宋_GB2312" w:eastAsia="仿宋_GB2312" w:cs="仿宋_GB2312"/>
          <w:sz w:val="32"/>
          <w:szCs w:val="32"/>
        </w:rPr>
        <w:t>万元，完成预算的100%。通过项目实施，保障了201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68.99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68.99</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碑高乡</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14.88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14.88</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14.88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14.88</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14.88</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14.88</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3</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碑高乡</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68.99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68.99</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68.99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68.99</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68.99</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68.99</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w:t>
            </w:r>
            <w:r>
              <w:rPr>
                <w:rFonts w:hint="eastAsia" w:ascii="宋体" w:hAnsi="宋体" w:cs="宋体"/>
                <w:color w:val="000000"/>
                <w:sz w:val="24"/>
                <w:lang w:val="en-US" w:eastAsia="zh-CN"/>
              </w:rPr>
              <w:t>68.99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5</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2</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Style w:val="25"/>
          <w:rFonts w:hint="eastAsia" w:ascii="黑体" w:hAnsi="黑体" w:eastAsia="黑体"/>
          <w:b w:val="0"/>
          <w:lang w:eastAsia="zh-CN"/>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年部门整体支出绩效评价情况开展自评，《四川省达州市达川区</w:t>
      </w:r>
      <w:r>
        <w:rPr>
          <w:rFonts w:hint="eastAsia" w:ascii="仿宋_GB2312" w:hAnsi="仿宋_GB2312" w:eastAsia="仿宋_GB2312" w:cs="仿宋_GB2312"/>
          <w:sz w:val="32"/>
          <w:szCs w:val="32"/>
          <w:lang w:eastAsia="zh-CN"/>
        </w:rPr>
        <w:t>碑高乡</w:t>
      </w:r>
      <w:r>
        <w:rPr>
          <w:rFonts w:hint="eastAsia" w:ascii="仿宋_GB2312" w:hAnsi="仿宋_GB2312" w:eastAsia="仿宋_GB2312" w:cs="仿宋_GB2312"/>
          <w:sz w:val="32"/>
          <w:szCs w:val="32"/>
        </w:rPr>
        <w:t>卫生院201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年部门整体支出绩效评价报告》见附件。本部门未自行组织其他项目绩效评价。</w:t>
      </w:r>
    </w:p>
    <w:p>
      <w:pPr>
        <w:spacing w:line="600" w:lineRule="exact"/>
        <w:ind w:firstLine="640" w:firstLineChars="200"/>
        <w:outlineLvl w:val="1"/>
        <w:rPr>
          <w:rStyle w:val="25"/>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hint="eastAsia" w:ascii="仿宋" w:hAnsi="仿宋" w:eastAsia="仿宋"/>
          <w:b/>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numPr>
          <w:ilvl w:val="0"/>
          <w:numId w:val="5"/>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5" w:name="_Toc15377224"/>
      <w:r>
        <w:rPr>
          <w:rFonts w:hint="eastAsia" w:ascii="仿宋" w:hAnsi="仿宋" w:eastAsia="仿宋"/>
          <w:b/>
          <w:color w:val="000000"/>
          <w:sz w:val="32"/>
          <w:szCs w:val="32"/>
        </w:rPr>
        <w:t>国有资产占有使用情况</w:t>
      </w:r>
      <w:bookmarkEnd w:id="55"/>
    </w:p>
    <w:p>
      <w:pPr>
        <w:spacing w:line="600" w:lineRule="exact"/>
        <w:ind w:firstLine="645"/>
        <w:rPr>
          <w:rFonts w:eastAsia="仿宋_GB2312"/>
          <w:color w:val="000000"/>
          <w:kern w:val="0"/>
          <w:sz w:val="32"/>
          <w:szCs w:val="32"/>
        </w:rPr>
      </w:pPr>
      <w:r>
        <w:rPr>
          <w:rFonts w:hint="eastAsia" w:ascii="仿宋" w:hAnsi="仿宋" w:eastAsia="仿宋"/>
          <w:b/>
          <w:color w:val="000000"/>
          <w:sz w:val="32"/>
          <w:szCs w:val="32"/>
          <w:lang w:val="en-US" w:eastAsia="zh-CN"/>
        </w:rPr>
        <w:t xml:space="preserve"> </w:t>
      </w:r>
      <w:r>
        <w:rPr>
          <w:rFonts w:eastAsia="仿宋_GB2312"/>
          <w:color w:val="000000"/>
          <w:kern w:val="0"/>
          <w:sz w:val="32"/>
          <w:szCs w:val="32"/>
        </w:rPr>
        <w:t>截至201</w:t>
      </w:r>
      <w:r>
        <w:rPr>
          <w:rFonts w:hint="eastAsia" w:eastAsia="仿宋_GB2312"/>
          <w:color w:val="000000"/>
          <w:kern w:val="0"/>
          <w:sz w:val="32"/>
          <w:szCs w:val="32"/>
          <w:lang w:val="en-US" w:eastAsia="zh-CN"/>
        </w:rPr>
        <w:t>9</w:t>
      </w:r>
      <w:r>
        <w:rPr>
          <w:rFonts w:eastAsia="仿宋_GB2312"/>
          <w:color w:val="000000"/>
          <w:kern w:val="0"/>
          <w:sz w:val="32"/>
          <w:szCs w:val="32"/>
        </w:rPr>
        <w:t>年12月31日，达州市达川区</w:t>
      </w:r>
      <w:r>
        <w:rPr>
          <w:rFonts w:hint="eastAsia" w:eastAsia="仿宋_GB2312"/>
          <w:color w:val="000000"/>
          <w:kern w:val="0"/>
          <w:sz w:val="32"/>
          <w:szCs w:val="32"/>
          <w:lang w:eastAsia="zh-CN"/>
        </w:rPr>
        <w:t>碑高乡</w:t>
      </w:r>
      <w:r>
        <w:rPr>
          <w:rFonts w:eastAsia="仿宋_GB2312"/>
          <w:color w:val="000000"/>
          <w:kern w:val="0"/>
          <w:sz w:val="32"/>
          <w:szCs w:val="32"/>
        </w:rPr>
        <w:t>卫生院共有车辆1辆，其中：特种专业技术用车1辆（救护车1</w:t>
      </w:r>
      <w:r>
        <w:rPr>
          <w:rFonts w:hint="eastAsia" w:eastAsia="仿宋_GB2312"/>
          <w:color w:val="000000"/>
          <w:kern w:val="0"/>
          <w:sz w:val="32"/>
          <w:szCs w:val="32"/>
          <w:lang w:eastAsia="zh-CN"/>
        </w:rPr>
        <w:t>辆</w:t>
      </w:r>
      <w:r>
        <w:rPr>
          <w:rFonts w:eastAsia="仿宋_GB2312"/>
          <w:color w:val="000000"/>
          <w:kern w:val="0"/>
          <w:sz w:val="32"/>
          <w:szCs w:val="32"/>
        </w:rPr>
        <w:t>）；单价50万元以上通用设备</w:t>
      </w:r>
      <w:r>
        <w:rPr>
          <w:rFonts w:hint="eastAsia" w:eastAsia="仿宋_GB2312"/>
          <w:color w:val="000000"/>
          <w:kern w:val="0"/>
          <w:sz w:val="32"/>
          <w:szCs w:val="32"/>
        </w:rPr>
        <w:t>无</w:t>
      </w:r>
      <w:r>
        <w:rPr>
          <w:rFonts w:eastAsia="仿宋_GB2312"/>
          <w:color w:val="000000"/>
          <w:kern w:val="0"/>
          <w:sz w:val="32"/>
          <w:szCs w:val="32"/>
        </w:rPr>
        <w:t>，单价100万元以上专用设备</w:t>
      </w:r>
      <w:r>
        <w:rPr>
          <w:rFonts w:hint="eastAsia" w:eastAsia="仿宋_GB2312"/>
          <w:color w:val="000000"/>
          <w:kern w:val="0"/>
          <w:sz w:val="32"/>
          <w:szCs w:val="32"/>
        </w:rPr>
        <w:t>无</w:t>
      </w:r>
      <w:r>
        <w:rPr>
          <w:rFonts w:eastAsia="仿宋_GB2312"/>
          <w:color w:val="000000"/>
          <w:kern w:val="0"/>
          <w:sz w:val="32"/>
          <w:szCs w:val="32"/>
        </w:rPr>
        <w:t>。</w:t>
      </w:r>
    </w:p>
    <w:p>
      <w:pPr>
        <w:numPr>
          <w:ilvl w:val="0"/>
          <w:numId w:val="0"/>
        </w:numPr>
        <w:autoSpaceDE w:val="0"/>
        <w:autoSpaceDN w:val="0"/>
        <w:adjustRightInd w:val="0"/>
        <w:spacing w:line="600" w:lineRule="exact"/>
        <w:jc w:val="left"/>
        <w:outlineLvl w:val="2"/>
        <w:rPr>
          <w:rFonts w:hint="default" w:ascii="仿宋" w:hAnsi="仿宋" w:eastAsia="仿宋"/>
          <w:b/>
          <w:color w:val="000000"/>
          <w:sz w:val="32"/>
          <w:szCs w:val="32"/>
          <w:lang w:val="en-US" w:eastAsia="zh-CN"/>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6"/>
      <w:bookmarkEnd w:id="57"/>
    </w:p>
    <w:p>
      <w:pPr>
        <w:numPr>
          <w:ilvl w:val="0"/>
          <w:numId w:val="0"/>
        </w:numPr>
        <w:spacing w:line="600" w:lineRule="exact"/>
        <w:jc w:val="both"/>
        <w:outlineLvl w:val="0"/>
        <w:rPr>
          <w:rStyle w:val="24"/>
          <w:rFonts w:ascii="黑体" w:hAnsi="黑体" w:eastAsia="黑体"/>
          <w:b w:val="0"/>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hint="eastAsia" w:ascii="仿宋_GB2312" w:eastAsia="仿宋_GB2312"/>
          <w:color w:val="000000"/>
          <w:sz w:val="32"/>
          <w:szCs w:val="32"/>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numPr>
          <w:ilvl w:val="0"/>
          <w:numId w:val="0"/>
        </w:numPr>
        <w:spacing w:line="600" w:lineRule="exact"/>
        <w:jc w:val="both"/>
        <w:outlineLvl w:val="0"/>
        <w:rPr>
          <w:rStyle w:val="24"/>
          <w:rFonts w:hint="default" w:ascii="黑体" w:hAnsi="黑体" w:eastAsia="黑体"/>
          <w:b w:val="0"/>
          <w:lang w:val="en-US" w:eastAsia="zh-CN"/>
        </w:rPr>
      </w:pPr>
    </w:p>
    <w:p>
      <w:pPr>
        <w:spacing w:line="600" w:lineRule="exact"/>
        <w:jc w:val="left"/>
        <w:rPr>
          <w:rFonts w:ascii="宋体"/>
          <w:b/>
          <w:color w:val="000000"/>
          <w:sz w:val="44"/>
          <w:szCs w:val="44"/>
        </w:rPr>
      </w:pPr>
    </w:p>
    <w:p>
      <w:pPr>
        <w:spacing w:line="600" w:lineRule="exact"/>
        <w:jc w:val="center"/>
        <w:outlineLvl w:val="0"/>
        <w:rPr>
          <w:rStyle w:val="24"/>
          <w:rFonts w:ascii="黑体" w:hAnsi="黑体" w:eastAsia="黑体"/>
          <w:b w:val="0"/>
        </w:rPr>
      </w:pPr>
      <w:bookmarkStart w:id="58" w:name="_Toc15396614"/>
      <w:bookmarkStart w:id="59"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ascii="黑体" w:hAnsi="黑体" w:eastAsia="黑体" w:cs="方正小标宋简体"/>
          <w:sz w:val="36"/>
          <w:szCs w:val="36"/>
        </w:rPr>
      </w:pPr>
      <w:bookmarkStart w:id="61" w:name="_Toc15396616"/>
      <w:r>
        <w:rPr>
          <w:rFonts w:hint="eastAsia" w:ascii="黑体" w:hAnsi="黑体" w:eastAsia="黑体" w:cs="方正小标宋简体"/>
          <w:sz w:val="36"/>
          <w:szCs w:val="36"/>
        </w:rPr>
        <w:t>达州市达川区</w:t>
      </w:r>
      <w:r>
        <w:rPr>
          <w:rFonts w:hint="eastAsia" w:ascii="黑体" w:hAnsi="黑体" w:eastAsia="黑体" w:cs="方正小标宋简体"/>
          <w:sz w:val="36"/>
          <w:szCs w:val="36"/>
          <w:lang w:eastAsia="zh-CN"/>
        </w:rPr>
        <w:t>碑高乡</w:t>
      </w:r>
      <w:r>
        <w:rPr>
          <w:rFonts w:hint="eastAsia" w:ascii="黑体" w:hAnsi="黑体" w:eastAsia="黑体" w:cs="方正小标宋简体"/>
          <w:sz w:val="36"/>
          <w:szCs w:val="36"/>
        </w:rPr>
        <w:t>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61"/>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碑高乡</w:t>
      </w:r>
      <w:r>
        <w:rPr>
          <w:rFonts w:hint="eastAsia" w:ascii="仿宋" w:hAnsi="仿宋" w:eastAsia="仿宋" w:cs="仿宋_GB2312"/>
          <w:sz w:val="32"/>
          <w:szCs w:val="32"/>
        </w:rPr>
        <w:t>卫生院是一家</w:t>
      </w:r>
      <w:r>
        <w:rPr>
          <w:rFonts w:hint="eastAsia" w:ascii="仿宋" w:hAnsi="仿宋" w:eastAsia="仿宋" w:cs="仿宋_GB2312"/>
          <w:sz w:val="32"/>
          <w:szCs w:val="32"/>
          <w:lang w:eastAsia="zh-CN"/>
        </w:rPr>
        <w:t>一级预算单位</w:t>
      </w:r>
      <w:r>
        <w:rPr>
          <w:rFonts w:hint="eastAsia" w:ascii="仿宋" w:hAnsi="仿宋" w:eastAsia="仿宋" w:cs="仿宋_GB2312"/>
          <w:sz w:val="32"/>
          <w:szCs w:val="32"/>
        </w:rPr>
        <w:t>，无其他下属单位。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碑高乡</w:t>
      </w:r>
      <w:r>
        <w:rPr>
          <w:rFonts w:hint="eastAsia" w:ascii="仿宋" w:hAnsi="仿宋" w:eastAsia="仿宋" w:cs="仿宋_GB2312"/>
          <w:sz w:val="32"/>
          <w:szCs w:val="32"/>
        </w:rPr>
        <w:t>卫生院是</w:t>
      </w:r>
      <w:r>
        <w:rPr>
          <w:rFonts w:hint="eastAsia" w:ascii="仿宋" w:hAnsi="仿宋" w:eastAsia="仿宋" w:cs="仿宋_GB2312"/>
          <w:sz w:val="32"/>
          <w:szCs w:val="32"/>
          <w:lang w:eastAsia="zh-CN"/>
        </w:rPr>
        <w:t>一级乙等卫生院</w:t>
      </w:r>
      <w:r>
        <w:rPr>
          <w:rFonts w:hint="eastAsia" w:ascii="仿宋" w:hAnsi="仿宋" w:eastAsia="仿宋"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我院拥有DR、B超、全自动生化分析仪、麻醉呼吸机等辅助设备，现设有内科、外科、中医科等科室。开展了中下腹部手术等常规手术。能对常见病，多发病以及部分疑难杂症做出准确的诊断和治疗。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lang w:eastAsia="zh-CN"/>
        </w:rPr>
        <w:t>碑高乡</w:t>
      </w:r>
      <w:r>
        <w:rPr>
          <w:rFonts w:hint="eastAsia" w:ascii="仿宋" w:hAnsi="仿宋" w:eastAsia="仿宋"/>
          <w:sz w:val="32"/>
          <w:szCs w:val="32"/>
        </w:rPr>
        <w:t>卫生院，在201</w:t>
      </w:r>
      <w:r>
        <w:rPr>
          <w:rFonts w:hint="eastAsia" w:ascii="仿宋" w:hAnsi="仿宋" w:eastAsia="仿宋"/>
          <w:sz w:val="32"/>
          <w:szCs w:val="32"/>
          <w:lang w:val="en-US" w:eastAsia="zh-CN"/>
        </w:rPr>
        <w:t>9</w:t>
      </w:r>
      <w:r>
        <w:rPr>
          <w:rFonts w:hint="eastAsia" w:ascii="仿宋" w:hAnsi="仿宋" w:eastAsia="仿宋"/>
          <w:sz w:val="32"/>
          <w:szCs w:val="32"/>
        </w:rPr>
        <w:t>年末在编职工</w:t>
      </w:r>
      <w:r>
        <w:rPr>
          <w:rFonts w:hint="eastAsia" w:ascii="仿宋" w:hAnsi="仿宋" w:eastAsia="仿宋"/>
          <w:sz w:val="32"/>
          <w:szCs w:val="32"/>
          <w:lang w:val="en-US" w:eastAsia="zh-CN"/>
        </w:rPr>
        <w:t>8</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退休</w:t>
      </w:r>
      <w:r>
        <w:rPr>
          <w:rFonts w:hint="eastAsia" w:ascii="仿宋" w:hAnsi="仿宋" w:eastAsia="仿宋"/>
          <w:sz w:val="32"/>
          <w:szCs w:val="32"/>
          <w:lang w:val="en-US" w:eastAsia="zh-CN"/>
        </w:rPr>
        <w:t>3</w:t>
      </w:r>
      <w:r>
        <w:rPr>
          <w:rFonts w:hint="eastAsia" w:ascii="仿宋" w:hAnsi="仿宋" w:eastAsia="仿宋"/>
          <w:sz w:val="32"/>
          <w:szCs w:val="32"/>
        </w:rPr>
        <w:t>人，201</w:t>
      </w:r>
      <w:r>
        <w:rPr>
          <w:rFonts w:hint="eastAsia" w:ascii="仿宋" w:hAnsi="仿宋" w:eastAsia="仿宋"/>
          <w:sz w:val="32"/>
          <w:szCs w:val="32"/>
          <w:lang w:val="en-US" w:eastAsia="zh-CN"/>
        </w:rPr>
        <w:t>9</w:t>
      </w:r>
      <w:r>
        <w:rPr>
          <w:rFonts w:hint="eastAsia" w:ascii="仿宋" w:hAnsi="仿宋" w:eastAsia="仿宋"/>
          <w:sz w:val="32"/>
          <w:szCs w:val="32"/>
        </w:rPr>
        <w:t>年末我院有临聘人员</w:t>
      </w:r>
      <w:r>
        <w:rPr>
          <w:rFonts w:hint="eastAsia" w:ascii="仿宋" w:hAnsi="仿宋" w:eastAsia="仿宋"/>
          <w:sz w:val="32"/>
          <w:szCs w:val="32"/>
          <w:lang w:val="en-US" w:eastAsia="zh-CN"/>
        </w:rPr>
        <w:t>5</w:t>
      </w:r>
      <w:r>
        <w:rPr>
          <w:rFonts w:hint="eastAsia" w:ascii="仿宋" w:hAnsi="仿宋" w:eastAsia="仿宋"/>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年我院财政拨款收入总计</w:t>
      </w:r>
      <w:r>
        <w:rPr>
          <w:rFonts w:hint="eastAsia" w:ascii="仿宋" w:hAnsi="仿宋" w:eastAsia="仿宋" w:cs="仿宋_GB2312"/>
          <w:sz w:val="32"/>
          <w:szCs w:val="32"/>
          <w:lang w:val="en-US" w:eastAsia="zh-CN"/>
        </w:rPr>
        <w:t>228.06</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143.62</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84.44</w:t>
      </w:r>
      <w:r>
        <w:rPr>
          <w:rFonts w:hint="eastAsia" w:ascii="仿宋" w:hAnsi="仿宋" w:eastAsia="仿宋" w:cs="仿宋_GB2312"/>
          <w:sz w:val="32"/>
          <w:szCs w:val="32"/>
        </w:rPr>
        <w:t>万元。</w:t>
      </w:r>
    </w:p>
    <w:p>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年我院财政拨款支出总计</w:t>
      </w:r>
      <w:r>
        <w:rPr>
          <w:rFonts w:hint="eastAsia" w:ascii="仿宋" w:hAnsi="仿宋" w:eastAsia="仿宋" w:cs="仿宋_GB2312"/>
          <w:sz w:val="32"/>
          <w:szCs w:val="32"/>
          <w:lang w:val="en-US" w:eastAsia="zh-CN"/>
        </w:rPr>
        <w:t>228.06</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164.84</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63.22</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年预算编制工作，按时完成基础库、项目库报送工作，并按时提交部门预算草案。绩效目标是预算编制的前提和基础，按照“费随事定”的原则，201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 12 月 31 日，我院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年财政资金一般公共预算财政拨款执行进度为</w:t>
      </w:r>
      <w:r>
        <w:rPr>
          <w:rFonts w:hint="eastAsia" w:ascii="仿宋" w:hAnsi="仿宋" w:eastAsia="仿宋" w:cs="仿宋_GB2312"/>
          <w:sz w:val="32"/>
          <w:szCs w:val="32"/>
          <w:lang w:val="en-US" w:eastAsia="zh-CN"/>
        </w:rPr>
        <w:t>114.78</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ascii="仿宋" w:hAnsi="仿宋" w:eastAsia="仿宋" w:cs="仿宋_GB2312"/>
          <w:sz w:val="32"/>
          <w:szCs w:val="32"/>
        </w:rPr>
        <w:t xml:space="preserve">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ind w:firstLine="640" w:firstLineChars="200"/>
        <w:rPr>
          <w:rFonts w:ascii="黑体" w:hAnsi="黑体" w:eastAsia="黑体" w:cs="黑体"/>
          <w:sz w:val="32"/>
          <w:szCs w:val="32"/>
        </w:rPr>
      </w:pPr>
    </w:p>
    <w:p>
      <w:pPr>
        <w:spacing w:line="580" w:lineRule="exact"/>
        <w:rPr>
          <w:rFonts w:ascii="黑体" w:hAnsi="黑体" w:eastAsia="黑体" w:cs="黑体"/>
          <w:sz w:val="32"/>
          <w:szCs w:val="32"/>
        </w:rPr>
      </w:pPr>
    </w:p>
    <w:p>
      <w:pPr>
        <w:pStyle w:val="3"/>
        <w:rPr>
          <w:rStyle w:val="24"/>
          <w:rFonts w:hint="eastAsia" w:ascii="仿宋" w:hAnsi="仿宋" w:eastAsia="仿宋"/>
          <w:b w:val="0"/>
          <w:bCs w:val="0"/>
          <w:sz w:val="32"/>
          <w:szCs w:val="32"/>
        </w:rPr>
      </w:pPr>
      <w:bookmarkStart w:id="62" w:name="_Toc15396617"/>
      <w:r>
        <w:rPr>
          <w:rStyle w:val="24"/>
          <w:rFonts w:hint="eastAsia" w:ascii="仿宋" w:hAnsi="仿宋" w:eastAsia="仿宋"/>
          <w:b w:val="0"/>
          <w:bCs w:val="0"/>
          <w:sz w:val="32"/>
          <w:szCs w:val="32"/>
        </w:rPr>
        <w:t>附件2</w:t>
      </w:r>
      <w:bookmarkEnd w:id="62"/>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达州市达川区碑高乡卫生院</w:t>
      </w:r>
    </w:p>
    <w:p>
      <w:pPr>
        <w:rPr>
          <w:rFonts w:hint="default" w:eastAsia="仿宋"/>
          <w:lang w:val="en-US" w:eastAsia="zh-CN"/>
        </w:rPr>
      </w:pPr>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lang w:eastAsia="zh-CN"/>
        </w:rPr>
        <w:t>年项目支出绩效评价报告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87</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68.99万元、基层医疗机构基本药物制度</w:t>
      </w:r>
      <w:bookmarkStart w:id="76" w:name="_GoBack"/>
      <w:bookmarkEnd w:id="76"/>
      <w:r>
        <w:rPr>
          <w:rFonts w:hint="eastAsia" w:ascii="仿宋" w:hAnsi="仿宋" w:eastAsia="仿宋"/>
          <w:sz w:val="32"/>
          <w:szCs w:val="32"/>
          <w:lang w:eastAsia="zh-CN"/>
        </w:rPr>
        <w:t>下拨资金</w:t>
      </w:r>
      <w:r>
        <w:rPr>
          <w:rFonts w:hint="eastAsia" w:ascii="仿宋" w:hAnsi="仿宋" w:eastAsia="仿宋"/>
          <w:sz w:val="32"/>
          <w:szCs w:val="32"/>
          <w:lang w:val="en-US" w:eastAsia="zh-CN"/>
        </w:rPr>
        <w:t>14.88万元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sz w:val="32"/>
          <w:szCs w:val="32"/>
        </w:rPr>
        <w:t>3、进一步完善和落实相关管理制度，加强内部控制管理制度学习，严格遵照相关制度贯彻落实到位，做到精细化管</w:t>
      </w:r>
      <w:r>
        <w:rPr>
          <w:rFonts w:hint="eastAsia" w:ascii="仿宋" w:hAnsi="仿宋" w:eastAsia="仿宋"/>
          <w:sz w:val="32"/>
          <w:szCs w:val="32"/>
          <w:lang w:eastAsia="zh-CN"/>
        </w:rPr>
        <w:t>理。</w:t>
      </w:r>
    </w:p>
    <w:p>
      <w:pPr>
        <w:spacing w:line="580" w:lineRule="exact"/>
        <w:rPr>
          <w:rFonts w:ascii="仿宋_GB2312" w:hAnsi="仿宋_GB2312" w:eastAsia="仿宋_GB2312" w:cs="仿宋_GB2312"/>
          <w:sz w:val="32"/>
          <w:szCs w:val="32"/>
        </w:rPr>
      </w:pPr>
    </w:p>
    <w:bookmarkEnd w:id="59"/>
    <w:p>
      <w:pPr>
        <w:tabs>
          <w:tab w:val="left" w:pos="3366"/>
        </w:tabs>
        <w:spacing w:line="580" w:lineRule="exact"/>
        <w:rPr>
          <w:rFonts w:ascii="仿宋" w:hAnsi="仿宋" w:eastAsia="仿宋"/>
          <w:b/>
          <w:color w:val="000000"/>
          <w:sz w:val="44"/>
          <w:szCs w:val="44"/>
        </w:rPr>
      </w:pPr>
    </w:p>
    <w:p>
      <w:pPr>
        <w:spacing w:line="600" w:lineRule="exact"/>
        <w:jc w:val="center"/>
        <w:outlineLvl w:val="0"/>
        <w:rPr>
          <w:rFonts w:hint="eastAsia" w:ascii="仿宋" w:hAnsi="仿宋" w:eastAsia="仿宋"/>
          <w:b w:val="0"/>
          <w:color w:val="000000"/>
        </w:rPr>
      </w:pPr>
      <w:bookmarkStart w:id="63" w:name="_Toc15396619"/>
      <w:r>
        <w:rPr>
          <w:rFonts w:hint="eastAsia" w:ascii="黑体" w:hAnsi="黑体" w:eastAsia="黑体"/>
          <w:color w:val="000000"/>
          <w:sz w:val="44"/>
          <w:szCs w:val="44"/>
        </w:rPr>
        <w:t>第</w:t>
      </w:r>
      <w:r>
        <w:rPr>
          <w:rStyle w:val="24"/>
          <w:rFonts w:hint="eastAsia" w:ascii="黑体" w:hAnsi="黑体" w:eastAsia="黑体"/>
          <w:b w:val="0"/>
        </w:rPr>
        <w:t>五部分 附表</w:t>
      </w:r>
    </w:p>
    <w:p>
      <w:pPr>
        <w:pStyle w:val="3"/>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14:textFill>
            <w14:solidFill>
              <w14:schemeClr w14:val="tx1"/>
            </w14:solidFill>
          </w14:textFill>
        </w:rPr>
      </w:pPr>
      <w:bookmarkStart w:id="7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4911366"/>
    <w:multiLevelType w:val="singleLevel"/>
    <w:tmpl w:val="F4911366"/>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2B83"/>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7A27E7"/>
    <w:rsid w:val="018638F2"/>
    <w:rsid w:val="01B2706F"/>
    <w:rsid w:val="01DB193B"/>
    <w:rsid w:val="02256450"/>
    <w:rsid w:val="03DB27F6"/>
    <w:rsid w:val="048A0FE5"/>
    <w:rsid w:val="04DC2EF8"/>
    <w:rsid w:val="04F80AD8"/>
    <w:rsid w:val="05BF7302"/>
    <w:rsid w:val="06146334"/>
    <w:rsid w:val="06315350"/>
    <w:rsid w:val="068476A1"/>
    <w:rsid w:val="071C094A"/>
    <w:rsid w:val="07446BB2"/>
    <w:rsid w:val="08C76B4F"/>
    <w:rsid w:val="08D37AE0"/>
    <w:rsid w:val="08D40476"/>
    <w:rsid w:val="091E455D"/>
    <w:rsid w:val="0A6516D9"/>
    <w:rsid w:val="0B8F086E"/>
    <w:rsid w:val="0CA33CBE"/>
    <w:rsid w:val="0D0263BA"/>
    <w:rsid w:val="0E5D0410"/>
    <w:rsid w:val="0E6A24FD"/>
    <w:rsid w:val="103E0CC5"/>
    <w:rsid w:val="10500BE6"/>
    <w:rsid w:val="10C055FF"/>
    <w:rsid w:val="111817F9"/>
    <w:rsid w:val="1129385F"/>
    <w:rsid w:val="11922636"/>
    <w:rsid w:val="11C06DD3"/>
    <w:rsid w:val="12A43AC5"/>
    <w:rsid w:val="12AD3A5D"/>
    <w:rsid w:val="12D1177D"/>
    <w:rsid w:val="1338056B"/>
    <w:rsid w:val="146A514E"/>
    <w:rsid w:val="15004125"/>
    <w:rsid w:val="16562C28"/>
    <w:rsid w:val="16BB723D"/>
    <w:rsid w:val="17306424"/>
    <w:rsid w:val="18902E58"/>
    <w:rsid w:val="19982436"/>
    <w:rsid w:val="1A675C1A"/>
    <w:rsid w:val="1AAC4939"/>
    <w:rsid w:val="1BFB5893"/>
    <w:rsid w:val="1C252A84"/>
    <w:rsid w:val="1C6B26FC"/>
    <w:rsid w:val="1C6F5132"/>
    <w:rsid w:val="1CFD6AA5"/>
    <w:rsid w:val="1D436FDF"/>
    <w:rsid w:val="1D5F5131"/>
    <w:rsid w:val="1E645DDA"/>
    <w:rsid w:val="1E7C4864"/>
    <w:rsid w:val="1EAF2A13"/>
    <w:rsid w:val="1EE6715C"/>
    <w:rsid w:val="20456374"/>
    <w:rsid w:val="21224806"/>
    <w:rsid w:val="214125FA"/>
    <w:rsid w:val="215A2FF5"/>
    <w:rsid w:val="22BD12D4"/>
    <w:rsid w:val="236A3ECF"/>
    <w:rsid w:val="240371BF"/>
    <w:rsid w:val="246354C6"/>
    <w:rsid w:val="24FF22D1"/>
    <w:rsid w:val="259F6B21"/>
    <w:rsid w:val="26797422"/>
    <w:rsid w:val="2735761D"/>
    <w:rsid w:val="277A2B4C"/>
    <w:rsid w:val="27FB3587"/>
    <w:rsid w:val="29730650"/>
    <w:rsid w:val="29FD04D3"/>
    <w:rsid w:val="2A8C4477"/>
    <w:rsid w:val="2B4A2819"/>
    <w:rsid w:val="2BA87372"/>
    <w:rsid w:val="2BF735D5"/>
    <w:rsid w:val="2DB91D17"/>
    <w:rsid w:val="2E121739"/>
    <w:rsid w:val="2E5A1EFA"/>
    <w:rsid w:val="2EDE005A"/>
    <w:rsid w:val="30D9080E"/>
    <w:rsid w:val="319F7F4E"/>
    <w:rsid w:val="32D73928"/>
    <w:rsid w:val="334A6470"/>
    <w:rsid w:val="33783A67"/>
    <w:rsid w:val="34172D58"/>
    <w:rsid w:val="346A3AB3"/>
    <w:rsid w:val="369D1D71"/>
    <w:rsid w:val="37C8594A"/>
    <w:rsid w:val="37D52227"/>
    <w:rsid w:val="384B1F09"/>
    <w:rsid w:val="38D66F55"/>
    <w:rsid w:val="395114BD"/>
    <w:rsid w:val="39F001F7"/>
    <w:rsid w:val="3BE32A8D"/>
    <w:rsid w:val="3C4B5029"/>
    <w:rsid w:val="3CEC322C"/>
    <w:rsid w:val="3E364D87"/>
    <w:rsid w:val="3E46105B"/>
    <w:rsid w:val="3ECC47AD"/>
    <w:rsid w:val="3FC24A9A"/>
    <w:rsid w:val="3FF877F1"/>
    <w:rsid w:val="40B71887"/>
    <w:rsid w:val="414E4ECA"/>
    <w:rsid w:val="41572913"/>
    <w:rsid w:val="416720ED"/>
    <w:rsid w:val="41896E11"/>
    <w:rsid w:val="41B54C29"/>
    <w:rsid w:val="421530EB"/>
    <w:rsid w:val="4225391E"/>
    <w:rsid w:val="42F82B99"/>
    <w:rsid w:val="4304062D"/>
    <w:rsid w:val="431F093B"/>
    <w:rsid w:val="44315826"/>
    <w:rsid w:val="449B048E"/>
    <w:rsid w:val="44A1359D"/>
    <w:rsid w:val="44C93421"/>
    <w:rsid w:val="44CB3CFA"/>
    <w:rsid w:val="456414C2"/>
    <w:rsid w:val="458A7233"/>
    <w:rsid w:val="45B8029E"/>
    <w:rsid w:val="467A6C1A"/>
    <w:rsid w:val="471F674A"/>
    <w:rsid w:val="47237E6C"/>
    <w:rsid w:val="475B4A3C"/>
    <w:rsid w:val="47CF0F90"/>
    <w:rsid w:val="4A095728"/>
    <w:rsid w:val="4A305309"/>
    <w:rsid w:val="4B163E9F"/>
    <w:rsid w:val="4B3E4288"/>
    <w:rsid w:val="4D55723C"/>
    <w:rsid w:val="4DC335A0"/>
    <w:rsid w:val="4DE4047A"/>
    <w:rsid w:val="4DEF6FB8"/>
    <w:rsid w:val="4E2A7A88"/>
    <w:rsid w:val="4FD12831"/>
    <w:rsid w:val="502357F3"/>
    <w:rsid w:val="50536BDF"/>
    <w:rsid w:val="507947FF"/>
    <w:rsid w:val="50C1559F"/>
    <w:rsid w:val="515071EA"/>
    <w:rsid w:val="515C2FD4"/>
    <w:rsid w:val="51B317D9"/>
    <w:rsid w:val="524B55EE"/>
    <w:rsid w:val="53A77A17"/>
    <w:rsid w:val="53AA5B28"/>
    <w:rsid w:val="542906AF"/>
    <w:rsid w:val="561778F7"/>
    <w:rsid w:val="56A7294C"/>
    <w:rsid w:val="56AC36E1"/>
    <w:rsid w:val="56C85054"/>
    <w:rsid w:val="57643E09"/>
    <w:rsid w:val="57A45343"/>
    <w:rsid w:val="5A2D7137"/>
    <w:rsid w:val="5AA61A71"/>
    <w:rsid w:val="5B11392F"/>
    <w:rsid w:val="5B166034"/>
    <w:rsid w:val="5B23053C"/>
    <w:rsid w:val="5CF4307A"/>
    <w:rsid w:val="5D693D83"/>
    <w:rsid w:val="5DDE3993"/>
    <w:rsid w:val="5DDF1CB3"/>
    <w:rsid w:val="5E434B14"/>
    <w:rsid w:val="5E940C78"/>
    <w:rsid w:val="5EC81A39"/>
    <w:rsid w:val="5EFA7DCC"/>
    <w:rsid w:val="5F4844DA"/>
    <w:rsid w:val="5F71274B"/>
    <w:rsid w:val="602543C5"/>
    <w:rsid w:val="603563C9"/>
    <w:rsid w:val="60A513F8"/>
    <w:rsid w:val="61DE6509"/>
    <w:rsid w:val="62395D60"/>
    <w:rsid w:val="62597E74"/>
    <w:rsid w:val="62AF76A3"/>
    <w:rsid w:val="638C71B9"/>
    <w:rsid w:val="63F23B05"/>
    <w:rsid w:val="64840098"/>
    <w:rsid w:val="653438B3"/>
    <w:rsid w:val="65421E8B"/>
    <w:rsid w:val="65850572"/>
    <w:rsid w:val="670604A0"/>
    <w:rsid w:val="6708479D"/>
    <w:rsid w:val="67163B5B"/>
    <w:rsid w:val="678322DF"/>
    <w:rsid w:val="67911BE7"/>
    <w:rsid w:val="6D68227B"/>
    <w:rsid w:val="6D713D74"/>
    <w:rsid w:val="6D817DC4"/>
    <w:rsid w:val="6E475EC1"/>
    <w:rsid w:val="6EEF06A7"/>
    <w:rsid w:val="6FEB41DC"/>
    <w:rsid w:val="70740342"/>
    <w:rsid w:val="7085743D"/>
    <w:rsid w:val="70910491"/>
    <w:rsid w:val="71EB45D3"/>
    <w:rsid w:val="71ED1780"/>
    <w:rsid w:val="736A0243"/>
    <w:rsid w:val="738A398F"/>
    <w:rsid w:val="73B85584"/>
    <w:rsid w:val="74A86E9D"/>
    <w:rsid w:val="75ED5900"/>
    <w:rsid w:val="762D1A94"/>
    <w:rsid w:val="77433FE3"/>
    <w:rsid w:val="77473053"/>
    <w:rsid w:val="77DE4F18"/>
    <w:rsid w:val="78D526A4"/>
    <w:rsid w:val="78DE4FED"/>
    <w:rsid w:val="79D1631B"/>
    <w:rsid w:val="79D3083A"/>
    <w:rsid w:val="79E451CD"/>
    <w:rsid w:val="7A154CD3"/>
    <w:rsid w:val="7C5B224E"/>
    <w:rsid w:val="7D2B6B9B"/>
    <w:rsid w:val="7D523148"/>
    <w:rsid w:val="7D8B6D74"/>
    <w:rsid w:val="7DD0697C"/>
    <w:rsid w:val="7E792CAC"/>
    <w:rsid w:val="7F1E524A"/>
    <w:rsid w:val="7F5E4069"/>
    <w:rsid w:val="7F9C1C39"/>
    <w:rsid w:val="7FC63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915;&#31639;&#20844;&#24320;\&#22270;&#3492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915;&#31639;&#20844;&#24320;\&#22270;&#3492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22270;&#34920;&#27169;&#264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22270;&#34920;&#27169;&#264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22270;&#34920;&#27169;&#264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915;&#31639;&#20844;&#24320;\&#22270;&#3492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rPr sz="1200"/>
              <a:t>                                            单位：万元</a:t>
            </a:r>
            <a:r>
              <a:t> </a:t>
            </a:r>
          </a:p>
        </c:rich>
      </c:tx>
      <c:layout>
        <c:manualLayout>
          <c:xMode val="edge"/>
          <c:yMode val="edge"/>
          <c:x val="0.258888888888889"/>
          <c:y val="0.0243055555555556"/>
        </c:manualLayout>
      </c:layout>
      <c:overlay val="0"/>
      <c:spPr>
        <a:noFill/>
        <a:ln>
          <a:noFill/>
        </a:ln>
        <a:effectLst/>
      </c:spPr>
    </c:title>
    <c:autoTitleDeleted val="0"/>
    <c:plotArea>
      <c:layout/>
      <c:barChart>
        <c:barDir val="col"/>
        <c:grouping val="stacked"/>
        <c:varyColors val="0"/>
        <c:ser>
          <c:idx val="0"/>
          <c:order val="0"/>
          <c:tx>
            <c:strRef>
              <c:f>[图表模板.xlsx]碑高!$C$1</c:f>
              <c:strCache>
                <c:ptCount val="1"/>
                <c:pt idx="0">
                  <c:v>收、支决算总计变动情况图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[图表模板.xlsx]碑高!$B$2:$B$3</c:f>
              <c:strCache>
                <c:ptCount val="2"/>
                <c:pt idx="0">
                  <c:v>2019年</c:v>
                </c:pt>
                <c:pt idx="1">
                  <c:v>2018年</c:v>
                </c:pt>
              </c:strCache>
            </c:strRef>
          </c:cat>
          <c:val>
            <c:numRef>
              <c:f>[图表模板.xlsx]碑高!$C$2:$C$3</c:f>
              <c:numCache>
                <c:formatCode>#,##0.00</c:formatCode>
                <c:ptCount val="2"/>
                <c:pt idx="0">
                  <c:v>424.54</c:v>
                </c:pt>
                <c:pt idx="1">
                  <c:v>429.81</c:v>
                </c:pt>
              </c:numCache>
            </c:numRef>
          </c:val>
        </c:ser>
        <c:dLbls>
          <c:showLegendKey val="0"/>
          <c:showVal val="1"/>
          <c:showCatName val="0"/>
          <c:showSerName val="0"/>
          <c:showPercent val="0"/>
          <c:showBubbleSize val="0"/>
        </c:dLbls>
        <c:gapWidth val="150"/>
        <c:overlap val="100"/>
        <c:axId val="909377856"/>
        <c:axId val="824084875"/>
      </c:barChart>
      <c:catAx>
        <c:axId val="909377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084875"/>
        <c:crosses val="autoZero"/>
        <c:auto val="1"/>
        <c:lblAlgn val="ctr"/>
        <c:lblOffset val="100"/>
        <c:noMultiLvlLbl val="0"/>
      </c:catAx>
      <c:valAx>
        <c:axId val="8240848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37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t>收入决算结构图</a:t>
            </a:r>
            <a:endParaRPr sz="1600"/>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manualLayout>
          <c:xMode val="edge"/>
          <c:yMode val="edge"/>
          <c:x val="0.418611111111111"/>
          <c:y val="0.027906976744186"/>
        </c:manualLayout>
      </c:layout>
      <c:overlay val="0"/>
      <c:spPr>
        <a:noFill/>
        <a:ln>
          <a:noFill/>
        </a:ln>
        <a:effectLst/>
      </c:spPr>
    </c:title>
    <c:autoTitleDeleted val="0"/>
    <c:plotArea>
      <c:layout>
        <c:manualLayout>
          <c:layoutTarget val="inner"/>
          <c:xMode val="edge"/>
          <c:yMode val="edge"/>
          <c:x val="0.328541666666667"/>
          <c:y val="0.255348837209302"/>
          <c:w val="0.35125"/>
          <c:h val="0.588139534883721"/>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([图表模板.xlsx]碑高!$A$26,[图表模板.xlsx]碑高!$A$30)</c:f>
              <c:strCache>
                <c:ptCount val="2"/>
                <c:pt idx="0">
                  <c:v>一般公共预算财政拨款收入</c:v>
                </c:pt>
                <c:pt idx="1">
                  <c:v>事业收入</c:v>
                </c:pt>
              </c:strCache>
            </c:strRef>
          </c:cat>
          <c:val>
            <c:numRef>
              <c:f>([图表模板.xlsx]碑高!$B$26,[图表模板.xlsx]碑高!$B$30)</c:f>
              <c:numCache>
                <c:formatCode>#,##0.00</c:formatCode>
                <c:ptCount val="2"/>
                <c:pt idx="0">
                  <c:v>143.62</c:v>
                </c:pt>
                <c:pt idx="1">
                  <c:v>196.48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t>支出决算结构图</a:t>
            </a:r>
            <a:endParaRPr sz="1800"/>
          </a:p>
          <a:p>
            <a:pPr defTabSz="914400">
              <a:defRPr lang="zh-CN" sz="1400" b="0" i="0" u="none" strike="noStrike" kern="1200" spc="0" baseline="0">
                <a:solidFill>
                  <a:schemeClr val="tx1">
                    <a:lumMod val="65000"/>
                    <a:lumOff val="35000"/>
                  </a:schemeClr>
                </a:solidFill>
                <a:latin typeface="+mn-lt"/>
                <a:ea typeface="+mn-ea"/>
                <a:cs typeface="+mn-cs"/>
              </a:defRPr>
            </a:pPr>
            <a:r>
              <a:t>       </a:t>
            </a:r>
            <a:r>
              <a:rPr sz="1200"/>
              <a:t> 单位：万元</a:t>
            </a:r>
            <a:endParaRPr sz="1200"/>
          </a:p>
        </c:rich>
      </c:tx>
      <c:layout>
        <c:manualLayout>
          <c:xMode val="edge"/>
          <c:yMode val="edge"/>
          <c:x val="0.35931721832343"/>
          <c:y val="0.0416856232939035"/>
        </c:manualLayout>
      </c:layout>
      <c:overlay val="0"/>
      <c:spPr>
        <a:noFill/>
        <a:ln>
          <a:noFill/>
        </a:ln>
        <a:effectLst/>
      </c:spPr>
    </c:title>
    <c:autoTitleDeleted val="0"/>
    <c:plotArea>
      <c:layout/>
      <c:pieChart>
        <c:varyColors val="1"/>
        <c:ser>
          <c:idx val="0"/>
          <c:order val="0"/>
          <c:spPr/>
          <c:explosion val="0"/>
          <c:dPt>
            <c:idx val="0"/>
            <c:bubble3D val="0"/>
            <c:explosion val="16"/>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[图表模板.xlsx]碑高!$A$47:$A$48</c:f>
              <c:strCache>
                <c:ptCount val="2"/>
                <c:pt idx="0">
                  <c:v>基本支出</c:v>
                </c:pt>
                <c:pt idx="1">
                  <c:v>项目支出</c:v>
                </c:pt>
              </c:strCache>
            </c:strRef>
          </c:cat>
          <c:val>
            <c:numRef>
              <c:f>[图表模板.xlsx]碑高!$B$47:$B$48</c:f>
              <c:numCache>
                <c:formatCode>#,##0.00</c:formatCode>
                <c:ptCount val="2"/>
                <c:pt idx="0">
                  <c:v>277.45</c:v>
                </c:pt>
                <c:pt idx="1">
                  <c:v>83.87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overlay val="0"/>
      <c:spPr>
        <a:noFill/>
        <a:ln>
          <a:noFill/>
        </a:ln>
        <a:effectLst/>
      </c:spPr>
    </c:title>
    <c:autoTitleDeleted val="0"/>
    <c:plotArea>
      <c:layout/>
      <c:barChart>
        <c:barDir val="col"/>
        <c:grouping val="stacked"/>
        <c:varyColors val="0"/>
        <c:ser>
          <c:idx val="0"/>
          <c:order val="0"/>
          <c:tx>
            <c:strRef>
              <c:f>[图表模板.xlsx]碑高!$B$67</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[图表模板.xlsx]碑高!$A$68:$A$69</c:f>
              <c:strCache>
                <c:ptCount val="2"/>
                <c:pt idx="0">
                  <c:v>2019年</c:v>
                </c:pt>
                <c:pt idx="1">
                  <c:v>2018年</c:v>
                </c:pt>
              </c:strCache>
            </c:strRef>
          </c:cat>
          <c:val>
            <c:numRef>
              <c:f>[图表模板.xlsx]碑高!$B$68:$B$69</c:f>
              <c:numCache>
                <c:formatCode>#,##0.00</c:formatCode>
                <c:ptCount val="2"/>
                <c:pt idx="0">
                  <c:v>228.06</c:v>
                </c:pt>
                <c:pt idx="1">
                  <c:v>213.84</c:v>
                </c:pt>
              </c:numCache>
            </c:numRef>
          </c:val>
        </c:ser>
        <c:dLbls>
          <c:showLegendKey val="0"/>
          <c:showVal val="1"/>
          <c:showCatName val="0"/>
          <c:showSerName val="0"/>
          <c:showPercent val="0"/>
          <c:showBubbleSize val="0"/>
        </c:dLbls>
        <c:gapWidth val="150"/>
        <c:overlap val="100"/>
        <c:axId val="774320489"/>
        <c:axId val="871128475"/>
      </c:barChart>
      <c:catAx>
        <c:axId val="774320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128475"/>
        <c:crosses val="autoZero"/>
        <c:auto val="1"/>
        <c:lblAlgn val="ctr"/>
        <c:lblOffset val="100"/>
        <c:noMultiLvlLbl val="0"/>
      </c:catAx>
      <c:valAx>
        <c:axId val="8711284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204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manualLayout>
          <c:xMode val="edge"/>
          <c:yMode val="edge"/>
          <c:x val="0.142222222222222"/>
          <c:y val="0.0243337195828505"/>
        </c:manualLayout>
      </c:layout>
      <c:overlay val="0"/>
      <c:spPr>
        <a:noFill/>
        <a:ln>
          <a:noFill/>
        </a:ln>
        <a:effectLst/>
      </c:spPr>
    </c:title>
    <c:autoTitleDeleted val="0"/>
    <c:plotArea>
      <c:layout>
        <c:manualLayout>
          <c:layoutTarget val="inner"/>
          <c:xMode val="edge"/>
          <c:yMode val="edge"/>
          <c:x val="0.0748055555555556"/>
          <c:y val="0.257937427578216"/>
          <c:w val="0.894638888888889"/>
          <c:h val="0.633464658169177"/>
        </c:manualLayout>
      </c:layout>
      <c:barChart>
        <c:barDir val="col"/>
        <c:grouping val="clustered"/>
        <c:varyColors val="0"/>
        <c:ser>
          <c:idx val="0"/>
          <c:order val="0"/>
          <c:tx>
            <c:strRef>
              <c:f>[图表模板.xlsx]碑高!$B$86</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[图表模板.xlsx]碑高!$A$87:$A$88</c:f>
              <c:strCache>
                <c:ptCount val="2"/>
                <c:pt idx="0">
                  <c:v>2019年</c:v>
                </c:pt>
                <c:pt idx="1">
                  <c:v>2018年</c:v>
                </c:pt>
              </c:strCache>
            </c:strRef>
          </c:cat>
          <c:val>
            <c:numRef>
              <c:f>[图表模板.xlsx]碑高!$B$87:$B$88</c:f>
              <c:numCache>
                <c:formatCode>#,##0.00</c:formatCode>
                <c:ptCount val="2"/>
                <c:pt idx="0">
                  <c:v>164.84</c:v>
                </c:pt>
                <c:pt idx="1">
                  <c:v>201.04</c:v>
                </c:pt>
              </c:numCache>
            </c:numRef>
          </c:val>
        </c:ser>
        <c:dLbls>
          <c:showLegendKey val="0"/>
          <c:showVal val="1"/>
          <c:showCatName val="0"/>
          <c:showSerName val="0"/>
          <c:showPercent val="0"/>
          <c:showBubbleSize val="0"/>
        </c:dLbls>
        <c:gapWidth val="219"/>
        <c:overlap val="-27"/>
        <c:axId val="715543173"/>
        <c:axId val="193179635"/>
      </c:barChart>
      <c:catAx>
        <c:axId val="715543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179635"/>
        <c:crosses val="autoZero"/>
        <c:auto val="1"/>
        <c:lblAlgn val="ctr"/>
        <c:lblOffset val="100"/>
        <c:noMultiLvlLbl val="0"/>
      </c:catAx>
      <c:valAx>
        <c:axId val="19317963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543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                                      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189444444444444"/>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08454688162928"/>
                  <c:y val="0.046356218059352"/>
                </c:manualLayout>
              </c:layout>
              <c:dLblPos val="bestFit"/>
              <c:showLegendKey val="0"/>
              <c:showVal val="1"/>
              <c:showCatName val="0"/>
              <c:showSerName val="0"/>
              <c:showPercent val="1"/>
              <c:showBubbleSize val="0"/>
              <c:separator>;</c:separator>
              <c:extLst>
                <c:ext xmlns:c15="http://schemas.microsoft.com/office/drawing/2012/chart" uri="{CE6537A1-D6FC-4f65-9D91-7224C49458BB}">
                  <c15:layout/>
                </c:ext>
              </c:extLst>
            </c:dLbl>
            <c:dLbl>
              <c:idx val="1"/>
              <c:layout>
                <c:manualLayout>
                  <c:x val="0.0575723382119831"/>
                  <c:y val="0.0199004905500983"/>
                </c:manualLayout>
              </c:layout>
              <c:dLblPos val="bestFit"/>
              <c:showLegendKey val="0"/>
              <c:showVal val="1"/>
              <c:showCatName val="0"/>
              <c:showSerName val="0"/>
              <c:showPercent val="1"/>
              <c:showBubbleSize val="0"/>
              <c:separator>;</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[图表模板.xlsx]碑高!$A$107:$A$121</c15:sqref>
                  </c15:fullRef>
                </c:ext>
              </c:extLst>
              <c:f>([图表模板.xlsx]碑高!$A$109:$A$110,[图表模板.xlsx]碑高!$A$120)</c:f>
              <c:strCache>
                <c:ptCount val="3"/>
                <c:pt idx="0">
                  <c:v>社会保障和就业支出</c:v>
                </c:pt>
                <c:pt idx="1">
                  <c:v>卫生健康支出</c:v>
                </c:pt>
                <c:pt idx="2">
                  <c:v>住房保障支出</c:v>
                </c:pt>
              </c:strCache>
            </c:strRef>
          </c:cat>
          <c:val>
            <c:numRef>
              <c:extLst>
                <c:ext xmlns:c15="http://schemas.microsoft.com/office/drawing/2012/chart" uri="{02D57815-91ED-43cb-92C2-25804820EDAC}">
                  <c15:fullRef>
                    <c15:sqref>碑高!$B$107:$B$121</c15:sqref>
                  </c15:fullRef>
                </c:ext>
              </c:extLst>
              <c:f>([图表模板.xlsx]碑高!$B$109:$B$110,[图表模板.xlsx]碑高!$B$120)</c:f>
              <c:numCache>
                <c:formatCode>#,##0.00</c:formatCode>
                <c:ptCount val="3"/>
                <c:pt idx="0">
                  <c:v>7.76</c:v>
                </c:pt>
                <c:pt idx="1">
                  <c:v>151.26</c:v>
                </c:pt>
                <c:pt idx="2">
                  <c:v>5.82</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extLst>
                <c:ext xmlns:c15="http://schemas.microsoft.com/office/drawing/2012/chart" uri="{02D57815-91ED-43cb-92C2-25804820EDAC}">
                  <c15:fullRef>
                    <c15:sqref>[图表模板.xlsx]碑高!$A$107:$A$121</c15:sqref>
                  </c15:fullRef>
                </c:ext>
              </c:extLst>
              <c:f>([图表模板.xlsx]碑高!$A$109:$A$110,[图表模板.xlsx]碑高!$A$120)</c:f>
              <c:strCache>
                <c:ptCount val="3"/>
                <c:pt idx="0">
                  <c:v>社会保障和就业支出</c:v>
                </c:pt>
                <c:pt idx="1">
                  <c:v>卫生健康支出</c:v>
                </c:pt>
                <c:pt idx="2">
                  <c:v>住房保障支出</c:v>
                </c:pt>
              </c:strCache>
            </c:strRef>
          </c:cat>
          <c:val>
            <c:numRef>
              <c:extLst>
                <c:ext xmlns:c15="http://schemas.microsoft.com/office/drawing/2012/chart" uri="{02D57815-91ED-43cb-92C2-25804820EDAC}">
                  <c15:fullRef>
                    <c15:sqref>碑高!$C$107:$C$121</c15:sqref>
                  </c15:fullRef>
                </c:ext>
              </c:extLst>
              <c:f>([图表模板.xlsx]碑高!$C$109:$C$110,[图表模板.xlsx]碑高!$C$120)</c:f>
              <c:numCache>
                <c:formatCode>0.00%</c:formatCode>
                <c:ptCount val="3"/>
                <c:pt idx="0">
                  <c:v>0.0470759524387285</c:v>
                </c:pt>
                <c:pt idx="1">
                  <c:v>0.917617083232225</c:v>
                </c:pt>
                <c:pt idx="2">
                  <c:v>0.0353069643290464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17</TotalTime>
  <ScaleCrop>false</ScaleCrop>
  <LinksUpToDate>false</LinksUpToDate>
  <CharactersWithSpaces>9641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2021-02-19T06:19:38Z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