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40" w:name="_GoBack"/>
      <w:bookmarkEnd w:id="40"/>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475"/>
      <w:bookmarkStart w:id="3" w:name="_Toc15377425"/>
      <w:bookmarkStart w:id="4" w:name="_Toc15377193"/>
      <w:bookmarkStart w:id="5" w:name="_Toc15396597"/>
      <w:r>
        <w:rPr>
          <w:rFonts w:ascii="黑体" w:hAnsi="黑体" w:eastAsia="黑体"/>
          <w:color w:val="000000"/>
          <w:sz w:val="72"/>
          <w:szCs w:val="72"/>
        </w:rPr>
        <w:t>201</w:t>
      </w:r>
      <w:r>
        <w:rPr>
          <w:rFonts w:hint="eastAsia" w:ascii="黑体" w:hAnsi="黑体" w:eastAsia="黑体"/>
          <w:color w:val="000000"/>
          <w:sz w:val="72"/>
          <w:szCs w:val="72"/>
          <w:lang w:val="en-US" w:eastAsia="zh-CN"/>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96476"/>
      <w:bookmarkStart w:id="8" w:name="_Toc15377194"/>
      <w:bookmarkStart w:id="9" w:name="_Toc15396598"/>
      <w:bookmarkStart w:id="10" w:name="_Toc15377426"/>
      <w:r>
        <w:rPr>
          <w:rFonts w:hint="eastAsia" w:ascii="方正小标宋简体" w:hAnsi="宋体" w:eastAsia="方正小标宋简体"/>
          <w:b/>
          <w:bCs/>
          <w:color w:val="000000"/>
          <w:sz w:val="52"/>
          <w:szCs w:val="52"/>
        </w:rPr>
        <w:t>四川省</w:t>
      </w:r>
      <w:bookmarkEnd w:id="0"/>
      <w:bookmarkStart w:id="11" w:name="_Toc15306268"/>
      <w:r>
        <w:rPr>
          <w:rFonts w:hint="eastAsia" w:ascii="方正小标宋简体" w:hAnsi="宋体" w:eastAsia="方正小标宋简体"/>
          <w:b/>
          <w:bCs/>
          <w:color w:val="000000"/>
          <w:sz w:val="52"/>
          <w:szCs w:val="52"/>
          <w:lang w:eastAsia="zh-CN"/>
        </w:rPr>
        <w:t>达州市达川区河市镇社区卫生服务中心</w:t>
      </w:r>
      <w:r>
        <w:rPr>
          <w:rFonts w:hint="eastAsia" w:ascii="方正小标宋简体" w:hAnsi="宋体" w:eastAsia="方正小标宋简体"/>
          <w:b/>
          <w:bCs/>
          <w:color w:val="000000"/>
          <w:sz w:val="52"/>
          <w:szCs w:val="5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16</w:t>
      </w:r>
      <w:r>
        <w:rPr>
          <w:rFonts w:hint="eastAsia"/>
        </w:rPr>
        <w:t>日</w:t>
      </w:r>
    </w:p>
    <w:p/>
    <w:p>
      <w:pPr>
        <w:pStyle w:val="11"/>
        <w:bidi w:val="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w:t>
      </w:r>
      <w:r>
        <w:rPr>
          <w:rStyle w:val="15"/>
          <w:rFonts w:hint="eastAsia"/>
          <w:lang w:val="en-US" w:eastAsia="zh-CN"/>
        </w:rPr>
        <w:t>19</w:t>
      </w:r>
      <w:r>
        <w:rPr>
          <w:rStyle w:val="15"/>
          <w:rFonts w:hint="eastAsia"/>
        </w:rPr>
        <w:t>年度部门决算情况说明</w:t>
      </w:r>
      <w:r>
        <w:tab/>
      </w:r>
      <w:r>
        <w:fldChar w:fldCharType="begin"/>
      </w:r>
      <w:r>
        <w:instrText xml:space="preserve"> PAGEREF _Toc15396602 \h </w:instrText>
      </w:r>
      <w:r>
        <w:fldChar w:fldCharType="separate"/>
      </w:r>
      <w:r>
        <w:t>6</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23"/>
        <w:numPr>
          <w:ilvl w:val="0"/>
          <w:numId w:val="0"/>
        </w:numPr>
        <w:spacing w:line="580" w:lineRule="exact"/>
        <w:ind w:left="0" w:leftChars="0" w:firstLine="420" w:firstLineChars="150"/>
        <w:rPr>
          <w:rFonts w:hint="eastAsia" w:ascii="黑体" w:hAnsi="黑体" w:eastAsia="黑体" w:cstheme="majorBidi"/>
          <w:bCs/>
          <w:sz w:val="32"/>
          <w:szCs w:val="32"/>
        </w:rPr>
      </w:pPr>
      <w:r>
        <w:rPr>
          <w:rFonts w:hint="eastAsia" w:ascii="仿宋" w:hAnsi="仿宋" w:eastAsia="仿宋"/>
          <w:sz w:val="28"/>
          <w:szCs w:val="28"/>
          <w:lang w:val="en-US" w:eastAsia="zh-CN"/>
        </w:rPr>
        <w:t>十、</w:t>
      </w:r>
      <w:r>
        <w:rPr>
          <w:rStyle w:val="15"/>
          <w:rFonts w:hint="eastAsia" w:ascii="仿宋" w:hAnsi="仿宋" w:eastAsia="仿宋" w:cstheme="majorBidi"/>
          <w:bCs/>
          <w:kern w:val="2"/>
          <w:sz w:val="28"/>
          <w:szCs w:val="28"/>
          <w:lang w:val="en-US" w:eastAsia="zh-CN" w:bidi="ar-SA"/>
        </w:rPr>
        <w:t>预算绩效情况说明</w:t>
      </w:r>
      <w:r>
        <w:rPr>
          <w:rFonts w:ascii="仿宋" w:hAnsi="仿宋" w:eastAsia="仿宋"/>
          <w:sz w:val="28"/>
          <w:szCs w:val="28"/>
        </w:rPr>
        <w:tab/>
      </w:r>
      <w:r>
        <w:rPr>
          <w:rFonts w:hint="eastAsia" w:ascii="仿宋" w:hAnsi="仿宋" w:eastAsia="仿宋"/>
          <w:sz w:val="28"/>
          <w:szCs w:val="28"/>
          <w:lang w:val="en-US" w:eastAsia="zh-CN"/>
        </w:rPr>
        <w:t>.......................... ......12</w:t>
      </w:r>
    </w:p>
    <w:p>
      <w:pPr>
        <w:rPr>
          <w:rFonts w:hint="default" w:eastAsia="仿宋"/>
          <w:lang w:val="en-US" w:eastAsia="zh-CN"/>
        </w:rPr>
      </w:pP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17</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20</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26</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bookmarkEnd w:id="12"/>
    <w:bookmarkEnd w:id="13"/>
    <w:p>
      <w:pPr>
        <w:pStyle w:val="2"/>
        <w:jc w:val="center"/>
        <w:rPr>
          <w:rStyle w:val="24"/>
          <w:rFonts w:asciiTheme="majorEastAsia" w:hAnsiTheme="majorEastAsia" w:eastAsiaTheme="majorEastAsia" w:cstheme="majorEastAsia"/>
          <w:b/>
          <w:bCs w:val="0"/>
        </w:rPr>
      </w:pPr>
      <w:r>
        <w:rPr>
          <w:rFonts w:hint="eastAsia" w:asciiTheme="majorEastAsia" w:hAnsiTheme="majorEastAsia" w:eastAsiaTheme="majorEastAsia" w:cstheme="majorEastAsia"/>
          <w:b/>
          <w:bCs w:val="0"/>
        </w:rPr>
        <w:t xml:space="preserve">第一部分 </w:t>
      </w:r>
      <w:r>
        <w:rPr>
          <w:rStyle w:val="24"/>
          <w:rFonts w:hint="eastAsia" w:asciiTheme="majorEastAsia" w:hAnsiTheme="majorEastAsia" w:eastAsiaTheme="majorEastAsia" w:cstheme="majorEastAsia"/>
          <w:b/>
          <w:bCs w:val="0"/>
        </w:rPr>
        <w:t>部门概况</w:t>
      </w:r>
    </w:p>
    <w:p>
      <w:pPr>
        <w:widowControl/>
        <w:jc w:val="left"/>
        <w:rPr>
          <w:rFonts w:ascii="黑体" w:eastAsia="黑体"/>
          <w:bCs/>
          <w:color w:val="000000"/>
          <w:sz w:val="32"/>
          <w:szCs w:val="32"/>
        </w:rPr>
      </w:pPr>
    </w:p>
    <w:p>
      <w:pPr>
        <w:pStyle w:val="3"/>
        <w:rPr>
          <w:rStyle w:val="25"/>
          <w:rFonts w:asciiTheme="majorEastAsia" w:hAnsiTheme="majorEastAsia" w:cstheme="majorEastAsia"/>
          <w:b w:val="0"/>
          <w:bCs/>
        </w:rPr>
      </w:pPr>
      <w:bookmarkStart w:id="14" w:name="_Toc15396600"/>
      <w:bookmarkStart w:id="15" w:name="_Toc15377197"/>
      <w:r>
        <w:rPr>
          <w:rFonts w:hint="eastAsia" w:asciiTheme="majorEastAsia" w:hAnsiTheme="majorEastAsia" w:cstheme="majorEastAsia"/>
          <w:b w:val="0"/>
          <w:color w:val="000000"/>
        </w:rPr>
        <w:t>一、基</w:t>
      </w:r>
      <w:r>
        <w:rPr>
          <w:rStyle w:val="25"/>
          <w:rFonts w:hint="eastAsia" w:asciiTheme="majorEastAsia" w:hAnsiTheme="majorEastAsia" w:cstheme="majorEastAsia"/>
          <w:b w:val="0"/>
          <w:bCs/>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96601"/>
      <w:bookmarkStart w:id="17" w:name="_Toc15377200"/>
      <w:r>
        <w:rPr>
          <w:rFonts w:hint="eastAsia" w:ascii="仿宋" w:hAnsi="仿宋" w:eastAsia="仿宋"/>
          <w:bCs/>
          <w:color w:val="000000"/>
          <w:sz w:val="32"/>
          <w:szCs w:val="32"/>
        </w:rPr>
        <w:t>（一）主要职能。</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在地方政府和卫生行政部门领导下，根据党的方针、政策及市</w:t>
      </w:r>
      <w:r>
        <w:rPr>
          <w:rFonts w:hint="eastAsia" w:ascii="仿宋_GB2312" w:hAnsi="仿宋" w:eastAsia="仿宋_GB2312"/>
          <w:sz w:val="32"/>
          <w:szCs w:val="32"/>
          <w:lang w:eastAsia="zh-CN"/>
        </w:rPr>
        <w:t>卫健委</w:t>
      </w:r>
      <w:r>
        <w:rPr>
          <w:rFonts w:hint="eastAsia" w:ascii="仿宋_GB2312" w:hAnsi="仿宋" w:eastAsia="仿宋_GB2312"/>
          <w:sz w:val="32"/>
          <w:szCs w:val="32"/>
        </w:rPr>
        <w:t>、区卫</w:t>
      </w:r>
      <w:r>
        <w:rPr>
          <w:rFonts w:hint="eastAsia" w:ascii="仿宋_GB2312" w:hAnsi="仿宋" w:eastAsia="仿宋_GB2312"/>
          <w:sz w:val="32"/>
          <w:szCs w:val="32"/>
          <w:lang w:eastAsia="zh-CN"/>
        </w:rPr>
        <w:t>健</w:t>
      </w:r>
      <w:r>
        <w:rPr>
          <w:rFonts w:hint="eastAsia" w:ascii="仿宋_GB2312" w:hAnsi="仿宋" w:eastAsia="仿宋_GB2312"/>
          <w:sz w:val="32"/>
          <w:szCs w:val="32"/>
        </w:rPr>
        <w:t>局对社区卫生服务工作的总体要求、做好社区卫生服务行政业务工作，积极开展以保护、促进人民健康，不断提高居民生活质量为目的的卫生保健，认真落实各项卫生工作指标。开展以社区为范围，家庭为单位，健康为中心，人的生命为过程的以老年、妇女、儿童和慢性病人为重点的集预防、医疗、保健、康复、健康教育、计划生育指导为一体的综合性社区卫生服务。</w:t>
      </w:r>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lang w:val="en-US" w:eastAsia="zh-CN"/>
        </w:rPr>
        <w:t>9</w:t>
      </w:r>
      <w:r>
        <w:rPr>
          <w:rFonts w:hint="eastAsia" w:ascii="仿宋" w:hAnsi="仿宋" w:eastAsia="仿宋"/>
          <w:bCs/>
          <w:color w:val="000000"/>
          <w:sz w:val="32"/>
          <w:szCs w:val="32"/>
        </w:rPr>
        <w:t>年重点工作完成情况。</w:t>
      </w:r>
    </w:p>
    <w:p>
      <w:pPr>
        <w:pStyle w:val="5"/>
        <w:adjustRightInd w:val="0"/>
        <w:snapToGrid w:val="0"/>
        <w:spacing w:before="93" w:line="600" w:lineRule="exact"/>
        <w:ind w:firstLine="672" w:firstLineChars="210"/>
        <w:outlineLvl w:val="2"/>
        <w:rPr>
          <w:rFonts w:asciiTheme="majorEastAsia" w:hAnsiTheme="majorEastAsia" w:eastAsiaTheme="majorEastAsia" w:cstheme="majorEastAsia"/>
          <w:sz w:val="32"/>
          <w:szCs w:val="32"/>
        </w:rPr>
      </w:pPr>
      <w:r>
        <w:rPr>
          <w:rFonts w:hint="eastAsia" w:ascii="仿宋_GB2312" w:eastAsia="仿宋_GB2312"/>
          <w:sz w:val="32"/>
          <w:szCs w:val="32"/>
        </w:rPr>
        <w:t>加强制度建设，强化工作规范，加强能力建设，提升服务水平，全面完成</w:t>
      </w:r>
      <w:r>
        <w:rPr>
          <w:rFonts w:hint="eastAsia" w:ascii="仿宋_GB2312" w:eastAsia="仿宋_GB2312"/>
          <w:sz w:val="32"/>
          <w:szCs w:val="32"/>
          <w:lang w:eastAsia="zh-CN"/>
        </w:rPr>
        <w:t>上级交付的</w:t>
      </w:r>
      <w:r>
        <w:rPr>
          <w:rFonts w:hint="eastAsia" w:ascii="仿宋_GB2312" w:eastAsia="仿宋_GB2312"/>
          <w:sz w:val="32"/>
          <w:szCs w:val="32"/>
        </w:rPr>
        <w:t>各项工作任务。</w:t>
      </w:r>
      <w:r>
        <w:rPr>
          <w:rFonts w:ascii="仿宋_GB2312" w:hAnsi="仿宋" w:eastAsia="仿宋_GB2312"/>
          <w:sz w:val="32"/>
          <w:szCs w:val="32"/>
        </w:rPr>
        <w:t>作为专业性很强的医疗服务工作，我</w:t>
      </w:r>
      <w:r>
        <w:rPr>
          <w:rFonts w:hint="eastAsia" w:ascii="仿宋_GB2312" w:hAnsi="仿宋" w:eastAsia="仿宋_GB2312"/>
          <w:sz w:val="32"/>
          <w:szCs w:val="32"/>
        </w:rPr>
        <w:t>中心</w:t>
      </w:r>
      <w:r>
        <w:rPr>
          <w:rFonts w:ascii="仿宋_GB2312" w:hAnsi="仿宋" w:eastAsia="仿宋_GB2312"/>
          <w:sz w:val="32"/>
          <w:szCs w:val="32"/>
        </w:rPr>
        <w:t>非常重视对职工业务技术学习，除了职工集中统一学习外，还选送一些思想好、业务素质高的人员到上级医院进修学习，选派一些专业人员参加省市区卫生部门组织的学术交流会，提高他们的业务技术水平。</w:t>
      </w:r>
    </w:p>
    <w:bookmarkEnd w:id="16"/>
    <w:bookmarkEnd w:id="17"/>
    <w:p>
      <w:pPr>
        <w:pStyle w:val="3"/>
        <w:rPr>
          <w:rStyle w:val="25"/>
          <w:b w:val="0"/>
          <w:bCs w:val="0"/>
        </w:rPr>
      </w:pPr>
      <w:bookmarkStart w:id="18" w:name="_Toc15396602"/>
      <w:bookmarkStart w:id="19" w:name="_Toc15377204"/>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达川区河市镇社区卫生服务中心</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rPr>
        <w:t>事业单位1个</w:t>
      </w:r>
      <w:r>
        <w:rPr>
          <w:rFonts w:hint="eastAsia" w:ascii="仿宋_GB2312" w:hAnsi="仿宋_GB2312" w:eastAsia="仿宋_GB2312" w:cs="仿宋_GB2312"/>
          <w:color w:val="000000"/>
          <w:sz w:val="32"/>
          <w:szCs w:val="32"/>
          <w:lang w:eastAsia="zh-CN"/>
        </w:rPr>
        <w:t>，内设院办、行政办公室、财务科、医保办、公共卫生科、医生住院部、医生门诊部、护理部、医技科室、中西药房、收费室、手术室等；</w:t>
      </w:r>
      <w:r>
        <w:rPr>
          <w:rFonts w:hint="eastAsia" w:ascii="仿宋_GB2312" w:hAnsi="仿宋" w:eastAsia="仿宋_GB2312"/>
          <w:sz w:val="32"/>
          <w:szCs w:val="32"/>
        </w:rPr>
        <w:t>年末实有人数</w:t>
      </w:r>
      <w:r>
        <w:rPr>
          <w:rFonts w:hint="eastAsia" w:ascii="仿宋_GB2312" w:hAnsi="仿宋" w:eastAsia="仿宋_GB2312"/>
          <w:sz w:val="32"/>
          <w:szCs w:val="32"/>
          <w:lang w:val="en-US" w:eastAsia="zh-CN"/>
        </w:rPr>
        <w:t>26</w:t>
      </w:r>
      <w:r>
        <w:rPr>
          <w:rFonts w:hint="eastAsia" w:ascii="仿宋_GB2312" w:hAnsi="仿宋" w:eastAsia="仿宋_GB2312"/>
          <w:sz w:val="32"/>
          <w:szCs w:val="32"/>
        </w:rPr>
        <w:t>人，其中事业专技人员</w:t>
      </w:r>
      <w:r>
        <w:rPr>
          <w:rFonts w:hint="eastAsia" w:ascii="仿宋_GB2312" w:hAnsi="仿宋" w:eastAsia="仿宋_GB2312"/>
          <w:sz w:val="32"/>
          <w:szCs w:val="32"/>
          <w:lang w:val="en-US" w:eastAsia="zh-CN"/>
        </w:rPr>
        <w:t>21</w:t>
      </w:r>
      <w:r>
        <w:rPr>
          <w:rFonts w:hint="eastAsia" w:ascii="仿宋_GB2312" w:hAnsi="仿宋" w:eastAsia="仿宋_GB2312"/>
          <w:sz w:val="32"/>
          <w:szCs w:val="32"/>
        </w:rPr>
        <w:t>人、事业工勤人员</w:t>
      </w:r>
      <w:r>
        <w:rPr>
          <w:rFonts w:hint="eastAsia" w:ascii="仿宋_GB2312" w:hAnsi="仿宋" w:eastAsia="仿宋_GB2312"/>
          <w:sz w:val="32"/>
          <w:szCs w:val="32"/>
          <w:lang w:val="en-US" w:eastAsia="zh-CN"/>
        </w:rPr>
        <w:t>5</w:t>
      </w:r>
      <w:r>
        <w:rPr>
          <w:rFonts w:hint="eastAsia" w:ascii="仿宋_GB2312" w:hAnsi="仿宋" w:eastAsia="仿宋_GB2312"/>
          <w:sz w:val="32"/>
          <w:szCs w:val="32"/>
        </w:rPr>
        <w:t>人、临聘人员</w:t>
      </w:r>
      <w:r>
        <w:rPr>
          <w:rFonts w:hint="eastAsia" w:ascii="仿宋_GB2312" w:hAnsi="仿宋" w:eastAsia="仿宋_GB2312"/>
          <w:sz w:val="32"/>
          <w:szCs w:val="32"/>
          <w:lang w:val="en-US" w:eastAsia="zh-CN"/>
        </w:rPr>
        <w:t>8</w:t>
      </w:r>
      <w:r>
        <w:rPr>
          <w:rFonts w:hint="eastAsia" w:ascii="仿宋_GB2312" w:hAnsi="仿宋" w:eastAsia="仿宋_GB2312"/>
          <w:sz w:val="32"/>
          <w:szCs w:val="32"/>
        </w:rPr>
        <w:t>人、退休人员</w:t>
      </w:r>
      <w:r>
        <w:rPr>
          <w:rFonts w:hint="eastAsia" w:ascii="仿宋_GB2312" w:hAnsi="仿宋" w:eastAsia="仿宋_GB2312"/>
          <w:sz w:val="32"/>
          <w:szCs w:val="32"/>
          <w:lang w:val="en-US" w:eastAsia="zh-CN"/>
        </w:rPr>
        <w:t>12</w:t>
      </w:r>
      <w:r>
        <w:rPr>
          <w:rFonts w:hint="eastAsia" w:ascii="仿宋_GB2312" w:hAnsi="仿宋" w:eastAsia="仿宋_GB2312"/>
          <w:sz w:val="32"/>
          <w:szCs w:val="32"/>
        </w:rPr>
        <w:t>人。</w:t>
      </w:r>
    </w:p>
    <w:p>
      <w:pPr>
        <w:spacing w:line="600" w:lineRule="exact"/>
        <w:ind w:firstLine="640" w:firstLineChars="200"/>
        <w:rPr>
          <w:rFonts w:hint="eastAsia" w:ascii="仿宋_GB2312" w:hAnsi="仿宋" w:eastAsia="仿宋_GB2312"/>
          <w:sz w:val="32"/>
          <w:szCs w:val="32"/>
        </w:rPr>
      </w:pPr>
    </w:p>
    <w:p>
      <w:pPr>
        <w:pStyle w:val="2"/>
        <w:ind w:right="440"/>
        <w:jc w:val="right"/>
        <w:rPr>
          <w:rFonts w:hint="eastAsia" w:asciiTheme="majorEastAsia" w:hAnsiTheme="majorEastAsia" w:eastAsiaTheme="majorEastAsia" w:cstheme="majorEastAsia"/>
          <w:b w:val="0"/>
          <w:color w:val="000000"/>
        </w:rPr>
      </w:pPr>
    </w:p>
    <w:p>
      <w:pPr>
        <w:rPr>
          <w:rFonts w:hint="eastAsia" w:asciiTheme="majorEastAsia" w:hAnsiTheme="majorEastAsia" w:eastAsiaTheme="majorEastAsia" w:cstheme="majorEastAsia"/>
          <w:b w:val="0"/>
          <w:color w:val="000000"/>
        </w:rPr>
      </w:pPr>
    </w:p>
    <w:p>
      <w:pPr>
        <w:rPr>
          <w:rFonts w:hint="eastAsia" w:asciiTheme="majorEastAsia" w:hAnsiTheme="majorEastAsia" w:eastAsiaTheme="majorEastAsia" w:cstheme="majorEastAsia"/>
          <w:b w:val="0"/>
          <w:color w:val="000000"/>
        </w:rPr>
      </w:pPr>
    </w:p>
    <w:p>
      <w:pPr>
        <w:rPr>
          <w:rFonts w:hint="eastAsia" w:asciiTheme="majorEastAsia" w:hAnsiTheme="majorEastAsia" w:eastAsiaTheme="majorEastAsia" w:cstheme="majorEastAsia"/>
          <w:b w:val="0"/>
          <w:color w:val="000000"/>
        </w:rPr>
      </w:pPr>
    </w:p>
    <w:p>
      <w:pPr>
        <w:rPr>
          <w:rFonts w:hint="eastAsia" w:asciiTheme="majorEastAsia" w:hAnsiTheme="majorEastAsia" w:eastAsiaTheme="majorEastAsia" w:cstheme="majorEastAsia"/>
          <w:b w:val="0"/>
          <w:color w:val="000000"/>
        </w:rPr>
      </w:pPr>
    </w:p>
    <w:p>
      <w:pPr>
        <w:rPr>
          <w:rFonts w:hint="eastAsia" w:asciiTheme="majorEastAsia" w:hAnsiTheme="majorEastAsia" w:eastAsiaTheme="majorEastAsia" w:cstheme="majorEastAsia"/>
          <w:b w:val="0"/>
          <w:color w:val="000000"/>
        </w:rPr>
      </w:pPr>
    </w:p>
    <w:p>
      <w:pPr>
        <w:rPr>
          <w:rFonts w:hint="eastAsia" w:asciiTheme="majorEastAsia" w:hAnsiTheme="majorEastAsia" w:eastAsiaTheme="majorEastAsia" w:cstheme="majorEastAsia"/>
          <w:b w:val="0"/>
          <w:color w:val="000000"/>
        </w:rPr>
      </w:pPr>
    </w:p>
    <w:p>
      <w:pPr>
        <w:rPr>
          <w:rFonts w:hint="eastAsia" w:asciiTheme="majorEastAsia" w:hAnsiTheme="majorEastAsia" w:eastAsiaTheme="majorEastAsia" w:cstheme="majorEastAsia"/>
          <w:b w:val="0"/>
          <w:color w:val="000000"/>
        </w:rPr>
      </w:pPr>
    </w:p>
    <w:p>
      <w:pPr>
        <w:rPr>
          <w:rFonts w:hint="eastAsia" w:asciiTheme="majorEastAsia" w:hAnsiTheme="majorEastAsia" w:eastAsiaTheme="majorEastAsia" w:cstheme="majorEastAsia"/>
          <w:b w:val="0"/>
          <w:color w:val="000000"/>
        </w:rPr>
      </w:pPr>
    </w:p>
    <w:p>
      <w:pPr>
        <w:rPr>
          <w:rFonts w:hint="eastAsia" w:asciiTheme="majorEastAsia" w:hAnsiTheme="majorEastAsia" w:eastAsiaTheme="majorEastAsia" w:cstheme="majorEastAsia"/>
          <w:b w:val="0"/>
          <w:color w:val="000000"/>
        </w:rPr>
      </w:pPr>
    </w:p>
    <w:p>
      <w:pPr>
        <w:rPr>
          <w:rFonts w:hint="eastAsia" w:asciiTheme="majorEastAsia" w:hAnsiTheme="majorEastAsia" w:eastAsiaTheme="majorEastAsia" w:cstheme="majorEastAsia"/>
          <w:b w:val="0"/>
          <w:color w:val="000000"/>
        </w:rPr>
      </w:pPr>
    </w:p>
    <w:p>
      <w:pPr>
        <w:rPr>
          <w:rFonts w:hint="eastAsia" w:asciiTheme="majorEastAsia" w:hAnsiTheme="majorEastAsia" w:eastAsiaTheme="majorEastAsia" w:cstheme="majorEastAsia"/>
          <w:b w:val="0"/>
          <w:color w:val="000000"/>
        </w:rPr>
      </w:pPr>
    </w:p>
    <w:p>
      <w:pPr>
        <w:rPr>
          <w:rFonts w:hint="eastAsia" w:asciiTheme="majorEastAsia" w:hAnsiTheme="majorEastAsia" w:eastAsiaTheme="majorEastAsia" w:cstheme="majorEastAsia"/>
          <w:b w:val="0"/>
          <w:color w:val="000000"/>
        </w:rPr>
      </w:pPr>
    </w:p>
    <w:p>
      <w:pPr>
        <w:rPr>
          <w:rFonts w:hint="eastAsia" w:asciiTheme="majorEastAsia" w:hAnsiTheme="majorEastAsia" w:eastAsiaTheme="majorEastAsia" w:cstheme="majorEastAsia"/>
          <w:b w:val="0"/>
          <w:color w:val="000000"/>
        </w:rPr>
      </w:pPr>
    </w:p>
    <w:p>
      <w:pPr>
        <w:rPr>
          <w:rFonts w:hint="eastAsia" w:asciiTheme="majorEastAsia" w:hAnsiTheme="majorEastAsia" w:eastAsiaTheme="majorEastAsia" w:cstheme="majorEastAsia"/>
          <w:b w:val="0"/>
          <w:color w:val="000000"/>
        </w:rPr>
      </w:pPr>
    </w:p>
    <w:p>
      <w:pPr>
        <w:pStyle w:val="2"/>
        <w:ind w:right="440"/>
        <w:jc w:val="both"/>
        <w:rPr>
          <w:rFonts w:hint="eastAsia" w:asciiTheme="majorEastAsia" w:hAnsiTheme="majorEastAsia" w:eastAsiaTheme="majorEastAsia" w:cstheme="majorEastAsia"/>
          <w:b w:val="0"/>
          <w:color w:val="000000"/>
        </w:rPr>
      </w:pPr>
    </w:p>
    <w:p>
      <w:pPr>
        <w:rPr>
          <w:rFonts w:hint="eastAsia" w:asciiTheme="majorEastAsia" w:hAnsiTheme="majorEastAsia" w:eastAsiaTheme="majorEastAsia" w:cstheme="majorEastAsia"/>
          <w:b w:val="0"/>
          <w:color w:val="000000"/>
        </w:rPr>
      </w:pPr>
    </w:p>
    <w:p>
      <w:pPr>
        <w:rPr>
          <w:rFonts w:hint="eastAsia" w:asciiTheme="majorEastAsia" w:hAnsiTheme="majorEastAsia" w:eastAsiaTheme="majorEastAsia" w:cstheme="majorEastAsia"/>
          <w:b w:val="0"/>
          <w:color w:val="000000"/>
        </w:rPr>
      </w:pPr>
    </w:p>
    <w:p>
      <w:pPr>
        <w:pStyle w:val="2"/>
        <w:ind w:right="440"/>
        <w:jc w:val="center"/>
        <w:rPr>
          <w:rStyle w:val="24"/>
          <w:rFonts w:asciiTheme="majorEastAsia" w:hAnsiTheme="majorEastAsia" w:eastAsiaTheme="majorEastAsia" w:cstheme="majorEastAsia"/>
          <w:b/>
          <w:bCs w:val="0"/>
        </w:rPr>
      </w:pPr>
      <w:r>
        <w:rPr>
          <w:rFonts w:hint="eastAsia" w:asciiTheme="majorEastAsia" w:hAnsiTheme="majorEastAsia" w:eastAsiaTheme="majorEastAsia" w:cstheme="majorEastAsia"/>
          <w:b/>
          <w:bCs w:val="0"/>
          <w:color w:val="000000"/>
        </w:rPr>
        <w:t>第二部分</w:t>
      </w:r>
      <w:r>
        <w:rPr>
          <w:rFonts w:hint="eastAsia" w:asciiTheme="majorEastAsia" w:hAnsiTheme="majorEastAsia" w:eastAsiaTheme="majorEastAsia" w:cstheme="majorEastAsia"/>
          <w:b/>
          <w:bCs w:val="0"/>
          <w:color w:val="000000"/>
          <w:lang w:val="en-US" w:eastAsia="zh-CN"/>
        </w:rPr>
        <w:t xml:space="preserve"> </w:t>
      </w:r>
      <w:r>
        <w:rPr>
          <w:rStyle w:val="24"/>
          <w:rFonts w:hint="eastAsia" w:asciiTheme="majorEastAsia" w:hAnsiTheme="majorEastAsia" w:eastAsiaTheme="majorEastAsia" w:cstheme="majorEastAsia"/>
          <w:b/>
          <w:bCs w:val="0"/>
        </w:rPr>
        <w:t>2019年度部门决算情况说明</w:t>
      </w:r>
      <w:bookmarkEnd w:id="18"/>
      <w:bookmarkEnd w:id="19"/>
    </w:p>
    <w:p>
      <w:pPr>
        <w:rPr>
          <w:rFonts w:asciiTheme="majorEastAsia" w:hAnsiTheme="majorEastAsia" w:eastAsiaTheme="majorEastAsia" w:cstheme="majorEastAsia"/>
        </w:rPr>
      </w:pPr>
    </w:p>
    <w:p>
      <w:pPr>
        <w:pStyle w:val="23"/>
        <w:numPr>
          <w:ilvl w:val="0"/>
          <w:numId w:val="1"/>
        </w:numPr>
        <w:spacing w:line="600" w:lineRule="exact"/>
        <w:ind w:firstLineChars="0"/>
        <w:outlineLvl w:val="1"/>
        <w:rPr>
          <w:rStyle w:val="25"/>
          <w:rFonts w:asciiTheme="majorEastAsia" w:hAnsiTheme="majorEastAsia" w:cstheme="majorEastAsia"/>
          <w:b w:val="0"/>
        </w:rPr>
      </w:pPr>
      <w:bookmarkStart w:id="20" w:name="_Toc15396603"/>
      <w:bookmarkStart w:id="21" w:name="_Toc15377205"/>
      <w:r>
        <w:rPr>
          <w:rFonts w:hint="eastAsia" w:asciiTheme="majorEastAsia" w:hAnsiTheme="majorEastAsia" w:eastAsiaTheme="majorEastAsia" w:cstheme="majorEastAsia"/>
          <w:color w:val="000000"/>
          <w:sz w:val="32"/>
          <w:szCs w:val="32"/>
        </w:rPr>
        <w:t>收</w:t>
      </w:r>
      <w:r>
        <w:rPr>
          <w:rStyle w:val="25"/>
          <w:rFonts w:hint="eastAsia" w:asciiTheme="majorEastAsia" w:hAnsiTheme="majorEastAsia" w:cstheme="majorEastAsia"/>
          <w:b w:val="0"/>
        </w:rPr>
        <w:t>入支出决算总体情况说明</w:t>
      </w:r>
      <w:bookmarkEnd w:id="20"/>
      <w:bookmarkEnd w:id="21"/>
    </w:p>
    <w:p>
      <w:pPr>
        <w:spacing w:line="600" w:lineRule="exact"/>
        <w:ind w:firstLine="640" w:firstLineChars="200"/>
        <w:rPr>
          <w:rFonts w:asciiTheme="majorEastAsia" w:hAnsiTheme="majorEastAsia" w:eastAsiaTheme="majorEastAsia" w:cstheme="majorEastAsia"/>
          <w:kern w:val="0"/>
          <w:sz w:val="32"/>
          <w:szCs w:val="32"/>
        </w:rPr>
      </w:pPr>
      <w:r>
        <w:rPr>
          <w:rFonts w:hint="eastAsia" w:asciiTheme="majorEastAsia" w:hAnsiTheme="majorEastAsia" w:eastAsiaTheme="majorEastAsia" w:cstheme="majorEastAsia"/>
          <w:color w:val="000000"/>
          <w:sz w:val="32"/>
          <w:szCs w:val="32"/>
        </w:rPr>
        <w:t>2</w:t>
      </w:r>
      <w:r>
        <w:rPr>
          <w:rFonts w:hint="eastAsia" w:asciiTheme="majorEastAsia" w:hAnsiTheme="majorEastAsia" w:eastAsiaTheme="majorEastAsia" w:cstheme="majorEastAsia"/>
          <w:kern w:val="0"/>
          <w:sz w:val="32"/>
          <w:szCs w:val="32"/>
        </w:rPr>
        <w:t>019年度收、支总计</w:t>
      </w:r>
      <w:r>
        <w:rPr>
          <w:rFonts w:hint="eastAsia" w:asciiTheme="majorEastAsia" w:hAnsiTheme="majorEastAsia" w:eastAsiaTheme="majorEastAsia" w:cstheme="majorEastAsia"/>
          <w:kern w:val="0"/>
          <w:sz w:val="32"/>
          <w:szCs w:val="32"/>
          <w:lang w:val="en-US" w:eastAsia="zh-CN"/>
        </w:rPr>
        <w:t>932.48</w:t>
      </w:r>
      <w:r>
        <w:rPr>
          <w:rFonts w:hint="eastAsia" w:asciiTheme="majorEastAsia" w:hAnsiTheme="majorEastAsia" w:eastAsiaTheme="majorEastAsia" w:cstheme="majorEastAsia"/>
          <w:kern w:val="0"/>
          <w:sz w:val="32"/>
          <w:szCs w:val="32"/>
        </w:rPr>
        <w:t>万元。与2018年相比，收、支总计各增加</w:t>
      </w:r>
      <w:r>
        <w:rPr>
          <w:rFonts w:hint="eastAsia" w:asciiTheme="majorEastAsia" w:hAnsiTheme="majorEastAsia" w:eastAsiaTheme="majorEastAsia" w:cstheme="majorEastAsia"/>
          <w:kern w:val="0"/>
          <w:sz w:val="32"/>
          <w:szCs w:val="32"/>
          <w:lang w:val="en-US" w:eastAsia="zh-CN"/>
        </w:rPr>
        <w:t>216.95</w:t>
      </w:r>
      <w:r>
        <w:rPr>
          <w:rFonts w:hint="eastAsia" w:asciiTheme="majorEastAsia" w:hAnsiTheme="majorEastAsia" w:eastAsiaTheme="majorEastAsia" w:cstheme="majorEastAsia"/>
          <w:kern w:val="0"/>
          <w:sz w:val="32"/>
          <w:szCs w:val="32"/>
        </w:rPr>
        <w:t>万元，增长</w:t>
      </w:r>
      <w:r>
        <w:rPr>
          <w:rFonts w:hint="eastAsia" w:asciiTheme="majorEastAsia" w:hAnsiTheme="majorEastAsia" w:eastAsiaTheme="majorEastAsia" w:cstheme="majorEastAsia"/>
          <w:kern w:val="0"/>
          <w:sz w:val="32"/>
          <w:szCs w:val="32"/>
          <w:lang w:val="en-US" w:eastAsia="zh-CN"/>
        </w:rPr>
        <w:t>30.32</w:t>
      </w:r>
      <w:r>
        <w:rPr>
          <w:rFonts w:hint="eastAsia" w:asciiTheme="majorEastAsia" w:hAnsiTheme="majorEastAsia" w:eastAsiaTheme="majorEastAsia" w:cstheme="majorEastAsia"/>
          <w:kern w:val="0"/>
          <w:sz w:val="32"/>
          <w:szCs w:val="32"/>
        </w:rPr>
        <w:t>%。主要变动原因是我中心2019年医疗收入</w:t>
      </w:r>
      <w:r>
        <w:rPr>
          <w:rFonts w:hint="eastAsia" w:asciiTheme="majorEastAsia" w:hAnsiTheme="majorEastAsia" w:eastAsiaTheme="majorEastAsia" w:cstheme="majorEastAsia"/>
          <w:kern w:val="0"/>
          <w:sz w:val="32"/>
          <w:szCs w:val="32"/>
          <w:lang w:eastAsia="zh-CN"/>
        </w:rPr>
        <w:t>增长</w:t>
      </w:r>
      <w:r>
        <w:rPr>
          <w:rFonts w:hint="eastAsia" w:asciiTheme="majorEastAsia" w:hAnsiTheme="majorEastAsia" w:eastAsiaTheme="majorEastAsia" w:cstheme="majorEastAsia"/>
          <w:kern w:val="0"/>
          <w:sz w:val="32"/>
          <w:szCs w:val="32"/>
        </w:rPr>
        <w:t>和</w:t>
      </w:r>
      <w:r>
        <w:rPr>
          <w:rFonts w:hint="eastAsia" w:asciiTheme="majorEastAsia" w:hAnsiTheme="majorEastAsia" w:eastAsiaTheme="majorEastAsia" w:cstheme="majorEastAsia"/>
          <w:kern w:val="0"/>
          <w:sz w:val="32"/>
          <w:szCs w:val="32"/>
          <w:lang w:eastAsia="zh-CN"/>
        </w:rPr>
        <w:t>财政拨款经费</w:t>
      </w:r>
      <w:r>
        <w:rPr>
          <w:rFonts w:hint="eastAsia" w:asciiTheme="majorEastAsia" w:hAnsiTheme="majorEastAsia" w:eastAsiaTheme="majorEastAsia" w:cstheme="majorEastAsia"/>
          <w:kern w:val="0"/>
          <w:sz w:val="32"/>
          <w:szCs w:val="32"/>
        </w:rPr>
        <w:t>增加。</w:t>
      </w:r>
    </w:p>
    <w:p>
      <w:pPr>
        <w:adjustRightInd w:val="0"/>
        <w:snapToGrid w:val="0"/>
        <w:spacing w:line="360" w:lineRule="auto"/>
        <w:ind w:firstLine="640" w:firstLineChars="200"/>
        <w:rPr>
          <w:rFonts w:asciiTheme="majorEastAsia" w:hAnsiTheme="majorEastAsia" w:eastAsiaTheme="majorEastAsia" w:cstheme="majorEastAsia"/>
          <w:color w:val="000000" w:themeColor="text1"/>
          <w:sz w:val="32"/>
          <w:szCs w:val="32"/>
          <w14:textFill>
            <w14:solidFill>
              <w14:schemeClr w14:val="tx1"/>
            </w14:solidFill>
          </w14:textFill>
        </w:rPr>
      </w:pPr>
      <w:r>
        <w:rPr>
          <w:rFonts w:asciiTheme="majorEastAsia" w:hAnsiTheme="majorEastAsia" w:eastAsiaTheme="majorEastAsia" w:cstheme="majorEastAsia"/>
          <w:color w:val="000000" w:themeColor="text1"/>
          <w:sz w:val="32"/>
          <w:szCs w:val="32"/>
          <w14:textFill>
            <w14:solidFill>
              <w14:schemeClr w14:val="tx1"/>
            </w14:solidFill>
          </w14:textFill>
        </w:rPr>
        <w:drawing>
          <wp:inline distT="0" distB="0" distL="0" distR="0">
            <wp:extent cx="4895850" cy="3076575"/>
            <wp:effectExtent l="5080" t="4445" r="1397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Theme="majorEastAsia" w:hAnsiTheme="majorEastAsia" w:eastAsiaTheme="majorEastAsia" w:cstheme="majorEastAsia"/>
          <w:color w:val="000000"/>
          <w:sz w:val="32"/>
          <w:szCs w:val="32"/>
        </w:rPr>
      </w:pPr>
      <w:r>
        <w:rPr>
          <w:rFonts w:hint="eastAsia" w:asciiTheme="majorEastAsia" w:hAnsiTheme="majorEastAsia" w:eastAsiaTheme="majorEastAsia" w:cstheme="majorEastAsia"/>
          <w:color w:val="000000" w:themeColor="text1"/>
          <w:sz w:val="32"/>
          <w:szCs w:val="32"/>
          <w14:textFill>
            <w14:solidFill>
              <w14:schemeClr w14:val="tx1"/>
            </w14:solidFill>
          </w14:textFill>
        </w:rPr>
        <w:t>（</w:t>
      </w:r>
      <w:r>
        <w:rPr>
          <w:rFonts w:hint="eastAsia" w:asciiTheme="majorEastAsia" w:hAnsiTheme="majorEastAsia" w:eastAsiaTheme="majorEastAsia" w:cstheme="majorEastAsia"/>
          <w:kern w:val="0"/>
          <w:sz w:val="32"/>
          <w:szCs w:val="32"/>
        </w:rPr>
        <w:t>图1：收、支决算总计变动情况图   单位：万元）</w:t>
      </w:r>
    </w:p>
    <w:p>
      <w:pPr>
        <w:pStyle w:val="23"/>
        <w:numPr>
          <w:ilvl w:val="0"/>
          <w:numId w:val="1"/>
        </w:numPr>
        <w:spacing w:line="600" w:lineRule="exact"/>
        <w:ind w:firstLineChars="0"/>
        <w:outlineLvl w:val="1"/>
        <w:rPr>
          <w:rStyle w:val="25"/>
          <w:rFonts w:asciiTheme="majorEastAsia" w:hAnsiTheme="majorEastAsia" w:cstheme="majorEastAsia"/>
          <w:b w:val="0"/>
        </w:rPr>
      </w:pPr>
      <w:bookmarkStart w:id="22" w:name="_Toc15396604"/>
      <w:bookmarkStart w:id="23" w:name="_Toc15377206"/>
      <w:r>
        <w:rPr>
          <w:rFonts w:hint="eastAsia" w:asciiTheme="majorEastAsia" w:hAnsiTheme="majorEastAsia" w:eastAsiaTheme="majorEastAsia" w:cstheme="majorEastAsia"/>
          <w:color w:val="000000"/>
          <w:sz w:val="32"/>
          <w:szCs w:val="32"/>
        </w:rPr>
        <w:t>收</w:t>
      </w:r>
      <w:r>
        <w:rPr>
          <w:rStyle w:val="25"/>
          <w:rFonts w:hint="eastAsia" w:asciiTheme="majorEastAsia" w:hAnsiTheme="majorEastAsia" w:cstheme="majorEastAsia"/>
          <w:b w:val="0"/>
        </w:rPr>
        <w:t>入决算情况说明</w:t>
      </w:r>
      <w:bookmarkEnd w:id="22"/>
      <w:bookmarkEnd w:id="23"/>
    </w:p>
    <w:p>
      <w:pPr>
        <w:spacing w:line="600" w:lineRule="exact"/>
        <w:ind w:firstLine="640" w:firstLineChars="200"/>
        <w:rPr>
          <w:rFonts w:hint="eastAsia" w:asciiTheme="majorEastAsia" w:hAnsiTheme="majorEastAsia" w:eastAsiaTheme="majorEastAsia" w:cstheme="majorEastAsia"/>
          <w:kern w:val="0"/>
          <w:sz w:val="32"/>
          <w:szCs w:val="32"/>
          <w:lang w:val="en-US" w:eastAsia="zh-CN"/>
        </w:rPr>
      </w:pPr>
      <w:r>
        <w:rPr>
          <w:rFonts w:hint="eastAsia" w:asciiTheme="majorEastAsia" w:hAnsiTheme="majorEastAsia" w:eastAsiaTheme="majorEastAsia" w:cstheme="majorEastAsia"/>
          <w:kern w:val="0"/>
          <w:sz w:val="32"/>
          <w:szCs w:val="32"/>
        </w:rPr>
        <w:t>2019年本年收入合计</w:t>
      </w:r>
      <w:r>
        <w:rPr>
          <w:rFonts w:hint="eastAsia" w:asciiTheme="majorEastAsia" w:hAnsiTheme="majorEastAsia" w:eastAsiaTheme="majorEastAsia" w:cstheme="majorEastAsia"/>
          <w:kern w:val="0"/>
          <w:sz w:val="32"/>
          <w:szCs w:val="32"/>
          <w:lang w:val="en-US" w:eastAsia="zh-CN"/>
        </w:rPr>
        <w:t>862.66</w:t>
      </w:r>
      <w:r>
        <w:rPr>
          <w:rFonts w:hint="eastAsia" w:asciiTheme="majorEastAsia" w:hAnsiTheme="majorEastAsia" w:eastAsiaTheme="majorEastAsia" w:cstheme="majorEastAsia"/>
          <w:kern w:val="0"/>
          <w:sz w:val="32"/>
          <w:szCs w:val="32"/>
        </w:rPr>
        <w:t>万元，其中：一般公共预算财政拨款收入</w:t>
      </w:r>
      <w:r>
        <w:rPr>
          <w:rFonts w:hint="eastAsia" w:asciiTheme="majorEastAsia" w:hAnsiTheme="majorEastAsia" w:eastAsiaTheme="majorEastAsia" w:cstheme="majorEastAsia"/>
          <w:kern w:val="0"/>
          <w:sz w:val="32"/>
          <w:szCs w:val="32"/>
          <w:lang w:val="en-US" w:eastAsia="zh-CN"/>
        </w:rPr>
        <w:t>307.61</w:t>
      </w:r>
      <w:r>
        <w:rPr>
          <w:rFonts w:hint="eastAsia" w:asciiTheme="majorEastAsia" w:hAnsiTheme="majorEastAsia" w:eastAsiaTheme="majorEastAsia" w:cstheme="majorEastAsia"/>
          <w:kern w:val="0"/>
          <w:sz w:val="32"/>
          <w:szCs w:val="32"/>
        </w:rPr>
        <w:t>万元，占</w:t>
      </w:r>
      <w:r>
        <w:rPr>
          <w:rFonts w:hint="eastAsia" w:asciiTheme="majorEastAsia" w:hAnsiTheme="majorEastAsia" w:eastAsiaTheme="majorEastAsia" w:cstheme="majorEastAsia"/>
          <w:kern w:val="0"/>
          <w:sz w:val="32"/>
          <w:szCs w:val="32"/>
          <w:lang w:val="en-US" w:eastAsia="zh-CN"/>
        </w:rPr>
        <w:t>35.66</w:t>
      </w:r>
      <w:r>
        <w:rPr>
          <w:rFonts w:hint="eastAsia" w:asciiTheme="majorEastAsia" w:hAnsiTheme="majorEastAsia" w:eastAsiaTheme="majorEastAsia" w:cstheme="majorEastAsia"/>
          <w:kern w:val="0"/>
          <w:sz w:val="32"/>
          <w:szCs w:val="32"/>
        </w:rPr>
        <w:t>%；事业收入</w:t>
      </w:r>
      <w:r>
        <w:rPr>
          <w:rFonts w:hint="eastAsia" w:asciiTheme="majorEastAsia" w:hAnsiTheme="majorEastAsia" w:eastAsiaTheme="majorEastAsia" w:cstheme="majorEastAsia"/>
          <w:kern w:val="0"/>
          <w:sz w:val="32"/>
          <w:szCs w:val="32"/>
          <w:lang w:val="en-US" w:eastAsia="zh-CN"/>
        </w:rPr>
        <w:t>555.05</w:t>
      </w:r>
      <w:r>
        <w:rPr>
          <w:rFonts w:hint="eastAsia" w:asciiTheme="majorEastAsia" w:hAnsiTheme="majorEastAsia" w:eastAsiaTheme="majorEastAsia" w:cstheme="majorEastAsia"/>
          <w:kern w:val="0"/>
          <w:sz w:val="32"/>
          <w:szCs w:val="32"/>
        </w:rPr>
        <w:t>万元，占</w:t>
      </w:r>
      <w:r>
        <w:rPr>
          <w:rFonts w:hint="eastAsia" w:asciiTheme="majorEastAsia" w:hAnsiTheme="majorEastAsia" w:eastAsiaTheme="majorEastAsia" w:cstheme="majorEastAsia"/>
          <w:kern w:val="0"/>
          <w:sz w:val="32"/>
          <w:szCs w:val="32"/>
          <w:lang w:val="en-US" w:eastAsia="zh-CN"/>
        </w:rPr>
        <w:t>64.34%。</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164965" cy="2905760"/>
            <wp:effectExtent l="4445" t="4445" r="21590" b="234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（图2：收入决算结构图   单位：万元）</w:t>
      </w:r>
    </w:p>
    <w:p>
      <w:pPr>
        <w:pStyle w:val="23"/>
        <w:numPr>
          <w:ilvl w:val="0"/>
          <w:numId w:val="1"/>
        </w:numPr>
        <w:spacing w:line="600" w:lineRule="exact"/>
        <w:ind w:firstLineChars="0"/>
        <w:outlineLvl w:val="1"/>
        <w:rPr>
          <w:rStyle w:val="25"/>
          <w:rFonts w:asciiTheme="majorEastAsia" w:hAnsiTheme="majorEastAsia" w:cstheme="majorEastAsia"/>
          <w:b w:val="0"/>
        </w:rPr>
      </w:pPr>
      <w:bookmarkStart w:id="24" w:name="_Toc15396605"/>
      <w:bookmarkStart w:id="25" w:name="_Toc15377207"/>
      <w:r>
        <w:rPr>
          <w:rFonts w:hint="eastAsia" w:asciiTheme="majorEastAsia" w:hAnsiTheme="majorEastAsia" w:eastAsiaTheme="majorEastAsia" w:cstheme="majorEastAsia"/>
          <w:color w:val="000000"/>
          <w:sz w:val="32"/>
          <w:szCs w:val="32"/>
        </w:rPr>
        <w:t>支</w:t>
      </w:r>
      <w:r>
        <w:rPr>
          <w:rStyle w:val="25"/>
          <w:rFonts w:hint="eastAsia" w:asciiTheme="majorEastAsia" w:hAnsiTheme="majorEastAsia" w:cstheme="majorEastAsia"/>
          <w:b w:val="0"/>
        </w:rPr>
        <w:t>出决算情况说明</w:t>
      </w:r>
      <w:bookmarkEnd w:id="24"/>
      <w:bookmarkEnd w:id="25"/>
    </w:p>
    <w:p>
      <w:pPr>
        <w:spacing w:line="600" w:lineRule="exact"/>
        <w:ind w:firstLine="640" w:firstLineChars="200"/>
        <w:rPr>
          <w:rFonts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2019年本年支出合计</w:t>
      </w:r>
      <w:r>
        <w:rPr>
          <w:rFonts w:hint="eastAsia" w:asciiTheme="majorEastAsia" w:hAnsiTheme="majorEastAsia" w:eastAsiaTheme="majorEastAsia" w:cstheme="majorEastAsia"/>
          <w:kern w:val="0"/>
          <w:sz w:val="32"/>
          <w:szCs w:val="32"/>
          <w:lang w:val="en-US" w:eastAsia="zh-CN"/>
        </w:rPr>
        <w:t>802.79</w:t>
      </w:r>
      <w:r>
        <w:rPr>
          <w:rFonts w:hint="eastAsia" w:asciiTheme="majorEastAsia" w:hAnsiTheme="majorEastAsia" w:eastAsiaTheme="majorEastAsia" w:cstheme="majorEastAsia"/>
          <w:kern w:val="0"/>
          <w:sz w:val="32"/>
          <w:szCs w:val="32"/>
        </w:rPr>
        <w:t>万元，其中：基本支出</w:t>
      </w:r>
      <w:r>
        <w:rPr>
          <w:rFonts w:hint="eastAsia" w:asciiTheme="majorEastAsia" w:hAnsiTheme="majorEastAsia" w:eastAsiaTheme="majorEastAsia" w:cstheme="majorEastAsia"/>
          <w:kern w:val="0"/>
          <w:sz w:val="32"/>
          <w:szCs w:val="32"/>
          <w:lang w:val="en-US" w:eastAsia="zh-CN"/>
        </w:rPr>
        <w:t>706.62</w:t>
      </w:r>
      <w:r>
        <w:rPr>
          <w:rFonts w:hint="eastAsia" w:asciiTheme="majorEastAsia" w:hAnsiTheme="majorEastAsia" w:eastAsiaTheme="majorEastAsia" w:cstheme="majorEastAsia"/>
          <w:kern w:val="0"/>
          <w:sz w:val="32"/>
          <w:szCs w:val="32"/>
        </w:rPr>
        <w:t>万元，占</w:t>
      </w:r>
      <w:r>
        <w:rPr>
          <w:rFonts w:hint="eastAsia" w:asciiTheme="majorEastAsia" w:hAnsiTheme="majorEastAsia" w:eastAsiaTheme="majorEastAsia" w:cstheme="majorEastAsia"/>
          <w:kern w:val="0"/>
          <w:sz w:val="32"/>
          <w:szCs w:val="32"/>
          <w:lang w:val="en-US" w:eastAsia="zh-CN"/>
        </w:rPr>
        <w:t>88.02</w:t>
      </w:r>
      <w:r>
        <w:rPr>
          <w:rFonts w:hint="eastAsia" w:asciiTheme="majorEastAsia" w:hAnsiTheme="majorEastAsia" w:eastAsiaTheme="majorEastAsia" w:cstheme="majorEastAsia"/>
          <w:kern w:val="0"/>
          <w:sz w:val="32"/>
          <w:szCs w:val="32"/>
        </w:rPr>
        <w:t>%；项目支出</w:t>
      </w:r>
      <w:r>
        <w:rPr>
          <w:rFonts w:hint="eastAsia" w:asciiTheme="majorEastAsia" w:hAnsiTheme="majorEastAsia" w:eastAsiaTheme="majorEastAsia" w:cstheme="majorEastAsia"/>
          <w:kern w:val="0"/>
          <w:sz w:val="32"/>
          <w:szCs w:val="32"/>
          <w:lang w:val="en-US" w:eastAsia="zh-CN"/>
        </w:rPr>
        <w:t>96.17</w:t>
      </w:r>
      <w:r>
        <w:rPr>
          <w:rFonts w:hint="eastAsia" w:asciiTheme="majorEastAsia" w:hAnsiTheme="majorEastAsia" w:eastAsiaTheme="majorEastAsia" w:cstheme="majorEastAsia"/>
          <w:kern w:val="0"/>
          <w:sz w:val="32"/>
          <w:szCs w:val="32"/>
        </w:rPr>
        <w:t>万元，占</w:t>
      </w:r>
      <w:r>
        <w:rPr>
          <w:rFonts w:hint="eastAsia" w:asciiTheme="majorEastAsia" w:hAnsiTheme="majorEastAsia" w:eastAsiaTheme="majorEastAsia" w:cstheme="majorEastAsia"/>
          <w:kern w:val="0"/>
          <w:sz w:val="32"/>
          <w:szCs w:val="32"/>
          <w:lang w:val="en-US" w:eastAsia="zh-CN"/>
        </w:rPr>
        <w:t>11.98</w:t>
      </w:r>
      <w:r>
        <w:rPr>
          <w:rFonts w:hint="eastAsia" w:asciiTheme="majorEastAsia" w:hAnsiTheme="majorEastAsia" w:eastAsiaTheme="majorEastAsia" w:cstheme="majorEastAsia"/>
          <w:kern w:val="0"/>
          <w:sz w:val="32"/>
          <w:szCs w:val="32"/>
        </w:rPr>
        <w:t>%。</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222115" cy="3105150"/>
            <wp:effectExtent l="4445" t="4445" r="21590"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Theme="majorEastAsia" w:hAnsiTheme="majorEastAsia" w:eastAsiaTheme="majorEastAsia" w:cstheme="majorEastAsia"/>
          <w:color w:val="FF0000"/>
          <w:sz w:val="32"/>
          <w:szCs w:val="32"/>
        </w:rPr>
      </w:pPr>
      <w:r>
        <w:rPr>
          <w:rFonts w:hint="eastAsia" w:asciiTheme="majorEastAsia" w:hAnsiTheme="majorEastAsia" w:eastAsiaTheme="majorEastAsia" w:cstheme="majorEastAsia"/>
          <w:kern w:val="0"/>
          <w:sz w:val="32"/>
          <w:szCs w:val="32"/>
        </w:rPr>
        <w:t>（图3：支出决算结构图    单位：万元）</w:t>
      </w:r>
    </w:p>
    <w:p>
      <w:pPr>
        <w:spacing w:line="600" w:lineRule="exact"/>
        <w:ind w:firstLine="640" w:firstLineChars="200"/>
        <w:outlineLvl w:val="1"/>
        <w:rPr>
          <w:rStyle w:val="25"/>
          <w:rFonts w:asciiTheme="majorEastAsia" w:hAnsiTheme="majorEastAsia" w:cstheme="majorEastAsia"/>
          <w:b w:val="0"/>
        </w:rPr>
      </w:pPr>
      <w:bookmarkStart w:id="26" w:name="_Toc15377208"/>
      <w:bookmarkStart w:id="27" w:name="_Toc15396606"/>
      <w:r>
        <w:rPr>
          <w:rFonts w:hint="eastAsia" w:asciiTheme="majorEastAsia" w:hAnsiTheme="majorEastAsia" w:eastAsiaTheme="majorEastAsia" w:cstheme="majorEastAsia"/>
          <w:color w:val="000000"/>
          <w:sz w:val="32"/>
          <w:szCs w:val="32"/>
        </w:rPr>
        <w:t>四、财</w:t>
      </w:r>
      <w:r>
        <w:rPr>
          <w:rStyle w:val="25"/>
          <w:rFonts w:hint="eastAsia" w:asciiTheme="majorEastAsia" w:hAnsiTheme="majorEastAsia" w:cstheme="majorEastAsia"/>
          <w:b w:val="0"/>
        </w:rPr>
        <w:t>政拨款收入支出决算总体情况说明</w:t>
      </w:r>
      <w:bookmarkEnd w:id="26"/>
      <w:bookmarkEnd w:id="27"/>
    </w:p>
    <w:p>
      <w:pPr>
        <w:spacing w:line="600" w:lineRule="exact"/>
        <w:ind w:firstLine="640" w:firstLineChars="200"/>
        <w:rPr>
          <w:rFonts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2019年财政拨款收、支总计</w:t>
      </w:r>
      <w:r>
        <w:rPr>
          <w:rFonts w:hint="eastAsia" w:asciiTheme="majorEastAsia" w:hAnsiTheme="majorEastAsia" w:eastAsiaTheme="majorEastAsia" w:cstheme="majorEastAsia"/>
          <w:kern w:val="0"/>
          <w:sz w:val="32"/>
          <w:szCs w:val="32"/>
          <w:lang w:val="en-US" w:eastAsia="zh-CN"/>
        </w:rPr>
        <w:t>377.43</w:t>
      </w:r>
      <w:r>
        <w:rPr>
          <w:rFonts w:hint="eastAsia" w:asciiTheme="majorEastAsia" w:hAnsiTheme="majorEastAsia" w:eastAsiaTheme="majorEastAsia" w:cstheme="majorEastAsia"/>
          <w:kern w:val="0"/>
          <w:sz w:val="32"/>
          <w:szCs w:val="32"/>
        </w:rPr>
        <w:t>万元。与2018年相比，财政拨款收、支总计各增加</w:t>
      </w:r>
      <w:r>
        <w:rPr>
          <w:rFonts w:hint="eastAsia" w:asciiTheme="majorEastAsia" w:hAnsiTheme="majorEastAsia" w:eastAsiaTheme="majorEastAsia" w:cstheme="majorEastAsia"/>
          <w:kern w:val="0"/>
          <w:sz w:val="32"/>
          <w:szCs w:val="32"/>
          <w:lang w:val="en-US" w:eastAsia="zh-CN"/>
        </w:rPr>
        <w:t>68.66</w:t>
      </w:r>
      <w:r>
        <w:rPr>
          <w:rFonts w:hint="eastAsia" w:asciiTheme="majorEastAsia" w:hAnsiTheme="majorEastAsia" w:eastAsiaTheme="majorEastAsia" w:cstheme="majorEastAsia"/>
          <w:kern w:val="0"/>
          <w:sz w:val="32"/>
          <w:szCs w:val="32"/>
        </w:rPr>
        <w:t>万元，增长</w:t>
      </w:r>
      <w:r>
        <w:rPr>
          <w:rFonts w:hint="eastAsia" w:asciiTheme="majorEastAsia" w:hAnsiTheme="majorEastAsia" w:eastAsiaTheme="majorEastAsia" w:cstheme="majorEastAsia"/>
          <w:kern w:val="0"/>
          <w:sz w:val="32"/>
          <w:szCs w:val="32"/>
          <w:lang w:val="en-US" w:eastAsia="zh-CN"/>
        </w:rPr>
        <w:t>22.24</w:t>
      </w:r>
      <w:r>
        <w:rPr>
          <w:rFonts w:hint="eastAsia" w:asciiTheme="majorEastAsia" w:hAnsiTheme="majorEastAsia" w:eastAsiaTheme="majorEastAsia" w:cstheme="majorEastAsia"/>
          <w:kern w:val="0"/>
          <w:sz w:val="32"/>
          <w:szCs w:val="32"/>
        </w:rPr>
        <w:t>%。主要变动原因是我中</w:t>
      </w:r>
      <w:r>
        <w:rPr>
          <w:rFonts w:hint="eastAsia" w:asciiTheme="majorEastAsia" w:hAnsiTheme="majorEastAsia" w:eastAsiaTheme="majorEastAsia" w:cstheme="majorEastAsia"/>
          <w:kern w:val="0"/>
          <w:sz w:val="32"/>
          <w:szCs w:val="32"/>
          <w:lang w:eastAsia="zh-CN"/>
        </w:rPr>
        <w:t>心在编人员增加和</w:t>
      </w:r>
      <w:r>
        <w:rPr>
          <w:rFonts w:hint="eastAsia" w:asciiTheme="majorEastAsia" w:hAnsiTheme="majorEastAsia" w:eastAsiaTheme="majorEastAsia" w:cstheme="majorEastAsia"/>
          <w:kern w:val="0"/>
          <w:sz w:val="32"/>
          <w:szCs w:val="32"/>
        </w:rPr>
        <w:t>辖区</w:t>
      </w:r>
      <w:r>
        <w:rPr>
          <w:rFonts w:hint="eastAsia" w:asciiTheme="majorEastAsia" w:hAnsiTheme="majorEastAsia" w:eastAsiaTheme="majorEastAsia" w:cstheme="majorEastAsia"/>
          <w:kern w:val="0"/>
          <w:sz w:val="32"/>
          <w:szCs w:val="32"/>
          <w:lang w:eastAsia="zh-CN"/>
        </w:rPr>
        <w:t>公卫</w:t>
      </w:r>
      <w:r>
        <w:rPr>
          <w:rFonts w:hint="eastAsia" w:asciiTheme="majorEastAsia" w:hAnsiTheme="majorEastAsia" w:eastAsiaTheme="majorEastAsia" w:cstheme="majorEastAsia"/>
          <w:kern w:val="0"/>
          <w:sz w:val="32"/>
          <w:szCs w:val="32"/>
        </w:rPr>
        <w:t>服务人口数增加。</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299585" cy="3009900"/>
            <wp:effectExtent l="4445" t="4445" r="20320"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（图4：财政拨款收、支决算总计变动情况  单位：万元）</w:t>
      </w:r>
    </w:p>
    <w:p>
      <w:pPr>
        <w:spacing w:line="600" w:lineRule="exact"/>
        <w:ind w:firstLine="640" w:firstLineChars="200"/>
        <w:outlineLvl w:val="1"/>
        <w:rPr>
          <w:rStyle w:val="25"/>
          <w:rFonts w:asciiTheme="majorEastAsia" w:hAnsiTheme="majorEastAsia" w:cstheme="majorEastAsia"/>
          <w:b w:val="0"/>
        </w:rPr>
      </w:pPr>
      <w:bookmarkStart w:id="28" w:name="_Toc15396607"/>
      <w:bookmarkStart w:id="29" w:name="_Toc15377209"/>
      <w:r>
        <w:rPr>
          <w:rFonts w:hint="eastAsia" w:asciiTheme="majorEastAsia" w:hAnsiTheme="majorEastAsia" w:eastAsiaTheme="majorEastAsia" w:cstheme="majorEastAsia"/>
          <w:color w:val="000000"/>
          <w:sz w:val="32"/>
          <w:szCs w:val="32"/>
        </w:rPr>
        <w:t>五、</w:t>
      </w:r>
      <w:r>
        <w:rPr>
          <w:rFonts w:hint="eastAsia" w:asciiTheme="majorEastAsia" w:hAnsiTheme="majorEastAsia" w:eastAsiaTheme="majorEastAsia" w:cstheme="majorEastAsia"/>
          <w:b/>
          <w:color w:val="000000"/>
          <w:sz w:val="32"/>
          <w:szCs w:val="32"/>
        </w:rPr>
        <w:t>一</w:t>
      </w:r>
      <w:r>
        <w:rPr>
          <w:rStyle w:val="25"/>
          <w:rFonts w:hint="eastAsia" w:asciiTheme="majorEastAsia" w:hAnsiTheme="majorEastAsia" w:cstheme="majorEastAsia"/>
          <w:b w:val="0"/>
        </w:rPr>
        <w:t>般公共预算财政拨款支出决算情况说明</w:t>
      </w:r>
      <w:bookmarkEnd w:id="28"/>
      <w:bookmarkEnd w:id="29"/>
    </w:p>
    <w:p>
      <w:pPr>
        <w:spacing w:line="600" w:lineRule="exact"/>
        <w:ind w:firstLine="643" w:firstLineChars="200"/>
        <w:outlineLvl w:val="2"/>
        <w:rPr>
          <w:rFonts w:asciiTheme="majorEastAsia" w:hAnsiTheme="majorEastAsia" w:eastAsiaTheme="majorEastAsia" w:cstheme="majorEastAsia"/>
          <w:b/>
          <w:color w:val="000000"/>
          <w:sz w:val="32"/>
          <w:szCs w:val="32"/>
        </w:rPr>
      </w:pPr>
      <w:bookmarkStart w:id="30" w:name="_Toc15377210"/>
      <w:r>
        <w:rPr>
          <w:rFonts w:hint="eastAsia" w:asciiTheme="majorEastAsia" w:hAnsiTheme="majorEastAsia" w:eastAsiaTheme="majorEastAsia" w:cstheme="majorEastAsia"/>
          <w:b/>
          <w:color w:val="000000"/>
          <w:sz w:val="32"/>
          <w:szCs w:val="32"/>
        </w:rPr>
        <w:t>（一）一</w:t>
      </w:r>
      <w:r>
        <w:rPr>
          <w:rStyle w:val="25"/>
          <w:rFonts w:hint="eastAsia" w:asciiTheme="majorEastAsia" w:hAnsiTheme="majorEastAsia" w:cstheme="majorEastAsia"/>
          <w:b w:val="0"/>
        </w:rPr>
        <w:t>般公共预算财政拨款支出决算总体情况</w:t>
      </w:r>
      <w:bookmarkEnd w:id="30"/>
    </w:p>
    <w:p>
      <w:pPr>
        <w:spacing w:line="600" w:lineRule="exact"/>
        <w:ind w:firstLine="640" w:firstLineChars="200"/>
        <w:rPr>
          <w:rFonts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2019年一般公共预算财政拨款支出</w:t>
      </w:r>
      <w:r>
        <w:rPr>
          <w:rFonts w:hint="eastAsia" w:asciiTheme="majorEastAsia" w:hAnsiTheme="majorEastAsia" w:eastAsiaTheme="majorEastAsia" w:cstheme="majorEastAsia"/>
          <w:kern w:val="0"/>
          <w:sz w:val="32"/>
          <w:szCs w:val="32"/>
          <w:lang w:val="en-US" w:eastAsia="zh-CN"/>
        </w:rPr>
        <w:t>247.74</w:t>
      </w:r>
      <w:r>
        <w:rPr>
          <w:rFonts w:hint="eastAsia" w:asciiTheme="majorEastAsia" w:hAnsiTheme="majorEastAsia" w:eastAsiaTheme="majorEastAsia" w:cstheme="majorEastAsia"/>
          <w:kern w:val="0"/>
          <w:sz w:val="32"/>
          <w:szCs w:val="32"/>
        </w:rPr>
        <w:t>万元，占本年支出合计的</w:t>
      </w:r>
      <w:r>
        <w:rPr>
          <w:rFonts w:hint="eastAsia" w:asciiTheme="majorEastAsia" w:hAnsiTheme="majorEastAsia" w:eastAsiaTheme="majorEastAsia" w:cstheme="majorEastAsia"/>
          <w:kern w:val="0"/>
          <w:sz w:val="32"/>
          <w:szCs w:val="32"/>
          <w:lang w:val="en-US" w:eastAsia="zh-CN"/>
        </w:rPr>
        <w:t>30.86</w:t>
      </w:r>
      <w:r>
        <w:rPr>
          <w:rFonts w:hint="eastAsia" w:asciiTheme="majorEastAsia" w:hAnsiTheme="majorEastAsia" w:eastAsiaTheme="majorEastAsia" w:cstheme="majorEastAsia"/>
          <w:kern w:val="0"/>
          <w:sz w:val="32"/>
          <w:szCs w:val="32"/>
        </w:rPr>
        <w:t>%。与2018年相比，一般公共预算财政拨款增加</w:t>
      </w:r>
      <w:r>
        <w:rPr>
          <w:rFonts w:hint="eastAsia" w:asciiTheme="majorEastAsia" w:hAnsiTheme="majorEastAsia" w:eastAsiaTheme="majorEastAsia" w:cstheme="majorEastAsia"/>
          <w:kern w:val="0"/>
          <w:sz w:val="32"/>
          <w:szCs w:val="32"/>
          <w:lang w:val="en-US" w:eastAsia="zh-CN"/>
        </w:rPr>
        <w:t>8.79</w:t>
      </w:r>
      <w:r>
        <w:rPr>
          <w:rFonts w:hint="eastAsia" w:asciiTheme="majorEastAsia" w:hAnsiTheme="majorEastAsia" w:eastAsiaTheme="majorEastAsia" w:cstheme="majorEastAsia"/>
          <w:kern w:val="0"/>
          <w:sz w:val="32"/>
          <w:szCs w:val="32"/>
        </w:rPr>
        <w:t>万元，增长</w:t>
      </w:r>
      <w:r>
        <w:rPr>
          <w:rFonts w:hint="eastAsia" w:asciiTheme="majorEastAsia" w:hAnsiTheme="majorEastAsia" w:eastAsiaTheme="majorEastAsia" w:cstheme="majorEastAsia"/>
          <w:kern w:val="0"/>
          <w:sz w:val="32"/>
          <w:szCs w:val="32"/>
          <w:lang w:val="en-US" w:eastAsia="zh-CN"/>
        </w:rPr>
        <w:t>3.68</w:t>
      </w:r>
      <w:r>
        <w:rPr>
          <w:rFonts w:hint="eastAsia" w:asciiTheme="majorEastAsia" w:hAnsiTheme="majorEastAsia" w:eastAsiaTheme="majorEastAsia" w:cstheme="majorEastAsia"/>
          <w:kern w:val="0"/>
          <w:sz w:val="32"/>
          <w:szCs w:val="32"/>
        </w:rPr>
        <w:t>%。主要变动原因是我中心</w:t>
      </w:r>
      <w:r>
        <w:rPr>
          <w:rFonts w:hint="eastAsia" w:asciiTheme="majorEastAsia" w:hAnsiTheme="majorEastAsia" w:eastAsiaTheme="majorEastAsia" w:cstheme="majorEastAsia"/>
          <w:kern w:val="0"/>
          <w:sz w:val="32"/>
          <w:szCs w:val="32"/>
          <w:lang w:eastAsia="zh-CN"/>
        </w:rPr>
        <w:t>人员增加、</w:t>
      </w:r>
      <w:r>
        <w:rPr>
          <w:rFonts w:hint="eastAsia" w:asciiTheme="majorEastAsia" w:hAnsiTheme="majorEastAsia" w:eastAsiaTheme="majorEastAsia" w:cstheme="majorEastAsia"/>
          <w:kern w:val="0"/>
          <w:sz w:val="32"/>
          <w:szCs w:val="32"/>
        </w:rPr>
        <w:t>辖区</w:t>
      </w:r>
      <w:r>
        <w:rPr>
          <w:rFonts w:hint="eastAsia" w:asciiTheme="majorEastAsia" w:hAnsiTheme="majorEastAsia" w:eastAsiaTheme="majorEastAsia" w:cstheme="majorEastAsia"/>
          <w:kern w:val="0"/>
          <w:sz w:val="32"/>
          <w:szCs w:val="32"/>
          <w:lang w:eastAsia="zh-CN"/>
        </w:rPr>
        <w:t>公卫</w:t>
      </w:r>
      <w:r>
        <w:rPr>
          <w:rFonts w:hint="eastAsia" w:asciiTheme="majorEastAsia" w:hAnsiTheme="majorEastAsia" w:eastAsiaTheme="majorEastAsia" w:cstheme="majorEastAsia"/>
          <w:kern w:val="0"/>
          <w:sz w:val="32"/>
          <w:szCs w:val="32"/>
        </w:rPr>
        <w:t>服务人口数增加</w:t>
      </w:r>
      <w:r>
        <w:rPr>
          <w:rFonts w:hint="eastAsia" w:asciiTheme="majorEastAsia" w:hAnsiTheme="majorEastAsia" w:eastAsiaTheme="majorEastAsia" w:cstheme="majorEastAsia"/>
          <w:kern w:val="0"/>
          <w:sz w:val="32"/>
          <w:szCs w:val="32"/>
          <w:lang w:eastAsia="zh-CN"/>
        </w:rPr>
        <w:t>和年末结转增加</w:t>
      </w:r>
      <w:r>
        <w:rPr>
          <w:rFonts w:hint="eastAsia" w:asciiTheme="majorEastAsia" w:hAnsiTheme="majorEastAsia" w:eastAsiaTheme="majorEastAsia" w:cstheme="majorEastAsia"/>
          <w:kern w:val="0"/>
          <w:sz w:val="32"/>
          <w:szCs w:val="32"/>
        </w:rPr>
        <w:t>。</w:t>
      </w:r>
    </w:p>
    <w:p>
      <w:pPr>
        <w:spacing w:line="600" w:lineRule="exact"/>
        <w:ind w:firstLine="640" w:firstLineChars="200"/>
        <w:rPr>
          <w:rFonts w:asciiTheme="majorEastAsia" w:hAnsiTheme="majorEastAsia" w:eastAsiaTheme="majorEastAsia" w:cstheme="majorEastAsia"/>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inline distT="0" distB="0" distL="114300" distR="114300">
            <wp:extent cx="4547870" cy="3210560"/>
            <wp:effectExtent l="5080" t="4445" r="19050" b="234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rPr>
          <w:rFonts w:asciiTheme="majorEastAsia" w:hAnsiTheme="majorEastAsia" w:eastAsiaTheme="majorEastAsia" w:cstheme="majorEastAsia"/>
          <w:color w:val="000000" w:themeColor="text1"/>
          <w:sz w:val="28"/>
          <w:szCs w:val="28"/>
          <w14:textFill>
            <w14:solidFill>
              <w14:schemeClr w14:val="tx1"/>
            </w14:solidFill>
          </w14:textFill>
        </w:rPr>
      </w:pPr>
      <w:r>
        <w:rPr>
          <w:rFonts w:hint="eastAsia" w:asciiTheme="majorEastAsia" w:hAnsiTheme="majorEastAsia" w:eastAsiaTheme="majorEastAsia" w:cstheme="majorEastAsia"/>
          <w:kern w:val="0"/>
          <w:sz w:val="32"/>
          <w:szCs w:val="32"/>
        </w:rPr>
        <w:t>（图5：一般公共预算财政拨款支出决算变动情况单位:万元）</w:t>
      </w:r>
    </w:p>
    <w:p>
      <w:pPr>
        <w:spacing w:line="600" w:lineRule="exact"/>
        <w:ind w:firstLine="643" w:firstLineChars="200"/>
        <w:outlineLvl w:val="2"/>
        <w:rPr>
          <w:rFonts w:asciiTheme="majorEastAsia" w:hAnsiTheme="majorEastAsia" w:eastAsiaTheme="majorEastAsia" w:cstheme="majorEastAsia"/>
          <w:b/>
          <w:color w:val="000000"/>
          <w:sz w:val="32"/>
          <w:szCs w:val="32"/>
        </w:rPr>
      </w:pPr>
      <w:bookmarkStart w:id="31" w:name="_Toc15377211"/>
      <w:r>
        <w:rPr>
          <w:rFonts w:hint="eastAsia" w:asciiTheme="majorEastAsia" w:hAnsiTheme="majorEastAsia" w:eastAsiaTheme="majorEastAsia" w:cstheme="majorEastAsia"/>
          <w:b/>
          <w:color w:val="000000"/>
          <w:sz w:val="32"/>
          <w:szCs w:val="32"/>
        </w:rPr>
        <w:t>（</w:t>
      </w:r>
      <w:r>
        <w:rPr>
          <w:rFonts w:hint="eastAsia" w:asciiTheme="majorEastAsia" w:hAnsiTheme="majorEastAsia" w:eastAsiaTheme="majorEastAsia" w:cstheme="majorEastAsia"/>
          <w:bCs/>
          <w:color w:val="000000"/>
          <w:sz w:val="32"/>
          <w:szCs w:val="32"/>
        </w:rPr>
        <w:t>二）一般公共预算财政拨款支出决算结构情况</w:t>
      </w:r>
      <w:bookmarkEnd w:id="31"/>
    </w:p>
    <w:p>
      <w:pPr>
        <w:ind w:firstLine="320" w:firstLineChars="100"/>
        <w:rPr>
          <w:rFonts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2019年一般公共预算财政拨款支出</w:t>
      </w:r>
      <w:r>
        <w:rPr>
          <w:rFonts w:hint="eastAsia" w:asciiTheme="majorEastAsia" w:hAnsiTheme="majorEastAsia" w:eastAsiaTheme="majorEastAsia" w:cstheme="majorEastAsia"/>
          <w:kern w:val="0"/>
          <w:sz w:val="32"/>
          <w:szCs w:val="32"/>
          <w:lang w:val="en-US" w:eastAsia="zh-CN"/>
        </w:rPr>
        <w:t>247.74</w:t>
      </w:r>
      <w:r>
        <w:rPr>
          <w:rFonts w:hint="eastAsia" w:asciiTheme="majorEastAsia" w:hAnsiTheme="majorEastAsia" w:eastAsiaTheme="majorEastAsia" w:cstheme="majorEastAsia"/>
          <w:kern w:val="0"/>
          <w:sz w:val="32"/>
          <w:szCs w:val="32"/>
        </w:rPr>
        <w:t>万元，主要用于以下方面:社会保障和就业（类）支出</w:t>
      </w:r>
      <w:r>
        <w:rPr>
          <w:rFonts w:hint="eastAsia" w:asciiTheme="majorEastAsia" w:hAnsiTheme="majorEastAsia" w:eastAsiaTheme="majorEastAsia" w:cstheme="majorEastAsia"/>
          <w:kern w:val="0"/>
          <w:sz w:val="32"/>
          <w:szCs w:val="32"/>
          <w:lang w:val="en-US" w:eastAsia="zh-CN"/>
        </w:rPr>
        <w:t>22.5</w:t>
      </w:r>
      <w:r>
        <w:rPr>
          <w:rFonts w:hint="eastAsia" w:asciiTheme="majorEastAsia" w:hAnsiTheme="majorEastAsia" w:eastAsiaTheme="majorEastAsia" w:cstheme="majorEastAsia"/>
          <w:kern w:val="0"/>
          <w:sz w:val="32"/>
          <w:szCs w:val="32"/>
        </w:rPr>
        <w:t>万元，占</w:t>
      </w:r>
      <w:r>
        <w:rPr>
          <w:rFonts w:hint="eastAsia" w:asciiTheme="majorEastAsia" w:hAnsiTheme="majorEastAsia" w:eastAsiaTheme="majorEastAsia" w:cstheme="majorEastAsia"/>
          <w:kern w:val="0"/>
          <w:sz w:val="32"/>
          <w:szCs w:val="32"/>
          <w:lang w:val="en-US" w:eastAsia="zh-CN"/>
        </w:rPr>
        <w:t>9.08</w:t>
      </w:r>
      <w:r>
        <w:rPr>
          <w:rFonts w:hint="eastAsia" w:asciiTheme="majorEastAsia" w:hAnsiTheme="majorEastAsia" w:eastAsiaTheme="majorEastAsia" w:cstheme="majorEastAsia"/>
          <w:kern w:val="0"/>
          <w:sz w:val="32"/>
          <w:szCs w:val="32"/>
        </w:rPr>
        <w:t>%；卫生健康（类）支出</w:t>
      </w:r>
      <w:r>
        <w:rPr>
          <w:rFonts w:hint="eastAsia" w:asciiTheme="majorEastAsia" w:hAnsiTheme="majorEastAsia" w:eastAsiaTheme="majorEastAsia" w:cstheme="majorEastAsia"/>
          <w:kern w:val="0"/>
          <w:sz w:val="32"/>
          <w:szCs w:val="32"/>
          <w:lang w:val="en-US" w:eastAsia="zh-CN"/>
        </w:rPr>
        <w:t>211.52</w:t>
      </w:r>
      <w:r>
        <w:rPr>
          <w:rFonts w:hint="eastAsia" w:asciiTheme="majorEastAsia" w:hAnsiTheme="majorEastAsia" w:eastAsiaTheme="majorEastAsia" w:cstheme="majorEastAsia"/>
          <w:kern w:val="0"/>
          <w:sz w:val="32"/>
          <w:szCs w:val="32"/>
        </w:rPr>
        <w:t>万元，占</w:t>
      </w:r>
      <w:r>
        <w:rPr>
          <w:rFonts w:hint="eastAsia" w:asciiTheme="majorEastAsia" w:hAnsiTheme="majorEastAsia" w:eastAsiaTheme="majorEastAsia" w:cstheme="majorEastAsia"/>
          <w:kern w:val="0"/>
          <w:sz w:val="32"/>
          <w:szCs w:val="32"/>
          <w:lang w:val="en-US" w:eastAsia="zh-CN"/>
        </w:rPr>
        <w:t>85.38</w:t>
      </w:r>
      <w:r>
        <w:rPr>
          <w:rFonts w:hint="eastAsia" w:asciiTheme="majorEastAsia" w:hAnsiTheme="majorEastAsia" w:eastAsiaTheme="majorEastAsia" w:cstheme="majorEastAsia"/>
          <w:kern w:val="0"/>
          <w:sz w:val="32"/>
          <w:szCs w:val="32"/>
        </w:rPr>
        <w:t>%</w:t>
      </w:r>
      <w:r>
        <w:rPr>
          <w:rFonts w:hint="eastAsia" w:asciiTheme="majorEastAsia" w:hAnsiTheme="majorEastAsia" w:eastAsiaTheme="majorEastAsia" w:cstheme="majorEastAsia"/>
          <w:kern w:val="0"/>
          <w:sz w:val="32"/>
          <w:szCs w:val="32"/>
          <w:lang w:val="en-US" w:eastAsia="zh-CN"/>
        </w:rPr>
        <w:t>,住房保障支出</w:t>
      </w:r>
      <w:r>
        <w:rPr>
          <w:rFonts w:hint="eastAsia" w:asciiTheme="majorEastAsia" w:hAnsiTheme="majorEastAsia" w:eastAsiaTheme="majorEastAsia" w:cstheme="majorEastAsia"/>
          <w:kern w:val="0"/>
          <w:sz w:val="32"/>
          <w:szCs w:val="32"/>
        </w:rPr>
        <w:t>（类）支出</w:t>
      </w:r>
      <w:r>
        <w:rPr>
          <w:rFonts w:hint="eastAsia" w:asciiTheme="majorEastAsia" w:hAnsiTheme="majorEastAsia" w:eastAsiaTheme="majorEastAsia" w:cstheme="majorEastAsia"/>
          <w:kern w:val="0"/>
          <w:sz w:val="32"/>
          <w:szCs w:val="32"/>
          <w:lang w:val="en-US" w:eastAsia="zh-CN"/>
        </w:rPr>
        <w:t>13.72</w:t>
      </w:r>
      <w:r>
        <w:rPr>
          <w:rFonts w:hint="eastAsia" w:asciiTheme="majorEastAsia" w:hAnsiTheme="majorEastAsia" w:eastAsiaTheme="majorEastAsia" w:cstheme="majorEastAsia"/>
          <w:kern w:val="0"/>
          <w:sz w:val="32"/>
          <w:szCs w:val="32"/>
        </w:rPr>
        <w:t>万元，占</w:t>
      </w:r>
      <w:r>
        <w:rPr>
          <w:rFonts w:hint="eastAsia" w:asciiTheme="majorEastAsia" w:hAnsiTheme="majorEastAsia" w:eastAsiaTheme="majorEastAsia" w:cstheme="majorEastAsia"/>
          <w:kern w:val="0"/>
          <w:sz w:val="32"/>
          <w:szCs w:val="32"/>
          <w:lang w:val="en-US" w:eastAsia="zh-CN"/>
        </w:rPr>
        <w:t>5.54</w:t>
      </w:r>
      <w:r>
        <w:rPr>
          <w:rFonts w:hint="eastAsia" w:asciiTheme="majorEastAsia" w:hAnsiTheme="majorEastAsia" w:eastAsiaTheme="majorEastAsia" w:cstheme="majorEastAsia"/>
          <w:kern w:val="0"/>
          <w:sz w:val="32"/>
          <w:szCs w:val="32"/>
        </w:rPr>
        <w:t>%。</w:t>
      </w:r>
    </w:p>
    <w:p>
      <w:pPr>
        <w:rPr>
          <w:rFonts w:ascii="仿宋" w:hAnsi="仿宋" w:eastAsia="仿宋"/>
          <w:color w:val="000000"/>
          <w:sz w:val="32"/>
          <w:szCs w:val="32"/>
        </w:rPr>
      </w:pPr>
      <w:r>
        <w:rPr>
          <w:rFonts w:hint="eastAsia" w:ascii="仿宋" w:hAnsi="仿宋" w:eastAsia="仿宋"/>
          <w:color w:val="000000"/>
          <w:sz w:val="32"/>
          <w:szCs w:val="32"/>
        </w:rPr>
        <w:drawing>
          <wp:inline distT="0" distB="0" distL="114300" distR="114300">
            <wp:extent cx="4328795" cy="2546985"/>
            <wp:effectExtent l="4445" t="4445" r="10160" b="2032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rPr>
          <w:rFonts w:asciiTheme="majorEastAsia" w:hAnsiTheme="majorEastAsia" w:eastAsiaTheme="majorEastAsia" w:cstheme="majorEastAsia"/>
          <w:kern w:val="0"/>
          <w:sz w:val="32"/>
          <w:szCs w:val="32"/>
        </w:rPr>
      </w:pPr>
      <w:r>
        <w:rPr>
          <w:rFonts w:hint="eastAsia" w:asciiTheme="majorEastAsia" w:hAnsiTheme="majorEastAsia" w:eastAsiaTheme="majorEastAsia" w:cstheme="majorEastAsia"/>
          <w:kern w:val="0"/>
          <w:sz w:val="32"/>
          <w:szCs w:val="32"/>
        </w:rPr>
        <w:t>（图6：一般公共预算财政拨款支出决算结构  单位：万元）</w:t>
      </w:r>
    </w:p>
    <w:p>
      <w:pPr>
        <w:spacing w:line="600" w:lineRule="exact"/>
        <w:ind w:firstLine="640" w:firstLineChars="200"/>
        <w:outlineLvl w:val="2"/>
        <w:rPr>
          <w:rFonts w:asciiTheme="majorEastAsia" w:hAnsiTheme="majorEastAsia" w:eastAsiaTheme="majorEastAsia" w:cstheme="majorEastAsia"/>
          <w:bCs/>
          <w:color w:val="000000"/>
          <w:sz w:val="32"/>
          <w:szCs w:val="32"/>
        </w:rPr>
      </w:pPr>
      <w:bookmarkStart w:id="32" w:name="_Toc15377212"/>
      <w:r>
        <w:rPr>
          <w:rFonts w:hint="eastAsia" w:asciiTheme="majorEastAsia" w:hAnsiTheme="majorEastAsia" w:eastAsiaTheme="majorEastAsia" w:cstheme="majorEastAsia"/>
          <w:bCs/>
          <w:color w:val="000000"/>
          <w:sz w:val="32"/>
          <w:szCs w:val="32"/>
        </w:rPr>
        <w:t>（三）一般公共预算财政拨款支出决算具体情况</w:t>
      </w:r>
      <w:bookmarkEnd w:id="32"/>
    </w:p>
    <w:p>
      <w:pPr>
        <w:spacing w:line="600" w:lineRule="exact"/>
        <w:ind w:firstLine="640" w:firstLineChars="200"/>
        <w:outlineLvl w:val="2"/>
        <w:rPr>
          <w:rFonts w:asciiTheme="majorEastAsia" w:hAnsiTheme="majorEastAsia" w:eastAsiaTheme="majorEastAsia" w:cstheme="majorEastAsia"/>
          <w:color w:val="FF0000"/>
          <w:sz w:val="32"/>
          <w:szCs w:val="32"/>
        </w:rPr>
      </w:pPr>
      <w:bookmarkStart w:id="33" w:name="_Toc15378460"/>
      <w:bookmarkStart w:id="34" w:name="_Toc15377213"/>
      <w:bookmarkStart w:id="35" w:name="_Toc15377444"/>
      <w:r>
        <w:rPr>
          <w:rFonts w:hint="eastAsia" w:asciiTheme="majorEastAsia" w:hAnsiTheme="majorEastAsia" w:eastAsiaTheme="majorEastAsia" w:cstheme="majorEastAsia"/>
          <w:kern w:val="0"/>
          <w:sz w:val="32"/>
          <w:szCs w:val="32"/>
        </w:rPr>
        <w:t>2019年般公共预算支出决算数为</w:t>
      </w:r>
      <w:r>
        <w:rPr>
          <w:rFonts w:hint="eastAsia" w:asciiTheme="majorEastAsia" w:hAnsiTheme="majorEastAsia" w:eastAsiaTheme="majorEastAsia" w:cstheme="majorEastAsia"/>
          <w:kern w:val="0"/>
          <w:sz w:val="32"/>
          <w:szCs w:val="32"/>
          <w:lang w:val="en-US" w:eastAsia="zh-CN"/>
        </w:rPr>
        <w:t>247.74</w:t>
      </w:r>
      <w:r>
        <w:rPr>
          <w:rFonts w:hint="eastAsia" w:asciiTheme="majorEastAsia" w:hAnsiTheme="majorEastAsia" w:eastAsiaTheme="majorEastAsia" w:cstheme="majorEastAsia"/>
          <w:kern w:val="0"/>
          <w:sz w:val="32"/>
          <w:szCs w:val="32"/>
        </w:rPr>
        <w:t>万元，完成预算</w:t>
      </w:r>
      <w:r>
        <w:rPr>
          <w:rFonts w:hint="eastAsia" w:asciiTheme="majorEastAsia" w:hAnsiTheme="majorEastAsia" w:eastAsiaTheme="majorEastAsia" w:cstheme="majorEastAsia"/>
          <w:kern w:val="0"/>
          <w:sz w:val="32"/>
          <w:szCs w:val="32"/>
          <w:lang w:val="en-US" w:eastAsia="zh-CN"/>
        </w:rPr>
        <w:t>80.54</w:t>
      </w:r>
      <w:r>
        <w:rPr>
          <w:rFonts w:hint="eastAsia" w:asciiTheme="majorEastAsia" w:hAnsiTheme="majorEastAsia" w:eastAsiaTheme="majorEastAsia" w:cstheme="majorEastAsia"/>
          <w:kern w:val="0"/>
          <w:sz w:val="32"/>
          <w:szCs w:val="32"/>
        </w:rPr>
        <w:t>%。其中：</w:t>
      </w:r>
      <w:bookmarkEnd w:id="33"/>
      <w:bookmarkEnd w:id="34"/>
      <w:bookmarkEnd w:id="35"/>
    </w:p>
    <w:p>
      <w:pPr>
        <w:numPr>
          <w:ilvl w:val="0"/>
          <w:numId w:val="2"/>
        </w:numPr>
        <w:spacing w:line="600" w:lineRule="exact"/>
        <w:ind w:firstLine="645"/>
        <w:rPr>
          <w:rFonts w:hint="eastAsia" w:ascii="仿宋_GB2312" w:eastAsia="仿宋_GB2312"/>
          <w:color w:val="000000"/>
          <w:sz w:val="32"/>
          <w:szCs w:val="32"/>
          <w:lang w:val="en-US" w:eastAsia="zh-CN"/>
        </w:rPr>
      </w:pPr>
      <w:r>
        <w:rPr>
          <w:rStyle w:val="14"/>
          <w:rFonts w:hint="eastAsia" w:ascii="仿宋_GB2312" w:eastAsia="仿宋_GB2312"/>
          <w:color w:val="000000"/>
          <w:sz w:val="32"/>
          <w:szCs w:val="32"/>
        </w:rPr>
        <w:t>社会保障和就业（208）行政事业单位离退休（20805）机关事业单位基本养老保险缴费支出（2080505）:</w:t>
      </w:r>
      <w:r>
        <w:rPr>
          <w:rFonts w:hint="eastAsia" w:ascii="仿宋_GB2312" w:hAnsi="Times New Roman" w:eastAsia="仿宋_GB2312" w:cs="Times New Roman"/>
          <w:color w:val="000000"/>
          <w:sz w:val="32"/>
          <w:szCs w:val="32"/>
          <w:lang w:eastAsia="zh-CN"/>
        </w:rPr>
        <w:t>支出</w:t>
      </w:r>
      <w:r>
        <w:rPr>
          <w:rFonts w:hint="eastAsia" w:ascii="仿宋_GB2312" w:eastAsia="仿宋_GB2312"/>
          <w:color w:val="000000"/>
          <w:sz w:val="32"/>
          <w:szCs w:val="32"/>
        </w:rPr>
        <w:t>决算为</w:t>
      </w:r>
      <w:r>
        <w:rPr>
          <w:rFonts w:hint="eastAsia" w:ascii="仿宋_GB2312" w:eastAsia="仿宋_GB2312"/>
          <w:color w:val="000000"/>
          <w:sz w:val="32"/>
          <w:szCs w:val="32"/>
          <w:lang w:eastAsia="zh-CN"/>
        </w:rPr>
        <w:t>数</w:t>
      </w:r>
      <w:r>
        <w:rPr>
          <w:rFonts w:hint="eastAsia" w:ascii="仿宋_GB2312" w:eastAsia="仿宋_GB2312"/>
          <w:color w:val="000000"/>
          <w:sz w:val="32"/>
          <w:szCs w:val="32"/>
          <w:lang w:val="en-US" w:eastAsia="zh-CN"/>
        </w:rPr>
        <w:t>22.5万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numPr>
          <w:ilvl w:val="0"/>
          <w:numId w:val="0"/>
        </w:numPr>
        <w:spacing w:line="600" w:lineRule="exact"/>
        <w:ind w:firstLine="643" w:firstLineChars="200"/>
        <w:rPr>
          <w:rFonts w:hint="eastAsia" w:ascii="仿宋_GB2312" w:eastAsia="仿宋_GB2312"/>
          <w:color w:val="000000"/>
          <w:sz w:val="32"/>
          <w:szCs w:val="32"/>
          <w:lang w:val="en-US" w:eastAsia="zh-CN"/>
        </w:rPr>
      </w:pPr>
      <w:r>
        <w:rPr>
          <w:rStyle w:val="14"/>
          <w:rFonts w:hint="eastAsia" w:ascii="仿宋_GB2312" w:eastAsia="仿宋_GB2312"/>
          <w:color w:val="000000"/>
          <w:sz w:val="32"/>
          <w:szCs w:val="32"/>
          <w:lang w:val="en-US" w:eastAsia="zh-CN"/>
        </w:rPr>
        <w:t>2</w:t>
      </w:r>
      <w:r>
        <w:rPr>
          <w:rStyle w:val="14"/>
          <w:rFonts w:hint="eastAsia" w:ascii="仿宋_GB2312" w:eastAsia="仿宋_GB2312"/>
          <w:color w:val="000000"/>
          <w:sz w:val="32"/>
          <w:szCs w:val="32"/>
        </w:rPr>
        <w:t>.医疗卫生与计划生育支出(210)</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-基层医疗卫生机构(21003</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 城市社区卫生机构(210030</w:t>
      </w:r>
      <w:r>
        <w:rPr>
          <w:rStyle w:val="14"/>
          <w:rFonts w:hint="eastAsia" w:ascii="仿宋_GB2312" w:eastAsia="仿宋_GB2312"/>
          <w:color w:val="000000"/>
          <w:sz w:val="32"/>
          <w:szCs w:val="32"/>
          <w:lang w:val="en-US" w:eastAsia="zh-CN"/>
        </w:rPr>
        <w:t>1</w:t>
      </w:r>
      <w:r>
        <w:rPr>
          <w:rStyle w:val="14"/>
          <w:rFonts w:hint="eastAsia" w:ascii="仿宋_GB2312" w:eastAsia="仿宋_GB2312"/>
          <w:color w:val="000000"/>
          <w:sz w:val="32"/>
          <w:szCs w:val="32"/>
        </w:rPr>
        <w:t>):</w:t>
      </w:r>
      <w:r>
        <w:rPr>
          <w:rFonts w:hint="eastAsia" w:ascii="仿宋_GB2312" w:hAnsi="Times New Roman" w:eastAsia="仿宋_GB2312" w:cs="Times New Roman"/>
          <w:color w:val="000000"/>
          <w:sz w:val="32"/>
          <w:szCs w:val="32"/>
          <w:lang w:val="en-US" w:eastAsia="zh-CN"/>
        </w:rPr>
        <w:t>支出</w:t>
      </w:r>
      <w:r>
        <w:rPr>
          <w:rFonts w:hint="eastAsia" w:ascii="仿宋_GB2312" w:eastAsia="仿宋_GB2312"/>
          <w:color w:val="000000"/>
          <w:sz w:val="32"/>
          <w:szCs w:val="32"/>
        </w:rPr>
        <w:t>决算</w:t>
      </w:r>
      <w:r>
        <w:rPr>
          <w:rFonts w:hint="eastAsia" w:ascii="仿宋_GB2312" w:eastAsia="仿宋_GB2312"/>
          <w:color w:val="000000"/>
          <w:sz w:val="32"/>
          <w:szCs w:val="32"/>
          <w:lang w:eastAsia="zh-CN"/>
        </w:rPr>
        <w:t>数</w:t>
      </w:r>
      <w:r>
        <w:rPr>
          <w:rFonts w:hint="eastAsia" w:ascii="仿宋_GB2312" w:eastAsia="仿宋_GB2312"/>
          <w:color w:val="000000"/>
          <w:sz w:val="32"/>
          <w:szCs w:val="32"/>
        </w:rPr>
        <w:t>为</w:t>
      </w:r>
      <w:r>
        <w:rPr>
          <w:rFonts w:hint="eastAsia" w:ascii="仿宋_GB2312" w:eastAsia="仿宋_GB2312"/>
          <w:color w:val="000000"/>
          <w:sz w:val="32"/>
          <w:szCs w:val="32"/>
          <w:lang w:val="en-US" w:eastAsia="zh-CN"/>
        </w:rPr>
        <w:t>35.53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完成预算21.5%。</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小于</w:t>
      </w:r>
      <w:r>
        <w:rPr>
          <w:rStyle w:val="14"/>
          <w:rFonts w:hint="eastAsia" w:ascii="仿宋" w:hAnsi="仿宋" w:eastAsia="仿宋"/>
          <w:b w:val="0"/>
          <w:bCs/>
          <w:color w:val="000000"/>
          <w:sz w:val="32"/>
          <w:szCs w:val="32"/>
        </w:rPr>
        <w:t>预算数的主要原因是</w:t>
      </w:r>
      <w:r>
        <w:rPr>
          <w:rStyle w:val="14"/>
          <w:rFonts w:hint="eastAsia" w:ascii="仿宋" w:hAnsi="仿宋" w:eastAsia="仿宋"/>
          <w:b w:val="0"/>
          <w:bCs/>
          <w:color w:val="000000"/>
          <w:sz w:val="32"/>
          <w:szCs w:val="32"/>
          <w:lang w:eastAsia="zh-CN"/>
        </w:rPr>
        <w:t>本年使用此科目财政拨款支出减少，年末结转增加。</w:t>
      </w:r>
    </w:p>
    <w:p>
      <w:pPr>
        <w:numPr>
          <w:ilvl w:val="0"/>
          <w:numId w:val="0"/>
        </w:num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_GB2312" w:eastAsia="仿宋_GB2312"/>
          <w:color w:val="000000"/>
          <w:sz w:val="32"/>
          <w:szCs w:val="32"/>
          <w:lang w:val="en-US" w:eastAsia="zh-CN"/>
        </w:rPr>
        <w:t>3</w:t>
      </w:r>
      <w:r>
        <w:rPr>
          <w:rStyle w:val="14"/>
          <w:rFonts w:hint="eastAsia" w:ascii="仿宋_GB2312" w:eastAsia="仿宋_GB2312"/>
          <w:color w:val="000000"/>
          <w:sz w:val="32"/>
          <w:szCs w:val="32"/>
        </w:rPr>
        <w:t>.医疗卫生与计划生育支出(210)</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-基层医疗卫生机构(21003</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 乡镇卫生院(2100302):</w:t>
      </w:r>
      <w:r>
        <w:rPr>
          <w:rFonts w:hint="eastAsia" w:ascii="仿宋_GB2312" w:hAnsi="Times New Roman" w:eastAsia="仿宋_GB2312" w:cs="Times New Roman"/>
          <w:color w:val="000000"/>
          <w:sz w:val="32"/>
          <w:szCs w:val="32"/>
          <w:lang w:val="en-US" w:eastAsia="zh-CN"/>
        </w:rPr>
        <w:t>支出</w:t>
      </w:r>
      <w:r>
        <w:rPr>
          <w:rFonts w:hint="eastAsia" w:ascii="仿宋_GB2312" w:eastAsia="仿宋_GB2312"/>
          <w:color w:val="000000"/>
          <w:sz w:val="32"/>
          <w:szCs w:val="32"/>
        </w:rPr>
        <w:t>决算</w:t>
      </w:r>
      <w:r>
        <w:rPr>
          <w:rFonts w:hint="eastAsia" w:ascii="仿宋_GB2312" w:eastAsia="仿宋_GB2312"/>
          <w:color w:val="000000"/>
          <w:sz w:val="32"/>
          <w:szCs w:val="32"/>
          <w:lang w:eastAsia="zh-CN"/>
        </w:rPr>
        <w:t>数</w:t>
      </w:r>
      <w:r>
        <w:rPr>
          <w:rFonts w:hint="eastAsia" w:ascii="仿宋_GB2312" w:eastAsia="仿宋_GB2312"/>
          <w:color w:val="000000"/>
          <w:sz w:val="32"/>
          <w:szCs w:val="32"/>
        </w:rPr>
        <w:t>为</w:t>
      </w:r>
      <w:r>
        <w:rPr>
          <w:rFonts w:hint="eastAsia" w:ascii="仿宋_GB2312" w:eastAsia="仿宋_GB2312"/>
          <w:color w:val="000000"/>
          <w:sz w:val="32"/>
          <w:szCs w:val="32"/>
          <w:lang w:val="en-US" w:eastAsia="zh-CN"/>
        </w:rPr>
        <w:t>79.82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完成预算798.2%。</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大于</w:t>
      </w:r>
      <w:r>
        <w:rPr>
          <w:rStyle w:val="14"/>
          <w:rFonts w:hint="eastAsia" w:ascii="仿宋" w:hAnsi="仿宋" w:eastAsia="仿宋"/>
          <w:b w:val="0"/>
          <w:bCs/>
          <w:color w:val="000000"/>
          <w:sz w:val="32"/>
          <w:szCs w:val="32"/>
        </w:rPr>
        <w:t>预算数的主要原因是</w:t>
      </w:r>
      <w:r>
        <w:rPr>
          <w:rStyle w:val="14"/>
          <w:rFonts w:hint="eastAsia" w:ascii="仿宋" w:hAnsi="仿宋" w:eastAsia="仿宋"/>
          <w:b w:val="0"/>
          <w:bCs/>
          <w:color w:val="000000"/>
          <w:sz w:val="32"/>
          <w:szCs w:val="32"/>
          <w:lang w:eastAsia="zh-CN"/>
        </w:rPr>
        <w:t>使用上年财政结余资金。</w:t>
      </w:r>
    </w:p>
    <w:p>
      <w:pPr>
        <w:ind w:firstLine="630"/>
        <w:rPr>
          <w:rFonts w:hint="eastAsia" w:ascii="仿宋_GB2312" w:eastAsia="仿宋_GB2312"/>
          <w:color w:val="000000"/>
          <w:sz w:val="32"/>
          <w:szCs w:val="32"/>
          <w:lang w:eastAsia="zh-CN"/>
        </w:rPr>
      </w:pPr>
      <w:r>
        <w:rPr>
          <w:rStyle w:val="14"/>
          <w:rFonts w:hint="eastAsia" w:ascii="仿宋_GB2312" w:eastAsia="仿宋_GB2312"/>
          <w:color w:val="000000"/>
          <w:sz w:val="32"/>
          <w:szCs w:val="32"/>
          <w:lang w:val="en-US" w:eastAsia="zh-CN"/>
        </w:rPr>
        <w:t>4</w:t>
      </w:r>
      <w:r>
        <w:rPr>
          <w:rStyle w:val="14"/>
          <w:rFonts w:hint="eastAsia" w:ascii="仿宋_GB2312" w:eastAsia="仿宋_GB2312"/>
          <w:color w:val="000000"/>
          <w:sz w:val="32"/>
          <w:szCs w:val="32"/>
        </w:rPr>
        <w:t>.医疗卫生与计划生育（210）基层医疗卫生机构（21003）其他基层医疗卫生机构支出（2100399）：</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14.53</w:t>
      </w:r>
      <w:r>
        <w:rPr>
          <w:rFonts w:hint="eastAsia" w:ascii="仿宋_GB2312" w:eastAsia="仿宋_GB2312"/>
          <w:color w:val="000000"/>
          <w:sz w:val="32"/>
          <w:szCs w:val="32"/>
        </w:rPr>
        <w:t>万元，完成预算数</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ind w:firstLine="630"/>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Style w:val="14"/>
          <w:rFonts w:hint="eastAsia" w:ascii="仿宋_GB2312" w:eastAsia="仿宋_GB2312"/>
          <w:color w:val="000000"/>
          <w:sz w:val="32"/>
          <w:szCs w:val="32"/>
        </w:rPr>
        <w:t xml:space="preserve"> 医疗卫生与计划生育（210）公共卫生（21004）基本公共卫生服务（2100408）：</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81.64</w:t>
      </w:r>
      <w:r>
        <w:rPr>
          <w:rFonts w:hint="eastAsia" w:ascii="仿宋_GB2312" w:eastAsia="仿宋_GB2312"/>
          <w:color w:val="000000"/>
          <w:sz w:val="32"/>
          <w:szCs w:val="32"/>
        </w:rPr>
        <w:t>万元，完成预算数</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spacing w:line="600" w:lineRule="exact"/>
        <w:ind w:firstLine="645"/>
        <w:rPr>
          <w:rFonts w:hint="eastAsia" w:ascii="仿宋_GB2312" w:eastAsia="仿宋_GB2312"/>
          <w:color w:val="000000"/>
          <w:sz w:val="32"/>
          <w:szCs w:val="32"/>
        </w:rPr>
      </w:pPr>
      <w:r>
        <w:rPr>
          <w:rStyle w:val="14"/>
          <w:rFonts w:hint="eastAsia" w:ascii="仿宋_GB2312" w:eastAsia="仿宋_GB2312"/>
          <w:color w:val="000000"/>
          <w:sz w:val="32"/>
          <w:szCs w:val="32"/>
          <w:lang w:val="en-US" w:eastAsia="zh-CN"/>
        </w:rPr>
        <w:t>6</w:t>
      </w:r>
      <w:r>
        <w:rPr>
          <w:rStyle w:val="14"/>
          <w:rFonts w:hint="eastAsia" w:ascii="仿宋_GB2312" w:eastAsia="仿宋_GB2312"/>
          <w:color w:val="000000"/>
          <w:sz w:val="32"/>
          <w:szCs w:val="32"/>
        </w:rPr>
        <w:t>.住房保障支出(221)-住房改革支出(22102)- 住房公积金(2210201):</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13.72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tabs>
          <w:tab w:val="right" w:pos="8306"/>
        </w:tabs>
        <w:spacing w:line="600" w:lineRule="exact"/>
        <w:ind w:firstLine="640"/>
        <w:outlineLvl w:val="1"/>
        <w:rPr>
          <w:rStyle w:val="25"/>
          <w:rFonts w:asciiTheme="majorEastAsia" w:hAnsiTheme="majorEastAsia" w:cstheme="majorEastAsia"/>
        </w:rPr>
      </w:pPr>
      <w:bookmarkStart w:id="36" w:name="_Toc15377214"/>
      <w:bookmarkStart w:id="37" w:name="_Toc15396608"/>
      <w:r>
        <w:rPr>
          <w:rFonts w:hint="eastAsia" w:asciiTheme="majorEastAsia" w:hAnsiTheme="majorEastAsia" w:eastAsiaTheme="majorEastAsia" w:cstheme="majorEastAsia"/>
          <w:color w:val="000000"/>
          <w:sz w:val="32"/>
          <w:szCs w:val="32"/>
        </w:rPr>
        <w:t>六</w:t>
      </w:r>
      <w:r>
        <w:rPr>
          <w:rFonts w:hint="eastAsia" w:asciiTheme="majorEastAsia" w:hAnsiTheme="majorEastAsia" w:eastAsiaTheme="majorEastAsia" w:cstheme="majorEastAsia"/>
          <w:b/>
          <w:color w:val="000000"/>
          <w:sz w:val="32"/>
          <w:szCs w:val="32"/>
        </w:rPr>
        <w:t>、一</w:t>
      </w:r>
      <w:r>
        <w:rPr>
          <w:rStyle w:val="25"/>
          <w:rFonts w:hint="eastAsia" w:asciiTheme="majorEastAsia" w:hAnsiTheme="majorEastAsia" w:cstheme="majorEastAsia"/>
          <w:b w:val="0"/>
        </w:rPr>
        <w:t>般公共预算财政拨款基本支出决算情况说明</w:t>
      </w:r>
      <w:bookmarkEnd w:id="36"/>
      <w:bookmarkEnd w:id="37"/>
      <w:r>
        <w:rPr>
          <w:rStyle w:val="25"/>
          <w:rFonts w:hint="eastAsia" w:asciiTheme="majorEastAsia" w:hAnsiTheme="majorEastAsia" w:cstheme="majorEastAsia"/>
          <w:b w:val="0"/>
        </w:rPr>
        <w:tab/>
      </w:r>
    </w:p>
    <w:p>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201</w:t>
      </w:r>
      <w:r>
        <w:rPr>
          <w:rFonts w:hint="eastAsia" w:ascii="仿宋" w:hAnsi="仿宋" w:eastAsia="仿宋" w:cs="Times New Roman"/>
          <w:color w:val="000000"/>
          <w:sz w:val="32"/>
          <w:szCs w:val="32"/>
          <w:lang w:val="en-US" w:eastAsia="zh-CN"/>
        </w:rPr>
        <w:t>9</w:t>
      </w:r>
      <w:r>
        <w:rPr>
          <w:rFonts w:hint="eastAsia" w:ascii="仿宋" w:hAnsi="仿宋" w:eastAsia="仿宋" w:cs="Times New Roman"/>
          <w:color w:val="000000"/>
          <w:sz w:val="32"/>
          <w:szCs w:val="32"/>
        </w:rPr>
        <w:t>年一般公共预算财政拨款基本支出</w:t>
      </w:r>
      <w:r>
        <w:rPr>
          <w:rFonts w:hint="eastAsia" w:ascii="仿宋" w:hAnsi="仿宋" w:eastAsia="仿宋" w:cs="Times New Roman"/>
          <w:color w:val="000000"/>
          <w:sz w:val="32"/>
          <w:szCs w:val="32"/>
          <w:lang w:val="en-US" w:eastAsia="zh-CN"/>
        </w:rPr>
        <w:t>151.57</w:t>
      </w:r>
      <w:r>
        <w:rPr>
          <w:rFonts w:hint="eastAsia" w:ascii="仿宋" w:hAnsi="仿宋" w:eastAsia="仿宋" w:cs="Times New Roman"/>
          <w:color w:val="000000"/>
          <w:sz w:val="32"/>
          <w:szCs w:val="32"/>
        </w:rPr>
        <w:t>万元，其中：</w:t>
      </w:r>
    </w:p>
    <w:p>
      <w:pPr>
        <w:spacing w:line="600" w:lineRule="exact"/>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人员经费1</w:t>
      </w:r>
      <w:r>
        <w:rPr>
          <w:rFonts w:hint="eastAsia" w:ascii="仿宋" w:hAnsi="仿宋" w:eastAsia="仿宋" w:cs="Times New Roman"/>
          <w:color w:val="000000"/>
          <w:sz w:val="32"/>
          <w:szCs w:val="32"/>
          <w:lang w:val="en-US" w:eastAsia="zh-CN"/>
        </w:rPr>
        <w:t>41.22</w:t>
      </w:r>
      <w:r>
        <w:rPr>
          <w:rFonts w:hint="eastAsia" w:ascii="仿宋" w:hAnsi="仿宋" w:eastAsia="仿宋" w:cs="Times New Roman"/>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spacing w:line="600" w:lineRule="exact"/>
        <w:ind w:firstLine="640" w:firstLineChars="200"/>
        <w:rPr>
          <w:rFonts w:hint="eastAsia" w:asciiTheme="majorEastAsia" w:hAnsiTheme="majorEastAsia" w:eastAsiaTheme="majorEastAsia" w:cstheme="majorEastAsia"/>
          <w:kern w:val="0"/>
          <w:sz w:val="32"/>
          <w:szCs w:val="32"/>
        </w:rPr>
      </w:pPr>
      <w:r>
        <w:rPr>
          <w:rFonts w:hint="eastAsia" w:ascii="仿宋" w:hAnsi="仿宋" w:eastAsia="仿宋"/>
          <w:color w:val="000000"/>
          <w:sz w:val="32"/>
          <w:szCs w:val="32"/>
        </w:rPr>
        <w:t>公用经费</w:t>
      </w:r>
      <w:r>
        <w:rPr>
          <w:rFonts w:hint="eastAsia" w:ascii="仿宋" w:hAnsi="仿宋" w:eastAsia="仿宋"/>
          <w:color w:val="000000"/>
          <w:sz w:val="32"/>
          <w:szCs w:val="32"/>
          <w:lang w:val="en-US" w:eastAsia="zh-CN"/>
        </w:rPr>
        <w:t>10.35</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38" w:name="_Toc15396609"/>
      <w:bookmarkStart w:id="39"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p>
    <w:p>
      <w:pPr>
        <w:spacing w:line="600" w:lineRule="exact"/>
        <w:ind w:firstLine="640"/>
        <w:outlineLvl w:val="2"/>
        <w:rPr>
          <w:rFonts w:hint="eastAsia" w:ascii="仿宋" w:hAnsi="仿宋" w:eastAsia="仿宋"/>
          <w:b/>
          <w:color w:val="000000"/>
          <w:sz w:val="32"/>
          <w:szCs w:val="32"/>
        </w:rPr>
      </w:pPr>
      <w:r>
        <w:rPr>
          <w:rFonts w:hint="eastAsia" w:ascii="仿宋" w:hAnsi="仿宋" w:eastAsia="仿宋"/>
          <w:b/>
          <w:color w:val="000000"/>
          <w:sz w:val="32"/>
          <w:szCs w:val="32"/>
        </w:rPr>
        <w:t>（一）“三公”经费财政拨款支出决算总体情况说明</w:t>
      </w:r>
    </w:p>
    <w:p>
      <w:pPr>
        <w:spacing w:line="600" w:lineRule="exact"/>
        <w:ind w:firstLine="64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无</w:t>
      </w:r>
    </w:p>
    <w:p>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无</w:t>
      </w:r>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无</w:t>
      </w:r>
    </w:p>
    <w:p>
      <w:pPr>
        <w:numPr>
          <w:ilvl w:val="0"/>
          <w:numId w:val="3"/>
        </w:numPr>
        <w:spacing w:line="600" w:lineRule="exact"/>
        <w:ind w:firstLine="640"/>
        <w:outlineLvl w:val="1"/>
        <w:rPr>
          <w:rStyle w:val="25"/>
          <w:rFonts w:ascii="黑体" w:hAnsi="黑体" w:eastAsia="黑体"/>
          <w:b w:val="0"/>
        </w:rPr>
      </w:pPr>
      <w:r>
        <w:rPr>
          <w:rStyle w:val="25"/>
          <w:rFonts w:hint="eastAsia" w:ascii="黑体" w:hAnsi="黑体" w:eastAsia="黑体"/>
          <w:b w:val="0"/>
        </w:rPr>
        <w:t>国有资本经营预算支出决算情况说明</w:t>
      </w:r>
    </w:p>
    <w:p>
      <w:pPr>
        <w:numPr>
          <w:ilvl w:val="0"/>
          <w:numId w:val="0"/>
        </w:numPr>
        <w:spacing w:line="600" w:lineRule="exact"/>
        <w:outlineLvl w:val="1"/>
        <w:rPr>
          <w:rStyle w:val="25"/>
          <w:rFonts w:hint="default" w:ascii="黑体" w:hAnsi="黑体" w:eastAsia="黑体"/>
          <w:b w:val="0"/>
          <w:lang w:val="en-US" w:eastAsia="zh-CN"/>
        </w:rPr>
      </w:pPr>
      <w:r>
        <w:rPr>
          <w:rStyle w:val="25"/>
          <w:rFonts w:hint="eastAsia" w:ascii="黑体" w:hAnsi="黑体" w:eastAsia="黑体"/>
          <w:b w:val="0"/>
          <w:lang w:val="en-US" w:eastAsia="zh-CN"/>
        </w:rPr>
        <w:t xml:space="preserve">    无</w:t>
      </w:r>
    </w:p>
    <w:p>
      <w:pPr>
        <w:pStyle w:val="23"/>
        <w:numPr>
          <w:ilvl w:val="0"/>
          <w:numId w:val="4"/>
        </w:numPr>
        <w:spacing w:line="580" w:lineRule="exact"/>
        <w:ind w:firstLineChars="0"/>
        <w:rPr>
          <w:rStyle w:val="25"/>
          <w:rFonts w:ascii="黑体" w:hAnsi="黑体" w:eastAsia="黑体"/>
          <w:b w:val="0"/>
        </w:rPr>
      </w:pPr>
      <w:r>
        <w:rPr>
          <w:rStyle w:val="25"/>
          <w:rFonts w:hint="eastAsia" w:ascii="黑体" w:hAnsi="黑体" w:eastAsia="黑体"/>
          <w:b w:val="0"/>
        </w:rPr>
        <w:t>预算绩效情况说明</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2个项目开展了预算事前绩效评估，对2个项目编制了绩效目标，预算执行过程中，选取2项目开展绩效监控，年终执行完毕后，对2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年部门整体支出开展绩效自评，从评价情况来看本单位按要求对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年单位整体支出开展绩效自评，从评价情况来看，本单位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 年单位整体支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pPr>
        <w:numPr>
          <w:ilvl w:val="0"/>
          <w:numId w:val="5"/>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本单位在201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年度部门决算中反映“基本公共卫生服务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1.基本药物补助项目绩效目标完成情况综述。项目全年预算数</w:t>
      </w:r>
      <w:r>
        <w:rPr>
          <w:rFonts w:hint="eastAsia" w:ascii="仿宋_GB2312" w:hAnsi="仿宋_GB2312" w:eastAsia="仿宋_GB2312" w:cs="仿宋_GB2312"/>
          <w:sz w:val="32"/>
          <w:szCs w:val="32"/>
          <w:lang w:val="en-US" w:eastAsia="zh-CN"/>
        </w:rPr>
        <w:t>14.53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14.53</w:t>
      </w:r>
      <w:r>
        <w:rPr>
          <w:rFonts w:hint="eastAsia" w:ascii="仿宋_GB2312" w:hAnsi="仿宋_GB2312" w:eastAsia="仿宋_GB2312" w:cs="仿宋_GB2312"/>
          <w:sz w:val="32"/>
          <w:szCs w:val="32"/>
        </w:rPr>
        <w:t>万元，完成预算的100%。通过项目实施，保障了201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年我院基本药物采购资金的保障，发现的主要问题：对专项项目推进工作重视度有待加强，对。下一步改进措施：极与财政部门衔接，在单位预算编制中从细从严，切实推进预算。</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2.基本公共卫生服务项目绩效目标完成情况综述。项目年初预算数</w:t>
      </w:r>
      <w:r>
        <w:rPr>
          <w:rFonts w:hint="eastAsia" w:ascii="仿宋_GB2312" w:hAnsi="仿宋_GB2312" w:eastAsia="仿宋_GB2312" w:cs="仿宋_GB2312"/>
          <w:sz w:val="32"/>
          <w:szCs w:val="32"/>
          <w:lang w:val="en-US" w:eastAsia="zh-CN"/>
        </w:rPr>
        <w:t>81.64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81.64</w:t>
      </w:r>
      <w:r>
        <w:rPr>
          <w:rFonts w:hint="eastAsia" w:ascii="仿宋_GB2312" w:hAnsi="仿宋_GB2312" w:eastAsia="仿宋_GB2312" w:cs="仿宋_GB2312"/>
          <w:sz w:val="32"/>
          <w:szCs w:val="32"/>
        </w:rPr>
        <w:t>万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w:t>
            </w:r>
            <w:r>
              <w:rPr>
                <w:rFonts w:hint="eastAsia" w:ascii="宋体" w:hAnsi="宋体" w:cs="宋体"/>
                <w:color w:val="000000"/>
                <w:sz w:val="24"/>
                <w:lang w:eastAsia="zh-CN"/>
              </w:rPr>
              <w:t>河市镇社区卫生服务中心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14.53</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14.53</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14.53</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14.53</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年基本药物资金补助</w:t>
            </w:r>
            <w:r>
              <w:rPr>
                <w:rFonts w:hint="eastAsia" w:ascii="宋体" w:hAnsi="宋体" w:cs="宋体"/>
                <w:color w:val="000000"/>
                <w:sz w:val="24"/>
                <w:lang w:val="en-US" w:eastAsia="zh-CN"/>
              </w:rPr>
              <w:t>14.53</w:t>
            </w:r>
            <w:r>
              <w:rPr>
                <w:rFonts w:hint="eastAsia" w:ascii="宋体" w:hAnsi="宋体" w:cs="宋体"/>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年基本药物资金补助</w:t>
            </w:r>
            <w:r>
              <w:rPr>
                <w:rFonts w:hint="eastAsia" w:ascii="宋体" w:hAnsi="宋体" w:cs="宋体"/>
                <w:color w:val="000000"/>
                <w:sz w:val="24"/>
                <w:lang w:val="en-US" w:eastAsia="zh-CN"/>
              </w:rPr>
              <w:t>14.53</w:t>
            </w:r>
            <w:r>
              <w:rPr>
                <w:rFonts w:hint="eastAsia" w:ascii="宋体" w:hAns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年基药采购数量任务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通过基药采购平台进行采购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每月按时完成采购计划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基药零差价进销让患者减轻负担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患者对基药零差价进销满意度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w:t>
            </w:r>
            <w:r>
              <w:rPr>
                <w:rFonts w:hint="eastAsia" w:ascii="宋体" w:hAnsi="宋体" w:cs="宋体"/>
                <w:color w:val="000000"/>
                <w:sz w:val="24"/>
                <w:lang w:val="en-US" w:eastAsia="zh-CN"/>
              </w:rPr>
              <w:t>7</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基本公共卫生服务</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w:t>
            </w:r>
            <w:r>
              <w:rPr>
                <w:rFonts w:hint="eastAsia" w:ascii="宋体" w:hAnsi="宋体" w:cs="宋体"/>
                <w:color w:val="000000"/>
                <w:sz w:val="24"/>
                <w:lang w:eastAsia="zh-CN"/>
              </w:rPr>
              <w:t>河市镇社区卫生服务中心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81.64</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81.64</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81.64</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81.64</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年基本公共卫生服务</w:t>
            </w:r>
            <w:r>
              <w:rPr>
                <w:rFonts w:hint="eastAsia" w:ascii="宋体" w:hAnsi="宋体" w:cs="宋体"/>
                <w:color w:val="000000"/>
                <w:sz w:val="24"/>
                <w:lang w:val="en-US" w:eastAsia="zh-CN"/>
              </w:rPr>
              <w:t>81.64</w:t>
            </w:r>
            <w:r>
              <w:rPr>
                <w:rFonts w:hint="eastAsia" w:ascii="宋体" w:hAnsi="宋体" w:cs="宋体"/>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年基本公共卫生服务</w:t>
            </w:r>
            <w:r>
              <w:rPr>
                <w:rFonts w:hint="eastAsia" w:ascii="宋体" w:hAnsi="宋体" w:cs="宋体"/>
                <w:color w:val="000000"/>
                <w:sz w:val="24"/>
                <w:lang w:val="en-US" w:eastAsia="zh-CN"/>
              </w:rPr>
              <w:t>81.64</w:t>
            </w:r>
            <w:r>
              <w:rPr>
                <w:rFonts w:hint="eastAsia" w:ascii="宋体" w:hAns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完成201</w:t>
            </w:r>
            <w:r>
              <w:rPr>
                <w:rFonts w:hint="eastAsia" w:ascii="宋体" w:hAnsi="宋体" w:cs="宋体"/>
                <w:color w:val="000000"/>
                <w:sz w:val="24"/>
                <w:lang w:val="en-US" w:eastAsia="zh-CN"/>
              </w:rPr>
              <w:t>9</w:t>
            </w:r>
            <w:r>
              <w:rPr>
                <w:rFonts w:hint="eastAsia" w:ascii="宋体" w:hAnsi="宋体" w:cs="宋体"/>
                <w:color w:val="000000"/>
                <w:sz w:val="24"/>
              </w:rPr>
              <w:t>年基本公共卫生服</w:t>
            </w:r>
            <w:r>
              <w:rPr>
                <w:rFonts w:hint="eastAsia" w:ascii="宋体" w:hAnsi="宋体" w:cs="宋体"/>
                <w:color w:val="000000"/>
                <w:sz w:val="24"/>
                <w:lang w:val="en-US" w:eastAsia="zh-CN"/>
              </w:rPr>
              <w:t>81.64</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通过基本公共卫生服务开展达到对辖区居民建档率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w:t>
            </w:r>
            <w:r>
              <w:rPr>
                <w:rFonts w:hint="eastAsia" w:ascii="宋体" w:hAnsi="宋体" w:cs="宋体"/>
                <w:color w:val="000000"/>
                <w:sz w:val="24"/>
                <w:lang w:val="en-US" w:eastAsia="zh-CN"/>
              </w:rPr>
              <w:t>95</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按时完成公卫相关工作及相关报表的上报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严格控制基本公共卫生服务经费支出做到专款专用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通过基本公共卫生服务的开展让群众知道该项目的开展目的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w:t>
            </w:r>
            <w:r>
              <w:rPr>
                <w:rFonts w:hint="eastAsia" w:ascii="宋体" w:hAnsi="宋体" w:cs="宋体"/>
                <w:color w:val="000000"/>
                <w:sz w:val="24"/>
                <w:lang w:val="en-US" w:eastAsia="zh-CN"/>
              </w:rPr>
              <w:t>5</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通过基本公共卫生服务的开展使群众对改项目的认可度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w:t>
            </w:r>
            <w:r>
              <w:rPr>
                <w:rFonts w:hint="eastAsia" w:ascii="宋体" w:hAnsi="宋体" w:cs="宋体"/>
                <w:color w:val="000000"/>
                <w:sz w:val="24"/>
                <w:lang w:val="en-US" w:eastAsia="zh-CN"/>
              </w:rPr>
              <w:t>5</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rPr>
          <w:rFonts w:ascii="仿宋_GB2312" w:hAnsi="仿宋_GB2312" w:eastAsia="仿宋_GB2312" w:cs="仿宋_GB2312"/>
          <w:sz w:val="32"/>
          <w:szCs w:val="32"/>
        </w:rPr>
      </w:pPr>
    </w:p>
    <w:p>
      <w:pPr>
        <w:numPr>
          <w:ilvl w:val="0"/>
          <w:numId w:val="5"/>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Style w:val="25"/>
          <w:rFonts w:ascii="黑体" w:hAnsi="黑体" w:eastAsia="黑体"/>
          <w:b w:val="0"/>
        </w:rPr>
      </w:pPr>
      <w:r>
        <w:rPr>
          <w:rFonts w:hint="eastAsia" w:ascii="仿宋_GB2312" w:hAnsi="仿宋_GB2312" w:eastAsia="仿宋_GB2312" w:cs="仿宋_GB2312"/>
          <w:sz w:val="32"/>
          <w:szCs w:val="32"/>
        </w:rPr>
        <w:t>本部门按要求对201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年部门整体支出绩效评价情况开展自评，《四川省达州市达川区</w:t>
      </w:r>
      <w:r>
        <w:rPr>
          <w:rFonts w:hint="eastAsia" w:ascii="仿宋_GB2312" w:hAnsi="仿宋_GB2312" w:eastAsia="仿宋_GB2312" w:cs="仿宋_GB2312"/>
          <w:sz w:val="32"/>
          <w:szCs w:val="32"/>
          <w:lang w:eastAsia="zh-CN"/>
        </w:rPr>
        <w:t>河市镇社区卫生服务中心</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年部门整体支出绩效评价报告》见附件。本部门未自行组织其他项目绩效评价。</w:t>
      </w:r>
    </w:p>
    <w:p>
      <w:pPr>
        <w:spacing w:line="600" w:lineRule="exact"/>
        <w:ind w:firstLine="640" w:firstLineChars="200"/>
        <w:outlineLvl w:val="1"/>
        <w:rPr>
          <w:rStyle w:val="25"/>
          <w:rFonts w:ascii="黑体" w:hAnsi="黑体" w:eastAsia="黑体"/>
        </w:rPr>
      </w:pPr>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p>
    <w:p>
      <w:pPr>
        <w:spacing w:line="600" w:lineRule="exact"/>
        <w:ind w:firstLine="643" w:firstLineChars="200"/>
        <w:outlineLvl w:val="2"/>
        <w:rPr>
          <w:rFonts w:hint="eastAsia" w:ascii="仿宋" w:hAnsi="仿宋" w:eastAsia="仿宋"/>
          <w:b/>
          <w:color w:val="000000"/>
          <w:sz w:val="32"/>
          <w:szCs w:val="32"/>
        </w:rPr>
      </w:pPr>
      <w:r>
        <w:rPr>
          <w:rFonts w:hint="eastAsia" w:ascii="仿宋" w:hAnsi="仿宋" w:eastAsia="仿宋"/>
          <w:b/>
          <w:color w:val="000000"/>
          <w:sz w:val="32"/>
          <w:szCs w:val="32"/>
        </w:rPr>
        <w:t>（一）机关运行经费支出情况</w:t>
      </w:r>
    </w:p>
    <w:p>
      <w:pPr>
        <w:spacing w:line="600" w:lineRule="exact"/>
        <w:ind w:firstLine="643" w:firstLineChars="20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p>
    <w:p>
      <w:pPr>
        <w:spacing w:line="600" w:lineRule="exact"/>
        <w:ind w:firstLine="640" w:firstLineChars="200"/>
        <w:rPr>
          <w:rFonts w:hint="eastAsia" w:ascii="仿宋_GB2312" w:eastAsia="仿宋_GB2312"/>
          <w:color w:val="000000"/>
          <w:sz w:val="32"/>
          <w:szCs w:val="32"/>
          <w:lang w:eastAsia="zh-CN"/>
        </w:rPr>
      </w:pP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达州市达川区</w:t>
      </w:r>
      <w:r>
        <w:rPr>
          <w:rFonts w:hint="eastAsia" w:ascii="仿宋_GB2312" w:hAnsi="仿宋_GB2312" w:eastAsia="仿宋_GB2312" w:cs="仿宋_GB2312"/>
          <w:sz w:val="32"/>
          <w:szCs w:val="32"/>
          <w:lang w:eastAsia="zh-CN"/>
        </w:rPr>
        <w:t>河市镇社区卫生服务中心</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6"/>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r>
        <w:rPr>
          <w:rFonts w:hint="eastAsia" w:ascii="仿宋" w:hAnsi="仿宋" w:eastAsia="仿宋"/>
          <w:b/>
          <w:color w:val="000000"/>
          <w:sz w:val="32"/>
          <w:szCs w:val="32"/>
        </w:rPr>
        <w:t>国有资产占有使用情况</w:t>
      </w:r>
    </w:p>
    <w:p>
      <w:pPr>
        <w:spacing w:line="600" w:lineRule="atLeast"/>
        <w:ind w:firstLine="643" w:firstLineChars="200"/>
        <w:rPr>
          <w:rFonts w:ascii="仿宋_GB2312" w:eastAsia="仿宋_GB2312"/>
          <w:b/>
          <w:color w:val="000000"/>
          <w:sz w:val="32"/>
          <w:szCs w:val="32"/>
        </w:rPr>
      </w:pPr>
      <w:r>
        <w:rPr>
          <w:rFonts w:hint="eastAsia" w:ascii="仿宋" w:hAnsi="仿宋" w:eastAsia="仿宋"/>
          <w:b/>
          <w:color w:val="000000"/>
          <w:sz w:val="32"/>
          <w:szCs w:val="32"/>
          <w:lang w:val="en-US" w:eastAsia="zh-CN"/>
        </w:rPr>
        <w:t xml:space="preserve"> </w:t>
      </w:r>
      <w:r>
        <w:rPr>
          <w:rFonts w:hint="eastAsia" w:ascii="仿宋_GB2312" w:eastAsia="仿宋_GB2312"/>
          <w:color w:val="000000"/>
          <w:sz w:val="32"/>
          <w:szCs w:val="32"/>
        </w:rPr>
        <w:t>截至201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年12月31日，我院有救护车辆0辆。单价50万元以上通用设备无（套），单价100万元以上专用设备0台。</w:t>
      </w:r>
    </w:p>
    <w:p>
      <w:pPr>
        <w:spacing w:line="600" w:lineRule="exact"/>
        <w:ind w:firstLine="645"/>
        <w:rPr>
          <w:rFonts w:eastAsia="仿宋_GB2312"/>
          <w:color w:val="000000"/>
          <w:kern w:val="0"/>
          <w:sz w:val="32"/>
          <w:szCs w:val="32"/>
        </w:rPr>
      </w:pPr>
    </w:p>
    <w:p>
      <w:pPr>
        <w:numPr>
          <w:ilvl w:val="0"/>
          <w:numId w:val="0"/>
        </w:numPr>
        <w:autoSpaceDE w:val="0"/>
        <w:autoSpaceDN w:val="0"/>
        <w:adjustRightInd w:val="0"/>
        <w:spacing w:line="600" w:lineRule="exact"/>
        <w:jc w:val="left"/>
        <w:outlineLvl w:val="2"/>
        <w:rPr>
          <w:rFonts w:hint="default" w:ascii="仿宋" w:hAnsi="仿宋" w:eastAsia="仿宋"/>
          <w:b/>
          <w:color w:val="000000"/>
          <w:sz w:val="32"/>
          <w:szCs w:val="32"/>
          <w:lang w:val="en-US" w:eastAsia="zh-CN"/>
        </w:rPr>
      </w:pP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7"/>
        </w:numPr>
        <w:spacing w:line="600" w:lineRule="exact"/>
        <w:ind w:firstLine="663" w:firstLineChars="150"/>
        <w:jc w:val="center"/>
        <w:outlineLvl w:val="0"/>
        <w:rPr>
          <w:rStyle w:val="24"/>
          <w:rFonts w:ascii="黑体" w:hAnsi="黑体" w:eastAsia="黑体"/>
          <w:b w:val="0"/>
        </w:rPr>
      </w:pPr>
      <w:r>
        <w:rPr>
          <w:rFonts w:hint="eastAsia" w:ascii="黑体" w:hAnsi="黑体" w:eastAsia="黑体"/>
          <w:b/>
          <w:color w:val="000000"/>
          <w:sz w:val="44"/>
          <w:szCs w:val="44"/>
        </w:rPr>
        <w:t>名</w:t>
      </w:r>
      <w:r>
        <w:rPr>
          <w:rStyle w:val="24"/>
          <w:rFonts w:hint="eastAsia" w:ascii="黑体" w:hAnsi="黑体" w:eastAsia="黑体"/>
          <w:b w:val="0"/>
        </w:rPr>
        <w:t>词解释</w:t>
      </w:r>
    </w:p>
    <w:p>
      <w:pPr>
        <w:numPr>
          <w:ilvl w:val="0"/>
          <w:numId w:val="0"/>
        </w:numPr>
        <w:spacing w:line="600" w:lineRule="exact"/>
        <w:jc w:val="both"/>
        <w:outlineLvl w:val="0"/>
        <w:rPr>
          <w:rStyle w:val="24"/>
          <w:rFonts w:ascii="黑体" w:hAnsi="黑体" w:eastAsia="黑体"/>
          <w:b w:val="0"/>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784" w:firstLineChars="245"/>
        <w:rPr>
          <w:rFonts w:hint="eastAsia" w:ascii="仿宋_GB2312" w:eastAsia="仿宋_GB2312" w:cs="Arial"/>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.社会保障和就业（208）</w:t>
      </w:r>
      <w:r>
        <w:rPr>
          <w:rFonts w:hint="eastAsia" w:ascii="仿宋_GB2312" w:eastAsia="仿宋_GB2312" w:cs="Arial"/>
          <w:color w:val="000000"/>
          <w:sz w:val="32"/>
          <w:szCs w:val="32"/>
        </w:rPr>
        <w:t>行政事业单位离退休（05</w:t>
      </w:r>
      <w:r>
        <w:rPr>
          <w:rFonts w:hint="eastAsia" w:cs="Arial"/>
          <w:color w:val="000000"/>
          <w:sz w:val="32"/>
          <w:szCs w:val="32"/>
        </w:rPr>
        <w:t>）</w:t>
      </w:r>
      <w:r>
        <w:rPr>
          <w:rFonts w:hint="eastAsia" w:cs="Arial"/>
          <w:color w:val="000000"/>
          <w:sz w:val="22"/>
          <w:szCs w:val="22"/>
        </w:rPr>
        <w:t xml:space="preserve"> </w:t>
      </w:r>
      <w:r>
        <w:rPr>
          <w:rFonts w:hint="eastAsia" w:ascii="仿宋_GB2312" w:eastAsia="仿宋_GB2312" w:cs="Arial"/>
          <w:color w:val="000000"/>
          <w:sz w:val="32"/>
          <w:szCs w:val="32"/>
        </w:rPr>
        <w:t xml:space="preserve"> 机关事业单位基本养老保险缴费支出（05）</w:t>
      </w:r>
      <w:r>
        <w:rPr>
          <w:rFonts w:hint="eastAsia" w:ascii="仿宋_GB2312" w:eastAsia="仿宋_GB2312"/>
          <w:color w:val="000000"/>
          <w:sz w:val="32"/>
          <w:szCs w:val="32"/>
        </w:rPr>
        <w:t>：反映机构事业单位实施养老保险制度由单位缴纳的基本养老保险</w:t>
      </w:r>
      <w:r>
        <w:rPr>
          <w:rFonts w:hint="eastAsia" w:ascii="仿宋_GB2312" w:eastAsia="仿宋_GB2312" w:cs="Arial"/>
          <w:color w:val="000000"/>
          <w:sz w:val="32"/>
          <w:szCs w:val="32"/>
        </w:rPr>
        <w:t>支出；</w:t>
      </w:r>
    </w:p>
    <w:p>
      <w:pPr>
        <w:ind w:firstLine="784" w:firstLineChars="245"/>
        <w:rPr>
          <w:rFonts w:hint="eastAsia" w:ascii="仿宋_GB2312" w:eastAsia="仿宋_GB2312"/>
          <w:color w:val="000000"/>
          <w:sz w:val="32"/>
          <w:szCs w:val="32"/>
        </w:rPr>
      </w:pPr>
      <w:r>
        <w:rPr>
          <w:rStyle w:val="14"/>
          <w:rFonts w:hint="eastAsia" w:ascii="仿宋_GB2312" w:eastAsia="仿宋_GB2312"/>
          <w:b w:val="0"/>
          <w:color w:val="000000"/>
          <w:sz w:val="32"/>
          <w:szCs w:val="32"/>
          <w:lang w:val="en-US" w:eastAsia="zh-CN"/>
        </w:rPr>
        <w:t>10</w:t>
      </w:r>
      <w:r>
        <w:rPr>
          <w:rStyle w:val="14"/>
          <w:rFonts w:hint="eastAsia" w:ascii="仿宋_GB2312" w:eastAsia="仿宋_GB2312"/>
          <w:b w:val="0"/>
          <w:color w:val="000000"/>
          <w:sz w:val="32"/>
          <w:szCs w:val="32"/>
        </w:rPr>
        <w:t>.医疗卫生与计划生育（210）基层医疗卫生机构（03）</w:t>
      </w:r>
      <w:r>
        <w:rPr>
          <w:rFonts w:hint="eastAsia" w:ascii="仿宋_GB2312" w:eastAsia="仿宋_GB2312" w:cs="Arial"/>
          <w:color w:val="000000"/>
          <w:sz w:val="32"/>
          <w:szCs w:val="32"/>
        </w:rPr>
        <w:t>城市社区卫生机构</w:t>
      </w:r>
      <w:r>
        <w:rPr>
          <w:rStyle w:val="14"/>
          <w:rFonts w:hint="eastAsia" w:ascii="仿宋_GB2312" w:eastAsia="仿宋_GB2312"/>
          <w:b w:val="0"/>
          <w:color w:val="000000"/>
          <w:sz w:val="32"/>
          <w:szCs w:val="32"/>
        </w:rPr>
        <w:t>（0</w:t>
      </w:r>
      <w:r>
        <w:rPr>
          <w:rStyle w:val="14"/>
          <w:rFonts w:hint="eastAsia" w:ascii="仿宋_GB2312" w:eastAsia="仿宋_GB2312"/>
          <w:b w:val="0"/>
          <w:color w:val="000000"/>
          <w:sz w:val="32"/>
          <w:szCs w:val="32"/>
          <w:lang w:val="en-US" w:eastAsia="zh-CN"/>
        </w:rPr>
        <w:t>1</w:t>
      </w:r>
      <w:r>
        <w:rPr>
          <w:rStyle w:val="14"/>
          <w:rFonts w:hint="eastAsia" w:ascii="仿宋_GB2312" w:eastAsia="仿宋_GB2312"/>
          <w:b w:val="0"/>
          <w:color w:val="000000"/>
          <w:sz w:val="32"/>
          <w:szCs w:val="32"/>
        </w:rPr>
        <w:t>）反映医疗卫生与计划生育</w:t>
      </w:r>
      <w:r>
        <w:rPr>
          <w:rFonts w:hint="eastAsia" w:ascii="仿宋_GB2312" w:eastAsia="仿宋_GB2312"/>
          <w:color w:val="000000"/>
          <w:sz w:val="32"/>
          <w:szCs w:val="32"/>
        </w:rPr>
        <w:t>用于城市社区卫生机构方面的支出；</w:t>
      </w:r>
      <w:r>
        <w:rPr>
          <w:rStyle w:val="14"/>
          <w:rFonts w:hint="eastAsia" w:ascii="仿宋_GB2312" w:eastAsia="仿宋_GB2312"/>
          <w:b w:val="0"/>
          <w:color w:val="000000"/>
          <w:sz w:val="32"/>
          <w:szCs w:val="32"/>
        </w:rPr>
        <w:t>医疗卫生与计划生育（210）基层医疗卫生机构（03）</w:t>
      </w:r>
      <w:r>
        <w:rPr>
          <w:rFonts w:hint="eastAsia" w:ascii="仿宋_GB2312" w:eastAsia="仿宋_GB2312" w:cs="Arial"/>
          <w:color w:val="000000"/>
          <w:sz w:val="32"/>
          <w:szCs w:val="32"/>
        </w:rPr>
        <w:t>乡镇卫生院</w:t>
      </w:r>
      <w:r>
        <w:rPr>
          <w:rStyle w:val="14"/>
          <w:rFonts w:hint="eastAsia" w:ascii="仿宋_GB2312" w:eastAsia="仿宋_GB2312"/>
          <w:b w:val="0"/>
          <w:color w:val="000000"/>
          <w:sz w:val="32"/>
          <w:szCs w:val="32"/>
        </w:rPr>
        <w:t>（02）反映医疗卫生与计划生育</w:t>
      </w:r>
      <w:r>
        <w:rPr>
          <w:rFonts w:hint="eastAsia" w:ascii="仿宋_GB2312" w:eastAsia="仿宋_GB2312"/>
          <w:color w:val="000000"/>
          <w:sz w:val="32"/>
          <w:szCs w:val="32"/>
        </w:rPr>
        <w:t>用于医疗卫生与计划生育管理事务方面的支出；</w:t>
      </w:r>
      <w:r>
        <w:rPr>
          <w:rStyle w:val="14"/>
          <w:rFonts w:hint="eastAsia" w:ascii="仿宋_GB2312" w:eastAsia="仿宋_GB2312"/>
          <w:b w:val="0"/>
          <w:color w:val="000000"/>
          <w:sz w:val="32"/>
          <w:szCs w:val="32"/>
        </w:rPr>
        <w:t>（210）基层医疗卫生机构（03）其他基层医疗卫生机构支出（99）</w:t>
      </w:r>
      <w:r>
        <w:rPr>
          <w:rFonts w:hint="eastAsia" w:ascii="仿宋_GB2312" w:eastAsia="仿宋_GB2312"/>
          <w:color w:val="000000"/>
          <w:sz w:val="32"/>
          <w:szCs w:val="32"/>
        </w:rPr>
        <w:t>反映其他用于医疗卫生与计划生育管理事务方面的支出；</w:t>
      </w:r>
      <w:r>
        <w:rPr>
          <w:rStyle w:val="14"/>
          <w:rFonts w:hint="eastAsia" w:ascii="仿宋_GB2312" w:eastAsia="仿宋_GB2312"/>
          <w:b w:val="0"/>
          <w:color w:val="000000"/>
          <w:sz w:val="32"/>
          <w:szCs w:val="32"/>
        </w:rPr>
        <w:t>医疗卫生与计划生育（210）</w:t>
      </w:r>
      <w:r>
        <w:rPr>
          <w:rFonts w:hint="eastAsia" w:ascii="仿宋_GB2312" w:eastAsia="仿宋_GB2312" w:cs="Arial"/>
          <w:color w:val="000000"/>
          <w:sz w:val="32"/>
          <w:szCs w:val="32"/>
        </w:rPr>
        <w:t>公共卫生</w:t>
      </w:r>
      <w:r>
        <w:rPr>
          <w:rStyle w:val="14"/>
          <w:rFonts w:hint="eastAsia" w:ascii="仿宋_GB2312" w:eastAsia="仿宋_GB2312"/>
          <w:b w:val="0"/>
          <w:color w:val="000000"/>
          <w:sz w:val="32"/>
          <w:szCs w:val="32"/>
        </w:rPr>
        <w:t>（04）基本公共卫生服务（08）反映基本公共卫生服务支出。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11.基本支出：指为保障机构正常运转、完成日常工作任务而发生的人员支出和公用支出。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12.项目支出：指在基本支出之外为完成特定行政任务和事业发展目标所发生的支出。 </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13.经营支出：指事业单位在专业业务活动及其辅助活动之外开展非独立核算经营活动发生的支出。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left"/>
        <w:rPr>
          <w:rFonts w:ascii="宋体"/>
          <w:b/>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p>
    <w:p>
      <w:pPr>
        <w:spacing w:line="600" w:lineRule="exact"/>
        <w:jc w:val="center"/>
        <w:outlineLvl w:val="0"/>
        <w:rPr>
          <w:rStyle w:val="24"/>
        </w:rPr>
      </w:pPr>
    </w:p>
    <w:p>
      <w:pPr>
        <w:pStyle w:val="3"/>
        <w:rPr>
          <w:rStyle w:val="24"/>
          <w:rFonts w:ascii="仿宋" w:hAnsi="仿宋" w:eastAsia="仿宋"/>
          <w:b w:val="0"/>
          <w:bCs w:val="0"/>
          <w:sz w:val="32"/>
          <w:szCs w:val="32"/>
        </w:rPr>
      </w:pPr>
      <w:r>
        <w:rPr>
          <w:rStyle w:val="24"/>
          <w:rFonts w:hint="eastAsia" w:ascii="仿宋" w:hAnsi="仿宋" w:eastAsia="仿宋"/>
          <w:b w:val="0"/>
          <w:bCs w:val="0"/>
          <w:sz w:val="32"/>
          <w:szCs w:val="32"/>
        </w:rPr>
        <w:t>附件1</w:t>
      </w:r>
    </w:p>
    <w:p>
      <w:pPr>
        <w:spacing w:line="600" w:lineRule="exact"/>
        <w:jc w:val="center"/>
        <w:outlineLvl w:val="0"/>
        <w:rPr>
          <w:rFonts w:hint="eastAsia" w:ascii="黑体" w:hAnsi="黑体" w:eastAsia="黑体" w:cs="方正小标宋简体"/>
          <w:sz w:val="36"/>
          <w:szCs w:val="36"/>
          <w:lang w:eastAsia="zh-CN"/>
        </w:rPr>
      </w:pPr>
      <w:r>
        <w:rPr>
          <w:rFonts w:hint="eastAsia" w:ascii="黑体" w:hAnsi="黑体" w:eastAsia="黑体" w:cs="方正小标宋简体"/>
          <w:sz w:val="36"/>
          <w:szCs w:val="36"/>
        </w:rPr>
        <w:t>达州市达川区</w:t>
      </w:r>
      <w:r>
        <w:rPr>
          <w:rFonts w:hint="eastAsia" w:ascii="黑体" w:hAnsi="黑体" w:eastAsia="黑体" w:cs="方正小标宋简体"/>
          <w:sz w:val="36"/>
          <w:szCs w:val="36"/>
          <w:lang w:eastAsia="zh-CN"/>
        </w:rPr>
        <w:t>河市镇社区卫生服务中心</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年部门整体支出绩效评价报告</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楷体" w:hAnsi="楷体" w:eastAsia="楷体" w:cs="仿宋_GB2312"/>
          <w:sz w:val="32"/>
          <w:szCs w:val="32"/>
        </w:rPr>
      </w:pPr>
      <w:r>
        <w:rPr>
          <w:rFonts w:ascii="楷体" w:hAnsi="楷体" w:eastAsia="楷体" w:cs="仿宋_GB2312"/>
          <w:sz w:val="32"/>
          <w:szCs w:val="32"/>
        </w:rPr>
        <w:t>（一）机构组成。</w:t>
      </w:r>
    </w:p>
    <w:p>
      <w:pPr>
        <w:spacing w:line="580" w:lineRule="exact"/>
        <w:rPr>
          <w:rFonts w:ascii="仿宋" w:hAnsi="仿宋" w:eastAsia="仿宋" w:cs="仿宋_GB2312"/>
          <w:sz w:val="32"/>
          <w:szCs w:val="32"/>
        </w:rPr>
      </w:pPr>
      <w:r>
        <w:rPr>
          <w:rFonts w:hint="eastAsia" w:ascii="仿宋" w:hAnsi="仿宋" w:eastAsia="仿宋" w:cs="仿宋_GB2312"/>
          <w:sz w:val="32"/>
          <w:szCs w:val="32"/>
        </w:rPr>
        <w:t>达州市达川区</w:t>
      </w:r>
      <w:r>
        <w:rPr>
          <w:rFonts w:hint="eastAsia" w:ascii="仿宋" w:hAnsi="仿宋" w:eastAsia="仿宋" w:cs="仿宋_GB2312"/>
          <w:sz w:val="32"/>
          <w:szCs w:val="32"/>
          <w:lang w:eastAsia="zh-CN"/>
        </w:rPr>
        <w:t>河市镇社区卫生服务中心</w:t>
      </w:r>
      <w:r>
        <w:rPr>
          <w:rFonts w:hint="eastAsia" w:ascii="仿宋" w:hAnsi="仿宋" w:eastAsia="仿宋" w:cs="仿宋_GB2312"/>
          <w:sz w:val="32"/>
          <w:szCs w:val="32"/>
        </w:rPr>
        <w:t>是一家</w:t>
      </w:r>
      <w:r>
        <w:rPr>
          <w:rFonts w:hint="eastAsia" w:ascii="仿宋" w:hAnsi="仿宋" w:eastAsia="仿宋" w:cs="仿宋_GB2312"/>
          <w:sz w:val="32"/>
          <w:szCs w:val="32"/>
          <w:lang w:eastAsia="zh-CN"/>
        </w:rPr>
        <w:t>一级预算单位</w:t>
      </w:r>
      <w:r>
        <w:rPr>
          <w:rFonts w:hint="eastAsia" w:ascii="仿宋" w:hAnsi="仿宋" w:eastAsia="仿宋" w:cs="仿宋_GB2312"/>
          <w:sz w:val="32"/>
          <w:szCs w:val="32"/>
        </w:rPr>
        <w:t>，无其他下属单位。</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w:t>
      </w:r>
      <w:r>
        <w:rPr>
          <w:rFonts w:ascii="楷体" w:hAnsi="楷体" w:eastAsia="楷体" w:cs="仿宋_GB2312"/>
          <w:sz w:val="32"/>
          <w:szCs w:val="32"/>
        </w:rPr>
        <w:t>机构职能。</w:t>
      </w:r>
    </w:p>
    <w:p>
      <w:pPr>
        <w:spacing w:line="578" w:lineRule="exact"/>
        <w:ind w:firstLine="640" w:firstLineChars="200"/>
        <w:rPr>
          <w:rFonts w:hint="eastAsia" w:ascii="楷体" w:hAnsi="楷体" w:eastAsia="楷体" w:cs="仿宋_GB2312"/>
          <w:sz w:val="32"/>
          <w:szCs w:val="32"/>
        </w:rPr>
      </w:pPr>
      <w:r>
        <w:rPr>
          <w:rFonts w:hint="eastAsia" w:ascii="仿宋_GB2312" w:hAnsi="仿宋" w:eastAsia="仿宋_GB2312"/>
          <w:sz w:val="32"/>
          <w:szCs w:val="32"/>
        </w:rPr>
        <w:t>在地方政府和卫生行政部门领导下，根据党的方针、政策及市</w:t>
      </w:r>
      <w:r>
        <w:rPr>
          <w:rFonts w:hint="eastAsia" w:ascii="仿宋_GB2312" w:hAnsi="仿宋" w:eastAsia="仿宋_GB2312"/>
          <w:sz w:val="32"/>
          <w:szCs w:val="32"/>
          <w:lang w:eastAsia="zh-CN"/>
        </w:rPr>
        <w:t>卫健委</w:t>
      </w:r>
      <w:r>
        <w:rPr>
          <w:rFonts w:hint="eastAsia" w:ascii="仿宋_GB2312" w:hAnsi="仿宋" w:eastAsia="仿宋_GB2312"/>
          <w:sz w:val="32"/>
          <w:szCs w:val="32"/>
        </w:rPr>
        <w:t>、区卫</w:t>
      </w:r>
      <w:r>
        <w:rPr>
          <w:rFonts w:hint="eastAsia" w:ascii="仿宋_GB2312" w:hAnsi="仿宋" w:eastAsia="仿宋_GB2312"/>
          <w:sz w:val="32"/>
          <w:szCs w:val="32"/>
          <w:lang w:eastAsia="zh-CN"/>
        </w:rPr>
        <w:t>健</w:t>
      </w:r>
      <w:r>
        <w:rPr>
          <w:rFonts w:hint="eastAsia" w:ascii="仿宋_GB2312" w:hAnsi="仿宋" w:eastAsia="仿宋_GB2312"/>
          <w:sz w:val="32"/>
          <w:szCs w:val="32"/>
        </w:rPr>
        <w:t>局对社区卫生服务工作的总体要求、做好社区卫生服务行政业务工作，积极开展以保护、促进人民健康，不断提高居民生活质量为目的的卫生保健，认真落实各项卫生工作指标。</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w:t>
      </w:r>
      <w:r>
        <w:rPr>
          <w:rFonts w:ascii="楷体" w:hAnsi="楷体" w:eastAsia="楷体" w:cs="仿宋_GB2312"/>
          <w:sz w:val="32"/>
          <w:szCs w:val="32"/>
        </w:rPr>
        <w:t>人员概况。</w:t>
      </w:r>
    </w:p>
    <w:p>
      <w:pPr>
        <w:snapToGrid w:val="0"/>
        <w:spacing w:line="588"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达川区河市镇社区卫生服务中心</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rPr>
        <w:t>事业单位1个</w:t>
      </w:r>
      <w:r>
        <w:rPr>
          <w:rFonts w:hint="eastAsia" w:ascii="仿宋_GB2312" w:hAnsi="仿宋_GB2312" w:eastAsia="仿宋_GB2312" w:cs="仿宋_GB2312"/>
          <w:color w:val="000000"/>
          <w:sz w:val="32"/>
          <w:szCs w:val="32"/>
          <w:lang w:eastAsia="zh-CN"/>
        </w:rPr>
        <w:t>，内设院办、行政办公室、财务科、医保办、公共卫生科、医生住院部、医生门诊部、护理部、医技科室、中西药房、收费室、手术室等；</w:t>
      </w:r>
      <w:r>
        <w:rPr>
          <w:rFonts w:hint="eastAsia" w:ascii="仿宋_GB2312" w:hAnsi="仿宋" w:eastAsia="仿宋_GB2312"/>
          <w:sz w:val="32"/>
          <w:szCs w:val="32"/>
        </w:rPr>
        <w:t>年末实有人数</w:t>
      </w:r>
      <w:r>
        <w:rPr>
          <w:rFonts w:hint="eastAsia" w:ascii="仿宋_GB2312" w:hAnsi="仿宋" w:eastAsia="仿宋_GB2312"/>
          <w:sz w:val="32"/>
          <w:szCs w:val="32"/>
          <w:lang w:val="en-US" w:eastAsia="zh-CN"/>
        </w:rPr>
        <w:t>26</w:t>
      </w:r>
      <w:r>
        <w:rPr>
          <w:rFonts w:hint="eastAsia" w:ascii="仿宋_GB2312" w:hAnsi="仿宋" w:eastAsia="仿宋_GB2312"/>
          <w:sz w:val="32"/>
          <w:szCs w:val="32"/>
        </w:rPr>
        <w:t>人，其中事业专技人员</w:t>
      </w:r>
      <w:r>
        <w:rPr>
          <w:rFonts w:hint="eastAsia" w:ascii="仿宋_GB2312" w:hAnsi="仿宋" w:eastAsia="仿宋_GB2312"/>
          <w:sz w:val="32"/>
          <w:szCs w:val="32"/>
          <w:lang w:val="en-US" w:eastAsia="zh-CN"/>
        </w:rPr>
        <w:t>21</w:t>
      </w:r>
      <w:r>
        <w:rPr>
          <w:rFonts w:hint="eastAsia" w:ascii="仿宋_GB2312" w:hAnsi="仿宋" w:eastAsia="仿宋_GB2312"/>
          <w:sz w:val="32"/>
          <w:szCs w:val="32"/>
        </w:rPr>
        <w:t>人、事业工勤人员</w:t>
      </w:r>
      <w:r>
        <w:rPr>
          <w:rFonts w:hint="eastAsia" w:ascii="仿宋_GB2312" w:hAnsi="仿宋" w:eastAsia="仿宋_GB2312"/>
          <w:sz w:val="32"/>
          <w:szCs w:val="32"/>
          <w:lang w:val="en-US" w:eastAsia="zh-CN"/>
        </w:rPr>
        <w:t>5</w:t>
      </w:r>
      <w:r>
        <w:rPr>
          <w:rFonts w:hint="eastAsia" w:ascii="仿宋_GB2312" w:hAnsi="仿宋" w:eastAsia="仿宋_GB2312"/>
          <w:sz w:val="32"/>
          <w:szCs w:val="32"/>
        </w:rPr>
        <w:t>人、临聘人员</w:t>
      </w:r>
      <w:r>
        <w:rPr>
          <w:rFonts w:hint="eastAsia" w:ascii="仿宋_GB2312" w:hAnsi="仿宋" w:eastAsia="仿宋_GB2312"/>
          <w:sz w:val="32"/>
          <w:szCs w:val="32"/>
          <w:lang w:val="en-US" w:eastAsia="zh-CN"/>
        </w:rPr>
        <w:t>8</w:t>
      </w:r>
      <w:r>
        <w:rPr>
          <w:rFonts w:hint="eastAsia" w:ascii="仿宋_GB2312" w:hAnsi="仿宋" w:eastAsia="仿宋_GB2312"/>
          <w:sz w:val="32"/>
          <w:szCs w:val="32"/>
        </w:rPr>
        <w:t>人、退休人员</w:t>
      </w:r>
      <w:r>
        <w:rPr>
          <w:rFonts w:hint="eastAsia" w:ascii="仿宋_GB2312" w:hAnsi="仿宋" w:eastAsia="仿宋_GB2312"/>
          <w:sz w:val="32"/>
          <w:szCs w:val="32"/>
          <w:lang w:val="en-US" w:eastAsia="zh-CN"/>
        </w:rPr>
        <w:t>12</w:t>
      </w:r>
      <w:r>
        <w:rPr>
          <w:rFonts w:hint="eastAsia" w:ascii="仿宋_GB2312" w:hAnsi="仿宋" w:eastAsia="仿宋_GB2312"/>
          <w:sz w:val="32"/>
          <w:szCs w:val="32"/>
        </w:rPr>
        <w:t>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年我院财政拨款收入总计</w:t>
      </w:r>
      <w:r>
        <w:rPr>
          <w:rFonts w:hint="eastAsia" w:ascii="仿宋" w:hAnsi="仿宋" w:eastAsia="仿宋" w:cs="仿宋_GB2312"/>
          <w:sz w:val="32"/>
          <w:szCs w:val="32"/>
          <w:lang w:val="en-US" w:eastAsia="zh-CN"/>
        </w:rPr>
        <w:t>377.43</w:t>
      </w:r>
      <w:r>
        <w:rPr>
          <w:rFonts w:hint="eastAsia" w:ascii="仿宋" w:hAnsi="仿宋" w:eastAsia="仿宋" w:cs="仿宋_GB2312"/>
          <w:sz w:val="32"/>
          <w:szCs w:val="32"/>
        </w:rPr>
        <w:t>万元，其中一般公共预算财政拨款收入</w:t>
      </w:r>
      <w:r>
        <w:rPr>
          <w:rFonts w:hint="eastAsia" w:ascii="仿宋" w:hAnsi="仿宋" w:eastAsia="仿宋" w:cs="仿宋_GB2312"/>
          <w:sz w:val="32"/>
          <w:szCs w:val="32"/>
          <w:lang w:val="en-US" w:eastAsia="zh-CN"/>
        </w:rPr>
        <w:t>307.61</w:t>
      </w:r>
      <w:r>
        <w:rPr>
          <w:rFonts w:hint="eastAsia" w:ascii="仿宋" w:hAnsi="仿宋" w:eastAsia="仿宋" w:cs="仿宋_GB2312"/>
          <w:sz w:val="32"/>
          <w:szCs w:val="32"/>
        </w:rPr>
        <w:t>万元，年初财政补助结转和结余</w:t>
      </w:r>
      <w:r>
        <w:rPr>
          <w:rFonts w:hint="eastAsia" w:ascii="仿宋" w:hAnsi="仿宋" w:eastAsia="仿宋" w:cs="仿宋_GB2312"/>
          <w:sz w:val="32"/>
          <w:szCs w:val="32"/>
          <w:lang w:val="en-US" w:eastAsia="zh-CN"/>
        </w:rPr>
        <w:t>69.82</w:t>
      </w:r>
      <w:r>
        <w:rPr>
          <w:rFonts w:hint="eastAsia" w:ascii="仿宋" w:hAnsi="仿宋" w:eastAsia="仿宋" w:cs="仿宋_GB2312"/>
          <w:sz w:val="32"/>
          <w:szCs w:val="32"/>
        </w:rPr>
        <w:t>万元。</w:t>
      </w:r>
    </w:p>
    <w:p>
      <w:pPr>
        <w:numPr>
          <w:ilvl w:val="0"/>
          <w:numId w:val="8"/>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年我院财政拨款支出总计</w:t>
      </w:r>
      <w:r>
        <w:rPr>
          <w:rFonts w:hint="eastAsia" w:ascii="仿宋" w:hAnsi="仿宋" w:eastAsia="仿宋" w:cs="仿宋_GB2312"/>
          <w:sz w:val="32"/>
          <w:szCs w:val="32"/>
          <w:lang w:val="en-US" w:eastAsia="zh-CN"/>
        </w:rPr>
        <w:t>377.43</w:t>
      </w:r>
      <w:r>
        <w:rPr>
          <w:rFonts w:hint="eastAsia" w:ascii="仿宋" w:hAnsi="仿宋" w:eastAsia="仿宋" w:cs="仿宋_GB2312"/>
          <w:sz w:val="32"/>
          <w:szCs w:val="32"/>
        </w:rPr>
        <w:t>万元，其中一般公共预算财政拨款支出</w:t>
      </w:r>
      <w:r>
        <w:rPr>
          <w:rFonts w:hint="eastAsia" w:ascii="仿宋" w:hAnsi="仿宋" w:eastAsia="仿宋" w:cs="仿宋_GB2312"/>
          <w:sz w:val="32"/>
          <w:szCs w:val="32"/>
          <w:lang w:val="en-US" w:eastAsia="zh-CN"/>
        </w:rPr>
        <w:t>247.74</w:t>
      </w:r>
      <w:r>
        <w:rPr>
          <w:rFonts w:hint="eastAsia" w:ascii="仿宋" w:hAnsi="仿宋" w:eastAsia="仿宋" w:cs="仿宋_GB2312"/>
          <w:sz w:val="32"/>
          <w:szCs w:val="32"/>
        </w:rPr>
        <w:t>万元，年末财政补助结转和结余</w:t>
      </w:r>
      <w:r>
        <w:rPr>
          <w:rFonts w:hint="eastAsia" w:ascii="仿宋" w:hAnsi="仿宋" w:eastAsia="仿宋" w:cs="仿宋_GB2312"/>
          <w:sz w:val="32"/>
          <w:szCs w:val="32"/>
          <w:lang w:val="en-US" w:eastAsia="zh-CN"/>
        </w:rPr>
        <w:t>129.69</w:t>
      </w:r>
      <w:r>
        <w:rPr>
          <w:rFonts w:hint="eastAsia" w:ascii="仿宋" w:hAnsi="仿宋" w:eastAsia="仿宋" w:cs="仿宋_GB2312"/>
          <w:sz w:val="32"/>
          <w:szCs w:val="32"/>
        </w:rPr>
        <w:t>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认真落实全面预算管理方针政策，基本支出强化预算统筹，项目支出强化专款专用，切实加强经费管理和预算管理。严格按照区财政局部门预算编制通知及有关要求，充分调查了解，做好前期准备工作，始终遵循部门预算编制的基本要求、程序要求及编制口径，紧紧围绕整体绩效目标，科学量化重点项目绩效目标，确保预算编制的准确性，按照科学的测算依据按时完成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年预算编制工作，按时完成基础库、项目库报送工作，并按时提交部门预算草案。绩效目标是预算编制的前提和基础，按照“费随事定”的原则，201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 xml:space="preserve"> 年我院对项目按要求编制了部门预算项目绩效目标。从项目完成、项目效益、满意度等方面设置了绩效指标，综合反映项目预期完成的数量、成本、时效、质量，预期达到的社会效益、经济效益、生态效益、可持续影响以及服务对象满意度等情况。同时设置了以项目完成数量为核心的指标，用于评价绩效目标实际实现程度，反映与预期目标的偏离度。绩效目标编制要素完整，绩效指标设置做到了细化量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执行过程中，我院严格控制公用经费及非定额公用支出，认真开展绩效运行监控，积极推进预算执行进度，提高整体预算执行率。一是坚持将预算执行纳入单位目标考核，强化目标责任，树立预算管理的主体责任意识。二是开展预算执行中期评估调整工作。按照区财政局县级预算调整的要求，对照项目执行进度，及时做好沟通衔接，对经确认的暂不支出、执行留有结余的项目予以合理统筹调整，盘活资金，提高使用效率。三是积极开展绩效评价工作。严格落实基本公共卫生服务项目、基本药物资金补助等项目的绩效评价。</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截止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 xml:space="preserve"> 年 12 月 31 日，我院 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 xml:space="preserve"> 年财政资金一般公共预算财政拨款执行进度为</w:t>
      </w:r>
      <w:r>
        <w:rPr>
          <w:rFonts w:hint="eastAsia" w:ascii="仿宋" w:hAnsi="仿宋" w:eastAsia="仿宋" w:cs="仿宋_GB2312"/>
          <w:sz w:val="32"/>
          <w:szCs w:val="32"/>
          <w:lang w:val="en-US" w:eastAsia="zh-CN"/>
        </w:rPr>
        <w:t>80.54</w:t>
      </w:r>
      <w:r>
        <w:rPr>
          <w:rFonts w:hint="eastAsia" w:ascii="仿宋" w:hAnsi="仿宋" w:eastAsia="仿宋" w:cs="仿宋_GB2312"/>
          <w:sz w:val="32"/>
          <w:szCs w:val="32"/>
        </w:rPr>
        <w:t>%。</w:t>
      </w:r>
    </w:p>
    <w:p>
      <w:pPr>
        <w:spacing w:before="270" w:line="33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专项项目设立实行项目储备制。除按明确的数量、标准、比例等进行据实计算的实施基本药物制度、基本公共卫生服务包括专项预算项目程序严密、规划合理、结果符合、分配科学、分配及时、专项预算绩效目标完成、实施绩效、违规记录等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我</w:t>
      </w:r>
      <w:r>
        <w:rPr>
          <w:rFonts w:hint="eastAsia" w:ascii="仿宋" w:hAnsi="仿宋" w:eastAsia="仿宋" w:cs="仿宋_GB2312"/>
          <w:sz w:val="32"/>
          <w:szCs w:val="32"/>
        </w:rPr>
        <w:t>单位</w:t>
      </w:r>
      <w:r>
        <w:rPr>
          <w:rFonts w:ascii="仿宋" w:hAnsi="仿宋" w:eastAsia="仿宋" w:cs="仿宋_GB2312"/>
          <w:sz w:val="32"/>
          <w:szCs w:val="32"/>
        </w:rPr>
        <w:t>严格遵循《预算法》等相关法律法规和财政</w:t>
      </w:r>
      <w:r>
        <w:rPr>
          <w:rFonts w:hint="eastAsia" w:ascii="仿宋" w:hAnsi="仿宋" w:eastAsia="仿宋" w:cs="仿宋_GB2312"/>
          <w:sz w:val="32"/>
          <w:szCs w:val="32"/>
        </w:rPr>
        <w:t>局</w:t>
      </w:r>
      <w:r>
        <w:rPr>
          <w:rFonts w:ascii="仿宋" w:hAnsi="仿宋" w:eastAsia="仿宋" w:cs="仿宋_GB2312"/>
          <w:sz w:val="32"/>
          <w:szCs w:val="32"/>
        </w:rPr>
        <w:t>相关要求，在规定时间内随同预决算向社会公开部门绩效目标和部门整体绩效自评情况。针对各单位绩效评价发现的问题，要求各单位建立台账，逐一整改。并根据绩效评价和日常管理中，存在的共性问题，通过完善制度加以改进管理</w:t>
      </w:r>
      <w:r>
        <w:rPr>
          <w:rFonts w:hint="eastAsia" w:ascii="仿宋" w:hAnsi="仿宋" w:eastAsia="仿宋" w:cs="仿宋_GB2312"/>
          <w:sz w:val="32"/>
          <w:szCs w:val="32"/>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KaiTi_GB2312" w:hAnsi="KaiTi_GB2312" w:eastAsia="Times New Roman" w:cs="KaiTi_GB2312"/>
          <w:color w:val="000000"/>
          <w:sz w:val="32"/>
          <w:szCs w:val="22"/>
        </w:rPr>
      </w:pPr>
      <w:r>
        <w:rPr>
          <w:rFonts w:ascii="KaiTi_GB2312" w:hAnsi="KaiTi_GB2312" w:eastAsia="Times New Roman" w:cs="KaiTi_GB2312"/>
          <w:color w:val="000000"/>
          <w:sz w:val="32"/>
          <w:szCs w:val="2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201</w:t>
      </w:r>
      <w:r>
        <w:rPr>
          <w:rFonts w:hint="eastAsia" w:ascii="仿宋" w:hAnsi="仿宋" w:eastAsia="仿宋" w:cs="仿宋_GB2312"/>
          <w:sz w:val="32"/>
          <w:szCs w:val="32"/>
          <w:lang w:val="en-US" w:eastAsia="zh-CN"/>
        </w:rPr>
        <w:t>9</w:t>
      </w:r>
      <w:r>
        <w:rPr>
          <w:rFonts w:ascii="仿宋" w:hAnsi="仿宋" w:eastAsia="仿宋" w:cs="仿宋_GB2312"/>
          <w:sz w:val="32"/>
          <w:szCs w:val="32"/>
        </w:rPr>
        <w:t xml:space="preserve"> 年我</w:t>
      </w:r>
      <w:r>
        <w:rPr>
          <w:rFonts w:hint="eastAsia" w:ascii="仿宋" w:hAnsi="仿宋" w:eastAsia="仿宋" w:cs="仿宋_GB2312"/>
          <w:sz w:val="32"/>
          <w:szCs w:val="32"/>
        </w:rPr>
        <w:t>单位</w:t>
      </w:r>
      <w:r>
        <w:rPr>
          <w:rFonts w:ascii="仿宋" w:hAnsi="仿宋" w:eastAsia="仿宋" w:cs="仿宋_GB2312"/>
          <w:sz w:val="32"/>
          <w:szCs w:val="32"/>
        </w:rPr>
        <w:t>整体支出绩效评价自查自评结果良好。财务制度较健全，财务管理较规范，全年基本支出保障了部门的正常运行和日程工作的正常开展，</w:t>
      </w:r>
      <w:r>
        <w:rPr>
          <w:rFonts w:hint="eastAsia" w:ascii="仿宋" w:hAnsi="仿宋" w:eastAsia="仿宋" w:cs="仿宋_GB2312"/>
          <w:sz w:val="32"/>
          <w:szCs w:val="32"/>
        </w:rPr>
        <w:t>全额保障了</w:t>
      </w:r>
      <w:r>
        <w:rPr>
          <w:rFonts w:ascii="仿宋" w:hAnsi="仿宋" w:eastAsia="仿宋" w:cs="仿宋_GB2312"/>
          <w:sz w:val="32"/>
          <w:szCs w:val="32"/>
        </w:rPr>
        <w:t>项目支出工作的开展，履职成效明显，达到了预期绩效目标和预期经济效果。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信息化建设不够完善。预算管理绩效监控的动态调整能力有待进一步提高，把绩效监控结果有效应用到预算执行和调整上。</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建议</w:t>
      </w:r>
      <w:r>
        <w:rPr>
          <w:rFonts w:hint="eastAsia" w:ascii="仿宋" w:hAnsi="仿宋" w:eastAsia="仿宋" w:cs="仿宋_GB2312"/>
          <w:sz w:val="32"/>
          <w:szCs w:val="32"/>
        </w:rPr>
        <w:t>区财政局</w:t>
      </w:r>
      <w:r>
        <w:rPr>
          <w:rFonts w:ascii="仿宋" w:hAnsi="仿宋" w:eastAsia="仿宋" w:cs="仿宋_GB2312"/>
          <w:sz w:val="32"/>
          <w:szCs w:val="32"/>
        </w:rPr>
        <w:t>根据实际需求，重新核定</w:t>
      </w:r>
      <w:r>
        <w:rPr>
          <w:rFonts w:hint="eastAsia" w:ascii="仿宋" w:hAnsi="仿宋" w:eastAsia="仿宋" w:cs="仿宋_GB2312"/>
          <w:sz w:val="32"/>
          <w:szCs w:val="32"/>
        </w:rPr>
        <w:t>我</w:t>
      </w:r>
      <w:r>
        <w:rPr>
          <w:rFonts w:ascii="仿宋" w:hAnsi="仿宋" w:eastAsia="仿宋" w:cs="仿宋_GB2312"/>
          <w:sz w:val="32"/>
          <w:szCs w:val="32"/>
        </w:rPr>
        <w:t>单位</w:t>
      </w:r>
      <w:r>
        <w:rPr>
          <w:rFonts w:hint="eastAsia" w:ascii="仿宋" w:hAnsi="仿宋" w:eastAsia="仿宋" w:cs="仿宋_GB2312"/>
          <w:sz w:val="32"/>
          <w:szCs w:val="32"/>
        </w:rPr>
        <w:t>医疗收入和</w:t>
      </w:r>
      <w:r>
        <w:rPr>
          <w:rFonts w:ascii="仿宋" w:hAnsi="仿宋" w:eastAsia="仿宋" w:cs="仿宋_GB2312"/>
          <w:sz w:val="32"/>
          <w:szCs w:val="32"/>
        </w:rPr>
        <w:t>基本支出控制数，提高</w:t>
      </w:r>
      <w:r>
        <w:rPr>
          <w:rFonts w:hint="eastAsia" w:ascii="仿宋" w:hAnsi="仿宋" w:eastAsia="仿宋" w:cs="仿宋_GB2312"/>
          <w:sz w:val="32"/>
          <w:szCs w:val="32"/>
        </w:rPr>
        <w:t>财政补助</w:t>
      </w:r>
      <w:r>
        <w:rPr>
          <w:rFonts w:ascii="仿宋" w:hAnsi="仿宋" w:eastAsia="仿宋" w:cs="仿宋_GB2312"/>
          <w:sz w:val="32"/>
          <w:szCs w:val="32"/>
        </w:rPr>
        <w:t>经费定额标准，保证正常工作运转。</w:t>
      </w:r>
    </w:p>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pStyle w:val="3"/>
        <w:rPr>
          <w:rStyle w:val="24"/>
          <w:rFonts w:hint="eastAsia" w:ascii="仿宋" w:hAnsi="仿宋" w:eastAsia="仿宋"/>
          <w:b w:val="0"/>
          <w:bCs w:val="0"/>
          <w:sz w:val="32"/>
          <w:szCs w:val="32"/>
        </w:rPr>
      </w:pPr>
      <w:r>
        <w:rPr>
          <w:rStyle w:val="24"/>
          <w:rFonts w:hint="eastAsia" w:ascii="仿宋" w:hAnsi="仿宋" w:eastAsia="仿宋"/>
          <w:b w:val="0"/>
          <w:bCs w:val="0"/>
          <w:sz w:val="32"/>
          <w:szCs w:val="32"/>
        </w:rPr>
        <w:t>附件2</w:t>
      </w:r>
    </w:p>
    <w:p>
      <w:pPr>
        <w:spacing w:line="600" w:lineRule="exact"/>
        <w:jc w:val="center"/>
        <w:outlineLvl w:val="0"/>
        <w:rPr>
          <w:rFonts w:hint="eastAsia" w:ascii="黑体" w:hAnsi="黑体" w:eastAsia="黑体" w:cs="方正小标宋简体"/>
          <w:sz w:val="36"/>
          <w:szCs w:val="36"/>
          <w:lang w:val="en-US" w:eastAsia="zh-CN"/>
        </w:rPr>
      </w:pPr>
      <w:r>
        <w:rPr>
          <w:rFonts w:hint="eastAsia" w:ascii="黑体" w:hAnsi="黑体" w:eastAsia="黑体" w:cs="方正小标宋简体"/>
          <w:sz w:val="36"/>
          <w:szCs w:val="36"/>
          <w:lang w:eastAsia="zh-CN"/>
        </w:rPr>
        <w:t>达州市达川区河市镇社区卫生服务中心</w:t>
      </w:r>
    </w:p>
    <w:p>
      <w:pPr>
        <w:rPr>
          <w:rFonts w:hint="default" w:eastAsia="仿宋"/>
          <w:lang w:val="en-US" w:eastAsia="zh-CN"/>
        </w:rPr>
      </w:pPr>
    </w:p>
    <w:p>
      <w:pPr>
        <w:spacing w:line="600" w:lineRule="exact"/>
        <w:jc w:val="center"/>
        <w:outlineLvl w:val="0"/>
        <w:rPr>
          <w:rFonts w:hint="eastAsia" w:ascii="黑体" w:hAnsi="黑体" w:eastAsia="黑体" w:cs="方正小标宋简体"/>
          <w:sz w:val="36"/>
          <w:szCs w:val="36"/>
          <w:lang w:eastAsia="zh-CN"/>
        </w:rPr>
      </w:pPr>
      <w:r>
        <w:rPr>
          <w:rFonts w:hint="eastAsia" w:ascii="黑体" w:hAnsi="黑体" w:eastAsia="黑体" w:cs="方正小标宋简体"/>
          <w:sz w:val="36"/>
          <w:szCs w:val="36"/>
          <w:lang w:eastAsia="zh-CN"/>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lang w:eastAsia="zh-CN"/>
        </w:rPr>
        <w:t>年项目支出绩效评价报告</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一、评价工作开展及项目情况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提高基本公共卫生服务项目均等化水平，推进基本公卫生服务项目开展</w:t>
      </w:r>
      <w:r>
        <w:rPr>
          <w:rFonts w:hint="eastAsia" w:ascii="仿宋" w:hAnsi="仿宋" w:eastAsia="仿宋"/>
          <w:sz w:val="32"/>
          <w:szCs w:val="32"/>
          <w:lang w:eastAsia="zh-CN"/>
        </w:rPr>
        <w:t>；巩固基本药物制度，不断提升服务能力和水平，筑牢基层医疗卫生服务网底，实现医改“保基本、强基层、建机制”的目标。开展项目是基本公共卫生服务和基层医疗机构基本药物制度</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二、评价结论及绩效分析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（一）评价结论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总体看，我单位预算编制及执行决算较为准确，支出管理较为规范，财务管理制度较完善，</w:t>
      </w:r>
      <w:r>
        <w:rPr>
          <w:rFonts w:hint="eastAsia" w:ascii="仿宋" w:hAnsi="仿宋" w:eastAsia="仿宋"/>
          <w:sz w:val="32"/>
          <w:szCs w:val="32"/>
          <w:lang w:eastAsia="zh-CN"/>
        </w:rPr>
        <w:t>项目支出</w:t>
      </w:r>
      <w:r>
        <w:rPr>
          <w:rFonts w:hint="eastAsia" w:ascii="仿宋" w:hAnsi="仿宋" w:eastAsia="仿宋"/>
          <w:sz w:val="32"/>
          <w:szCs w:val="32"/>
        </w:rPr>
        <w:t>整体绩效较好。</w:t>
      </w:r>
      <w:r>
        <w:rPr>
          <w:rFonts w:hint="eastAsia" w:ascii="仿宋" w:hAnsi="仿宋" w:eastAsia="仿宋"/>
          <w:sz w:val="32"/>
          <w:szCs w:val="32"/>
          <w:lang w:eastAsia="zh-CN"/>
        </w:rPr>
        <w:t>项目</w:t>
      </w:r>
      <w:r>
        <w:rPr>
          <w:rFonts w:hint="eastAsia" w:ascii="仿宋" w:hAnsi="仿宋" w:eastAsia="仿宋"/>
          <w:sz w:val="32"/>
          <w:szCs w:val="32"/>
        </w:rPr>
        <w:t>支出绩效自评得分为</w:t>
      </w:r>
      <w:r>
        <w:rPr>
          <w:rFonts w:hint="eastAsia" w:ascii="仿宋" w:hAnsi="仿宋" w:eastAsia="仿宋"/>
          <w:sz w:val="32"/>
          <w:szCs w:val="32"/>
          <w:lang w:val="en-US" w:eastAsia="zh-CN"/>
        </w:rPr>
        <w:t>88</w:t>
      </w:r>
      <w:r>
        <w:rPr>
          <w:rFonts w:hint="eastAsia" w:ascii="仿宋" w:hAnsi="仿宋" w:eastAsia="仿宋"/>
          <w:sz w:val="32"/>
          <w:szCs w:val="32"/>
        </w:rPr>
        <w:t>分。</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1、项目决策</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（1）资金计划及到位。基本公共卫生服务</w:t>
      </w:r>
      <w:r>
        <w:rPr>
          <w:rFonts w:hint="eastAsia" w:ascii="仿宋" w:hAnsi="仿宋" w:eastAsia="仿宋"/>
          <w:sz w:val="32"/>
          <w:szCs w:val="32"/>
          <w:lang w:eastAsia="zh-CN"/>
        </w:rPr>
        <w:t>下拨资金</w:t>
      </w:r>
      <w:r>
        <w:rPr>
          <w:rFonts w:hint="eastAsia" w:ascii="仿宋" w:hAnsi="仿宋" w:eastAsia="仿宋"/>
          <w:sz w:val="32"/>
          <w:szCs w:val="32"/>
          <w:lang w:val="en-US" w:eastAsia="zh-CN"/>
        </w:rPr>
        <w:t>81.64万元、基层医疗机构基本药物制度</w:t>
      </w:r>
      <w:r>
        <w:rPr>
          <w:rFonts w:hint="eastAsia" w:ascii="仿宋" w:hAnsi="仿宋" w:eastAsia="仿宋"/>
          <w:sz w:val="32"/>
          <w:szCs w:val="32"/>
          <w:lang w:eastAsia="zh-CN"/>
        </w:rPr>
        <w:t>下拨资金</w:t>
      </w:r>
      <w:r>
        <w:rPr>
          <w:rFonts w:hint="eastAsia" w:ascii="仿宋" w:hAnsi="仿宋" w:eastAsia="仿宋"/>
          <w:sz w:val="32"/>
          <w:szCs w:val="32"/>
          <w:lang w:val="en-US" w:eastAsia="zh-CN"/>
        </w:rPr>
        <w:t>14.53万元</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（2）资金使用。</w:t>
      </w:r>
      <w:r>
        <w:rPr>
          <w:rFonts w:hint="eastAsia" w:ascii="仿宋" w:hAnsi="仿宋" w:eastAsia="仿宋"/>
          <w:sz w:val="32"/>
          <w:szCs w:val="32"/>
          <w:lang w:eastAsia="zh-CN"/>
        </w:rPr>
        <w:t>单位根据业务需要购买货物及日常工作公用经费运行开支</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2、项目管理</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规范基本公共卫生服务行为，推进基本公卫生服务项目开展，不断提升服务能力和水平，筑牢基层医疗卫生服务网底，实现医改“保基本、强基层、建机制”的目标。</w:t>
      </w:r>
      <w:r>
        <w:rPr>
          <w:rFonts w:hint="eastAsia" w:ascii="仿宋" w:hAnsi="仿宋" w:eastAsia="仿宋" w:cs="仿宋_GB2312"/>
          <w:sz w:val="32"/>
          <w:szCs w:val="32"/>
          <w:lang w:eastAsia="zh-CN"/>
        </w:rPr>
        <w:t>通确保</w:t>
      </w:r>
      <w:r>
        <w:rPr>
          <w:rFonts w:hint="eastAsia" w:ascii="仿宋" w:hAnsi="仿宋" w:eastAsia="仿宋"/>
          <w:sz w:val="32"/>
          <w:szCs w:val="32"/>
          <w:lang w:eastAsia="zh-CN"/>
        </w:rPr>
        <w:t>基本公共卫生服务和基层医疗机构基本药物制度顺利实施。</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3、项目绩效</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为广大群众提供公共卫生安全保障</w:t>
      </w:r>
      <w:r>
        <w:rPr>
          <w:rFonts w:hint="eastAsia" w:ascii="仿宋" w:hAnsi="仿宋" w:eastAsia="仿宋"/>
          <w:sz w:val="32"/>
          <w:szCs w:val="32"/>
          <w:lang w:eastAsia="zh-CN"/>
        </w:rPr>
        <w:t>，居民满意度、建档立卡贫困户满意度≧9</w:t>
      </w:r>
      <w:r>
        <w:rPr>
          <w:rFonts w:hint="eastAsia" w:ascii="仿宋" w:hAnsi="仿宋" w:eastAsia="仿宋"/>
          <w:sz w:val="32"/>
          <w:szCs w:val="32"/>
          <w:lang w:val="en-US" w:eastAsia="zh-CN"/>
        </w:rPr>
        <w:t>5</w:t>
      </w:r>
      <w:r>
        <w:rPr>
          <w:rFonts w:hint="eastAsia" w:ascii="仿宋" w:hAnsi="仿宋" w:eastAsia="仿宋"/>
          <w:sz w:val="32"/>
          <w:szCs w:val="32"/>
          <w:lang w:eastAsia="zh-CN"/>
        </w:rPr>
        <w:t>%；基本药物零差率销售率</w:t>
      </w:r>
      <w:r>
        <w:rPr>
          <w:rFonts w:hint="eastAsia" w:ascii="仿宋" w:hAnsi="仿宋" w:eastAsia="仿宋"/>
          <w:sz w:val="32"/>
          <w:szCs w:val="32"/>
          <w:lang w:val="en-US" w:eastAsia="zh-CN"/>
        </w:rPr>
        <w:t>100%，政府办基层医疗卫生机构基本药物制度覆盖率100%</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（三）存在主要问题</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sz w:val="32"/>
          <w:szCs w:val="32"/>
        </w:rPr>
        <w:t>一是预算不够明确和细化。预算执行力度还要进一步加强。二是各项管理制度还待进一步完善。</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（四）相关措施建议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1、细化预算编制工作，将进一步重视预算的编制工作，加强单位内部机构的预算管理意识，科学规划预算编制的精确度，提高财政资金使用效率，加强内部预算编制的审核和预算控制指标的下达。</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2、建议财政部门加强对财务人员做好各项财务工作的指导和培训，尤其是加强《</w:t>
      </w:r>
      <w:r>
        <w:rPr>
          <w:rFonts w:hint="eastAsia" w:ascii="仿宋" w:hAnsi="仿宋" w:eastAsia="仿宋"/>
          <w:sz w:val="32"/>
          <w:szCs w:val="32"/>
          <w:lang w:eastAsia="zh-CN"/>
        </w:rPr>
        <w:t>政府会计制度</w:t>
      </w:r>
      <w:r>
        <w:rPr>
          <w:rFonts w:hint="eastAsia" w:ascii="仿宋" w:hAnsi="仿宋" w:eastAsia="仿宋"/>
          <w:sz w:val="32"/>
          <w:szCs w:val="32"/>
        </w:rPr>
        <w:t>》等新的会计制度学习和培训，规范部门预算收支核算。</w:t>
      </w:r>
    </w:p>
    <w:p>
      <w:pPr>
        <w:spacing w:line="580" w:lineRule="exact"/>
        <w:ind w:firstLine="640" w:firstLineChars="200"/>
        <w:rPr>
          <w:rFonts w:hint="eastAsia" w:ascii="仿宋_GB2312" w:hAnsi="仿宋_GB2312" w:eastAsia="仿宋" w:cs="仿宋_GB2312"/>
          <w:sz w:val="32"/>
          <w:szCs w:val="32"/>
          <w:lang w:eastAsia="zh-CN"/>
        </w:rPr>
      </w:pPr>
      <w:r>
        <w:rPr>
          <w:rFonts w:hint="eastAsia" w:ascii="仿宋" w:hAnsi="仿宋" w:eastAsia="仿宋"/>
          <w:sz w:val="32"/>
          <w:szCs w:val="32"/>
        </w:rPr>
        <w:t>3、进一步完善和落实相关管理制度，加强内部控制管理制度学习，严格遵照相关制度贯彻落实到位，做到精细化管</w:t>
      </w:r>
      <w:r>
        <w:rPr>
          <w:rFonts w:hint="eastAsia" w:ascii="仿宋" w:hAnsi="仿宋" w:eastAsia="仿宋"/>
          <w:sz w:val="32"/>
          <w:szCs w:val="32"/>
          <w:lang w:eastAsia="zh-CN"/>
        </w:rPr>
        <w:t>理。</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r>
        <w:rPr>
          <w:rFonts w:hint="eastAsia" w:ascii="仿宋" w:hAnsi="仿宋" w:eastAsia="仿宋"/>
          <w:b w:val="0"/>
          <w:color w:val="000000"/>
        </w:rPr>
        <w:t>一、收</w:t>
      </w:r>
      <w:r>
        <w:rPr>
          <w:rStyle w:val="25"/>
          <w:rFonts w:hint="eastAsia" w:ascii="仿宋" w:hAnsi="仿宋" w:eastAsia="仿宋"/>
          <w:b w:val="0"/>
          <w:bCs w:val="0"/>
        </w:rPr>
        <w:t>入支出决算总表</w:t>
      </w:r>
    </w:p>
    <w:p>
      <w:pPr>
        <w:pStyle w:val="3"/>
        <w:rPr>
          <w:rFonts w:ascii="仿宋" w:hAnsi="仿宋" w:eastAsia="仿宋"/>
          <w:color w:val="000000"/>
        </w:rPr>
      </w:pPr>
      <w:r>
        <w:rPr>
          <w:rFonts w:hint="eastAsia" w:ascii="仿宋" w:hAnsi="仿宋" w:eastAsia="仿宋"/>
          <w:b w:val="0"/>
          <w:color w:val="000000"/>
        </w:rPr>
        <w:t>二、收</w:t>
      </w:r>
      <w:r>
        <w:rPr>
          <w:rStyle w:val="25"/>
          <w:rFonts w:hint="eastAsia" w:ascii="仿宋" w:hAnsi="仿宋" w:eastAsia="仿宋"/>
          <w:b w:val="0"/>
          <w:bCs w:val="0"/>
        </w:rPr>
        <w:t>入总表</w:t>
      </w:r>
    </w:p>
    <w:p>
      <w:pPr>
        <w:pStyle w:val="3"/>
        <w:rPr>
          <w:rFonts w:ascii="仿宋" w:hAnsi="仿宋" w:eastAsia="仿宋"/>
          <w:color w:val="000000"/>
        </w:rPr>
      </w:pPr>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p>
    <w:p>
      <w:pPr>
        <w:pStyle w:val="3"/>
        <w:rPr>
          <w:rFonts w:ascii="仿宋" w:hAnsi="仿宋" w:eastAsia="仿宋"/>
          <w:b w:val="0"/>
          <w:color w:val="000000"/>
        </w:rPr>
      </w:pPr>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p>
    <w:p>
      <w:pPr>
        <w:pStyle w:val="3"/>
        <w:rPr>
          <w:rFonts w:ascii="仿宋" w:hAnsi="仿宋" w:eastAsia="仿宋"/>
          <w:color w:val="000000"/>
        </w:rPr>
      </w:pPr>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p>
    <w:p>
      <w:pPr>
        <w:pStyle w:val="3"/>
        <w:rPr>
          <w:rFonts w:ascii="仿宋" w:hAnsi="仿宋" w:eastAsia="仿宋"/>
          <w:color w:val="000000"/>
        </w:rPr>
      </w:pPr>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p>
    <w:p>
      <w:pPr>
        <w:pStyle w:val="3"/>
        <w:rPr>
          <w:rFonts w:ascii="仿宋" w:hAnsi="仿宋" w:eastAsia="仿宋"/>
          <w:color w:val="000000"/>
        </w:rPr>
      </w:pPr>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p>
    <w:p>
      <w:pPr>
        <w:pStyle w:val="3"/>
        <w:rPr>
          <w:rFonts w:ascii="仿宋" w:hAnsi="仿宋" w:eastAsia="仿宋"/>
          <w:color w:val="000000"/>
        </w:rPr>
      </w:pPr>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p>
    <w:p>
      <w:pPr>
        <w:pStyle w:val="3"/>
        <w:rPr>
          <w:rFonts w:ascii="仿宋" w:hAnsi="仿宋" w:eastAsia="仿宋"/>
          <w:color w:val="000000"/>
        </w:rPr>
      </w:pPr>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p>
    <w:p>
      <w:pPr>
        <w:pStyle w:val="3"/>
        <w:rPr>
          <w:rFonts w:ascii="仿宋" w:hAnsi="仿宋" w:eastAsia="仿宋"/>
          <w:color w:val="000000"/>
        </w:rPr>
      </w:pPr>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p>
    <w:p>
      <w:pPr>
        <w:pStyle w:val="3"/>
        <w:rPr>
          <w:rFonts w:ascii="仿宋" w:hAnsi="仿宋" w:eastAsia="仿宋"/>
          <w:color w:val="000000"/>
        </w:rPr>
      </w:pPr>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p>
    <w:p>
      <w:pPr>
        <w:pStyle w:val="3"/>
        <w:rPr>
          <w:rFonts w:ascii="仿宋" w:hAnsi="仿宋" w:eastAsia="仿宋"/>
          <w:color w:val="000000" w:themeColor="text1"/>
          <w14:textFill>
            <w14:solidFill>
              <w14:schemeClr w14:val="tx1"/>
            </w14:solidFill>
          </w14:textFill>
        </w:rPr>
      </w:pPr>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p>
    <w:bookmarkEnd w:id="38"/>
    <w:bookmarkEnd w:id="39"/>
    <w:p>
      <w:pPr>
        <w:pStyle w:val="3"/>
        <w:rPr>
          <w:rFonts w:ascii="仿宋" w:hAnsi="仿宋" w:eastAsia="仿宋"/>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aiTi_GB2312">
    <w:altName w:val="Segoe Print"/>
    <w:panose1 w:val="02010609060101010101"/>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1"/>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F4911366"/>
    <w:multiLevelType w:val="singleLevel"/>
    <w:tmpl w:val="F4911366"/>
    <w:lvl w:ilvl="0" w:tentative="0">
      <w:start w:val="3"/>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1BA8B6F6"/>
    <w:multiLevelType w:val="singleLevel"/>
    <w:tmpl w:val="1BA8B6F6"/>
    <w:lvl w:ilvl="0" w:tentative="0">
      <w:start w:val="2"/>
      <w:numFmt w:val="chineseCounting"/>
      <w:suff w:val="nothing"/>
      <w:lvlText w:val="（%1）"/>
      <w:lvlJc w:val="left"/>
      <w:rPr>
        <w:rFonts w:hint="eastAsia"/>
      </w:rPr>
    </w:lvl>
  </w:abstractNum>
  <w:abstractNum w:abstractNumId="7">
    <w:nsid w:val="7B4378D8"/>
    <w:multiLevelType w:val="singleLevel"/>
    <w:tmpl w:val="7B4378D8"/>
    <w:lvl w:ilvl="0" w:tentative="0">
      <w:start w:val="1"/>
      <w:numFmt w:val="decimal"/>
      <w:lvlText w:val="%1."/>
      <w:lvlJc w:val="left"/>
      <w:pPr>
        <w:tabs>
          <w:tab w:val="left" w:pos="312"/>
        </w:tabs>
      </w:pPr>
    </w:lvl>
  </w:abstractNum>
  <w:num w:numId="1">
    <w:abstractNumId w:val="4"/>
  </w:num>
  <w:num w:numId="2">
    <w:abstractNumId w:val="7"/>
  </w:num>
  <w:num w:numId="3">
    <w:abstractNumId w:val="0"/>
  </w:num>
  <w:num w:numId="4">
    <w:abstractNumId w:val="5"/>
  </w:num>
  <w:num w:numId="5">
    <w:abstractNumId w:val="2"/>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2B83"/>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8638F2"/>
    <w:rsid w:val="01DB193B"/>
    <w:rsid w:val="02256450"/>
    <w:rsid w:val="0279634B"/>
    <w:rsid w:val="03DB27F6"/>
    <w:rsid w:val="048A0FE5"/>
    <w:rsid w:val="04DC2EF8"/>
    <w:rsid w:val="052865C6"/>
    <w:rsid w:val="054142A6"/>
    <w:rsid w:val="07020700"/>
    <w:rsid w:val="071C094A"/>
    <w:rsid w:val="07446BB2"/>
    <w:rsid w:val="075A7A20"/>
    <w:rsid w:val="076E6C2E"/>
    <w:rsid w:val="07FF57C8"/>
    <w:rsid w:val="082F566E"/>
    <w:rsid w:val="0840164D"/>
    <w:rsid w:val="08D37AE0"/>
    <w:rsid w:val="08D40476"/>
    <w:rsid w:val="091E455D"/>
    <w:rsid w:val="0A6516D9"/>
    <w:rsid w:val="0A8957EF"/>
    <w:rsid w:val="0F3C6E92"/>
    <w:rsid w:val="10A81160"/>
    <w:rsid w:val="10C055FF"/>
    <w:rsid w:val="111817F9"/>
    <w:rsid w:val="11922636"/>
    <w:rsid w:val="11923ED2"/>
    <w:rsid w:val="13CA407F"/>
    <w:rsid w:val="146D667F"/>
    <w:rsid w:val="16BB723D"/>
    <w:rsid w:val="17306424"/>
    <w:rsid w:val="19982436"/>
    <w:rsid w:val="1A675C1A"/>
    <w:rsid w:val="1BA33A82"/>
    <w:rsid w:val="1CF55D8C"/>
    <w:rsid w:val="1CFD6AA5"/>
    <w:rsid w:val="1E313D56"/>
    <w:rsid w:val="1E7C4864"/>
    <w:rsid w:val="1EAF2A13"/>
    <w:rsid w:val="1EE6715C"/>
    <w:rsid w:val="20456374"/>
    <w:rsid w:val="211E71CA"/>
    <w:rsid w:val="21224806"/>
    <w:rsid w:val="21760C51"/>
    <w:rsid w:val="22BD12D4"/>
    <w:rsid w:val="236A3ECF"/>
    <w:rsid w:val="23FB3926"/>
    <w:rsid w:val="240371BF"/>
    <w:rsid w:val="2474596A"/>
    <w:rsid w:val="2596790C"/>
    <w:rsid w:val="28511EFA"/>
    <w:rsid w:val="29FD04D3"/>
    <w:rsid w:val="2B075042"/>
    <w:rsid w:val="2BA87372"/>
    <w:rsid w:val="2D8B6D20"/>
    <w:rsid w:val="2DE41053"/>
    <w:rsid w:val="2DF6486A"/>
    <w:rsid w:val="2E5A1EFA"/>
    <w:rsid w:val="2EDE005A"/>
    <w:rsid w:val="2EFF50B2"/>
    <w:rsid w:val="3024324C"/>
    <w:rsid w:val="30AE146E"/>
    <w:rsid w:val="31696855"/>
    <w:rsid w:val="319F7F4E"/>
    <w:rsid w:val="334A6470"/>
    <w:rsid w:val="33783A67"/>
    <w:rsid w:val="346A3AB3"/>
    <w:rsid w:val="35AF1F71"/>
    <w:rsid w:val="35FF1CC1"/>
    <w:rsid w:val="369D1D71"/>
    <w:rsid w:val="395114BD"/>
    <w:rsid w:val="397244F3"/>
    <w:rsid w:val="3A3A66C7"/>
    <w:rsid w:val="3B2B73AF"/>
    <w:rsid w:val="3BE32A8D"/>
    <w:rsid w:val="3C4B5029"/>
    <w:rsid w:val="3CEC322C"/>
    <w:rsid w:val="3E364D87"/>
    <w:rsid w:val="3F7E187C"/>
    <w:rsid w:val="40B71887"/>
    <w:rsid w:val="414E4ECA"/>
    <w:rsid w:val="41786CB3"/>
    <w:rsid w:val="41896E11"/>
    <w:rsid w:val="425C1A75"/>
    <w:rsid w:val="42F82B99"/>
    <w:rsid w:val="4304062D"/>
    <w:rsid w:val="43C17E81"/>
    <w:rsid w:val="449B048E"/>
    <w:rsid w:val="44CB3CFA"/>
    <w:rsid w:val="456414C2"/>
    <w:rsid w:val="458A7233"/>
    <w:rsid w:val="45B8029E"/>
    <w:rsid w:val="46415A01"/>
    <w:rsid w:val="467A6C1A"/>
    <w:rsid w:val="47237E6C"/>
    <w:rsid w:val="4A095728"/>
    <w:rsid w:val="4A8932D9"/>
    <w:rsid w:val="4B137BEF"/>
    <w:rsid w:val="4B163E9F"/>
    <w:rsid w:val="4B3E4288"/>
    <w:rsid w:val="4B766D4B"/>
    <w:rsid w:val="4D55723C"/>
    <w:rsid w:val="4DCB34A7"/>
    <w:rsid w:val="4DE4047A"/>
    <w:rsid w:val="4E2A7A88"/>
    <w:rsid w:val="4F5517AB"/>
    <w:rsid w:val="515071EA"/>
    <w:rsid w:val="51B317D9"/>
    <w:rsid w:val="51FD40DD"/>
    <w:rsid w:val="542906AF"/>
    <w:rsid w:val="56A7294C"/>
    <w:rsid w:val="56AC36E1"/>
    <w:rsid w:val="57A45343"/>
    <w:rsid w:val="5B166034"/>
    <w:rsid w:val="5B1D73F9"/>
    <w:rsid w:val="5CC966C3"/>
    <w:rsid w:val="5CF4307A"/>
    <w:rsid w:val="5D457EBD"/>
    <w:rsid w:val="5D693D83"/>
    <w:rsid w:val="5D6B5CFD"/>
    <w:rsid w:val="5E434B14"/>
    <w:rsid w:val="5EB56BB1"/>
    <w:rsid w:val="5EC81A39"/>
    <w:rsid w:val="5EFA7DCC"/>
    <w:rsid w:val="5F71274B"/>
    <w:rsid w:val="5F863C42"/>
    <w:rsid w:val="603563C9"/>
    <w:rsid w:val="60A513F8"/>
    <w:rsid w:val="61420CF3"/>
    <w:rsid w:val="62395D60"/>
    <w:rsid w:val="62832321"/>
    <w:rsid w:val="62BB47B2"/>
    <w:rsid w:val="62C57CC4"/>
    <w:rsid w:val="63F23B05"/>
    <w:rsid w:val="64B07D65"/>
    <w:rsid w:val="65850572"/>
    <w:rsid w:val="65D47265"/>
    <w:rsid w:val="67163B5B"/>
    <w:rsid w:val="67911BE7"/>
    <w:rsid w:val="6BEB648F"/>
    <w:rsid w:val="6C097052"/>
    <w:rsid w:val="6C0F367D"/>
    <w:rsid w:val="6D68227B"/>
    <w:rsid w:val="6E493775"/>
    <w:rsid w:val="6FEB41DC"/>
    <w:rsid w:val="70740342"/>
    <w:rsid w:val="7085743D"/>
    <w:rsid w:val="70910491"/>
    <w:rsid w:val="70F9730E"/>
    <w:rsid w:val="71ED1780"/>
    <w:rsid w:val="738A398F"/>
    <w:rsid w:val="74A86E9D"/>
    <w:rsid w:val="75ED5900"/>
    <w:rsid w:val="762D1A94"/>
    <w:rsid w:val="77882EDC"/>
    <w:rsid w:val="78D526A4"/>
    <w:rsid w:val="7977020D"/>
    <w:rsid w:val="79D3083A"/>
    <w:rsid w:val="79E451CD"/>
    <w:rsid w:val="7A154CD3"/>
    <w:rsid w:val="7A406BB6"/>
    <w:rsid w:val="7A9940F0"/>
    <w:rsid w:val="7B8E1787"/>
    <w:rsid w:val="7C5B224E"/>
    <w:rsid w:val="7CBF6E66"/>
    <w:rsid w:val="7D2652DD"/>
    <w:rsid w:val="7D523148"/>
    <w:rsid w:val="7D8B6D74"/>
    <w:rsid w:val="7E792CAC"/>
    <w:rsid w:val="7F9C1C39"/>
    <w:rsid w:val="7FB60E90"/>
    <w:rsid w:val="7FC630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087029831387808"/>
          <c:y val="0.177296181630547"/>
          <c:w val="0.882230869001297"/>
          <c:h val="0.714138286893705"/>
        </c:manualLayout>
      </c:layout>
      <c:barChart>
        <c:barDir val="col"/>
        <c:grouping val="clustered"/>
        <c:varyColors val="0"/>
        <c:ser>
          <c:idx val="0"/>
          <c:order val="0"/>
          <c:tx>
            <c:strRef>
              <c:f>Sheet1!$B$1</c:f>
              <c:strCache>
                <c:ptCount val="1"/>
                <c:pt idx="0">
                  <c:v>收、支决算总计变动情况图</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2018年</c:v>
                </c:pt>
                <c:pt idx="1">
                  <c:v>2019年</c:v>
                </c:pt>
              </c:strCache>
            </c:strRef>
          </c:cat>
          <c:val>
            <c:numRef>
              <c:f>Sheet1!$B$2:$B$3</c:f>
              <c:numCache>
                <c:formatCode>General</c:formatCode>
                <c:ptCount val="2"/>
                <c:pt idx="0">
                  <c:v>715.53</c:v>
                </c:pt>
                <c:pt idx="1">
                  <c:v>932.48</c:v>
                </c:pt>
              </c:numCache>
            </c:numRef>
          </c:val>
        </c:ser>
        <c:dLbls>
          <c:showLegendKey val="0"/>
          <c:showVal val="1"/>
          <c:showCatName val="0"/>
          <c:showSerName val="0"/>
          <c:showPercent val="0"/>
          <c:showBubbleSize val="0"/>
        </c:dLbls>
        <c:gapWidth val="150"/>
        <c:axId val="109105920"/>
        <c:axId val="109107456"/>
      </c:barChart>
      <c:catAx>
        <c:axId val="10910592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9107456"/>
        <c:crosses val="autoZero"/>
        <c:auto val="1"/>
        <c:lblAlgn val="ctr"/>
        <c:lblOffset val="100"/>
        <c:noMultiLvlLbl val="0"/>
      </c:catAx>
      <c:valAx>
        <c:axId val="1091074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9105920"/>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p>
      </c:txPr>
    </c:title>
    <c:autoTitleDeleted val="0"/>
    <c:plotArea>
      <c:layout>
        <c:manualLayout>
          <c:layoutTarget val="inner"/>
          <c:xMode val="edge"/>
          <c:yMode val="edge"/>
          <c:x val="0.0315"/>
          <c:y val="0.143"/>
          <c:w val="0.639000000000002"/>
          <c:h val="0.852000000000001"/>
        </c:manualLayout>
      </c:layout>
      <c:pieChart>
        <c:varyColors val="1"/>
        <c:ser>
          <c:idx val="0"/>
          <c:order val="0"/>
          <c:tx>
            <c:strRef>
              <c:f>Sheet1!$B$1</c:f>
              <c:strCache>
                <c:ptCount val="1"/>
                <c:pt idx="0">
                  <c:v>收入决算结构图</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一般公共预算财政拨款收入</c:v>
                </c:pt>
                <c:pt idx="1">
                  <c:v>事业收入</c:v>
                </c:pt>
              </c:strCache>
            </c:strRef>
          </c:cat>
          <c:val>
            <c:numRef>
              <c:f>Sheet1!$B$2:$B$3</c:f>
              <c:numCache>
                <c:formatCode>General</c:formatCode>
                <c:ptCount val="2"/>
                <c:pt idx="0">
                  <c:v>307.61</c:v>
                </c:pt>
                <c:pt idx="1">
                  <c:v>555.05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71326676176894"/>
          <c:y val="0.43463995855638"/>
          <c:w val="0.324393723252497"/>
          <c:h val="0.181315834916249"/>
        </c:manualLayout>
      </c:layout>
      <c:overlay val="0"/>
      <c:spPr>
        <a:solidFill>
          <a:schemeClr val="bg2">
            <a:lumMod val="7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solidFill>
      <a:schemeClr val="bg2">
        <a:lumMod val="50000"/>
        <a:alpha val="39000"/>
      </a:schemeClr>
    </a:soli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706.62</c:v>
                </c:pt>
                <c:pt idx="1">
                  <c:v>96.17</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manualLayout>
          <c:xMode val="edge"/>
          <c:yMode val="edge"/>
          <c:x val="0.353347081218275"/>
          <c:y val="0.90552200172562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2">
        <a:lumMod val="75000"/>
      </a:schemeClr>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dLbl>
              <c:idx val="0"/>
              <c:layout>
                <c:manualLayout>
                  <c:x val="-0.00443066016836511"/>
                  <c:y val="-0.34177215189873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15189873417721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2019年</c:v>
                </c:pt>
                <c:pt idx="1">
                  <c:v>2018年</c:v>
                </c:pt>
              </c:strCache>
            </c:strRef>
          </c:cat>
          <c:val>
            <c:numRef>
              <c:f>Sheet1!$B$2:$B$3</c:f>
              <c:numCache>
                <c:formatCode>General</c:formatCode>
                <c:ptCount val="2"/>
                <c:pt idx="0">
                  <c:v>377.43</c:v>
                </c:pt>
                <c:pt idx="1">
                  <c:v>308.77</c:v>
                </c:pt>
              </c:numCache>
            </c:numRef>
          </c:val>
        </c:ser>
        <c:dLbls>
          <c:showLegendKey val="0"/>
          <c:showVal val="1"/>
          <c:showCatName val="0"/>
          <c:showSerName val="0"/>
          <c:showPercent val="0"/>
          <c:showBubbleSize val="0"/>
        </c:dLbls>
        <c:gapWidth val="150"/>
        <c:axId val="119933184"/>
        <c:axId val="119963648"/>
      </c:barChart>
      <c:catAx>
        <c:axId val="1199331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963648"/>
        <c:crosses val="autoZero"/>
        <c:auto val="1"/>
        <c:lblAlgn val="ctr"/>
        <c:lblOffset val="100"/>
        <c:noMultiLvlLbl val="0"/>
      </c:catAx>
      <c:valAx>
        <c:axId val="1199636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93318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2">
        <a:lumMod val="75000"/>
      </a:schemeClr>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87"/>
          <c:y val="0.0366666666666667"/>
          <c:w val="0.82555"/>
          <c:h val="0.66223333333333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2019年</c:v>
                </c:pt>
                <c:pt idx="1">
                  <c:v>2018年</c:v>
                </c:pt>
              </c:strCache>
            </c:strRef>
          </c:cat>
          <c:val>
            <c:numRef>
              <c:f>Sheet1!$B$2:$B$3</c:f>
              <c:numCache>
                <c:formatCode>General</c:formatCode>
                <c:ptCount val="2"/>
                <c:pt idx="0">
                  <c:v>247.74</c:v>
                </c:pt>
                <c:pt idx="1">
                  <c:v>238.95</c:v>
                </c:pt>
              </c:numCache>
            </c:numRef>
          </c:val>
        </c:ser>
        <c:ser>
          <c:idx val="1"/>
          <c:order val="1"/>
          <c:tx>
            <c:strRef>
              <c:f>Sheet1!$B$1</c:f>
              <c:strCache>
                <c:ptCount val="1"/>
                <c:pt idx="0">
                  <c:v>一般公共预算财政拨款支出决算变动情况</c:v>
                </c:pt>
              </c:strCache>
            </c:strRef>
          </c:tx>
          <c:invertIfNegative val="0"/>
          <c:dLbls>
            <c:delete val="1"/>
          </c:dLbls>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119989376"/>
        <c:axId val="119990912"/>
      </c:barChart>
      <c:catAx>
        <c:axId val="1199893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990912"/>
        <c:crosses val="autoZero"/>
        <c:auto val="1"/>
        <c:lblAlgn val="ctr"/>
        <c:lblOffset val="100"/>
        <c:noMultiLvlLbl val="0"/>
      </c:catAx>
      <c:valAx>
        <c:axId val="11999091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9989376"/>
        <c:crosses val="autoZero"/>
        <c:crossBetween val="between"/>
      </c:valAx>
      <c:spPr>
        <a:solidFill>
          <a:schemeClr val="bg2">
            <a:lumMod val="75000"/>
          </a:schemeClr>
        </a:solid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solidFill>
              <a:schemeClr val="tx2">
                <a:lumMod val="60000"/>
                <a:lumOff val="40000"/>
              </a:schemeClr>
            </a:solidFill>
          </c:spPr>
          <c:explosion val="0"/>
          <c:dPt>
            <c:idx val="0"/>
            <c:bubble3D val="0"/>
            <c:spPr>
              <a:solidFill>
                <a:schemeClr val="tx2">
                  <a:lumMod val="60000"/>
                  <a:lumOff val="40000"/>
                </a:schemeClr>
              </a:solidFill>
              <a:ln w="19050">
                <a:solidFill>
                  <a:schemeClr val="lt1"/>
                </a:solidFill>
              </a:ln>
              <a:effectLst/>
            </c:spPr>
          </c:dPt>
          <c:dPt>
            <c:idx val="1"/>
            <c:bubble3D val="0"/>
            <c:spPr>
              <a:solidFill>
                <a:schemeClr val="tx2">
                  <a:lumMod val="60000"/>
                  <a:lumOff val="40000"/>
                </a:schemeClr>
              </a:solidFill>
              <a:ln w="19050">
                <a:solidFill>
                  <a:schemeClr val="lt1"/>
                </a:solidFill>
              </a:ln>
              <a:effectLst/>
            </c:spPr>
          </c:dPt>
          <c:dPt>
            <c:idx val="2"/>
            <c:bubble3D val="0"/>
            <c:spPr>
              <a:solidFill>
                <a:schemeClr val="tx2">
                  <a:lumMod val="60000"/>
                  <a:lumOff val="40000"/>
                </a:schemeClr>
              </a:solidFill>
            </c:spPr>
          </c:dPt>
          <c:dLbls>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1"/>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社会保障和就业支出</c:v>
                </c:pt>
                <c:pt idx="1">
                  <c:v>医疗卫生与计划生育支出</c:v>
                </c:pt>
                <c:pt idx="2">
                  <c:v>住房保障支出支出</c:v>
                </c:pt>
              </c:strCache>
            </c:strRef>
          </c:cat>
          <c:val>
            <c:numRef>
              <c:f>Sheet1!$B$2:$B$4</c:f>
              <c:numCache>
                <c:formatCode>General</c:formatCode>
                <c:ptCount val="3"/>
                <c:pt idx="0">
                  <c:v>22.5</c:v>
                </c:pt>
                <c:pt idx="1">
                  <c:v>211.52</c:v>
                </c:pt>
                <c:pt idx="2">
                  <c:v>13.72</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2">
        <a:lumMod val="75000"/>
      </a:schemeClr>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基本">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2</TotalTime>
  <ScaleCrop>false</ScaleCrop>
  <LinksUpToDate>false</LinksUpToDate>
  <CharactersWithSpaces>9641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2020-09-16T07:42:00Z</cp:lastPrinted>
  <dcterms:modified xsi:type="dcterms:W3CDTF">2021-02-19T06:10:27Z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