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FF"/>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bookmarkStart w:id="39" w:name="_GoBack"/>
      <w:bookmarkEnd w:id="39"/>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1" w:name="_Toc15377193"/>
      <w:bookmarkStart w:id="2" w:name="_Toc15378441"/>
      <w:bookmarkStart w:id="3" w:name="_Toc15377425"/>
      <w:bookmarkStart w:id="4" w:name="_Toc15396597"/>
      <w:bookmarkStart w:id="5" w:name="_Toc15396475"/>
      <w:r>
        <w:rPr>
          <w:rFonts w:hint="default" w:ascii="Times New Roman" w:hAnsi="Times New Roman" w:eastAsia="黑体" w:cs="Times New Roman"/>
          <w:color w:val="000000"/>
          <w:sz w:val="72"/>
          <w:szCs w:val="72"/>
        </w:rPr>
        <w:t>201</w:t>
      </w:r>
      <w:r>
        <w:rPr>
          <w:rFonts w:hint="default" w:ascii="Times New Roman" w:hAnsi="Times New Roman" w:eastAsia="黑体" w:cs="Times New Roman"/>
          <w:color w:val="000000"/>
          <w:sz w:val="72"/>
          <w:szCs w:val="72"/>
          <w:lang w:val="en-US" w:eastAsia="zh-CN"/>
        </w:rPr>
        <w:t>9</w:t>
      </w:r>
      <w:r>
        <w:rPr>
          <w:rFonts w:hint="default" w:ascii="Times New Roman" w:hAnsi="Times New Roman" w:eastAsia="方正小标宋简体" w:cs="Times New Roman"/>
          <w:color w:val="000000"/>
          <w:sz w:val="72"/>
          <w:szCs w:val="72"/>
        </w:rPr>
        <w:t>年度</w:t>
      </w:r>
      <w:bookmarkEnd w:id="1"/>
      <w:bookmarkEnd w:id="2"/>
      <w:bookmarkEnd w:id="3"/>
      <w:bookmarkEnd w:id="4"/>
      <w:bookmarkEnd w:id="5"/>
      <w:bookmarkStart w:id="6" w:name="_Toc15377426"/>
      <w:bookmarkStart w:id="7" w:name="_Toc15396598"/>
      <w:bookmarkStart w:id="8" w:name="_Toc15378442"/>
      <w:bookmarkStart w:id="9" w:name="_Toc15396476"/>
      <w:bookmarkStart w:id="10" w:name="_Toc15377194"/>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r>
        <w:rPr>
          <w:rFonts w:hint="default" w:ascii="Times New Roman" w:hAnsi="Times New Roman" w:eastAsia="方正小标宋简体" w:cs="Times New Roman"/>
          <w:color w:val="000000"/>
          <w:sz w:val="72"/>
          <w:szCs w:val="72"/>
        </w:rPr>
        <w:t>四川省</w:t>
      </w:r>
      <w:bookmarkEnd w:id="0"/>
      <w:bookmarkStart w:id="11" w:name="_Toc15306268"/>
      <w:r>
        <w:rPr>
          <w:rFonts w:hint="default" w:ascii="Times New Roman" w:hAnsi="Times New Roman" w:eastAsia="方正小标宋简体" w:cs="Times New Roman"/>
          <w:color w:val="000000"/>
          <w:sz w:val="72"/>
          <w:szCs w:val="72"/>
        </w:rPr>
        <w:t>达州市达川区</w:t>
      </w:r>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r>
        <w:rPr>
          <w:rFonts w:hint="default" w:ascii="Times New Roman" w:hAnsi="Times New Roman" w:eastAsia="方正小标宋简体" w:cs="Times New Roman"/>
          <w:color w:val="000000"/>
          <w:sz w:val="72"/>
          <w:szCs w:val="72"/>
          <w:lang w:eastAsia="zh-CN"/>
        </w:rPr>
        <w:t>农民工服务中心</w:t>
      </w:r>
      <w:r>
        <w:rPr>
          <w:rFonts w:hint="default" w:ascii="Times New Roman" w:hAnsi="Times New Roman" w:eastAsia="方正小标宋简体" w:cs="Times New Roman"/>
          <w:color w:val="000000"/>
          <w:sz w:val="72"/>
          <w:szCs w:val="72"/>
        </w:rPr>
        <w:t>决算</w:t>
      </w:r>
      <w:bookmarkEnd w:id="6"/>
      <w:bookmarkEnd w:id="7"/>
      <w:bookmarkEnd w:id="8"/>
      <w:bookmarkEnd w:id="9"/>
      <w:bookmarkEnd w:id="10"/>
      <w:bookmarkEnd w:id="11"/>
    </w:p>
    <w:p>
      <w:pPr>
        <w:widowControl/>
        <w:jc w:val="left"/>
        <w:rPr>
          <w:rFonts w:ascii="仿宋" w:hAnsi="仿宋" w:eastAsia="仿宋"/>
          <w:color w:val="000000"/>
          <w:sz w:val="24"/>
        </w:rPr>
      </w:pPr>
    </w:p>
    <w:p>
      <w:pPr>
        <w:widowControl/>
        <w:jc w:val="center"/>
        <w:rPr>
          <w:rFonts w:ascii="方正小标宋简体" w:hAnsi="宋体" w:eastAsia="方正小标宋简体"/>
          <w:color w:val="000000"/>
          <w:sz w:val="36"/>
          <w:szCs w:val="36"/>
        </w:rPr>
      </w:pPr>
      <w:bookmarkStart w:id="12" w:name="_Toc15396599"/>
      <w:bookmarkStart w:id="13" w:name="_Toc15377196"/>
      <w:r>
        <w:rPr>
          <w:rFonts w:ascii="黑体" w:hAnsi="黑体" w:eastAsia="黑体"/>
          <w:b/>
        </w:rPr>
        <w:br w:type="page"/>
      </w:r>
    </w:p>
    <w:p>
      <w:pPr>
        <w:widowControl/>
        <w:jc w:val="center"/>
        <w:rPr>
          <w:rFonts w:hint="eastAsia" w:ascii="方正小标宋_GBK" w:hAnsi="方正小标宋_GBK" w:eastAsia="方正小标宋_GBK" w:cs="方正小标宋_GBK"/>
          <w:color w:val="000000"/>
          <w:sz w:val="52"/>
          <w:szCs w:val="52"/>
        </w:rPr>
      </w:pPr>
      <w:r>
        <w:rPr>
          <w:rFonts w:hint="eastAsia" w:ascii="方正小标宋_GBK" w:hAnsi="方正小标宋_GBK" w:eastAsia="方正小标宋_GBK" w:cs="方正小标宋_GBK"/>
          <w:color w:val="000000"/>
          <w:sz w:val="52"/>
          <w:szCs w:val="52"/>
        </w:rPr>
        <w:t>目</w:t>
      </w:r>
      <w:r>
        <w:rPr>
          <w:rFonts w:hint="eastAsia" w:ascii="方正小标宋_GBK" w:hAnsi="方正小标宋_GBK" w:eastAsia="方正小标宋_GBK" w:cs="方正小标宋_GBK"/>
          <w:color w:val="000000"/>
          <w:sz w:val="52"/>
          <w:szCs w:val="52"/>
          <w:lang w:val="en-US" w:eastAsia="zh-CN"/>
        </w:rPr>
        <w:t xml:space="preserve">  </w:t>
      </w:r>
      <w:r>
        <w:rPr>
          <w:rFonts w:hint="eastAsia" w:ascii="方正小标宋_GBK" w:hAnsi="方正小标宋_GBK" w:eastAsia="方正小标宋_GBK" w:cs="方正小标宋_GBK"/>
          <w:color w:val="000000"/>
          <w:sz w:val="52"/>
          <w:szCs w:val="52"/>
        </w:rPr>
        <w:t>录</w:t>
      </w:r>
    </w:p>
    <w:p>
      <w:pPr>
        <w:widowControl/>
        <w:jc w:val="center"/>
        <w:rPr>
          <w:rFonts w:ascii="黑体" w:hAnsi="黑体" w:eastAsia="黑体"/>
          <w:sz w:val="28"/>
          <w:szCs w:val="28"/>
        </w:rPr>
      </w:pPr>
    </w:p>
    <w:p/>
    <w:p>
      <w:pPr>
        <w:pStyle w:val="2"/>
        <w:adjustRightInd w:val="0"/>
        <w:snapToGrid w:val="0"/>
        <w:spacing w:before="0" w:line="440" w:lineRule="exact"/>
        <w:jc w:val="left"/>
        <w:rPr>
          <w:rFonts w:hint="eastAsia"/>
          <w:sz w:val="24"/>
          <w:szCs w:val="24"/>
        </w:rPr>
      </w:pPr>
      <w:r>
        <w:rPr>
          <w:rFonts w:hint="eastAsia"/>
          <w:sz w:val="24"/>
        </w:rPr>
        <w:t>第一部分</w:t>
      </w:r>
      <w:r>
        <w:rPr>
          <w:sz w:val="24"/>
        </w:rPr>
        <w:t xml:space="preserve"> </w:t>
      </w:r>
      <w:r>
        <w:rPr>
          <w:rFonts w:hint="eastAsia"/>
          <w:sz w:val="24"/>
        </w:rPr>
        <w:t>部门概况</w:t>
      </w:r>
      <w:r>
        <w:rPr>
          <w:rFonts w:hint="eastAsia" w:cs="仿宋"/>
          <w:sz w:val="30"/>
          <w:szCs w:val="30"/>
        </w:rPr>
        <w:tab/>
      </w:r>
      <w:r>
        <w:rPr>
          <w:rFonts w:hint="eastAsia" w:cs="仿宋"/>
          <w:sz w:val="30"/>
          <w:szCs w:val="30"/>
        </w:rPr>
        <w:t>1</w:t>
      </w:r>
    </w:p>
    <w:p>
      <w:pPr>
        <w:pStyle w:val="11"/>
        <w:adjustRightInd w:val="0"/>
        <w:snapToGrid w:val="0"/>
        <w:spacing w:line="440" w:lineRule="exact"/>
        <w:jc w:val="left"/>
        <w:rPr>
          <w:rFonts w:hint="eastAsia" w:ascii="仿宋" w:hAnsi="仿宋" w:eastAsia="仿宋"/>
          <w:sz w:val="24"/>
        </w:rPr>
      </w:pPr>
      <w:r>
        <w:rPr>
          <w:rFonts w:hint="eastAsia" w:ascii="仿宋" w:hAnsi="仿宋" w:eastAsia="仿宋"/>
          <w:sz w:val="24"/>
        </w:rPr>
        <w:t>一、</w:t>
      </w:r>
      <w:r>
        <w:rPr>
          <w:rFonts w:hint="eastAsia"/>
          <w:sz w:val="24"/>
        </w:rPr>
        <w:t>基本职能及主要工作</w:t>
      </w:r>
      <w:r>
        <w:rPr>
          <w:rFonts w:hint="eastAsia" w:ascii="仿宋" w:hAnsi="仿宋" w:eastAsia="仿宋" w:cs="仿宋"/>
          <w:sz w:val="30"/>
          <w:szCs w:val="30"/>
        </w:rPr>
        <w:tab/>
      </w:r>
      <w:r>
        <w:rPr>
          <w:rFonts w:hint="eastAsia" w:ascii="仿宋" w:hAnsi="仿宋" w:eastAsia="仿宋" w:cs="仿宋"/>
          <w:sz w:val="30"/>
          <w:szCs w:val="30"/>
        </w:rPr>
        <w:t>1</w:t>
      </w:r>
    </w:p>
    <w:p>
      <w:pPr>
        <w:pStyle w:val="11"/>
        <w:adjustRightInd w:val="0"/>
        <w:snapToGrid w:val="0"/>
        <w:spacing w:line="440" w:lineRule="exact"/>
        <w:jc w:val="left"/>
        <w:rPr>
          <w:rFonts w:hint="eastAsia" w:ascii="仿宋" w:hAnsi="仿宋" w:eastAsia="仿宋"/>
          <w:sz w:val="24"/>
        </w:rPr>
      </w:pPr>
      <w:r>
        <w:rPr>
          <w:rFonts w:hint="eastAsia" w:ascii="仿宋" w:hAnsi="仿宋" w:eastAsia="仿宋"/>
          <w:sz w:val="24"/>
        </w:rPr>
        <w:t>二、</w:t>
      </w:r>
      <w:r>
        <w:rPr>
          <w:rFonts w:hint="eastAsia"/>
          <w:sz w:val="24"/>
        </w:rPr>
        <w:t>机构设置</w:t>
      </w:r>
      <w:r>
        <w:rPr>
          <w:rFonts w:hint="eastAsia" w:ascii="仿宋" w:hAnsi="仿宋" w:eastAsia="仿宋" w:cs="仿宋"/>
          <w:sz w:val="30"/>
          <w:szCs w:val="30"/>
        </w:rPr>
        <w:tab/>
      </w:r>
      <w:r>
        <w:rPr>
          <w:rFonts w:hint="eastAsia" w:ascii="仿宋" w:hAnsi="仿宋" w:eastAsia="仿宋" w:cs="仿宋"/>
          <w:sz w:val="30"/>
          <w:szCs w:val="30"/>
        </w:rPr>
        <w:t>2</w:t>
      </w:r>
    </w:p>
    <w:p>
      <w:pPr>
        <w:pStyle w:val="2"/>
        <w:adjustRightInd w:val="0"/>
        <w:snapToGrid w:val="0"/>
        <w:spacing w:before="0" w:line="440" w:lineRule="exact"/>
        <w:jc w:val="left"/>
        <w:rPr>
          <w:rFonts w:hint="eastAsia" w:eastAsia="仿宋"/>
          <w:sz w:val="24"/>
          <w:szCs w:val="24"/>
          <w:lang w:val="en-US" w:eastAsia="zh-CN"/>
        </w:rPr>
      </w:pPr>
      <w:r>
        <w:rPr>
          <w:rFonts w:hint="eastAsia"/>
          <w:sz w:val="24"/>
        </w:rPr>
        <w:t>第二部分度部门决算情况说明</w:t>
      </w:r>
      <w:r>
        <w:rPr>
          <w:rFonts w:hint="eastAsia" w:cs="仿宋"/>
          <w:sz w:val="30"/>
          <w:szCs w:val="30"/>
        </w:rPr>
        <w:tab/>
      </w:r>
      <w:r>
        <w:rPr>
          <w:rFonts w:hint="eastAsia" w:cs="仿宋"/>
          <w:sz w:val="30"/>
          <w:szCs w:val="30"/>
          <w:lang w:val="en-US" w:eastAsia="zh-CN"/>
        </w:rPr>
        <w:t>4</w:t>
      </w:r>
    </w:p>
    <w:p>
      <w:pPr>
        <w:pStyle w:val="11"/>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t>一、</w:t>
      </w:r>
      <w:r>
        <w:rPr>
          <w:rFonts w:hint="eastAsia"/>
          <w:sz w:val="24"/>
        </w:rPr>
        <w:t>收入支出决算总体情况说明</w:t>
      </w:r>
      <w:r>
        <w:rPr>
          <w:rFonts w:hint="eastAsia" w:ascii="仿宋" w:hAnsi="仿宋" w:eastAsia="仿宋" w:cs="仿宋"/>
          <w:sz w:val="30"/>
          <w:szCs w:val="30"/>
        </w:rPr>
        <w:tab/>
      </w:r>
      <w:r>
        <w:rPr>
          <w:rFonts w:hint="eastAsia" w:ascii="仿宋" w:hAnsi="仿宋" w:eastAsia="仿宋" w:cs="仿宋"/>
          <w:sz w:val="30"/>
          <w:szCs w:val="30"/>
          <w:lang w:val="en-US" w:eastAsia="zh-CN"/>
        </w:rPr>
        <w:t>4</w:t>
      </w:r>
    </w:p>
    <w:p>
      <w:pPr>
        <w:pStyle w:val="11"/>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t>二、</w:t>
      </w:r>
      <w:r>
        <w:rPr>
          <w:rFonts w:hint="eastAsia"/>
          <w:sz w:val="24"/>
        </w:rPr>
        <w:t>收入决算情况说明</w:t>
      </w:r>
      <w:r>
        <w:rPr>
          <w:rFonts w:hint="eastAsia" w:ascii="仿宋" w:hAnsi="仿宋" w:eastAsia="仿宋" w:cs="仿宋"/>
          <w:sz w:val="30"/>
          <w:szCs w:val="30"/>
        </w:rPr>
        <w:tab/>
      </w:r>
      <w:r>
        <w:rPr>
          <w:rFonts w:hint="eastAsia" w:ascii="仿宋" w:hAnsi="仿宋" w:eastAsia="仿宋" w:cs="仿宋"/>
          <w:sz w:val="30"/>
          <w:szCs w:val="30"/>
          <w:lang w:val="en-US" w:eastAsia="zh-CN"/>
        </w:rPr>
        <w:t>4</w:t>
      </w:r>
    </w:p>
    <w:p>
      <w:pPr>
        <w:pStyle w:val="11"/>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t>三、</w:t>
      </w:r>
      <w:r>
        <w:rPr>
          <w:rFonts w:hint="eastAsia"/>
          <w:sz w:val="24"/>
        </w:rPr>
        <w:t>支出决算情况说明</w:t>
      </w:r>
      <w:r>
        <w:rPr>
          <w:rFonts w:hint="eastAsia" w:ascii="仿宋" w:hAnsi="仿宋" w:eastAsia="仿宋" w:cs="仿宋"/>
          <w:sz w:val="30"/>
          <w:szCs w:val="30"/>
        </w:rPr>
        <w:tab/>
      </w:r>
      <w:r>
        <w:rPr>
          <w:rFonts w:hint="eastAsia" w:ascii="仿宋" w:hAnsi="仿宋" w:eastAsia="仿宋" w:cs="仿宋"/>
          <w:sz w:val="30"/>
          <w:szCs w:val="30"/>
          <w:lang w:val="en-US" w:eastAsia="zh-CN"/>
        </w:rPr>
        <w:t>5</w:t>
      </w:r>
    </w:p>
    <w:p>
      <w:pPr>
        <w:pStyle w:val="11"/>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t>四、</w:t>
      </w:r>
      <w:r>
        <w:rPr>
          <w:rFonts w:hint="eastAsia"/>
          <w:sz w:val="24"/>
        </w:rPr>
        <w:t>财政拨款收入支出决算总体情况说明</w:t>
      </w:r>
      <w:r>
        <w:rPr>
          <w:rFonts w:hint="eastAsia" w:ascii="仿宋" w:hAnsi="仿宋" w:eastAsia="仿宋" w:cs="仿宋"/>
          <w:sz w:val="30"/>
          <w:szCs w:val="30"/>
        </w:rPr>
        <w:tab/>
      </w:r>
      <w:r>
        <w:rPr>
          <w:rFonts w:hint="eastAsia" w:ascii="仿宋" w:hAnsi="仿宋" w:eastAsia="仿宋" w:cs="仿宋"/>
          <w:sz w:val="30"/>
          <w:szCs w:val="30"/>
          <w:lang w:val="en-US" w:eastAsia="zh-CN"/>
        </w:rPr>
        <w:t>6</w:t>
      </w:r>
    </w:p>
    <w:p>
      <w:pPr>
        <w:pStyle w:val="11"/>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t>五、</w:t>
      </w:r>
      <w:r>
        <w:rPr>
          <w:rFonts w:hint="eastAsia"/>
          <w:sz w:val="24"/>
        </w:rPr>
        <w:t>一般公共预算财政拨款支出决算情况说明</w:t>
      </w:r>
      <w:r>
        <w:rPr>
          <w:rFonts w:hint="eastAsia" w:ascii="仿宋" w:hAnsi="仿宋" w:eastAsia="仿宋" w:cs="仿宋"/>
          <w:sz w:val="30"/>
          <w:szCs w:val="30"/>
        </w:rPr>
        <w:tab/>
      </w:r>
      <w:r>
        <w:rPr>
          <w:rFonts w:hint="eastAsia" w:ascii="仿宋" w:hAnsi="仿宋" w:eastAsia="仿宋" w:cs="仿宋"/>
          <w:sz w:val="30"/>
          <w:szCs w:val="30"/>
          <w:lang w:val="en-US" w:eastAsia="zh-CN"/>
        </w:rPr>
        <w:t>6</w:t>
      </w:r>
    </w:p>
    <w:p>
      <w:pPr>
        <w:pStyle w:val="11"/>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t>六、</w:t>
      </w:r>
      <w:r>
        <w:rPr>
          <w:rFonts w:hint="eastAsia"/>
          <w:sz w:val="24"/>
        </w:rPr>
        <w:t>一般公共预算财政拨款基本支出决算情况说明</w:t>
      </w:r>
      <w:r>
        <w:rPr>
          <w:rFonts w:hint="eastAsia" w:ascii="仿宋" w:hAnsi="仿宋" w:eastAsia="仿宋" w:cs="仿宋"/>
          <w:sz w:val="30"/>
          <w:szCs w:val="30"/>
        </w:rPr>
        <w:tab/>
      </w:r>
      <w:r>
        <w:rPr>
          <w:rFonts w:hint="eastAsia" w:ascii="仿宋" w:hAnsi="仿宋" w:eastAsia="仿宋" w:cs="仿宋"/>
          <w:sz w:val="30"/>
          <w:szCs w:val="30"/>
          <w:lang w:val="en-US" w:eastAsia="zh-CN"/>
        </w:rPr>
        <w:t>8</w:t>
      </w:r>
    </w:p>
    <w:p>
      <w:pPr>
        <w:pStyle w:val="11"/>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t>七、</w:t>
      </w:r>
      <w:r>
        <w:rPr>
          <w:sz w:val="24"/>
        </w:rPr>
        <w:t>“</w:t>
      </w:r>
      <w:r>
        <w:rPr>
          <w:rFonts w:hint="eastAsia"/>
          <w:sz w:val="24"/>
        </w:rPr>
        <w:t>三公”经费财政拨款支出决算情况说明</w:t>
      </w:r>
      <w:r>
        <w:rPr>
          <w:rFonts w:hint="eastAsia" w:ascii="仿宋" w:hAnsi="仿宋" w:eastAsia="仿宋" w:cs="仿宋"/>
          <w:sz w:val="30"/>
          <w:szCs w:val="30"/>
        </w:rPr>
        <w:tab/>
      </w:r>
      <w:r>
        <w:rPr>
          <w:rFonts w:hint="eastAsia" w:ascii="仿宋" w:hAnsi="仿宋" w:eastAsia="仿宋" w:cs="仿宋"/>
          <w:sz w:val="30"/>
          <w:szCs w:val="30"/>
          <w:lang w:val="en-US" w:eastAsia="zh-CN"/>
        </w:rPr>
        <w:t>8</w:t>
      </w:r>
    </w:p>
    <w:p>
      <w:pPr>
        <w:pStyle w:val="11"/>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t>八、</w:t>
      </w:r>
      <w:r>
        <w:rPr>
          <w:rFonts w:hint="eastAsia"/>
          <w:sz w:val="24"/>
        </w:rPr>
        <w:t>政府性基金预算支出决算情况说明</w:t>
      </w:r>
      <w:r>
        <w:rPr>
          <w:rFonts w:hint="eastAsia" w:ascii="仿宋" w:hAnsi="仿宋" w:eastAsia="仿宋" w:cs="仿宋"/>
          <w:sz w:val="30"/>
          <w:szCs w:val="30"/>
        </w:rPr>
        <w:tab/>
      </w:r>
      <w:r>
        <w:rPr>
          <w:rFonts w:hint="eastAsia" w:ascii="仿宋" w:hAnsi="仿宋" w:eastAsia="仿宋" w:cs="仿宋"/>
          <w:sz w:val="30"/>
          <w:szCs w:val="30"/>
          <w:lang w:val="en-US" w:eastAsia="zh-CN"/>
        </w:rPr>
        <w:t>9</w:t>
      </w:r>
    </w:p>
    <w:p>
      <w:pPr>
        <w:pStyle w:val="11"/>
        <w:adjustRightInd w:val="0"/>
        <w:snapToGrid w:val="0"/>
        <w:spacing w:line="440" w:lineRule="exact"/>
        <w:ind w:leftChars="0"/>
        <w:jc w:val="left"/>
        <w:rPr>
          <w:rFonts w:hint="eastAsia" w:ascii="仿宋" w:hAnsi="仿宋" w:eastAsia="仿宋"/>
          <w:sz w:val="24"/>
          <w:lang w:val="en-US" w:eastAsia="zh-CN"/>
        </w:rPr>
      </w:pPr>
      <w:r>
        <w:rPr>
          <w:rFonts w:hint="eastAsia" w:ascii="仿宋" w:hAnsi="仿宋" w:eastAsia="仿宋"/>
          <w:sz w:val="24"/>
        </w:rPr>
        <w:t>九、</w:t>
      </w:r>
      <w:r>
        <w:rPr>
          <w:sz w:val="24"/>
        </w:rPr>
        <w:t xml:space="preserve"> 国</w:t>
      </w:r>
      <w:r>
        <w:rPr>
          <w:rFonts w:hint="eastAsia"/>
          <w:sz w:val="24"/>
        </w:rPr>
        <w:t>有资本经营预算支出决算情况说明</w:t>
      </w:r>
      <w:r>
        <w:rPr>
          <w:rFonts w:hint="eastAsia" w:ascii="仿宋" w:hAnsi="仿宋" w:eastAsia="仿宋" w:cs="仿宋"/>
          <w:sz w:val="30"/>
          <w:szCs w:val="30"/>
        </w:rPr>
        <w:tab/>
      </w:r>
      <w:r>
        <w:rPr>
          <w:rFonts w:hint="eastAsia" w:ascii="仿宋" w:hAnsi="仿宋" w:eastAsia="仿宋" w:cs="仿宋"/>
          <w:sz w:val="30"/>
          <w:szCs w:val="30"/>
          <w:lang w:val="en-US" w:eastAsia="zh-CN"/>
        </w:rPr>
        <w:t>9</w:t>
      </w:r>
    </w:p>
    <w:p>
      <w:pPr>
        <w:adjustRightInd w:val="0"/>
        <w:snapToGrid w:val="0"/>
        <w:spacing w:line="440" w:lineRule="exact"/>
        <w:ind w:firstLine="480" w:firstLineChars="200"/>
        <w:jc w:val="left"/>
        <w:rPr>
          <w:rFonts w:hint="eastAsia" w:ascii="仿宋" w:hAnsi="仿宋" w:eastAsia="Microsoft YaHei UI" w:cs="仿宋"/>
          <w:sz w:val="30"/>
          <w:szCs w:val="30"/>
          <w:lang w:val="en-US" w:eastAsia="zh-CN"/>
        </w:rPr>
      </w:pPr>
      <w:r>
        <w:rPr>
          <w:rFonts w:hint="eastAsia" w:ascii="仿宋" w:hAnsi="仿宋" w:eastAsia="仿宋"/>
          <w:sz w:val="24"/>
        </w:rPr>
        <w:t>十、</w:t>
      </w:r>
      <w:r>
        <w:rPr>
          <w:rFonts w:hint="eastAsia"/>
          <w:sz w:val="24"/>
        </w:rPr>
        <w:t>其他重要事项的情况说明</w:t>
      </w:r>
      <w:r>
        <w:rPr>
          <w:rFonts w:hint="eastAsia" w:ascii="Microsoft YaHei UI" w:hAnsi="Microsoft YaHei UI" w:eastAsia="Microsoft YaHei UI" w:cs="Microsoft YaHei UI"/>
          <w:sz w:val="24"/>
        </w:rPr>
        <w:t>...............................................................................</w:t>
      </w:r>
      <w:r>
        <w:rPr>
          <w:rFonts w:hint="eastAsia" w:ascii="Microsoft YaHei UI" w:hAnsi="Microsoft YaHei UI" w:eastAsia="Microsoft YaHei UI" w:cs="Microsoft YaHei UI"/>
          <w:sz w:val="24"/>
          <w:lang w:val="en-US" w:eastAsia="zh-CN"/>
        </w:rPr>
        <w:t>9</w:t>
      </w:r>
    </w:p>
    <w:p>
      <w:pPr>
        <w:pStyle w:val="2"/>
        <w:adjustRightInd w:val="0"/>
        <w:snapToGrid w:val="0"/>
        <w:spacing w:before="0" w:line="440" w:lineRule="exact"/>
        <w:jc w:val="left"/>
        <w:rPr>
          <w:rFonts w:hint="eastAsia" w:eastAsia="仿宋"/>
          <w:sz w:val="24"/>
          <w:szCs w:val="24"/>
          <w:lang w:val="en-US" w:eastAsia="zh-CN"/>
        </w:rPr>
      </w:pPr>
      <w:r>
        <w:rPr>
          <w:rFonts w:hint="eastAsia"/>
          <w:sz w:val="24"/>
        </w:rPr>
        <w:t>第三部分</w:t>
      </w:r>
      <w:r>
        <w:rPr>
          <w:sz w:val="24"/>
        </w:rPr>
        <w:t xml:space="preserve"> </w:t>
      </w:r>
      <w:r>
        <w:rPr>
          <w:rFonts w:hint="eastAsia"/>
          <w:sz w:val="24"/>
        </w:rPr>
        <w:t>名词解释</w:t>
      </w:r>
      <w:r>
        <w:rPr>
          <w:rFonts w:hint="eastAsia" w:cs="仿宋"/>
          <w:sz w:val="30"/>
          <w:szCs w:val="30"/>
        </w:rPr>
        <w:tab/>
      </w:r>
      <w:r>
        <w:rPr>
          <w:rFonts w:hint="eastAsia" w:cs="仿宋"/>
          <w:sz w:val="30"/>
          <w:szCs w:val="30"/>
        </w:rPr>
        <w:t>1</w:t>
      </w:r>
      <w:r>
        <w:rPr>
          <w:rFonts w:hint="eastAsia" w:cs="仿宋"/>
          <w:sz w:val="30"/>
          <w:szCs w:val="30"/>
          <w:lang w:val="en-US" w:eastAsia="zh-CN"/>
        </w:rPr>
        <w:t>2</w:t>
      </w:r>
    </w:p>
    <w:p>
      <w:pPr>
        <w:pStyle w:val="2"/>
        <w:adjustRightInd w:val="0"/>
        <w:snapToGrid w:val="0"/>
        <w:spacing w:before="0" w:line="440" w:lineRule="exact"/>
        <w:jc w:val="left"/>
        <w:rPr>
          <w:rFonts w:hint="eastAsia" w:eastAsia="仿宋"/>
          <w:sz w:val="24"/>
          <w:szCs w:val="24"/>
          <w:lang w:val="en-US" w:eastAsia="zh-CN"/>
        </w:rPr>
      </w:pPr>
      <w:r>
        <w:rPr>
          <w:rFonts w:hint="eastAsia"/>
          <w:sz w:val="24"/>
        </w:rPr>
        <w:t>第四部分</w:t>
      </w:r>
      <w:r>
        <w:rPr>
          <w:sz w:val="24"/>
        </w:rPr>
        <w:t xml:space="preserve"> </w:t>
      </w:r>
      <w:r>
        <w:rPr>
          <w:rFonts w:hint="eastAsia"/>
          <w:sz w:val="24"/>
        </w:rPr>
        <w:t>附件</w:t>
      </w:r>
      <w:r>
        <w:rPr>
          <w:rFonts w:hint="eastAsia" w:cs="仿宋"/>
          <w:sz w:val="30"/>
          <w:szCs w:val="30"/>
        </w:rPr>
        <w:tab/>
      </w:r>
      <w:r>
        <w:rPr>
          <w:rFonts w:hint="eastAsia" w:cs="仿宋"/>
          <w:sz w:val="30"/>
          <w:szCs w:val="30"/>
        </w:rPr>
        <w:t>1</w:t>
      </w:r>
      <w:r>
        <w:rPr>
          <w:rFonts w:hint="eastAsia" w:cs="仿宋"/>
          <w:sz w:val="30"/>
          <w:szCs w:val="30"/>
          <w:lang w:val="en-US" w:eastAsia="zh-CN"/>
        </w:rPr>
        <w:t>5</w:t>
      </w:r>
    </w:p>
    <w:p>
      <w:pPr>
        <w:pStyle w:val="11"/>
        <w:adjustRightInd w:val="0"/>
        <w:snapToGrid w:val="0"/>
        <w:spacing w:line="440" w:lineRule="exact"/>
        <w:jc w:val="left"/>
        <w:rPr>
          <w:rFonts w:hint="eastAsia" w:ascii="仿宋" w:hAnsi="仿宋" w:eastAsia="仿宋"/>
          <w:sz w:val="24"/>
          <w:lang w:val="en-US" w:eastAsia="zh-CN"/>
        </w:rPr>
      </w:pPr>
      <w:r>
        <w:rPr>
          <w:rFonts w:hint="eastAsia"/>
          <w:sz w:val="24"/>
        </w:rPr>
        <w:t>附件</w:t>
      </w:r>
      <w:r>
        <w:rPr>
          <w:sz w:val="24"/>
        </w:rPr>
        <w:t>1</w:t>
      </w:r>
      <w:r>
        <w:rPr>
          <w:rFonts w:hint="eastAsia" w:ascii="仿宋" w:hAnsi="仿宋" w:eastAsia="仿宋" w:cs="仿宋"/>
          <w:sz w:val="30"/>
          <w:szCs w:val="30"/>
        </w:rPr>
        <w:tab/>
      </w:r>
      <w:r>
        <w:rPr>
          <w:rFonts w:hint="eastAsia" w:ascii="仿宋" w:hAnsi="仿宋" w:eastAsia="仿宋" w:cs="仿宋"/>
          <w:sz w:val="30"/>
          <w:szCs w:val="30"/>
        </w:rPr>
        <w:t>1</w:t>
      </w:r>
      <w:r>
        <w:rPr>
          <w:rFonts w:hint="eastAsia" w:ascii="仿宋" w:hAnsi="仿宋" w:eastAsia="仿宋" w:cs="仿宋"/>
          <w:sz w:val="30"/>
          <w:szCs w:val="30"/>
          <w:lang w:val="en-US" w:eastAsia="zh-CN"/>
        </w:rPr>
        <w:t>5</w:t>
      </w:r>
    </w:p>
    <w:p>
      <w:pPr>
        <w:pStyle w:val="11"/>
        <w:adjustRightInd w:val="0"/>
        <w:snapToGrid w:val="0"/>
        <w:spacing w:line="440" w:lineRule="exact"/>
        <w:jc w:val="left"/>
        <w:rPr>
          <w:rFonts w:hint="eastAsia" w:ascii="仿宋" w:hAnsi="仿宋" w:eastAsia="仿宋"/>
          <w:sz w:val="24"/>
          <w:lang w:val="en-US" w:eastAsia="zh-CN"/>
        </w:rPr>
      </w:pPr>
      <w:r>
        <w:rPr>
          <w:rFonts w:hint="eastAsia"/>
          <w:sz w:val="24"/>
        </w:rPr>
        <w:t>附件</w:t>
      </w:r>
      <w:r>
        <w:rPr>
          <w:sz w:val="24"/>
        </w:rPr>
        <w:t>2</w:t>
      </w:r>
      <w:r>
        <w:rPr>
          <w:rFonts w:hint="eastAsia" w:ascii="仿宋" w:hAnsi="仿宋" w:eastAsia="仿宋" w:cs="仿宋"/>
          <w:sz w:val="30"/>
          <w:szCs w:val="30"/>
        </w:rPr>
        <w:tab/>
      </w:r>
      <w:r>
        <w:rPr>
          <w:rFonts w:hint="eastAsia" w:ascii="仿宋" w:hAnsi="仿宋" w:eastAsia="仿宋" w:cs="仿宋"/>
          <w:sz w:val="30"/>
          <w:szCs w:val="30"/>
        </w:rPr>
        <w:t>2</w:t>
      </w:r>
      <w:r>
        <w:rPr>
          <w:rFonts w:hint="eastAsia" w:ascii="仿宋" w:hAnsi="仿宋" w:eastAsia="仿宋" w:cs="仿宋"/>
          <w:sz w:val="30"/>
          <w:szCs w:val="30"/>
          <w:lang w:val="en-US" w:eastAsia="zh-CN"/>
        </w:rPr>
        <w:t>2</w:t>
      </w:r>
    </w:p>
    <w:p>
      <w:pPr>
        <w:pStyle w:val="2"/>
        <w:adjustRightInd w:val="0"/>
        <w:snapToGrid w:val="0"/>
        <w:spacing w:before="0" w:line="440" w:lineRule="exact"/>
        <w:jc w:val="left"/>
        <w:rPr>
          <w:rFonts w:hint="eastAsia" w:eastAsia="仿宋"/>
          <w:sz w:val="24"/>
          <w:szCs w:val="24"/>
          <w:lang w:val="en-US" w:eastAsia="zh-CN"/>
        </w:rPr>
      </w:pPr>
      <w:r>
        <w:rPr>
          <w:rFonts w:hint="eastAsia"/>
          <w:sz w:val="24"/>
        </w:rPr>
        <w:t>第五部分</w:t>
      </w:r>
      <w:r>
        <w:rPr>
          <w:sz w:val="24"/>
        </w:rPr>
        <w:t xml:space="preserve"> </w:t>
      </w:r>
      <w:r>
        <w:rPr>
          <w:rFonts w:hint="eastAsia"/>
          <w:sz w:val="24"/>
        </w:rPr>
        <w:t>附表</w:t>
      </w:r>
      <w:r>
        <w:rPr>
          <w:rFonts w:hint="eastAsia" w:cs="仿宋"/>
          <w:sz w:val="30"/>
          <w:szCs w:val="30"/>
        </w:rPr>
        <w:tab/>
      </w:r>
      <w:r>
        <w:rPr>
          <w:rFonts w:hint="eastAsia" w:cs="仿宋"/>
          <w:sz w:val="30"/>
          <w:szCs w:val="30"/>
        </w:rPr>
        <w:t>2</w:t>
      </w:r>
      <w:r>
        <w:rPr>
          <w:rFonts w:hint="eastAsia" w:cs="仿宋"/>
          <w:sz w:val="30"/>
          <w:szCs w:val="30"/>
          <w:lang w:val="en-US" w:eastAsia="zh-CN"/>
        </w:rPr>
        <w:t>5</w:t>
      </w:r>
    </w:p>
    <w:p>
      <w:pPr>
        <w:pStyle w:val="11"/>
        <w:adjustRightInd w:val="0"/>
        <w:snapToGrid w:val="0"/>
        <w:spacing w:line="440" w:lineRule="exact"/>
        <w:jc w:val="left"/>
        <w:rPr>
          <w:rFonts w:hint="eastAsia" w:ascii="仿宋" w:hAnsi="仿宋" w:eastAsia="仿宋"/>
          <w:sz w:val="24"/>
          <w:lang w:val="en-US" w:eastAsia="zh-CN"/>
        </w:rPr>
      </w:pPr>
      <w:r>
        <w:rPr>
          <w:rFonts w:hint="eastAsia" w:ascii="仿宋" w:hAnsi="仿宋" w:eastAsia="仿宋"/>
          <w:sz w:val="24"/>
        </w:rPr>
        <w:t>一、</w:t>
      </w:r>
      <w:r>
        <w:rPr>
          <w:rFonts w:hint="eastAsia"/>
          <w:sz w:val="24"/>
        </w:rPr>
        <w:t>收入支出决算总表</w:t>
      </w:r>
      <w:r>
        <w:rPr>
          <w:rFonts w:hint="eastAsia" w:ascii="仿宋" w:hAnsi="仿宋" w:eastAsia="仿宋" w:cs="仿宋"/>
          <w:sz w:val="30"/>
          <w:szCs w:val="30"/>
        </w:rPr>
        <w:tab/>
      </w:r>
      <w:r>
        <w:rPr>
          <w:rFonts w:hint="eastAsia" w:ascii="仿宋" w:hAnsi="仿宋" w:eastAsia="仿宋" w:cs="仿宋"/>
          <w:sz w:val="30"/>
          <w:szCs w:val="30"/>
        </w:rPr>
        <w:t>2</w:t>
      </w:r>
      <w:r>
        <w:rPr>
          <w:rFonts w:hint="eastAsia" w:ascii="仿宋" w:hAnsi="仿宋" w:eastAsia="仿宋" w:cs="仿宋"/>
          <w:sz w:val="30"/>
          <w:szCs w:val="30"/>
          <w:lang w:val="en-US" w:eastAsia="zh-CN"/>
        </w:rPr>
        <w:t>5</w:t>
      </w:r>
    </w:p>
    <w:p>
      <w:pPr>
        <w:pStyle w:val="11"/>
        <w:adjustRightInd w:val="0"/>
        <w:snapToGrid w:val="0"/>
        <w:spacing w:line="440" w:lineRule="exact"/>
        <w:jc w:val="left"/>
        <w:rPr>
          <w:rFonts w:hint="eastAsia" w:ascii="仿宋" w:hAnsi="仿宋" w:eastAsia="仿宋"/>
          <w:sz w:val="24"/>
          <w:lang w:eastAsia="zh-CN"/>
        </w:rPr>
      </w:pPr>
      <w:r>
        <w:rPr>
          <w:rFonts w:hint="eastAsia" w:ascii="仿宋" w:hAnsi="仿宋" w:eastAsia="仿宋"/>
          <w:sz w:val="24"/>
        </w:rPr>
        <w:t>二、</w:t>
      </w:r>
      <w:r>
        <w:rPr>
          <w:rFonts w:hint="eastAsia"/>
          <w:sz w:val="24"/>
        </w:rPr>
        <w:t>收入决算表</w:t>
      </w:r>
      <w:r>
        <w:rPr>
          <w:rFonts w:hint="eastAsia" w:ascii="仿宋" w:hAnsi="仿宋" w:eastAsia="仿宋" w:cs="仿宋"/>
          <w:sz w:val="30"/>
          <w:szCs w:val="30"/>
        </w:rPr>
        <w:tab/>
      </w:r>
      <w:r>
        <w:rPr>
          <w:rFonts w:hint="eastAsia" w:ascii="仿宋" w:hAnsi="仿宋" w:eastAsia="仿宋" w:cs="仿宋"/>
          <w:sz w:val="30"/>
          <w:szCs w:val="30"/>
        </w:rPr>
        <w:t>2</w:t>
      </w:r>
      <w:r>
        <w:rPr>
          <w:rFonts w:hint="eastAsia" w:ascii="仿宋" w:hAnsi="仿宋" w:eastAsia="仿宋" w:cs="仿宋"/>
          <w:sz w:val="30"/>
          <w:szCs w:val="30"/>
          <w:lang w:val="en-US" w:eastAsia="zh-CN"/>
        </w:rPr>
        <w:t>5</w:t>
      </w:r>
    </w:p>
    <w:p>
      <w:pPr>
        <w:pStyle w:val="11"/>
        <w:adjustRightInd w:val="0"/>
        <w:snapToGrid w:val="0"/>
        <w:spacing w:line="440" w:lineRule="exact"/>
        <w:jc w:val="left"/>
        <w:rPr>
          <w:rFonts w:hint="eastAsia" w:ascii="仿宋" w:hAnsi="仿宋" w:eastAsia="仿宋"/>
          <w:sz w:val="24"/>
          <w:lang w:eastAsia="zh-CN"/>
        </w:rPr>
      </w:pPr>
      <w:r>
        <w:rPr>
          <w:rFonts w:hint="eastAsia" w:ascii="仿宋" w:hAnsi="仿宋" w:eastAsia="仿宋"/>
          <w:sz w:val="24"/>
        </w:rPr>
        <w:t>三、</w:t>
      </w:r>
      <w:r>
        <w:rPr>
          <w:rFonts w:hint="eastAsia"/>
          <w:sz w:val="24"/>
        </w:rPr>
        <w:t>支出决算表</w:t>
      </w:r>
      <w:r>
        <w:rPr>
          <w:rFonts w:hint="eastAsia" w:ascii="仿宋" w:hAnsi="仿宋" w:eastAsia="仿宋" w:cs="仿宋"/>
          <w:sz w:val="30"/>
          <w:szCs w:val="30"/>
        </w:rPr>
        <w:tab/>
      </w:r>
      <w:r>
        <w:rPr>
          <w:rFonts w:hint="eastAsia" w:ascii="仿宋" w:hAnsi="仿宋" w:eastAsia="仿宋" w:cs="仿宋"/>
          <w:sz w:val="30"/>
          <w:szCs w:val="30"/>
        </w:rPr>
        <w:t>2</w:t>
      </w:r>
      <w:r>
        <w:rPr>
          <w:rFonts w:hint="eastAsia" w:ascii="仿宋" w:hAnsi="仿宋" w:eastAsia="仿宋" w:cs="仿宋"/>
          <w:sz w:val="30"/>
          <w:szCs w:val="30"/>
          <w:lang w:val="en-US" w:eastAsia="zh-CN"/>
        </w:rPr>
        <w:t>5</w:t>
      </w:r>
    </w:p>
    <w:p>
      <w:pPr>
        <w:pStyle w:val="11"/>
        <w:adjustRightInd w:val="0"/>
        <w:snapToGrid w:val="0"/>
        <w:spacing w:line="440" w:lineRule="exact"/>
        <w:jc w:val="left"/>
        <w:rPr>
          <w:rFonts w:hint="eastAsia" w:ascii="仿宋" w:hAnsi="仿宋" w:eastAsia="仿宋"/>
          <w:sz w:val="24"/>
          <w:lang w:eastAsia="zh-CN"/>
        </w:rPr>
      </w:pPr>
      <w:r>
        <w:rPr>
          <w:rFonts w:hint="eastAsia" w:ascii="仿宋" w:hAnsi="仿宋" w:eastAsia="仿宋"/>
          <w:sz w:val="24"/>
        </w:rPr>
        <w:t>四、</w:t>
      </w:r>
      <w:r>
        <w:rPr>
          <w:rFonts w:hint="eastAsia"/>
          <w:sz w:val="24"/>
        </w:rPr>
        <w:t>财政拨款收入支出决算总表</w:t>
      </w:r>
      <w:r>
        <w:rPr>
          <w:rFonts w:hint="eastAsia" w:ascii="仿宋" w:hAnsi="仿宋" w:eastAsia="仿宋" w:cs="仿宋"/>
          <w:sz w:val="30"/>
          <w:szCs w:val="30"/>
        </w:rPr>
        <w:tab/>
      </w:r>
      <w:r>
        <w:rPr>
          <w:rFonts w:hint="eastAsia" w:ascii="仿宋" w:hAnsi="仿宋" w:eastAsia="仿宋" w:cs="仿宋"/>
          <w:sz w:val="30"/>
          <w:szCs w:val="30"/>
        </w:rPr>
        <w:t>2</w:t>
      </w:r>
      <w:r>
        <w:rPr>
          <w:rFonts w:hint="eastAsia" w:ascii="仿宋" w:hAnsi="仿宋" w:eastAsia="仿宋" w:cs="仿宋"/>
          <w:sz w:val="30"/>
          <w:szCs w:val="30"/>
          <w:lang w:val="en-US" w:eastAsia="zh-CN"/>
        </w:rPr>
        <w:t>5</w:t>
      </w:r>
    </w:p>
    <w:p>
      <w:pPr>
        <w:pStyle w:val="11"/>
        <w:adjustRightInd w:val="0"/>
        <w:snapToGrid w:val="0"/>
        <w:spacing w:line="440" w:lineRule="exact"/>
        <w:jc w:val="left"/>
        <w:rPr>
          <w:rFonts w:hint="eastAsia" w:ascii="仿宋" w:hAnsi="仿宋" w:eastAsia="仿宋"/>
          <w:sz w:val="24"/>
          <w:lang w:eastAsia="zh-CN"/>
        </w:rPr>
      </w:pPr>
      <w:r>
        <w:rPr>
          <w:rFonts w:hint="eastAsia" w:ascii="仿宋" w:hAnsi="仿宋" w:eastAsia="仿宋"/>
          <w:sz w:val="24"/>
        </w:rPr>
        <w:t>五、</w:t>
      </w:r>
      <w:r>
        <w:rPr>
          <w:rFonts w:hint="eastAsia"/>
          <w:sz w:val="24"/>
        </w:rPr>
        <w:t>财政拨款支出决算明细表</w:t>
      </w:r>
      <w:r>
        <w:rPr>
          <w:rFonts w:hint="eastAsia" w:ascii="仿宋" w:hAnsi="仿宋" w:eastAsia="仿宋" w:cs="仿宋"/>
          <w:sz w:val="30"/>
          <w:szCs w:val="30"/>
        </w:rPr>
        <w:tab/>
      </w:r>
      <w:r>
        <w:rPr>
          <w:rFonts w:hint="eastAsia" w:ascii="仿宋" w:hAnsi="仿宋" w:eastAsia="仿宋" w:cs="仿宋"/>
          <w:sz w:val="30"/>
          <w:szCs w:val="30"/>
        </w:rPr>
        <w:t>2</w:t>
      </w:r>
      <w:r>
        <w:rPr>
          <w:rFonts w:hint="eastAsia" w:ascii="仿宋" w:hAnsi="仿宋" w:eastAsia="仿宋" w:cs="仿宋"/>
          <w:sz w:val="30"/>
          <w:szCs w:val="30"/>
          <w:lang w:val="en-US" w:eastAsia="zh-CN"/>
        </w:rPr>
        <w:t>5</w:t>
      </w:r>
    </w:p>
    <w:p>
      <w:pPr>
        <w:pStyle w:val="11"/>
        <w:adjustRightInd w:val="0"/>
        <w:snapToGrid w:val="0"/>
        <w:spacing w:line="440" w:lineRule="exact"/>
        <w:jc w:val="left"/>
        <w:rPr>
          <w:rFonts w:hint="eastAsia" w:ascii="仿宋" w:hAnsi="仿宋" w:eastAsia="仿宋"/>
          <w:sz w:val="24"/>
          <w:lang w:eastAsia="zh-CN"/>
        </w:rPr>
      </w:pPr>
      <w:r>
        <w:rPr>
          <w:rFonts w:hint="eastAsia" w:ascii="仿宋" w:hAnsi="仿宋" w:eastAsia="仿宋"/>
          <w:sz w:val="24"/>
        </w:rPr>
        <w:t>六、</w:t>
      </w:r>
      <w:r>
        <w:rPr>
          <w:rFonts w:hint="eastAsia"/>
          <w:sz w:val="24"/>
        </w:rPr>
        <w:t>一般公共预算财政拨款支出决算表</w:t>
      </w:r>
      <w:r>
        <w:rPr>
          <w:rFonts w:hint="eastAsia" w:ascii="仿宋" w:hAnsi="仿宋" w:eastAsia="仿宋" w:cs="仿宋"/>
          <w:sz w:val="30"/>
          <w:szCs w:val="30"/>
        </w:rPr>
        <w:tab/>
      </w:r>
      <w:r>
        <w:rPr>
          <w:rFonts w:hint="eastAsia" w:ascii="仿宋" w:hAnsi="仿宋" w:eastAsia="仿宋" w:cs="仿宋"/>
          <w:sz w:val="30"/>
          <w:szCs w:val="30"/>
        </w:rPr>
        <w:t>2</w:t>
      </w:r>
      <w:r>
        <w:rPr>
          <w:rFonts w:hint="eastAsia" w:ascii="仿宋" w:hAnsi="仿宋" w:eastAsia="仿宋" w:cs="仿宋"/>
          <w:sz w:val="30"/>
          <w:szCs w:val="30"/>
          <w:lang w:val="en-US" w:eastAsia="zh-CN"/>
        </w:rPr>
        <w:t>5</w:t>
      </w:r>
    </w:p>
    <w:p>
      <w:pPr>
        <w:pStyle w:val="11"/>
        <w:adjustRightInd w:val="0"/>
        <w:snapToGrid w:val="0"/>
        <w:spacing w:line="440" w:lineRule="exact"/>
        <w:jc w:val="left"/>
        <w:rPr>
          <w:rFonts w:hint="eastAsia" w:ascii="仿宋" w:hAnsi="仿宋" w:eastAsia="仿宋"/>
          <w:sz w:val="24"/>
          <w:lang w:eastAsia="zh-CN"/>
        </w:rPr>
      </w:pPr>
      <w:r>
        <w:rPr>
          <w:rFonts w:hint="eastAsia" w:ascii="仿宋" w:hAnsi="仿宋" w:eastAsia="仿宋"/>
          <w:sz w:val="24"/>
        </w:rPr>
        <w:t>七、</w:t>
      </w:r>
      <w:r>
        <w:rPr>
          <w:rFonts w:hint="eastAsia"/>
          <w:sz w:val="24"/>
        </w:rPr>
        <w:t>一般公共预算财政拨款支出决算明细表</w:t>
      </w:r>
      <w:r>
        <w:rPr>
          <w:rFonts w:hint="eastAsia" w:ascii="仿宋" w:hAnsi="仿宋" w:eastAsia="仿宋" w:cs="仿宋"/>
          <w:sz w:val="30"/>
          <w:szCs w:val="30"/>
        </w:rPr>
        <w:tab/>
      </w:r>
      <w:r>
        <w:rPr>
          <w:rFonts w:hint="eastAsia" w:ascii="仿宋" w:hAnsi="仿宋" w:eastAsia="仿宋" w:cs="仿宋"/>
          <w:sz w:val="30"/>
          <w:szCs w:val="30"/>
        </w:rPr>
        <w:t>2</w:t>
      </w:r>
      <w:r>
        <w:rPr>
          <w:rFonts w:hint="eastAsia" w:ascii="仿宋" w:hAnsi="仿宋" w:eastAsia="仿宋" w:cs="仿宋"/>
          <w:sz w:val="30"/>
          <w:szCs w:val="30"/>
          <w:lang w:val="en-US" w:eastAsia="zh-CN"/>
        </w:rPr>
        <w:t>5</w:t>
      </w:r>
    </w:p>
    <w:p>
      <w:pPr>
        <w:pStyle w:val="11"/>
        <w:adjustRightInd w:val="0"/>
        <w:snapToGrid w:val="0"/>
        <w:spacing w:line="440" w:lineRule="exact"/>
        <w:jc w:val="left"/>
        <w:rPr>
          <w:rFonts w:hint="eastAsia" w:ascii="仿宋" w:hAnsi="仿宋" w:eastAsia="仿宋"/>
          <w:sz w:val="24"/>
        </w:rPr>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pPr>
    </w:p>
    <w:p>
      <w:pPr>
        <w:pStyle w:val="11"/>
        <w:adjustRightInd w:val="0"/>
        <w:snapToGrid w:val="0"/>
        <w:spacing w:line="440" w:lineRule="exact"/>
        <w:jc w:val="left"/>
        <w:rPr>
          <w:rFonts w:hint="eastAsia" w:ascii="仿宋" w:hAnsi="仿宋" w:eastAsia="仿宋"/>
          <w:sz w:val="24"/>
          <w:lang w:eastAsia="zh-CN"/>
        </w:rPr>
      </w:pPr>
      <w:r>
        <w:rPr>
          <w:rFonts w:hint="eastAsia" w:ascii="仿宋" w:hAnsi="仿宋" w:eastAsia="仿宋"/>
          <w:sz w:val="24"/>
        </w:rPr>
        <w:t>八、</w:t>
      </w:r>
      <w:r>
        <w:rPr>
          <w:rFonts w:hint="eastAsia"/>
          <w:sz w:val="24"/>
        </w:rPr>
        <w:t>一般公共预算财政拨款基本支出决算表</w:t>
      </w:r>
      <w:r>
        <w:rPr>
          <w:rFonts w:hint="eastAsia" w:ascii="仿宋" w:hAnsi="仿宋" w:eastAsia="仿宋" w:cs="仿宋"/>
          <w:sz w:val="30"/>
          <w:szCs w:val="30"/>
        </w:rPr>
        <w:tab/>
      </w:r>
      <w:r>
        <w:rPr>
          <w:rFonts w:hint="eastAsia" w:ascii="仿宋" w:hAnsi="仿宋" w:eastAsia="仿宋" w:cs="仿宋"/>
          <w:sz w:val="30"/>
          <w:szCs w:val="30"/>
        </w:rPr>
        <w:t>2</w:t>
      </w:r>
      <w:r>
        <w:rPr>
          <w:rFonts w:hint="eastAsia" w:ascii="仿宋" w:hAnsi="仿宋" w:eastAsia="仿宋" w:cs="仿宋"/>
          <w:sz w:val="30"/>
          <w:szCs w:val="30"/>
          <w:lang w:val="en-US" w:eastAsia="zh-CN"/>
        </w:rPr>
        <w:t>5</w:t>
      </w:r>
    </w:p>
    <w:p>
      <w:pPr>
        <w:pStyle w:val="11"/>
        <w:adjustRightInd w:val="0"/>
        <w:snapToGrid w:val="0"/>
        <w:spacing w:line="440" w:lineRule="exact"/>
        <w:jc w:val="left"/>
        <w:rPr>
          <w:rFonts w:hint="eastAsia" w:ascii="仿宋" w:hAnsi="仿宋" w:eastAsia="仿宋"/>
          <w:sz w:val="24"/>
          <w:lang w:eastAsia="zh-CN"/>
        </w:rPr>
      </w:pPr>
      <w:r>
        <w:rPr>
          <w:rFonts w:hint="eastAsia" w:ascii="仿宋" w:hAnsi="仿宋" w:eastAsia="仿宋"/>
          <w:sz w:val="24"/>
        </w:rPr>
        <w:t>九、</w:t>
      </w:r>
      <w:r>
        <w:rPr>
          <w:rFonts w:hint="eastAsia"/>
          <w:sz w:val="24"/>
        </w:rPr>
        <w:t>一般公共预算财政拨款项目支出决算表</w:t>
      </w:r>
      <w:r>
        <w:rPr>
          <w:rFonts w:hint="eastAsia" w:ascii="仿宋" w:hAnsi="仿宋" w:eastAsia="仿宋" w:cs="仿宋"/>
          <w:sz w:val="30"/>
          <w:szCs w:val="30"/>
        </w:rPr>
        <w:tab/>
      </w:r>
      <w:r>
        <w:rPr>
          <w:rFonts w:hint="eastAsia" w:ascii="仿宋" w:hAnsi="仿宋" w:eastAsia="仿宋" w:cs="仿宋"/>
          <w:sz w:val="30"/>
          <w:szCs w:val="30"/>
        </w:rPr>
        <w:t>2</w:t>
      </w:r>
      <w:r>
        <w:rPr>
          <w:rFonts w:hint="eastAsia" w:ascii="仿宋" w:hAnsi="仿宋" w:eastAsia="仿宋" w:cs="仿宋"/>
          <w:sz w:val="30"/>
          <w:szCs w:val="30"/>
          <w:lang w:val="en-US" w:eastAsia="zh-CN"/>
        </w:rPr>
        <w:t>5</w:t>
      </w:r>
    </w:p>
    <w:p>
      <w:pPr>
        <w:pStyle w:val="11"/>
        <w:adjustRightInd w:val="0"/>
        <w:snapToGrid w:val="0"/>
        <w:spacing w:line="440" w:lineRule="exact"/>
        <w:jc w:val="left"/>
        <w:rPr>
          <w:rFonts w:hint="eastAsia" w:ascii="仿宋" w:hAnsi="仿宋" w:eastAsia="仿宋"/>
          <w:sz w:val="24"/>
          <w:lang w:eastAsia="zh-CN"/>
        </w:rPr>
      </w:pPr>
      <w:r>
        <w:rPr>
          <w:rFonts w:hint="eastAsia" w:ascii="仿宋" w:hAnsi="仿宋" w:eastAsia="仿宋"/>
          <w:sz w:val="24"/>
        </w:rPr>
        <w:t>十、</w:t>
      </w:r>
      <w:r>
        <w:rPr>
          <w:rFonts w:hint="eastAsia"/>
          <w:sz w:val="24"/>
        </w:rPr>
        <w:t>一般公共预算财政拨款“三公”经费支出决算表</w:t>
      </w:r>
      <w:r>
        <w:rPr>
          <w:rFonts w:hint="eastAsia" w:ascii="仿宋" w:hAnsi="仿宋" w:eastAsia="仿宋" w:cs="仿宋"/>
          <w:sz w:val="30"/>
          <w:szCs w:val="30"/>
        </w:rPr>
        <w:tab/>
      </w:r>
      <w:r>
        <w:rPr>
          <w:rFonts w:hint="eastAsia" w:ascii="仿宋" w:hAnsi="仿宋" w:eastAsia="仿宋" w:cs="仿宋"/>
          <w:sz w:val="30"/>
          <w:szCs w:val="30"/>
        </w:rPr>
        <w:t>2</w:t>
      </w:r>
      <w:r>
        <w:rPr>
          <w:rFonts w:hint="eastAsia" w:ascii="仿宋" w:hAnsi="仿宋" w:eastAsia="仿宋" w:cs="仿宋"/>
          <w:sz w:val="30"/>
          <w:szCs w:val="30"/>
          <w:lang w:val="en-US" w:eastAsia="zh-CN"/>
        </w:rPr>
        <w:t>5</w:t>
      </w:r>
    </w:p>
    <w:p>
      <w:pPr>
        <w:pStyle w:val="11"/>
        <w:adjustRightInd w:val="0"/>
        <w:snapToGrid w:val="0"/>
        <w:spacing w:line="440" w:lineRule="exact"/>
        <w:jc w:val="left"/>
        <w:rPr>
          <w:rFonts w:hint="eastAsia" w:ascii="仿宋" w:hAnsi="仿宋" w:eastAsia="仿宋"/>
          <w:sz w:val="24"/>
          <w:lang w:eastAsia="zh-CN"/>
        </w:rPr>
      </w:pPr>
      <w:r>
        <w:rPr>
          <w:rFonts w:hint="eastAsia" w:ascii="仿宋" w:hAnsi="仿宋" w:eastAsia="仿宋"/>
          <w:sz w:val="24"/>
        </w:rPr>
        <w:t>十一、</w:t>
      </w:r>
      <w:r>
        <w:rPr>
          <w:rFonts w:hint="eastAsia"/>
          <w:sz w:val="24"/>
        </w:rPr>
        <w:t>政府性基金预算财政拨款收入支出决算表</w:t>
      </w:r>
      <w:r>
        <w:rPr>
          <w:rFonts w:hint="eastAsia" w:ascii="仿宋" w:hAnsi="仿宋" w:eastAsia="仿宋" w:cs="仿宋"/>
          <w:sz w:val="30"/>
          <w:szCs w:val="30"/>
        </w:rPr>
        <w:tab/>
      </w:r>
      <w:r>
        <w:rPr>
          <w:rFonts w:hint="eastAsia" w:ascii="仿宋" w:hAnsi="仿宋" w:eastAsia="仿宋" w:cs="仿宋"/>
          <w:sz w:val="30"/>
          <w:szCs w:val="30"/>
        </w:rPr>
        <w:t>2</w:t>
      </w:r>
      <w:r>
        <w:rPr>
          <w:rFonts w:hint="eastAsia" w:ascii="仿宋" w:hAnsi="仿宋" w:eastAsia="仿宋" w:cs="仿宋"/>
          <w:sz w:val="30"/>
          <w:szCs w:val="30"/>
          <w:lang w:val="en-US" w:eastAsia="zh-CN"/>
        </w:rPr>
        <w:t>5</w:t>
      </w:r>
    </w:p>
    <w:p>
      <w:pPr>
        <w:pStyle w:val="11"/>
        <w:adjustRightInd w:val="0"/>
        <w:snapToGrid w:val="0"/>
        <w:spacing w:line="440" w:lineRule="exact"/>
        <w:jc w:val="left"/>
        <w:rPr>
          <w:rFonts w:hint="eastAsia" w:ascii="仿宋" w:hAnsi="仿宋" w:eastAsia="仿宋"/>
          <w:sz w:val="24"/>
          <w:lang w:eastAsia="zh-CN"/>
        </w:rPr>
      </w:pPr>
      <w:r>
        <w:rPr>
          <w:rFonts w:hint="eastAsia" w:ascii="仿宋" w:hAnsi="仿宋" w:eastAsia="仿宋"/>
          <w:sz w:val="24"/>
        </w:rPr>
        <w:t>十二、</w:t>
      </w:r>
      <w:r>
        <w:rPr>
          <w:rFonts w:hint="eastAsia"/>
          <w:sz w:val="24"/>
        </w:rPr>
        <w:t>政府性基金预算财政拨款“三公”经费支出决算表</w:t>
      </w:r>
      <w:r>
        <w:rPr>
          <w:rFonts w:hint="eastAsia" w:ascii="仿宋" w:hAnsi="仿宋" w:eastAsia="仿宋" w:cs="仿宋"/>
          <w:sz w:val="30"/>
          <w:szCs w:val="30"/>
        </w:rPr>
        <w:tab/>
      </w:r>
      <w:r>
        <w:rPr>
          <w:rFonts w:hint="eastAsia" w:ascii="仿宋" w:hAnsi="仿宋" w:eastAsia="仿宋" w:cs="仿宋"/>
          <w:sz w:val="30"/>
          <w:szCs w:val="30"/>
        </w:rPr>
        <w:t>2</w:t>
      </w:r>
      <w:r>
        <w:rPr>
          <w:rFonts w:hint="eastAsia" w:ascii="仿宋" w:hAnsi="仿宋" w:eastAsia="仿宋" w:cs="仿宋"/>
          <w:sz w:val="30"/>
          <w:szCs w:val="30"/>
          <w:lang w:val="en-US" w:eastAsia="zh-CN"/>
        </w:rPr>
        <w:t>5</w:t>
      </w:r>
    </w:p>
    <w:p>
      <w:pPr>
        <w:pStyle w:val="11"/>
        <w:adjustRightInd w:val="0"/>
        <w:snapToGrid w:val="0"/>
        <w:spacing w:line="440" w:lineRule="exact"/>
        <w:jc w:val="left"/>
        <w:rPr>
          <w:rFonts w:hint="eastAsia" w:ascii="黑体" w:hAnsi="黑体" w:eastAsia="仿宋"/>
          <w:lang w:val="en-US" w:eastAsia="zh-CN"/>
        </w:rPr>
        <w:sectPr>
          <w:footerReference r:id="rId6" w:type="first"/>
          <w:footerReference r:id="rId5" w:type="default"/>
          <w:pgSz w:w="11906" w:h="16838"/>
          <w:pgMar w:top="1440" w:right="1800" w:bottom="1440" w:left="1800" w:header="851" w:footer="992" w:gutter="0"/>
          <w:pgNumType w:start="1"/>
          <w:cols w:space="720" w:num="1"/>
          <w:docGrid w:type="lines" w:linePitch="312" w:charSpace="0"/>
        </w:sectPr>
      </w:pPr>
      <w:r>
        <w:rPr>
          <w:rFonts w:hint="eastAsia" w:ascii="仿宋" w:hAnsi="仿宋" w:eastAsia="仿宋"/>
          <w:sz w:val="24"/>
        </w:rPr>
        <w:t>十三、</w:t>
      </w:r>
      <w:r>
        <w:rPr>
          <w:rFonts w:hint="eastAsia"/>
          <w:sz w:val="24"/>
        </w:rPr>
        <w:t>国有资本经营预算支出决算表</w:t>
      </w:r>
      <w:r>
        <w:rPr>
          <w:rFonts w:hint="eastAsia" w:ascii="仿宋" w:hAnsi="仿宋" w:eastAsia="仿宋" w:cs="仿宋"/>
          <w:sz w:val="30"/>
          <w:szCs w:val="30"/>
        </w:rPr>
        <w:tab/>
      </w:r>
      <w:r>
        <w:rPr>
          <w:rFonts w:hint="eastAsia" w:ascii="仿宋" w:hAnsi="仿宋" w:eastAsia="仿宋" w:cs="仿宋"/>
          <w:sz w:val="30"/>
          <w:szCs w:val="30"/>
        </w:rPr>
        <w:t>2</w:t>
      </w:r>
      <w:r>
        <w:rPr>
          <w:rFonts w:hint="eastAsia" w:ascii="仿宋" w:hAnsi="仿宋" w:eastAsia="仿宋" w:cs="仿宋"/>
          <w:sz w:val="30"/>
          <w:szCs w:val="30"/>
          <w:lang w:val="en-US" w:eastAsia="zh-CN"/>
        </w:rPr>
        <w:t>5</w:t>
      </w:r>
    </w:p>
    <w:p>
      <w:pPr>
        <w:pStyle w:val="3"/>
        <w:keepNext/>
        <w:keepLines/>
        <w:pageBreakBefore w:val="0"/>
        <w:widowControl w:val="0"/>
        <w:kinsoku/>
        <w:wordWrap/>
        <w:overflowPunct/>
        <w:topLinePunct w:val="0"/>
        <w:autoSpaceDE/>
        <w:autoSpaceDN/>
        <w:bidi w:val="0"/>
        <w:adjustRightInd/>
        <w:snapToGrid/>
        <w:spacing w:line="640" w:lineRule="exact"/>
        <w:jc w:val="center"/>
        <w:textAlignment w:val="auto"/>
        <w:rPr>
          <w:rFonts w:ascii="黑体" w:eastAsia="黑体"/>
          <w:color w:val="000000"/>
          <w:sz w:val="32"/>
          <w:szCs w:val="32"/>
        </w:rPr>
      </w:pPr>
      <w:r>
        <w:rPr>
          <w:rFonts w:hint="eastAsia" w:ascii="黑体" w:hAnsi="黑体" w:eastAsia="黑体"/>
          <w:b w:val="0"/>
        </w:rPr>
        <w:t xml:space="preserve">第一部分 </w:t>
      </w:r>
      <w:r>
        <w:rPr>
          <w:rStyle w:val="25"/>
          <w:rFonts w:hint="eastAsia" w:ascii="黑体" w:hAnsi="黑体" w:eastAsia="黑体"/>
          <w:b w:val="0"/>
          <w:bCs w:val="0"/>
        </w:rPr>
        <w:t>部门概况</w:t>
      </w:r>
    </w:p>
    <w:p>
      <w:pPr>
        <w:adjustRightInd w:val="0"/>
        <w:snapToGrid w:val="0"/>
        <w:spacing w:line="578"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一、基本职能及主要工作</w:t>
      </w:r>
    </w:p>
    <w:p>
      <w:pPr>
        <w:adjustRightInd w:val="0"/>
        <w:snapToGrid w:val="0"/>
        <w:spacing w:line="578"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（一）基本职能</w:t>
      </w:r>
    </w:p>
    <w:p>
      <w:pPr>
        <w:adjustRightInd w:val="0"/>
        <w:snapToGrid w:val="0"/>
        <w:spacing w:line="578" w:lineRule="exact"/>
        <w:ind w:firstLine="640" w:firstLineChars="200"/>
        <w:rPr>
          <w:rFonts w:eastAsia="方正仿宋_GBK" w:cs="方正仿宋_GBK"/>
          <w:color w:val="000000"/>
          <w:sz w:val="32"/>
          <w:szCs w:val="32"/>
        </w:rPr>
      </w:pPr>
      <w:r>
        <w:rPr>
          <w:rFonts w:hint="eastAsia" w:eastAsia="方正仿宋_GBK" w:cs="方正仿宋_GBK"/>
          <w:color w:val="000000"/>
          <w:sz w:val="32"/>
          <w:szCs w:val="32"/>
        </w:rPr>
        <w:t>贯彻落实党中央和国家关于农民工服务工作的方针政策。牵头拟订劳务开发及农民工工作规划和年度工作计划，推动农民工相关保障政策的落实。负责开展农民工劳务品牌培训和返乡创业培训，为农民工提供全方位、多渠道的就业、创业服务。负责促进农民工转移就业，加强与发达地区的劳务对接，建立与农民工输入地的协调联动机制。负责营造农民工返乡就业创业环境，开展农民工定向回引培养计划。协调处理涉及农民工重点难点问题和重大事件，保障农民工工资兑付，切实维护农民工的合法权益。负责统筹建立健全农民工服务保障机制，负责为农民工提供交通出行、留守关爱、走访慰问等协调服务；保障农民工享受均等化就业服务和个性化关心关爱，促进农民工社会融合。配合有关部门加强以农民工为主体的党团组织建设。</w:t>
      </w:r>
    </w:p>
    <w:p>
      <w:pPr>
        <w:adjustRightInd w:val="0"/>
        <w:snapToGrid w:val="0"/>
        <w:spacing w:line="578" w:lineRule="exact"/>
        <w:ind w:firstLine="640" w:firstLineChars="200"/>
        <w:rPr>
          <w:rFonts w:hint="default" w:ascii="Times New Roman" w:hAnsi="Times New Roman" w:eastAsia="方正楷体_GBK" w:cs="Times New Roman"/>
          <w:bCs/>
          <w:color w:val="000000"/>
          <w:sz w:val="32"/>
          <w:szCs w:val="32"/>
        </w:rPr>
      </w:pPr>
      <w:r>
        <w:rPr>
          <w:rFonts w:hint="default" w:ascii="Times New Roman" w:hAnsi="Times New Roman" w:eastAsia="方正楷体_GBK" w:cs="Times New Roman"/>
          <w:bCs/>
          <w:color w:val="000000"/>
          <w:sz w:val="32"/>
          <w:szCs w:val="32"/>
        </w:rPr>
        <w:t>（二）</w:t>
      </w:r>
      <w:r>
        <w:rPr>
          <w:rFonts w:hint="default" w:ascii="Times New Roman" w:hAnsi="Times New Roman" w:eastAsia="方正楷体_GBK" w:cs="Times New Roman"/>
          <w:bCs/>
          <w:color w:val="000000"/>
          <w:sz w:val="32"/>
          <w:szCs w:val="32"/>
          <w:lang w:val="en-US" w:eastAsia="zh-CN"/>
        </w:rPr>
        <w:t>2019年重点工作完成情况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达州市达川区</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农民工服务中心</w:t>
      </w:r>
      <w:r>
        <w:rPr>
          <w:rFonts w:hint="default" w:ascii="Times New Roman" w:hAnsi="Times New Roman" w:eastAsia="方正仿宋_GBK" w:cs="Times New Roman"/>
          <w:b w:val="0"/>
          <w:bCs w:val="0"/>
          <w:color w:val="000000"/>
          <w:sz w:val="32"/>
          <w:szCs w:val="32"/>
          <w:lang w:eastAsia="zh-CN"/>
        </w:rPr>
        <w:t>自</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今年</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3月正式成立以来，在区委、区政府的正确领导下，在区人大、区政协的监督支持下，在市人社局和市农劳办的关心指导下，</w:t>
      </w:r>
      <w:r>
        <w:rPr>
          <w:rFonts w:hint="default" w:ascii="Times New Roman" w:hAnsi="Times New Roman" w:eastAsia="方正仿宋_GBK" w:cs="Times New Roman"/>
          <w:b w:val="0"/>
          <w:bCs w:val="0"/>
          <w:color w:val="000000"/>
          <w:sz w:val="32"/>
          <w:szCs w:val="32"/>
          <w:lang w:val="en-US" w:eastAsia="zh-CN"/>
        </w:rPr>
        <w:t>紧紧围绕区委“12235”战略部署，着力构建“一站三片九园十送”农民工服务体系，内联网络，外建站点，延伸工作触角，围绕农民工职业培训、就业创业、人才回引、服务保障职能职责，</w:t>
      </w:r>
      <w:r>
        <w:rPr>
          <w:rFonts w:hint="eastAsia" w:ascii="Times New Roman" w:hAnsi="Times New Roman" w:eastAsia="方正仿宋_GBK" w:cs="Times New Roman"/>
          <w:b w:val="0"/>
          <w:bCs w:val="0"/>
          <w:color w:val="000000"/>
          <w:sz w:val="32"/>
          <w:szCs w:val="32"/>
          <w:lang w:val="en-US" w:eastAsia="zh-CN"/>
        </w:rPr>
        <w:t>精心谋划、</w:t>
      </w:r>
      <w:r>
        <w:rPr>
          <w:rFonts w:hint="default" w:ascii="Times New Roman" w:hAnsi="Times New Roman" w:eastAsia="方正仿宋_GBK" w:cs="Times New Roman"/>
          <w:b w:val="0"/>
          <w:bCs w:val="0"/>
          <w:color w:val="000000"/>
          <w:sz w:val="32"/>
          <w:szCs w:val="32"/>
          <w:lang w:val="en-US" w:eastAsia="zh-CN"/>
        </w:rPr>
        <w:t>精准施策，构建起区内区外整体联动、协同推进农民工服务工作格局，</w:t>
      </w:r>
      <w:r>
        <w:rPr>
          <w:rFonts w:hint="default" w:ascii="Times New Roman" w:hAnsi="Times New Roman" w:eastAsia="方正仿宋_GBK" w:cs="Times New Roman"/>
          <w:b w:val="0"/>
          <w:bCs w:val="0"/>
          <w:sz w:val="32"/>
          <w:szCs w:val="32"/>
          <w:lang w:eastAsia="zh-CN"/>
        </w:rPr>
        <w:t>通过系列务实举措</w:t>
      </w:r>
      <w:r>
        <w:rPr>
          <w:rFonts w:hint="default" w:ascii="Times New Roman" w:hAnsi="Times New Roman" w:eastAsia="方正仿宋_GBK" w:cs="Times New Roman"/>
          <w:b w:val="0"/>
          <w:bCs w:val="0"/>
          <w:color w:val="000000"/>
          <w:sz w:val="32"/>
          <w:szCs w:val="32"/>
          <w:lang w:val="en-US" w:eastAsia="zh-CN"/>
        </w:rPr>
        <w:t>全力保障农民工享受均等化就业服务和个性化关心关爱，着力打通服务农民工的“最后一公里”，全面推进农民工工作制度化、常态化和精准化。</w:t>
      </w:r>
      <w:r>
        <w:rPr>
          <w:rFonts w:hint="eastAsia" w:eastAsia="方正仿宋_GBK" w:cs="Times New Roman"/>
          <w:b w:val="0"/>
          <w:bCs w:val="0"/>
          <w:color w:val="000000"/>
          <w:sz w:val="32"/>
          <w:szCs w:val="32"/>
          <w:lang w:val="en-US" w:eastAsia="zh-CN"/>
        </w:rPr>
        <w:t>圆满完成下达的全年各项目标任务。</w:t>
      </w:r>
    </w:p>
    <w:p>
      <w:pPr>
        <w:adjustRightInd w:val="0"/>
        <w:snapToGrid w:val="0"/>
        <w:spacing w:line="578" w:lineRule="exact"/>
        <w:ind w:firstLine="640" w:firstLineChars="200"/>
        <w:rPr>
          <w:rFonts w:hint="eastAsia"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二、机构设置</w:t>
      </w:r>
    </w:p>
    <w:p>
      <w:pPr>
        <w:adjustRightInd w:val="0"/>
        <w:snapToGrid w:val="0"/>
        <w:spacing w:line="578" w:lineRule="exact"/>
        <w:ind w:left="160" w:leftChars="76" w:firstLine="480" w:firstLineChars="150"/>
        <w:rPr>
          <w:rFonts w:hint="eastAsia" w:eastAsia="方正仿宋_GBK" w:cs="方正仿宋_GBK"/>
          <w:color w:val="000000"/>
          <w:sz w:val="32"/>
          <w:szCs w:val="32"/>
        </w:rPr>
      </w:pPr>
      <w:r>
        <w:rPr>
          <w:rFonts w:hint="eastAsia" w:ascii="方正楷体_GBK" w:hAnsi="方正楷体_GBK" w:eastAsia="方正楷体_GBK" w:cs="方正楷体_GBK"/>
          <w:color w:val="000000"/>
          <w:sz w:val="32"/>
          <w:szCs w:val="32"/>
        </w:rPr>
        <w:t>（一）办公室。</w:t>
      </w:r>
      <w:r>
        <w:rPr>
          <w:rFonts w:hint="eastAsia" w:eastAsia="方正仿宋_GBK" w:cs="方正仿宋_GBK"/>
          <w:color w:val="000000"/>
          <w:sz w:val="32"/>
          <w:szCs w:val="32"/>
        </w:rPr>
        <w:t>负责牵头拟定劳务开发及农民工工作规划、年度工作计划、总结汇报和重要文件材料；负责公文核稿、文书、电文传送处理、印章管理、报刊收发、对外联络、信息宣传、会务承办、目标管理、效能建设、机要保密、爱国卫生等机关日常工作；组织办理人大代表建议、政协委员提案；牵头草拟单位工作制度；组织编写单位大事记；编制并执行财务计划（预、决算），负责经费管理、监督、核算及财务管理；负责办公设施设备和国有资产管理工作；负责后勤保障工作。</w:t>
      </w:r>
    </w:p>
    <w:p>
      <w:pPr>
        <w:adjustRightInd w:val="0"/>
        <w:snapToGrid w:val="0"/>
        <w:spacing w:line="578" w:lineRule="exact"/>
        <w:ind w:firstLine="640" w:firstLineChars="200"/>
        <w:rPr>
          <w:rFonts w:hint="eastAsia" w:eastAsia="方正仿宋_GBK" w:cs="方正仿宋_GBK"/>
          <w:color w:val="000000"/>
          <w:sz w:val="32"/>
          <w:szCs w:val="32"/>
        </w:rPr>
      </w:pPr>
      <w:r>
        <w:rPr>
          <w:rFonts w:hint="eastAsia" w:ascii="方正楷体_GBK" w:hAnsi="方正楷体_GBK" w:eastAsia="方正楷体_GBK" w:cs="方正楷体_GBK"/>
          <w:color w:val="000000"/>
          <w:sz w:val="32"/>
          <w:szCs w:val="32"/>
        </w:rPr>
        <w:t>（二）职业培训股。</w:t>
      </w:r>
      <w:r>
        <w:rPr>
          <w:rFonts w:hint="eastAsia" w:eastAsia="方正仿宋_GBK" w:cs="方正仿宋_GBK"/>
          <w:color w:val="000000"/>
          <w:sz w:val="32"/>
          <w:szCs w:val="32"/>
        </w:rPr>
        <w:t>负责执行农民工职业培训相关政策，分类组织实施农民工劳务品牌和返乡创业培训，落实农民工再就业训练规划；开展农民工回引培养计划；发展农村新成长劳动力职业教育；组织农民工参加技能竞赛活动；加强对企业及农业专业合作组织、种养大户、家庭农场等新型经营主体使用农民工并进行岗前就业技能培训的指导服务。</w:t>
      </w:r>
    </w:p>
    <w:p>
      <w:pPr>
        <w:adjustRightInd w:val="0"/>
        <w:snapToGrid w:val="0"/>
        <w:spacing w:line="578" w:lineRule="exact"/>
        <w:ind w:firstLine="640" w:firstLineChars="200"/>
        <w:rPr>
          <w:rFonts w:hint="eastAsia" w:eastAsia="方正仿宋_GBK" w:cs="方正仿宋_GBK"/>
          <w:color w:val="000000"/>
          <w:sz w:val="32"/>
          <w:szCs w:val="32"/>
        </w:rPr>
      </w:pPr>
      <w:r>
        <w:rPr>
          <w:rFonts w:hint="eastAsia" w:ascii="方正楷体_GBK" w:hAnsi="方正楷体_GBK" w:eastAsia="方正楷体_GBK" w:cs="方正楷体_GBK"/>
          <w:color w:val="000000"/>
          <w:sz w:val="32"/>
          <w:szCs w:val="32"/>
        </w:rPr>
        <w:t>（三）就业创业股。</w:t>
      </w:r>
      <w:r>
        <w:rPr>
          <w:rFonts w:hint="eastAsia" w:eastAsia="方正仿宋_GBK" w:cs="方正仿宋_GBK"/>
          <w:color w:val="000000"/>
          <w:sz w:val="32"/>
          <w:szCs w:val="32"/>
        </w:rPr>
        <w:t>负责执行农民工就业创业相关政策；建立农民工信息数据库；开展优秀农民工相关推荐评选；组织实施农民工市场信息网络和就业服务信息化建设及档案管理；为农民工提供就业创业指导服务，组织创业带动就业；指导农民工转移就业，加强与发达地区的劳务对接，建立与农民工输入地的协调联动机制；宣传并落实农民工创业优惠扶持政策，营造创业环境，回引优秀农民工返乡就业创业，帮助农民工返乡发展。</w:t>
      </w:r>
    </w:p>
    <w:p>
      <w:pPr>
        <w:adjustRightInd w:val="0"/>
        <w:snapToGrid w:val="0"/>
        <w:spacing w:line="578" w:lineRule="exact"/>
        <w:ind w:firstLine="640" w:firstLineChars="200"/>
        <w:rPr>
          <w:rFonts w:hint="eastAsia" w:eastAsia="方正仿宋_GBK" w:cs="方正仿宋_GBK"/>
          <w:color w:val="000000"/>
          <w:sz w:val="32"/>
          <w:szCs w:val="32"/>
        </w:rPr>
      </w:pPr>
      <w:r>
        <w:rPr>
          <w:rFonts w:hint="eastAsia" w:ascii="方正楷体_GBK" w:hAnsi="方正楷体_GBK" w:eastAsia="方正楷体_GBK" w:cs="方正楷体_GBK"/>
          <w:color w:val="000000"/>
          <w:sz w:val="32"/>
          <w:szCs w:val="32"/>
        </w:rPr>
        <w:t>（四）维权援助股。</w:t>
      </w:r>
      <w:r>
        <w:rPr>
          <w:rFonts w:hint="eastAsia" w:eastAsia="方正仿宋_GBK" w:cs="方正仿宋_GBK"/>
          <w:color w:val="000000"/>
          <w:sz w:val="32"/>
          <w:szCs w:val="32"/>
        </w:rPr>
        <w:t>负责农民工普法和宣传教育；加强农民工政策宣传和法律援助咨询服务，协同有关部门建立健全涉及农民工劳动保障监察和争议仲裁调处机制，保障农民工工资兑付；承担农民工工作联席会议日常工作，协调处理涉及农民工重点难点问题和重大事件；畅通农民工维权渠道，提供农民工信访接待服务，承担来信来访和相关回复工作；完善异地协作机制，农民工异地申请获得法律援助，维护农民工的合法权益；负责职责范围内的安全生产、生态环境保护、职业健康、综合治理等工作。</w:t>
      </w:r>
    </w:p>
    <w:p>
      <w:pPr>
        <w:adjustRightInd w:val="0"/>
        <w:snapToGrid w:val="0"/>
        <w:spacing w:line="578" w:lineRule="exact"/>
        <w:ind w:firstLine="640" w:firstLineChars="200"/>
        <w:rPr>
          <w:rFonts w:hint="eastAsia" w:eastAsia="方正仿宋_GBK" w:cs="方正仿宋_GBK"/>
          <w:color w:val="000000"/>
          <w:sz w:val="32"/>
          <w:szCs w:val="32"/>
        </w:rPr>
      </w:pPr>
      <w:r>
        <w:rPr>
          <w:rFonts w:hint="eastAsia" w:ascii="方正楷体_GBK" w:hAnsi="方正楷体_GBK" w:eastAsia="方正楷体_GBK" w:cs="方正楷体_GBK"/>
          <w:color w:val="000000"/>
          <w:sz w:val="32"/>
          <w:szCs w:val="32"/>
        </w:rPr>
        <w:t>（五）关爱服务股。</w:t>
      </w:r>
      <w:r>
        <w:rPr>
          <w:rFonts w:hint="eastAsia" w:eastAsia="方正仿宋_GBK" w:cs="方正仿宋_GBK"/>
          <w:color w:val="000000"/>
          <w:sz w:val="32"/>
          <w:szCs w:val="32"/>
        </w:rPr>
        <w:t>负责统筹协调农民工服务保障工作，配合有关部门指导以农民工为主体的党团组织建设；负责农民工关爱慰问；会同有关部门为农民工提供交通出行、权益维护、司法救助、社会保险、医疗救助、卫生健康、住房保障、子女教育、免疫接种、户籍登记、留守关爱、走访慰问等协调服务；保障农民工享受均等化就业服务和个性化关心关爱，促进农民工社会融合；保障农民工民主政治权利，丰富文化生活。</w:t>
      </w:r>
    </w:p>
    <w:p>
      <w:pPr>
        <w:adjustRightInd w:val="0"/>
        <w:snapToGrid w:val="0"/>
        <w:spacing w:line="578" w:lineRule="exact"/>
        <w:ind w:firstLine="640" w:firstLineChars="200"/>
        <w:rPr>
          <w:rFonts w:ascii="方正楷体_GBK" w:hAnsi="方正楷体_GBK" w:eastAsia="方正楷体_GBK"/>
          <w:color w:val="000000"/>
          <w:sz w:val="32"/>
          <w:szCs w:val="32"/>
        </w:rPr>
      </w:pPr>
      <w:r>
        <w:rPr>
          <w:rFonts w:hint="eastAsia" w:ascii="方正楷体_GBK" w:hAnsi="方正楷体_GBK" w:eastAsia="方正楷体_GBK" w:cs="方正楷体_GBK"/>
          <w:color w:val="000000"/>
          <w:sz w:val="32"/>
          <w:szCs w:val="32"/>
        </w:rPr>
        <w:t>（六）党建办。</w:t>
      </w:r>
      <w:r>
        <w:rPr>
          <w:rFonts w:hint="eastAsia" w:eastAsia="方正仿宋_GBK" w:cs="方正仿宋_GBK"/>
          <w:color w:val="000000"/>
          <w:sz w:val="32"/>
          <w:szCs w:val="32"/>
        </w:rPr>
        <w:t>负责单位党的建设、意识形态、机构编制、人事管理、年度考核、队伍建设、精神文明、党风廉政建设、纪检监察、扶贫帮扶和联系群团、统战等；负责单位人员出国（境）和离退休人员服务管理；对单位在管理过程中遵守相关法律法规、内部控制及风险管理、年度执行计划、预算、程序和财务收支、资产等进行审计监督；督促落实审计发现问题的整改。</w:t>
      </w:r>
    </w:p>
    <w:p>
      <w:pPr>
        <w:pStyle w:val="3"/>
        <w:keepNext/>
        <w:keepLines/>
        <w:pageBreakBefore w:val="0"/>
        <w:widowControl w:val="0"/>
        <w:numPr>
          <w:ilvl w:val="0"/>
          <w:numId w:val="0"/>
        </w:numPr>
        <w:kinsoku/>
        <w:wordWrap/>
        <w:overflowPunct/>
        <w:topLinePunct w:val="0"/>
        <w:autoSpaceDE/>
        <w:autoSpaceDN/>
        <w:bidi w:val="0"/>
        <w:adjustRightInd/>
        <w:snapToGrid/>
        <w:spacing w:line="640" w:lineRule="exact"/>
        <w:ind w:right="442" w:rightChars="0"/>
        <w:jc w:val="center"/>
        <w:textAlignment w:val="auto"/>
        <w:rPr>
          <w:rStyle w:val="25"/>
          <w:rFonts w:hint="default" w:ascii="Times New Roman" w:hAnsi="Times New Roman" w:eastAsia="方正小标宋_GBK" w:cs="Times New Roman"/>
          <w:b w:val="0"/>
          <w:bCs w:val="0"/>
        </w:rPr>
      </w:pPr>
      <w:r>
        <w:rPr>
          <w:rStyle w:val="25"/>
          <w:rFonts w:hint="eastAsia" w:eastAsia="方正小标宋_GBK" w:cs="Times New Roman"/>
          <w:b w:val="0"/>
          <w:bCs w:val="0"/>
          <w:lang w:val="en-US" w:eastAsia="zh-CN"/>
        </w:rPr>
        <w:t xml:space="preserve">  </w:t>
      </w:r>
      <w:r>
        <w:rPr>
          <w:rStyle w:val="25"/>
          <w:rFonts w:hint="eastAsia" w:eastAsia="方正小标宋_GBK" w:cs="Times New Roman"/>
          <w:b w:val="0"/>
          <w:bCs w:val="0"/>
          <w:lang w:eastAsia="zh-CN"/>
        </w:rPr>
        <w:t>第二部分</w:t>
      </w:r>
      <w:r>
        <w:rPr>
          <w:rStyle w:val="25"/>
          <w:rFonts w:hint="eastAsia" w:eastAsia="方正小标宋_GBK" w:cs="Times New Roman"/>
          <w:b w:val="0"/>
          <w:bCs w:val="0"/>
          <w:lang w:val="en-US" w:eastAsia="zh-CN"/>
        </w:rPr>
        <w:t xml:space="preserve">  </w:t>
      </w:r>
      <w:r>
        <w:rPr>
          <w:rStyle w:val="25"/>
          <w:rFonts w:hint="default" w:ascii="Times New Roman" w:hAnsi="Times New Roman" w:eastAsia="方正小标宋_GBK" w:cs="Times New Roman"/>
          <w:b w:val="0"/>
          <w:bCs w:val="0"/>
        </w:rPr>
        <w:t>201</w:t>
      </w:r>
      <w:r>
        <w:rPr>
          <w:rStyle w:val="25"/>
          <w:rFonts w:hint="default" w:ascii="Times New Roman" w:hAnsi="Times New Roman" w:eastAsia="方正小标宋_GBK" w:cs="Times New Roman"/>
          <w:b w:val="0"/>
          <w:bCs w:val="0"/>
          <w:lang w:val="en-US" w:eastAsia="zh-CN"/>
        </w:rPr>
        <w:t>9</w:t>
      </w:r>
      <w:r>
        <w:rPr>
          <w:rStyle w:val="25"/>
          <w:rFonts w:hint="default" w:ascii="Times New Roman" w:hAnsi="Times New Roman" w:eastAsia="方正小标宋_GBK" w:cs="Times New Roman"/>
          <w:b w:val="0"/>
          <w:bCs w:val="0"/>
        </w:rPr>
        <w:t>年度部门决算情况说明</w:t>
      </w:r>
    </w:p>
    <w:p>
      <w:pPr>
        <w:numPr>
          <w:ilvl w:val="0"/>
          <w:numId w:val="0"/>
        </w:numPr>
        <w:rPr>
          <w:rFonts w:hint="eastAsia"/>
          <w:lang w:eastAsia="zh-CN"/>
        </w:rPr>
      </w:pPr>
    </w:p>
    <w:p>
      <w:pPr>
        <w:pStyle w:val="24"/>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Chars="0"/>
        <w:textAlignment w:val="auto"/>
        <w:outlineLvl w:val="1"/>
        <w:rPr>
          <w:rStyle w:val="26"/>
          <w:rFonts w:hint="eastAsia" w:ascii="方正黑体_GBK" w:hAnsi="方正黑体_GBK" w:eastAsia="方正黑体_GBK" w:cs="方正黑体_GBK"/>
          <w:b w:val="0"/>
        </w:rPr>
      </w:pPr>
      <w:r>
        <w:rPr>
          <w:rFonts w:hint="eastAsia" w:ascii="方正黑体_GBK" w:hAnsi="方正黑体_GBK" w:eastAsia="方正黑体_GBK" w:cs="方正黑体_GBK"/>
          <w:color w:val="000000"/>
          <w:sz w:val="32"/>
          <w:szCs w:val="32"/>
        </w:rPr>
        <w:t>收</w:t>
      </w:r>
      <w:r>
        <w:rPr>
          <w:rStyle w:val="26"/>
          <w:rFonts w:hint="eastAsia" w:ascii="方正黑体_GBK" w:hAnsi="方正黑体_GBK" w:eastAsia="方正黑体_GBK" w:cs="方正黑体_GBK"/>
          <w:b w:val="0"/>
        </w:rPr>
        <w:t>入支出决算总体情况说明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中心</w:t>
      </w:r>
      <w:r>
        <w:rPr>
          <w:rFonts w:hint="default" w:ascii="Times New Roman" w:hAnsi="Times New Roman" w:eastAsia="方正仿宋_GBK" w:cs="Times New Roman"/>
          <w:color w:val="000000"/>
          <w:sz w:val="32"/>
          <w:szCs w:val="32"/>
        </w:rPr>
        <w:t>2019年</w:t>
      </w:r>
      <w:r>
        <w:rPr>
          <w:rFonts w:hint="default" w:ascii="Times New Roman" w:hAnsi="Times New Roman" w:eastAsia="方正仿宋_GBK" w:cs="Times New Roman"/>
          <w:color w:val="000000"/>
          <w:sz w:val="32"/>
          <w:szCs w:val="32"/>
          <w:lang w:eastAsia="zh-CN"/>
        </w:rPr>
        <w:t>一般公共预算财政拨款收入</w:t>
      </w:r>
      <w:r>
        <w:rPr>
          <w:rFonts w:hint="default" w:ascii="Times New Roman" w:hAnsi="Times New Roman" w:eastAsia="方正仿宋_GBK" w:cs="Times New Roman"/>
          <w:color w:val="000000"/>
          <w:sz w:val="32"/>
          <w:szCs w:val="32"/>
        </w:rPr>
        <w:t>93.41万元，实际支出56.7</w:t>
      </w:r>
      <w:r>
        <w:rPr>
          <w:rFonts w:hint="default"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万元。新成立单位无上年数据。</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200"/>
        <w:jc w:val="both"/>
        <w:textAlignment w:val="auto"/>
        <w:outlineLvl w:val="9"/>
        <w:rPr>
          <w:rFonts w:hint="eastAsia" w:ascii="方正仿宋_GBK" w:hAnsi="方正仿宋_GBK" w:eastAsia="方正仿宋_GBK" w:cs="方正仿宋_GBK"/>
          <w:color w:val="0000FF"/>
          <w:sz w:val="32"/>
          <w:szCs w:val="32"/>
        </w:rPr>
      </w:pPr>
      <w:r>
        <w:drawing>
          <wp:inline distT="0" distB="0" distL="114300" distR="114300">
            <wp:extent cx="5361940" cy="2933065"/>
            <wp:effectExtent l="4445" t="4445" r="5715" b="1524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4"/>
        <w:numPr>
          <w:ilvl w:val="0"/>
          <w:numId w:val="1"/>
        </w:numPr>
        <w:spacing w:line="600" w:lineRule="exact"/>
        <w:ind w:firstLineChars="0"/>
        <w:outlineLvl w:val="1"/>
        <w:rPr>
          <w:rStyle w:val="26"/>
          <w:rFonts w:hint="eastAsia" w:ascii="方正黑体_GBK" w:hAnsi="方正黑体_GBK" w:eastAsia="方正黑体_GBK" w:cs="方正黑体_GBK"/>
          <w:b w:val="0"/>
        </w:rPr>
      </w:pPr>
      <w:r>
        <w:rPr>
          <w:rFonts w:hint="eastAsia" w:ascii="方正黑体_GBK" w:hAnsi="方正黑体_GBK" w:eastAsia="方正黑体_GBK" w:cs="方正黑体_GBK"/>
          <w:color w:val="000000"/>
          <w:sz w:val="32"/>
          <w:szCs w:val="32"/>
        </w:rPr>
        <w:t>收</w:t>
      </w:r>
      <w:r>
        <w:rPr>
          <w:rStyle w:val="26"/>
          <w:rFonts w:hint="eastAsia" w:ascii="方正黑体_GBK" w:hAnsi="方正黑体_GBK" w:eastAsia="方正黑体_GBK" w:cs="方正黑体_GBK"/>
          <w:b w:val="0"/>
        </w:rPr>
        <w:t>入决算情况说明</w:t>
      </w:r>
    </w:p>
    <w:p>
      <w:pPr>
        <w:spacing w:line="600" w:lineRule="exact"/>
        <w:ind w:firstLine="640" w:firstLineChars="200"/>
        <w:outlineLvl w:val="2"/>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201</w:t>
      </w:r>
      <w:r>
        <w:rPr>
          <w:rFonts w:hint="default"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年本年收入合计</w:t>
      </w:r>
      <w:r>
        <w:rPr>
          <w:rFonts w:hint="default" w:ascii="Times New Roman" w:hAnsi="Times New Roman" w:eastAsia="方正仿宋_GBK" w:cs="Times New Roman"/>
          <w:color w:val="000000"/>
          <w:sz w:val="32"/>
          <w:szCs w:val="32"/>
          <w:lang w:val="en-US" w:eastAsia="zh-CN"/>
        </w:rPr>
        <w:t>93.41</w:t>
      </w:r>
      <w:r>
        <w:rPr>
          <w:rFonts w:hint="default" w:ascii="Times New Roman" w:hAnsi="Times New Roman" w:eastAsia="方正仿宋_GBK" w:cs="Times New Roman"/>
          <w:color w:val="000000"/>
          <w:sz w:val="32"/>
          <w:szCs w:val="32"/>
        </w:rPr>
        <w:t>万元，其中：一般公共预算财政拨款收入</w:t>
      </w:r>
      <w:r>
        <w:rPr>
          <w:rFonts w:hint="default" w:ascii="Times New Roman" w:hAnsi="Times New Roman" w:eastAsia="方正仿宋_GBK" w:cs="Times New Roman"/>
          <w:color w:val="000000"/>
          <w:sz w:val="32"/>
          <w:szCs w:val="32"/>
          <w:lang w:val="en-US" w:eastAsia="zh-CN"/>
        </w:rPr>
        <w:t>93.41</w:t>
      </w:r>
      <w:r>
        <w:rPr>
          <w:rFonts w:hint="default" w:ascii="Times New Roman" w:hAnsi="Times New Roman" w:eastAsia="方正仿宋_GBK" w:cs="Times New Roman"/>
          <w:color w:val="000000"/>
          <w:sz w:val="32"/>
          <w:szCs w:val="32"/>
        </w:rPr>
        <w:t>万元，占</w:t>
      </w:r>
      <w:r>
        <w:rPr>
          <w:rFonts w:hint="default" w:ascii="Times New Roman" w:hAnsi="Times New Roman" w:eastAsia="方正仿宋_GBK" w:cs="Times New Roman"/>
          <w:color w:val="000000"/>
          <w:sz w:val="32"/>
          <w:szCs w:val="32"/>
          <w:lang w:val="en-US" w:eastAsia="zh-CN"/>
        </w:rPr>
        <w:t>100</w:t>
      </w:r>
      <w:r>
        <w:rPr>
          <w:rFonts w:hint="default" w:ascii="Times New Roman" w:hAnsi="Times New Roman" w:eastAsia="方正仿宋_GBK" w:cs="Times New Roman"/>
          <w:color w:val="000000"/>
          <w:sz w:val="32"/>
          <w:szCs w:val="32"/>
        </w:rPr>
        <w:t>%。</w:t>
      </w:r>
    </w:p>
    <w:p>
      <w:pPr>
        <w:pStyle w:val="2"/>
        <w:rPr>
          <w:rFonts w:hint="default" w:ascii="Times New Roman" w:hAnsi="Times New Roman" w:eastAsia="方正仿宋_GBK" w:cs="Times New Roman"/>
          <w:color w:val="000000"/>
          <w:sz w:val="32"/>
          <w:szCs w:val="32"/>
        </w:rPr>
      </w:pPr>
      <w:r>
        <w:drawing>
          <wp:anchor distT="0" distB="0" distL="114300" distR="114300" simplePos="0" relativeHeight="251675648" behindDoc="0" locked="0" layoutInCell="1" allowOverlap="1">
            <wp:simplePos x="0" y="0"/>
            <wp:positionH relativeFrom="column">
              <wp:posOffset>499745</wp:posOffset>
            </wp:positionH>
            <wp:positionV relativeFrom="paragraph">
              <wp:posOffset>46990</wp:posOffset>
            </wp:positionV>
            <wp:extent cx="4572000" cy="3209925"/>
            <wp:effectExtent l="4445" t="4445" r="14605" b="508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rPr>
          <w:rFonts w:hint="default" w:ascii="Times New Roman" w:hAnsi="Times New Roman" w:eastAsia="方正仿宋_GBK" w:cs="Times New Roman"/>
          <w:color w:val="000000"/>
          <w:sz w:val="32"/>
          <w:szCs w:val="32"/>
        </w:rPr>
      </w:pPr>
    </w:p>
    <w:p>
      <w:pPr>
        <w:rPr>
          <w:rFonts w:hint="eastAsia" w:ascii="仿宋" w:hAnsi="仿宋" w:eastAsia="仿宋"/>
          <w:color w:val="000000"/>
          <w:sz w:val="32"/>
          <w:szCs w:val="32"/>
          <w:lang w:val="en-US" w:eastAsia="zh-CN"/>
        </w:rPr>
      </w:pPr>
    </w:p>
    <w:p>
      <w:pPr>
        <w:pStyle w:val="24"/>
        <w:numPr>
          <w:ilvl w:val="0"/>
          <w:numId w:val="1"/>
        </w:numPr>
        <w:spacing w:line="600" w:lineRule="exact"/>
        <w:ind w:firstLineChars="0"/>
        <w:outlineLvl w:val="1"/>
        <w:rPr>
          <w:rStyle w:val="26"/>
          <w:rFonts w:ascii="黑体" w:hAnsi="黑体" w:eastAsia="黑体"/>
          <w:b w:val="0"/>
        </w:rPr>
      </w:pPr>
      <w:r>
        <w:rPr>
          <w:rFonts w:hint="eastAsia" w:ascii="黑体" w:hAnsi="黑体" w:eastAsia="黑体"/>
          <w:color w:val="000000"/>
          <w:sz w:val="32"/>
          <w:szCs w:val="32"/>
        </w:rPr>
        <w:t>支</w:t>
      </w:r>
      <w:r>
        <w:rPr>
          <w:rStyle w:val="26"/>
          <w:rFonts w:hint="eastAsia" w:ascii="黑体" w:hAnsi="黑体" w:eastAsia="黑体"/>
          <w:b w:val="0"/>
        </w:rPr>
        <w:t>出决算情况说明</w:t>
      </w:r>
    </w:p>
    <w:p>
      <w:pPr>
        <w:spacing w:line="600" w:lineRule="exact"/>
        <w:ind w:firstLine="640"/>
        <w:rPr>
          <w:rFonts w:hint="eastAsia" w:ascii="仿宋" w:hAnsi="仿宋" w:eastAsia="仿宋"/>
          <w:color w:val="000000"/>
          <w:sz w:val="32"/>
          <w:szCs w:val="32"/>
        </w:rPr>
      </w:pPr>
      <w:r>
        <w:rPr>
          <w:rFonts w:hint="default" w:ascii="Times New Roman" w:hAnsi="Times New Roman" w:eastAsia="方正仿宋_GBK" w:cs="Times New Roman"/>
          <w:color w:val="000000"/>
          <w:sz w:val="32"/>
          <w:szCs w:val="32"/>
        </w:rPr>
        <w:t>20</w:t>
      </w:r>
      <w:r>
        <w:rPr>
          <w:rFonts w:hint="eastAsia" w:ascii="Times New Roman" w:hAnsi="Times New Roman" w:eastAsia="方正仿宋_GBK" w:cs="Times New Roman"/>
          <w:color w:val="000000"/>
          <w:sz w:val="32"/>
          <w:szCs w:val="32"/>
          <w:lang w:val="en-US" w:eastAsia="zh-CN"/>
        </w:rPr>
        <w:t>19</w:t>
      </w:r>
      <w:r>
        <w:rPr>
          <w:rFonts w:hint="eastAsia" w:ascii="Times New Roman" w:hAnsi="Times New Roman" w:eastAsia="方正仿宋_GBK" w:cs="Times New Roman"/>
          <w:color w:val="000000"/>
          <w:sz w:val="32"/>
          <w:szCs w:val="32"/>
        </w:rPr>
        <w:t>年本年支出合计</w:t>
      </w:r>
      <w:r>
        <w:rPr>
          <w:rFonts w:hint="eastAsia" w:ascii="Times New Roman" w:hAnsi="Times New Roman" w:eastAsia="方正仿宋_GBK" w:cs="Times New Roman"/>
          <w:color w:val="000000"/>
          <w:sz w:val="32"/>
          <w:szCs w:val="32"/>
          <w:lang w:val="en-US" w:eastAsia="zh-CN"/>
        </w:rPr>
        <w:t>56.75</w:t>
      </w:r>
      <w:r>
        <w:rPr>
          <w:rFonts w:hint="eastAsia" w:ascii="Times New Roman" w:hAnsi="Times New Roman" w:eastAsia="方正仿宋_GBK" w:cs="Times New Roman"/>
          <w:color w:val="000000"/>
          <w:sz w:val="32"/>
          <w:szCs w:val="32"/>
        </w:rPr>
        <w:t>万元，其中：基本支出</w:t>
      </w:r>
      <w:r>
        <w:rPr>
          <w:rFonts w:hint="eastAsia" w:ascii="Times New Roman" w:hAnsi="Times New Roman" w:eastAsia="方正仿宋_GBK" w:cs="Times New Roman"/>
          <w:color w:val="000000"/>
          <w:sz w:val="32"/>
          <w:szCs w:val="32"/>
          <w:lang w:val="en-US" w:eastAsia="zh-CN"/>
        </w:rPr>
        <w:t>18.41</w:t>
      </w:r>
      <w:r>
        <w:rPr>
          <w:rFonts w:hint="eastAsia" w:ascii="Times New Roman" w:hAnsi="Times New Roman" w:eastAsia="方正仿宋_GBK" w:cs="Times New Roman"/>
          <w:color w:val="000000"/>
          <w:sz w:val="32"/>
          <w:szCs w:val="32"/>
        </w:rPr>
        <w:t>万元，占</w:t>
      </w:r>
      <w:r>
        <w:rPr>
          <w:rFonts w:hint="eastAsia" w:ascii="Times New Roman" w:hAnsi="Times New Roman" w:eastAsia="方正仿宋_GBK" w:cs="Times New Roman"/>
          <w:color w:val="000000"/>
          <w:sz w:val="32"/>
          <w:szCs w:val="32"/>
          <w:lang w:val="en-US" w:eastAsia="zh-CN"/>
        </w:rPr>
        <w:t>32</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；项目支出</w:t>
      </w:r>
      <w:r>
        <w:rPr>
          <w:rFonts w:hint="eastAsia" w:ascii="Times New Roman" w:hAnsi="Times New Roman" w:eastAsia="方正仿宋_GBK" w:cs="Times New Roman"/>
          <w:color w:val="000000"/>
          <w:sz w:val="32"/>
          <w:szCs w:val="32"/>
          <w:lang w:val="en-US" w:eastAsia="zh-CN"/>
        </w:rPr>
        <w:t>38.34</w:t>
      </w:r>
      <w:r>
        <w:rPr>
          <w:rFonts w:hint="eastAsia" w:ascii="Times New Roman" w:hAnsi="Times New Roman" w:eastAsia="方正仿宋_GBK" w:cs="Times New Roman"/>
          <w:color w:val="000000"/>
          <w:sz w:val="32"/>
          <w:szCs w:val="32"/>
        </w:rPr>
        <w:t>万元，占</w:t>
      </w:r>
      <w:r>
        <w:rPr>
          <w:rFonts w:hint="eastAsia" w:ascii="Times New Roman" w:hAnsi="Times New Roman" w:eastAsia="方正仿宋_GBK" w:cs="Times New Roman"/>
          <w:color w:val="000000"/>
          <w:sz w:val="32"/>
          <w:szCs w:val="32"/>
          <w:lang w:val="en-US" w:eastAsia="zh-CN"/>
        </w:rPr>
        <w:t>68</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drawing>
          <wp:anchor distT="0" distB="0" distL="114300" distR="114300" simplePos="0" relativeHeight="251673600" behindDoc="0" locked="0" layoutInCell="1" allowOverlap="1">
            <wp:simplePos x="0" y="0"/>
            <wp:positionH relativeFrom="column">
              <wp:posOffset>506095</wp:posOffset>
            </wp:positionH>
            <wp:positionV relativeFrom="paragraph">
              <wp:posOffset>264795</wp:posOffset>
            </wp:positionV>
            <wp:extent cx="4524375" cy="2895600"/>
            <wp:effectExtent l="4445" t="4445" r="5080" b="14605"/>
            <wp:wrapTopAndBottom/>
            <wp:docPr id="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p>
    <w:p>
      <w:pPr>
        <w:spacing w:line="600" w:lineRule="exact"/>
        <w:ind w:firstLine="420" w:firstLineChars="200"/>
        <w:outlineLvl w:val="2"/>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黑体_GBK" w:cs="Times New Roman"/>
        </w:rPr>
        <w:drawing>
          <wp:anchor distT="0" distB="0" distL="114300" distR="114300" simplePos="0" relativeHeight="251674624" behindDoc="0" locked="0" layoutInCell="1" allowOverlap="1">
            <wp:simplePos x="0" y="0"/>
            <wp:positionH relativeFrom="column">
              <wp:posOffset>71120</wp:posOffset>
            </wp:positionH>
            <wp:positionV relativeFrom="paragraph">
              <wp:posOffset>872490</wp:posOffset>
            </wp:positionV>
            <wp:extent cx="5361940" cy="2933065"/>
            <wp:effectExtent l="4445" t="4445" r="5715" b="15240"/>
            <wp:wrapTopAndBottom/>
            <wp:docPr id="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default" w:ascii="Times New Roman" w:hAnsi="Times New Roman" w:eastAsia="方正仿宋_GBK" w:cs="Times New Roman"/>
          <w:color w:val="000000"/>
          <w:sz w:val="32"/>
          <w:szCs w:val="32"/>
        </w:rPr>
        <w:t>201</w:t>
      </w:r>
      <w:r>
        <w:rPr>
          <w:rFonts w:hint="eastAsia"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rPr>
        <w:t>财政拨款</w:t>
      </w:r>
      <w:r>
        <w:rPr>
          <w:rFonts w:hint="default" w:ascii="Times New Roman" w:hAnsi="Times New Roman" w:eastAsia="方正仿宋_GBK" w:cs="Times New Roman"/>
          <w:color w:val="000000"/>
          <w:sz w:val="32"/>
          <w:szCs w:val="32"/>
        </w:rPr>
        <w:t>收入</w:t>
      </w:r>
      <w:r>
        <w:rPr>
          <w:rFonts w:hint="eastAsia" w:ascii="Times New Roman" w:hAnsi="Times New Roman" w:eastAsia="方正仿宋_GBK" w:cs="Times New Roman"/>
          <w:color w:val="000000"/>
          <w:sz w:val="32"/>
          <w:szCs w:val="32"/>
        </w:rPr>
        <w:t>93.41万元，实际支出56.7</w:t>
      </w:r>
      <w:r>
        <w:rPr>
          <w:rFonts w:hint="eastAsia" w:ascii="Times New Roman" w:hAnsi="Times New Roman" w:eastAsia="方正仿宋_GBK" w:cs="Times New Roman"/>
          <w:color w:val="000000"/>
          <w:sz w:val="32"/>
          <w:szCs w:val="32"/>
          <w:lang w:val="en-US" w:eastAsia="zh-CN"/>
        </w:rPr>
        <w:t>5</w:t>
      </w:r>
      <w:r>
        <w:rPr>
          <w:rFonts w:hint="eastAsia" w:ascii="Times New Roman" w:hAnsi="Times New Roman" w:eastAsia="方正仿宋_GBK" w:cs="Times New Roman"/>
          <w:color w:val="000000"/>
          <w:sz w:val="32"/>
          <w:szCs w:val="32"/>
        </w:rPr>
        <w:t>万元</w:t>
      </w:r>
      <w:r>
        <w:rPr>
          <w:rFonts w:hint="eastAsia" w:ascii="Times New Roman" w:hAnsi="Times New Roman" w:eastAsia="方正仿宋_GBK" w:cs="Times New Roman"/>
          <w:color w:val="000000"/>
          <w:sz w:val="32"/>
          <w:szCs w:val="32"/>
          <w:lang w:eastAsia="zh-CN"/>
        </w:rPr>
        <w:t>，年末结转和结余</w:t>
      </w:r>
      <w:r>
        <w:rPr>
          <w:rFonts w:hint="eastAsia" w:ascii="Times New Roman" w:hAnsi="Times New Roman" w:eastAsia="方正仿宋_GBK" w:cs="Times New Roman"/>
          <w:color w:val="000000"/>
          <w:sz w:val="32"/>
          <w:szCs w:val="32"/>
          <w:lang w:val="en-US" w:eastAsia="zh-CN"/>
        </w:rPr>
        <w:t>36.66万元</w:t>
      </w:r>
      <w:r>
        <w:rPr>
          <w:rFonts w:hint="eastAsia" w:ascii="Times New Roman" w:hAnsi="Times New Roman" w:eastAsia="方正仿宋_GBK" w:cs="Times New Roman"/>
          <w:color w:val="000000"/>
          <w:sz w:val="32"/>
          <w:szCs w:val="32"/>
        </w:rPr>
        <w:t>。新成立单位无上年</w:t>
      </w:r>
      <w:r>
        <w:rPr>
          <w:rFonts w:hint="eastAsia" w:ascii="Times New Roman" w:hAnsi="Times New Roman" w:eastAsia="方正仿宋_GBK" w:cs="Times New Roman"/>
          <w:color w:val="000000"/>
          <w:sz w:val="32"/>
          <w:szCs w:val="32"/>
          <w:lang w:eastAsia="zh-CN"/>
        </w:rPr>
        <w:t>对比</w:t>
      </w:r>
      <w:r>
        <w:rPr>
          <w:rFonts w:hint="eastAsia" w:ascii="Times New Roman" w:hAnsi="Times New Roman" w:eastAsia="方正仿宋_GBK" w:cs="Times New Roman"/>
          <w:color w:val="000000"/>
          <w:sz w:val="32"/>
          <w:szCs w:val="32"/>
        </w:rPr>
        <w:t>数据</w:t>
      </w:r>
      <w:r>
        <w:rPr>
          <w:rFonts w:hint="eastAsia" w:ascii="Times New Roman" w:hAnsi="Times New Roman" w:eastAsia="方正仿宋_GBK" w:cs="Times New Roman"/>
          <w:color w:val="000000"/>
          <w:sz w:val="32"/>
          <w:szCs w:val="32"/>
          <w:lang w:val="en-US" w:eastAsia="zh-CN"/>
        </w:rPr>
        <w:t>。</w:t>
      </w:r>
    </w:p>
    <w:p>
      <w:pPr>
        <w:snapToGrid w:val="0"/>
        <w:spacing w:line="554" w:lineRule="exact"/>
        <w:ind w:firstLine="640" w:firstLineChars="200"/>
        <w:rPr>
          <w:rFonts w:hint="default" w:ascii="Times New Roman" w:hAnsi="Times New Roman" w:eastAsia="方正黑体_GBK" w:cs="Times New Roman"/>
          <w:color w:val="auto"/>
          <w:sz w:val="32"/>
          <w:szCs w:val="32"/>
        </w:rPr>
      </w:pPr>
    </w:p>
    <w:p>
      <w:pPr>
        <w:spacing w:line="600" w:lineRule="exact"/>
        <w:ind w:firstLine="640" w:firstLineChars="200"/>
        <w:outlineLvl w:val="1"/>
        <w:rPr>
          <w:rStyle w:val="26"/>
          <w:rFonts w:hint="default" w:ascii="Times New Roman" w:hAnsi="Times New Roman" w:eastAsia="方正黑体_GBK" w:cs="Times New Roman"/>
          <w:b w:val="0"/>
        </w:rPr>
      </w:pPr>
      <w:r>
        <w:rPr>
          <w:rFonts w:hint="default" w:ascii="Times New Roman" w:hAnsi="Times New Roman" w:eastAsia="方正黑体_GBK" w:cs="Times New Roman"/>
          <w:color w:val="000000"/>
          <w:sz w:val="32"/>
          <w:szCs w:val="32"/>
        </w:rPr>
        <w:t>五、</w:t>
      </w:r>
      <w:r>
        <w:rPr>
          <w:rFonts w:hint="default" w:ascii="Times New Roman" w:hAnsi="Times New Roman" w:eastAsia="方正黑体_GBK" w:cs="Times New Roman"/>
          <w:b/>
          <w:color w:val="000000"/>
          <w:sz w:val="32"/>
          <w:szCs w:val="32"/>
        </w:rPr>
        <w:t>一</w:t>
      </w:r>
      <w:r>
        <w:rPr>
          <w:rStyle w:val="26"/>
          <w:rFonts w:hint="default" w:ascii="Times New Roman" w:hAnsi="Times New Roman" w:eastAsia="方正黑体_GBK" w:cs="Times New Roman"/>
          <w:b w:val="0"/>
        </w:rPr>
        <w:t>般公共预算财政拨款支出决算情况说明</w:t>
      </w:r>
    </w:p>
    <w:p>
      <w:pPr>
        <w:spacing w:line="600" w:lineRule="exact"/>
        <w:ind w:firstLine="640" w:firstLineChars="200"/>
        <w:outlineLvl w:val="2"/>
        <w:rPr>
          <w:rFonts w:hint="eastAsia" w:ascii="方正楷体_GBK" w:hAnsi="方正楷体_GBK" w:eastAsia="方正楷体_GBK" w:cs="方正楷体_GBK"/>
          <w:b w:val="0"/>
          <w:bCs/>
          <w:color w:val="000000"/>
          <w:sz w:val="32"/>
          <w:szCs w:val="32"/>
        </w:rPr>
      </w:pPr>
      <w:r>
        <w:rPr>
          <w:rFonts w:hint="eastAsia" w:ascii="方正楷体_GBK" w:hAnsi="方正楷体_GBK" w:eastAsia="方正楷体_GBK" w:cs="方正楷体_GBK"/>
          <w:b w:val="0"/>
          <w:bCs/>
          <w:color w:val="000000"/>
          <w:sz w:val="32"/>
          <w:szCs w:val="32"/>
        </w:rPr>
        <w:t>（一）一般公共预算财政拨款支出决算总体情况</w:t>
      </w:r>
    </w:p>
    <w:p>
      <w:pPr>
        <w:spacing w:line="600" w:lineRule="exact"/>
        <w:ind w:firstLine="640" w:firstLineChars="200"/>
        <w:outlineLvl w:val="2"/>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201</w:t>
      </w:r>
      <w:r>
        <w:rPr>
          <w:rFonts w:hint="eastAsia" w:ascii="Times New Roman" w:hAnsi="Times New Roman" w:eastAsia="方正仿宋_GBK" w:cs="Times New Roman"/>
          <w:color w:val="000000"/>
          <w:sz w:val="32"/>
          <w:szCs w:val="32"/>
          <w:lang w:val="en-US" w:eastAsia="zh-CN"/>
        </w:rPr>
        <w:t>9</w:t>
      </w:r>
      <w:r>
        <w:rPr>
          <w:rFonts w:hint="eastAsia" w:ascii="Times New Roman" w:hAnsi="Times New Roman" w:eastAsia="方正仿宋_GBK" w:cs="Times New Roman"/>
          <w:color w:val="000000"/>
          <w:sz w:val="32"/>
          <w:szCs w:val="32"/>
        </w:rPr>
        <w:t>年一般公共预算财政拨款支出56.7</w:t>
      </w:r>
      <w:r>
        <w:rPr>
          <w:rFonts w:hint="eastAsia" w:ascii="Times New Roman" w:hAnsi="Times New Roman" w:eastAsia="方正仿宋_GBK" w:cs="Times New Roman"/>
          <w:color w:val="000000"/>
          <w:sz w:val="32"/>
          <w:szCs w:val="32"/>
          <w:lang w:val="en-US" w:eastAsia="zh-CN"/>
        </w:rPr>
        <w:t>5</w:t>
      </w:r>
      <w:r>
        <w:rPr>
          <w:rFonts w:hint="eastAsia" w:ascii="Times New Roman" w:hAnsi="Times New Roman" w:eastAsia="方正仿宋_GBK" w:cs="Times New Roman"/>
          <w:color w:val="000000"/>
          <w:sz w:val="32"/>
          <w:szCs w:val="32"/>
        </w:rPr>
        <w:t>万元，占本年支出合计的</w:t>
      </w:r>
      <w:r>
        <w:rPr>
          <w:rFonts w:hint="eastAsia" w:ascii="Times New Roman" w:hAnsi="Times New Roman" w:eastAsia="方正仿宋_GBK" w:cs="Times New Roman"/>
          <w:color w:val="000000"/>
          <w:sz w:val="32"/>
          <w:szCs w:val="32"/>
          <w:lang w:val="en-US" w:eastAsia="zh-CN"/>
        </w:rPr>
        <w:t>100</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因新成立无上年数据，无对比。</w:t>
      </w:r>
    </w:p>
    <w:p>
      <w:pPr>
        <w:spacing w:line="600" w:lineRule="exact"/>
        <w:ind w:firstLine="640" w:firstLineChars="200"/>
        <w:outlineLvl w:val="2"/>
        <w:rPr>
          <w:rFonts w:hint="eastAsia" w:ascii="方正楷体_GBK" w:hAnsi="方正楷体_GBK" w:eastAsia="方正楷体_GBK" w:cs="方正楷体_GBK"/>
          <w:b w:val="0"/>
          <w:bCs/>
          <w:color w:val="000000"/>
          <w:sz w:val="32"/>
          <w:szCs w:val="32"/>
        </w:rPr>
      </w:pPr>
      <w:r>
        <w:rPr>
          <w:rFonts w:hint="eastAsia" w:ascii="方正楷体_GBK" w:hAnsi="方正楷体_GBK" w:eastAsia="方正楷体_GBK" w:cs="方正楷体_GBK"/>
          <w:b w:val="0"/>
          <w:bCs/>
          <w:color w:val="000000"/>
          <w:sz w:val="32"/>
          <w:szCs w:val="32"/>
        </w:rPr>
        <w:t>（二）一般公共预算财政拨款支出决算结构情况</w:t>
      </w:r>
    </w:p>
    <w:p>
      <w:pPr>
        <w:spacing w:line="600" w:lineRule="exact"/>
        <w:ind w:firstLine="640" w:firstLineChars="200"/>
        <w:outlineLvl w:val="2"/>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201</w:t>
      </w:r>
      <w:r>
        <w:rPr>
          <w:rFonts w:hint="default"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年一般公共预算财</w:t>
      </w:r>
      <w:r>
        <w:rPr>
          <w:rFonts w:hint="default" w:ascii="Times New Roman" w:hAnsi="Times New Roman" w:eastAsia="方正仿宋_GBK" w:cs="Times New Roman"/>
          <w:color w:val="000000" w:themeColor="text1"/>
          <w:sz w:val="32"/>
          <w:szCs w:val="32"/>
          <w14:textFill>
            <w14:solidFill>
              <w14:schemeClr w14:val="tx1"/>
            </w14:solidFill>
          </w14:textFill>
        </w:rPr>
        <w:t>政拨款支出</w:t>
      </w:r>
      <w:r>
        <w:rPr>
          <w:rFonts w:hint="default" w:ascii="Times New Roman" w:hAnsi="Times New Roman" w:eastAsia="方正仿宋_GBK" w:cs="Times New Roman"/>
          <w:color w:val="000000"/>
          <w:sz w:val="32"/>
          <w:szCs w:val="32"/>
        </w:rPr>
        <w:t>56.7</w:t>
      </w:r>
      <w:r>
        <w:rPr>
          <w:rFonts w:hint="default"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themeColor="text1"/>
          <w:sz w:val="32"/>
          <w:szCs w:val="32"/>
          <w14:textFill>
            <w14:solidFill>
              <w14:schemeClr w14:val="tx1"/>
            </w14:solidFill>
          </w14:textFill>
        </w:rPr>
        <w:t>万元，主要用于以下方面:</w:t>
      </w:r>
      <w:r>
        <w:rPr>
          <w:rFonts w:hint="default" w:ascii="Times New Roman" w:hAnsi="Times New Roman" w:eastAsia="方正仿宋_GBK" w:cs="Times New Roman"/>
          <w:b/>
          <w:color w:val="000000" w:themeColor="text1"/>
          <w:sz w:val="32"/>
          <w:szCs w:val="32"/>
          <w:lang w:eastAsia="zh-CN"/>
          <w14:textFill>
            <w14:solidFill>
              <w14:schemeClr w14:val="tx1"/>
            </w14:solidFill>
          </w14:textFill>
        </w:rPr>
        <w:t>卫生健康支出</w:t>
      </w:r>
      <w:r>
        <w:rPr>
          <w:rFonts w:hint="default" w:ascii="Times New Roman" w:hAnsi="Times New Roman" w:eastAsia="方正仿宋_GBK" w:cs="Times New Roman"/>
          <w:b/>
          <w:color w:val="000000" w:themeColor="text1"/>
          <w:sz w:val="32"/>
          <w:szCs w:val="32"/>
          <w14:textFill>
            <w14:solidFill>
              <w14:schemeClr w14:val="tx1"/>
            </w14:solidFill>
          </w14:textFill>
        </w:rPr>
        <w:t>（类）</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0.67</w:t>
      </w:r>
      <w:r>
        <w:rPr>
          <w:rFonts w:hint="default" w:ascii="Times New Roman" w:hAnsi="Times New Roman" w:eastAsia="方正仿宋_GBK" w:cs="Times New Roman"/>
          <w:color w:val="000000" w:themeColor="text1"/>
          <w:sz w:val="32"/>
          <w:szCs w:val="32"/>
          <w14:textFill>
            <w14:solidFill>
              <w14:schemeClr w14:val="tx1"/>
            </w14:solidFill>
          </w14:textFill>
        </w:rPr>
        <w:t>万元，占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1.18</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社会保障和就业（类）</w:t>
      </w:r>
      <w:r>
        <w:rPr>
          <w:rFonts w:hint="default" w:ascii="Times New Roman" w:hAnsi="Times New Roman" w:eastAsia="方正仿宋_GBK" w:cs="Times New Roman"/>
          <w:color w:val="000000" w:themeColor="text1"/>
          <w:sz w:val="32"/>
          <w:szCs w:val="32"/>
          <w14:textFill>
            <w14:solidFill>
              <w14:schemeClr w14:val="tx1"/>
            </w14:solidFill>
          </w14:textFill>
        </w:rPr>
        <w:t>支出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54.71</w:t>
      </w:r>
      <w:r>
        <w:rPr>
          <w:rFonts w:hint="default" w:ascii="Times New Roman" w:hAnsi="Times New Roman" w:eastAsia="方正仿宋_GBK" w:cs="Times New Roman"/>
          <w:color w:val="000000" w:themeColor="text1"/>
          <w:sz w:val="32"/>
          <w:szCs w:val="32"/>
          <w14:textFill>
            <w14:solidFill>
              <w14:schemeClr w14:val="tx1"/>
            </w14:solidFill>
          </w14:textFill>
        </w:rPr>
        <w:t>万元，占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96</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住房保障支出</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1.37</w:t>
      </w:r>
      <w:r>
        <w:rPr>
          <w:rFonts w:hint="default" w:ascii="Times New Roman" w:hAnsi="Times New Roman" w:eastAsia="方正仿宋_GBK" w:cs="Times New Roman"/>
          <w:color w:val="000000"/>
          <w:sz w:val="32"/>
          <w:szCs w:val="32"/>
        </w:rPr>
        <w:t>万元，占</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2"/>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drawing>
          <wp:inline distT="0" distB="0" distL="0" distR="0">
            <wp:extent cx="4791075" cy="3343275"/>
            <wp:effectExtent l="4445" t="4445" r="5080"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outlineLvl w:val="2"/>
        <w:rPr>
          <w:rFonts w:hint="eastAsia" w:ascii="方正楷体_GBK" w:hAnsi="方正楷体_GBK" w:eastAsia="方正楷体_GBK" w:cs="方正楷体_GBK"/>
          <w:b w:val="0"/>
          <w:bCs/>
          <w:color w:val="000000"/>
          <w:sz w:val="32"/>
          <w:szCs w:val="32"/>
        </w:rPr>
      </w:pPr>
      <w:r>
        <w:rPr>
          <w:rFonts w:hint="eastAsia" w:ascii="方正楷体_GBK" w:hAnsi="方正楷体_GBK" w:eastAsia="方正楷体_GBK" w:cs="方正楷体_GBK"/>
          <w:b w:val="0"/>
          <w:bCs/>
          <w:color w:val="000000"/>
          <w:sz w:val="32"/>
          <w:szCs w:val="32"/>
        </w:rPr>
        <w:t>（三）一般公共预算财政拨款支出决算具体情况</w:t>
      </w:r>
    </w:p>
    <w:p>
      <w:pPr>
        <w:spacing w:line="600" w:lineRule="exact"/>
        <w:ind w:firstLine="643" w:firstLineChars="200"/>
        <w:outlineLvl w:val="2"/>
        <w:rPr>
          <w:rStyle w:val="15"/>
          <w:rFonts w:hint="eastAsia" w:ascii="仿宋" w:hAnsi="仿宋" w:eastAsia="仿宋"/>
          <w:bCs/>
          <w:color w:val="000000"/>
          <w:sz w:val="32"/>
          <w:szCs w:val="32"/>
        </w:rPr>
      </w:pPr>
      <w:r>
        <w:rPr>
          <w:rFonts w:hint="eastAsia" w:ascii="仿宋" w:hAnsi="仿宋" w:eastAsia="仿宋"/>
          <w:b/>
          <w:color w:val="000000" w:themeColor="text1"/>
          <w:sz w:val="32"/>
          <w:szCs w:val="32"/>
          <w14:textFill>
            <w14:solidFill>
              <w14:schemeClr w14:val="tx1"/>
            </w14:solidFill>
          </w14:textFill>
        </w:rPr>
        <w:t>201</w:t>
      </w:r>
      <w:r>
        <w:rPr>
          <w:rFonts w:hint="eastAsia" w:ascii="仿宋" w:hAnsi="仿宋" w:eastAsia="仿宋"/>
          <w:b/>
          <w:color w:val="000000" w:themeColor="text1"/>
          <w:sz w:val="32"/>
          <w:szCs w:val="32"/>
          <w:lang w:val="en-US" w:eastAsia="zh-CN"/>
          <w14:textFill>
            <w14:solidFill>
              <w14:schemeClr w14:val="tx1"/>
            </w14:solidFill>
          </w14:textFill>
        </w:rPr>
        <w:t>9</w:t>
      </w:r>
      <w:r>
        <w:rPr>
          <w:rFonts w:hint="eastAsia" w:ascii="仿宋" w:hAnsi="仿宋" w:eastAsia="仿宋"/>
          <w:b/>
          <w:color w:val="000000" w:themeColor="text1"/>
          <w:sz w:val="32"/>
          <w:szCs w:val="32"/>
          <w14:textFill>
            <w14:solidFill>
              <w14:schemeClr w14:val="tx1"/>
            </w14:solidFill>
          </w14:textFill>
        </w:rPr>
        <w:t>年一般公共预算支出决算数为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93.41</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61</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p>
    <w:p>
      <w:pPr>
        <w:spacing w:line="600" w:lineRule="exact"/>
        <w:ind w:firstLine="643" w:firstLineChars="200"/>
        <w:outlineLvl w:val="2"/>
        <w:rPr>
          <w:rStyle w:val="15"/>
          <w:rFonts w:hint="default" w:ascii="Times New Roman" w:hAnsi="Times New Roman" w:eastAsia="方正仿宋_GBK" w:cs="Times New Roman"/>
          <w:b w:val="0"/>
          <w:bCs/>
          <w:color w:val="000000"/>
          <w:sz w:val="32"/>
          <w:szCs w:val="32"/>
        </w:rPr>
      </w:pPr>
      <w:r>
        <w:rPr>
          <w:rStyle w:val="15"/>
          <w:rFonts w:hint="eastAsia" w:ascii="仿宋" w:hAnsi="仿宋" w:eastAsia="仿宋"/>
          <w:bCs/>
          <w:color w:val="000000"/>
          <w:sz w:val="32"/>
          <w:szCs w:val="32"/>
          <w:lang w:val="en-US" w:eastAsia="zh-CN"/>
        </w:rPr>
        <w:t>1.</w:t>
      </w:r>
      <w:r>
        <w:rPr>
          <w:rStyle w:val="15"/>
          <w:rFonts w:hint="eastAsia" w:ascii="仿宋" w:hAnsi="仿宋" w:eastAsia="仿宋"/>
          <w:bCs/>
          <w:color w:val="000000"/>
          <w:sz w:val="32"/>
          <w:szCs w:val="32"/>
          <w:lang w:eastAsia="zh-CN"/>
        </w:rPr>
        <w:t>住房保障</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eastAsia="zh-CN"/>
        </w:rPr>
        <w:t>住房改革</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住房公积金</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eastAsia="zh-CN"/>
        </w:rPr>
        <w:t>：</w:t>
      </w:r>
      <w:r>
        <w:rPr>
          <w:rStyle w:val="15"/>
          <w:rFonts w:hint="default" w:ascii="Times New Roman" w:hAnsi="Times New Roman" w:eastAsia="方正仿宋_GBK" w:cs="Times New Roman"/>
          <w:b w:val="0"/>
          <w:bCs/>
          <w:color w:val="000000"/>
          <w:sz w:val="32"/>
          <w:szCs w:val="32"/>
        </w:rPr>
        <w:t>支出决算为</w:t>
      </w:r>
      <w:r>
        <w:rPr>
          <w:rStyle w:val="15"/>
          <w:rFonts w:hint="default" w:ascii="Times New Roman" w:hAnsi="Times New Roman" w:eastAsia="方正仿宋_GBK" w:cs="Times New Roman"/>
          <w:b w:val="0"/>
          <w:bCs/>
          <w:color w:val="000000"/>
          <w:sz w:val="32"/>
          <w:szCs w:val="32"/>
          <w:lang w:val="en-US" w:eastAsia="zh-CN"/>
        </w:rPr>
        <w:t>1.37</w:t>
      </w:r>
      <w:r>
        <w:rPr>
          <w:rStyle w:val="15"/>
          <w:rFonts w:hint="default" w:ascii="Times New Roman" w:hAnsi="Times New Roman" w:eastAsia="方正仿宋_GBK" w:cs="Times New Roman"/>
          <w:b w:val="0"/>
          <w:bCs/>
          <w:color w:val="000000"/>
          <w:sz w:val="32"/>
          <w:szCs w:val="32"/>
        </w:rPr>
        <w:t>万元，完成预算</w:t>
      </w:r>
      <w:r>
        <w:rPr>
          <w:rStyle w:val="15"/>
          <w:rFonts w:hint="default" w:ascii="Times New Roman" w:hAnsi="Times New Roman" w:eastAsia="方正仿宋_GBK" w:cs="Times New Roman"/>
          <w:b w:val="0"/>
          <w:bCs/>
          <w:color w:val="000000"/>
          <w:sz w:val="32"/>
          <w:szCs w:val="32"/>
          <w:lang w:val="en-US" w:eastAsia="zh-CN"/>
        </w:rPr>
        <w:t>100</w:t>
      </w:r>
      <w:r>
        <w:rPr>
          <w:rStyle w:val="15"/>
          <w:rFonts w:hint="default" w:ascii="Times New Roman" w:hAnsi="Times New Roman" w:eastAsia="方正仿宋_GBK" w:cs="Times New Roman"/>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eastAsia="zh-CN"/>
        </w:rPr>
        <w:t>人力资源和社会管理事务</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行政运行</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Times New Roman" w:hAnsi="Times New Roman" w:eastAsia="方正仿宋_GBK" w:cs="Times New Roman"/>
          <w:b w:val="0"/>
          <w:bCs/>
          <w:color w:val="000000"/>
          <w:sz w:val="32"/>
          <w:szCs w:val="32"/>
        </w:rPr>
        <w:t>支出决算为</w:t>
      </w:r>
      <w:r>
        <w:rPr>
          <w:rStyle w:val="15"/>
          <w:rFonts w:hint="eastAsia" w:ascii="Times New Roman" w:hAnsi="Times New Roman" w:eastAsia="方正仿宋_GBK" w:cs="Times New Roman"/>
          <w:b w:val="0"/>
          <w:bCs/>
          <w:color w:val="000000"/>
          <w:sz w:val="32"/>
          <w:szCs w:val="32"/>
          <w:lang w:val="en-US" w:eastAsia="zh-CN"/>
        </w:rPr>
        <w:t>15.78</w:t>
      </w:r>
      <w:r>
        <w:rPr>
          <w:rStyle w:val="15"/>
          <w:rFonts w:hint="eastAsia" w:ascii="Times New Roman" w:hAnsi="Times New Roman" w:eastAsia="方正仿宋_GBK" w:cs="Times New Roman"/>
          <w:b w:val="0"/>
          <w:bCs/>
          <w:color w:val="000000"/>
          <w:sz w:val="32"/>
          <w:szCs w:val="32"/>
        </w:rPr>
        <w:t>万元，完成预算100</w:t>
      </w:r>
      <w:r>
        <w:rPr>
          <w:rStyle w:val="15"/>
          <w:rFonts w:hint="default" w:ascii="Times New Roman" w:hAnsi="Times New Roman" w:eastAsia="方正仿宋_GBK" w:cs="Times New Roman"/>
          <w:b w:val="0"/>
          <w:bCs/>
          <w:color w:val="000000"/>
          <w:sz w:val="32"/>
          <w:szCs w:val="32"/>
        </w:rPr>
        <w:t>%</w:t>
      </w:r>
      <w:r>
        <w:rPr>
          <w:rStyle w:val="15"/>
          <w:rFonts w:hint="eastAsia" w:ascii="Times New Roman" w:hAnsi="Times New Roman" w:eastAsia="方正仿宋_GBK" w:cs="Times New Roman"/>
          <w:b w:val="0"/>
          <w:bCs/>
          <w:color w:val="000000"/>
          <w:sz w:val="32"/>
          <w:szCs w:val="32"/>
        </w:rPr>
        <w:t>。</w:t>
      </w:r>
    </w:p>
    <w:p>
      <w:pPr>
        <w:spacing w:line="600" w:lineRule="exact"/>
        <w:ind w:firstLine="643" w:firstLineChars="200"/>
        <w:rPr>
          <w:rStyle w:val="15"/>
          <w:rFonts w:hint="eastAsia" w:ascii="Times New Roman" w:hAnsi="Times New Roman" w:eastAsia="方正仿宋_GBK" w:cs="Times New Roman"/>
          <w:b w:val="0"/>
          <w:bCs/>
          <w:color w:val="000000"/>
          <w:sz w:val="32"/>
          <w:szCs w:val="32"/>
          <w:lang w:eastAsia="zh-CN"/>
        </w:rPr>
      </w:pPr>
      <w:r>
        <w:rPr>
          <w:rStyle w:val="15"/>
          <w:rFonts w:hint="eastAsia" w:ascii="仿宋" w:hAnsi="仿宋" w:eastAsia="仿宋"/>
          <w:bCs/>
          <w:color w:val="000000"/>
          <w:sz w:val="32"/>
          <w:szCs w:val="32"/>
          <w:lang w:val="en-US" w:eastAsia="zh-CN"/>
        </w:rPr>
        <w:t>3.</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eastAsia="zh-CN"/>
        </w:rPr>
        <w:t>人力资源和社会管理事务</w:t>
      </w:r>
      <w:r>
        <w:rPr>
          <w:rStyle w:val="15"/>
          <w:rFonts w:hint="eastAsia" w:ascii="仿宋" w:hAnsi="仿宋" w:eastAsia="仿宋"/>
          <w:bCs/>
          <w:color w:val="000000"/>
          <w:sz w:val="32"/>
          <w:szCs w:val="32"/>
        </w:rPr>
        <w:t>（款）一般行政管理事务（项）</w:t>
      </w:r>
      <w:r>
        <w:rPr>
          <w:rStyle w:val="15"/>
          <w:rFonts w:hint="eastAsia" w:ascii="仿宋" w:hAnsi="仿宋" w:eastAsia="仿宋"/>
          <w:bCs/>
          <w:color w:val="000000"/>
          <w:sz w:val="32"/>
          <w:szCs w:val="32"/>
          <w:lang w:eastAsia="zh-CN"/>
        </w:rPr>
        <w:t>：</w:t>
      </w:r>
      <w:r>
        <w:rPr>
          <w:rStyle w:val="15"/>
          <w:rFonts w:hint="eastAsia" w:ascii="Times New Roman" w:hAnsi="Times New Roman" w:eastAsia="方正仿宋_GBK" w:cs="Times New Roman"/>
          <w:b w:val="0"/>
          <w:bCs/>
          <w:color w:val="000000"/>
          <w:sz w:val="32"/>
          <w:szCs w:val="32"/>
        </w:rPr>
        <w:t>支出决算为</w:t>
      </w:r>
      <w:r>
        <w:rPr>
          <w:rStyle w:val="15"/>
          <w:rFonts w:hint="eastAsia" w:ascii="Times New Roman" w:hAnsi="Times New Roman" w:eastAsia="方正仿宋_GBK" w:cs="Times New Roman"/>
          <w:b w:val="0"/>
          <w:bCs/>
          <w:color w:val="000000"/>
          <w:sz w:val="32"/>
          <w:szCs w:val="32"/>
          <w:lang w:val="en-US" w:eastAsia="zh-CN"/>
        </w:rPr>
        <w:t>38.34</w:t>
      </w:r>
      <w:r>
        <w:rPr>
          <w:rStyle w:val="15"/>
          <w:rFonts w:hint="eastAsia" w:ascii="Times New Roman" w:hAnsi="Times New Roman" w:eastAsia="方正仿宋_GBK" w:cs="Times New Roman"/>
          <w:b w:val="0"/>
          <w:bCs/>
          <w:color w:val="000000"/>
          <w:sz w:val="32"/>
          <w:szCs w:val="32"/>
        </w:rPr>
        <w:t>万元，完成预算</w:t>
      </w:r>
      <w:r>
        <w:rPr>
          <w:rStyle w:val="15"/>
          <w:rFonts w:hint="eastAsia" w:ascii="Times New Roman" w:hAnsi="Times New Roman" w:eastAsia="方正仿宋_GBK" w:cs="Times New Roman"/>
          <w:b w:val="0"/>
          <w:bCs/>
          <w:color w:val="000000"/>
          <w:sz w:val="32"/>
          <w:szCs w:val="32"/>
          <w:lang w:val="en-US" w:eastAsia="zh-CN"/>
        </w:rPr>
        <w:t>51</w:t>
      </w:r>
      <w:r>
        <w:rPr>
          <w:rStyle w:val="15"/>
          <w:rFonts w:hint="default" w:ascii="Times New Roman" w:hAnsi="Times New Roman" w:eastAsia="方正仿宋_GBK" w:cs="Times New Roman"/>
          <w:b w:val="0"/>
          <w:bCs/>
          <w:color w:val="000000"/>
          <w:sz w:val="32"/>
          <w:szCs w:val="32"/>
        </w:rPr>
        <w:t>%</w:t>
      </w:r>
      <w:r>
        <w:rPr>
          <w:rStyle w:val="15"/>
          <w:rFonts w:hint="eastAsia" w:ascii="Times New Roman" w:hAnsi="Times New Roman" w:eastAsia="方正仿宋_GBK" w:cs="Times New Roman"/>
          <w:b w:val="0"/>
          <w:bCs/>
          <w:color w:val="000000"/>
          <w:sz w:val="32"/>
          <w:szCs w:val="32"/>
          <w:lang w:eastAsia="zh-CN"/>
        </w:rPr>
        <w:t>，</w:t>
      </w:r>
      <w:r>
        <w:rPr>
          <w:rStyle w:val="15"/>
          <w:rFonts w:hint="eastAsia" w:ascii="Times New Roman" w:hAnsi="Times New Roman" w:eastAsia="方正仿宋_GBK" w:cs="Times New Roman"/>
          <w:b w:val="0"/>
          <w:bCs/>
          <w:color w:val="000000"/>
          <w:sz w:val="32"/>
          <w:szCs w:val="32"/>
        </w:rPr>
        <w:t>原因是项目没完成，</w:t>
      </w:r>
      <w:r>
        <w:rPr>
          <w:rStyle w:val="15"/>
          <w:rFonts w:hint="eastAsia" w:ascii="Times New Roman" w:hAnsi="Times New Roman" w:eastAsia="方正仿宋_GBK" w:cs="Times New Roman"/>
          <w:b w:val="0"/>
          <w:bCs/>
          <w:color w:val="000000"/>
          <w:sz w:val="32"/>
          <w:szCs w:val="32"/>
          <w:lang w:eastAsia="zh-CN"/>
        </w:rPr>
        <w:t>正在实施中</w:t>
      </w:r>
      <w:r>
        <w:rPr>
          <w:rStyle w:val="15"/>
          <w:rFonts w:hint="eastAsia" w:ascii="Times New Roman" w:hAnsi="Times New Roman" w:eastAsia="方正仿宋_GBK" w:cs="Times New Roman"/>
          <w:b w:val="0"/>
          <w:bCs/>
          <w:color w:val="000000"/>
          <w:sz w:val="32"/>
          <w:szCs w:val="32"/>
        </w:rPr>
        <w:t>。</w:t>
      </w:r>
    </w:p>
    <w:p>
      <w:pPr>
        <w:spacing w:line="600" w:lineRule="exact"/>
        <w:ind w:firstLine="643" w:firstLineChars="200"/>
        <w:rPr>
          <w:rStyle w:val="15"/>
          <w:rFonts w:hint="default" w:ascii="Times New Roman" w:hAnsi="Times New Roman" w:eastAsia="方正仿宋_GBK" w:cs="Times New Roman"/>
          <w:b w:val="0"/>
          <w:bCs/>
          <w:color w:val="000000"/>
          <w:sz w:val="32"/>
          <w:szCs w:val="32"/>
        </w:rPr>
      </w:pPr>
      <w:r>
        <w:rPr>
          <w:rStyle w:val="15"/>
          <w:rFonts w:hint="eastAsia" w:ascii="仿宋" w:hAnsi="仿宋" w:eastAsia="仿宋"/>
          <w:bCs/>
          <w:color w:val="000000"/>
          <w:sz w:val="32"/>
          <w:szCs w:val="32"/>
          <w:lang w:val="en-US" w:eastAsia="zh-CN"/>
        </w:rPr>
        <w:t>4</w:t>
      </w:r>
      <w:r>
        <w:rPr>
          <w:rStyle w:val="15"/>
          <w:rFonts w:hint="eastAsia" w:ascii="仿宋" w:hAnsi="仿宋" w:eastAsia="仿宋"/>
          <w:bCs/>
          <w:color w:val="000000"/>
          <w:sz w:val="32"/>
          <w:szCs w:val="32"/>
        </w:rPr>
        <w:t>.社会保障和就业（类）行政事业单位离退休（款）机关事业单位</w:t>
      </w:r>
      <w:r>
        <w:rPr>
          <w:rStyle w:val="15"/>
          <w:rFonts w:hint="eastAsia" w:ascii="仿宋" w:hAnsi="仿宋" w:eastAsia="仿宋"/>
          <w:bCs/>
          <w:color w:val="000000"/>
          <w:sz w:val="32"/>
          <w:szCs w:val="32"/>
          <w:lang w:eastAsia="zh-CN"/>
        </w:rPr>
        <w:t>养老保险</w:t>
      </w:r>
      <w:r>
        <w:rPr>
          <w:rStyle w:val="15"/>
          <w:rFonts w:hint="eastAsia" w:ascii="仿宋" w:hAnsi="仿宋" w:eastAsia="仿宋"/>
          <w:bCs/>
          <w:color w:val="000000"/>
          <w:sz w:val="32"/>
          <w:szCs w:val="32"/>
        </w:rPr>
        <w:t>缴费支出（项）</w:t>
      </w:r>
      <w:r>
        <w:rPr>
          <w:rStyle w:val="15"/>
          <w:rFonts w:hint="eastAsia" w:ascii="仿宋" w:hAnsi="仿宋" w:eastAsia="仿宋"/>
          <w:bCs/>
          <w:color w:val="000000"/>
          <w:sz w:val="32"/>
          <w:szCs w:val="32"/>
          <w:lang w:eastAsia="zh-CN"/>
        </w:rPr>
        <w:t>：</w:t>
      </w:r>
      <w:r>
        <w:rPr>
          <w:rStyle w:val="15"/>
          <w:rFonts w:hint="eastAsia" w:ascii="Times New Roman" w:hAnsi="Times New Roman" w:eastAsia="方正仿宋_GBK" w:cs="Times New Roman"/>
          <w:b w:val="0"/>
          <w:bCs/>
          <w:color w:val="000000"/>
          <w:sz w:val="32"/>
          <w:szCs w:val="32"/>
        </w:rPr>
        <w:t>支出决算为</w:t>
      </w:r>
      <w:r>
        <w:rPr>
          <w:rStyle w:val="15"/>
          <w:rFonts w:hint="eastAsia" w:ascii="Times New Roman" w:hAnsi="Times New Roman" w:eastAsia="方正仿宋_GBK" w:cs="Times New Roman"/>
          <w:b w:val="0"/>
          <w:bCs/>
          <w:color w:val="000000"/>
          <w:sz w:val="32"/>
          <w:szCs w:val="32"/>
          <w:lang w:val="en-US" w:eastAsia="zh-CN"/>
        </w:rPr>
        <w:t>0.59</w:t>
      </w:r>
      <w:r>
        <w:rPr>
          <w:rStyle w:val="15"/>
          <w:rFonts w:hint="eastAsia" w:ascii="Times New Roman" w:hAnsi="Times New Roman" w:eastAsia="方正仿宋_GBK" w:cs="Times New Roman"/>
          <w:b w:val="0"/>
          <w:bCs/>
          <w:color w:val="000000"/>
          <w:sz w:val="32"/>
          <w:szCs w:val="32"/>
        </w:rPr>
        <w:t>万元，完成预算100</w:t>
      </w:r>
      <w:r>
        <w:rPr>
          <w:rStyle w:val="15"/>
          <w:rFonts w:hint="default" w:ascii="Times New Roman" w:hAnsi="Times New Roman" w:eastAsia="方正仿宋_GBK" w:cs="Times New Roman"/>
          <w:b w:val="0"/>
          <w:bCs/>
          <w:color w:val="000000"/>
          <w:sz w:val="32"/>
          <w:szCs w:val="32"/>
        </w:rPr>
        <w:t>%</w:t>
      </w:r>
      <w:r>
        <w:rPr>
          <w:rStyle w:val="15"/>
          <w:rFonts w:hint="eastAsia" w:ascii="Times New Roman" w:hAnsi="Times New Roman" w:eastAsia="方正仿宋_GBK" w:cs="Times New Roman"/>
          <w:b w:val="0"/>
          <w:bCs/>
          <w:color w:val="000000"/>
          <w:sz w:val="32"/>
          <w:szCs w:val="32"/>
        </w:rPr>
        <w:t>。</w:t>
      </w:r>
    </w:p>
    <w:p>
      <w:pPr>
        <w:spacing w:line="600" w:lineRule="exact"/>
        <w:ind w:firstLine="643" w:firstLineChars="200"/>
        <w:rPr>
          <w:rStyle w:val="15"/>
          <w:rFonts w:hint="default" w:ascii="Times New Roman" w:hAnsi="Times New Roman" w:eastAsia="方正仿宋_GBK" w:cs="Times New Roman"/>
          <w:b w:val="0"/>
          <w:bCs/>
          <w:color w:val="000000"/>
          <w:sz w:val="32"/>
          <w:szCs w:val="32"/>
        </w:rPr>
      </w:pPr>
      <w:r>
        <w:rPr>
          <w:rStyle w:val="15"/>
          <w:rFonts w:hint="eastAsia" w:ascii="仿宋" w:hAnsi="仿宋" w:eastAsia="仿宋"/>
          <w:bCs/>
          <w:color w:val="000000"/>
          <w:sz w:val="32"/>
          <w:szCs w:val="32"/>
          <w:lang w:val="en-US" w:eastAsia="zh-CN"/>
        </w:rPr>
        <w:t>5</w:t>
      </w:r>
      <w:r>
        <w:rPr>
          <w:rStyle w:val="15"/>
          <w:rFonts w:ascii="仿宋" w:hAnsi="仿宋" w:eastAsia="仿宋"/>
          <w:bCs/>
          <w:color w:val="000000"/>
          <w:sz w:val="32"/>
          <w:szCs w:val="32"/>
        </w:rPr>
        <w:t>.</w:t>
      </w:r>
      <w:r>
        <w:rPr>
          <w:rStyle w:val="15"/>
          <w:rFonts w:hint="eastAsia" w:ascii="仿宋" w:hAnsi="仿宋" w:eastAsia="仿宋"/>
          <w:bCs/>
          <w:color w:val="000000"/>
          <w:sz w:val="32"/>
          <w:szCs w:val="32"/>
          <w:lang w:eastAsia="zh-CN"/>
        </w:rPr>
        <w:t>卫生健康</w:t>
      </w:r>
      <w:r>
        <w:rPr>
          <w:rStyle w:val="15"/>
          <w:rFonts w:hint="eastAsia" w:ascii="仿宋" w:hAnsi="仿宋" w:eastAsia="仿宋"/>
          <w:bCs/>
          <w:color w:val="000000"/>
          <w:sz w:val="32"/>
          <w:szCs w:val="32"/>
        </w:rPr>
        <w:t>（类）行政事业单位医疗（款）</w:t>
      </w:r>
      <w:r>
        <w:rPr>
          <w:rStyle w:val="15"/>
          <w:rFonts w:hint="eastAsia" w:ascii="仿宋" w:hAnsi="仿宋" w:eastAsia="仿宋"/>
          <w:bCs/>
          <w:color w:val="000000"/>
          <w:sz w:val="32"/>
          <w:szCs w:val="32"/>
          <w:lang w:eastAsia="zh-CN"/>
        </w:rPr>
        <w:t>事业</w:t>
      </w:r>
      <w:r>
        <w:rPr>
          <w:rStyle w:val="15"/>
          <w:rFonts w:hint="eastAsia" w:ascii="仿宋" w:hAnsi="仿宋" w:eastAsia="仿宋"/>
          <w:bCs/>
          <w:color w:val="000000"/>
          <w:sz w:val="32"/>
          <w:szCs w:val="32"/>
        </w:rPr>
        <w:t>单位医疗（项）</w:t>
      </w:r>
      <w:r>
        <w:rPr>
          <w:rStyle w:val="15"/>
          <w:rFonts w:ascii="仿宋" w:hAnsi="仿宋" w:eastAsia="仿宋"/>
          <w:bCs/>
          <w:color w:val="000000"/>
          <w:sz w:val="32"/>
          <w:szCs w:val="32"/>
        </w:rPr>
        <w:t>:</w:t>
      </w:r>
      <w:r>
        <w:rPr>
          <w:rStyle w:val="15"/>
          <w:rFonts w:hint="default" w:ascii="Times New Roman" w:hAnsi="Times New Roman" w:eastAsia="方正仿宋_GBK" w:cs="Times New Roman"/>
          <w:b w:val="0"/>
          <w:bCs/>
          <w:color w:val="000000"/>
          <w:sz w:val="32"/>
          <w:szCs w:val="32"/>
        </w:rPr>
        <w:t>支出决算为</w:t>
      </w:r>
      <w:r>
        <w:rPr>
          <w:rStyle w:val="15"/>
          <w:rFonts w:hint="default" w:ascii="Times New Roman" w:hAnsi="Times New Roman" w:eastAsia="方正仿宋_GBK" w:cs="Times New Roman"/>
          <w:b w:val="0"/>
          <w:bCs/>
          <w:color w:val="000000"/>
          <w:sz w:val="32"/>
          <w:szCs w:val="32"/>
          <w:lang w:val="en-US" w:eastAsia="zh-CN"/>
        </w:rPr>
        <w:t>0.67</w:t>
      </w:r>
      <w:r>
        <w:rPr>
          <w:rStyle w:val="15"/>
          <w:rFonts w:hint="default" w:ascii="Times New Roman" w:hAnsi="Times New Roman" w:eastAsia="方正仿宋_GBK" w:cs="Times New Roman"/>
          <w:b w:val="0"/>
          <w:bCs/>
          <w:color w:val="000000"/>
          <w:sz w:val="32"/>
          <w:szCs w:val="32"/>
        </w:rPr>
        <w:t xml:space="preserve">万元，完成预算100%。 </w:t>
      </w:r>
    </w:p>
    <w:p>
      <w:pPr>
        <w:spacing w:line="600" w:lineRule="exact"/>
        <w:ind w:firstLine="640" w:firstLineChars="200"/>
        <w:outlineLvl w:val="2"/>
        <w:rPr>
          <w:rFonts w:hint="eastAsia" w:ascii="方正黑体_GBK" w:hAnsi="方正黑体_GBK" w:eastAsia="方正黑体_GBK" w:cs="方正黑体_GBK"/>
          <w:b w:val="0"/>
          <w:bCs/>
          <w:color w:val="000000"/>
          <w:sz w:val="32"/>
          <w:szCs w:val="32"/>
        </w:rPr>
      </w:pPr>
      <w:r>
        <w:rPr>
          <w:rFonts w:hint="eastAsia" w:ascii="方正黑体_GBK" w:hAnsi="方正黑体_GBK" w:eastAsia="方正黑体_GBK" w:cs="方正黑体_GBK"/>
          <w:b w:val="0"/>
          <w:bCs/>
          <w:color w:val="000000"/>
          <w:sz w:val="32"/>
          <w:szCs w:val="32"/>
        </w:rPr>
        <w:t>六、一般公共预算财政拨款基本支出决算情况说明</w:t>
      </w:r>
      <w:r>
        <w:rPr>
          <w:rFonts w:hint="eastAsia" w:ascii="方正黑体_GBK" w:hAnsi="方正黑体_GBK" w:eastAsia="方正黑体_GBK" w:cs="方正黑体_GBK"/>
          <w:b w:val="0"/>
          <w:bCs/>
          <w:color w:val="000000"/>
          <w:sz w:val="32"/>
          <w:szCs w:val="32"/>
        </w:rPr>
        <w:tab/>
      </w:r>
    </w:p>
    <w:p>
      <w:pPr>
        <w:spacing w:line="600" w:lineRule="exact"/>
        <w:ind w:firstLine="640" w:firstLineChars="200"/>
        <w:rPr>
          <w:rStyle w:val="15"/>
          <w:rFonts w:hint="default" w:ascii="Times New Roman" w:hAnsi="Times New Roman" w:eastAsia="方正仿宋_GBK" w:cs="Times New Roman"/>
          <w:b w:val="0"/>
          <w:bCs/>
          <w:color w:val="000000"/>
          <w:sz w:val="32"/>
          <w:szCs w:val="32"/>
        </w:rPr>
      </w:pPr>
      <w:r>
        <w:rPr>
          <w:rStyle w:val="15"/>
          <w:rFonts w:hint="default" w:ascii="Times New Roman" w:hAnsi="Times New Roman" w:eastAsia="方正仿宋_GBK" w:cs="Times New Roman"/>
          <w:b w:val="0"/>
          <w:bCs/>
          <w:color w:val="000000"/>
          <w:sz w:val="32"/>
          <w:szCs w:val="32"/>
        </w:rPr>
        <w:t>201</w:t>
      </w:r>
      <w:r>
        <w:rPr>
          <w:rStyle w:val="15"/>
          <w:rFonts w:hint="eastAsia" w:ascii="Times New Roman" w:hAnsi="Times New Roman" w:eastAsia="方正仿宋_GBK" w:cs="Times New Roman"/>
          <w:b w:val="0"/>
          <w:bCs/>
          <w:color w:val="000000"/>
          <w:sz w:val="32"/>
          <w:szCs w:val="32"/>
          <w:lang w:val="en-US" w:eastAsia="zh-CN"/>
        </w:rPr>
        <w:t>9</w:t>
      </w:r>
      <w:r>
        <w:rPr>
          <w:rStyle w:val="15"/>
          <w:rFonts w:hint="eastAsia" w:ascii="Times New Roman" w:hAnsi="Times New Roman" w:eastAsia="方正仿宋_GBK" w:cs="Times New Roman"/>
          <w:b w:val="0"/>
          <w:bCs/>
          <w:color w:val="000000"/>
          <w:sz w:val="32"/>
          <w:szCs w:val="32"/>
        </w:rPr>
        <w:t>年一般公共预算财政拨款基本支出</w:t>
      </w:r>
      <w:r>
        <w:rPr>
          <w:rStyle w:val="15"/>
          <w:rFonts w:hint="eastAsia" w:ascii="Times New Roman" w:hAnsi="Times New Roman" w:eastAsia="方正仿宋_GBK" w:cs="Times New Roman"/>
          <w:b w:val="0"/>
          <w:bCs/>
          <w:color w:val="000000"/>
          <w:sz w:val="32"/>
          <w:szCs w:val="32"/>
          <w:lang w:val="en-US" w:eastAsia="zh-CN"/>
        </w:rPr>
        <w:t>56.75</w:t>
      </w:r>
      <w:r>
        <w:rPr>
          <w:rStyle w:val="15"/>
          <w:rFonts w:hint="eastAsia" w:ascii="Times New Roman" w:hAnsi="Times New Roman" w:eastAsia="方正仿宋_GBK" w:cs="Times New Roman"/>
          <w:b w:val="0"/>
          <w:bCs/>
          <w:color w:val="000000"/>
          <w:sz w:val="32"/>
          <w:szCs w:val="32"/>
        </w:rPr>
        <w:t>万元，其中：</w:t>
      </w:r>
    </w:p>
    <w:p>
      <w:pPr>
        <w:spacing w:line="600" w:lineRule="exact"/>
        <w:rPr>
          <w:rFonts w:ascii="仿宋" w:hAnsi="仿宋" w:eastAsia="仿宋"/>
          <w:color w:val="000000"/>
          <w:sz w:val="32"/>
          <w:szCs w:val="32"/>
        </w:rPr>
      </w:pPr>
      <w:r>
        <w:rPr>
          <w:rStyle w:val="15"/>
          <w:rFonts w:hint="eastAsia" w:ascii="Times New Roman" w:hAnsi="Times New Roman" w:eastAsia="方正仿宋_GBK" w:cs="Times New Roman"/>
          <w:b w:val="0"/>
          <w:bCs/>
          <w:color w:val="000000"/>
          <w:sz w:val="32"/>
          <w:szCs w:val="32"/>
        </w:rPr>
        <w:t>人员经费</w:t>
      </w:r>
      <w:r>
        <w:rPr>
          <w:rStyle w:val="15"/>
          <w:rFonts w:hint="eastAsia" w:ascii="Times New Roman" w:hAnsi="Times New Roman" w:eastAsia="方正仿宋_GBK" w:cs="Times New Roman"/>
          <w:b w:val="0"/>
          <w:bCs/>
          <w:color w:val="000000"/>
          <w:sz w:val="32"/>
          <w:szCs w:val="32"/>
          <w:lang w:val="en-US" w:eastAsia="zh-CN"/>
        </w:rPr>
        <w:t>16.14</w:t>
      </w:r>
      <w:r>
        <w:rPr>
          <w:rStyle w:val="15"/>
          <w:rFonts w:hint="eastAsia" w:ascii="Times New Roman" w:hAnsi="Times New Roman" w:eastAsia="方正仿宋_GBK" w:cs="Times New Roman"/>
          <w:b w:val="0"/>
          <w:bCs/>
          <w:color w:val="000000"/>
          <w:sz w:val="32"/>
          <w:szCs w:val="32"/>
        </w:rPr>
        <w:t>万元，主要包括：基本工资</w:t>
      </w:r>
      <w:r>
        <w:rPr>
          <w:rStyle w:val="15"/>
          <w:rFonts w:hint="eastAsia" w:ascii="Times New Roman" w:hAnsi="Times New Roman" w:eastAsia="方正仿宋_GBK" w:cs="Times New Roman"/>
          <w:b w:val="0"/>
          <w:bCs/>
          <w:color w:val="000000"/>
          <w:sz w:val="32"/>
          <w:szCs w:val="32"/>
          <w:lang w:val="en-US" w:eastAsia="zh-CN"/>
        </w:rPr>
        <w:t>3.63</w:t>
      </w:r>
      <w:r>
        <w:rPr>
          <w:rStyle w:val="15"/>
          <w:rFonts w:hint="eastAsia" w:ascii="Times New Roman" w:hAnsi="Times New Roman" w:eastAsia="方正仿宋_GBK" w:cs="Times New Roman"/>
          <w:b w:val="0"/>
          <w:bCs/>
          <w:color w:val="000000"/>
          <w:sz w:val="32"/>
          <w:szCs w:val="32"/>
        </w:rPr>
        <w:t>万元、津贴补贴</w:t>
      </w:r>
      <w:r>
        <w:rPr>
          <w:rStyle w:val="15"/>
          <w:rFonts w:hint="eastAsia" w:ascii="Times New Roman" w:hAnsi="Times New Roman" w:eastAsia="方正仿宋_GBK" w:cs="Times New Roman"/>
          <w:b w:val="0"/>
          <w:bCs/>
          <w:color w:val="000000"/>
          <w:sz w:val="32"/>
          <w:szCs w:val="32"/>
          <w:lang w:val="en-US" w:eastAsia="zh-CN"/>
        </w:rPr>
        <w:t>0.12</w:t>
      </w:r>
      <w:r>
        <w:rPr>
          <w:rStyle w:val="15"/>
          <w:rFonts w:hint="eastAsia" w:ascii="Times New Roman" w:hAnsi="Times New Roman" w:eastAsia="方正仿宋_GBK" w:cs="Times New Roman"/>
          <w:b w:val="0"/>
          <w:bCs/>
          <w:color w:val="000000"/>
          <w:sz w:val="32"/>
          <w:szCs w:val="32"/>
        </w:rPr>
        <w:t>万元、</w:t>
      </w:r>
      <w:r>
        <w:rPr>
          <w:rStyle w:val="15"/>
          <w:rFonts w:hint="eastAsia" w:ascii="Times New Roman" w:hAnsi="Times New Roman" w:eastAsia="方正仿宋_GBK" w:cs="Times New Roman"/>
          <w:b w:val="0"/>
          <w:bCs/>
          <w:color w:val="000000"/>
          <w:sz w:val="32"/>
          <w:szCs w:val="32"/>
          <w:lang w:eastAsia="zh-CN"/>
        </w:rPr>
        <w:t>绩效工资</w:t>
      </w:r>
      <w:r>
        <w:rPr>
          <w:rStyle w:val="15"/>
          <w:rFonts w:hint="eastAsia" w:ascii="Times New Roman" w:hAnsi="Times New Roman" w:eastAsia="方正仿宋_GBK" w:cs="Times New Roman"/>
          <w:b w:val="0"/>
          <w:bCs/>
          <w:color w:val="000000"/>
          <w:sz w:val="32"/>
          <w:szCs w:val="32"/>
          <w:lang w:val="en-US" w:eastAsia="zh-CN"/>
        </w:rPr>
        <w:t>3.13万元、</w:t>
      </w:r>
      <w:r>
        <w:rPr>
          <w:rStyle w:val="15"/>
          <w:rFonts w:hint="eastAsia" w:ascii="Times New Roman" w:hAnsi="Times New Roman" w:eastAsia="方正仿宋_GBK" w:cs="Times New Roman"/>
          <w:b w:val="0"/>
          <w:bCs/>
          <w:color w:val="000000"/>
          <w:sz w:val="32"/>
          <w:szCs w:val="32"/>
        </w:rPr>
        <w:t>伙食补助费</w:t>
      </w:r>
      <w:r>
        <w:rPr>
          <w:rStyle w:val="15"/>
          <w:rFonts w:hint="eastAsia" w:ascii="Times New Roman" w:hAnsi="Times New Roman" w:eastAsia="方正仿宋_GBK" w:cs="Times New Roman"/>
          <w:b w:val="0"/>
          <w:bCs/>
          <w:color w:val="000000"/>
          <w:sz w:val="32"/>
          <w:szCs w:val="32"/>
          <w:lang w:val="en-US" w:eastAsia="zh-CN"/>
        </w:rPr>
        <w:t>4.85</w:t>
      </w:r>
      <w:r>
        <w:rPr>
          <w:rStyle w:val="15"/>
          <w:rFonts w:hint="eastAsia" w:ascii="Times New Roman" w:hAnsi="Times New Roman" w:eastAsia="方正仿宋_GBK" w:cs="Times New Roman"/>
          <w:b w:val="0"/>
          <w:bCs/>
          <w:color w:val="000000"/>
          <w:sz w:val="32"/>
          <w:szCs w:val="32"/>
        </w:rPr>
        <w:t>万元、机关事业单位基本养老保险缴费</w:t>
      </w:r>
      <w:r>
        <w:rPr>
          <w:rStyle w:val="15"/>
          <w:rFonts w:hint="eastAsia" w:ascii="Times New Roman" w:hAnsi="Times New Roman" w:eastAsia="方正仿宋_GBK" w:cs="Times New Roman"/>
          <w:b w:val="0"/>
          <w:bCs/>
          <w:color w:val="000000"/>
          <w:sz w:val="32"/>
          <w:szCs w:val="32"/>
          <w:lang w:val="en-US" w:eastAsia="zh-CN"/>
        </w:rPr>
        <w:t>0.59</w:t>
      </w:r>
      <w:r>
        <w:rPr>
          <w:rStyle w:val="15"/>
          <w:rFonts w:hint="eastAsia" w:ascii="Times New Roman" w:hAnsi="Times New Roman" w:eastAsia="方正仿宋_GBK" w:cs="Times New Roman"/>
          <w:b w:val="0"/>
          <w:bCs/>
          <w:color w:val="000000"/>
          <w:sz w:val="32"/>
          <w:szCs w:val="32"/>
        </w:rPr>
        <w:t>万元、职工基本医疗保险缴费</w:t>
      </w:r>
      <w:r>
        <w:rPr>
          <w:rStyle w:val="15"/>
          <w:rFonts w:hint="eastAsia" w:ascii="Times New Roman" w:hAnsi="Times New Roman" w:eastAsia="方正仿宋_GBK" w:cs="Times New Roman"/>
          <w:b w:val="0"/>
          <w:bCs/>
          <w:color w:val="000000"/>
          <w:sz w:val="32"/>
          <w:szCs w:val="32"/>
          <w:lang w:val="en-US" w:eastAsia="zh-CN"/>
        </w:rPr>
        <w:t>0.67</w:t>
      </w:r>
      <w:r>
        <w:rPr>
          <w:rStyle w:val="15"/>
          <w:rFonts w:hint="eastAsia" w:ascii="Times New Roman" w:hAnsi="Times New Roman" w:eastAsia="方正仿宋_GBK" w:cs="Times New Roman"/>
          <w:b w:val="0"/>
          <w:bCs/>
          <w:color w:val="000000"/>
          <w:sz w:val="32"/>
          <w:szCs w:val="32"/>
        </w:rPr>
        <w:t>万元</w:t>
      </w:r>
      <w:r>
        <w:rPr>
          <w:rStyle w:val="15"/>
          <w:rFonts w:hint="eastAsia" w:ascii="Times New Roman" w:hAnsi="Times New Roman" w:eastAsia="方正仿宋_GBK" w:cs="Times New Roman"/>
          <w:b w:val="0"/>
          <w:bCs/>
          <w:color w:val="000000"/>
          <w:sz w:val="32"/>
          <w:szCs w:val="32"/>
          <w:lang w:eastAsia="zh-CN"/>
        </w:rPr>
        <w:t>、</w:t>
      </w:r>
      <w:r>
        <w:rPr>
          <w:rStyle w:val="15"/>
          <w:rFonts w:hint="eastAsia" w:ascii="Times New Roman" w:hAnsi="Times New Roman" w:eastAsia="方正仿宋_GBK" w:cs="Times New Roman"/>
          <w:b w:val="0"/>
          <w:bCs/>
          <w:color w:val="000000"/>
          <w:sz w:val="32"/>
          <w:szCs w:val="32"/>
        </w:rPr>
        <w:t>其他工资福利支出</w:t>
      </w:r>
      <w:r>
        <w:rPr>
          <w:rStyle w:val="15"/>
          <w:rFonts w:hint="eastAsia" w:ascii="Times New Roman" w:hAnsi="Times New Roman" w:eastAsia="方正仿宋_GBK" w:cs="Times New Roman"/>
          <w:b w:val="0"/>
          <w:bCs/>
          <w:color w:val="000000"/>
          <w:sz w:val="32"/>
          <w:szCs w:val="32"/>
          <w:lang w:val="en-US" w:eastAsia="zh-CN"/>
        </w:rPr>
        <w:t>0.51</w:t>
      </w:r>
      <w:r>
        <w:rPr>
          <w:rStyle w:val="15"/>
          <w:rFonts w:hint="eastAsia" w:ascii="Times New Roman" w:hAnsi="Times New Roman" w:eastAsia="方正仿宋_GBK" w:cs="Times New Roman"/>
          <w:b w:val="0"/>
          <w:bCs/>
          <w:color w:val="000000"/>
          <w:sz w:val="32"/>
          <w:szCs w:val="32"/>
        </w:rPr>
        <w:t>万元、</w:t>
      </w:r>
      <w:r>
        <w:rPr>
          <w:rStyle w:val="15"/>
          <w:rFonts w:hint="eastAsia" w:ascii="Times New Roman" w:hAnsi="Times New Roman" w:eastAsia="方正仿宋_GBK" w:cs="Times New Roman"/>
          <w:b w:val="0"/>
          <w:bCs/>
          <w:color w:val="000000"/>
          <w:sz w:val="32"/>
          <w:szCs w:val="32"/>
          <w:lang w:eastAsia="zh-CN"/>
        </w:rPr>
        <w:t>医疗费</w:t>
      </w:r>
      <w:r>
        <w:rPr>
          <w:rStyle w:val="15"/>
          <w:rFonts w:hint="eastAsia" w:ascii="Times New Roman" w:hAnsi="Times New Roman" w:eastAsia="方正仿宋_GBK" w:cs="Times New Roman"/>
          <w:b w:val="0"/>
          <w:bCs/>
          <w:color w:val="000000"/>
          <w:sz w:val="32"/>
          <w:szCs w:val="32"/>
          <w:lang w:val="en-US" w:eastAsia="zh-CN"/>
        </w:rPr>
        <w:t>0.88万</w:t>
      </w:r>
      <w:r>
        <w:rPr>
          <w:rStyle w:val="15"/>
          <w:rFonts w:hint="eastAsia" w:ascii="Times New Roman" w:hAnsi="Times New Roman" w:eastAsia="方正仿宋_GBK" w:cs="Times New Roman"/>
          <w:b w:val="0"/>
          <w:bCs/>
          <w:color w:val="000000"/>
          <w:sz w:val="32"/>
          <w:szCs w:val="32"/>
        </w:rPr>
        <w:t>、住房公积金</w:t>
      </w:r>
      <w:r>
        <w:rPr>
          <w:rStyle w:val="15"/>
          <w:rFonts w:hint="eastAsia" w:ascii="Times New Roman" w:hAnsi="Times New Roman" w:eastAsia="方正仿宋_GBK" w:cs="Times New Roman"/>
          <w:b w:val="0"/>
          <w:bCs/>
          <w:color w:val="000000"/>
          <w:sz w:val="32"/>
          <w:szCs w:val="32"/>
          <w:lang w:val="en-US" w:eastAsia="zh-CN"/>
        </w:rPr>
        <w:t>1.37</w:t>
      </w:r>
      <w:r>
        <w:rPr>
          <w:rStyle w:val="15"/>
          <w:rFonts w:hint="eastAsia" w:ascii="Times New Roman" w:hAnsi="Times New Roman" w:eastAsia="方正仿宋_GBK" w:cs="Times New Roman"/>
          <w:b w:val="0"/>
          <w:bCs/>
          <w:color w:val="000000"/>
          <w:sz w:val="32"/>
          <w:szCs w:val="32"/>
        </w:rPr>
        <w:t>万元其他对个人和家庭的补助支出等</w:t>
      </w:r>
      <w:r>
        <w:rPr>
          <w:rStyle w:val="15"/>
          <w:rFonts w:hint="eastAsia" w:ascii="Times New Roman" w:hAnsi="Times New Roman" w:eastAsia="方正仿宋_GBK" w:cs="Times New Roman"/>
          <w:b w:val="0"/>
          <w:bCs/>
          <w:color w:val="000000"/>
          <w:sz w:val="32"/>
          <w:szCs w:val="32"/>
          <w:lang w:val="en-US" w:eastAsia="zh-CN"/>
        </w:rPr>
        <w:t>0.4</w:t>
      </w:r>
      <w:r>
        <w:rPr>
          <w:rStyle w:val="15"/>
          <w:rFonts w:hint="eastAsia" w:ascii="Times New Roman" w:hAnsi="Times New Roman" w:eastAsia="方正仿宋_GBK" w:cs="Times New Roman"/>
          <w:b w:val="0"/>
          <w:bCs/>
          <w:color w:val="000000"/>
          <w:sz w:val="32"/>
          <w:szCs w:val="32"/>
        </w:rPr>
        <w:t>万元。</w:t>
      </w:r>
      <w:r>
        <w:rPr>
          <w:rStyle w:val="15"/>
          <w:rFonts w:hint="default" w:ascii="Times New Roman" w:hAnsi="Times New Roman" w:eastAsia="方正仿宋_GBK" w:cs="Times New Roman"/>
          <w:b w:val="0"/>
          <w:bCs/>
          <w:color w:val="000000"/>
          <w:sz w:val="32"/>
          <w:szCs w:val="32"/>
        </w:rPr>
        <w:br w:type="textWrapping"/>
      </w:r>
      <w:r>
        <w:rPr>
          <w:rStyle w:val="15"/>
          <w:rFonts w:hint="eastAsia" w:ascii="Times New Roman" w:hAnsi="Times New Roman" w:eastAsia="方正仿宋_GBK" w:cs="Times New Roman"/>
          <w:b w:val="0"/>
          <w:bCs/>
          <w:color w:val="000000"/>
          <w:sz w:val="32"/>
          <w:szCs w:val="32"/>
        </w:rPr>
        <w:t>　　公用经费</w:t>
      </w:r>
      <w:r>
        <w:rPr>
          <w:rStyle w:val="15"/>
          <w:rFonts w:hint="eastAsia" w:ascii="Times New Roman" w:hAnsi="Times New Roman" w:eastAsia="方正仿宋_GBK" w:cs="Times New Roman"/>
          <w:b w:val="0"/>
          <w:bCs/>
          <w:color w:val="000000"/>
          <w:sz w:val="32"/>
          <w:szCs w:val="32"/>
          <w:lang w:val="en-US" w:eastAsia="zh-CN"/>
        </w:rPr>
        <w:t>2.27</w:t>
      </w:r>
      <w:r>
        <w:rPr>
          <w:rStyle w:val="15"/>
          <w:rFonts w:hint="eastAsia" w:ascii="Times New Roman" w:hAnsi="Times New Roman" w:eastAsia="方正仿宋_GBK" w:cs="Times New Roman"/>
          <w:b w:val="0"/>
          <w:bCs/>
          <w:color w:val="000000"/>
          <w:sz w:val="32"/>
          <w:szCs w:val="32"/>
        </w:rPr>
        <w:t>万元，主要包括：手续费</w:t>
      </w:r>
      <w:r>
        <w:rPr>
          <w:rStyle w:val="15"/>
          <w:rFonts w:hint="eastAsia" w:ascii="Times New Roman" w:hAnsi="Times New Roman" w:eastAsia="方正仿宋_GBK" w:cs="Times New Roman"/>
          <w:b w:val="0"/>
          <w:bCs/>
          <w:color w:val="000000"/>
          <w:sz w:val="32"/>
          <w:szCs w:val="32"/>
          <w:lang w:val="en-US" w:eastAsia="zh-CN"/>
        </w:rPr>
        <w:t>0.01</w:t>
      </w:r>
      <w:r>
        <w:rPr>
          <w:rStyle w:val="15"/>
          <w:rFonts w:hint="eastAsia" w:ascii="Times New Roman" w:hAnsi="Times New Roman" w:eastAsia="方正仿宋_GBK" w:cs="Times New Roman"/>
          <w:b w:val="0"/>
          <w:bCs/>
          <w:color w:val="000000"/>
          <w:sz w:val="32"/>
          <w:szCs w:val="32"/>
        </w:rPr>
        <w:t>万元、水费</w:t>
      </w:r>
      <w:r>
        <w:rPr>
          <w:rStyle w:val="15"/>
          <w:rFonts w:hint="eastAsia" w:ascii="Times New Roman" w:hAnsi="Times New Roman" w:eastAsia="方正仿宋_GBK" w:cs="Times New Roman"/>
          <w:b w:val="0"/>
          <w:bCs/>
          <w:color w:val="000000"/>
          <w:sz w:val="32"/>
          <w:szCs w:val="32"/>
          <w:lang w:val="en-US" w:eastAsia="zh-CN"/>
        </w:rPr>
        <w:t>0.32</w:t>
      </w:r>
      <w:r>
        <w:rPr>
          <w:rStyle w:val="15"/>
          <w:rFonts w:hint="eastAsia" w:ascii="Times New Roman" w:hAnsi="Times New Roman" w:eastAsia="方正仿宋_GBK" w:cs="Times New Roman"/>
          <w:b w:val="0"/>
          <w:bCs/>
          <w:color w:val="000000"/>
          <w:sz w:val="32"/>
          <w:szCs w:val="32"/>
        </w:rPr>
        <w:t>万元、邮电费</w:t>
      </w:r>
      <w:r>
        <w:rPr>
          <w:rStyle w:val="15"/>
          <w:rFonts w:hint="eastAsia" w:ascii="Times New Roman" w:hAnsi="Times New Roman" w:eastAsia="方正仿宋_GBK" w:cs="Times New Roman"/>
          <w:b w:val="0"/>
          <w:bCs/>
          <w:color w:val="000000"/>
          <w:sz w:val="32"/>
          <w:szCs w:val="32"/>
          <w:lang w:val="en-US" w:eastAsia="zh-CN"/>
        </w:rPr>
        <w:t>0.14</w:t>
      </w:r>
      <w:r>
        <w:rPr>
          <w:rStyle w:val="15"/>
          <w:rFonts w:hint="eastAsia" w:ascii="Times New Roman" w:hAnsi="Times New Roman" w:eastAsia="方正仿宋_GBK" w:cs="Times New Roman"/>
          <w:b w:val="0"/>
          <w:bCs/>
          <w:color w:val="000000"/>
          <w:sz w:val="32"/>
          <w:szCs w:val="32"/>
        </w:rPr>
        <w:t>万元、差旅费</w:t>
      </w:r>
      <w:r>
        <w:rPr>
          <w:rStyle w:val="15"/>
          <w:rFonts w:hint="eastAsia" w:ascii="Times New Roman" w:hAnsi="Times New Roman" w:eastAsia="方正仿宋_GBK" w:cs="Times New Roman"/>
          <w:b w:val="0"/>
          <w:bCs/>
          <w:color w:val="000000"/>
          <w:sz w:val="32"/>
          <w:szCs w:val="32"/>
          <w:lang w:val="en-US" w:eastAsia="zh-CN"/>
        </w:rPr>
        <w:t>1.77</w:t>
      </w:r>
      <w:r>
        <w:rPr>
          <w:rStyle w:val="15"/>
          <w:rFonts w:hint="eastAsia" w:ascii="Times New Roman" w:hAnsi="Times New Roman" w:eastAsia="方正仿宋_GBK" w:cs="Times New Roman"/>
          <w:b w:val="0"/>
          <w:bCs/>
          <w:color w:val="000000"/>
          <w:sz w:val="32"/>
          <w:szCs w:val="32"/>
        </w:rPr>
        <w:t>万元、培训费</w:t>
      </w:r>
      <w:r>
        <w:rPr>
          <w:rStyle w:val="15"/>
          <w:rFonts w:hint="eastAsia" w:ascii="Times New Roman" w:hAnsi="Times New Roman" w:eastAsia="方正仿宋_GBK" w:cs="Times New Roman"/>
          <w:b w:val="0"/>
          <w:bCs/>
          <w:color w:val="000000"/>
          <w:sz w:val="32"/>
          <w:szCs w:val="32"/>
          <w:lang w:val="en-US" w:eastAsia="zh-CN"/>
        </w:rPr>
        <w:t>0.02</w:t>
      </w:r>
      <w:r>
        <w:rPr>
          <w:rStyle w:val="15"/>
          <w:rFonts w:hint="eastAsia" w:ascii="Times New Roman" w:hAnsi="Times New Roman" w:eastAsia="方正仿宋_GBK" w:cs="Times New Roman"/>
          <w:b w:val="0"/>
          <w:bCs/>
          <w:color w:val="000000"/>
          <w:sz w:val="32"/>
          <w:szCs w:val="32"/>
        </w:rPr>
        <w:t>万元、公务接待费</w:t>
      </w:r>
      <w:r>
        <w:rPr>
          <w:rStyle w:val="15"/>
          <w:rFonts w:hint="eastAsia" w:ascii="Times New Roman" w:hAnsi="Times New Roman" w:eastAsia="方正仿宋_GBK" w:cs="Times New Roman"/>
          <w:b w:val="0"/>
          <w:bCs/>
          <w:color w:val="000000"/>
          <w:sz w:val="32"/>
          <w:szCs w:val="32"/>
          <w:lang w:val="en-US" w:eastAsia="zh-CN"/>
        </w:rPr>
        <w:t>0.1</w:t>
      </w:r>
      <w:r>
        <w:rPr>
          <w:rStyle w:val="15"/>
          <w:rFonts w:hint="eastAsia" w:ascii="Times New Roman" w:hAnsi="Times New Roman" w:eastAsia="方正仿宋_GBK" w:cs="Times New Roman"/>
          <w:b w:val="0"/>
          <w:bCs/>
          <w:color w:val="000000"/>
          <w:sz w:val="32"/>
          <w:szCs w:val="32"/>
        </w:rPr>
        <w:t>万元、其他商品和服务支出</w:t>
      </w:r>
      <w:r>
        <w:rPr>
          <w:rStyle w:val="15"/>
          <w:rFonts w:hint="eastAsia" w:ascii="Times New Roman" w:hAnsi="Times New Roman" w:eastAsia="方正仿宋_GBK" w:cs="Times New Roman"/>
          <w:b w:val="0"/>
          <w:bCs/>
          <w:color w:val="000000"/>
          <w:sz w:val="32"/>
          <w:szCs w:val="32"/>
          <w:lang w:val="en-US" w:eastAsia="zh-CN"/>
        </w:rPr>
        <w:t>0.23</w:t>
      </w:r>
      <w:r>
        <w:rPr>
          <w:rStyle w:val="15"/>
          <w:rFonts w:hint="eastAsia" w:ascii="Times New Roman" w:hAnsi="Times New Roman" w:eastAsia="方正仿宋_GBK" w:cs="Times New Roman"/>
          <w:b w:val="0"/>
          <w:bCs/>
          <w:color w:val="000000"/>
          <w:sz w:val="32"/>
          <w:szCs w:val="32"/>
        </w:rPr>
        <w:t>万元。</w:t>
      </w:r>
    </w:p>
    <w:p>
      <w:pPr>
        <w:spacing w:line="600" w:lineRule="exact"/>
        <w:ind w:firstLine="640" w:firstLineChars="200"/>
        <w:outlineLvl w:val="2"/>
        <w:rPr>
          <w:rFonts w:hint="eastAsia" w:ascii="方正黑体_GBK" w:hAnsi="方正黑体_GBK" w:eastAsia="方正黑体_GBK" w:cs="方正黑体_GBK"/>
          <w:b w:val="0"/>
          <w:bCs/>
          <w:color w:val="000000"/>
          <w:sz w:val="32"/>
          <w:szCs w:val="32"/>
        </w:rPr>
      </w:pPr>
      <w:r>
        <w:rPr>
          <w:rFonts w:hint="eastAsia" w:ascii="方正黑体_GBK" w:hAnsi="方正黑体_GBK" w:eastAsia="方正黑体_GBK" w:cs="方正黑体_GBK"/>
          <w:b w:val="0"/>
          <w:bCs/>
          <w:color w:val="000000"/>
          <w:sz w:val="32"/>
          <w:szCs w:val="32"/>
        </w:rPr>
        <w:t>七、“三公”经费财政拨款支出决算情况说明</w:t>
      </w:r>
    </w:p>
    <w:p>
      <w:pPr>
        <w:spacing w:line="600" w:lineRule="exact"/>
        <w:ind w:firstLine="640"/>
        <w:outlineLvl w:val="2"/>
        <w:rPr>
          <w:rFonts w:hint="eastAsia" w:ascii="方正楷体_GBK" w:hAnsi="方正楷体_GBK" w:eastAsia="方正楷体_GBK" w:cs="方正楷体_GBK"/>
          <w:b w:val="0"/>
          <w:bCs/>
          <w:color w:val="000000"/>
          <w:sz w:val="32"/>
          <w:szCs w:val="32"/>
        </w:rPr>
      </w:pPr>
      <w:r>
        <w:rPr>
          <w:rFonts w:hint="eastAsia" w:ascii="方正楷体_GBK" w:hAnsi="方正楷体_GBK" w:eastAsia="方正楷体_GBK" w:cs="方正楷体_GBK"/>
          <w:b w:val="0"/>
          <w:bCs/>
          <w:color w:val="000000"/>
          <w:sz w:val="32"/>
          <w:szCs w:val="32"/>
        </w:rPr>
        <w:t>（一）“三公”经费财政拨款支出决算总体情况说明</w:t>
      </w:r>
    </w:p>
    <w:p>
      <w:pPr>
        <w:spacing w:line="600" w:lineRule="exact"/>
        <w:ind w:firstLine="640" w:firstLineChars="200"/>
        <w:rPr>
          <w:rStyle w:val="15"/>
          <w:rFonts w:hint="default" w:ascii="Times New Roman" w:hAnsi="Times New Roman" w:eastAsia="方正仿宋_GBK" w:cs="Times New Roman"/>
          <w:b w:val="0"/>
          <w:bCs/>
          <w:color w:val="000000"/>
          <w:sz w:val="32"/>
          <w:szCs w:val="32"/>
        </w:rPr>
      </w:pPr>
      <w:r>
        <w:rPr>
          <w:rStyle w:val="15"/>
          <w:rFonts w:hint="default" w:ascii="Times New Roman" w:hAnsi="Times New Roman" w:eastAsia="方正仿宋_GBK" w:cs="Times New Roman"/>
          <w:b w:val="0"/>
          <w:bCs/>
          <w:color w:val="000000"/>
          <w:sz w:val="32"/>
          <w:szCs w:val="32"/>
        </w:rPr>
        <w:t>201</w:t>
      </w:r>
      <w:r>
        <w:rPr>
          <w:rStyle w:val="15"/>
          <w:rFonts w:hint="eastAsia" w:ascii="Times New Roman" w:hAnsi="Times New Roman" w:eastAsia="方正仿宋_GBK" w:cs="Times New Roman"/>
          <w:b w:val="0"/>
          <w:bCs/>
          <w:color w:val="000000"/>
          <w:sz w:val="32"/>
          <w:szCs w:val="32"/>
          <w:lang w:val="en-US" w:eastAsia="zh-CN"/>
        </w:rPr>
        <w:t>9</w:t>
      </w:r>
      <w:r>
        <w:rPr>
          <w:rStyle w:val="15"/>
          <w:rFonts w:hint="eastAsia" w:ascii="Times New Roman" w:hAnsi="Times New Roman" w:eastAsia="方正仿宋_GBK" w:cs="Times New Roman"/>
          <w:b w:val="0"/>
          <w:bCs/>
          <w:color w:val="000000"/>
          <w:sz w:val="32"/>
          <w:szCs w:val="32"/>
        </w:rPr>
        <w:t>年“三公”经费财政拨款支出决算为</w:t>
      </w:r>
      <w:r>
        <w:rPr>
          <w:rStyle w:val="15"/>
          <w:rFonts w:hint="eastAsia" w:ascii="Times New Roman" w:hAnsi="Times New Roman" w:eastAsia="方正仿宋_GBK" w:cs="Times New Roman"/>
          <w:b w:val="0"/>
          <w:bCs/>
          <w:color w:val="000000"/>
          <w:sz w:val="32"/>
          <w:szCs w:val="32"/>
          <w:lang w:val="en-US" w:eastAsia="zh-CN"/>
        </w:rPr>
        <w:t>0.01</w:t>
      </w:r>
      <w:r>
        <w:rPr>
          <w:rStyle w:val="15"/>
          <w:rFonts w:hint="eastAsia" w:ascii="Times New Roman" w:hAnsi="Times New Roman" w:eastAsia="方正仿宋_GBK" w:cs="Times New Roman"/>
          <w:b w:val="0"/>
          <w:bCs/>
          <w:color w:val="000000"/>
          <w:sz w:val="32"/>
          <w:szCs w:val="32"/>
        </w:rPr>
        <w:t>万元，完成预算100</w:t>
      </w:r>
      <w:r>
        <w:rPr>
          <w:rStyle w:val="15"/>
          <w:rFonts w:hint="default" w:ascii="Times New Roman" w:hAnsi="Times New Roman" w:eastAsia="方正仿宋_GBK" w:cs="Times New Roman"/>
          <w:b w:val="0"/>
          <w:bCs/>
          <w:color w:val="000000"/>
          <w:sz w:val="32"/>
          <w:szCs w:val="32"/>
        </w:rPr>
        <w:t>%</w:t>
      </w:r>
      <w:r>
        <w:rPr>
          <w:rStyle w:val="15"/>
          <w:rFonts w:hint="eastAsia" w:ascii="Times New Roman" w:hAnsi="Times New Roman" w:eastAsia="方正仿宋_GBK" w:cs="Times New Roman"/>
          <w:b w:val="0"/>
          <w:bCs/>
          <w:color w:val="000000"/>
          <w:sz w:val="32"/>
          <w:szCs w:val="32"/>
        </w:rPr>
        <w:t>。</w:t>
      </w:r>
    </w:p>
    <w:p>
      <w:pPr>
        <w:spacing w:line="600" w:lineRule="exact"/>
        <w:ind w:firstLine="640"/>
        <w:outlineLvl w:val="2"/>
        <w:rPr>
          <w:rFonts w:hint="eastAsia" w:ascii="方正楷体_GBK" w:hAnsi="方正楷体_GBK" w:eastAsia="方正楷体_GBK" w:cs="方正楷体_GBK"/>
          <w:b w:val="0"/>
          <w:bCs/>
          <w:color w:val="000000"/>
          <w:sz w:val="32"/>
          <w:szCs w:val="32"/>
        </w:rPr>
      </w:pPr>
      <w:r>
        <w:rPr>
          <w:rFonts w:hint="eastAsia" w:ascii="方正楷体_GBK" w:hAnsi="方正楷体_GBK" w:eastAsia="方正楷体_GBK" w:cs="方正楷体_GBK"/>
          <w:b w:val="0"/>
          <w:bCs/>
          <w:color w:val="000000"/>
          <w:sz w:val="32"/>
          <w:szCs w:val="32"/>
        </w:rPr>
        <w:t>（二）“三公”经费财政拨款支出决算具体情况说明</w:t>
      </w:r>
    </w:p>
    <w:p>
      <w:pPr>
        <w:spacing w:line="578" w:lineRule="exact"/>
        <w:ind w:firstLine="640" w:firstLineChars="200"/>
        <w:rPr>
          <w:rStyle w:val="15"/>
          <w:rFonts w:hint="eastAsia" w:ascii="Times New Roman" w:hAnsi="Times New Roman" w:eastAsia="方正仿宋_GBK" w:cs="Times New Roman"/>
          <w:b w:val="0"/>
          <w:bCs/>
          <w:color w:val="000000"/>
          <w:sz w:val="32"/>
          <w:szCs w:val="32"/>
        </w:rPr>
      </w:pPr>
      <w:r>
        <w:rPr>
          <w:rStyle w:val="15"/>
          <w:rFonts w:hint="eastAsia" w:ascii="Times New Roman" w:hAnsi="Times New Roman" w:eastAsia="方正仿宋_GBK" w:cs="Times New Roman"/>
          <w:b w:val="0"/>
          <w:bCs/>
          <w:color w:val="000000"/>
          <w:sz w:val="32"/>
          <w:szCs w:val="32"/>
        </w:rPr>
        <w:t>201</w:t>
      </w:r>
      <w:r>
        <w:rPr>
          <w:rStyle w:val="15"/>
          <w:rFonts w:hint="eastAsia" w:ascii="Times New Roman" w:hAnsi="Times New Roman" w:eastAsia="方正仿宋_GBK" w:cs="Times New Roman"/>
          <w:b w:val="0"/>
          <w:bCs/>
          <w:color w:val="000000"/>
          <w:sz w:val="32"/>
          <w:szCs w:val="32"/>
          <w:lang w:val="en-US" w:eastAsia="zh-CN"/>
        </w:rPr>
        <w:t>9</w:t>
      </w:r>
      <w:r>
        <w:rPr>
          <w:rStyle w:val="15"/>
          <w:rFonts w:hint="eastAsia" w:ascii="Times New Roman" w:hAnsi="Times New Roman" w:eastAsia="方正仿宋_GBK" w:cs="Times New Roman"/>
          <w:b w:val="0"/>
          <w:bCs/>
          <w:color w:val="000000"/>
          <w:sz w:val="32"/>
          <w:szCs w:val="32"/>
        </w:rPr>
        <w:t>年度“三公”经费财政拨款支出决算中，公务接待费支出决算</w:t>
      </w:r>
      <w:r>
        <w:rPr>
          <w:rStyle w:val="15"/>
          <w:rFonts w:hint="eastAsia" w:ascii="Times New Roman" w:hAnsi="Times New Roman" w:eastAsia="方正仿宋_GBK" w:cs="Times New Roman"/>
          <w:b w:val="0"/>
          <w:bCs/>
          <w:color w:val="000000"/>
          <w:sz w:val="32"/>
          <w:szCs w:val="32"/>
          <w:lang w:val="en-US" w:eastAsia="zh-CN"/>
        </w:rPr>
        <w:t>0.1</w:t>
      </w:r>
      <w:r>
        <w:rPr>
          <w:rStyle w:val="15"/>
          <w:rFonts w:hint="eastAsia" w:ascii="Times New Roman" w:hAnsi="Times New Roman" w:eastAsia="方正仿宋_GBK" w:cs="Times New Roman"/>
          <w:b w:val="0"/>
          <w:bCs/>
          <w:color w:val="000000"/>
          <w:sz w:val="32"/>
          <w:szCs w:val="32"/>
        </w:rPr>
        <w:t>万元，占100%。具体情况如下：1.公务用车购置及运行维护费支出0万元。2.因公出国费用支出0万元。</w:t>
      </w:r>
      <w:r>
        <w:rPr>
          <w:rStyle w:val="15"/>
          <w:rFonts w:hint="eastAsia" w:ascii="Times New Roman" w:hAnsi="Times New Roman" w:eastAsia="方正仿宋_GBK" w:cs="Times New Roman"/>
          <w:b w:val="0"/>
          <w:bCs/>
          <w:color w:val="000000"/>
          <w:sz w:val="32"/>
          <w:szCs w:val="32"/>
          <w:lang w:val="en-US" w:eastAsia="zh-CN"/>
        </w:rPr>
        <w:t>3.</w:t>
      </w:r>
      <w:r>
        <w:rPr>
          <w:rStyle w:val="15"/>
          <w:rFonts w:hint="eastAsia" w:ascii="Times New Roman" w:hAnsi="Times New Roman" w:eastAsia="方正仿宋_GBK" w:cs="Times New Roman"/>
          <w:b w:val="0"/>
          <w:bCs/>
          <w:color w:val="000000"/>
          <w:sz w:val="32"/>
          <w:szCs w:val="32"/>
        </w:rPr>
        <w:t>公务接待</w:t>
      </w:r>
      <w:r>
        <w:rPr>
          <w:rFonts w:hint="eastAsia" w:ascii="仿宋" w:hAnsi="仿宋" w:eastAsia="仿宋" w:cs="仿宋"/>
          <w:sz w:val="32"/>
          <w:szCs w:val="32"/>
        </w:rPr>
        <w:t>费</w:t>
      </w:r>
      <w:r>
        <w:rPr>
          <w:rStyle w:val="15"/>
          <w:rFonts w:hint="eastAsia" w:ascii="Times New Roman" w:hAnsi="Times New Roman" w:eastAsia="方正仿宋_GBK" w:cs="Times New Roman"/>
          <w:b w:val="0"/>
          <w:bCs/>
          <w:color w:val="000000"/>
          <w:sz w:val="32"/>
          <w:szCs w:val="32"/>
        </w:rPr>
        <w:t>支出</w:t>
      </w:r>
      <w:r>
        <w:rPr>
          <w:rStyle w:val="15"/>
          <w:rFonts w:hint="eastAsia" w:ascii="Times New Roman" w:hAnsi="Times New Roman" w:eastAsia="方正仿宋_GBK" w:cs="Times New Roman"/>
          <w:b w:val="0"/>
          <w:bCs/>
          <w:color w:val="000000"/>
          <w:sz w:val="32"/>
          <w:szCs w:val="32"/>
          <w:lang w:val="en-US" w:eastAsia="zh-CN"/>
        </w:rPr>
        <w:t>0.01</w:t>
      </w:r>
      <w:r>
        <w:rPr>
          <w:rStyle w:val="15"/>
          <w:rFonts w:hint="eastAsia" w:ascii="Times New Roman" w:hAnsi="Times New Roman" w:eastAsia="方正仿宋_GBK" w:cs="Times New Roman"/>
          <w:b w:val="0"/>
          <w:bCs/>
          <w:color w:val="000000"/>
          <w:sz w:val="32"/>
          <w:szCs w:val="32"/>
        </w:rPr>
        <w:t>万元。主要用于执行公务、开展业务活动开支的交通费、住宿费、用餐费等。公务接待费</w:t>
      </w:r>
      <w:r>
        <w:rPr>
          <w:rStyle w:val="15"/>
          <w:rFonts w:hint="eastAsia" w:ascii="Times New Roman" w:hAnsi="Times New Roman" w:eastAsia="方正仿宋_GBK" w:cs="Times New Roman"/>
          <w:b w:val="0"/>
          <w:bCs/>
          <w:color w:val="000000"/>
          <w:sz w:val="32"/>
          <w:szCs w:val="32"/>
          <w:lang w:eastAsia="zh-CN"/>
        </w:rPr>
        <w:t>无上年数据</w:t>
      </w:r>
      <w:r>
        <w:rPr>
          <w:rStyle w:val="15"/>
          <w:rFonts w:hint="eastAsia" w:ascii="Times New Roman" w:hAnsi="Times New Roman" w:eastAsia="方正仿宋_GBK" w:cs="Times New Roman"/>
          <w:b w:val="0"/>
          <w:bCs/>
          <w:color w:val="000000"/>
          <w:sz w:val="32"/>
          <w:szCs w:val="32"/>
        </w:rPr>
        <w:t>。</w:t>
      </w:r>
    </w:p>
    <w:p>
      <w:pPr>
        <w:numPr>
          <w:ilvl w:val="0"/>
          <w:numId w:val="0"/>
        </w:numPr>
        <w:spacing w:line="578" w:lineRule="exact"/>
        <w:rPr>
          <w:rFonts w:hint="eastAsia" w:ascii="仿宋" w:hAnsi="仿宋" w:eastAsia="仿宋" w:cs="仿宋"/>
          <w:sz w:val="32"/>
          <w:szCs w:val="32"/>
        </w:rPr>
      </w:pPr>
      <w:r>
        <w:drawing>
          <wp:anchor distT="0" distB="0" distL="114300" distR="114300" simplePos="0" relativeHeight="251676672" behindDoc="0" locked="0" layoutInCell="1" allowOverlap="1">
            <wp:simplePos x="0" y="0"/>
            <wp:positionH relativeFrom="column">
              <wp:posOffset>604520</wp:posOffset>
            </wp:positionH>
            <wp:positionV relativeFrom="paragraph">
              <wp:posOffset>109220</wp:posOffset>
            </wp:positionV>
            <wp:extent cx="4572000" cy="3209925"/>
            <wp:effectExtent l="4445" t="4445" r="14605" b="5080"/>
            <wp:wrapTopAndBottom/>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outlineLvl w:val="1"/>
        <w:rPr>
          <w:rStyle w:val="26"/>
          <w:rFonts w:hint="eastAsia" w:ascii="方正黑体_GBK" w:hAnsi="方正黑体_GBK" w:eastAsia="方正黑体_GBK" w:cs="方正黑体_GBK"/>
        </w:rPr>
      </w:pPr>
      <w:r>
        <w:rPr>
          <w:rFonts w:hint="eastAsia" w:ascii="方正黑体_GBK" w:hAnsi="方正黑体_GBK" w:eastAsia="方正黑体_GBK" w:cs="方正黑体_GBK"/>
          <w:color w:val="000000"/>
          <w:sz w:val="32"/>
          <w:szCs w:val="32"/>
        </w:rPr>
        <w:t>八、</w:t>
      </w:r>
      <w:r>
        <w:rPr>
          <w:rStyle w:val="26"/>
          <w:rFonts w:hint="eastAsia" w:ascii="方正黑体_GBK" w:hAnsi="方正黑体_GBK" w:eastAsia="方正黑体_GBK" w:cs="方正黑体_GBK"/>
          <w:b w:val="0"/>
        </w:rPr>
        <w:t>政府性基金预算支出决算情况说明</w:t>
      </w:r>
    </w:p>
    <w:p>
      <w:pPr>
        <w:spacing w:line="600" w:lineRule="exact"/>
        <w:ind w:firstLine="640" w:firstLineChars="200"/>
        <w:outlineLvl w:val="1"/>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无</w:t>
      </w:r>
    </w:p>
    <w:p>
      <w:pPr>
        <w:spacing w:line="600" w:lineRule="exact"/>
        <w:ind w:firstLine="640"/>
        <w:outlineLvl w:val="1"/>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九、国有资本经营预算支出决算情况说明</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无</w:t>
      </w:r>
    </w:p>
    <w:bookmarkEnd w:id="12"/>
    <w:bookmarkEnd w:id="13"/>
    <w:p>
      <w:pPr>
        <w:spacing w:line="600" w:lineRule="exact"/>
        <w:ind w:firstLine="640"/>
        <w:outlineLvl w:val="1"/>
        <w:rPr>
          <w:rFonts w:hint="eastAsia" w:ascii="方正黑体_GBK" w:hAnsi="方正黑体_GBK" w:eastAsia="方正黑体_GBK" w:cs="方正黑体_GBK"/>
          <w:color w:val="000000"/>
          <w:sz w:val="32"/>
          <w:szCs w:val="32"/>
        </w:rPr>
      </w:pPr>
      <w:bookmarkStart w:id="14" w:name="_Toc15396612"/>
      <w:bookmarkStart w:id="15" w:name="_Toc15377221"/>
      <w:r>
        <w:rPr>
          <w:rFonts w:hint="eastAsia" w:ascii="方正黑体_GBK" w:hAnsi="方正黑体_GBK" w:eastAsia="方正黑体_GBK" w:cs="方正黑体_GBK"/>
          <w:color w:val="000000"/>
          <w:sz w:val="32"/>
          <w:szCs w:val="32"/>
        </w:rPr>
        <w:t>十、其他重要事项的情况说明</w:t>
      </w:r>
      <w:bookmarkEnd w:id="14"/>
      <w:bookmarkEnd w:id="15"/>
    </w:p>
    <w:p>
      <w:pPr>
        <w:pageBreakBefore w:val="0"/>
        <w:kinsoku/>
        <w:wordWrap/>
        <w:overflowPunct/>
        <w:topLinePunct w:val="0"/>
        <w:bidi w:val="0"/>
        <w:spacing w:line="578" w:lineRule="exact"/>
        <w:ind w:firstLine="640" w:firstLineChars="200"/>
        <w:outlineLvl w:val="2"/>
        <w:rPr>
          <w:rFonts w:hint="eastAsia" w:ascii="方正楷体_GBK" w:hAnsi="方正楷体_GBK" w:eastAsia="方正楷体_GBK" w:cs="方正楷体_GBK"/>
          <w:b w:val="0"/>
          <w:bCs/>
          <w:color w:val="000000"/>
          <w:sz w:val="32"/>
          <w:szCs w:val="32"/>
        </w:rPr>
      </w:pPr>
      <w:bookmarkStart w:id="16" w:name="_Toc15377222"/>
      <w:r>
        <w:rPr>
          <w:rFonts w:hint="eastAsia" w:ascii="方正楷体_GBK" w:hAnsi="方正楷体_GBK" w:eastAsia="方正楷体_GBK" w:cs="方正楷体_GBK"/>
          <w:b w:val="0"/>
          <w:bCs/>
          <w:color w:val="000000"/>
          <w:sz w:val="32"/>
          <w:szCs w:val="32"/>
        </w:rPr>
        <w:t>（一）机关运行经费支出情况</w:t>
      </w:r>
      <w:bookmarkEnd w:id="16"/>
    </w:p>
    <w:p>
      <w:pPr>
        <w:pageBreakBefore w:val="0"/>
        <w:kinsoku/>
        <w:wordWrap/>
        <w:overflowPunct/>
        <w:topLinePunct w:val="0"/>
        <w:bidi w:val="0"/>
        <w:spacing w:line="578" w:lineRule="exact"/>
        <w:ind w:firstLine="640" w:firstLineChars="200"/>
        <w:outlineLvl w:val="1"/>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2019年，达川区达川区农民工服务中心运行经费支出</w:t>
      </w:r>
      <w:r>
        <w:rPr>
          <w:rFonts w:hint="default" w:ascii="Times New Roman" w:hAnsi="Times New Roman" w:eastAsia="方正仿宋_GBK" w:cs="Times New Roman"/>
          <w:color w:val="000000"/>
          <w:sz w:val="32"/>
          <w:szCs w:val="32"/>
          <w:lang w:val="en-US" w:eastAsia="zh-CN"/>
        </w:rPr>
        <w:t>15.78</w:t>
      </w:r>
      <w:r>
        <w:rPr>
          <w:rFonts w:hint="default" w:ascii="Times New Roman" w:hAnsi="Times New Roman" w:eastAsia="方正仿宋_GBK" w:cs="Times New Roman"/>
          <w:color w:val="000000"/>
          <w:sz w:val="32"/>
          <w:szCs w:val="32"/>
          <w:lang w:eastAsia="zh-CN"/>
        </w:rPr>
        <w:t>万元，无上年对比数据。</w:t>
      </w:r>
    </w:p>
    <w:p>
      <w:pPr>
        <w:pageBreakBefore w:val="0"/>
        <w:kinsoku/>
        <w:wordWrap/>
        <w:overflowPunct/>
        <w:topLinePunct w:val="0"/>
        <w:bidi w:val="0"/>
        <w:spacing w:line="578" w:lineRule="exact"/>
        <w:ind w:firstLine="640" w:firstLineChars="200"/>
        <w:outlineLvl w:val="2"/>
        <w:rPr>
          <w:rFonts w:hint="eastAsia" w:ascii="方正楷体_GBK" w:hAnsi="方正楷体_GBK" w:eastAsia="方正楷体_GBK" w:cs="方正楷体_GBK"/>
          <w:b w:val="0"/>
          <w:bCs/>
          <w:color w:val="000000"/>
          <w:sz w:val="32"/>
          <w:szCs w:val="32"/>
        </w:rPr>
      </w:pPr>
      <w:bookmarkStart w:id="17" w:name="_Toc15377223"/>
      <w:r>
        <w:rPr>
          <w:rFonts w:hint="eastAsia" w:ascii="方正楷体_GBK" w:hAnsi="方正楷体_GBK" w:eastAsia="方正楷体_GBK" w:cs="方正楷体_GBK"/>
          <w:b w:val="0"/>
          <w:bCs/>
          <w:color w:val="000000"/>
          <w:sz w:val="32"/>
          <w:szCs w:val="32"/>
        </w:rPr>
        <w:t>（二）政府采购支出情况</w:t>
      </w:r>
      <w:bookmarkEnd w:id="17"/>
    </w:p>
    <w:p>
      <w:pPr>
        <w:pageBreakBefore w:val="0"/>
        <w:kinsoku/>
        <w:wordWrap/>
        <w:overflowPunct/>
        <w:topLinePunct w:val="0"/>
        <w:bidi w:val="0"/>
        <w:spacing w:line="578" w:lineRule="exact"/>
        <w:ind w:firstLine="640" w:firstLineChars="200"/>
        <w:outlineLvl w:val="1"/>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201</w:t>
      </w:r>
      <w:r>
        <w:rPr>
          <w:rFonts w:hint="eastAsia" w:ascii="Times New Roman" w:hAnsi="Times New Roman" w:eastAsia="方正仿宋_GBK" w:cs="Times New Roman"/>
          <w:color w:val="000000"/>
          <w:sz w:val="32"/>
          <w:szCs w:val="32"/>
          <w:lang w:val="en-US" w:eastAsia="zh-CN"/>
        </w:rPr>
        <w:t>9</w:t>
      </w:r>
      <w:r>
        <w:rPr>
          <w:rFonts w:hint="eastAsia" w:ascii="Times New Roman" w:hAnsi="Times New Roman" w:eastAsia="方正仿宋_GBK" w:cs="Times New Roman"/>
          <w:color w:val="000000"/>
          <w:sz w:val="32"/>
          <w:szCs w:val="32"/>
          <w:lang w:eastAsia="zh-CN"/>
        </w:rPr>
        <w:t>年，政府采购支出总额1.67万元，主要用于办公设备购置。</w:t>
      </w:r>
    </w:p>
    <w:p>
      <w:pPr>
        <w:pageBreakBefore w:val="0"/>
        <w:kinsoku/>
        <w:wordWrap/>
        <w:overflowPunct/>
        <w:topLinePunct w:val="0"/>
        <w:bidi w:val="0"/>
        <w:spacing w:line="578" w:lineRule="exact"/>
        <w:ind w:firstLine="640" w:firstLineChars="200"/>
        <w:outlineLvl w:val="2"/>
        <w:rPr>
          <w:rFonts w:hint="eastAsia" w:ascii="方正楷体_GBK" w:hAnsi="方正楷体_GBK" w:eastAsia="方正楷体_GBK" w:cs="方正楷体_GBK"/>
          <w:b w:val="0"/>
          <w:bCs/>
          <w:color w:val="000000"/>
          <w:sz w:val="32"/>
          <w:szCs w:val="32"/>
        </w:rPr>
      </w:pPr>
      <w:bookmarkStart w:id="18" w:name="_Toc15377224"/>
      <w:r>
        <w:rPr>
          <w:rFonts w:hint="eastAsia" w:ascii="方正楷体_GBK" w:hAnsi="方正楷体_GBK" w:eastAsia="方正楷体_GBK" w:cs="方正楷体_GBK"/>
          <w:b w:val="0"/>
          <w:bCs/>
          <w:color w:val="000000"/>
          <w:sz w:val="32"/>
          <w:szCs w:val="32"/>
        </w:rPr>
        <w:t>（三）国有资产占有使用情况</w:t>
      </w:r>
      <w:bookmarkEnd w:id="18"/>
    </w:p>
    <w:p>
      <w:pPr>
        <w:pageBreakBefore w:val="0"/>
        <w:kinsoku/>
        <w:wordWrap/>
        <w:overflowPunct/>
        <w:topLinePunct w:val="0"/>
        <w:bidi w:val="0"/>
        <w:spacing w:line="578" w:lineRule="exact"/>
        <w:ind w:firstLine="640" w:firstLineChars="200"/>
        <w:outlineLvl w:val="1"/>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截至201</w:t>
      </w:r>
      <w:r>
        <w:rPr>
          <w:rFonts w:hint="default"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lang w:eastAsia="zh-CN"/>
        </w:rPr>
        <w:t>年12月31日，区农民工服务中心无共有车辆，无公务车。</w:t>
      </w:r>
    </w:p>
    <w:p>
      <w:pPr>
        <w:pageBreakBefore w:val="0"/>
        <w:kinsoku/>
        <w:wordWrap/>
        <w:overflowPunct/>
        <w:topLinePunct w:val="0"/>
        <w:bidi w:val="0"/>
        <w:spacing w:line="578" w:lineRule="exact"/>
        <w:ind w:firstLine="640" w:firstLineChars="200"/>
        <w:outlineLvl w:val="2"/>
        <w:rPr>
          <w:rFonts w:hint="eastAsia" w:ascii="方正楷体_GBK" w:hAnsi="方正楷体_GBK" w:eastAsia="方正楷体_GBK" w:cs="方正楷体_GBK"/>
          <w:b w:val="0"/>
          <w:bCs/>
          <w:color w:val="000000"/>
          <w:sz w:val="32"/>
          <w:szCs w:val="32"/>
        </w:rPr>
      </w:pPr>
      <w:r>
        <w:rPr>
          <w:rFonts w:hint="eastAsia" w:ascii="方正楷体_GBK" w:hAnsi="方正楷体_GBK" w:eastAsia="方正楷体_GBK" w:cs="方正楷体_GBK"/>
          <w:b w:val="0"/>
          <w:bCs/>
          <w:color w:val="000000"/>
          <w:sz w:val="32"/>
          <w:szCs w:val="32"/>
          <w:lang w:eastAsia="zh-CN"/>
        </w:rPr>
        <w:t>（四）</w:t>
      </w:r>
      <w:r>
        <w:rPr>
          <w:rFonts w:hint="eastAsia" w:ascii="方正楷体_GBK" w:hAnsi="方正楷体_GBK" w:eastAsia="方正楷体_GBK" w:cs="方正楷体_GBK"/>
          <w:b w:val="0"/>
          <w:bCs/>
          <w:color w:val="000000"/>
          <w:sz w:val="32"/>
          <w:szCs w:val="32"/>
        </w:rPr>
        <w:t>预算绩效情况说明</w:t>
      </w:r>
    </w:p>
    <w:p>
      <w:pPr>
        <w:pageBreakBefore w:val="0"/>
        <w:numPr>
          <w:ilvl w:val="0"/>
          <w:numId w:val="0"/>
        </w:numPr>
        <w:kinsoku/>
        <w:wordWrap/>
        <w:overflowPunct/>
        <w:topLinePunct w:val="0"/>
        <w:bidi w:val="0"/>
        <w:spacing w:line="578"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lang w:val="en-US" w:eastAsia="zh-CN"/>
        </w:rPr>
        <w:t xml:space="preserve">1. </w:t>
      </w:r>
      <w:r>
        <w:rPr>
          <w:rFonts w:hint="eastAsia" w:ascii="仿宋" w:hAnsi="仿宋" w:eastAsia="仿宋" w:cs="楷体_GB2312"/>
          <w:b/>
          <w:bCs/>
          <w:sz w:val="32"/>
          <w:szCs w:val="32"/>
        </w:rPr>
        <w:t>预算绩效管理工作开展情况</w:t>
      </w:r>
    </w:p>
    <w:p>
      <w:pPr>
        <w:pageBreakBefore w:val="0"/>
        <w:kinsoku/>
        <w:wordWrap/>
        <w:overflowPunct/>
        <w:topLinePunct w:val="0"/>
        <w:bidi w:val="0"/>
        <w:spacing w:line="578" w:lineRule="exact"/>
        <w:ind w:firstLine="640" w:firstLineChars="200"/>
        <w:outlineLvl w:val="1"/>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根据预算绩效管理要求，四川省达州市达川区农民工服务中心新成立，未编制年初预算。在年初预算编制阶段预计以下改进措施：</w:t>
      </w:r>
      <w:r>
        <w:rPr>
          <w:rFonts w:hint="eastAsia" w:ascii="Times New Roman" w:hAnsi="Times New Roman" w:eastAsia="方正仿宋_GBK" w:cs="Times New Roman"/>
          <w:color w:val="000000"/>
          <w:sz w:val="32"/>
          <w:szCs w:val="32"/>
          <w:lang w:val="zh-CN" w:eastAsia="zh-CN"/>
        </w:rPr>
        <w:t>在以后年度预算绩效申报时，在财务部门的配合下，将全年工作任务细化分解为具体的工作目标，并尽量采取定量的方式制定清晰、可衡量的绩效指标</w:t>
      </w:r>
      <w:r>
        <w:rPr>
          <w:rFonts w:hint="eastAsia" w:ascii="Times New Roman" w:hAnsi="Times New Roman" w:eastAsia="方正仿宋_GBK" w:cs="Times New Roman"/>
          <w:color w:val="000000"/>
          <w:sz w:val="32"/>
          <w:szCs w:val="32"/>
          <w:lang w:val="en-US" w:eastAsia="zh-CN"/>
        </w:rPr>
        <w:t>,注重资金使用的效果</w:t>
      </w:r>
      <w:r>
        <w:rPr>
          <w:rFonts w:hint="eastAsia" w:ascii="Times New Roman" w:hAnsi="Times New Roman" w:eastAsia="方正仿宋_GBK" w:cs="Times New Roman"/>
          <w:color w:val="000000"/>
          <w:sz w:val="32"/>
          <w:szCs w:val="32"/>
          <w:lang w:val="zh-CN" w:eastAsia="zh-CN"/>
        </w:rPr>
        <w:t>。</w:t>
      </w:r>
    </w:p>
    <w:p>
      <w:pPr>
        <w:pageBreakBefore w:val="0"/>
        <w:kinsoku/>
        <w:wordWrap/>
        <w:overflowPunct/>
        <w:topLinePunct w:val="0"/>
        <w:bidi w:val="0"/>
        <w:spacing w:line="578" w:lineRule="exact"/>
        <w:ind w:firstLine="640" w:firstLineChars="200"/>
        <w:outlineLvl w:val="1"/>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本部门按要求对201</w:t>
      </w:r>
      <w:r>
        <w:rPr>
          <w:rFonts w:hint="eastAsia" w:ascii="Times New Roman" w:hAnsi="Times New Roman" w:eastAsia="方正仿宋_GBK" w:cs="Times New Roman"/>
          <w:color w:val="000000"/>
          <w:sz w:val="32"/>
          <w:szCs w:val="32"/>
          <w:lang w:val="en-US" w:eastAsia="zh-CN"/>
        </w:rPr>
        <w:t>9</w:t>
      </w:r>
      <w:r>
        <w:rPr>
          <w:rFonts w:hint="eastAsia" w:ascii="Times New Roman" w:hAnsi="Times New Roman" w:eastAsia="方正仿宋_GBK" w:cs="Times New Roman"/>
          <w:color w:val="000000"/>
          <w:sz w:val="32"/>
          <w:szCs w:val="32"/>
          <w:lang w:eastAsia="zh-CN"/>
        </w:rPr>
        <w:t>年部门整体支出开展绩效自评，从评价情况来看通</w:t>
      </w:r>
      <w:r>
        <w:rPr>
          <w:rFonts w:hint="default" w:ascii="Times New Roman" w:hAnsi="Times New Roman" w:eastAsia="方正仿宋_GBK" w:cs="Times New Roman"/>
          <w:color w:val="000000"/>
          <w:sz w:val="32"/>
          <w:szCs w:val="32"/>
          <w:lang w:eastAsia="zh-CN"/>
        </w:rPr>
        <w:t>过</w:t>
      </w:r>
      <w:r>
        <w:rPr>
          <w:rFonts w:hint="eastAsia" w:ascii="Times New Roman" w:hAnsi="Times New Roman" w:eastAsia="方正仿宋_GBK" w:cs="Times New Roman"/>
          <w:color w:val="000000"/>
          <w:sz w:val="32"/>
          <w:szCs w:val="32"/>
          <w:lang w:eastAsia="zh-CN"/>
        </w:rPr>
        <w:t>以</w:t>
      </w:r>
      <w:r>
        <w:rPr>
          <w:rFonts w:hint="default" w:ascii="Times New Roman" w:hAnsi="Times New Roman" w:eastAsia="方正仿宋_GBK" w:cs="Times New Roman"/>
          <w:color w:val="000000"/>
          <w:sz w:val="32"/>
          <w:szCs w:val="32"/>
          <w:lang w:eastAsia="zh-CN"/>
        </w:rPr>
        <w:t>上经费的保</w:t>
      </w:r>
      <w:r>
        <w:rPr>
          <w:rFonts w:hint="eastAsia" w:ascii="Times New Roman" w:hAnsi="Times New Roman" w:eastAsia="方正仿宋_GBK" w:cs="Times New Roman"/>
          <w:color w:val="000000"/>
          <w:sz w:val="32"/>
          <w:szCs w:val="32"/>
          <w:lang w:eastAsia="zh-CN"/>
        </w:rPr>
        <w:t>障顺</w:t>
      </w:r>
      <w:r>
        <w:rPr>
          <w:rFonts w:hint="default" w:ascii="Times New Roman" w:hAnsi="Times New Roman" w:eastAsia="方正仿宋_GBK" w:cs="Times New Roman"/>
          <w:color w:val="000000"/>
          <w:sz w:val="32"/>
          <w:szCs w:val="32"/>
          <w:lang w:eastAsia="zh-CN"/>
        </w:rPr>
        <w:t>利完</w:t>
      </w:r>
      <w:r>
        <w:rPr>
          <w:rFonts w:hint="eastAsia" w:ascii="Times New Roman" w:hAnsi="Times New Roman" w:eastAsia="方正仿宋_GBK" w:cs="Times New Roman"/>
          <w:color w:val="000000"/>
          <w:sz w:val="32"/>
          <w:szCs w:val="32"/>
          <w:lang w:eastAsia="zh-CN"/>
        </w:rPr>
        <w:t>成</w:t>
      </w:r>
      <w:r>
        <w:rPr>
          <w:rFonts w:hint="default" w:ascii="Times New Roman" w:hAnsi="Times New Roman" w:eastAsia="方正仿宋_GBK" w:cs="Times New Roman"/>
          <w:color w:val="000000"/>
          <w:sz w:val="32"/>
          <w:szCs w:val="32"/>
          <w:lang w:eastAsia="zh-CN"/>
        </w:rPr>
        <w:t>全年既定的目标任务</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充分发挥</w:t>
      </w:r>
      <w:r>
        <w:rPr>
          <w:rFonts w:hint="eastAsia" w:ascii="Times New Roman" w:hAnsi="Times New Roman" w:eastAsia="方正仿宋_GBK" w:cs="Times New Roman"/>
          <w:color w:val="000000"/>
          <w:sz w:val="32"/>
          <w:szCs w:val="32"/>
          <w:lang w:eastAsia="zh-CN"/>
        </w:rPr>
        <w:t>了</w:t>
      </w:r>
      <w:r>
        <w:rPr>
          <w:rFonts w:hint="default" w:ascii="Times New Roman" w:hAnsi="Times New Roman" w:eastAsia="方正仿宋_GBK" w:cs="Times New Roman"/>
          <w:color w:val="000000"/>
          <w:sz w:val="32"/>
          <w:szCs w:val="32"/>
          <w:lang w:eastAsia="zh-CN"/>
        </w:rPr>
        <w:t>综合协调、参谋助手、督促检查、保障服务等职能作用，不断推进</w:t>
      </w:r>
      <w:r>
        <w:rPr>
          <w:rFonts w:hint="eastAsia" w:ascii="Times New Roman" w:hAnsi="Times New Roman" w:eastAsia="方正仿宋_GBK" w:cs="Times New Roman"/>
          <w:color w:val="000000"/>
          <w:sz w:val="32"/>
          <w:szCs w:val="32"/>
          <w:lang w:eastAsia="zh-CN"/>
        </w:rPr>
        <w:t>我中心</w:t>
      </w:r>
      <w:r>
        <w:rPr>
          <w:rFonts w:hint="default" w:ascii="Times New Roman" w:hAnsi="Times New Roman" w:eastAsia="方正仿宋_GBK" w:cs="Times New Roman"/>
          <w:color w:val="000000"/>
          <w:sz w:val="32"/>
          <w:szCs w:val="32"/>
          <w:lang w:eastAsia="zh-CN"/>
        </w:rPr>
        <w:t>整体工作再上新台阶。</w:t>
      </w:r>
    </w:p>
    <w:p>
      <w:pPr>
        <w:pageBreakBefore w:val="0"/>
        <w:kinsoku/>
        <w:wordWrap/>
        <w:overflowPunct/>
        <w:topLinePunct w:val="0"/>
        <w:bidi w:val="0"/>
        <w:spacing w:line="578" w:lineRule="exact"/>
        <w:ind w:firstLine="640" w:firstLineChars="200"/>
        <w:outlineLvl w:val="1"/>
        <w:rPr>
          <w:rFonts w:hint="eastAsia" w:ascii="仿宋" w:hAnsi="仿宋" w:eastAsia="仿宋"/>
          <w:sz w:val="32"/>
          <w:szCs w:val="32"/>
          <w:lang w:val="en-US" w:eastAsia="zh-CN"/>
        </w:rPr>
      </w:pPr>
      <w:r>
        <w:rPr>
          <w:rFonts w:hint="eastAsia" w:eastAsia="方正仿宋_GBK" w:cs="Times New Roman"/>
          <w:color w:val="000000"/>
          <w:sz w:val="32"/>
          <w:szCs w:val="32"/>
          <w:lang w:val="en-US" w:eastAsia="zh-CN"/>
        </w:rPr>
        <w:t xml:space="preserve">2. </w:t>
      </w:r>
      <w:r>
        <w:rPr>
          <w:rFonts w:hint="eastAsia" w:ascii="仿宋" w:hAnsi="仿宋" w:eastAsia="仿宋" w:cs="楷体_GB2312"/>
          <w:b/>
          <w:bCs/>
          <w:sz w:val="32"/>
          <w:szCs w:val="32"/>
        </w:rPr>
        <w:t>项目绩效目标完成情况</w:t>
      </w:r>
    </w:p>
    <w:p>
      <w:pPr>
        <w:pageBreakBefore w:val="0"/>
        <w:numPr>
          <w:ilvl w:val="0"/>
          <w:numId w:val="0"/>
        </w:numPr>
        <w:kinsoku/>
        <w:wordWrap/>
        <w:overflowPunct/>
        <w:topLinePunct w:val="0"/>
        <w:bidi w:val="0"/>
        <w:spacing w:line="578" w:lineRule="exact"/>
        <w:ind w:firstLine="640" w:firstLineChars="200"/>
        <w:rPr>
          <w:rFonts w:hint="eastAsia" w:ascii="仿宋" w:hAnsi="仿宋" w:eastAsia="仿宋"/>
          <w:sz w:val="32"/>
          <w:szCs w:val="32"/>
          <w:lang w:val="en-US" w:eastAsia="zh-CN"/>
        </w:rPr>
      </w:pP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本部门在2019年度部门决算中反应了“一般行政管理事务”一个项目。是为我单位拨付的开办费用。</w:t>
      </w:r>
    </w:p>
    <w:p>
      <w:pPr>
        <w:pageBreakBefore w:val="0"/>
        <w:kinsoku/>
        <w:wordWrap/>
        <w:overflowPunct/>
        <w:topLinePunct w:val="0"/>
        <w:bidi w:val="0"/>
        <w:spacing w:line="578" w:lineRule="exact"/>
        <w:ind w:firstLine="640" w:firstLineChars="200"/>
        <w:outlineLvl w:val="1"/>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（2）项目完成情况综述。项目全年预算数75万元，执行数38.34万元。完成了预算的51%。通项目实施，促进了中心建设的落实。</w:t>
      </w:r>
    </w:p>
    <w:tbl>
      <w:tblPr>
        <w:tblStyle w:val="13"/>
        <w:tblpPr w:leftFromText="180" w:rightFromText="180" w:vertAnchor="text" w:horzAnchor="page" w:tblpXSpec="center" w:tblpY="423"/>
        <w:tblOverlap w:val="never"/>
        <w:tblW w:w="10015" w:type="dxa"/>
        <w:tblInd w:w="-55" w:type="dxa"/>
        <w:tblLayout w:type="fixed"/>
        <w:tblCellMar>
          <w:top w:w="0" w:type="dxa"/>
          <w:left w:w="0" w:type="dxa"/>
          <w:bottom w:w="0" w:type="dxa"/>
          <w:right w:w="0" w:type="dxa"/>
        </w:tblCellMar>
      </w:tblPr>
      <w:tblGrid>
        <w:gridCol w:w="445"/>
        <w:gridCol w:w="1367"/>
        <w:gridCol w:w="1025"/>
        <w:gridCol w:w="2392"/>
        <w:gridCol w:w="2481"/>
        <w:gridCol w:w="2305"/>
      </w:tblGrid>
      <w:tr>
        <w:tblPrEx>
          <w:tblCellMar>
            <w:top w:w="0" w:type="dxa"/>
            <w:left w:w="0" w:type="dxa"/>
            <w:bottom w:w="0" w:type="dxa"/>
            <w:right w:w="0" w:type="dxa"/>
          </w:tblCellMar>
        </w:tblPrEx>
        <w:trPr>
          <w:trHeight w:val="1034" w:hRule="atLeast"/>
        </w:trPr>
        <w:tc>
          <w:tcPr>
            <w:tcW w:w="10015" w:type="dxa"/>
            <w:gridSpan w:val="6"/>
            <w:tcMar>
              <w:top w:w="15" w:type="dxa"/>
              <w:left w:w="15" w:type="dxa"/>
              <w:bottom w:w="0" w:type="dxa"/>
              <w:right w:w="15" w:type="dxa"/>
            </w:tcMar>
            <w:vAlign w:val="center"/>
          </w:tcPr>
          <w:p>
            <w:pPr>
              <w:pStyle w:val="30"/>
              <w:pageBreakBefore w:val="0"/>
              <w:widowControl/>
              <w:kinsoku/>
              <w:wordWrap/>
              <w:overflowPunct/>
              <w:topLinePunct w:val="0"/>
              <w:bidi w:val="0"/>
              <w:spacing w:line="578" w:lineRule="exact"/>
              <w:ind w:left="0" w:leftChars="0" w:firstLine="0" w:firstLineChars="0"/>
              <w:jc w:val="center"/>
              <w:textAlignment w:val="center"/>
              <w:rPr>
                <w:rFonts w:hint="default" w:ascii="Times New Roman" w:hAnsi="Times New Roman" w:cs="Times New Roman"/>
                <w:color w:val="auto"/>
                <w:kern w:val="0"/>
                <w:sz w:val="36"/>
                <w:szCs w:val="36"/>
              </w:rPr>
            </w:pPr>
            <w:r>
              <w:rPr>
                <w:rFonts w:hint="default" w:ascii="Times New Roman" w:hAnsi="Times New Roman" w:eastAsia="黑体" w:cs="Times New Roman"/>
                <w:bCs/>
                <w:color w:val="auto"/>
                <w:kern w:val="0"/>
                <w:sz w:val="36"/>
                <w:szCs w:val="36"/>
              </w:rPr>
              <w:t>项目支出绩效目标完成情况表</w:t>
            </w:r>
            <w:r>
              <w:rPr>
                <w:rFonts w:hint="eastAsia" w:eastAsia="黑体" w:cs="Times New Roman"/>
                <w:color w:val="auto"/>
                <w:kern w:val="0"/>
                <w:sz w:val="36"/>
                <w:szCs w:val="36"/>
                <w:lang w:eastAsia="zh-CN"/>
              </w:rPr>
              <w:t>（</w:t>
            </w:r>
            <w:r>
              <w:rPr>
                <w:rFonts w:hint="default" w:ascii="Times New Roman" w:hAnsi="Times New Roman" w:cs="Times New Roman"/>
                <w:color w:val="auto"/>
                <w:kern w:val="0"/>
                <w:sz w:val="36"/>
                <w:szCs w:val="36"/>
              </w:rPr>
              <w:t>201</w:t>
            </w:r>
            <w:r>
              <w:rPr>
                <w:rFonts w:hint="default" w:ascii="Times New Roman" w:hAnsi="Times New Roman" w:cs="Times New Roman"/>
                <w:color w:val="auto"/>
                <w:kern w:val="0"/>
                <w:sz w:val="36"/>
                <w:szCs w:val="36"/>
                <w:lang w:val="en-US" w:eastAsia="zh-CN"/>
              </w:rPr>
              <w:t>9</w:t>
            </w:r>
            <w:r>
              <w:rPr>
                <w:rFonts w:hint="default" w:ascii="Times New Roman" w:hAnsi="Times New Roman" w:cs="Times New Roman"/>
                <w:color w:val="auto"/>
                <w:kern w:val="0"/>
                <w:sz w:val="36"/>
                <w:szCs w:val="36"/>
              </w:rPr>
              <w:t>年度</w:t>
            </w:r>
            <w:r>
              <w:rPr>
                <w:rFonts w:hint="eastAsia" w:eastAsia="黑体" w:cs="Times New Roman"/>
                <w:color w:val="auto"/>
                <w:kern w:val="0"/>
                <w:sz w:val="36"/>
                <w:szCs w:val="36"/>
                <w:lang w:eastAsia="zh-CN"/>
              </w:rPr>
              <w:t>）</w:t>
            </w:r>
          </w:p>
          <w:p>
            <w:pPr>
              <w:pStyle w:val="30"/>
              <w:pageBreakBefore w:val="0"/>
              <w:widowControl/>
              <w:kinsoku/>
              <w:wordWrap/>
              <w:overflowPunct/>
              <w:topLinePunct w:val="0"/>
              <w:bidi w:val="0"/>
              <w:spacing w:line="578" w:lineRule="exact"/>
              <w:ind w:left="0" w:leftChars="0" w:firstLine="0" w:firstLineChars="0"/>
              <w:jc w:val="center"/>
              <w:textAlignment w:val="center"/>
              <w:rPr>
                <w:rFonts w:hint="default" w:ascii="Times New Roman" w:hAnsi="Times New Roman" w:cs="Times New Roman"/>
                <w:color w:val="auto"/>
                <w:sz w:val="36"/>
                <w:szCs w:val="36"/>
              </w:rPr>
            </w:pPr>
            <w:r>
              <w:rPr>
                <w:rFonts w:hint="default" w:ascii="Times New Roman" w:hAnsi="Times New Roman" w:eastAsia="方正仿宋_GBK" w:cs="Times New Roman"/>
                <w:color w:val="auto"/>
                <w:sz w:val="24"/>
                <w:szCs w:val="24"/>
                <w:lang w:val="en-US" w:eastAsia="zh-CN"/>
              </w:rPr>
              <w:t>一般行政管理事务（</w:t>
            </w:r>
            <w:r>
              <w:rPr>
                <w:rFonts w:hint="default" w:ascii="Times New Roman" w:hAnsi="Times New Roman" w:eastAsia="方正仿宋_GBK" w:cs="Times New Roman"/>
                <w:i w:val="0"/>
                <w:caps w:val="0"/>
                <w:color w:val="auto"/>
                <w:spacing w:val="0"/>
                <w:sz w:val="24"/>
                <w:szCs w:val="24"/>
                <w:shd w:val="clear" w:fill="FFFFFF"/>
                <w:lang w:eastAsia="zh-CN"/>
              </w:rPr>
              <w:t>开办费用</w:t>
            </w:r>
            <w:r>
              <w:rPr>
                <w:rFonts w:hint="default" w:ascii="Times New Roman" w:hAnsi="Times New Roman" w:eastAsia="方正仿宋_GBK" w:cs="Times New Roman"/>
                <w:color w:val="auto"/>
                <w:sz w:val="24"/>
                <w:szCs w:val="24"/>
                <w:lang w:val="en-US" w:eastAsia="zh-CN"/>
              </w:rPr>
              <w:t>）</w:t>
            </w:r>
          </w:p>
        </w:tc>
      </w:tr>
      <w:tr>
        <w:tblPrEx>
          <w:tblCellMar>
            <w:top w:w="0" w:type="dxa"/>
            <w:left w:w="0" w:type="dxa"/>
            <w:bottom w:w="0" w:type="dxa"/>
            <w:right w:w="0" w:type="dxa"/>
          </w:tblCellMar>
        </w:tblPrEx>
        <w:trPr>
          <w:trHeight w:val="276" w:hRule="atLeast"/>
        </w:trPr>
        <w:tc>
          <w:tcPr>
            <w:tcW w:w="283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right="0" w:rightChars="0"/>
              <w:jc w:val="center"/>
              <w:textAlignment w:val="center"/>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一般行政管理事务（</w:t>
            </w:r>
            <w:r>
              <w:rPr>
                <w:rFonts w:hint="default" w:ascii="Times New Roman" w:hAnsi="Times New Roman" w:eastAsia="方正仿宋_GBK" w:cs="Times New Roman"/>
                <w:i w:val="0"/>
                <w:caps w:val="0"/>
                <w:color w:val="auto"/>
                <w:spacing w:val="0"/>
                <w:sz w:val="24"/>
                <w:szCs w:val="24"/>
                <w:shd w:val="clear" w:fill="FFFFFF"/>
                <w:lang w:eastAsia="zh-CN"/>
              </w:rPr>
              <w:t>开办费用</w:t>
            </w:r>
            <w:r>
              <w:rPr>
                <w:rFonts w:hint="default" w:ascii="Times New Roman" w:hAnsi="Times New Roman" w:eastAsia="方正仿宋_GBK" w:cs="Times New Roman"/>
                <w:color w:val="auto"/>
                <w:sz w:val="24"/>
                <w:szCs w:val="24"/>
                <w:lang w:val="en-US" w:eastAsia="zh-CN"/>
              </w:rPr>
              <w:t>）</w:t>
            </w:r>
          </w:p>
        </w:tc>
      </w:tr>
      <w:tr>
        <w:tblPrEx>
          <w:tblCellMar>
            <w:top w:w="0" w:type="dxa"/>
            <w:left w:w="0" w:type="dxa"/>
            <w:bottom w:w="0" w:type="dxa"/>
            <w:right w:w="0" w:type="dxa"/>
          </w:tblCellMar>
        </w:tblPrEx>
        <w:trPr>
          <w:trHeight w:val="390" w:hRule="atLeast"/>
        </w:trPr>
        <w:tc>
          <w:tcPr>
            <w:tcW w:w="283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right="0" w:rightChars="0"/>
              <w:jc w:val="center"/>
              <w:textAlignment w:val="center"/>
              <w:outlineLvl w:val="9"/>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rPr>
              <w:t>四川省达州市达川区</w:t>
            </w:r>
            <w:r>
              <w:rPr>
                <w:rFonts w:hint="default" w:ascii="Times New Roman" w:hAnsi="Times New Roman" w:eastAsia="方正仿宋_GBK" w:cs="Times New Roman"/>
                <w:color w:val="auto"/>
                <w:sz w:val="24"/>
                <w:szCs w:val="24"/>
                <w:lang w:eastAsia="zh-CN"/>
              </w:rPr>
              <w:t>农民工服务中心</w:t>
            </w:r>
          </w:p>
        </w:tc>
      </w:tr>
      <w:tr>
        <w:tblPrEx>
          <w:tblCellMar>
            <w:top w:w="0" w:type="dxa"/>
            <w:left w:w="0" w:type="dxa"/>
            <w:bottom w:w="0" w:type="dxa"/>
            <w:right w:w="0" w:type="dxa"/>
          </w:tblCellMar>
        </w:tblPrEx>
        <w:trPr>
          <w:trHeight w:val="276" w:hRule="atLeast"/>
        </w:trPr>
        <w:tc>
          <w:tcPr>
            <w:tcW w:w="4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75</w:t>
            </w:r>
            <w:r>
              <w:rPr>
                <w:rFonts w:hint="default" w:ascii="Times New Roman" w:hAnsi="Times New Roman" w:eastAsia="方正仿宋_GBK" w:cs="Times New Roman"/>
                <w:color w:val="auto"/>
                <w:sz w:val="24"/>
                <w:szCs w:val="24"/>
              </w:rPr>
              <w:t>万元</w:t>
            </w:r>
          </w:p>
        </w:tc>
        <w:tc>
          <w:tcPr>
            <w:tcW w:w="24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执行数:</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38.34</w:t>
            </w:r>
            <w:r>
              <w:rPr>
                <w:rFonts w:hint="default" w:ascii="Times New Roman" w:hAnsi="Times New Roman" w:eastAsia="方正仿宋_GBK" w:cs="Times New Roman"/>
                <w:color w:val="auto"/>
                <w:sz w:val="24"/>
                <w:szCs w:val="24"/>
              </w:rPr>
              <w:t>万元</w:t>
            </w:r>
          </w:p>
        </w:tc>
      </w:tr>
      <w:tr>
        <w:tblPrEx>
          <w:tblCellMar>
            <w:top w:w="0" w:type="dxa"/>
            <w:left w:w="0" w:type="dxa"/>
            <w:bottom w:w="0" w:type="dxa"/>
            <w:right w:w="0" w:type="dxa"/>
          </w:tblCellMar>
        </w:tblPrEx>
        <w:trPr>
          <w:trHeight w:val="276" w:hRule="atLeast"/>
        </w:trPr>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left"/>
              <w:outlineLvl w:val="9"/>
              <w:rPr>
                <w:rFonts w:hint="default" w:ascii="Times New Roman" w:hAnsi="Times New Roman" w:eastAsia="方正仿宋_GBK" w:cs="Times New Roman"/>
                <w:color w:val="auto"/>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75</w:t>
            </w:r>
            <w:r>
              <w:rPr>
                <w:rFonts w:hint="default" w:ascii="Times New Roman" w:hAnsi="Times New Roman" w:eastAsia="方正仿宋_GBK" w:cs="Times New Roman"/>
                <w:color w:val="auto"/>
                <w:sz w:val="24"/>
                <w:szCs w:val="24"/>
              </w:rPr>
              <w:t>万元</w:t>
            </w:r>
          </w:p>
        </w:tc>
        <w:tc>
          <w:tcPr>
            <w:tcW w:w="24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其中-财政拨款:</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75</w:t>
            </w:r>
            <w:r>
              <w:rPr>
                <w:rFonts w:hint="default" w:ascii="Times New Roman" w:hAnsi="Times New Roman" w:eastAsia="方正仿宋_GBK" w:cs="Times New Roman"/>
                <w:color w:val="auto"/>
                <w:sz w:val="24"/>
                <w:szCs w:val="24"/>
              </w:rPr>
              <w:t>万元</w:t>
            </w:r>
          </w:p>
        </w:tc>
      </w:tr>
      <w:tr>
        <w:tblPrEx>
          <w:tblCellMar>
            <w:top w:w="0" w:type="dxa"/>
            <w:left w:w="0" w:type="dxa"/>
            <w:bottom w:w="0" w:type="dxa"/>
            <w:right w:w="0" w:type="dxa"/>
          </w:tblCellMar>
        </w:tblPrEx>
        <w:trPr>
          <w:trHeight w:val="3678" w:hRule="atLeast"/>
        </w:trPr>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left"/>
              <w:outlineLvl w:val="9"/>
              <w:rPr>
                <w:rFonts w:hint="default" w:ascii="Times New Roman" w:hAnsi="Times New Roman" w:eastAsia="方正仿宋_GBK" w:cs="Times New Roman"/>
                <w:color w:val="auto"/>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kern w:val="0"/>
                <w:sz w:val="24"/>
                <w:szCs w:val="24"/>
                <w:lang w:val="en-US" w:eastAsia="zh-CN"/>
              </w:rPr>
              <w:t>0</w:t>
            </w:r>
          </w:p>
        </w:tc>
        <w:tc>
          <w:tcPr>
            <w:tcW w:w="24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其它资金:</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0</w:t>
            </w:r>
          </w:p>
        </w:tc>
      </w:tr>
      <w:tr>
        <w:tblPrEx>
          <w:tblCellMar>
            <w:top w:w="0" w:type="dxa"/>
            <w:left w:w="0" w:type="dxa"/>
            <w:bottom w:w="0" w:type="dxa"/>
            <w:right w:w="0" w:type="dxa"/>
          </w:tblCellMar>
        </w:tblPrEx>
        <w:trPr>
          <w:trHeight w:val="276" w:hRule="atLeast"/>
        </w:trPr>
        <w:tc>
          <w:tcPr>
            <w:tcW w:w="4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实际完成目标</w:t>
            </w:r>
          </w:p>
        </w:tc>
      </w:tr>
      <w:tr>
        <w:tblPrEx>
          <w:tblCellMar>
            <w:top w:w="0" w:type="dxa"/>
            <w:left w:w="0" w:type="dxa"/>
            <w:bottom w:w="0" w:type="dxa"/>
            <w:right w:w="0" w:type="dxa"/>
          </w:tblCellMar>
        </w:tblPrEx>
        <w:trPr>
          <w:trHeight w:val="1159" w:hRule="atLeast"/>
        </w:trPr>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left"/>
              <w:outlineLvl w:val="9"/>
              <w:rPr>
                <w:rFonts w:hint="default" w:ascii="Times New Roman" w:hAnsi="Times New Roman" w:eastAsia="方正仿宋_GBK" w:cs="Times New Roman"/>
                <w:color w:val="auto"/>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i w:val="0"/>
                <w:caps w:val="0"/>
                <w:color w:val="auto"/>
                <w:spacing w:val="0"/>
                <w:sz w:val="24"/>
                <w:szCs w:val="24"/>
                <w:shd w:val="clear" w:fill="FFFFFF"/>
                <w:lang w:eastAsia="zh-CN"/>
              </w:rPr>
              <w:t>建成达川区农民工服务中心并正常运转。</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i w:val="0"/>
                <w:caps w:val="0"/>
                <w:color w:val="auto"/>
                <w:spacing w:val="0"/>
                <w:sz w:val="24"/>
                <w:szCs w:val="24"/>
                <w:shd w:val="clear" w:fill="FFFFFF"/>
                <w:lang w:eastAsia="zh-CN"/>
              </w:rPr>
              <w:t>建成达川区农民工服务中心并正常运转。</w:t>
            </w:r>
          </w:p>
        </w:tc>
      </w:tr>
      <w:tr>
        <w:tblPrEx>
          <w:tblCellMar>
            <w:top w:w="0" w:type="dxa"/>
            <w:left w:w="0" w:type="dxa"/>
            <w:bottom w:w="0" w:type="dxa"/>
            <w:right w:w="0" w:type="dxa"/>
          </w:tblCellMar>
        </w:tblPrEx>
        <w:trPr>
          <w:trHeight w:val="1042" w:hRule="atLeast"/>
        </w:trPr>
        <w:tc>
          <w:tcPr>
            <w:tcW w:w="4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三级指标</w:t>
            </w:r>
          </w:p>
        </w:tc>
        <w:tc>
          <w:tcPr>
            <w:tcW w:w="24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预期指标值(包含数字及文字描述)</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实际完成指标值(包含数字及文字描述)</w:t>
            </w:r>
          </w:p>
        </w:tc>
      </w:tr>
      <w:tr>
        <w:tblPrEx>
          <w:tblCellMar>
            <w:top w:w="0" w:type="dxa"/>
            <w:left w:w="0" w:type="dxa"/>
            <w:bottom w:w="0" w:type="dxa"/>
            <w:right w:w="0" w:type="dxa"/>
          </w:tblCellMar>
        </w:tblPrEx>
        <w:trPr>
          <w:trHeight w:val="1297" w:hRule="atLeast"/>
        </w:trPr>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left"/>
              <w:outlineLvl w:val="9"/>
              <w:rPr>
                <w:rFonts w:hint="default" w:ascii="Times New Roman" w:hAnsi="Times New Roman" w:eastAsia="方正仿宋_GBK" w:cs="Times New Roman"/>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进度、完成率</w:t>
            </w:r>
          </w:p>
        </w:tc>
        <w:tc>
          <w:tcPr>
            <w:tcW w:w="24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100</w:t>
            </w:r>
            <w:r>
              <w:rPr>
                <w:rFonts w:hint="default" w:ascii="Times New Roman" w:hAnsi="Times New Roman" w:eastAsia="方正仿宋_GBK" w:cs="Times New Roman"/>
                <w:color w:val="auto"/>
                <w:sz w:val="24"/>
                <w:szCs w:val="24"/>
              </w:rPr>
              <w:t>%</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51</w:t>
            </w:r>
            <w:r>
              <w:rPr>
                <w:rFonts w:hint="default" w:ascii="Times New Roman" w:hAnsi="Times New Roman" w:eastAsia="方正仿宋_GBK" w:cs="Times New Roman"/>
                <w:color w:val="auto"/>
                <w:sz w:val="24"/>
                <w:szCs w:val="24"/>
              </w:rPr>
              <w:t>%</w:t>
            </w:r>
          </w:p>
        </w:tc>
      </w:tr>
      <w:tr>
        <w:tblPrEx>
          <w:tblCellMar>
            <w:top w:w="0" w:type="dxa"/>
            <w:left w:w="0" w:type="dxa"/>
            <w:bottom w:w="0" w:type="dxa"/>
            <w:right w:w="0" w:type="dxa"/>
          </w:tblCellMar>
        </w:tblPrEx>
        <w:trPr>
          <w:trHeight w:val="1716" w:hRule="atLeast"/>
        </w:trPr>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left"/>
              <w:outlineLvl w:val="9"/>
              <w:rPr>
                <w:rFonts w:hint="default" w:ascii="Times New Roman" w:hAnsi="Times New Roman" w:eastAsia="方正仿宋_GBK" w:cs="Times New Roman"/>
                <w:color w:val="auto"/>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rPr>
              <w:t>201</w:t>
            </w:r>
            <w:r>
              <w:rPr>
                <w:rFonts w:hint="default" w:ascii="Times New Roman" w:hAnsi="Times New Roman" w:eastAsia="方正仿宋_GBK" w:cs="Times New Roman"/>
                <w:color w:val="auto"/>
                <w:sz w:val="24"/>
                <w:szCs w:val="24"/>
                <w:lang w:val="en-US" w:eastAsia="zh-CN"/>
              </w:rPr>
              <w:t>9</w:t>
            </w:r>
          </w:p>
        </w:tc>
        <w:tc>
          <w:tcPr>
            <w:tcW w:w="24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w:t>
            </w:r>
          </w:p>
        </w:tc>
        <w:tc>
          <w:tcPr>
            <w:tcW w:w="23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w:t>
            </w:r>
          </w:p>
        </w:tc>
      </w:tr>
    </w:tbl>
    <w:p>
      <w:pPr>
        <w:pageBreakBefore w:val="0"/>
        <w:numPr>
          <w:ilvl w:val="0"/>
          <w:numId w:val="0"/>
        </w:numPr>
        <w:kinsoku/>
        <w:wordWrap/>
        <w:overflowPunct/>
        <w:topLinePunct w:val="0"/>
        <w:bidi w:val="0"/>
        <w:spacing w:line="578"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lang w:val="en-US" w:eastAsia="zh-CN"/>
        </w:rPr>
        <w:t xml:space="preserve">3. </w:t>
      </w:r>
      <w:r>
        <w:rPr>
          <w:rFonts w:hint="eastAsia" w:ascii="仿宋" w:hAnsi="仿宋" w:eastAsia="仿宋" w:cs="楷体_GB2312"/>
          <w:b/>
          <w:bCs/>
          <w:sz w:val="32"/>
          <w:szCs w:val="32"/>
        </w:rPr>
        <w:t>部门开展绩效评价结果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此项目经费用于单位开办的</w:t>
      </w:r>
      <w:r>
        <w:rPr>
          <w:rFonts w:hint="default" w:ascii="Times New Roman" w:hAnsi="Times New Roman" w:eastAsia="方正仿宋_GBK" w:cs="Times New Roman"/>
          <w:sz w:val="32"/>
          <w:szCs w:val="32"/>
          <w:lang w:val="en-US" w:eastAsia="zh-CN"/>
        </w:rPr>
        <w:t>一般行政管理事务</w:t>
      </w:r>
      <w:r>
        <w:rPr>
          <w:rFonts w:hint="default" w:ascii="Times New Roman" w:hAnsi="Times New Roman" w:eastAsia="方正仿宋_GBK" w:cs="Times New Roman"/>
          <w:sz w:val="32"/>
          <w:szCs w:val="32"/>
          <w:lang w:eastAsia="zh-CN"/>
        </w:rPr>
        <w:t>，用于预算单位的商品和服务类支出，支出规范合理。</w:t>
      </w:r>
    </w:p>
    <w:p>
      <w:pPr>
        <w:pageBreakBefore w:val="0"/>
        <w:widowControl/>
        <w:kinsoku/>
        <w:wordWrap/>
        <w:overflowPunct/>
        <w:topLinePunct w:val="0"/>
        <w:bidi w:val="0"/>
        <w:spacing w:line="578" w:lineRule="exact"/>
        <w:jc w:val="both"/>
        <w:rPr>
          <w:rStyle w:val="25"/>
          <w:rFonts w:hint="eastAsia" w:ascii="黑体" w:hAnsi="黑体" w:eastAsia="黑体"/>
          <w:b w:val="0"/>
          <w:lang w:eastAsia="zh-CN"/>
        </w:rPr>
      </w:pPr>
      <w:bookmarkStart w:id="19" w:name="_Toc15377225"/>
      <w:bookmarkStart w:id="20" w:name="_Toc15396613"/>
    </w:p>
    <w:p>
      <w:pPr>
        <w:pageBreakBefore w:val="0"/>
        <w:widowControl/>
        <w:kinsoku/>
        <w:wordWrap/>
        <w:overflowPunct/>
        <w:topLinePunct w:val="0"/>
        <w:bidi w:val="0"/>
        <w:spacing w:line="578" w:lineRule="exact"/>
        <w:jc w:val="both"/>
        <w:rPr>
          <w:rStyle w:val="25"/>
          <w:rFonts w:hint="eastAsia" w:ascii="黑体" w:hAnsi="黑体" w:eastAsia="黑体"/>
          <w:b w:val="0"/>
          <w:lang w:eastAsia="zh-CN"/>
        </w:rPr>
      </w:pPr>
    </w:p>
    <w:p>
      <w:pPr>
        <w:pageBreakBefore w:val="0"/>
        <w:widowControl/>
        <w:kinsoku/>
        <w:wordWrap/>
        <w:overflowPunct/>
        <w:topLinePunct w:val="0"/>
        <w:bidi w:val="0"/>
        <w:spacing w:line="578" w:lineRule="exact"/>
        <w:ind w:firstLine="2640" w:firstLineChars="600"/>
        <w:jc w:val="both"/>
        <w:rPr>
          <w:rStyle w:val="25"/>
          <w:rFonts w:hint="default" w:ascii="Times New Roman" w:hAnsi="Times New Roman" w:eastAsia="方正黑体_GBK" w:cs="Times New Roman"/>
          <w:b w:val="0"/>
        </w:rPr>
      </w:pPr>
      <w:r>
        <w:rPr>
          <w:rStyle w:val="25"/>
          <w:rFonts w:hint="default" w:ascii="Times New Roman" w:hAnsi="Times New Roman" w:eastAsia="方正黑体_GBK" w:cs="Times New Roman"/>
          <w:b w:val="0"/>
          <w:lang w:eastAsia="zh-CN"/>
        </w:rPr>
        <w:t>第三部分</w:t>
      </w:r>
      <w:r>
        <w:rPr>
          <w:rStyle w:val="25"/>
          <w:rFonts w:hint="default" w:ascii="Times New Roman" w:hAnsi="Times New Roman" w:eastAsia="方正黑体_GBK" w:cs="Times New Roman"/>
          <w:b w:val="0"/>
          <w:lang w:val="en-US" w:eastAsia="zh-CN"/>
        </w:rPr>
        <w:t xml:space="preserve"> </w:t>
      </w:r>
      <w:r>
        <w:rPr>
          <w:rFonts w:hint="default" w:ascii="Times New Roman" w:hAnsi="Times New Roman" w:eastAsia="方正黑体_GBK" w:cs="Times New Roman"/>
          <w:b/>
          <w:color w:val="000000"/>
          <w:sz w:val="44"/>
          <w:szCs w:val="44"/>
        </w:rPr>
        <w:t>名</w:t>
      </w:r>
      <w:r>
        <w:rPr>
          <w:rStyle w:val="25"/>
          <w:rFonts w:hint="default" w:ascii="Times New Roman" w:hAnsi="Times New Roman" w:eastAsia="方正黑体_GBK" w:cs="Times New Roman"/>
          <w:b w:val="0"/>
        </w:rPr>
        <w:t>词解释</w:t>
      </w:r>
      <w:bookmarkEnd w:id="19"/>
      <w:bookmarkEnd w:id="20"/>
    </w:p>
    <w:p>
      <w:pPr>
        <w:pageBreakBefore w:val="0"/>
        <w:kinsoku/>
        <w:wordWrap/>
        <w:overflowPunct/>
        <w:topLinePunct w:val="0"/>
        <w:bidi w:val="0"/>
        <w:spacing w:line="578" w:lineRule="exact"/>
        <w:jc w:val="left"/>
        <w:rPr>
          <w:rFonts w:ascii="宋体"/>
          <w:b/>
          <w:color w:val="000000"/>
          <w:sz w:val="44"/>
          <w:szCs w:val="44"/>
        </w:rPr>
      </w:pP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事业收入：指事业单位开展专业业务活动及辅助活动取得的收入。如…（二级预算单位事业收入情况）等。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经营收入：指事业单位在专业业务活动及其辅助活动之外开展非独立核算经营活动取得的收入。如…（二级预算单位经营收入情况）等。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其他收入：指单位取得的除上述收入以外的各项收入。主要是…（收入类型）等。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结余分配：指事业单位按照事业单位会计制度的规定从非财政补助结余中分配的事业基金和职工福利基金等。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一般公共服务（类）组织事务（款）行政运行（项）: 指单位的基本支出。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一般公共服务（类）组织事务（款）一般行政管理事务（项）:指单位的项目支出。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一般公共服务（类）组织事务（款）其他组织事务支出（项）:指单位的其他支出。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社会保障和就业支出（类）行政事业单位离退休（款）机关事业单位基本养老保险缴费支出（项）:指机关事业单位实施养老保险制度由单位缴纳的基本养老保险费支。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 xml:space="preserve">13. </w:t>
      </w:r>
      <w:r>
        <w:rPr>
          <w:rFonts w:hint="default" w:ascii="Times New Roman" w:hAnsi="Times New Roman" w:eastAsia="方正仿宋_GBK" w:cs="Times New Roman"/>
          <w:sz w:val="32"/>
          <w:szCs w:val="32"/>
        </w:rPr>
        <w:t>医疗卫生与计划生育支出（类）行政事业单位医疗（款）行政单位医疗（项）:指财政部门集中安排的行政单位基本医疗保险缴费经费。</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住房保障支出（类）住房改革支出（款）住房公积金（项）:指行政事业单位按人力资源和社会保障部、财政部规定的基本工资和津贴补贴以及规定比例为职工缴纳的住房公积金。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ageBreakBefore w:val="0"/>
        <w:kinsoku/>
        <w:wordWrap/>
        <w:overflowPunct/>
        <w:topLinePunct w:val="0"/>
        <w:bidi w:val="0"/>
        <w:spacing w:line="578" w:lineRule="exact"/>
        <w:jc w:val="both"/>
        <w:outlineLvl w:val="0"/>
        <w:rPr>
          <w:rFonts w:hint="eastAsia" w:ascii="黑体" w:hAnsi="黑体" w:eastAsia="黑体"/>
          <w:color w:val="000000"/>
          <w:sz w:val="44"/>
          <w:szCs w:val="44"/>
        </w:rPr>
      </w:pPr>
      <w:bookmarkStart w:id="21" w:name="_Toc15396614"/>
      <w:bookmarkStart w:id="22" w:name="_Toc15377226"/>
    </w:p>
    <w:p>
      <w:pPr>
        <w:pageBreakBefore w:val="0"/>
        <w:kinsoku/>
        <w:wordWrap/>
        <w:overflowPunct/>
        <w:topLinePunct w:val="0"/>
        <w:bidi w:val="0"/>
        <w:spacing w:line="578" w:lineRule="exact"/>
        <w:jc w:val="both"/>
        <w:outlineLvl w:val="0"/>
        <w:rPr>
          <w:rFonts w:hint="eastAsia" w:ascii="黑体" w:hAnsi="黑体" w:eastAsia="黑体"/>
          <w:color w:val="000000"/>
          <w:sz w:val="44"/>
          <w:szCs w:val="44"/>
        </w:rPr>
      </w:pPr>
    </w:p>
    <w:bookmarkEnd w:id="21"/>
    <w:p>
      <w:pPr>
        <w:pageBreakBefore w:val="0"/>
        <w:kinsoku/>
        <w:wordWrap/>
        <w:overflowPunct/>
        <w:topLinePunct w:val="0"/>
        <w:bidi w:val="0"/>
        <w:spacing w:line="578" w:lineRule="exact"/>
        <w:jc w:val="both"/>
        <w:outlineLvl w:val="0"/>
        <w:rPr>
          <w:rStyle w:val="25"/>
          <w:rFonts w:hint="eastAsia" w:ascii="方正黑体_GBK" w:hAnsi="方正黑体_GBK" w:eastAsia="方正黑体_GBK" w:cs="方正黑体_GBK"/>
        </w:rPr>
      </w:pPr>
    </w:p>
    <w:p>
      <w:pPr>
        <w:pageBreakBefore w:val="0"/>
        <w:kinsoku/>
        <w:wordWrap/>
        <w:overflowPunct/>
        <w:topLinePunct w:val="0"/>
        <w:bidi w:val="0"/>
        <w:spacing w:line="578" w:lineRule="exact"/>
        <w:jc w:val="center"/>
        <w:outlineLvl w:val="0"/>
        <w:rPr>
          <w:rStyle w:val="25"/>
          <w:rFonts w:ascii="黑体" w:hAnsi="黑体" w:eastAsia="黑体"/>
          <w:b w:val="0"/>
        </w:rPr>
      </w:pPr>
      <w:bookmarkStart w:id="23" w:name="_Toc15396615"/>
      <w:r>
        <w:rPr>
          <w:rFonts w:hint="eastAsia" w:ascii="黑体" w:hAnsi="黑体" w:eastAsia="黑体"/>
          <w:color w:val="000000"/>
          <w:sz w:val="44"/>
          <w:szCs w:val="44"/>
        </w:rPr>
        <w:t>第</w:t>
      </w:r>
      <w:r>
        <w:rPr>
          <w:rStyle w:val="25"/>
          <w:rFonts w:hint="eastAsia" w:ascii="黑体" w:hAnsi="黑体" w:eastAsia="黑体"/>
          <w:b w:val="0"/>
        </w:rPr>
        <w:t xml:space="preserve">四部分 </w:t>
      </w:r>
      <w:r>
        <w:rPr>
          <w:rStyle w:val="25"/>
          <w:rFonts w:hint="eastAsia" w:ascii="黑体" w:hAnsi="黑体" w:eastAsia="黑体"/>
          <w:b w:val="0"/>
          <w:lang w:val="en-US" w:eastAsia="zh-CN"/>
        </w:rPr>
        <w:t xml:space="preserve"> </w:t>
      </w:r>
      <w:r>
        <w:rPr>
          <w:rStyle w:val="25"/>
          <w:rFonts w:hint="eastAsia" w:ascii="黑体" w:hAnsi="黑体" w:eastAsia="黑体"/>
          <w:b w:val="0"/>
        </w:rPr>
        <w:t>附</w:t>
      </w:r>
      <w:r>
        <w:rPr>
          <w:rStyle w:val="25"/>
          <w:rFonts w:hint="eastAsia" w:ascii="黑体" w:hAnsi="黑体" w:eastAsia="黑体"/>
          <w:b w:val="0"/>
          <w:lang w:val="en-US" w:eastAsia="zh-CN"/>
        </w:rPr>
        <w:t xml:space="preserve"> </w:t>
      </w:r>
      <w:r>
        <w:rPr>
          <w:rStyle w:val="25"/>
          <w:rFonts w:hint="eastAsia" w:ascii="黑体" w:hAnsi="黑体" w:eastAsia="黑体"/>
          <w:b w:val="0"/>
        </w:rPr>
        <w:t>件</w:t>
      </w:r>
    </w:p>
    <w:p>
      <w:pPr>
        <w:pStyle w:val="4"/>
        <w:pageBreakBefore w:val="0"/>
        <w:kinsoku/>
        <w:wordWrap/>
        <w:overflowPunct/>
        <w:topLinePunct w:val="0"/>
        <w:autoSpaceDE/>
        <w:autoSpaceDN/>
        <w:bidi w:val="0"/>
        <w:adjustRightInd/>
        <w:spacing w:before="0" w:after="0" w:line="578" w:lineRule="exact"/>
        <w:ind w:right="0" w:rightChars="0"/>
        <w:textAlignment w:val="auto"/>
        <w:rPr>
          <w:rStyle w:val="25"/>
          <w:rFonts w:hint="eastAsia" w:ascii="方正黑体_GBK" w:hAnsi="方正黑体_GBK" w:eastAsia="方正黑体_GBK" w:cs="方正黑体_GBK"/>
          <w:b w:val="0"/>
          <w:bCs w:val="0"/>
          <w:sz w:val="32"/>
          <w:szCs w:val="32"/>
        </w:rPr>
      </w:pPr>
    </w:p>
    <w:p>
      <w:pPr>
        <w:pStyle w:val="4"/>
        <w:pageBreakBefore w:val="0"/>
        <w:kinsoku/>
        <w:wordWrap/>
        <w:overflowPunct/>
        <w:topLinePunct w:val="0"/>
        <w:autoSpaceDE/>
        <w:autoSpaceDN/>
        <w:bidi w:val="0"/>
        <w:adjustRightInd/>
        <w:spacing w:before="0" w:after="0" w:line="578" w:lineRule="exact"/>
        <w:ind w:right="0" w:rightChars="0"/>
        <w:textAlignment w:val="auto"/>
        <w:rPr>
          <w:rStyle w:val="25"/>
          <w:rFonts w:hint="eastAsia" w:ascii="方正黑体_GBK" w:hAnsi="方正黑体_GBK" w:eastAsia="方正黑体_GBK" w:cs="方正黑体_GBK"/>
          <w:b w:val="0"/>
          <w:bCs w:val="0"/>
          <w:sz w:val="32"/>
          <w:szCs w:val="32"/>
        </w:rPr>
      </w:pPr>
      <w:r>
        <w:rPr>
          <w:rStyle w:val="25"/>
          <w:rFonts w:hint="eastAsia" w:ascii="方正黑体_GBK" w:hAnsi="方正黑体_GBK" w:eastAsia="方正黑体_GBK" w:cs="方正黑体_GBK"/>
          <w:b w:val="0"/>
          <w:bCs w:val="0"/>
          <w:sz w:val="32"/>
          <w:szCs w:val="32"/>
        </w:rPr>
        <w:t>附件1</w:t>
      </w:r>
      <w:bookmarkEnd w:id="23"/>
    </w:p>
    <w:p>
      <w:pPr>
        <w:pageBreakBefore w:val="0"/>
        <w:kinsoku/>
        <w:wordWrap/>
        <w:overflowPunct/>
        <w:topLinePunct w:val="0"/>
        <w:autoSpaceDE/>
        <w:autoSpaceDN/>
        <w:bidi w:val="0"/>
        <w:adjustRightInd/>
        <w:spacing w:line="578" w:lineRule="exact"/>
        <w:ind w:left="0" w:leftChars="0" w:right="0" w:rightChars="0"/>
        <w:jc w:val="center"/>
        <w:textAlignment w:val="auto"/>
        <w:outlineLvl w:val="0"/>
        <w:rPr>
          <w:rFonts w:hint="default" w:ascii="Times New Roman" w:hAnsi="Times New Roman" w:eastAsia="方正黑体_GBK" w:cs="Times New Roman"/>
          <w:w w:val="90"/>
          <w:sz w:val="36"/>
          <w:szCs w:val="36"/>
        </w:rPr>
      </w:pPr>
      <w:bookmarkStart w:id="24" w:name="_Toc15396616"/>
    </w:p>
    <w:p>
      <w:pPr>
        <w:pageBreakBefore w:val="0"/>
        <w:kinsoku/>
        <w:wordWrap/>
        <w:overflowPunct/>
        <w:topLinePunct w:val="0"/>
        <w:autoSpaceDE/>
        <w:autoSpaceDN/>
        <w:bidi w:val="0"/>
        <w:adjustRightInd/>
        <w:spacing w:line="578" w:lineRule="exact"/>
        <w:ind w:left="0" w:leftChars="0" w:right="0" w:rightChars="0"/>
        <w:jc w:val="center"/>
        <w:textAlignment w:val="auto"/>
        <w:outlineLvl w:val="0"/>
        <w:rPr>
          <w:rFonts w:hint="default" w:ascii="Times New Roman" w:hAnsi="Times New Roman" w:eastAsia="方正黑体_GBK" w:cs="Times New Roman"/>
          <w:w w:val="90"/>
          <w:sz w:val="36"/>
          <w:szCs w:val="36"/>
        </w:rPr>
      </w:pPr>
      <w:r>
        <w:rPr>
          <w:rFonts w:hint="default" w:ascii="Times New Roman" w:hAnsi="Times New Roman" w:eastAsia="方正黑体_GBK" w:cs="Times New Roman"/>
          <w:w w:val="90"/>
          <w:sz w:val="36"/>
          <w:szCs w:val="36"/>
        </w:rPr>
        <w:t>达川区</w:t>
      </w:r>
      <w:r>
        <w:rPr>
          <w:rFonts w:hint="default" w:ascii="Times New Roman" w:hAnsi="Times New Roman" w:eastAsia="方正黑体_GBK" w:cs="Times New Roman"/>
          <w:w w:val="90"/>
          <w:sz w:val="36"/>
          <w:szCs w:val="36"/>
          <w:lang w:eastAsia="zh-CN"/>
        </w:rPr>
        <w:t>农民工服务中心</w:t>
      </w:r>
      <w:r>
        <w:rPr>
          <w:rFonts w:hint="default" w:ascii="Times New Roman" w:hAnsi="Times New Roman" w:eastAsia="方正黑体_GBK" w:cs="Times New Roman"/>
          <w:w w:val="90"/>
          <w:sz w:val="36"/>
          <w:szCs w:val="36"/>
        </w:rPr>
        <w:t>201</w:t>
      </w:r>
      <w:r>
        <w:rPr>
          <w:rFonts w:hint="default" w:ascii="Times New Roman" w:hAnsi="Times New Roman" w:eastAsia="方正黑体_GBK" w:cs="Times New Roman"/>
          <w:w w:val="90"/>
          <w:sz w:val="36"/>
          <w:szCs w:val="36"/>
          <w:lang w:val="en-US" w:eastAsia="zh-CN"/>
        </w:rPr>
        <w:t>9</w:t>
      </w:r>
      <w:r>
        <w:rPr>
          <w:rFonts w:hint="default" w:ascii="Times New Roman" w:hAnsi="Times New Roman" w:eastAsia="方正黑体_GBK" w:cs="Times New Roman"/>
          <w:w w:val="90"/>
          <w:sz w:val="36"/>
          <w:szCs w:val="36"/>
        </w:rPr>
        <w:t>年部门整体支出绩效评价报告</w:t>
      </w:r>
      <w:bookmarkEnd w:id="24"/>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方正黑体_GBK" w:hAnsi="方正黑体_GBK" w:eastAsia="方正黑体_GBK" w:cs="方正黑体_GBK"/>
          <w:sz w:val="32"/>
          <w:szCs w:val="32"/>
        </w:rPr>
      </w:pP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一、单位概况</w:t>
      </w:r>
    </w:p>
    <w:p>
      <w:pPr>
        <w:pageBreakBefore w:val="0"/>
        <w:kinsoku/>
        <w:wordWrap/>
        <w:overflowPunct/>
        <w:topLinePunct w:val="0"/>
        <w:bidi w:val="0"/>
        <w:spacing w:line="578"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（一）机构组成。</w:t>
      </w:r>
      <w:r>
        <w:rPr>
          <w:rFonts w:hint="default" w:ascii="Times New Roman" w:hAnsi="Times New Roman" w:eastAsia="方正仿宋_GBK" w:cs="Times New Roman"/>
          <w:sz w:val="32"/>
          <w:szCs w:val="32"/>
          <w:lang w:eastAsia="zh-CN"/>
        </w:rPr>
        <w:t>我中心</w:t>
      </w:r>
      <w:r>
        <w:rPr>
          <w:rFonts w:hint="default" w:ascii="Times New Roman" w:hAnsi="Times New Roman" w:eastAsia="方正仿宋_GBK" w:cs="Times New Roman"/>
          <w:sz w:val="32"/>
          <w:szCs w:val="32"/>
        </w:rPr>
        <w:t>按照“三定方案”内设办公室、</w:t>
      </w:r>
      <w:r>
        <w:rPr>
          <w:rFonts w:hint="default" w:ascii="Times New Roman" w:hAnsi="Times New Roman" w:eastAsia="方正仿宋_GBK" w:cs="Times New Roman"/>
          <w:sz w:val="32"/>
          <w:szCs w:val="32"/>
          <w:lang w:eastAsia="zh-CN"/>
        </w:rPr>
        <w:t>党建办、就业创业股、职业培训股、维权援助股、关爱服务股</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个股室。</w:t>
      </w:r>
    </w:p>
    <w:p>
      <w:pPr>
        <w:pageBreakBefore w:val="0"/>
        <w:kinsoku/>
        <w:wordWrap/>
        <w:overflowPunct/>
        <w:topLinePunct w:val="0"/>
        <w:bidi w:val="0"/>
        <w:spacing w:line="578" w:lineRule="exact"/>
        <w:ind w:firstLine="640" w:firstLineChars="200"/>
        <w:rPr>
          <w:rFonts w:hint="eastAsia"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rPr>
        <w:t>（二）机构职能。</w:t>
      </w:r>
      <w:r>
        <w:rPr>
          <w:rFonts w:hint="eastAsia" w:ascii="Times New Roman" w:hAnsi="Times New Roman" w:eastAsia="方正仿宋_GBK" w:cs="Times New Roman"/>
          <w:sz w:val="32"/>
          <w:szCs w:val="32"/>
          <w:lang w:eastAsia="zh-CN"/>
        </w:rPr>
        <w:t>研究、指导全区农民工服务工作的基层组织建设。了解我去农民工数量、职业状况；举行农民工技能培训；帮助农民工维权、关爱农民工服务等工作。</w:t>
      </w:r>
    </w:p>
    <w:p>
      <w:pPr>
        <w:pageBreakBefore w:val="0"/>
        <w:kinsoku/>
        <w:wordWrap/>
        <w:overflowPunct/>
        <w:topLinePunct w:val="0"/>
        <w:bidi w:val="0"/>
        <w:spacing w:line="578" w:lineRule="exact"/>
        <w:ind w:firstLine="640" w:firstLineChars="200"/>
        <w:rPr>
          <w:rFonts w:hint="eastAsia"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rPr>
        <w:t>（三）人员概况。</w:t>
      </w:r>
      <w:r>
        <w:rPr>
          <w:rFonts w:hint="eastAsia" w:ascii="Times New Roman" w:hAnsi="Times New Roman" w:eastAsia="方正仿宋_GBK" w:cs="Times New Roman"/>
          <w:sz w:val="32"/>
          <w:szCs w:val="32"/>
          <w:lang w:eastAsia="zh-CN"/>
        </w:rPr>
        <w:t>本单位属事业单位，编制人数</w:t>
      </w:r>
      <w:r>
        <w:rPr>
          <w:rFonts w:hint="eastAsia" w:ascii="Times New Roman" w:hAnsi="Times New Roman" w:eastAsia="方正仿宋_GBK" w:cs="Times New Roman"/>
          <w:sz w:val="32"/>
          <w:szCs w:val="32"/>
          <w:lang w:val="en-US" w:eastAsia="zh-CN"/>
        </w:rPr>
        <w:t>19</w:t>
      </w:r>
      <w:r>
        <w:rPr>
          <w:rFonts w:hint="eastAsia" w:ascii="Times New Roman" w:hAnsi="Times New Roman" w:eastAsia="方正仿宋_GBK" w:cs="Times New Roman"/>
          <w:sz w:val="32"/>
          <w:szCs w:val="32"/>
          <w:lang w:eastAsia="zh-CN"/>
        </w:rPr>
        <w:t>人（无</w:t>
      </w:r>
      <w:r>
        <w:rPr>
          <w:rFonts w:hint="eastAsia" w:ascii="Times New Roman" w:hAnsi="Times New Roman" w:eastAsia="方正仿宋_GBK" w:cs="Times New Roman"/>
          <w:sz w:val="32"/>
          <w:szCs w:val="32"/>
          <w:lang w:val="en-US" w:eastAsia="zh-CN"/>
        </w:rPr>
        <w:t>下属事业单位</w:t>
      </w:r>
      <w:r>
        <w:rPr>
          <w:rFonts w:hint="eastAsia" w:ascii="Times New Roman" w:hAnsi="Times New Roman" w:eastAsia="方正仿宋_GBK" w:cs="Times New Roman"/>
          <w:sz w:val="32"/>
          <w:szCs w:val="32"/>
          <w:lang w:eastAsia="zh-CN"/>
        </w:rPr>
        <w:t>），其中行政编制</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人，事业编制</w:t>
      </w:r>
      <w:r>
        <w:rPr>
          <w:rFonts w:hint="eastAsia" w:ascii="Times New Roman" w:hAnsi="Times New Roman" w:eastAsia="方正仿宋_GBK" w:cs="Times New Roman"/>
          <w:sz w:val="32"/>
          <w:szCs w:val="32"/>
          <w:lang w:val="en-US" w:eastAsia="zh-CN"/>
        </w:rPr>
        <w:t>16</w:t>
      </w:r>
      <w:r>
        <w:rPr>
          <w:rFonts w:hint="eastAsia" w:ascii="Times New Roman" w:hAnsi="Times New Roman" w:eastAsia="方正仿宋_GBK" w:cs="Times New Roman"/>
          <w:sz w:val="32"/>
          <w:szCs w:val="32"/>
          <w:lang w:eastAsia="zh-CN"/>
        </w:rPr>
        <w:t>人。201</w:t>
      </w:r>
      <w:r>
        <w:rPr>
          <w:rFonts w:hint="eastAsia"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lang w:eastAsia="zh-CN"/>
        </w:rPr>
        <w:t>年末人员共</w:t>
      </w:r>
      <w:r>
        <w:rPr>
          <w:rFonts w:hint="eastAsia" w:ascii="Times New Roman" w:hAnsi="Times New Roman" w:eastAsia="方正仿宋_GBK" w:cs="Times New Roman"/>
          <w:sz w:val="32"/>
          <w:szCs w:val="32"/>
          <w:lang w:val="en-US" w:eastAsia="zh-CN"/>
        </w:rPr>
        <w:t>14</w:t>
      </w:r>
      <w:r>
        <w:rPr>
          <w:rFonts w:hint="eastAsia" w:ascii="Times New Roman" w:hAnsi="Times New Roman" w:eastAsia="方正仿宋_GBK" w:cs="Times New Roman"/>
          <w:sz w:val="32"/>
          <w:szCs w:val="32"/>
          <w:lang w:eastAsia="zh-CN"/>
        </w:rPr>
        <w:t>人，其中：公务员</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人，事业人员</w:t>
      </w:r>
      <w:r>
        <w:rPr>
          <w:rFonts w:hint="eastAsia" w:ascii="Times New Roman" w:hAnsi="Times New Roman" w:eastAsia="方正仿宋_GBK" w:cs="Times New Roman"/>
          <w:sz w:val="32"/>
          <w:szCs w:val="32"/>
          <w:lang w:val="en-US" w:eastAsia="zh-CN"/>
        </w:rPr>
        <w:t>11</w:t>
      </w:r>
      <w:r>
        <w:rPr>
          <w:rFonts w:hint="eastAsia" w:ascii="Times New Roman" w:hAnsi="Times New Roman" w:eastAsia="方正仿宋_GBK" w:cs="Times New Roman"/>
          <w:sz w:val="32"/>
          <w:szCs w:val="32"/>
          <w:lang w:eastAsia="zh-CN"/>
        </w:rPr>
        <w:t>人。</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二、部门财政资金收支情况</w:t>
      </w:r>
    </w:p>
    <w:p>
      <w:pPr>
        <w:pageBreakBefore w:val="0"/>
        <w:kinsoku/>
        <w:wordWrap/>
        <w:overflowPunct/>
        <w:topLinePunct w:val="0"/>
        <w:bidi w:val="0"/>
        <w:spacing w:line="578" w:lineRule="exact"/>
        <w:ind w:firstLine="640" w:firstLineChars="200"/>
        <w:rPr>
          <w:rFonts w:hint="eastAsia"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部门财政资金收入情况。</w:t>
      </w:r>
      <w:r>
        <w:rPr>
          <w:rFonts w:hint="eastAsia" w:ascii="方正仿宋_GBK" w:hAnsi="方正仿宋_GBK" w:eastAsia="方正仿宋_GBK" w:cs="方正仿宋_GBK"/>
          <w:sz w:val="32"/>
          <w:szCs w:val="32"/>
          <w:lang w:val="en-US" w:eastAsia="zh-CN"/>
        </w:rPr>
        <w:t>2</w:t>
      </w:r>
      <w:r>
        <w:rPr>
          <w:rFonts w:hint="eastAsia" w:ascii="Times New Roman" w:hAnsi="Times New Roman" w:eastAsia="方正仿宋_GBK" w:cs="Times New Roman"/>
          <w:sz w:val="32"/>
          <w:szCs w:val="32"/>
          <w:lang w:eastAsia="zh-CN"/>
        </w:rPr>
        <w:t>01</w:t>
      </w:r>
      <w:r>
        <w:rPr>
          <w:rFonts w:hint="eastAsia"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lang w:eastAsia="zh-CN"/>
        </w:rPr>
        <w:t>年本年收入合计</w:t>
      </w:r>
      <w:r>
        <w:rPr>
          <w:rFonts w:hint="eastAsia" w:ascii="Times New Roman" w:hAnsi="Times New Roman" w:eastAsia="方正仿宋_GBK" w:cs="Times New Roman"/>
          <w:sz w:val="32"/>
          <w:szCs w:val="32"/>
          <w:lang w:val="en-US" w:eastAsia="zh-CN"/>
        </w:rPr>
        <w:t>93.41</w:t>
      </w:r>
      <w:r>
        <w:rPr>
          <w:rFonts w:hint="eastAsia" w:ascii="Times New Roman" w:hAnsi="Times New Roman" w:eastAsia="方正仿宋_GBK" w:cs="Times New Roman"/>
          <w:sz w:val="32"/>
          <w:szCs w:val="32"/>
          <w:lang w:eastAsia="zh-CN"/>
        </w:rPr>
        <w:t>万元，其中：一般公共预算财政拨款收入</w:t>
      </w:r>
      <w:r>
        <w:rPr>
          <w:rFonts w:hint="eastAsia" w:ascii="Times New Roman" w:hAnsi="Times New Roman" w:eastAsia="方正仿宋_GBK" w:cs="Times New Roman"/>
          <w:sz w:val="32"/>
          <w:szCs w:val="32"/>
          <w:lang w:val="en-US" w:eastAsia="zh-CN"/>
        </w:rPr>
        <w:t>93.41</w:t>
      </w:r>
      <w:r>
        <w:rPr>
          <w:rFonts w:hint="eastAsia" w:ascii="Times New Roman" w:hAnsi="Times New Roman" w:eastAsia="方正仿宋_GBK" w:cs="Times New Roman"/>
          <w:sz w:val="32"/>
          <w:szCs w:val="32"/>
          <w:lang w:eastAsia="zh-CN"/>
        </w:rPr>
        <w:t>万元，占</w:t>
      </w:r>
      <w:r>
        <w:rPr>
          <w:rFonts w:hint="eastAsia" w:ascii="Times New Roman" w:hAnsi="Times New Roman" w:eastAsia="方正仿宋_GBK" w:cs="Times New Roman"/>
          <w:sz w:val="32"/>
          <w:szCs w:val="32"/>
          <w:lang w:val="en-US" w:eastAsia="zh-CN"/>
        </w:rPr>
        <w:t>100</w:t>
      </w:r>
      <w:r>
        <w:rPr>
          <w:rFonts w:hint="eastAsia" w:ascii="Times New Roman" w:hAnsi="Times New Roman" w:eastAsia="方正仿宋_GBK" w:cs="Times New Roman"/>
          <w:sz w:val="32"/>
          <w:szCs w:val="32"/>
          <w:lang w:eastAsia="zh-CN"/>
        </w:rPr>
        <w:t>%。</w:t>
      </w:r>
    </w:p>
    <w:p>
      <w:pPr>
        <w:pageBreakBefore w:val="0"/>
        <w:kinsoku/>
        <w:wordWrap/>
        <w:overflowPunct/>
        <w:topLinePunct w:val="0"/>
        <w:bidi w:val="0"/>
        <w:spacing w:line="578" w:lineRule="exact"/>
        <w:ind w:firstLine="640" w:firstLineChars="200"/>
        <w:rPr>
          <w:rFonts w:hint="eastAsia"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部门财政资金支出情况。</w:t>
      </w:r>
      <w:r>
        <w:rPr>
          <w:rFonts w:hint="eastAsia" w:ascii="Times New Roman" w:hAnsi="Times New Roman" w:eastAsia="方正仿宋_GBK" w:cs="Times New Roman"/>
          <w:sz w:val="32"/>
          <w:szCs w:val="32"/>
          <w:lang w:eastAsia="zh-CN"/>
        </w:rPr>
        <w:t>20</w:t>
      </w:r>
      <w:r>
        <w:rPr>
          <w:rFonts w:hint="eastAsia" w:ascii="Times New Roman" w:hAnsi="Times New Roman" w:eastAsia="方正仿宋_GBK" w:cs="Times New Roman"/>
          <w:sz w:val="32"/>
          <w:szCs w:val="32"/>
          <w:lang w:val="en-US" w:eastAsia="zh-CN"/>
        </w:rPr>
        <w:t>19</w:t>
      </w:r>
      <w:r>
        <w:rPr>
          <w:rFonts w:hint="eastAsia" w:ascii="Times New Roman" w:hAnsi="Times New Roman" w:eastAsia="方正仿宋_GBK" w:cs="Times New Roman"/>
          <w:sz w:val="32"/>
          <w:szCs w:val="32"/>
          <w:lang w:eastAsia="zh-CN"/>
        </w:rPr>
        <w:t>年本年支出合计</w:t>
      </w:r>
      <w:r>
        <w:rPr>
          <w:rFonts w:hint="eastAsia" w:ascii="Times New Roman" w:hAnsi="Times New Roman" w:eastAsia="方正仿宋_GBK" w:cs="Times New Roman"/>
          <w:sz w:val="32"/>
          <w:szCs w:val="32"/>
          <w:lang w:val="en-US" w:eastAsia="zh-CN"/>
        </w:rPr>
        <w:t>56.75</w:t>
      </w:r>
      <w:r>
        <w:rPr>
          <w:rFonts w:hint="eastAsia" w:ascii="Times New Roman" w:hAnsi="Times New Roman" w:eastAsia="方正仿宋_GBK" w:cs="Times New Roman"/>
          <w:sz w:val="32"/>
          <w:szCs w:val="32"/>
          <w:lang w:eastAsia="zh-CN"/>
        </w:rPr>
        <w:t>万元，其中：基本支出</w:t>
      </w:r>
      <w:r>
        <w:rPr>
          <w:rFonts w:hint="eastAsia" w:ascii="Times New Roman" w:hAnsi="Times New Roman" w:eastAsia="方正仿宋_GBK" w:cs="Times New Roman"/>
          <w:sz w:val="32"/>
          <w:szCs w:val="32"/>
          <w:lang w:val="en-US" w:eastAsia="zh-CN"/>
        </w:rPr>
        <w:t>18.41</w:t>
      </w:r>
      <w:r>
        <w:rPr>
          <w:rFonts w:hint="eastAsia" w:ascii="Times New Roman" w:hAnsi="Times New Roman" w:eastAsia="方正仿宋_GBK" w:cs="Times New Roman"/>
          <w:sz w:val="32"/>
          <w:szCs w:val="32"/>
          <w:lang w:eastAsia="zh-CN"/>
        </w:rPr>
        <w:t>万元，占</w:t>
      </w:r>
      <w:r>
        <w:rPr>
          <w:rFonts w:hint="eastAsia" w:ascii="Times New Roman" w:hAnsi="Times New Roman" w:eastAsia="方正仿宋_GBK" w:cs="Times New Roman"/>
          <w:sz w:val="32"/>
          <w:szCs w:val="32"/>
          <w:lang w:val="en-US" w:eastAsia="zh-CN"/>
        </w:rPr>
        <w:t>32</w:t>
      </w:r>
      <w:r>
        <w:rPr>
          <w:rFonts w:hint="eastAsia" w:ascii="Times New Roman" w:hAnsi="Times New Roman" w:eastAsia="方正仿宋_GBK" w:cs="Times New Roman"/>
          <w:sz w:val="32"/>
          <w:szCs w:val="32"/>
          <w:lang w:eastAsia="zh-CN"/>
        </w:rPr>
        <w:t>%；项目支出</w:t>
      </w:r>
      <w:r>
        <w:rPr>
          <w:rFonts w:hint="eastAsia" w:ascii="Times New Roman" w:hAnsi="Times New Roman" w:eastAsia="方正仿宋_GBK" w:cs="Times New Roman"/>
          <w:sz w:val="32"/>
          <w:szCs w:val="32"/>
          <w:lang w:val="en-US" w:eastAsia="zh-CN"/>
        </w:rPr>
        <w:t>38.34</w:t>
      </w:r>
      <w:r>
        <w:rPr>
          <w:rFonts w:hint="eastAsia" w:ascii="Times New Roman" w:hAnsi="Times New Roman" w:eastAsia="方正仿宋_GBK" w:cs="Times New Roman"/>
          <w:sz w:val="32"/>
          <w:szCs w:val="32"/>
          <w:lang w:eastAsia="zh-CN"/>
        </w:rPr>
        <w:t>万元，占</w:t>
      </w:r>
      <w:r>
        <w:rPr>
          <w:rFonts w:hint="eastAsia" w:ascii="Times New Roman" w:hAnsi="Times New Roman" w:eastAsia="方正仿宋_GBK" w:cs="Times New Roman"/>
          <w:sz w:val="32"/>
          <w:szCs w:val="32"/>
          <w:lang w:val="en-US" w:eastAsia="zh-CN"/>
        </w:rPr>
        <w:t>68</w:t>
      </w:r>
      <w:r>
        <w:rPr>
          <w:rFonts w:hint="eastAsia" w:ascii="Times New Roman" w:hAnsi="Times New Roman" w:eastAsia="方正仿宋_GBK" w:cs="Times New Roman"/>
          <w:sz w:val="32"/>
          <w:szCs w:val="32"/>
          <w:lang w:eastAsia="zh-CN"/>
        </w:rPr>
        <w:t>%。</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三、部门财政支出管理情况</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（一）预决算编制情况</w:t>
      </w:r>
    </w:p>
    <w:p>
      <w:pPr>
        <w:pageBreakBefore w:val="0"/>
        <w:kinsoku/>
        <w:wordWrap/>
        <w:overflowPunct/>
        <w:topLinePunct w:val="0"/>
        <w:bidi w:val="0"/>
        <w:spacing w:line="578"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我</w:t>
      </w:r>
      <w:r>
        <w:rPr>
          <w:rFonts w:hint="default" w:ascii="Times New Roman" w:hAnsi="Times New Roman" w:eastAsia="方正仿宋_GBK" w:cs="Times New Roman"/>
          <w:sz w:val="32"/>
          <w:szCs w:val="32"/>
          <w:lang w:eastAsia="zh-CN"/>
        </w:rPr>
        <w:t>中心</w:t>
      </w:r>
      <w:r>
        <w:rPr>
          <w:rFonts w:hint="default" w:ascii="Times New Roman" w:hAnsi="Times New Roman" w:eastAsia="方正仿宋_GBK" w:cs="Times New Roman"/>
          <w:sz w:val="32"/>
          <w:szCs w:val="32"/>
          <w:lang w:val="en-US" w:eastAsia="zh-CN"/>
        </w:rPr>
        <w:t>2019年3月新成立，未编制年初预算，今后的预算编制工作中我们要注重以下几个方面。</w:t>
      </w:r>
    </w:p>
    <w:p>
      <w:pPr>
        <w:pageBreakBefore w:val="0"/>
        <w:kinsoku/>
        <w:wordWrap/>
        <w:overflowPunct/>
        <w:topLinePunct w:val="0"/>
        <w:bidi w:val="0"/>
        <w:spacing w:line="578" w:lineRule="exact"/>
        <w:ind w:firstLine="640" w:firstLineChars="200"/>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 xml:space="preserve">1. </w:t>
      </w:r>
      <w:r>
        <w:rPr>
          <w:rFonts w:hint="default" w:ascii="Times New Roman" w:hAnsi="Times New Roman" w:eastAsia="方正仿宋_GBK" w:cs="Times New Roman"/>
          <w:b/>
          <w:bCs/>
          <w:sz w:val="32"/>
          <w:szCs w:val="32"/>
        </w:rPr>
        <w:t>科学编制预算。</w:t>
      </w:r>
      <w:r>
        <w:rPr>
          <w:rFonts w:hint="default" w:ascii="Times New Roman" w:hAnsi="Times New Roman" w:eastAsia="方正仿宋_GBK" w:cs="Times New Roman"/>
          <w:sz w:val="32"/>
          <w:szCs w:val="32"/>
        </w:rPr>
        <w:t>严格遵循政府预算统一性、完整性、年度性、可靠性、公开性和分类性原则，切实落实区财政局相关预算要求，结合本局实际，保证预算编制的科学、合理、规范、准确、完整、效益。</w:t>
      </w:r>
    </w:p>
    <w:p>
      <w:pPr>
        <w:pageBreakBefore w:val="0"/>
        <w:kinsoku/>
        <w:wordWrap/>
        <w:overflowPunct/>
        <w:topLinePunct w:val="0"/>
        <w:bidi w:val="0"/>
        <w:spacing w:line="578"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w:t>
      </w:r>
      <w:r>
        <w:rPr>
          <w:rFonts w:hint="eastAsia"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严格经费收支。</w:t>
      </w:r>
      <w:r>
        <w:rPr>
          <w:rFonts w:hint="default" w:ascii="Times New Roman" w:hAnsi="Times New Roman" w:eastAsia="方正仿宋_GBK" w:cs="Times New Roman"/>
          <w:sz w:val="32"/>
          <w:szCs w:val="32"/>
          <w:lang w:eastAsia="zh-CN"/>
        </w:rPr>
        <w:t>我中心</w:t>
      </w:r>
      <w:r>
        <w:rPr>
          <w:rFonts w:hint="default" w:ascii="Times New Roman" w:hAnsi="Times New Roman" w:eastAsia="方正仿宋_GBK" w:cs="Times New Roman"/>
          <w:sz w:val="32"/>
          <w:szCs w:val="32"/>
        </w:rPr>
        <w:t>坚持综合预算、零基预算、细化预算的原则，科学编制完整的部门综合收支计划，细化收支预算，规范收支行为。</w:t>
      </w:r>
    </w:p>
    <w:p>
      <w:pPr>
        <w:pageBreakBefore w:val="0"/>
        <w:kinsoku/>
        <w:wordWrap/>
        <w:overflowPunct/>
        <w:topLinePunct w:val="0"/>
        <w:bidi w:val="0"/>
        <w:spacing w:line="578"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w:t>
      </w:r>
      <w:r>
        <w:rPr>
          <w:rFonts w:hint="eastAsia"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维护预算严肃性。</w:t>
      </w:r>
      <w:r>
        <w:rPr>
          <w:rFonts w:hint="default" w:ascii="Times New Roman" w:hAnsi="Times New Roman" w:eastAsia="方正仿宋_GBK" w:cs="Times New Roman"/>
          <w:sz w:val="32"/>
          <w:szCs w:val="32"/>
          <w:lang w:eastAsia="zh-CN"/>
        </w:rPr>
        <w:t>我中心</w:t>
      </w:r>
      <w:r>
        <w:rPr>
          <w:rFonts w:hint="default" w:ascii="Times New Roman" w:hAnsi="Times New Roman" w:eastAsia="方正仿宋_GBK" w:cs="Times New Roman"/>
          <w:sz w:val="32"/>
          <w:szCs w:val="32"/>
        </w:rPr>
        <w:t>严格执行并维护预算的严肃性，预算前展开调研，多方研究，一经确定严格执行，不随意调整，也不无故追加。</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ascii="方正仿宋简体" w:hAnsi="方正仿宋简体" w:eastAsia="方正仿宋简体" w:cs="方正仿宋简体"/>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eastAsia="zh-CN"/>
        </w:rPr>
        <w:t>）结果运用</w:t>
      </w:r>
      <w:r>
        <w:rPr>
          <w:rFonts w:hint="eastAsia" w:ascii="方正楷体_GBK" w:hAnsi="方正楷体_GBK" w:eastAsia="方正楷体_GBK" w:cs="方正楷体_GBK"/>
          <w:sz w:val="32"/>
          <w:szCs w:val="32"/>
        </w:rPr>
        <w:t>情况</w:t>
      </w:r>
      <w:r>
        <w:rPr>
          <w:rFonts w:hint="eastAsia" w:ascii="方正楷体简体" w:hAnsi="方正楷体简体" w:eastAsia="方正楷体简体" w:cs="方正楷体简体"/>
          <w:sz w:val="32"/>
          <w:szCs w:val="32"/>
        </w:rPr>
        <w:tab/>
      </w:r>
    </w:p>
    <w:p>
      <w:pPr>
        <w:pageBreakBefore w:val="0"/>
        <w:kinsoku/>
        <w:wordWrap/>
        <w:overflowPunct/>
        <w:topLinePunct w:val="0"/>
        <w:bidi w:val="0"/>
        <w:spacing w:line="578"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1.</w:t>
      </w:r>
      <w:r>
        <w:rPr>
          <w:rFonts w:hint="eastAsia" w:eastAsia="方正仿宋_GBK" w:cs="Times New Roman"/>
          <w:b/>
          <w:bCs/>
          <w:sz w:val="32"/>
          <w:szCs w:val="32"/>
          <w:lang w:val="en-US" w:eastAsia="zh-CN"/>
        </w:rPr>
        <w:t xml:space="preserve"> </w:t>
      </w:r>
      <w:r>
        <w:rPr>
          <w:rFonts w:hint="eastAsia" w:ascii="Times New Roman" w:hAnsi="Times New Roman" w:eastAsia="方正仿宋_GBK" w:cs="Times New Roman"/>
          <w:b/>
          <w:bCs/>
          <w:sz w:val="32"/>
          <w:szCs w:val="32"/>
        </w:rPr>
        <w:t>部门预算执行进度情况。</w:t>
      </w:r>
      <w:r>
        <w:rPr>
          <w:rFonts w:hint="eastAsia" w:ascii="Times New Roman" w:hAnsi="Times New Roman" w:eastAsia="方正仿宋_GBK" w:cs="Times New Roman"/>
          <w:sz w:val="32"/>
          <w:szCs w:val="32"/>
        </w:rPr>
        <w:t>按《预算法》和财政有关规定，职工工资等人员经费按月发放，公务费按季申报，项目支出按项目实施情况经我单位和区财政审核无误后按项目进度拨付。在支付方式上，工资和项目资金实行财政直接支付；公用经费根据资金用途选择财政直接支付、申请授权支付，并尽量采取公务卡支付或转账支付，尽量减少现金支出。</w:t>
      </w:r>
    </w:p>
    <w:p>
      <w:pPr>
        <w:pageBreakBefore w:val="0"/>
        <w:kinsoku/>
        <w:wordWrap/>
        <w:overflowPunct/>
        <w:topLinePunct w:val="0"/>
        <w:bidi w:val="0"/>
        <w:spacing w:line="578" w:lineRule="exact"/>
        <w:ind w:firstLine="643"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lang w:val="en-US" w:eastAsia="zh-CN"/>
        </w:rPr>
        <w:t xml:space="preserve"> </w:t>
      </w:r>
      <w:r>
        <w:rPr>
          <w:rFonts w:hint="eastAsia" w:ascii="Times New Roman" w:hAnsi="Times New Roman" w:eastAsia="方正仿宋_GBK" w:cs="Times New Roman"/>
          <w:b/>
          <w:bCs/>
          <w:sz w:val="32"/>
          <w:szCs w:val="32"/>
        </w:rPr>
        <w:t>预算约束刚性情况。 </w:t>
      </w:r>
      <w:r>
        <w:rPr>
          <w:rFonts w:hint="eastAsia" w:ascii="Times New Roman" w:hAnsi="Times New Roman" w:eastAsia="方正仿宋_GBK" w:cs="Times New Roman"/>
          <w:sz w:val="32"/>
          <w:szCs w:val="32"/>
        </w:rPr>
        <w:t>在执行各项资金预算中，严格按照中央、省、市、区各级财务规定，管好、用好每笔资金。在专项项目资金使用过程中，严格按照项目资金管理办法的规定做好项目实施和监管，切实做到专款专用，从而发挥好项目资金对项目实施的促进作用；对涉及专项资金支出额度较大时，必须专题研究决定，杜绝违规违法事件的发生。</w:t>
      </w:r>
    </w:p>
    <w:p>
      <w:pPr>
        <w:pageBreakBefore w:val="0"/>
        <w:kinsoku/>
        <w:wordWrap/>
        <w:overflowPunct/>
        <w:topLinePunct w:val="0"/>
        <w:bidi w:val="0"/>
        <w:spacing w:line="578" w:lineRule="exact"/>
        <w:ind w:firstLine="643" w:firstLineChars="200"/>
        <w:rPr>
          <w:rFonts w:hint="eastAsia"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3.</w:t>
      </w:r>
      <w:r>
        <w:rPr>
          <w:rFonts w:hint="eastAsia" w:eastAsia="方正仿宋_GBK" w:cs="Times New Roman"/>
          <w:b/>
          <w:bCs/>
          <w:sz w:val="32"/>
          <w:szCs w:val="32"/>
          <w:lang w:val="en-US" w:eastAsia="zh-CN"/>
        </w:rPr>
        <w:t xml:space="preserve"> </w:t>
      </w:r>
      <w:r>
        <w:rPr>
          <w:rFonts w:hint="eastAsia" w:ascii="Times New Roman" w:hAnsi="Times New Roman" w:eastAsia="方正仿宋_GBK" w:cs="Times New Roman"/>
          <w:b/>
          <w:bCs/>
          <w:sz w:val="32"/>
          <w:szCs w:val="32"/>
        </w:rPr>
        <w:t>行政运行成本控制情况</w:t>
      </w:r>
    </w:p>
    <w:p>
      <w:pPr>
        <w:pageBreakBefore w:val="0"/>
        <w:kinsoku/>
        <w:wordWrap/>
        <w:overflowPunct/>
        <w:topLinePunct w:val="0"/>
        <w:bidi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（1）机关节能降耗。 认真开展厉行节约反对浪费规定学习的同时，倡导全体机关工作人员弘扬艰苦奋斗、勤俭节约的优良作风，进一步推进建设节约型机关。办公室、会议室等尽量采用自然光，尽可能少开灯或不开灯；做到离开办公室随手关灯，杜绝“长明灯”、“白昼灯”；下班后自觉关闭各类电器设备电源；强化节水意识，切实做到节约每一滴水，使广大干部职工养成良好的节水习惯；加强办公用品的使用管理，规范办公用品的采购，积极推行网络办公，尽量在电子媒介上撰写、修改文稿，加快推进无纸化办公。</w:t>
      </w:r>
    </w:p>
    <w:p>
      <w:pPr>
        <w:pageBreakBefore w:val="0"/>
        <w:kinsoku/>
        <w:wordWrap/>
        <w:overflowPunct/>
        <w:topLinePunct w:val="0"/>
        <w:bidi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eastAsia="zh-CN"/>
        </w:rPr>
        <w:t>严格</w:t>
      </w:r>
      <w:r>
        <w:rPr>
          <w:rFonts w:hint="eastAsia" w:ascii="Times New Roman" w:hAnsi="Times New Roman" w:eastAsia="方正仿宋_GBK" w:cs="Times New Roman"/>
          <w:sz w:val="32"/>
          <w:szCs w:val="32"/>
        </w:rPr>
        <w:t>“三公”支出。严格执行中央八项规定和省、市、区相关规定，着力控制“三公”经费预算支出。全年无因公出国（境）费用支出；精减会议活动，减少会议费支出；严格执行党政机关厉行节约反对浪费条例，加强内部财务管理。</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（三）综合管理情况</w:t>
      </w:r>
    </w:p>
    <w:p>
      <w:pPr>
        <w:pageBreakBefore w:val="0"/>
        <w:kinsoku/>
        <w:wordWrap/>
        <w:overflowPunct/>
        <w:topLinePunct w:val="0"/>
        <w:bidi w:val="0"/>
        <w:spacing w:line="578"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eastAsia"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政府采购实施情况。</w:t>
      </w:r>
      <w:r>
        <w:rPr>
          <w:rFonts w:hint="default" w:ascii="Times New Roman" w:hAnsi="Times New Roman" w:eastAsia="方正仿宋_GBK" w:cs="Times New Roman"/>
          <w:sz w:val="32"/>
          <w:szCs w:val="32"/>
        </w:rPr>
        <w:t>按照《预算法》和《政府采购法》规定编制政府采购预算和实施政府采购计划，按规定做好备案工作。</w:t>
      </w:r>
    </w:p>
    <w:p>
      <w:pPr>
        <w:pageBreakBefore w:val="0"/>
        <w:kinsoku/>
        <w:wordWrap/>
        <w:overflowPunct/>
        <w:topLinePunct w:val="0"/>
        <w:bidi w:val="0"/>
        <w:spacing w:line="578"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w:t>
      </w:r>
      <w:r>
        <w:rPr>
          <w:rFonts w:hint="eastAsia"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资产管理。</w:t>
      </w:r>
      <w:r>
        <w:rPr>
          <w:rFonts w:hint="default" w:ascii="Times New Roman" w:hAnsi="Times New Roman" w:eastAsia="方正仿宋_GBK" w:cs="Times New Roman"/>
          <w:sz w:val="32"/>
          <w:szCs w:val="32"/>
          <w:lang w:eastAsia="zh-CN"/>
        </w:rPr>
        <w:t>我中心</w:t>
      </w:r>
      <w:r>
        <w:rPr>
          <w:rFonts w:hint="default" w:ascii="Times New Roman" w:hAnsi="Times New Roman" w:eastAsia="方正仿宋_GBK" w:cs="Times New Roman"/>
          <w:sz w:val="32"/>
          <w:szCs w:val="32"/>
        </w:rPr>
        <w:t>固定资产实行“统一管理，分级负责”。设置固定资产的管理部门，统一建账、核算，统一登记、监督管理和维修。各股室是固定资产的使用部门，并负责固定资产的保管和使用。同时，根据《行政事业单位资产清查核实管理办法》开展了资产清查工作。</w:t>
      </w:r>
    </w:p>
    <w:p>
      <w:pPr>
        <w:pageBreakBefore w:val="0"/>
        <w:kinsoku/>
        <w:wordWrap/>
        <w:overflowPunct/>
        <w:topLinePunct w:val="0"/>
        <w:bidi w:val="0"/>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（1）资产管理信息系统建设情况。已将所有资产全部录入行政事业单位资产管理系统，并指定专人负责管理系统。</w:t>
      </w:r>
    </w:p>
    <w:p>
      <w:pPr>
        <w:pageBreakBefore w:val="0"/>
        <w:kinsoku/>
        <w:wordWrap/>
        <w:overflowPunct/>
        <w:topLinePunct w:val="0"/>
        <w:bidi w:val="0"/>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（2）资产清查情况。启动全单位资产清查，并将资产清查结果上报了相关主管部门。</w:t>
      </w:r>
    </w:p>
    <w:p>
      <w:pPr>
        <w:pageBreakBefore w:val="0"/>
        <w:kinsoku/>
        <w:wordWrap/>
        <w:overflowPunct/>
        <w:topLinePunct w:val="0"/>
        <w:bidi w:val="0"/>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（3）资产报表上报情况。安排专人负责国有资产清查及报表上报工作。在资产清查结束后，已上报清查报表、清查工作报告等国有资产报表数据。 </w:t>
      </w:r>
    </w:p>
    <w:p>
      <w:pPr>
        <w:pageBreakBefore w:val="0"/>
        <w:kinsoku/>
        <w:wordWrap/>
        <w:overflowPunct/>
        <w:topLinePunct w:val="0"/>
        <w:bidi w:val="0"/>
        <w:spacing w:line="578"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w:t>
      </w:r>
      <w:r>
        <w:rPr>
          <w:rFonts w:hint="eastAsia"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内控制度管理。</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我中心</w:t>
      </w:r>
      <w:r>
        <w:rPr>
          <w:rFonts w:hint="default" w:ascii="Times New Roman" w:hAnsi="Times New Roman" w:eastAsia="方正仿宋_GBK" w:cs="Times New Roman"/>
          <w:sz w:val="32"/>
          <w:szCs w:val="32"/>
        </w:rPr>
        <w:t>抽派人力，根据本单位实际，制定了《财务内控制度》，从多方面规范了经费开支行为，严格审签制度，切实把控财务风险。同时，严格执行上级有关财务管理规定，落实“三重一大”制度，确保财务整体的安全、顺畅，防止违法违纪现象发生。</w:t>
      </w:r>
    </w:p>
    <w:p>
      <w:pPr>
        <w:pageBreakBefore w:val="0"/>
        <w:kinsoku/>
        <w:wordWrap/>
        <w:overflowPunct/>
        <w:topLinePunct w:val="0"/>
        <w:bidi w:val="0"/>
        <w:spacing w:line="578"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w:t>
      </w:r>
      <w:r>
        <w:rPr>
          <w:rFonts w:hint="eastAsia"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信息公开。</w:t>
      </w:r>
      <w:r>
        <w:rPr>
          <w:rFonts w:hint="default" w:ascii="Times New Roman" w:hAnsi="Times New Roman" w:eastAsia="方正仿宋_GBK" w:cs="Times New Roman"/>
          <w:sz w:val="32"/>
          <w:szCs w:val="32"/>
        </w:rPr>
        <w:t>按照相关规定，落实工作人员按要求对201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年预决算信息进行了公开，确保公开透明。</w:t>
      </w:r>
    </w:p>
    <w:p>
      <w:pPr>
        <w:pageBreakBefore w:val="0"/>
        <w:kinsoku/>
        <w:wordWrap/>
        <w:overflowPunct/>
        <w:topLinePunct w:val="0"/>
        <w:bidi w:val="0"/>
        <w:spacing w:line="578"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5.</w:t>
      </w:r>
      <w:r>
        <w:rPr>
          <w:rFonts w:hint="eastAsia"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绩效管理。</w:t>
      </w:r>
      <w:r>
        <w:rPr>
          <w:rFonts w:hint="default" w:ascii="Times New Roman" w:hAnsi="Times New Roman" w:eastAsia="方正仿宋_GBK" w:cs="Times New Roman"/>
          <w:sz w:val="32"/>
          <w:szCs w:val="32"/>
        </w:rPr>
        <w:t>通过对单位的工作和运营目标进行分解，设定各股室绩效目标，对股室和个人的绩效进行沟通、反馈、考评，从而将个人、股室与单位目标有机结合，提高单位整体绩效，促进职工工作积极性和单位发展动力。</w:t>
      </w:r>
    </w:p>
    <w:p>
      <w:pPr>
        <w:pageBreakBefore w:val="0"/>
        <w:kinsoku/>
        <w:wordWrap/>
        <w:overflowPunct/>
        <w:topLinePunct w:val="0"/>
        <w:bidi w:val="0"/>
        <w:spacing w:line="578"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6.</w:t>
      </w:r>
      <w:r>
        <w:rPr>
          <w:rFonts w:hint="eastAsia"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依法接受财政监督情况。</w:t>
      </w:r>
      <w:r>
        <w:rPr>
          <w:rFonts w:hint="default" w:ascii="Times New Roman" w:hAnsi="Times New Roman" w:eastAsia="方正仿宋_GBK" w:cs="Times New Roman"/>
          <w:sz w:val="32"/>
          <w:szCs w:val="32"/>
        </w:rPr>
        <w:t>按照财政部门相关要求，开展了201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年度财政监督检查的自查自纠工作，并报送了自查自纠报告及报表。</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（四）整体效益</w:t>
      </w:r>
    </w:p>
    <w:p>
      <w:pPr>
        <w:pageBreakBefore w:val="0"/>
        <w:kinsoku/>
        <w:wordWrap/>
        <w:overflowPunct/>
        <w:topLinePunct w:val="0"/>
        <w:bidi w:val="0"/>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我中心</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年认真履行好职能职责，全面保障了</w:t>
      </w:r>
      <w:r>
        <w:rPr>
          <w:rFonts w:hint="default" w:ascii="Times New Roman" w:hAnsi="Times New Roman" w:eastAsia="方正仿宋_GBK" w:cs="Times New Roman"/>
          <w:sz w:val="32"/>
          <w:szCs w:val="32"/>
          <w:lang w:eastAsia="zh-CN"/>
        </w:rPr>
        <w:t>中心</w:t>
      </w:r>
      <w:r>
        <w:rPr>
          <w:rFonts w:hint="default" w:ascii="Times New Roman" w:hAnsi="Times New Roman" w:eastAsia="方正仿宋_GBK" w:cs="Times New Roman"/>
          <w:sz w:val="32"/>
          <w:szCs w:val="32"/>
        </w:rPr>
        <w:t>日常正常运转，圆满完成了区委、区政府及</w:t>
      </w:r>
      <w:r>
        <w:rPr>
          <w:rFonts w:hint="default" w:ascii="Times New Roman" w:hAnsi="Times New Roman" w:eastAsia="方正仿宋_GBK" w:cs="Times New Roman"/>
          <w:sz w:val="32"/>
          <w:szCs w:val="32"/>
          <w:lang w:eastAsia="zh-CN"/>
        </w:rPr>
        <w:t>上级</w:t>
      </w:r>
      <w:r>
        <w:rPr>
          <w:rFonts w:hint="default" w:ascii="Times New Roman" w:hAnsi="Times New Roman" w:eastAsia="方正仿宋_GBK" w:cs="Times New Roman"/>
          <w:sz w:val="32"/>
          <w:szCs w:val="32"/>
        </w:rPr>
        <w:t>下达的各项目标任务，全年完成了</w:t>
      </w:r>
      <w:r>
        <w:rPr>
          <w:rFonts w:hint="default" w:ascii="Times New Roman" w:hAnsi="Times New Roman" w:eastAsia="方正仿宋_GBK" w:cs="Times New Roman"/>
          <w:sz w:val="32"/>
          <w:szCs w:val="32"/>
          <w:lang w:eastAsia="zh-CN"/>
        </w:rPr>
        <w:t>中心开办，外出建站，指导乡镇社区设立农民工工作站点建设</w:t>
      </w:r>
      <w:r>
        <w:rPr>
          <w:rFonts w:hint="default" w:ascii="Times New Roman" w:hAnsi="Times New Roman" w:eastAsia="方正仿宋_GBK" w:cs="Times New Roman"/>
          <w:sz w:val="32"/>
          <w:szCs w:val="32"/>
        </w:rPr>
        <w:t>等。</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四、</w:t>
      </w:r>
      <w:r>
        <w:rPr>
          <w:rFonts w:hint="eastAsia" w:ascii="方正黑体_GBK" w:hAnsi="方正黑体_GBK" w:eastAsia="方正黑体_GBK" w:cs="方正黑体_GBK"/>
          <w:sz w:val="32"/>
          <w:szCs w:val="32"/>
          <w:lang w:eastAsia="zh-CN"/>
        </w:rPr>
        <w:t>评价结果及效益</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（一）评价结论</w:t>
      </w:r>
    </w:p>
    <w:p>
      <w:pPr>
        <w:pageBreakBefore w:val="0"/>
        <w:kinsoku/>
        <w:wordWrap/>
        <w:overflowPunct/>
        <w:topLinePunct w:val="0"/>
        <w:bidi w:val="0"/>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总体看，</w:t>
      </w:r>
      <w:r>
        <w:rPr>
          <w:rFonts w:hint="default" w:ascii="Times New Roman" w:hAnsi="Times New Roman" w:eastAsia="方正仿宋_GBK" w:cs="Times New Roman"/>
          <w:sz w:val="32"/>
          <w:szCs w:val="32"/>
          <w:lang w:eastAsia="zh-CN"/>
        </w:rPr>
        <w:t>我中心</w:t>
      </w:r>
      <w:r>
        <w:rPr>
          <w:rFonts w:hint="default" w:ascii="Times New Roman" w:hAnsi="Times New Roman" w:eastAsia="方正仿宋_GBK" w:cs="Times New Roman"/>
          <w:sz w:val="32"/>
          <w:szCs w:val="32"/>
        </w:rPr>
        <w:t>预算编制及执行决算较为准确，支出管理较为规范，财务管理制度较完善，部门整体绩效较好，自评得分为9</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分。</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（二）存在问题</w:t>
      </w:r>
    </w:p>
    <w:p>
      <w:pPr>
        <w:pageBreakBefore w:val="0"/>
        <w:kinsoku/>
        <w:wordWrap/>
        <w:overflowPunct/>
        <w:topLinePunct w:val="0"/>
        <w:bidi w:val="0"/>
        <w:spacing w:line="578"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w:t>
      </w:r>
      <w:r>
        <w:rPr>
          <w:rFonts w:hint="eastAsia" w:ascii="方正仿宋_GBK" w:hAnsi="方正仿宋_GBK" w:eastAsia="方正仿宋_GBK" w:cs="方正仿宋_GBK"/>
          <w:b/>
          <w:bCs/>
          <w:sz w:val="32"/>
          <w:szCs w:val="32"/>
          <w:lang w:eastAsia="zh-CN"/>
        </w:rPr>
        <w:t>是</w:t>
      </w:r>
      <w:r>
        <w:rPr>
          <w:rFonts w:hint="eastAsia" w:ascii="方正仿宋_GBK" w:hAnsi="方正仿宋_GBK" w:eastAsia="方正仿宋_GBK" w:cs="方正仿宋_GBK"/>
          <w:sz w:val="32"/>
          <w:szCs w:val="32"/>
        </w:rPr>
        <w:t>年初在编制预算时，不能准确预测当年需采购当年所要采购的计划清单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以致不能准确编入政府采购计划；</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sz w:val="32"/>
          <w:szCs w:val="32"/>
        </w:rPr>
        <w:t>内控制度管理质量不高，</w:t>
      </w:r>
      <w:r>
        <w:rPr>
          <w:rFonts w:hint="eastAsia" w:ascii="仿宋" w:hAnsi="仿宋" w:eastAsia="仿宋" w:cs="仿宋_GB2312"/>
          <w:color w:val="auto"/>
          <w:sz w:val="32"/>
          <w:szCs w:val="32"/>
          <w:lang w:eastAsia="zh-CN"/>
        </w:rPr>
        <w:t>个别</w:t>
      </w:r>
      <w:r>
        <w:rPr>
          <w:rFonts w:hint="eastAsia" w:ascii="方正仿宋_GBK" w:hAnsi="方正仿宋_GBK" w:eastAsia="方正仿宋_GBK" w:cs="方正仿宋_GBK"/>
          <w:sz w:val="32"/>
          <w:szCs w:val="32"/>
        </w:rPr>
        <w:t>内控制度执行不够到位。</w:t>
      </w:r>
    </w:p>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（三）改进</w:t>
      </w:r>
      <w:r>
        <w:rPr>
          <w:rFonts w:hint="eastAsia" w:ascii="方正楷体_GBK" w:hAnsi="方正楷体_GBK" w:eastAsia="方正楷体_GBK" w:cs="方正楷体_GBK"/>
          <w:sz w:val="32"/>
          <w:szCs w:val="32"/>
          <w:lang w:eastAsia="zh-CN"/>
        </w:rPr>
        <w:t>建议</w:t>
      </w:r>
    </w:p>
    <w:p>
      <w:pPr>
        <w:pageBreakBefore w:val="0"/>
        <w:kinsoku/>
        <w:wordWrap/>
        <w:overflowPunct/>
        <w:topLinePunct w:val="0"/>
        <w:bidi w:val="0"/>
        <w:spacing w:line="578"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提高预算编制质量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sz w:val="32"/>
          <w:szCs w:val="32"/>
        </w:rPr>
        <w:t>严格执行政府采购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bCs/>
          <w:sz w:val="32"/>
          <w:szCs w:val="32"/>
        </w:rPr>
        <w:t>三是</w:t>
      </w:r>
      <w:r>
        <w:rPr>
          <w:rFonts w:hint="eastAsia" w:ascii="方正仿宋_GBK" w:hAnsi="方正仿宋_GBK" w:eastAsia="方正仿宋_GBK" w:cs="方正仿宋_GBK"/>
          <w:sz w:val="32"/>
          <w:szCs w:val="32"/>
        </w:rPr>
        <w:t>加强资产管理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bCs/>
          <w:sz w:val="32"/>
          <w:szCs w:val="32"/>
        </w:rPr>
        <w:t>四是</w:t>
      </w:r>
      <w:r>
        <w:rPr>
          <w:rFonts w:hint="eastAsia" w:ascii="方正仿宋_GBK" w:hAnsi="方正仿宋_GBK" w:eastAsia="方正仿宋_GBK" w:cs="方正仿宋_GBK"/>
          <w:sz w:val="32"/>
          <w:szCs w:val="32"/>
        </w:rPr>
        <w:t>强化资金财务管理。</w:t>
      </w:r>
    </w:p>
    <w:p>
      <w:pPr>
        <w:pageBreakBefore w:val="0"/>
        <w:kinsoku/>
        <w:wordWrap/>
        <w:overflowPunct/>
        <w:topLinePunct w:val="0"/>
        <w:bidi w:val="0"/>
        <w:spacing w:line="578"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201</w:t>
      </w:r>
      <w:r>
        <w:rPr>
          <w:rFonts w:hint="default" w:ascii="Times New Roman" w:hAnsi="Times New Roman" w:eastAsia="方正小标宋_GBK" w:cs="Times New Roman"/>
          <w:color w:val="000000"/>
          <w:sz w:val="44"/>
          <w:szCs w:val="44"/>
          <w:lang w:val="en-US" w:eastAsia="zh-CN"/>
        </w:rPr>
        <w:t>9</w:t>
      </w:r>
      <w:r>
        <w:rPr>
          <w:rFonts w:hint="default" w:ascii="Times New Roman" w:hAnsi="Times New Roman" w:eastAsia="方正小标宋_GBK" w:cs="Times New Roman"/>
          <w:color w:val="000000"/>
          <w:sz w:val="44"/>
          <w:szCs w:val="44"/>
        </w:rPr>
        <w:t>年部门整体支出绩效评价得分表</w:t>
      </w:r>
    </w:p>
    <w:p>
      <w:pPr>
        <w:pageBreakBefore w:val="0"/>
        <w:kinsoku/>
        <w:wordWrap/>
        <w:overflowPunct/>
        <w:topLinePunct w:val="0"/>
        <w:bidi w:val="0"/>
        <w:spacing w:line="578" w:lineRule="exact"/>
        <w:ind w:firstLine="640" w:firstLineChars="200"/>
        <w:rPr>
          <w:rFonts w:ascii="仿宋" w:hAnsi="仿宋" w:eastAsia="仿宋" w:cs="仿宋_GB2312"/>
          <w:sz w:val="32"/>
          <w:szCs w:val="32"/>
        </w:rPr>
      </w:pPr>
    </w:p>
    <w:tbl>
      <w:tblPr>
        <w:tblStyle w:val="13"/>
        <w:tblW w:w="9498" w:type="dxa"/>
        <w:tblInd w:w="-176" w:type="dxa"/>
        <w:tblLayout w:type="fixed"/>
        <w:tblCellMar>
          <w:top w:w="0" w:type="dxa"/>
          <w:left w:w="108" w:type="dxa"/>
          <w:bottom w:w="0" w:type="dxa"/>
          <w:right w:w="108" w:type="dxa"/>
        </w:tblCellMar>
      </w:tblPr>
      <w:tblGrid>
        <w:gridCol w:w="1702"/>
        <w:gridCol w:w="2268"/>
        <w:gridCol w:w="3402"/>
        <w:gridCol w:w="2126"/>
      </w:tblGrid>
      <w:tr>
        <w:tblPrEx>
          <w:tblCellMar>
            <w:top w:w="0" w:type="dxa"/>
            <w:left w:w="108" w:type="dxa"/>
            <w:bottom w:w="0" w:type="dxa"/>
            <w:right w:w="108" w:type="dxa"/>
          </w:tblCellMar>
        </w:tblPrEx>
        <w:trPr>
          <w:trHeight w:val="240"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一级指标</w:t>
            </w:r>
          </w:p>
        </w:tc>
        <w:tc>
          <w:tcPr>
            <w:tcW w:w="2268"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二级指标</w:t>
            </w:r>
          </w:p>
        </w:tc>
        <w:tc>
          <w:tcPr>
            <w:tcW w:w="3402"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三级指标</w:t>
            </w:r>
          </w:p>
        </w:tc>
        <w:tc>
          <w:tcPr>
            <w:tcW w:w="2126" w:type="dxa"/>
            <w:tcBorders>
              <w:top w:val="single" w:color="auto" w:sz="4" w:space="0"/>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得分</w:t>
            </w:r>
          </w:p>
        </w:tc>
      </w:tr>
      <w:tr>
        <w:tblPrEx>
          <w:tblCellMar>
            <w:top w:w="0" w:type="dxa"/>
            <w:left w:w="108" w:type="dxa"/>
            <w:bottom w:w="0" w:type="dxa"/>
            <w:right w:w="108" w:type="dxa"/>
          </w:tblCellMar>
        </w:tblPrEx>
        <w:trPr>
          <w:trHeight w:val="520" w:hRule="atLeast"/>
        </w:trPr>
        <w:tc>
          <w:tcPr>
            <w:tcW w:w="1702" w:type="dxa"/>
            <w:vMerge w:val="restart"/>
            <w:tcBorders>
              <w:top w:val="nil"/>
              <w:left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r>
              <w:rPr>
                <w:rFonts w:hint="eastAsia" w:ascii="宋体" w:hAnsi="宋体" w:cs="宋体"/>
                <w:color w:val="000000"/>
                <w:kern w:val="0"/>
                <w:sz w:val="20"/>
                <w:szCs w:val="20"/>
              </w:rPr>
              <w:t>部门决策（25分）</w:t>
            </w: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r>
              <w:rPr>
                <w:rFonts w:hint="eastAsia" w:ascii="宋体" w:hAnsi="宋体" w:cs="宋体"/>
                <w:color w:val="000000"/>
                <w:kern w:val="0"/>
                <w:sz w:val="20"/>
                <w:szCs w:val="20"/>
              </w:rPr>
              <w:t>目标任务（15分）</w:t>
            </w: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相关性（5分）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明确性（5分）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420" w:hRule="atLeast"/>
        </w:trPr>
        <w:tc>
          <w:tcPr>
            <w:tcW w:w="1702" w:type="dxa"/>
            <w:vMerge w:val="continue"/>
            <w:tcBorders>
              <w:left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合理性（5分）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269" w:hRule="atLeast"/>
        </w:trPr>
        <w:tc>
          <w:tcPr>
            <w:tcW w:w="1702" w:type="dxa"/>
            <w:vMerge w:val="continue"/>
            <w:tcBorders>
              <w:left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预算编制（10分）</w:t>
            </w: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测算依据（5分）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231" w:hRule="atLeast"/>
        </w:trPr>
        <w:tc>
          <w:tcPr>
            <w:tcW w:w="1702" w:type="dxa"/>
            <w:vMerge w:val="continue"/>
            <w:tcBorders>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目标管理（5分）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477" w:hRule="atLeast"/>
        </w:trPr>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r>
              <w:rPr>
                <w:rFonts w:hint="eastAsia" w:ascii="宋体" w:hAnsi="宋体" w:cs="宋体"/>
                <w:color w:val="000000"/>
                <w:kern w:val="0"/>
                <w:sz w:val="20"/>
                <w:szCs w:val="20"/>
              </w:rPr>
              <w:t>综合管理（30分）</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专项资金分配时限（2分）</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省级财力专项预算分配时限（1分）</w:t>
            </w:r>
          </w:p>
        </w:tc>
        <w:tc>
          <w:tcPr>
            <w:tcW w:w="2126" w:type="dxa"/>
            <w:tcBorders>
              <w:top w:val="single" w:color="auto" w:sz="4" w:space="0"/>
              <w:left w:val="single" w:color="auto" w:sz="4" w:space="0"/>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413" w:hRule="atLeast"/>
        </w:trPr>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spacing w:line="578" w:lineRule="exact"/>
              <w:jc w:val="center"/>
              <w:rPr>
                <w:rFonts w:ascii="宋体" w:hAnsi="宋体" w:cs="宋体"/>
                <w:color w:val="000000"/>
                <w:kern w:val="0"/>
                <w:sz w:val="20"/>
                <w:szCs w:val="20"/>
              </w:rPr>
            </w:pP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中央专款分配合规率（1分）</w:t>
            </w:r>
          </w:p>
        </w:tc>
        <w:tc>
          <w:tcPr>
            <w:tcW w:w="2126" w:type="dxa"/>
            <w:tcBorders>
              <w:top w:val="single" w:color="auto" w:sz="4" w:space="0"/>
              <w:left w:val="single" w:color="auto" w:sz="4" w:space="0"/>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277" w:hRule="atLeast"/>
        </w:trPr>
        <w:tc>
          <w:tcPr>
            <w:tcW w:w="1702" w:type="dxa"/>
            <w:vMerge w:val="continue"/>
            <w:tcBorders>
              <w:top w:val="single" w:color="auto" w:sz="4" w:space="0"/>
              <w:left w:val="single" w:color="auto" w:sz="4" w:space="0"/>
              <w:right w:val="single" w:color="auto" w:sz="4" w:space="0"/>
            </w:tcBorders>
            <w:shd w:val="clear" w:color="auto" w:fill="auto"/>
            <w:vAlign w:val="center"/>
          </w:tcPr>
          <w:p>
            <w:pPr>
              <w:pageBreakBefore w:val="0"/>
              <w:kinsoku/>
              <w:wordWrap/>
              <w:overflowPunct/>
              <w:topLinePunct w:val="0"/>
              <w:bidi w:val="0"/>
              <w:spacing w:line="578" w:lineRule="exact"/>
              <w:jc w:val="center"/>
              <w:rPr>
                <w:rFonts w:ascii="宋体" w:hAnsi="宋体" w:cs="宋体"/>
                <w:color w:val="000000"/>
                <w:kern w:val="0"/>
                <w:sz w:val="20"/>
                <w:szCs w:val="20"/>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中期评估（2分）</w:t>
            </w:r>
          </w:p>
        </w:tc>
        <w:tc>
          <w:tcPr>
            <w:tcW w:w="3402"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执行中期评估（2分）</w:t>
            </w:r>
          </w:p>
        </w:tc>
        <w:tc>
          <w:tcPr>
            <w:tcW w:w="2126" w:type="dxa"/>
            <w:tcBorders>
              <w:top w:val="single" w:color="auto" w:sz="4" w:space="0"/>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381" w:hRule="atLeast"/>
        </w:trPr>
        <w:tc>
          <w:tcPr>
            <w:tcW w:w="1702" w:type="dxa"/>
            <w:vMerge w:val="continue"/>
            <w:tcBorders>
              <w:left w:val="single" w:color="auto" w:sz="4" w:space="0"/>
              <w:right w:val="single" w:color="auto" w:sz="4" w:space="0"/>
            </w:tcBorders>
            <w:shd w:val="clear" w:color="auto" w:fill="auto"/>
            <w:vAlign w:val="center"/>
          </w:tcPr>
          <w:p>
            <w:pPr>
              <w:pageBreakBefore w:val="0"/>
              <w:kinsoku/>
              <w:wordWrap/>
              <w:overflowPunct/>
              <w:topLinePunct w:val="0"/>
              <w:bidi w:val="0"/>
              <w:spacing w:line="578" w:lineRule="exact"/>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绩效监控（5分）</w:t>
            </w: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预算执行进度监控（2分）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273" w:hRule="atLeast"/>
        </w:trPr>
        <w:tc>
          <w:tcPr>
            <w:tcW w:w="1702" w:type="dxa"/>
            <w:vMerge w:val="continue"/>
            <w:tcBorders>
              <w:left w:val="single" w:color="auto" w:sz="4" w:space="0"/>
              <w:right w:val="single" w:color="auto" w:sz="4" w:space="0"/>
            </w:tcBorders>
            <w:shd w:val="clear" w:color="auto" w:fill="auto"/>
            <w:vAlign w:val="center"/>
          </w:tcPr>
          <w:p>
            <w:pPr>
              <w:pageBreakBefore w:val="0"/>
              <w:kinsoku/>
              <w:wordWrap/>
              <w:overflowPunct/>
              <w:topLinePunct w:val="0"/>
              <w:bidi w:val="0"/>
              <w:spacing w:line="578" w:lineRule="exact"/>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绩效目标动态监控（3分）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shd w:val="clear" w:color="auto" w:fill="auto"/>
            <w:vAlign w:val="center"/>
          </w:tcPr>
          <w:p>
            <w:pPr>
              <w:pageBreakBefore w:val="0"/>
              <w:kinsoku/>
              <w:wordWrap/>
              <w:overflowPunct/>
              <w:topLinePunct w:val="0"/>
              <w:bidi w:val="0"/>
              <w:spacing w:line="578" w:lineRule="exact"/>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非税收入执收情况（2分）</w:t>
            </w: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非税收入征收情况（1分）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325" w:hRule="atLeast"/>
        </w:trPr>
        <w:tc>
          <w:tcPr>
            <w:tcW w:w="1702" w:type="dxa"/>
            <w:vMerge w:val="continue"/>
            <w:tcBorders>
              <w:left w:val="single" w:color="auto" w:sz="4" w:space="0"/>
              <w:right w:val="single" w:color="auto" w:sz="4" w:space="0"/>
            </w:tcBorders>
            <w:shd w:val="clear" w:color="auto" w:fill="auto"/>
            <w:vAlign w:val="center"/>
          </w:tcPr>
          <w:p>
            <w:pPr>
              <w:pageBreakBefore w:val="0"/>
              <w:kinsoku/>
              <w:wordWrap/>
              <w:overflowPunct/>
              <w:topLinePunct w:val="0"/>
              <w:bidi w:val="0"/>
              <w:spacing w:line="578" w:lineRule="exact"/>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非税收入上缴情况（1分）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shd w:val="clear" w:color="auto" w:fill="auto"/>
            <w:vAlign w:val="center"/>
          </w:tcPr>
          <w:p>
            <w:pPr>
              <w:pageBreakBefore w:val="0"/>
              <w:kinsoku/>
              <w:wordWrap/>
              <w:overflowPunct/>
              <w:topLinePunct w:val="0"/>
              <w:bidi w:val="0"/>
              <w:spacing w:line="578" w:lineRule="exact"/>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资产管理（6分）</w:t>
            </w: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资产管理信息化情况（2分）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shd w:val="clear" w:color="auto" w:fill="auto"/>
            <w:vAlign w:val="center"/>
          </w:tcPr>
          <w:p>
            <w:pPr>
              <w:pageBreakBefore w:val="0"/>
              <w:kinsoku/>
              <w:wordWrap/>
              <w:overflowPunct/>
              <w:topLinePunct w:val="0"/>
              <w:bidi w:val="0"/>
              <w:spacing w:line="578" w:lineRule="exact"/>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行政事业单位资产报告情况（2分）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353" w:hRule="atLeast"/>
        </w:trPr>
        <w:tc>
          <w:tcPr>
            <w:tcW w:w="1702" w:type="dxa"/>
            <w:vMerge w:val="continue"/>
            <w:tcBorders>
              <w:left w:val="single" w:color="auto" w:sz="4" w:space="0"/>
              <w:right w:val="single" w:color="auto" w:sz="4" w:space="0"/>
            </w:tcBorders>
            <w:shd w:val="clear" w:color="auto" w:fill="auto"/>
            <w:vAlign w:val="center"/>
          </w:tcPr>
          <w:p>
            <w:pPr>
              <w:pageBreakBefore w:val="0"/>
              <w:kinsoku/>
              <w:wordWrap/>
              <w:overflowPunct/>
              <w:topLinePunct w:val="0"/>
              <w:bidi w:val="0"/>
              <w:spacing w:line="578" w:lineRule="exact"/>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资产管理与预算管理相结合（2分）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272" w:hRule="atLeast"/>
        </w:trPr>
        <w:tc>
          <w:tcPr>
            <w:tcW w:w="1702" w:type="dxa"/>
            <w:vMerge w:val="continue"/>
            <w:tcBorders>
              <w:left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内控制度管理（2分）</w:t>
            </w: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内部控制度健全完整（2分）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221" w:hRule="atLeast"/>
        </w:trPr>
        <w:tc>
          <w:tcPr>
            <w:tcW w:w="1702" w:type="dxa"/>
            <w:vMerge w:val="continue"/>
            <w:tcBorders>
              <w:left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信息公开（6分）</w:t>
            </w: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预算公开（2分）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197" w:hRule="atLeast"/>
        </w:trPr>
        <w:tc>
          <w:tcPr>
            <w:tcW w:w="1702" w:type="dxa"/>
            <w:vMerge w:val="continue"/>
            <w:tcBorders>
              <w:left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决算公开（2分）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绩效信息公开（2分）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405" w:hRule="atLeast"/>
        </w:trPr>
        <w:tc>
          <w:tcPr>
            <w:tcW w:w="1702" w:type="dxa"/>
            <w:vMerge w:val="continue"/>
            <w:tcBorders>
              <w:left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绩效评价（5分）</w:t>
            </w: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绩效评价开展（2分）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127" w:hRule="atLeast"/>
        </w:trPr>
        <w:tc>
          <w:tcPr>
            <w:tcW w:w="1702" w:type="dxa"/>
            <w:vMerge w:val="continue"/>
            <w:tcBorders>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评价结果应用（3分）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231" w:hRule="atLeast"/>
        </w:trPr>
        <w:tc>
          <w:tcPr>
            <w:tcW w:w="1702" w:type="dxa"/>
            <w:vMerge w:val="restart"/>
            <w:tcBorders>
              <w:top w:val="nil"/>
              <w:left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r>
              <w:rPr>
                <w:rFonts w:hint="eastAsia" w:ascii="宋体" w:hAnsi="宋体" w:cs="宋体"/>
                <w:color w:val="000000"/>
                <w:kern w:val="0"/>
                <w:sz w:val="20"/>
                <w:szCs w:val="20"/>
              </w:rPr>
              <w:t>部门绩效情况（45分）</w:t>
            </w: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履职成效（20分）</w:t>
            </w: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r>
              <w:rPr>
                <w:rFonts w:hint="eastAsia" w:ascii="宋体" w:hAnsi="宋体" w:cs="宋体"/>
                <w:color w:val="000000"/>
                <w:kern w:val="0"/>
                <w:sz w:val="20"/>
                <w:szCs w:val="20"/>
              </w:rPr>
              <w:t>部门特性指标</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both"/>
              <w:rPr>
                <w:rFonts w:hint="eastAsia" w:ascii="宋体" w:hAnsi="宋体" w:cs="宋体"/>
                <w:color w:val="000000"/>
                <w:kern w:val="0"/>
                <w:sz w:val="20"/>
                <w:szCs w:val="20"/>
              </w:rPr>
            </w:pPr>
            <w:r>
              <w:rPr>
                <w:rFonts w:hint="eastAsia" w:ascii="宋体" w:hAnsi="宋体" w:cs="宋体"/>
                <w:color w:val="000000"/>
                <w:kern w:val="0"/>
                <w:sz w:val="20"/>
                <w:szCs w:val="20"/>
              </w:rPr>
              <w:t>20</w:t>
            </w:r>
          </w:p>
        </w:tc>
      </w:tr>
      <w:tr>
        <w:tblPrEx>
          <w:tblCellMar>
            <w:top w:w="0" w:type="dxa"/>
            <w:left w:w="108" w:type="dxa"/>
            <w:bottom w:w="0" w:type="dxa"/>
            <w:right w:w="108" w:type="dxa"/>
          </w:tblCellMar>
        </w:tblPrEx>
        <w:trPr>
          <w:trHeight w:val="180" w:hRule="atLeast"/>
        </w:trPr>
        <w:tc>
          <w:tcPr>
            <w:tcW w:w="1702" w:type="dxa"/>
            <w:vMerge w:val="continue"/>
            <w:tcBorders>
              <w:left w:val="single" w:color="auto" w:sz="4" w:space="0"/>
              <w:right w:val="single" w:color="auto" w:sz="4" w:space="0"/>
            </w:tcBorders>
            <w:shd w:val="clear" w:color="auto" w:fill="auto"/>
            <w:vAlign w:val="center"/>
          </w:tcPr>
          <w:p>
            <w:pPr>
              <w:pageBreakBefore w:val="0"/>
              <w:kinsoku/>
              <w:wordWrap/>
              <w:overflowPunct/>
              <w:topLinePunct w:val="0"/>
              <w:bidi w:val="0"/>
              <w:spacing w:line="578" w:lineRule="exact"/>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shd w:val="clear" w:color="auto" w:fill="auto"/>
            <w:vAlign w:val="center"/>
          </w:tcPr>
          <w:p>
            <w:pPr>
              <w:pageBreakBefore w:val="0"/>
              <w:kinsoku/>
              <w:wordWrap/>
              <w:overflowPunct/>
              <w:topLinePunct w:val="0"/>
              <w:bidi w:val="0"/>
              <w:spacing w:line="578" w:lineRule="exact"/>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shd w:val="clear" w:color="auto" w:fill="auto"/>
            <w:vAlign w:val="center"/>
          </w:tcPr>
          <w:p>
            <w:pPr>
              <w:pageBreakBefore w:val="0"/>
              <w:kinsoku/>
              <w:wordWrap/>
              <w:overflowPunct/>
              <w:topLinePunct w:val="0"/>
              <w:bidi w:val="0"/>
              <w:spacing w:line="578" w:lineRule="exact"/>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157" w:hRule="atLeast"/>
        </w:trPr>
        <w:tc>
          <w:tcPr>
            <w:tcW w:w="1702" w:type="dxa"/>
            <w:vMerge w:val="continue"/>
            <w:tcBorders>
              <w:left w:val="single" w:color="auto" w:sz="4" w:space="0"/>
              <w:right w:val="single" w:color="auto" w:sz="4" w:space="0"/>
            </w:tcBorders>
            <w:shd w:val="clear" w:color="auto" w:fill="auto"/>
            <w:vAlign w:val="center"/>
          </w:tcPr>
          <w:p>
            <w:pPr>
              <w:pageBreakBefore w:val="0"/>
              <w:kinsoku/>
              <w:wordWrap/>
              <w:overflowPunct/>
              <w:topLinePunct w:val="0"/>
              <w:bidi w:val="0"/>
              <w:spacing w:line="578" w:lineRule="exact"/>
              <w:jc w:val="left"/>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r>
              <w:rPr>
                <w:rFonts w:hint="eastAsia" w:ascii="宋体" w:hAnsi="宋体" w:cs="宋体"/>
                <w:color w:val="000000"/>
                <w:kern w:val="0"/>
                <w:sz w:val="20"/>
                <w:szCs w:val="20"/>
              </w:rPr>
              <w:t>可持续发展能力（15分）</w:t>
            </w: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r>
              <w:rPr>
                <w:rFonts w:hint="eastAsia" w:ascii="宋体" w:hAnsi="宋体" w:cs="宋体"/>
                <w:color w:val="000000"/>
                <w:kern w:val="0"/>
                <w:sz w:val="20"/>
                <w:szCs w:val="20"/>
              </w:rPr>
              <w:t>重点改革（重点工作）完成情况（5分）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both"/>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320" w:hRule="atLeast"/>
        </w:trPr>
        <w:tc>
          <w:tcPr>
            <w:tcW w:w="1702" w:type="dxa"/>
            <w:vMerge w:val="continue"/>
            <w:tcBorders>
              <w:left w:val="single" w:color="auto" w:sz="4" w:space="0"/>
              <w:right w:val="single" w:color="auto" w:sz="4" w:space="0"/>
            </w:tcBorders>
            <w:shd w:val="clear" w:color="auto" w:fill="auto"/>
            <w:vAlign w:val="center"/>
          </w:tcPr>
          <w:p>
            <w:pPr>
              <w:pageBreakBefore w:val="0"/>
              <w:kinsoku/>
              <w:wordWrap/>
              <w:overflowPunct/>
              <w:topLinePunct w:val="0"/>
              <w:bidi w:val="0"/>
              <w:spacing w:line="578" w:lineRule="exact"/>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r>
              <w:rPr>
                <w:rFonts w:hint="eastAsia" w:ascii="宋体" w:hAnsi="宋体" w:cs="宋体"/>
                <w:color w:val="000000"/>
                <w:kern w:val="0"/>
                <w:sz w:val="20"/>
                <w:szCs w:val="20"/>
              </w:rPr>
              <w:t>科技（制度、方法、机制等）创新（5分）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both"/>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385" w:hRule="atLeast"/>
        </w:trPr>
        <w:tc>
          <w:tcPr>
            <w:tcW w:w="1702" w:type="dxa"/>
            <w:vMerge w:val="continue"/>
            <w:tcBorders>
              <w:left w:val="single" w:color="auto" w:sz="4" w:space="0"/>
              <w:right w:val="single" w:color="auto" w:sz="4" w:space="0"/>
            </w:tcBorders>
            <w:shd w:val="clear" w:color="auto" w:fill="auto"/>
            <w:vAlign w:val="center"/>
          </w:tcPr>
          <w:p>
            <w:pPr>
              <w:pageBreakBefore w:val="0"/>
              <w:kinsoku/>
              <w:wordWrap/>
              <w:overflowPunct/>
              <w:topLinePunct w:val="0"/>
              <w:bidi w:val="0"/>
              <w:spacing w:line="578" w:lineRule="exact"/>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r>
              <w:rPr>
                <w:rFonts w:hint="eastAsia" w:ascii="宋体" w:hAnsi="宋体" w:cs="宋体"/>
                <w:color w:val="000000"/>
                <w:kern w:val="0"/>
                <w:sz w:val="20"/>
                <w:szCs w:val="20"/>
              </w:rPr>
              <w:t>人才培养（5分）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both"/>
              <w:rPr>
                <w:rFonts w:hint="eastAsia"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432" w:hRule="atLeast"/>
        </w:trPr>
        <w:tc>
          <w:tcPr>
            <w:tcW w:w="1702" w:type="dxa"/>
            <w:vMerge w:val="continue"/>
            <w:tcBorders>
              <w:left w:val="single" w:color="auto" w:sz="4" w:space="0"/>
              <w:right w:val="single" w:color="auto" w:sz="4" w:space="0"/>
            </w:tcBorders>
            <w:shd w:val="clear" w:color="auto" w:fill="auto"/>
            <w:vAlign w:val="center"/>
          </w:tcPr>
          <w:p>
            <w:pPr>
              <w:pageBreakBefore w:val="0"/>
              <w:kinsoku/>
              <w:wordWrap/>
              <w:overflowPunct/>
              <w:topLinePunct w:val="0"/>
              <w:bidi w:val="0"/>
              <w:spacing w:line="578" w:lineRule="exact"/>
              <w:jc w:val="left"/>
              <w:rPr>
                <w:rFonts w:ascii="宋体" w:hAnsi="宋体" w:cs="宋体"/>
                <w:color w:val="000000"/>
                <w:kern w:val="0"/>
                <w:sz w:val="20"/>
                <w:szCs w:val="20"/>
              </w:rPr>
            </w:pPr>
          </w:p>
        </w:tc>
        <w:tc>
          <w:tcPr>
            <w:tcW w:w="2268" w:type="dxa"/>
            <w:vMerge w:val="restart"/>
            <w:tcBorders>
              <w:top w:val="nil"/>
              <w:left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r>
              <w:rPr>
                <w:rFonts w:hint="eastAsia" w:ascii="宋体" w:hAnsi="宋体" w:cs="宋体"/>
                <w:color w:val="000000"/>
                <w:kern w:val="0"/>
                <w:sz w:val="20"/>
                <w:szCs w:val="20"/>
              </w:rPr>
              <w:t>满意度（10分）</w:t>
            </w: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r>
              <w:rPr>
                <w:rFonts w:hint="eastAsia" w:ascii="宋体" w:hAnsi="宋体" w:cs="宋体"/>
                <w:color w:val="000000"/>
                <w:kern w:val="0"/>
                <w:sz w:val="20"/>
                <w:szCs w:val="20"/>
              </w:rPr>
              <w:t>协作部门满意度（3分）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both"/>
              <w:rPr>
                <w:rFonts w:hint="eastAsia" w:ascii="宋体" w:hAnsi="宋体" w:cs="宋体"/>
                <w:color w:val="000000"/>
                <w:kern w:val="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396" w:hRule="atLeast"/>
        </w:trPr>
        <w:tc>
          <w:tcPr>
            <w:tcW w:w="1702" w:type="dxa"/>
            <w:vMerge w:val="continue"/>
            <w:tcBorders>
              <w:left w:val="single" w:color="auto" w:sz="4" w:space="0"/>
              <w:right w:val="single" w:color="auto" w:sz="4" w:space="0"/>
            </w:tcBorders>
            <w:shd w:val="clear" w:color="auto" w:fill="auto"/>
            <w:vAlign w:val="center"/>
          </w:tcPr>
          <w:p>
            <w:pPr>
              <w:pageBreakBefore w:val="0"/>
              <w:kinsoku/>
              <w:wordWrap/>
              <w:overflowPunct/>
              <w:topLinePunct w:val="0"/>
              <w:bidi w:val="0"/>
              <w:spacing w:line="578" w:lineRule="exact"/>
              <w:jc w:val="left"/>
              <w:rPr>
                <w:rFonts w:ascii="宋体" w:hAnsi="宋体" w:cs="宋体"/>
                <w:color w:val="000000"/>
                <w:kern w:val="0"/>
                <w:sz w:val="20"/>
                <w:szCs w:val="20"/>
              </w:rPr>
            </w:pPr>
          </w:p>
        </w:tc>
        <w:tc>
          <w:tcPr>
            <w:tcW w:w="2268" w:type="dxa"/>
            <w:vMerge w:val="continue"/>
            <w:tcBorders>
              <w:left w:val="single" w:color="auto" w:sz="4" w:space="0"/>
              <w:right w:val="single" w:color="auto" w:sz="4" w:space="0"/>
            </w:tcBorders>
            <w:shd w:val="clear" w:color="auto" w:fill="auto"/>
            <w:vAlign w:val="center"/>
          </w:tcPr>
          <w:p>
            <w:pPr>
              <w:pageBreakBefore w:val="0"/>
              <w:kinsoku/>
              <w:wordWrap/>
              <w:overflowPunct/>
              <w:topLinePunct w:val="0"/>
              <w:bidi w:val="0"/>
              <w:spacing w:line="578" w:lineRule="exact"/>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r>
              <w:rPr>
                <w:rFonts w:hint="eastAsia" w:ascii="宋体" w:hAnsi="宋体" w:cs="宋体"/>
                <w:color w:val="000000"/>
                <w:kern w:val="0"/>
                <w:sz w:val="20"/>
                <w:szCs w:val="20"/>
              </w:rPr>
              <w:t>管理对象满意度（3分）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both"/>
              <w:rPr>
                <w:rFonts w:hint="eastAsia" w:ascii="宋体" w:hAnsi="宋体" w:cs="宋体"/>
                <w:color w:val="000000"/>
                <w:kern w:val="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411" w:hRule="atLeast"/>
        </w:trPr>
        <w:tc>
          <w:tcPr>
            <w:tcW w:w="1702" w:type="dxa"/>
            <w:vMerge w:val="continue"/>
            <w:tcBorders>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2268" w:type="dxa"/>
            <w:vMerge w:val="continue"/>
            <w:tcBorders>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bidi w:val="0"/>
              <w:spacing w:line="578" w:lineRule="exact"/>
              <w:jc w:val="center"/>
              <w:rPr>
                <w:rFonts w:ascii="宋体" w:hAnsi="宋体" w:cs="宋体"/>
                <w:color w:val="000000"/>
                <w:kern w:val="0"/>
                <w:sz w:val="20"/>
                <w:szCs w:val="20"/>
              </w:rPr>
            </w:pPr>
            <w:r>
              <w:rPr>
                <w:rFonts w:hint="eastAsia" w:ascii="宋体" w:hAnsi="宋体" w:cs="宋体"/>
                <w:color w:val="000000"/>
                <w:kern w:val="0"/>
                <w:sz w:val="20"/>
                <w:szCs w:val="20"/>
              </w:rPr>
              <w:t>社会公众满意度（4分）</w:t>
            </w:r>
          </w:p>
        </w:tc>
        <w:tc>
          <w:tcPr>
            <w:tcW w:w="2126" w:type="dxa"/>
            <w:tcBorders>
              <w:top w:val="nil"/>
              <w:left w:val="nil"/>
              <w:bottom w:val="single" w:color="auto" w:sz="4" w:space="0"/>
              <w:right w:val="single" w:color="auto" w:sz="4" w:space="0"/>
            </w:tcBorders>
            <w:vAlign w:val="top"/>
          </w:tcPr>
          <w:p>
            <w:pPr>
              <w:pageBreakBefore w:val="0"/>
              <w:widowControl/>
              <w:kinsoku/>
              <w:wordWrap/>
              <w:overflowPunct/>
              <w:topLinePunct w:val="0"/>
              <w:bidi w:val="0"/>
              <w:spacing w:line="578" w:lineRule="exact"/>
              <w:jc w:val="both"/>
              <w:rPr>
                <w:rFonts w:hint="eastAsia" w:ascii="宋体" w:hAnsi="宋体" w:cs="宋体"/>
                <w:color w:val="000000"/>
                <w:kern w:val="0"/>
                <w:sz w:val="20"/>
                <w:szCs w:val="20"/>
              </w:rPr>
            </w:pPr>
            <w:r>
              <w:rPr>
                <w:rFonts w:hint="eastAsia" w:ascii="宋体" w:hAnsi="宋体" w:cs="宋体"/>
                <w:color w:val="000000"/>
                <w:kern w:val="0"/>
                <w:sz w:val="20"/>
                <w:szCs w:val="20"/>
              </w:rPr>
              <w:t>4</w:t>
            </w:r>
          </w:p>
        </w:tc>
      </w:tr>
    </w:tbl>
    <w:p>
      <w:pPr>
        <w:pageBreakBefore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仿宋" w:hAnsi="仿宋" w:eastAsia="仿宋" w:cs="仿宋_GB2312"/>
          <w:color w:val="auto"/>
          <w:sz w:val="32"/>
          <w:szCs w:val="32"/>
          <w:lang w:eastAsia="zh-CN"/>
        </w:rPr>
      </w:pPr>
    </w:p>
    <w:p>
      <w:pPr>
        <w:pageBreakBefore w:val="0"/>
        <w:kinsoku/>
        <w:wordWrap/>
        <w:overflowPunct/>
        <w:topLinePunct w:val="0"/>
        <w:bidi w:val="0"/>
        <w:spacing w:line="578" w:lineRule="exact"/>
        <w:ind w:firstLine="640" w:firstLineChars="200"/>
        <w:rPr>
          <w:rFonts w:hint="eastAsia" w:ascii="方正黑体_GBK" w:hAnsi="方正黑体_GBK" w:eastAsia="方正黑体_GBK" w:cs="方正黑体_GBK"/>
          <w:color w:val="auto"/>
          <w:sz w:val="32"/>
          <w:szCs w:val="32"/>
          <w:lang w:eastAsia="zh-CN"/>
        </w:rPr>
      </w:pPr>
    </w:p>
    <w:p>
      <w:pPr>
        <w:pageBreakBefore w:val="0"/>
        <w:kinsoku/>
        <w:wordWrap/>
        <w:overflowPunct/>
        <w:topLinePunct w:val="0"/>
        <w:bidi w:val="0"/>
        <w:spacing w:line="578" w:lineRule="exact"/>
        <w:ind w:firstLine="640" w:firstLineChars="200"/>
        <w:rPr>
          <w:rFonts w:hint="eastAsia" w:ascii="方正黑体_GBK" w:hAnsi="方正黑体_GBK" w:eastAsia="方正黑体_GBK" w:cs="方正黑体_GBK"/>
          <w:color w:val="auto"/>
          <w:sz w:val="32"/>
          <w:szCs w:val="32"/>
          <w:lang w:eastAsia="zh-CN"/>
        </w:rPr>
      </w:pPr>
    </w:p>
    <w:p>
      <w:pPr>
        <w:pageBreakBefore w:val="0"/>
        <w:kinsoku/>
        <w:wordWrap/>
        <w:overflowPunct/>
        <w:topLinePunct w:val="0"/>
        <w:bidi w:val="0"/>
        <w:spacing w:line="578" w:lineRule="exact"/>
        <w:ind w:firstLine="640" w:firstLineChars="200"/>
        <w:rPr>
          <w:rFonts w:hint="eastAsia" w:ascii="方正黑体_GBK" w:hAnsi="方正黑体_GBK" w:eastAsia="方正黑体_GBK" w:cs="方正黑体_GBK"/>
          <w:color w:val="auto"/>
          <w:sz w:val="32"/>
          <w:szCs w:val="32"/>
          <w:lang w:eastAsia="zh-CN"/>
        </w:rPr>
      </w:pPr>
    </w:p>
    <w:p>
      <w:pPr>
        <w:pageBreakBefore w:val="0"/>
        <w:kinsoku/>
        <w:wordWrap/>
        <w:overflowPunct/>
        <w:topLinePunct w:val="0"/>
        <w:bidi w:val="0"/>
        <w:spacing w:line="578" w:lineRule="exact"/>
        <w:ind w:firstLine="640" w:firstLineChars="200"/>
        <w:rPr>
          <w:rFonts w:hint="eastAsia" w:ascii="方正黑体_GBK" w:hAnsi="方正黑体_GBK" w:eastAsia="方正黑体_GBK" w:cs="方正黑体_GBK"/>
          <w:color w:val="auto"/>
          <w:sz w:val="32"/>
          <w:szCs w:val="32"/>
          <w:lang w:eastAsia="zh-CN"/>
        </w:rPr>
      </w:pPr>
    </w:p>
    <w:p>
      <w:pPr>
        <w:pageBreakBefore w:val="0"/>
        <w:kinsoku/>
        <w:wordWrap/>
        <w:overflowPunct/>
        <w:topLinePunct w:val="0"/>
        <w:bidi w:val="0"/>
        <w:spacing w:line="578" w:lineRule="exact"/>
        <w:ind w:firstLine="640" w:firstLineChars="200"/>
        <w:rPr>
          <w:rFonts w:hint="eastAsia" w:ascii="方正黑体_GBK" w:hAnsi="方正黑体_GBK" w:eastAsia="方正黑体_GBK" w:cs="方正黑体_GBK"/>
          <w:color w:val="auto"/>
          <w:sz w:val="32"/>
          <w:szCs w:val="32"/>
          <w:lang w:eastAsia="zh-CN"/>
        </w:rPr>
      </w:pPr>
    </w:p>
    <w:p>
      <w:pPr>
        <w:pageBreakBefore w:val="0"/>
        <w:kinsoku/>
        <w:wordWrap/>
        <w:overflowPunct/>
        <w:topLinePunct w:val="0"/>
        <w:bidi w:val="0"/>
        <w:spacing w:line="578" w:lineRule="exact"/>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pageBreakBefore w:val="0"/>
        <w:kinsoku/>
        <w:wordWrap/>
        <w:overflowPunct/>
        <w:topLinePunct w:val="0"/>
        <w:bidi w:val="0"/>
        <w:spacing w:line="578" w:lineRule="exact"/>
        <w:ind w:firstLine="640" w:firstLineChars="200"/>
        <w:rPr>
          <w:rFonts w:hint="eastAsia" w:ascii="仿宋" w:hAnsi="仿宋" w:eastAsia="仿宋" w:cs="仿宋_GB2312"/>
          <w:color w:val="auto"/>
          <w:sz w:val="32"/>
          <w:szCs w:val="32"/>
        </w:rPr>
      </w:pPr>
    </w:p>
    <w:p>
      <w:pPr>
        <w:pageBreakBefore w:val="0"/>
        <w:kinsoku/>
        <w:wordWrap/>
        <w:overflowPunct/>
        <w:topLinePunct w:val="0"/>
        <w:bidi w:val="0"/>
        <w:spacing w:line="578" w:lineRule="exact"/>
        <w:ind w:firstLine="640" w:firstLineChars="200"/>
        <w:rPr>
          <w:rFonts w:hint="eastAsia" w:ascii="方正仿宋简体" w:hAnsi="方正仿宋简体" w:eastAsia="方正仿宋简体" w:cs="方正仿宋简体"/>
          <w:sz w:val="32"/>
          <w:szCs w:val="32"/>
        </w:rPr>
      </w:pPr>
      <w:r>
        <w:rPr>
          <w:rFonts w:hint="eastAsia" w:ascii="仿宋" w:hAnsi="仿宋" w:eastAsia="仿宋" w:cs="仿宋_GB2312"/>
          <w:color w:val="auto"/>
          <w:sz w:val="32"/>
          <w:szCs w:val="32"/>
        </w:rPr>
        <w:t>《</w:t>
      </w:r>
      <w:r>
        <w:rPr>
          <w:rFonts w:hint="eastAsia" w:ascii="仿宋_GB2312" w:hAnsi="仿宋_GB2312" w:eastAsia="仿宋_GB2312" w:cs="仿宋_GB2312"/>
          <w:color w:val="auto"/>
          <w:sz w:val="32"/>
          <w:szCs w:val="32"/>
        </w:rPr>
        <w:t>基层组织建设</w:t>
      </w:r>
      <w:r>
        <w:rPr>
          <w:rFonts w:hint="eastAsia" w:ascii="仿宋_GB2312" w:hAnsi="仿宋_GB2312" w:eastAsia="仿宋_GB2312" w:cs="仿宋_GB2312"/>
          <w:color w:val="auto"/>
          <w:sz w:val="32"/>
          <w:szCs w:val="32"/>
          <w:lang w:eastAsia="zh-CN"/>
        </w:rPr>
        <w:t>经费</w:t>
      </w:r>
      <w:r>
        <w:rPr>
          <w:rFonts w:hint="eastAsia" w:ascii="仿宋" w:hAnsi="仿宋" w:eastAsia="仿宋" w:cs="仿宋_GB2312"/>
          <w:color w:val="auto"/>
          <w:sz w:val="32"/>
          <w:szCs w:val="32"/>
        </w:rPr>
        <w:t>项目</w:t>
      </w:r>
      <w:r>
        <w:rPr>
          <w:rFonts w:hint="eastAsia" w:ascii="仿宋" w:hAnsi="仿宋" w:eastAsia="仿宋" w:cs="仿宋_GB2312"/>
          <w:color w:val="auto"/>
          <w:sz w:val="32"/>
          <w:szCs w:val="32"/>
          <w:lang w:eastAsia="zh-CN"/>
        </w:rPr>
        <w:t>2019</w:t>
      </w:r>
      <w:r>
        <w:rPr>
          <w:rFonts w:hint="eastAsia" w:ascii="仿宋" w:hAnsi="仿宋" w:eastAsia="仿宋" w:cs="仿宋_GB2312"/>
          <w:color w:val="auto"/>
          <w:sz w:val="32"/>
          <w:szCs w:val="32"/>
        </w:rPr>
        <w:t>年绩效评价报告》、《</w:t>
      </w:r>
      <w:r>
        <w:rPr>
          <w:rFonts w:hint="eastAsia" w:ascii="仿宋_GB2312" w:hAnsi="仿宋_GB2312" w:eastAsia="仿宋_GB2312" w:cs="仿宋_GB2312"/>
          <w:color w:val="auto"/>
          <w:sz w:val="32"/>
          <w:szCs w:val="32"/>
        </w:rPr>
        <w:t>农村党员干部电化教育工作经费</w:t>
      </w:r>
      <w:r>
        <w:rPr>
          <w:rFonts w:hint="eastAsia" w:ascii="仿宋" w:hAnsi="仿宋" w:eastAsia="仿宋" w:cs="仿宋_GB2312"/>
          <w:color w:val="auto"/>
          <w:sz w:val="32"/>
          <w:szCs w:val="32"/>
        </w:rPr>
        <w:t>项目</w:t>
      </w:r>
      <w:r>
        <w:rPr>
          <w:rFonts w:hint="eastAsia" w:ascii="仿宋" w:hAnsi="仿宋" w:eastAsia="仿宋" w:cs="仿宋_GB2312"/>
          <w:color w:val="auto"/>
          <w:sz w:val="32"/>
          <w:szCs w:val="32"/>
          <w:lang w:eastAsia="zh-CN"/>
        </w:rPr>
        <w:t>2019</w:t>
      </w:r>
      <w:r>
        <w:rPr>
          <w:rFonts w:hint="eastAsia" w:ascii="仿宋" w:hAnsi="仿宋" w:eastAsia="仿宋" w:cs="仿宋_GB2312"/>
          <w:color w:val="auto"/>
          <w:sz w:val="32"/>
          <w:szCs w:val="32"/>
        </w:rPr>
        <w:t>年绩效评价报告》、《党内救助资金项目</w:t>
      </w:r>
      <w:r>
        <w:rPr>
          <w:rFonts w:hint="eastAsia" w:ascii="仿宋" w:hAnsi="仿宋" w:eastAsia="仿宋" w:cs="仿宋_GB2312"/>
          <w:color w:val="auto"/>
          <w:sz w:val="32"/>
          <w:szCs w:val="32"/>
          <w:lang w:eastAsia="zh-CN"/>
        </w:rPr>
        <w:t>2019</w:t>
      </w:r>
      <w:r>
        <w:rPr>
          <w:rFonts w:hint="eastAsia" w:ascii="仿宋" w:hAnsi="仿宋" w:eastAsia="仿宋" w:cs="仿宋_GB2312"/>
          <w:color w:val="auto"/>
          <w:sz w:val="32"/>
          <w:szCs w:val="32"/>
        </w:rPr>
        <w:t>年绩效评价报告》、《</w:t>
      </w:r>
      <w:r>
        <w:rPr>
          <w:rFonts w:hint="eastAsia" w:ascii="仿宋_GB2312" w:hAnsi="仿宋_GB2312" w:eastAsia="仿宋_GB2312" w:cs="仿宋_GB2312"/>
          <w:color w:val="auto"/>
          <w:sz w:val="32"/>
          <w:szCs w:val="32"/>
          <w:lang w:eastAsia="zh-CN"/>
        </w:rPr>
        <w:t>党建示范带建设</w:t>
      </w:r>
      <w:r>
        <w:rPr>
          <w:rFonts w:hint="eastAsia" w:ascii="仿宋" w:hAnsi="仿宋" w:eastAsia="仿宋" w:cs="仿宋_GB2312"/>
          <w:color w:val="auto"/>
          <w:sz w:val="32"/>
          <w:szCs w:val="32"/>
        </w:rPr>
        <w:t>项目</w:t>
      </w:r>
      <w:r>
        <w:rPr>
          <w:rFonts w:hint="eastAsia" w:ascii="仿宋" w:hAnsi="仿宋" w:eastAsia="仿宋" w:cs="仿宋_GB2312"/>
          <w:color w:val="auto"/>
          <w:sz w:val="32"/>
          <w:szCs w:val="32"/>
          <w:lang w:eastAsia="zh-CN"/>
        </w:rPr>
        <w:t>2019</w:t>
      </w:r>
      <w:r>
        <w:rPr>
          <w:rFonts w:hint="eastAsia" w:ascii="仿宋" w:hAnsi="仿宋" w:eastAsia="仿宋" w:cs="仿宋_GB2312"/>
          <w:color w:val="auto"/>
          <w:sz w:val="32"/>
          <w:szCs w:val="32"/>
        </w:rPr>
        <w:t>年绩效评价报告》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w:t>
      </w:r>
      <w:r>
        <w:rPr>
          <w:rFonts w:hint="eastAsia" w:ascii="仿宋_GB2312" w:hAnsi="仿宋_GB2312" w:eastAsia="仿宋_GB2312" w:cs="仿宋_GB2312"/>
          <w:color w:val="auto"/>
          <w:sz w:val="32"/>
          <w:szCs w:val="32"/>
        </w:rPr>
        <w:t>党建示范点建设</w:t>
      </w:r>
      <w:r>
        <w:rPr>
          <w:rFonts w:hint="eastAsia" w:ascii="仿宋" w:hAnsi="仿宋" w:eastAsia="仿宋" w:cs="仿宋_GB2312"/>
          <w:color w:val="auto"/>
          <w:sz w:val="32"/>
          <w:szCs w:val="32"/>
        </w:rPr>
        <w:t>项目</w:t>
      </w:r>
      <w:r>
        <w:rPr>
          <w:rFonts w:hint="eastAsia" w:ascii="仿宋" w:hAnsi="仿宋" w:eastAsia="仿宋" w:cs="仿宋_GB2312"/>
          <w:color w:val="auto"/>
          <w:sz w:val="32"/>
          <w:szCs w:val="32"/>
          <w:lang w:eastAsia="zh-CN"/>
        </w:rPr>
        <w:t>2019</w:t>
      </w:r>
      <w:r>
        <w:rPr>
          <w:rFonts w:hint="eastAsia" w:ascii="仿宋" w:hAnsi="仿宋" w:eastAsia="仿宋" w:cs="仿宋_GB2312"/>
          <w:color w:val="auto"/>
          <w:sz w:val="32"/>
          <w:szCs w:val="32"/>
        </w:rPr>
        <w:t>年绩效评价报告》</w:t>
      </w:r>
    </w:p>
    <w:p>
      <w:pPr>
        <w:pageBreakBefore w:val="0"/>
        <w:kinsoku/>
        <w:wordWrap/>
        <w:overflowPunct/>
        <w:topLinePunct w:val="0"/>
        <w:bidi w:val="0"/>
        <w:spacing w:line="578" w:lineRule="exact"/>
        <w:jc w:val="center"/>
        <w:rPr>
          <w:rFonts w:hint="eastAsia" w:ascii="方正小标宋简体" w:eastAsia="方正小标宋简体"/>
          <w:sz w:val="44"/>
          <w:szCs w:val="44"/>
        </w:rPr>
      </w:pPr>
      <w:bookmarkStart w:id="25" w:name="_Toc15396618"/>
    </w:p>
    <w:p>
      <w:pPr>
        <w:pageBreakBefore w:val="0"/>
        <w:kinsoku/>
        <w:wordWrap/>
        <w:overflowPunct/>
        <w:topLinePunct w:val="0"/>
        <w:bidi w:val="0"/>
        <w:spacing w:line="578" w:lineRule="exact"/>
        <w:jc w:val="center"/>
        <w:rPr>
          <w:rFonts w:hint="eastAsia" w:ascii="方正小标宋简体" w:eastAsia="方正小标宋简体"/>
          <w:sz w:val="44"/>
          <w:szCs w:val="44"/>
        </w:rPr>
      </w:pPr>
    </w:p>
    <w:p>
      <w:pPr>
        <w:pageBreakBefore w:val="0"/>
        <w:kinsoku/>
        <w:wordWrap/>
        <w:overflowPunct/>
        <w:topLinePunct w:val="0"/>
        <w:bidi w:val="0"/>
        <w:spacing w:line="578" w:lineRule="exact"/>
        <w:jc w:val="center"/>
        <w:rPr>
          <w:rFonts w:hint="eastAsia" w:ascii="方正小标宋简体" w:eastAsia="方正小标宋简体"/>
          <w:sz w:val="44"/>
          <w:szCs w:val="44"/>
          <w:lang w:eastAsia="zh-CN"/>
        </w:rPr>
      </w:pPr>
    </w:p>
    <w:p>
      <w:pPr>
        <w:pageBreakBefore w:val="0"/>
        <w:kinsoku/>
        <w:wordWrap/>
        <w:overflowPunct/>
        <w:topLinePunct w:val="0"/>
        <w:bidi w:val="0"/>
        <w:spacing w:line="578" w:lineRule="exact"/>
        <w:jc w:val="center"/>
        <w:rPr>
          <w:rFonts w:hint="eastAsia" w:ascii="方正小标宋简体" w:eastAsia="方正小标宋简体"/>
          <w:sz w:val="44"/>
          <w:szCs w:val="44"/>
          <w:lang w:eastAsia="zh-CN"/>
        </w:rPr>
      </w:pPr>
    </w:p>
    <w:p>
      <w:pPr>
        <w:pageBreakBefore w:val="0"/>
        <w:kinsoku/>
        <w:wordWrap/>
        <w:overflowPunct/>
        <w:topLinePunct w:val="0"/>
        <w:bidi w:val="0"/>
        <w:spacing w:line="578" w:lineRule="exact"/>
        <w:jc w:val="center"/>
        <w:rPr>
          <w:rFonts w:hint="eastAsia" w:ascii="方正小标宋简体" w:eastAsia="方正小标宋简体"/>
          <w:sz w:val="44"/>
          <w:szCs w:val="44"/>
          <w:lang w:eastAsia="zh-CN"/>
        </w:rPr>
      </w:pPr>
    </w:p>
    <w:p>
      <w:pPr>
        <w:pageBreakBefore w:val="0"/>
        <w:kinsoku/>
        <w:wordWrap/>
        <w:overflowPunct/>
        <w:topLinePunct w:val="0"/>
        <w:bidi w:val="0"/>
        <w:spacing w:line="578" w:lineRule="exact"/>
        <w:jc w:val="center"/>
        <w:rPr>
          <w:rFonts w:hint="eastAsia" w:ascii="方正小标宋简体" w:eastAsia="方正小标宋简体"/>
          <w:sz w:val="44"/>
          <w:szCs w:val="44"/>
          <w:lang w:eastAsia="zh-CN"/>
        </w:rPr>
      </w:pPr>
    </w:p>
    <w:p>
      <w:pPr>
        <w:pageBreakBefore w:val="0"/>
        <w:kinsoku/>
        <w:wordWrap/>
        <w:overflowPunct/>
        <w:topLinePunct w:val="0"/>
        <w:bidi w:val="0"/>
        <w:spacing w:line="578" w:lineRule="exact"/>
        <w:jc w:val="center"/>
        <w:rPr>
          <w:rFonts w:hint="eastAsia" w:ascii="方正小标宋简体" w:eastAsia="方正小标宋简体"/>
          <w:sz w:val="44"/>
          <w:szCs w:val="44"/>
          <w:lang w:eastAsia="zh-CN"/>
        </w:rPr>
      </w:pPr>
    </w:p>
    <w:p>
      <w:pPr>
        <w:pageBreakBefore w:val="0"/>
        <w:kinsoku/>
        <w:wordWrap/>
        <w:overflowPunct/>
        <w:topLinePunct w:val="0"/>
        <w:bidi w:val="0"/>
        <w:spacing w:line="578" w:lineRule="exact"/>
        <w:jc w:val="center"/>
        <w:rPr>
          <w:rFonts w:hint="eastAsia" w:ascii="方正小标宋简体" w:eastAsia="方正小标宋简体"/>
          <w:sz w:val="44"/>
          <w:szCs w:val="44"/>
          <w:lang w:eastAsia="zh-CN"/>
        </w:rPr>
      </w:pPr>
    </w:p>
    <w:p>
      <w:pPr>
        <w:pageBreakBefore w:val="0"/>
        <w:kinsoku/>
        <w:wordWrap/>
        <w:overflowPunct/>
        <w:topLinePunct w:val="0"/>
        <w:bidi w:val="0"/>
        <w:spacing w:line="578" w:lineRule="exact"/>
        <w:jc w:val="center"/>
        <w:rPr>
          <w:rFonts w:hint="eastAsia" w:ascii="方正小标宋简体" w:eastAsia="方正小标宋简体"/>
          <w:sz w:val="44"/>
          <w:szCs w:val="44"/>
          <w:lang w:eastAsia="zh-CN"/>
        </w:rPr>
      </w:pPr>
    </w:p>
    <w:p>
      <w:pPr>
        <w:pageBreakBefore w:val="0"/>
        <w:kinsoku/>
        <w:wordWrap/>
        <w:overflowPunct/>
        <w:topLinePunct w:val="0"/>
        <w:bidi w:val="0"/>
        <w:spacing w:line="578" w:lineRule="exact"/>
        <w:jc w:val="center"/>
        <w:rPr>
          <w:rFonts w:hint="eastAsia" w:ascii="方正小标宋简体" w:eastAsia="方正小标宋简体"/>
          <w:sz w:val="44"/>
          <w:szCs w:val="44"/>
          <w:lang w:eastAsia="zh-CN"/>
        </w:rPr>
      </w:pPr>
    </w:p>
    <w:p>
      <w:pPr>
        <w:pageBreakBefore w:val="0"/>
        <w:kinsoku/>
        <w:wordWrap/>
        <w:overflowPunct/>
        <w:topLinePunct w:val="0"/>
        <w:bidi w:val="0"/>
        <w:spacing w:line="578" w:lineRule="exact"/>
        <w:jc w:val="center"/>
        <w:rPr>
          <w:rFonts w:hint="eastAsia" w:ascii="方正小标宋简体" w:eastAsia="方正小标宋简体"/>
          <w:sz w:val="44"/>
          <w:szCs w:val="44"/>
          <w:lang w:eastAsia="zh-CN"/>
        </w:rPr>
      </w:pPr>
    </w:p>
    <w:p>
      <w:pPr>
        <w:pageBreakBefore w:val="0"/>
        <w:kinsoku/>
        <w:wordWrap/>
        <w:overflowPunct/>
        <w:topLinePunct w:val="0"/>
        <w:bidi w:val="0"/>
        <w:spacing w:line="578" w:lineRule="exact"/>
        <w:jc w:val="center"/>
        <w:rPr>
          <w:rFonts w:hint="eastAsia" w:ascii="方正小标宋简体" w:eastAsia="方正小标宋简体"/>
          <w:sz w:val="44"/>
          <w:szCs w:val="44"/>
          <w:lang w:eastAsia="zh-CN"/>
        </w:rPr>
      </w:pPr>
    </w:p>
    <w:p>
      <w:pPr>
        <w:pageBreakBefore w:val="0"/>
        <w:kinsoku/>
        <w:wordWrap/>
        <w:overflowPunct/>
        <w:topLinePunct w:val="0"/>
        <w:bidi w:val="0"/>
        <w:spacing w:line="578" w:lineRule="exact"/>
        <w:jc w:val="center"/>
        <w:rPr>
          <w:rFonts w:hint="eastAsia" w:ascii="方正小标宋简体" w:eastAsia="方正小标宋简体"/>
          <w:sz w:val="44"/>
          <w:szCs w:val="44"/>
          <w:lang w:eastAsia="zh-CN"/>
        </w:rPr>
      </w:pPr>
    </w:p>
    <w:p>
      <w:pPr>
        <w:pageBreakBefore w:val="0"/>
        <w:kinsoku/>
        <w:wordWrap/>
        <w:overflowPunct/>
        <w:topLinePunct w:val="0"/>
        <w:bidi w:val="0"/>
        <w:spacing w:line="578" w:lineRule="exact"/>
        <w:jc w:val="center"/>
        <w:rPr>
          <w:rFonts w:hint="eastAsia" w:ascii="方正小标宋简体" w:eastAsia="方正小标宋简体"/>
          <w:sz w:val="44"/>
          <w:szCs w:val="44"/>
          <w:lang w:eastAsia="zh-CN"/>
        </w:rPr>
      </w:pPr>
    </w:p>
    <w:p>
      <w:pPr>
        <w:pageBreakBefore w:val="0"/>
        <w:kinsoku/>
        <w:wordWrap/>
        <w:overflowPunct/>
        <w:topLinePunct w:val="0"/>
        <w:bidi w:val="0"/>
        <w:spacing w:line="578" w:lineRule="exact"/>
        <w:jc w:val="both"/>
        <w:rPr>
          <w:rFonts w:hint="eastAsia" w:asci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达州市达川区农民工服务中心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项目支出绩效自评报告</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hint="eastAsia" w:ascii="方正黑体简体" w:hAnsi="方正黑体简体" w:eastAsia="方正黑体简体" w:cs="方正黑体简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一、项目概况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（一）项目资金申报及批复情况</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2019年下半年，我中心向区财政提出该项目经费预算75万元。区财政局及时批复，按照我中心预算给予75万元项目经费</w:t>
      </w:r>
      <w:r>
        <w:rPr>
          <w:rFonts w:hint="eastAsia" w:ascii="Times New Roman" w:hAnsi="Times New Roman" w:eastAsia="方正仿宋_GBK" w:cs="Times New Roman"/>
          <w:color w:val="auto"/>
          <w:sz w:val="32"/>
          <w:szCs w:val="32"/>
          <w:lang w:val="zh-CN" w:eastAsia="zh-CN"/>
        </w:rPr>
        <w:t>，上年财政拨款结转</w:t>
      </w:r>
      <w:r>
        <w:rPr>
          <w:rFonts w:hint="eastAsia" w:ascii="Times New Roman" w:hAnsi="Times New Roman" w:eastAsia="方正仿宋_GBK" w:cs="Times New Roman"/>
          <w:color w:val="auto"/>
          <w:sz w:val="32"/>
          <w:szCs w:val="32"/>
          <w:lang w:val="en-US" w:eastAsia="zh-CN"/>
        </w:rPr>
        <w:t>36.66万元，共计基层组织建设经费38.34万元。</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（二）项目绩效目标</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left"/>
        <w:textAlignment w:val="auto"/>
        <w:outlineLvl w:val="9"/>
        <w:rPr>
          <w:rFonts w:hint="eastAsia" w:ascii="Times New Roman" w:hAnsi="Times New Roman" w:eastAsia="方正仿宋_GBK" w:cs="Times New Roman"/>
          <w:color w:val="auto"/>
          <w:sz w:val="32"/>
          <w:szCs w:val="32"/>
          <w:lang w:val="zh-CN" w:eastAsia="zh-CN"/>
        </w:rPr>
      </w:pPr>
      <w:r>
        <w:rPr>
          <w:rFonts w:hint="eastAsia" w:ascii="Times New Roman" w:hAnsi="Times New Roman" w:eastAsia="方正仿宋_GBK" w:cs="Times New Roman"/>
          <w:color w:val="auto"/>
          <w:sz w:val="32"/>
          <w:szCs w:val="32"/>
          <w:lang w:val="en-US" w:eastAsia="zh-CN"/>
        </w:rPr>
        <w:t>该项目主要用于建成达川区农民工服务中心并正常运转，完成率51%</w:t>
      </w:r>
      <w:r>
        <w:rPr>
          <w:rFonts w:hint="eastAsia" w:ascii="Times New Roman" w:hAnsi="Times New Roman" w:eastAsia="方正仿宋_GBK" w:cs="Times New Roman"/>
          <w:color w:val="auto"/>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（三）项目资金申报相符性</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left"/>
        <w:textAlignment w:val="auto"/>
        <w:outlineLvl w:val="9"/>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该项目申报内容与具体实施内容相符、申报目标合理可行。</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二、项目实施及管理情况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（一）资金计划、到位及使用情况</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jc w:val="left"/>
        <w:textAlignment w:val="auto"/>
        <w:outlineLvl w:val="9"/>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b/>
          <w:bCs/>
          <w:color w:val="auto"/>
          <w:sz w:val="32"/>
          <w:szCs w:val="32"/>
          <w:lang w:val="en-US" w:eastAsia="zh-CN"/>
        </w:rPr>
        <w:t>1.</w:t>
      </w:r>
      <w:r>
        <w:rPr>
          <w:rFonts w:hint="eastAsia" w:eastAsia="方正仿宋_GBK" w:cs="Times New Roman"/>
          <w:b/>
          <w:bCs/>
          <w:color w:val="auto"/>
          <w:sz w:val="32"/>
          <w:szCs w:val="32"/>
          <w:lang w:val="en-US" w:eastAsia="zh-CN"/>
        </w:rPr>
        <w:t xml:space="preserve"> </w:t>
      </w:r>
      <w:r>
        <w:rPr>
          <w:rFonts w:hint="eastAsia" w:ascii="Times New Roman" w:hAnsi="Times New Roman" w:eastAsia="方正仿宋_GBK" w:cs="Times New Roman"/>
          <w:b/>
          <w:bCs/>
          <w:color w:val="auto"/>
          <w:sz w:val="32"/>
          <w:szCs w:val="32"/>
          <w:lang w:val="en-US" w:eastAsia="zh-CN"/>
        </w:rPr>
        <w:t>资金计划及时到位。</w:t>
      </w:r>
      <w:r>
        <w:rPr>
          <w:rFonts w:hint="eastAsia" w:ascii="Times New Roman" w:hAnsi="Times New Roman" w:eastAsia="方正仿宋_GBK" w:cs="Times New Roman"/>
          <w:color w:val="auto"/>
          <w:sz w:val="32"/>
          <w:szCs w:val="32"/>
          <w:lang w:val="en-US" w:eastAsia="zh-CN"/>
        </w:rPr>
        <w:t>2019 年下半年，项目资金通过财政大平台直接支付拨付到我中心账户，实际到位资金38.34万元。资金到位及时，到位率100%。</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jc w:val="left"/>
        <w:textAlignment w:val="auto"/>
        <w:outlineLvl w:val="9"/>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b/>
          <w:bCs/>
          <w:color w:val="auto"/>
          <w:sz w:val="32"/>
          <w:szCs w:val="32"/>
          <w:lang w:val="en-US" w:eastAsia="zh-CN"/>
        </w:rPr>
        <w:t>2.</w:t>
      </w:r>
      <w:r>
        <w:rPr>
          <w:rFonts w:hint="eastAsia" w:eastAsia="方正仿宋_GBK" w:cs="Times New Roman"/>
          <w:b/>
          <w:bCs/>
          <w:color w:val="auto"/>
          <w:sz w:val="32"/>
          <w:szCs w:val="32"/>
          <w:lang w:val="en-US" w:eastAsia="zh-CN"/>
        </w:rPr>
        <w:t xml:space="preserve"> </w:t>
      </w:r>
      <w:r>
        <w:rPr>
          <w:rFonts w:hint="eastAsia" w:ascii="Times New Roman" w:hAnsi="Times New Roman" w:eastAsia="方正仿宋_GBK" w:cs="Times New Roman"/>
          <w:b/>
          <w:bCs/>
          <w:color w:val="auto"/>
          <w:sz w:val="32"/>
          <w:szCs w:val="32"/>
          <w:lang w:val="en-US" w:eastAsia="zh-CN"/>
        </w:rPr>
        <w:t>资金使用。</w:t>
      </w:r>
      <w:r>
        <w:rPr>
          <w:rFonts w:hint="eastAsia" w:ascii="Times New Roman" w:hAnsi="Times New Roman" w:eastAsia="方正仿宋_GBK" w:cs="Times New Roman"/>
          <w:color w:val="auto"/>
          <w:sz w:val="32"/>
          <w:szCs w:val="32"/>
          <w:lang w:val="en-US" w:eastAsia="zh-CN"/>
        </w:rPr>
        <w:t>该项目经费主要用于建成达川区农民工服务中心并正常运转等。</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（二）项目财务管理情况</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left"/>
        <w:textAlignment w:val="auto"/>
        <w:outlineLvl w:val="9"/>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我中心严格按照规定加强项目经费专项管理，做到项目资金专款专用，坚决不挪用、不挤占，会计核算及账务处理合理健全，账务真实，手续完备。</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三、目标完成情况</w:t>
      </w:r>
      <w:r>
        <w:rPr>
          <w:rFonts w:hint="eastAsia" w:ascii="方正黑体_GBK" w:hAnsi="方正黑体_GBK" w:eastAsia="方正黑体_GBK" w:cs="方正黑体_GBK"/>
          <w:b w:val="0"/>
          <w:bCs w:val="0"/>
          <w:sz w:val="32"/>
          <w:szCs w:val="32"/>
        </w:rPr>
        <w:tab/>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left"/>
        <w:textAlignment w:val="auto"/>
        <w:outlineLvl w:val="9"/>
        <w:rPr>
          <w:rFonts w:hint="eastAsia" w:ascii="Times New Roman" w:hAnsi="Times New Roman" w:eastAsia="方正仿宋_GBK" w:cs="Times New Roman"/>
          <w:color w:val="auto"/>
          <w:sz w:val="32"/>
          <w:szCs w:val="32"/>
          <w:lang w:val="zh-CN" w:eastAsia="zh-CN"/>
        </w:rPr>
      </w:pPr>
      <w:r>
        <w:rPr>
          <w:rFonts w:hint="eastAsia" w:ascii="Times New Roman" w:hAnsi="Times New Roman" w:eastAsia="方正仿宋_GBK" w:cs="Times New Roman"/>
          <w:color w:val="auto"/>
          <w:sz w:val="32"/>
          <w:szCs w:val="32"/>
          <w:lang w:val="zh-CN" w:eastAsia="zh-CN"/>
        </w:rPr>
        <w:t>201</w:t>
      </w:r>
      <w:r>
        <w:rPr>
          <w:rFonts w:hint="eastAsia" w:ascii="Times New Roman" w:hAnsi="Times New Roman" w:eastAsia="方正仿宋_GBK" w:cs="Times New Roman"/>
          <w:color w:val="auto"/>
          <w:sz w:val="32"/>
          <w:szCs w:val="32"/>
          <w:lang w:val="en-US" w:eastAsia="zh-CN"/>
        </w:rPr>
        <w:t>9</w:t>
      </w:r>
      <w:r>
        <w:rPr>
          <w:rFonts w:hint="eastAsia" w:ascii="Times New Roman" w:hAnsi="Times New Roman" w:eastAsia="方正仿宋_GBK" w:cs="Times New Roman"/>
          <w:color w:val="auto"/>
          <w:sz w:val="32"/>
          <w:szCs w:val="32"/>
          <w:lang w:val="zh-CN" w:eastAsia="zh-CN"/>
        </w:rPr>
        <w:t>年基层组织建设经费按项目预算规划并接合全年党建工作任务有条不紊进行开展、实施。</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四、项目效益情况</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left"/>
        <w:textAlignment w:val="auto"/>
        <w:outlineLvl w:val="9"/>
        <w:rPr>
          <w:rFonts w:hint="eastAsia" w:ascii="Times New Roman" w:hAnsi="Times New Roman" w:eastAsia="方正仿宋_GBK" w:cs="Times New Roman"/>
          <w:color w:val="auto"/>
          <w:sz w:val="32"/>
          <w:szCs w:val="32"/>
          <w:lang w:val="zh-CN" w:eastAsia="zh-CN"/>
        </w:rPr>
      </w:pPr>
      <w:r>
        <w:rPr>
          <w:rFonts w:hint="eastAsia" w:ascii="Times New Roman" w:hAnsi="Times New Roman" w:eastAsia="方正仿宋_GBK" w:cs="Times New Roman"/>
          <w:color w:val="auto"/>
          <w:sz w:val="32"/>
          <w:szCs w:val="32"/>
          <w:lang w:val="zh-CN" w:eastAsia="zh-CN"/>
        </w:rPr>
        <w:t>通过建设达川区农民工服务中心并正常运转，建成了达川区农民工工作中心顺利开展了各项业务，提升了全区农民工的工作和服务水平。</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五、问题及建议</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left"/>
        <w:textAlignment w:val="auto"/>
        <w:outlineLvl w:val="9"/>
        <w:rPr>
          <w:rFonts w:hint="eastAsia" w:ascii="Times New Roman" w:hAnsi="Times New Roman" w:eastAsia="方正仿宋_GBK" w:cs="Times New Roman"/>
          <w:color w:val="auto"/>
          <w:sz w:val="32"/>
          <w:szCs w:val="32"/>
          <w:lang w:val="zh-CN" w:eastAsia="zh-CN"/>
        </w:rPr>
      </w:pPr>
      <w:r>
        <w:rPr>
          <w:rFonts w:hint="eastAsia" w:ascii="方正楷体_GBK" w:hAnsi="方正楷体_GBK" w:eastAsia="方正楷体_GBK" w:cs="方正楷体_GBK"/>
          <w:b w:val="0"/>
          <w:bCs w:val="0"/>
          <w:sz w:val="32"/>
          <w:szCs w:val="32"/>
          <w:lang w:val="zh-CN" w:eastAsia="zh-CN"/>
        </w:rPr>
        <w:t>（一）存在的问题。</w:t>
      </w:r>
      <w:r>
        <w:rPr>
          <w:rFonts w:hint="eastAsia" w:ascii="Times New Roman" w:hAnsi="Times New Roman" w:eastAsia="方正仿宋_GBK" w:cs="Times New Roman"/>
          <w:color w:val="auto"/>
          <w:sz w:val="32"/>
          <w:szCs w:val="32"/>
          <w:lang w:val="zh-CN" w:eastAsia="zh-CN"/>
        </w:rPr>
        <w:t>根据本次绩效评价情况，存在预算绩效申报时，对项目编制不够明细和精准，绩效目标未完全细化分解为具体工作任务，部分绩效指标不清晰、可衡量性差。</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lang w:val="zh-CN" w:eastAsia="zh-CN"/>
        </w:rPr>
      </w:pPr>
      <w:r>
        <w:rPr>
          <w:rFonts w:hint="eastAsia" w:ascii="方正楷体_GBK" w:hAnsi="方正楷体_GBK" w:eastAsia="方正楷体_GBK" w:cs="方正楷体_GBK"/>
          <w:b w:val="0"/>
          <w:bCs w:val="0"/>
          <w:sz w:val="32"/>
          <w:szCs w:val="32"/>
          <w:lang w:val="zh-CN" w:eastAsia="zh-CN"/>
        </w:rPr>
        <w:t>（二）整改措施。</w:t>
      </w:r>
      <w:r>
        <w:rPr>
          <w:rFonts w:hint="default" w:ascii="Times New Roman" w:hAnsi="Times New Roman" w:eastAsia="方正仿宋_GBK" w:cs="Times New Roman"/>
          <w:color w:val="auto"/>
          <w:sz w:val="32"/>
          <w:szCs w:val="32"/>
          <w:lang w:val="zh-CN" w:eastAsia="zh-CN"/>
        </w:rPr>
        <w:t>针对上述问题，单位在今后的预算绩效申报时，在财务部门的配合下，将全年工作任务细化分解为具体的工作目标，并尽量采取定量的方式制定清晰、可衡量的绩效指标。</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960" w:firstLineChars="300"/>
        <w:jc w:val="left"/>
        <w:textAlignment w:val="auto"/>
        <w:outlineLvl w:val="9"/>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960" w:firstLineChars="300"/>
        <w:jc w:val="left"/>
        <w:textAlignment w:val="auto"/>
        <w:outlineLvl w:val="9"/>
        <w:rPr>
          <w:rFonts w:hint="eastAsia" w:ascii="仿宋" w:hAnsi="仿宋" w:eastAsia="仿宋" w:cs="仿宋_GB2312"/>
          <w:color w:val="auto"/>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960" w:firstLineChars="300"/>
        <w:jc w:val="left"/>
        <w:textAlignment w:val="auto"/>
        <w:outlineLvl w:val="9"/>
        <w:rPr>
          <w:rFonts w:hint="eastAsia" w:ascii="黑体" w:hAnsi="黑体" w:eastAsia="黑体"/>
          <w:color w:val="000000"/>
          <w:sz w:val="44"/>
          <w:szCs w:val="44"/>
          <w:lang w:val="en-US" w:eastAsia="zh-CN"/>
        </w:rPr>
      </w:pPr>
      <w:r>
        <w:rPr>
          <w:rFonts w:hint="eastAsia" w:ascii="仿宋" w:hAnsi="仿宋" w:eastAsia="仿宋" w:cs="仿宋_GB2312"/>
          <w:color w:val="auto"/>
          <w:sz w:val="32"/>
          <w:szCs w:val="32"/>
          <w:lang w:val="en-US" w:eastAsia="zh-CN"/>
        </w:rPr>
        <w:t xml:space="preserve"> </w:t>
      </w:r>
      <w:r>
        <w:rPr>
          <w:rFonts w:hint="eastAsia" w:ascii="黑体" w:hAnsi="黑体" w:eastAsia="黑体"/>
          <w:color w:val="00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outlineLvl w:val="9"/>
        <w:rPr>
          <w:rFonts w:hint="eastAsia" w:ascii="黑体" w:hAnsi="黑体" w:eastAsia="黑体"/>
          <w:color w:val="000000"/>
          <w:sz w:val="44"/>
          <w:szCs w:val="44"/>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640" w:lineRule="exact"/>
        <w:jc w:val="center"/>
        <w:textAlignment w:val="auto"/>
        <w:outlineLvl w:val="0"/>
        <w:rPr>
          <w:rStyle w:val="25"/>
          <w:rFonts w:hint="eastAsia" w:ascii="黑体" w:hAnsi="黑体" w:eastAsia="黑体"/>
          <w:b w:val="0"/>
        </w:rPr>
      </w:pPr>
      <w:r>
        <w:rPr>
          <w:rStyle w:val="25"/>
          <w:rFonts w:hint="eastAsia" w:ascii="黑体" w:hAnsi="黑体" w:eastAsia="黑体"/>
          <w:b w:val="0"/>
        </w:rPr>
        <w:t>附表</w:t>
      </w:r>
      <w:bookmarkEnd w:id="22"/>
      <w:bookmarkEnd w:id="25"/>
      <w:bookmarkStart w:id="26" w:name="_Toc15396619"/>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收入支出决算总表</w:t>
      </w:r>
      <w:bookmarkEnd w:id="26"/>
      <w:bookmarkStart w:id="27" w:name="_Toc15396620"/>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二、收入总表</w:t>
      </w:r>
      <w:bookmarkEnd w:id="27"/>
      <w:bookmarkStart w:id="28" w:name="_Toc15396621"/>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三、支出总表</w:t>
      </w:r>
      <w:bookmarkEnd w:id="28"/>
      <w:bookmarkStart w:id="29" w:name="_Toc15396622"/>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四、财政拨款收入支出决算总表</w:t>
      </w:r>
      <w:bookmarkEnd w:id="29"/>
      <w:bookmarkStart w:id="30" w:name="_Toc15396623"/>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五、财政拨款支出决算明细表（政府经济分类科目）</w:t>
      </w:r>
      <w:bookmarkEnd w:id="30"/>
      <w:bookmarkStart w:id="31" w:name="_Toc15396624"/>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六、一般公共预算财政拨款支出决算表</w:t>
      </w:r>
      <w:bookmarkEnd w:id="31"/>
      <w:bookmarkStart w:id="32" w:name="_Toc15396625"/>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七、一般公共预算财政拨款支出决算明细表</w:t>
      </w:r>
      <w:bookmarkEnd w:id="32"/>
      <w:bookmarkStart w:id="33" w:name="_Toc15396626"/>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八、一般公共预算财政拨款基本支出决算表</w:t>
      </w:r>
      <w:bookmarkEnd w:id="33"/>
      <w:bookmarkStart w:id="34" w:name="_Toc15396627"/>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九、一般公共预算财政拨款项目支出决算表</w:t>
      </w:r>
      <w:bookmarkEnd w:id="34"/>
      <w:bookmarkStart w:id="35" w:name="_Toc15396628"/>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十、一般公共预算财政拨款“三公”经费支出决算表</w:t>
      </w:r>
      <w:bookmarkEnd w:id="35"/>
      <w:bookmarkStart w:id="36" w:name="_Toc15396629"/>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十一、政府性基金预算财政拨款收入支出决算表</w:t>
      </w:r>
      <w:bookmarkEnd w:id="36"/>
      <w:bookmarkStart w:id="37" w:name="_Toc15396630"/>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十二、政府性基金预算财政拨款“三公”经费支出决算表</w:t>
      </w:r>
      <w:bookmarkEnd w:id="37"/>
      <w:bookmarkStart w:id="38" w:name="_Toc15396631"/>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十三、国有资本经营预算支出决算表</w:t>
      </w:r>
      <w:bookmarkEnd w:id="38"/>
    </w:p>
    <w:sectPr>
      <w:headerReference r:id="rId7" w:type="default"/>
      <w:footerReference r:id="rId8" w:type="default"/>
      <w:pgSz w:w="11906" w:h="16838"/>
      <w:pgMar w:top="2098" w:right="1474" w:bottom="1984"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Microsoft YaHei UI">
    <w:altName w:val="微软雅黑"/>
    <w:panose1 w:val="020B0503020204020204"/>
    <w:charset w:val="86"/>
    <w:family w:val="auto"/>
    <w:pitch w:val="default"/>
    <w:sig w:usb0="00000000" w:usb1="0000000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Theme="minorEastAsia" w:hAnsiTheme="minorEastAsia" w:eastAsiaTheme="minorEastAsia" w:cstheme="minorEastAsia"/>
        <w:sz w:val="28"/>
        <w:szCs w:val="28"/>
      </w:rPr>
      <w:id w:val="-1994781956"/>
    </w:sdtPr>
    <w:sdtEndPr>
      <w:rPr>
        <w:rFonts w:hint="eastAsia" w:asciiTheme="minorEastAsia" w:hAnsiTheme="minorEastAsia" w:eastAsiaTheme="minorEastAsia" w:cstheme="minorEastAsia"/>
        <w:sz w:val="28"/>
        <w:szCs w:val="28"/>
      </w:rPr>
    </w:sdtEndPr>
    <w:sdtContent>
      <w:p>
        <w:pPr>
          <w:pStyle w:val="9"/>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17</w:t>
        </w:r>
        <w:r>
          <w:rPr>
            <w:rFonts w:hint="eastAsia" w:asciiTheme="minorEastAsia" w:hAnsiTheme="minorEastAsia" w:eastAsiaTheme="minorEastAsia" w:cstheme="minorEastAsia"/>
            <w:sz w:val="28"/>
            <w:szCs w:val="28"/>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E1B5FA"/>
    <w:multiLevelType w:val="singleLevel"/>
    <w:tmpl w:val="AFE1B5FA"/>
    <w:lvl w:ilvl="0" w:tentative="0">
      <w:start w:val="14"/>
      <w:numFmt w:val="decimal"/>
      <w:suff w:val="space"/>
      <w:lvlText w:val="%1."/>
      <w:lvlJc w:val="left"/>
    </w:lvl>
  </w:abstractNum>
  <w:abstractNum w:abstractNumId="1">
    <w:nsid w:val="D7C5520C"/>
    <w:multiLevelType w:val="singleLevel"/>
    <w:tmpl w:val="D7C5520C"/>
    <w:lvl w:ilvl="0" w:tentative="0">
      <w:start w:val="1"/>
      <w:numFmt w:val="decimal"/>
      <w:suff w:val="space"/>
      <w:lvlText w:val="%1."/>
      <w:lvlJc w:val="left"/>
    </w:lvl>
  </w:abstractNum>
  <w:abstractNum w:abstractNumId="2">
    <w:nsid w:val="0E1EE5C7"/>
    <w:multiLevelType w:val="singleLevel"/>
    <w:tmpl w:val="0E1EE5C7"/>
    <w:lvl w:ilvl="0" w:tentative="0">
      <w:start w:val="5"/>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55EB"/>
    <w:rsid w:val="0014729F"/>
    <w:rsid w:val="00157BAB"/>
    <w:rsid w:val="001654D1"/>
    <w:rsid w:val="00180CF3"/>
    <w:rsid w:val="0018106D"/>
    <w:rsid w:val="001877A7"/>
    <w:rsid w:val="00191536"/>
    <w:rsid w:val="00196687"/>
    <w:rsid w:val="001A6378"/>
    <w:rsid w:val="001C0962"/>
    <w:rsid w:val="001D7531"/>
    <w:rsid w:val="001E737D"/>
    <w:rsid w:val="001F0592"/>
    <w:rsid w:val="001F5D5B"/>
    <w:rsid w:val="001F7506"/>
    <w:rsid w:val="002006CD"/>
    <w:rsid w:val="00202B36"/>
    <w:rsid w:val="00204B7A"/>
    <w:rsid w:val="0021101A"/>
    <w:rsid w:val="00220536"/>
    <w:rsid w:val="00235629"/>
    <w:rsid w:val="00260C38"/>
    <w:rsid w:val="002616C0"/>
    <w:rsid w:val="002662AA"/>
    <w:rsid w:val="00280496"/>
    <w:rsid w:val="00295495"/>
    <w:rsid w:val="002B2613"/>
    <w:rsid w:val="002D30F4"/>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00682"/>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2916"/>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D6BA7"/>
    <w:rsid w:val="008D6BE2"/>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9F467F"/>
    <w:rsid w:val="00A04EB0"/>
    <w:rsid w:val="00A13CC1"/>
    <w:rsid w:val="00A16847"/>
    <w:rsid w:val="00A237D8"/>
    <w:rsid w:val="00A23833"/>
    <w:rsid w:val="00A268C4"/>
    <w:rsid w:val="00A307CD"/>
    <w:rsid w:val="00A40A00"/>
    <w:rsid w:val="00A4142F"/>
    <w:rsid w:val="00A56DF2"/>
    <w:rsid w:val="00A67AB5"/>
    <w:rsid w:val="00A71940"/>
    <w:rsid w:val="00A91760"/>
    <w:rsid w:val="00A93B00"/>
    <w:rsid w:val="00A93C21"/>
    <w:rsid w:val="00A96BBB"/>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3E93"/>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72E3A"/>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786"/>
    <w:rsid w:val="00E568DF"/>
    <w:rsid w:val="00E64269"/>
    <w:rsid w:val="00E82267"/>
    <w:rsid w:val="00EA010F"/>
    <w:rsid w:val="00EA6628"/>
    <w:rsid w:val="00EC138E"/>
    <w:rsid w:val="00ED1B63"/>
    <w:rsid w:val="00ED3C1F"/>
    <w:rsid w:val="00ED4085"/>
    <w:rsid w:val="00ED420E"/>
    <w:rsid w:val="00EE2F57"/>
    <w:rsid w:val="00EF4C34"/>
    <w:rsid w:val="00EF77C6"/>
    <w:rsid w:val="00F05438"/>
    <w:rsid w:val="00F1361C"/>
    <w:rsid w:val="00F160C7"/>
    <w:rsid w:val="00F16D34"/>
    <w:rsid w:val="00F36D8F"/>
    <w:rsid w:val="00F417B1"/>
    <w:rsid w:val="00F602DF"/>
    <w:rsid w:val="00F81FD9"/>
    <w:rsid w:val="00F841AA"/>
    <w:rsid w:val="00FA23E8"/>
    <w:rsid w:val="00FD3CC1"/>
    <w:rsid w:val="00FF1E02"/>
    <w:rsid w:val="00FF30B4"/>
    <w:rsid w:val="0103760B"/>
    <w:rsid w:val="026E7D1A"/>
    <w:rsid w:val="02877E15"/>
    <w:rsid w:val="02F272B7"/>
    <w:rsid w:val="04E352D8"/>
    <w:rsid w:val="054F4E59"/>
    <w:rsid w:val="05702972"/>
    <w:rsid w:val="06091536"/>
    <w:rsid w:val="06167167"/>
    <w:rsid w:val="06390A1C"/>
    <w:rsid w:val="06B922D9"/>
    <w:rsid w:val="07246B37"/>
    <w:rsid w:val="07966F51"/>
    <w:rsid w:val="07D10E5F"/>
    <w:rsid w:val="086A1536"/>
    <w:rsid w:val="08932321"/>
    <w:rsid w:val="08A04881"/>
    <w:rsid w:val="096F55BE"/>
    <w:rsid w:val="0BEA4C90"/>
    <w:rsid w:val="0CD90943"/>
    <w:rsid w:val="0DA5514B"/>
    <w:rsid w:val="0DAD466F"/>
    <w:rsid w:val="0E9E169A"/>
    <w:rsid w:val="0F426DB9"/>
    <w:rsid w:val="0FD736ED"/>
    <w:rsid w:val="10C055FF"/>
    <w:rsid w:val="11DC2631"/>
    <w:rsid w:val="11FC6719"/>
    <w:rsid w:val="136F4727"/>
    <w:rsid w:val="14083A4A"/>
    <w:rsid w:val="14AA41BE"/>
    <w:rsid w:val="152C6E8A"/>
    <w:rsid w:val="16BB723D"/>
    <w:rsid w:val="18366A0C"/>
    <w:rsid w:val="1952592D"/>
    <w:rsid w:val="1B0507EF"/>
    <w:rsid w:val="1B093E9D"/>
    <w:rsid w:val="1B6F72E7"/>
    <w:rsid w:val="1CD43C14"/>
    <w:rsid w:val="1D391F54"/>
    <w:rsid w:val="1D482232"/>
    <w:rsid w:val="1F521A05"/>
    <w:rsid w:val="202A2E5C"/>
    <w:rsid w:val="20695E6C"/>
    <w:rsid w:val="215276D0"/>
    <w:rsid w:val="22F05697"/>
    <w:rsid w:val="236A5F9A"/>
    <w:rsid w:val="23C82E25"/>
    <w:rsid w:val="240371BF"/>
    <w:rsid w:val="24211F7D"/>
    <w:rsid w:val="24353797"/>
    <w:rsid w:val="25C46B56"/>
    <w:rsid w:val="27111EF6"/>
    <w:rsid w:val="272965D0"/>
    <w:rsid w:val="297B33D6"/>
    <w:rsid w:val="298D27F2"/>
    <w:rsid w:val="29910BBB"/>
    <w:rsid w:val="29DC108A"/>
    <w:rsid w:val="29FD04D3"/>
    <w:rsid w:val="2D1D5607"/>
    <w:rsid w:val="2D3A27C9"/>
    <w:rsid w:val="2D3E04E8"/>
    <w:rsid w:val="2D961ED2"/>
    <w:rsid w:val="2E386181"/>
    <w:rsid w:val="2F035C0D"/>
    <w:rsid w:val="319F7F4E"/>
    <w:rsid w:val="31D853E0"/>
    <w:rsid w:val="32A13832"/>
    <w:rsid w:val="32D20029"/>
    <w:rsid w:val="338B4184"/>
    <w:rsid w:val="339A40F6"/>
    <w:rsid w:val="344114D7"/>
    <w:rsid w:val="34FB1B2F"/>
    <w:rsid w:val="35DF41D9"/>
    <w:rsid w:val="36551570"/>
    <w:rsid w:val="36927350"/>
    <w:rsid w:val="36BB6B2E"/>
    <w:rsid w:val="378D4C86"/>
    <w:rsid w:val="379368E7"/>
    <w:rsid w:val="384A4455"/>
    <w:rsid w:val="39911AE7"/>
    <w:rsid w:val="39A12ECD"/>
    <w:rsid w:val="3A0D4AE1"/>
    <w:rsid w:val="3AE50E9F"/>
    <w:rsid w:val="3B297B75"/>
    <w:rsid w:val="3B785460"/>
    <w:rsid w:val="3CA51DBC"/>
    <w:rsid w:val="3CB07BBE"/>
    <w:rsid w:val="3CC56583"/>
    <w:rsid w:val="3CE00F62"/>
    <w:rsid w:val="3E5E6F20"/>
    <w:rsid w:val="3E9466A2"/>
    <w:rsid w:val="3F565C81"/>
    <w:rsid w:val="40351982"/>
    <w:rsid w:val="409C5B22"/>
    <w:rsid w:val="40B70606"/>
    <w:rsid w:val="40E8652E"/>
    <w:rsid w:val="411D1E46"/>
    <w:rsid w:val="415551ED"/>
    <w:rsid w:val="418C566F"/>
    <w:rsid w:val="426F2295"/>
    <w:rsid w:val="427C0200"/>
    <w:rsid w:val="432A3D49"/>
    <w:rsid w:val="43331AB4"/>
    <w:rsid w:val="439B2BD4"/>
    <w:rsid w:val="44613543"/>
    <w:rsid w:val="44703D5A"/>
    <w:rsid w:val="44E701AD"/>
    <w:rsid w:val="4501464F"/>
    <w:rsid w:val="458572D6"/>
    <w:rsid w:val="45C05F67"/>
    <w:rsid w:val="46224EB6"/>
    <w:rsid w:val="46422D24"/>
    <w:rsid w:val="467E017C"/>
    <w:rsid w:val="46E0442E"/>
    <w:rsid w:val="47121985"/>
    <w:rsid w:val="47A34E2D"/>
    <w:rsid w:val="495D5E44"/>
    <w:rsid w:val="4A4C477A"/>
    <w:rsid w:val="4B5074AC"/>
    <w:rsid w:val="4D3D2592"/>
    <w:rsid w:val="4D77518B"/>
    <w:rsid w:val="4D8264F1"/>
    <w:rsid w:val="4DFE0492"/>
    <w:rsid w:val="4E7667A4"/>
    <w:rsid w:val="4EE122B7"/>
    <w:rsid w:val="4EEB5C8F"/>
    <w:rsid w:val="50637AA1"/>
    <w:rsid w:val="50AB67B0"/>
    <w:rsid w:val="510E7083"/>
    <w:rsid w:val="535A62CF"/>
    <w:rsid w:val="535E4A89"/>
    <w:rsid w:val="538546CF"/>
    <w:rsid w:val="5496455B"/>
    <w:rsid w:val="550505FD"/>
    <w:rsid w:val="556313D4"/>
    <w:rsid w:val="571A4B4A"/>
    <w:rsid w:val="5733413E"/>
    <w:rsid w:val="58A84493"/>
    <w:rsid w:val="590F5B0C"/>
    <w:rsid w:val="594C24FB"/>
    <w:rsid w:val="59804998"/>
    <w:rsid w:val="59914142"/>
    <w:rsid w:val="59BD7BD4"/>
    <w:rsid w:val="59FE2DB0"/>
    <w:rsid w:val="5B1E1E7C"/>
    <w:rsid w:val="5B511FA8"/>
    <w:rsid w:val="5E945616"/>
    <w:rsid w:val="5EC857B3"/>
    <w:rsid w:val="5EF23B23"/>
    <w:rsid w:val="5F496999"/>
    <w:rsid w:val="5FB04C8E"/>
    <w:rsid w:val="60B91F5D"/>
    <w:rsid w:val="615F2980"/>
    <w:rsid w:val="6196268A"/>
    <w:rsid w:val="621E41D8"/>
    <w:rsid w:val="62DA698C"/>
    <w:rsid w:val="632017C4"/>
    <w:rsid w:val="65B11540"/>
    <w:rsid w:val="65C8643C"/>
    <w:rsid w:val="66184390"/>
    <w:rsid w:val="66820536"/>
    <w:rsid w:val="66A51491"/>
    <w:rsid w:val="6842562E"/>
    <w:rsid w:val="689D53B7"/>
    <w:rsid w:val="69070E4C"/>
    <w:rsid w:val="6A6862EA"/>
    <w:rsid w:val="6A9542F5"/>
    <w:rsid w:val="6B0E4FB4"/>
    <w:rsid w:val="6B5F53B3"/>
    <w:rsid w:val="6B7F2227"/>
    <w:rsid w:val="6C175147"/>
    <w:rsid w:val="6C2C5AB7"/>
    <w:rsid w:val="6DBD1762"/>
    <w:rsid w:val="6DEB71FF"/>
    <w:rsid w:val="6DED71EF"/>
    <w:rsid w:val="6E8D37FD"/>
    <w:rsid w:val="6F7D4F1D"/>
    <w:rsid w:val="6FE47020"/>
    <w:rsid w:val="712C5719"/>
    <w:rsid w:val="71433FC0"/>
    <w:rsid w:val="71611918"/>
    <w:rsid w:val="71F25B6A"/>
    <w:rsid w:val="73670B0F"/>
    <w:rsid w:val="739D599E"/>
    <w:rsid w:val="74396DB5"/>
    <w:rsid w:val="7590198B"/>
    <w:rsid w:val="76557ACA"/>
    <w:rsid w:val="774A51BB"/>
    <w:rsid w:val="77A359BD"/>
    <w:rsid w:val="77F776AC"/>
    <w:rsid w:val="78777A19"/>
    <w:rsid w:val="78994D9B"/>
    <w:rsid w:val="7A3E1013"/>
    <w:rsid w:val="7A736B24"/>
    <w:rsid w:val="7AC754B6"/>
    <w:rsid w:val="7BF00058"/>
    <w:rsid w:val="7C917B26"/>
    <w:rsid w:val="7D9C2BF5"/>
    <w:rsid w:val="7DEA3F47"/>
    <w:rsid w:val="7EAF123C"/>
    <w:rsid w:val="7EB93E19"/>
    <w:rsid w:val="7F2E143F"/>
    <w:rsid w:val="7F926E3A"/>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99"/>
    <w:pPr>
      <w:spacing w:before="100" w:beforeAutospacing="1" w:after="100" w:afterAutospacing="1"/>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4">
    <w:name w:val="列出段落1"/>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年收支情况</a:t>
            </a:r>
            <a:endParaRPr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一般公共预算财政拨款收入</c:v>
                </c:pt>
                <c:pt idx="1">
                  <c:v>社会保障和就业（类）支出</c:v>
                </c:pt>
                <c:pt idx="2">
                  <c:v>卫生健康支出</c:v>
                </c:pt>
                <c:pt idx="3">
                  <c:v>住房保障支出</c:v>
                </c:pt>
              </c:strCache>
            </c:strRef>
          </c:cat>
          <c:val>
            <c:numRef>
              <c:f>Sheet1!$B$1:$B$4</c:f>
              <c:numCache>
                <c:formatCode>General</c:formatCode>
                <c:ptCount val="4"/>
                <c:pt idx="0">
                  <c:v>93.41</c:v>
                </c:pt>
                <c:pt idx="1">
                  <c:v>54.71</c:v>
                </c:pt>
                <c:pt idx="2">
                  <c:v>0.67</c:v>
                </c:pt>
                <c:pt idx="3">
                  <c:v>1.37</c:v>
                </c:pt>
              </c:numCache>
            </c:numRef>
          </c:val>
        </c:ser>
        <c:dLbls>
          <c:showLegendKey val="0"/>
          <c:showVal val="1"/>
          <c:showCatName val="0"/>
          <c:showSerName val="0"/>
          <c:showPercent val="0"/>
          <c:showBubbleSize val="0"/>
        </c:dLbls>
        <c:gapWidth val="219"/>
        <c:overlap val="-27"/>
        <c:axId val="462987062"/>
        <c:axId val="983456171"/>
      </c:barChart>
      <c:catAx>
        <c:axId val="4629870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456171"/>
        <c:crosses val="autoZero"/>
        <c:auto val="1"/>
        <c:lblAlgn val="ctr"/>
        <c:lblOffset val="100"/>
        <c:noMultiLvlLbl val="0"/>
      </c:catAx>
      <c:valAx>
        <c:axId val="9834561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298706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达川区农民工服务中心</a:t>
            </a:r>
            <a:r>
              <a:rPr lang="en-US" altLang="zh-CN"/>
              <a:t>2019</a:t>
            </a:r>
            <a:r>
              <a:rPr altLang="en-US"/>
              <a:t>年收入</a:t>
            </a:r>
            <a:endParaRPr altLang="en-US"/>
          </a:p>
        </c:rich>
      </c:tx>
      <c:layout>
        <c:manualLayout>
          <c:xMode val="edge"/>
          <c:yMode val="edge"/>
          <c:x val="0.20625"/>
          <c:y val="0.0798611111111111"/>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'[新建 XLS 工作表.xls]Sheet1'!$A$1:$A$2</c:f>
              <c:strCache>
                <c:ptCount val="2"/>
                <c:pt idx="0">
                  <c:v>一般公共预算财政拨款收入93.41万元</c:v>
                </c:pt>
                <c:pt idx="1">
                  <c:v>单位：万元</c:v>
                </c:pt>
              </c:strCache>
            </c:strRef>
          </c:cat>
          <c:val>
            <c:numRef>
              <c:f>'[新建 XLS 工作表.xls]Sheet1'!$B$1:$B$2</c:f>
              <c:numCache>
                <c:formatCode>General</c:formatCode>
                <c:ptCount val="2"/>
                <c:pt idx="0">
                  <c:v>93.41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 </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2019</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年支出情况图</a:t>
            </a:r>
            <a:endParaRPr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'[新建 XLS 工作表.xls]Sheet1'!$B$1</c:f>
              <c:strCache>
                <c:ptCount val="1"/>
                <c:pt idx="0">
                  <c:v/>
                </c:pt>
              </c:strCache>
            </c:strRef>
          </c:tx>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Pt>
            <c:idx val="4"/>
            <c:bubble3D val="0"/>
            <c:explosion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'[新建 XLS 工作表.xls]Sheet1'!$A$2:$A$6</c:f>
              <c:strCache>
                <c:ptCount val="5"/>
                <c:pt idx="0">
                  <c:v>基本支出</c:v>
                </c:pt>
                <c:pt idx="1">
                  <c:v>项目支出</c:v>
                </c:pt>
                <c:pt idx="2">
                  <c:v>单位：万元</c:v>
                </c:pt>
              </c:strCache>
            </c:strRef>
          </c:cat>
          <c:val>
            <c:numRef>
              <c:f>'[新建 XLS 工作表.xls]Sheet1'!$B$2:$B$6</c:f>
              <c:numCache>
                <c:formatCode>General</c:formatCode>
                <c:ptCount val="5"/>
                <c:pt idx="0">
                  <c:v>18.41</c:v>
                </c:pt>
                <c:pt idx="1">
                  <c:v>38.3379</c:v>
                </c:pt>
              </c:numCache>
            </c:numRef>
          </c:val>
        </c:ser>
        <c:ser>
          <c:idx val="1"/>
          <c:order val="1"/>
          <c:tx>
            <c:strRef>
              <c:f>'[新建 XLS 工作表.xls]Sheet1'!$C$1</c:f>
              <c:strCache>
                <c:ptCount val="1"/>
                <c:pt idx="0">
                  <c:v/>
                </c:pt>
              </c:strCache>
            </c:strRef>
          </c:tx>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Pt>
            <c:idx val="4"/>
            <c:bubble3D val="0"/>
            <c:explosion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'[新建 XLS 工作表.xls]Sheet1'!$A$2:$A$6</c:f>
              <c:strCache>
                <c:ptCount val="5"/>
                <c:pt idx="0">
                  <c:v>基本支出</c:v>
                </c:pt>
                <c:pt idx="1">
                  <c:v>项目支出</c:v>
                </c:pt>
                <c:pt idx="2">
                  <c:v>单位：万元</c:v>
                </c:pt>
              </c:strCache>
            </c:strRef>
          </c:cat>
          <c:val>
            <c:numRef>
              <c:f>'[新建 XLS 工作表.xls]Sheet1'!$C$2:$C$6</c:f>
              <c:numCache>
                <c:formatCode>General</c:formatCode>
                <c:ptCount val="5"/>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年收支情况</a:t>
            </a:r>
            <a:endParaRPr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1">
                  <c:v>社会保障和就业（类）支出</c:v>
                </c:pt>
                <c:pt idx="2">
                  <c:v>卫生健康支出</c:v>
                </c:pt>
                <c:pt idx="3">
                  <c:v>住房保障支出</c:v>
                </c:pt>
              </c:strCache>
            </c:strRef>
          </c:cat>
          <c:val>
            <c:numRef>
              <c:f>Sheet1!$B$1:$B$4</c:f>
              <c:numCache>
                <c:formatCode>General</c:formatCode>
                <c:ptCount val="4"/>
                <c:pt idx="1">
                  <c:v>54.71</c:v>
                </c:pt>
                <c:pt idx="2">
                  <c:v>0.67</c:v>
                </c:pt>
                <c:pt idx="3">
                  <c:v>1.37</c:v>
                </c:pt>
              </c:numCache>
            </c:numRef>
          </c:val>
        </c:ser>
        <c:dLbls>
          <c:showLegendKey val="0"/>
          <c:showVal val="1"/>
          <c:showCatName val="0"/>
          <c:showSerName val="0"/>
          <c:showPercent val="0"/>
          <c:showBubbleSize val="0"/>
        </c:dLbls>
        <c:gapWidth val="219"/>
        <c:overlap val="-27"/>
        <c:axId val="462987062"/>
        <c:axId val="983456171"/>
      </c:barChart>
      <c:catAx>
        <c:axId val="4629870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456171"/>
        <c:crosses val="autoZero"/>
        <c:auto val="1"/>
        <c:lblAlgn val="ctr"/>
        <c:lblOffset val="100"/>
        <c:noMultiLvlLbl val="0"/>
      </c:catAx>
      <c:valAx>
        <c:axId val="9834561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298706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zh-CN" sz="1800" b="1" i="0" u="none" strike="noStrike" kern="1200" baseline="0">
                <a:solidFill>
                  <a:schemeClr val="dk1">
                    <a:lumMod val="75000"/>
                    <a:lumOff val="25000"/>
                  </a:schemeClr>
                </a:solidFill>
                <a:latin typeface="+mn-lt"/>
                <a:ea typeface="+mn-ea"/>
                <a:cs typeface="+mn-cs"/>
              </a:defRPr>
            </a:pPr>
            <a:r>
              <a:rPr lang="zh-CN" altLang="en-US" sz="1600"/>
              <a:t>一般公共预算财政拨款支出决算结构图</a:t>
            </a:r>
            <a:endParaRPr lang="zh-CN" altLang="en-US" sz="1600"/>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一般公共预算财政拨款支出决算结构图</c:v>
                </c:pt>
              </c:strCache>
            </c:strRef>
          </c:tx>
          <c:explosion val="27"/>
          <c:dPt>
            <c:idx val="0"/>
            <c:bubble3D val="0"/>
            <c:explosion val="4"/>
            <c:spPr>
              <a:solidFill>
                <a:schemeClr val="accent1"/>
              </a:solidFill>
              <a:ln>
                <a:noFill/>
              </a:ln>
              <a:effectLst>
                <a:outerShdw blurRad="254000" sx="102000" sy="102000" algn="ctr" rotWithShape="0">
                  <a:prstClr val="black">
                    <a:alpha val="20000"/>
                  </a:prstClr>
                </a:outerShdw>
              </a:effectLst>
              <a:sp3d/>
            </c:spPr>
          </c:dPt>
          <c:dPt>
            <c:idx val="1"/>
            <c:bubble3D val="0"/>
            <c:explosion val="3"/>
            <c:spPr>
              <a:solidFill>
                <a:schemeClr val="accent2"/>
              </a:solidFill>
              <a:ln>
                <a:noFill/>
              </a:ln>
              <a:effectLst>
                <a:outerShdw blurRad="254000" sx="102000" sy="102000" algn="ctr" rotWithShape="0">
                  <a:prstClr val="black">
                    <a:alpha val="20000"/>
                  </a:prstClr>
                </a:outerShdw>
              </a:effectLst>
              <a:sp3d/>
            </c:spPr>
          </c:dPt>
          <c:dPt>
            <c:idx val="2"/>
            <c:bubble3D val="0"/>
            <c:explosion val="8"/>
            <c:spPr>
              <a:solidFill>
                <a:schemeClr val="accent3"/>
              </a:solidFill>
              <a:ln>
                <a:noFill/>
              </a:ln>
              <a:effectLst>
                <a:outerShdw blurRad="254000" sx="102000" sy="102000" algn="ctr" rotWithShape="0">
                  <a:prstClr val="black">
                    <a:alpha val="20000"/>
                  </a:prstClr>
                </a:outerShdw>
              </a:effectLst>
              <a:sp3d/>
            </c:spPr>
          </c:dPt>
          <c:dPt>
            <c:idx val="3"/>
            <c:bubble3D val="0"/>
            <c:explosion val="7"/>
            <c:spPr>
              <a:solidFill>
                <a:schemeClr val="accent4"/>
              </a:solidFill>
              <a:ln>
                <a:noFill/>
              </a:ln>
              <a:effectLst>
                <a:outerShdw blurRad="254000" sx="102000" sy="102000" algn="ctr" rotWithShape="0">
                  <a:prstClr val="black">
                    <a:alpha val="20000"/>
                  </a:prstClr>
                </a:outerShdw>
              </a:effectLst>
              <a:sp3d/>
            </c:spPr>
          </c:dPt>
          <c:dPt>
            <c:idx val="4"/>
            <c:bubble3D val="0"/>
            <c:explosion val="5"/>
            <c:spPr>
              <a:solidFill>
                <a:schemeClr val="accent5"/>
              </a:solidFill>
              <a:ln>
                <a:noFill/>
              </a:ln>
              <a:effectLst/>
            </c:spPr>
          </c:dPt>
          <c:dLbls>
            <c:dLbl>
              <c:idx val="1"/>
              <c:layout>
                <c:manualLayout>
                  <c:x val="-0.00762501108832569"/>
                  <c:y val="0.00248319387426995"/>
                </c:manualLayout>
              </c:layout>
              <c:numFmt formatCode="General" sourceLinked="1"/>
              <c:spPr>
                <a:noFill/>
                <a:ln>
                  <a:noFill/>
                </a:ln>
                <a:effectLst/>
              </c:spPr>
              <c:txPr>
                <a:bodyPr rot="0" spcFirstLastPara="1"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152984455471893"/>
                  <c:y val="-0.0203088289177528"/>
                </c:manualLayout>
              </c:layout>
              <c:numFmt formatCode="General" sourceLinked="1"/>
              <c:spPr>
                <a:noFill/>
                <a:ln>
                  <a:noFill/>
                </a:ln>
                <a:effectLst/>
              </c:spPr>
              <c:txPr>
                <a:bodyPr rot="0" spcFirstLastPara="1"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19850555459892"/>
                  <c:y val="0.110801534423582"/>
                </c:manualLayout>
              </c:layout>
              <c:numFmt formatCode="General" sourceLinked="1"/>
              <c:spPr>
                <a:noFill/>
                <a:ln>
                  <a:noFill/>
                </a:ln>
                <a:effectLst/>
              </c:spPr>
              <c:txPr>
                <a:bodyPr rot="0" spcFirstLastPara="1"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numFmt formatCode="General" sourceLinked="1"/>
              <c:spPr>
                <a:noFill/>
                <a:ln>
                  <a:noFill/>
                </a:ln>
                <a:effectLst/>
              </c:spPr>
              <c:txPr>
                <a:bodyPr rot="0" spcFirstLastPara="1"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0"/>
              <c:showCatName val="0"/>
              <c:showSerName val="0"/>
              <c:showPercent val="1"/>
              <c:showBubbleSize val="0"/>
              <c:extLst>
                <c:ext xmlns:c15="http://schemas.microsoft.com/office/drawing/2012/chart" uri="{CE6537A1-D6FC-4f65-9D91-7224C49458BB}"/>
              </c:extLst>
            </c:dLbl>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horzOverflow="overflow"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Sheet1!$A$2:$A$6</c:f>
              <c:strCache>
                <c:ptCount val="5"/>
                <c:pt idx="0">
                  <c:v>卫生健康支出</c:v>
                </c:pt>
                <c:pt idx="2">
                  <c:v>社会保障和就业支出</c:v>
                </c:pt>
                <c:pt idx="4">
                  <c:v>住房保障支出</c:v>
                </c:pt>
              </c:strCache>
            </c:strRef>
          </c:cat>
          <c:val>
            <c:numRef>
              <c:f>Sheet1!$B$2:$B$6</c:f>
              <c:numCache>
                <c:formatCode>0.00_ </c:formatCode>
                <c:ptCount val="5"/>
                <c:pt idx="0">
                  <c:v>0.67</c:v>
                </c:pt>
                <c:pt idx="2">
                  <c:v>54.71</c:v>
                </c:pt>
                <c:pt idx="4">
                  <c:v>1.37</c:v>
                </c:pt>
              </c:numCache>
            </c:numRef>
          </c:val>
        </c:ser>
        <c:dLbls>
          <c:showLegendKey val="0"/>
          <c:showVal val="0"/>
          <c:showCatName val="0"/>
          <c:showSerName val="0"/>
          <c:showPercent val="1"/>
          <c:showBubbleSize val="0"/>
          <c:showLeaderLines val="1"/>
        </c:dLbls>
        <c:firstSliceAng val="29"/>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horzOverflow="overflow"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达川区农民工服务三公经费支出情况</a:t>
            </a:r>
            <a:endParaRPr lang="en-US" alt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20625"/>
          <c:y val="0.0798611111111111"/>
        </c:manualLayout>
      </c:layout>
      <c:overlay val="0"/>
      <c:spPr>
        <a:noFill/>
        <a:ln>
          <a:noFill/>
        </a:ln>
        <a:effectLst/>
      </c:sp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delete val="1"/>
          </c:dLbls>
          <c:cat>
            <c:strRef>
              <c:f>'[新建 XLS 工作表.xls]Sheet1'!$A$1:$A$4</c:f>
              <c:strCache>
                <c:ptCount val="4"/>
                <c:pt idx="0">
                  <c:v>公务接待费0.1万元</c:v>
                </c:pt>
                <c:pt idx="1">
                  <c:v>因公出国费用</c:v>
                </c:pt>
                <c:pt idx="2">
                  <c:v>公务用车购置及运行维护费</c:v>
                </c:pt>
                <c:pt idx="3">
                  <c:v>单位：万元</c:v>
                </c:pt>
              </c:strCache>
            </c:strRef>
          </c:cat>
          <c:val>
            <c:numRef>
              <c:f>'[新建 XLS 工作表.xls]Sheet1'!$B$1:$B$2</c:f>
              <c:numCache>
                <c:formatCode>General</c:formatCode>
                <c:ptCount val="2"/>
                <c:pt idx="0">
                  <c:v>0.1</c:v>
                </c:pt>
                <c:pt idx="1">
                  <c:v>0</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327847222222222"/>
          <c:y val="0.91038575667655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ADD587-FAFF-417A-9417-0B4C99ED092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8456</Words>
  <Characters>2930</Characters>
  <Lines>24</Lines>
  <Paragraphs>22</Paragraphs>
  <TotalTime>0</TotalTime>
  <ScaleCrop>false</ScaleCrop>
  <LinksUpToDate>false</LinksUpToDate>
  <CharactersWithSpaces>11364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2019-09-17T10:52:00Z</dcterms:created>
  <dc:creator>张彬茜</dc:creator>
  <cp:lastModifiedBy>Administrator</cp:lastModifiedBy>
  <cp:lastPrinted>2020-09-17T07:27:00Z</cp:lastPrinted>
  <dcterms:modified xsi:type="dcterms:W3CDTF">2020-09-17T09:05:12Z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