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06" w:rsidRDefault="00F67406">
      <w:pPr>
        <w:jc w:val="center"/>
        <w:outlineLvl w:val="0"/>
        <w:rPr>
          <w:rFonts w:ascii="方正小标宋简体" w:eastAsia="方正小标宋简体" w:hAnsi="宋体"/>
          <w:color w:val="000000"/>
          <w:sz w:val="72"/>
          <w:szCs w:val="72"/>
        </w:rPr>
      </w:pPr>
      <w:bookmarkStart w:id="0" w:name="_Toc15306267"/>
    </w:p>
    <w:p w:rsidR="00F67406" w:rsidRDefault="00F67406">
      <w:pPr>
        <w:jc w:val="center"/>
        <w:outlineLvl w:val="0"/>
        <w:rPr>
          <w:rFonts w:ascii="方正小标宋简体" w:eastAsia="方正小标宋简体" w:hAnsi="宋体"/>
          <w:color w:val="000000"/>
          <w:sz w:val="72"/>
          <w:szCs w:val="72"/>
        </w:rPr>
      </w:pPr>
    </w:p>
    <w:p w:rsidR="00F67406" w:rsidRDefault="00F67406">
      <w:pPr>
        <w:jc w:val="center"/>
        <w:outlineLvl w:val="0"/>
        <w:rPr>
          <w:rFonts w:ascii="方正小标宋简体" w:eastAsia="方正小标宋简体" w:hAnsi="宋体"/>
          <w:color w:val="000000"/>
          <w:sz w:val="72"/>
          <w:szCs w:val="72"/>
        </w:rPr>
      </w:pPr>
    </w:p>
    <w:p w:rsidR="00F67406" w:rsidRDefault="00F67406">
      <w:pPr>
        <w:jc w:val="center"/>
        <w:outlineLvl w:val="0"/>
        <w:rPr>
          <w:rFonts w:ascii="方正小标宋简体" w:eastAsia="方正小标宋简体" w:hAnsi="宋体"/>
          <w:color w:val="000000"/>
          <w:sz w:val="72"/>
          <w:szCs w:val="72"/>
        </w:rPr>
      </w:pPr>
    </w:p>
    <w:p w:rsidR="00F67406" w:rsidRDefault="00C72CFB">
      <w:pPr>
        <w:adjustRightInd w:val="0"/>
        <w:snapToGrid w:val="0"/>
        <w:jc w:val="center"/>
        <w:outlineLvl w:val="0"/>
        <w:rPr>
          <w:rFonts w:ascii="方正小标宋简体" w:eastAsia="方正小标宋简体" w:hAnsi="宋体"/>
          <w:color w:val="000000"/>
          <w:sz w:val="52"/>
          <w:szCs w:val="52"/>
        </w:rPr>
      </w:pPr>
      <w:bookmarkStart w:id="1" w:name="_Toc15377193"/>
      <w:bookmarkStart w:id="2" w:name="_Toc15396475"/>
      <w:bookmarkStart w:id="3" w:name="_Toc15378441"/>
      <w:bookmarkStart w:id="4" w:name="_Toc15377425"/>
      <w:bookmarkStart w:id="5" w:name="_Toc15396597"/>
      <w:r>
        <w:rPr>
          <w:rFonts w:ascii="黑体" w:eastAsia="黑体" w:hAnsi="黑体"/>
          <w:color w:val="000000"/>
          <w:sz w:val="52"/>
          <w:szCs w:val="52"/>
        </w:rPr>
        <w:t>201</w:t>
      </w:r>
      <w:r>
        <w:rPr>
          <w:rFonts w:ascii="黑体" w:eastAsia="黑体" w:hAnsi="黑体" w:hint="eastAsia"/>
          <w:color w:val="000000"/>
          <w:sz w:val="52"/>
          <w:szCs w:val="52"/>
        </w:rPr>
        <w:t>9</w:t>
      </w:r>
      <w:r>
        <w:rPr>
          <w:rFonts w:ascii="方正小标宋简体" w:eastAsia="方正小标宋简体" w:hAnsi="宋体" w:hint="eastAsia"/>
          <w:color w:val="000000"/>
          <w:sz w:val="52"/>
          <w:szCs w:val="52"/>
        </w:rPr>
        <w:t>年度</w:t>
      </w:r>
      <w:bookmarkEnd w:id="1"/>
      <w:bookmarkEnd w:id="2"/>
      <w:bookmarkEnd w:id="3"/>
      <w:bookmarkEnd w:id="4"/>
      <w:bookmarkEnd w:id="5"/>
    </w:p>
    <w:p w:rsidR="00F67406" w:rsidRDefault="00C72CFB">
      <w:pPr>
        <w:adjustRightInd w:val="0"/>
        <w:snapToGrid w:val="0"/>
        <w:jc w:val="center"/>
        <w:outlineLvl w:val="0"/>
        <w:rPr>
          <w:rFonts w:ascii="方正小标宋简体" w:eastAsia="方正小标宋简体" w:hAnsi="宋体"/>
          <w:color w:val="000000"/>
          <w:sz w:val="52"/>
          <w:szCs w:val="52"/>
        </w:rPr>
      </w:pPr>
      <w:bookmarkStart w:id="6" w:name="_Toc15377194"/>
      <w:bookmarkStart w:id="7" w:name="_Toc15396598"/>
      <w:bookmarkStart w:id="8" w:name="_Toc15377426"/>
      <w:bookmarkStart w:id="9" w:name="_Toc15378442"/>
      <w:bookmarkStart w:id="10" w:name="_Toc15396476"/>
      <w:r>
        <w:rPr>
          <w:rFonts w:ascii="方正小标宋简体" w:eastAsia="方正小标宋简体" w:hAnsi="宋体" w:hint="eastAsia"/>
          <w:color w:val="000000"/>
          <w:sz w:val="52"/>
          <w:szCs w:val="52"/>
        </w:rPr>
        <w:t>达州市达川区</w:t>
      </w:r>
      <w:bookmarkStart w:id="11" w:name="_Toc15306268"/>
      <w:bookmarkEnd w:id="0"/>
      <w:r>
        <w:rPr>
          <w:rFonts w:ascii="方正小标宋简体" w:eastAsia="方正小标宋简体" w:hAnsi="宋体" w:hint="eastAsia"/>
          <w:color w:val="000000"/>
          <w:sz w:val="52"/>
          <w:szCs w:val="52"/>
        </w:rPr>
        <w:t>社会保险基金</w:t>
      </w:r>
    </w:p>
    <w:p w:rsidR="00F67406" w:rsidRDefault="00C72CFB">
      <w:pPr>
        <w:adjustRightInd w:val="0"/>
        <w:snapToGrid w:val="0"/>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监督管理局部门决算</w:t>
      </w:r>
      <w:bookmarkEnd w:id="6"/>
      <w:bookmarkEnd w:id="7"/>
      <w:bookmarkEnd w:id="8"/>
      <w:bookmarkEnd w:id="9"/>
      <w:bookmarkEnd w:id="10"/>
      <w:bookmarkEnd w:id="11"/>
      <w:r>
        <w:rPr>
          <w:rFonts w:ascii="方正小标宋简体" w:eastAsia="方正小标宋简体" w:hAnsi="宋体" w:hint="eastAsia"/>
          <w:color w:val="000000"/>
          <w:sz w:val="52"/>
          <w:szCs w:val="52"/>
        </w:rPr>
        <w:t>编制说明</w:t>
      </w:r>
    </w:p>
    <w:p w:rsidR="00F67406" w:rsidRDefault="00C72CFB">
      <w:pPr>
        <w:widowControl/>
        <w:jc w:val="center"/>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p>
    <w:p w:rsidR="00F67406" w:rsidRDefault="00C72CFB">
      <w:pPr>
        <w:widowControl/>
        <w:jc w:val="center"/>
        <w:rPr>
          <w:rFonts w:ascii="黑体" w:eastAsia="黑体" w:hAnsi="黑体"/>
          <w:color w:val="000000"/>
          <w:sz w:val="48"/>
          <w:szCs w:val="48"/>
        </w:rPr>
      </w:pPr>
      <w:r>
        <w:rPr>
          <w:rFonts w:ascii="黑体" w:eastAsia="黑体" w:hAnsi="黑体" w:hint="eastAsia"/>
          <w:color w:val="000000"/>
          <w:sz w:val="48"/>
          <w:szCs w:val="48"/>
        </w:rPr>
        <w:lastRenderedPageBreak/>
        <w:t>目录</w:t>
      </w:r>
    </w:p>
    <w:p w:rsidR="00F67406" w:rsidRDefault="00F67406">
      <w:pPr>
        <w:widowControl/>
        <w:jc w:val="center"/>
        <w:rPr>
          <w:rFonts w:ascii="黑体" w:eastAsia="黑体" w:hAnsi="黑体" w:cstheme="minorBidi"/>
          <w:sz w:val="28"/>
          <w:szCs w:val="28"/>
        </w:rPr>
      </w:pPr>
    </w:p>
    <w:p w:rsidR="00F67406" w:rsidRDefault="00F67406"/>
    <w:p w:rsidR="00F67406" w:rsidRDefault="00C72CFB">
      <w:pPr>
        <w:pStyle w:val="10"/>
        <w:adjustRightInd w:val="0"/>
        <w:snapToGrid w:val="0"/>
        <w:spacing w:before="0"/>
        <w:jc w:val="left"/>
        <w:rPr>
          <w:rFonts w:cstheme="minorBidi"/>
          <w:sz w:val="24"/>
          <w:szCs w:val="24"/>
        </w:rPr>
      </w:pPr>
      <w:r>
        <w:rPr>
          <w:rFonts w:hint="eastAsia"/>
          <w:sz w:val="24"/>
        </w:rPr>
        <w:t>第一部分</w:t>
      </w:r>
      <w:r>
        <w:rPr>
          <w:sz w:val="24"/>
        </w:rPr>
        <w:t xml:space="preserve"> </w:t>
      </w:r>
      <w:r>
        <w:rPr>
          <w:rFonts w:hint="eastAsia"/>
          <w:sz w:val="24"/>
        </w:rPr>
        <w:t>部门概况</w:t>
      </w:r>
    </w:p>
    <w:p w:rsidR="00F67406" w:rsidRDefault="00C72CFB">
      <w:pPr>
        <w:pStyle w:val="20"/>
        <w:adjustRightInd w:val="0"/>
        <w:snapToGrid w:val="0"/>
        <w:jc w:val="left"/>
        <w:rPr>
          <w:rFonts w:ascii="仿宋" w:eastAsia="仿宋" w:hAnsi="仿宋"/>
          <w:sz w:val="24"/>
        </w:rPr>
      </w:pPr>
      <w:r>
        <w:rPr>
          <w:rFonts w:hint="eastAsia"/>
          <w:sz w:val="24"/>
        </w:rPr>
        <w:t>一、基本职能及主要工作</w:t>
      </w:r>
    </w:p>
    <w:p w:rsidR="00F67406" w:rsidRDefault="00C72CFB">
      <w:pPr>
        <w:pStyle w:val="20"/>
        <w:adjustRightInd w:val="0"/>
        <w:snapToGrid w:val="0"/>
        <w:jc w:val="left"/>
        <w:rPr>
          <w:rFonts w:ascii="仿宋" w:eastAsia="仿宋" w:hAnsi="仿宋" w:cstheme="minorBidi"/>
          <w:sz w:val="24"/>
        </w:rPr>
      </w:pPr>
      <w:r>
        <w:rPr>
          <w:rFonts w:hint="eastAsia"/>
          <w:sz w:val="24"/>
        </w:rPr>
        <w:t>二、机构设置</w:t>
      </w:r>
    </w:p>
    <w:p w:rsidR="00F67406" w:rsidRDefault="00C72CFB">
      <w:pPr>
        <w:pStyle w:val="10"/>
        <w:adjustRightInd w:val="0"/>
        <w:snapToGrid w:val="0"/>
        <w:spacing w:before="0"/>
        <w:jc w:val="left"/>
        <w:rPr>
          <w:sz w:val="24"/>
          <w:szCs w:val="24"/>
        </w:rPr>
      </w:pPr>
      <w:r>
        <w:rPr>
          <w:rFonts w:hint="eastAsia"/>
          <w:sz w:val="24"/>
        </w:rPr>
        <w:t>第二部分</w:t>
      </w:r>
      <w:r w:rsidR="007D1658">
        <w:rPr>
          <w:rFonts w:hint="eastAsia"/>
          <w:sz w:val="24"/>
        </w:rPr>
        <w:t>2019年</w:t>
      </w:r>
      <w:r>
        <w:rPr>
          <w:rFonts w:hint="eastAsia"/>
          <w:sz w:val="24"/>
        </w:rPr>
        <w:t>度部门决算情况说明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一、收入支出决算总体情况说明</w:t>
      </w:r>
    </w:p>
    <w:p w:rsidR="00F67406" w:rsidRDefault="00C72CFB">
      <w:pPr>
        <w:pStyle w:val="20"/>
        <w:adjustRightInd w:val="0"/>
        <w:snapToGrid w:val="0"/>
        <w:jc w:val="left"/>
        <w:rPr>
          <w:rFonts w:ascii="仿宋" w:eastAsia="仿宋" w:hAnsi="仿宋" w:cstheme="minorBidi"/>
          <w:sz w:val="24"/>
        </w:rPr>
      </w:pPr>
      <w:r>
        <w:rPr>
          <w:rFonts w:hint="eastAsia"/>
          <w:sz w:val="24"/>
        </w:rPr>
        <w:t>二、收入决算情况说明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三、支出决算情况说明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四、财政拨款收入支出决算总体情况说明</w:t>
      </w:r>
    </w:p>
    <w:p w:rsidR="00F67406" w:rsidRDefault="00C72CFB">
      <w:pPr>
        <w:pStyle w:val="20"/>
        <w:adjustRightInd w:val="0"/>
        <w:snapToGrid w:val="0"/>
        <w:jc w:val="left"/>
        <w:rPr>
          <w:rFonts w:ascii="仿宋" w:eastAsia="仿宋" w:hAnsi="仿宋" w:cstheme="minorBidi"/>
          <w:sz w:val="24"/>
        </w:rPr>
      </w:pPr>
      <w:r>
        <w:rPr>
          <w:rFonts w:hint="eastAsia"/>
          <w:sz w:val="24"/>
        </w:rPr>
        <w:t>五、一般公共预算财政拨款支出决算情况说明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六、一般公共预算财政拨款基本支出决算情况说明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F67406" w:rsidRDefault="00C72CFB">
      <w:pPr>
        <w:pStyle w:val="20"/>
        <w:adjustRightInd w:val="0"/>
        <w:snapToGrid w:val="0"/>
        <w:jc w:val="left"/>
        <w:rPr>
          <w:rFonts w:ascii="仿宋" w:eastAsia="仿宋" w:hAnsi="仿宋" w:cstheme="minorBidi"/>
          <w:sz w:val="24"/>
        </w:rPr>
      </w:pPr>
      <w:r>
        <w:rPr>
          <w:rFonts w:hint="eastAsia"/>
          <w:sz w:val="24"/>
        </w:rPr>
        <w:t>八、政府性基金预算支出决算情况说明</w:t>
      </w:r>
    </w:p>
    <w:p w:rsidR="00F67406" w:rsidRDefault="00C72CFB">
      <w:pPr>
        <w:pStyle w:val="20"/>
        <w:adjustRightInd w:val="0"/>
        <w:snapToGrid w:val="0"/>
        <w:ind w:leftChars="0"/>
        <w:jc w:val="left"/>
        <w:rPr>
          <w:rFonts w:ascii="仿宋" w:eastAsia="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p>
    <w:p w:rsidR="00F67406" w:rsidRDefault="00C72CFB">
      <w:pPr>
        <w:adjustRightInd w:val="0"/>
        <w:snapToGrid w:val="0"/>
        <w:ind w:firstLineChars="200" w:firstLine="480"/>
        <w:jc w:val="left"/>
        <w:rPr>
          <w:rFonts w:ascii="仿宋" w:eastAsia="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Pr>
          <w:rFonts w:ascii="仿宋" w:eastAsia="仿宋" w:hAnsi="仿宋"/>
          <w:sz w:val="24"/>
        </w:rPr>
        <w:tab/>
      </w:r>
    </w:p>
    <w:p w:rsidR="00F67406" w:rsidRDefault="00C72CFB">
      <w:pPr>
        <w:pStyle w:val="10"/>
        <w:adjustRightInd w:val="0"/>
        <w:snapToGrid w:val="0"/>
        <w:spacing w:before="0"/>
        <w:jc w:val="left"/>
        <w:rPr>
          <w:rFonts w:cstheme="minorBidi"/>
          <w:sz w:val="24"/>
          <w:szCs w:val="24"/>
        </w:rPr>
      </w:pPr>
      <w:r>
        <w:rPr>
          <w:rFonts w:hint="eastAsia"/>
          <w:sz w:val="24"/>
        </w:rPr>
        <w:t>第三部分</w:t>
      </w:r>
      <w:r>
        <w:rPr>
          <w:sz w:val="24"/>
        </w:rPr>
        <w:t xml:space="preserve"> </w:t>
      </w:r>
      <w:r>
        <w:rPr>
          <w:rFonts w:hint="eastAsia"/>
          <w:sz w:val="24"/>
        </w:rPr>
        <w:t>名词解释</w:t>
      </w:r>
    </w:p>
    <w:p w:rsidR="00F67406" w:rsidRDefault="00C72CFB">
      <w:pPr>
        <w:pStyle w:val="10"/>
        <w:adjustRightInd w:val="0"/>
        <w:snapToGrid w:val="0"/>
        <w:spacing w:before="0"/>
        <w:jc w:val="left"/>
        <w:rPr>
          <w:rFonts w:cstheme="minorBidi"/>
          <w:sz w:val="24"/>
          <w:szCs w:val="24"/>
        </w:rPr>
      </w:pPr>
      <w:r>
        <w:rPr>
          <w:rFonts w:hint="eastAsia"/>
          <w:sz w:val="24"/>
        </w:rPr>
        <w:t>第四部分</w:t>
      </w:r>
      <w:r>
        <w:rPr>
          <w:sz w:val="24"/>
        </w:rPr>
        <w:t xml:space="preserve"> </w:t>
      </w:r>
      <w:r>
        <w:rPr>
          <w:rFonts w:hint="eastAsia"/>
          <w:sz w:val="24"/>
        </w:rPr>
        <w:t>附件</w:t>
      </w:r>
    </w:p>
    <w:p w:rsidR="00F67406" w:rsidRDefault="00C72CFB">
      <w:pPr>
        <w:pStyle w:val="20"/>
        <w:adjustRightInd w:val="0"/>
        <w:snapToGrid w:val="0"/>
        <w:jc w:val="left"/>
        <w:rPr>
          <w:rFonts w:ascii="仿宋" w:eastAsia="仿宋" w:hAnsi="仿宋" w:cstheme="minorBidi"/>
          <w:sz w:val="24"/>
        </w:rPr>
      </w:pPr>
      <w:r>
        <w:rPr>
          <w:rFonts w:hint="eastAsia"/>
          <w:sz w:val="24"/>
        </w:rPr>
        <w:t>附件</w:t>
      </w:r>
      <w:r>
        <w:rPr>
          <w:sz w:val="24"/>
        </w:rPr>
        <w:t>1</w:t>
      </w:r>
    </w:p>
    <w:p w:rsidR="00F67406" w:rsidRDefault="00C72CFB">
      <w:pPr>
        <w:pStyle w:val="20"/>
        <w:adjustRightInd w:val="0"/>
        <w:snapToGrid w:val="0"/>
        <w:jc w:val="left"/>
        <w:rPr>
          <w:rFonts w:ascii="仿宋" w:eastAsia="仿宋" w:hAnsi="仿宋" w:cstheme="minorBidi"/>
          <w:sz w:val="24"/>
        </w:rPr>
      </w:pPr>
      <w:r>
        <w:rPr>
          <w:rFonts w:hint="eastAsia"/>
          <w:sz w:val="24"/>
        </w:rPr>
        <w:t>附件</w:t>
      </w:r>
      <w:r>
        <w:rPr>
          <w:sz w:val="24"/>
        </w:rPr>
        <w:t>2</w:t>
      </w:r>
    </w:p>
    <w:p w:rsidR="00F67406" w:rsidRDefault="00C72CFB">
      <w:pPr>
        <w:pStyle w:val="10"/>
        <w:adjustRightInd w:val="0"/>
        <w:snapToGrid w:val="0"/>
        <w:spacing w:before="0"/>
        <w:jc w:val="left"/>
        <w:rPr>
          <w:rFonts w:cstheme="minorBidi"/>
          <w:sz w:val="24"/>
          <w:szCs w:val="24"/>
        </w:rPr>
      </w:pPr>
      <w:r>
        <w:rPr>
          <w:rFonts w:hint="eastAsia"/>
          <w:sz w:val="24"/>
        </w:rPr>
        <w:t>第五部分</w:t>
      </w:r>
      <w:r>
        <w:rPr>
          <w:sz w:val="24"/>
        </w:rPr>
        <w:t xml:space="preserve"> </w:t>
      </w:r>
      <w:r>
        <w:rPr>
          <w:rFonts w:hint="eastAsia"/>
          <w:sz w:val="24"/>
        </w:rPr>
        <w:t>附表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p>
    <w:p w:rsidR="00F67406" w:rsidRDefault="00C72CFB">
      <w:pPr>
        <w:pStyle w:val="20"/>
        <w:adjustRightInd w:val="0"/>
        <w:snapToGrid w:val="0"/>
        <w:jc w:val="left"/>
        <w:rPr>
          <w:rFonts w:ascii="仿宋" w:eastAsia="仿宋" w:hAnsi="仿宋"/>
          <w:sz w:val="24"/>
        </w:rPr>
      </w:pPr>
      <w:r>
        <w:rPr>
          <w:rFonts w:ascii="仿宋" w:eastAsia="仿宋" w:hAnsi="仿宋" w:hint="eastAsia"/>
          <w:sz w:val="24"/>
        </w:rPr>
        <w:t>五、财政拨款支出决算明细表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八、</w:t>
      </w:r>
      <w:r>
        <w:rPr>
          <w:rFonts w:hint="eastAsia"/>
          <w:sz w:val="24"/>
        </w:rPr>
        <w:t>一般公共预算财政拨款基本支出决算表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p>
    <w:p w:rsidR="00F67406" w:rsidRDefault="00C72CFB">
      <w:pPr>
        <w:pStyle w:val="20"/>
        <w:adjustRightInd w:val="0"/>
        <w:snapToGrid w:val="0"/>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p>
    <w:p w:rsidR="00F67406" w:rsidRDefault="00C72CFB">
      <w:pPr>
        <w:widowControl/>
        <w:jc w:val="left"/>
        <w:rPr>
          <w:rFonts w:ascii="仿宋" w:eastAsia="仿宋" w:hAnsi="仿宋"/>
          <w:bCs/>
          <w:kern w:val="44"/>
          <w:sz w:val="24"/>
        </w:rPr>
      </w:pPr>
      <w:bookmarkStart w:id="12" w:name="_GoBack"/>
      <w:bookmarkStart w:id="13" w:name="_Toc15377196"/>
      <w:bookmarkStart w:id="14" w:name="_Toc15396599"/>
      <w:bookmarkEnd w:id="12"/>
      <w:r>
        <w:rPr>
          <w:rFonts w:ascii="仿宋" w:eastAsia="仿宋" w:hAnsi="仿宋"/>
          <w:b/>
          <w:sz w:val="24"/>
        </w:rPr>
        <w:br w:type="page"/>
      </w:r>
    </w:p>
    <w:p w:rsidR="00F67406" w:rsidRDefault="00C72CFB">
      <w:pPr>
        <w:pStyle w:val="1"/>
        <w:spacing w:line="240" w:lineRule="auto"/>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F67406" w:rsidRDefault="00F67406">
      <w:pPr>
        <w:widowControl/>
        <w:jc w:val="left"/>
        <w:rPr>
          <w:rFonts w:ascii="黑体" w:eastAsia="黑体"/>
          <w:color w:val="000000"/>
          <w:sz w:val="32"/>
          <w:szCs w:val="32"/>
        </w:rPr>
      </w:pPr>
    </w:p>
    <w:p w:rsidR="00F67406" w:rsidRDefault="00C72CFB">
      <w:pPr>
        <w:pStyle w:val="2"/>
        <w:spacing w:line="240" w:lineRule="auto"/>
        <w:rPr>
          <w:rStyle w:val="2Char"/>
          <w:rFonts w:ascii="仿宋" w:eastAsia="仿宋" w:hAnsi="仿宋"/>
        </w:rPr>
      </w:pPr>
      <w:bookmarkStart w:id="15" w:name="_Toc15377197"/>
      <w:bookmarkStart w:id="16"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F67406" w:rsidRDefault="00C72CFB">
      <w:pPr>
        <w:pStyle w:val="a3"/>
        <w:adjustRightInd w:val="0"/>
        <w:snapToGrid w:val="0"/>
        <w:spacing w:before="93"/>
        <w:ind w:firstLineChars="210" w:firstLine="672"/>
        <w:outlineLvl w:val="2"/>
        <w:rPr>
          <w:rFonts w:ascii="仿宋" w:eastAsia="仿宋" w:hAnsi="仿宋"/>
          <w:bCs/>
          <w:color w:val="000000"/>
          <w:sz w:val="32"/>
          <w:szCs w:val="32"/>
        </w:rPr>
      </w:pPr>
      <w:bookmarkStart w:id="17" w:name="_Toc15377198"/>
      <w:bookmarkStart w:id="18" w:name="_Toc15378445"/>
      <w:r>
        <w:rPr>
          <w:rFonts w:ascii="仿宋" w:eastAsia="仿宋" w:hAnsi="仿宋" w:hint="eastAsia"/>
          <w:bCs/>
          <w:color w:val="000000"/>
          <w:sz w:val="32"/>
          <w:szCs w:val="32"/>
        </w:rPr>
        <w:t>（一）主要职能。</w:t>
      </w:r>
      <w:bookmarkEnd w:id="17"/>
      <w:bookmarkEnd w:id="18"/>
    </w:p>
    <w:p w:rsidR="00F67406" w:rsidRDefault="00C72CFB">
      <w:pPr>
        <w:ind w:firstLineChars="200" w:firstLine="640"/>
        <w:rPr>
          <w:rFonts w:ascii="仿宋" w:eastAsia="仿宋" w:hAnsi="仿宋"/>
          <w:bCs/>
          <w:color w:val="000000"/>
          <w:sz w:val="32"/>
          <w:szCs w:val="32"/>
        </w:rPr>
      </w:pPr>
      <w:r>
        <w:rPr>
          <w:rFonts w:ascii="华文仿宋" w:eastAsia="华文仿宋" w:hAnsi="华文仿宋" w:hint="eastAsia"/>
          <w:sz w:val="32"/>
          <w:szCs w:val="32"/>
        </w:rPr>
        <w:t>负责组织基金监督管理法规和办法的贯彻实施，会同有关部门编制本级社会保险基金预决算草案，开展社会保险基金监督检查工作；负责区人力资源和社会保险信息系统硬件和软件规划、审核、建设、管理和维护，负责区公共就业和社会保障基层平台的建设和管理。</w:t>
      </w:r>
    </w:p>
    <w:p w:rsidR="00F67406" w:rsidRDefault="00C72CFB">
      <w:pPr>
        <w:spacing w:line="578" w:lineRule="exact"/>
        <w:ind w:firstLineChars="200" w:firstLine="640"/>
        <w:rPr>
          <w:rFonts w:ascii="仿宋" w:eastAsia="仿宋" w:hAnsi="仿宋"/>
          <w:bCs/>
          <w:color w:val="000000"/>
          <w:sz w:val="32"/>
          <w:szCs w:val="32"/>
        </w:rPr>
      </w:pPr>
      <w:bookmarkStart w:id="19" w:name="_Toc15377199"/>
      <w:bookmarkStart w:id="20" w:name="_Toc15378446"/>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9"/>
      <w:bookmarkEnd w:id="20"/>
    </w:p>
    <w:p w:rsidR="00F67406" w:rsidRDefault="00C72CFB">
      <w:pPr>
        <w:spacing w:line="578" w:lineRule="exact"/>
        <w:ind w:firstLineChars="200" w:firstLine="640"/>
        <w:rPr>
          <w:rFonts w:ascii="华文仿宋" w:eastAsia="华文仿宋" w:hAnsi="华文仿宋"/>
          <w:sz w:val="32"/>
          <w:szCs w:val="32"/>
        </w:rPr>
      </w:pPr>
      <w:r>
        <w:rPr>
          <w:rFonts w:ascii="华文仿宋" w:eastAsia="华文仿宋" w:hAnsi="华文仿宋"/>
          <w:sz w:val="32"/>
          <w:szCs w:val="32"/>
        </w:rPr>
        <w:t>根据省人力资源和社会保障厅《关于进一步加强社会保险基金管理风险防控工作的实施意见》（川人社办发〔201</w:t>
      </w:r>
      <w:r>
        <w:rPr>
          <w:rFonts w:ascii="华文仿宋" w:eastAsia="华文仿宋" w:hAnsi="华文仿宋" w:hint="eastAsia"/>
          <w:sz w:val="32"/>
          <w:szCs w:val="32"/>
        </w:rPr>
        <w:t>8</w:t>
      </w:r>
      <w:r>
        <w:rPr>
          <w:rFonts w:ascii="华文仿宋" w:eastAsia="华文仿宋" w:hAnsi="华文仿宋"/>
          <w:sz w:val="32"/>
          <w:szCs w:val="32"/>
        </w:rPr>
        <w:t>〕202号）、达州市人力资源和社会保障局《关于进一步加强社会保险基金管理风险防控工作的实施意见》（达市人社发〔2019〕2号）文件精神，认真制订社会保险基金风险防控实施方案，加强基金管理风险防控，确保社保基金安全完整。先后草拟《达州市达川区人力资源和社会保障局关于进一步加强社会保险基金管理风险防控工作的实施意见》；《达州市达川区人力资源和社会保障局关于打击欺诈骗取社会保险待遇专项行动的实施方案》（达川人社发〔2019〕16号）；《达州市达川区人力资源和社会保障局关于印发</w:t>
      </w:r>
      <w:r>
        <w:rPr>
          <w:rFonts w:ascii="华文仿宋" w:eastAsia="华文仿宋" w:hAnsi="华文仿宋" w:hint="eastAsia"/>
          <w:sz w:val="32"/>
          <w:szCs w:val="32"/>
        </w:rPr>
        <w:t>〈达川区社会保险基金管理风险防控专项整治行动现场检查方案〉的通</w:t>
      </w:r>
      <w:r>
        <w:rPr>
          <w:rFonts w:ascii="华文仿宋" w:eastAsia="华文仿宋" w:hAnsi="华文仿宋" w:hint="eastAsia"/>
          <w:sz w:val="32"/>
          <w:szCs w:val="32"/>
        </w:rPr>
        <w:lastRenderedPageBreak/>
        <w:t>知》（达川人社发〔2019〕27号）；《达州市达川区人力资源和社会保障局关于印发社会保险基金管理风险防控工作局内责任</w:t>
      </w:r>
      <w:r w:rsidR="004D79E1">
        <w:rPr>
          <w:rFonts w:ascii="华文仿宋" w:eastAsia="华文仿宋" w:hAnsi="华文仿宋" w:hint="eastAsia"/>
          <w:sz w:val="32"/>
          <w:szCs w:val="32"/>
        </w:rPr>
        <w:t>分</w:t>
      </w:r>
      <w:r>
        <w:rPr>
          <w:rFonts w:ascii="华文仿宋" w:eastAsia="华文仿宋" w:hAnsi="华文仿宋" w:hint="eastAsia"/>
          <w:sz w:val="32"/>
          <w:szCs w:val="32"/>
        </w:rPr>
        <w:t xml:space="preserve">工的通知》（达川人社发〔2019〕28号）等，成立了工作领导小组，明确分工，压紧压实基金风险防控责任。 </w:t>
      </w:r>
    </w:p>
    <w:p w:rsidR="00F67406" w:rsidRDefault="00C72CFB">
      <w:pPr>
        <w:spacing w:line="578" w:lineRule="exact"/>
        <w:ind w:firstLineChars="200" w:firstLine="640"/>
        <w:rPr>
          <w:rFonts w:ascii="华文仿宋" w:eastAsia="华文仿宋" w:hAnsi="华文仿宋"/>
          <w:sz w:val="32"/>
          <w:szCs w:val="32"/>
        </w:rPr>
      </w:pPr>
      <w:r>
        <w:rPr>
          <w:rFonts w:ascii="华文仿宋" w:eastAsia="华文仿宋" w:hAnsi="华文仿宋"/>
          <w:sz w:val="32"/>
          <w:szCs w:val="32"/>
        </w:rPr>
        <w:t>一是</w:t>
      </w:r>
      <w:r>
        <w:rPr>
          <w:rFonts w:ascii="华文仿宋" w:eastAsia="华文仿宋" w:hAnsi="华文仿宋" w:hint="eastAsia"/>
          <w:sz w:val="32"/>
          <w:szCs w:val="32"/>
        </w:rPr>
        <w:t>日常监管不放松。</w:t>
      </w:r>
      <w:r>
        <w:rPr>
          <w:rFonts w:ascii="华文仿宋" w:eastAsia="华文仿宋" w:hAnsi="华文仿宋"/>
          <w:sz w:val="32"/>
          <w:szCs w:val="32"/>
        </w:rPr>
        <w:t>坚持按月汇总各险种社保基金报表，分析基金运行情况和抗风险能力。</w:t>
      </w:r>
    </w:p>
    <w:p w:rsidR="00F67406" w:rsidRDefault="00C72CFB">
      <w:pPr>
        <w:spacing w:line="578" w:lineRule="exact"/>
        <w:ind w:firstLineChars="200" w:firstLine="640"/>
        <w:rPr>
          <w:rFonts w:ascii="华文仿宋" w:eastAsia="华文仿宋" w:hAnsi="华文仿宋"/>
          <w:sz w:val="32"/>
          <w:szCs w:val="32"/>
        </w:rPr>
      </w:pPr>
      <w:r>
        <w:rPr>
          <w:rFonts w:ascii="华文仿宋" w:eastAsia="华文仿宋" w:hAnsi="华文仿宋"/>
          <w:sz w:val="32"/>
          <w:szCs w:val="32"/>
        </w:rPr>
        <w:t>二是</w:t>
      </w:r>
      <w:r>
        <w:rPr>
          <w:rFonts w:ascii="华文仿宋" w:eastAsia="华文仿宋" w:hAnsi="华文仿宋" w:hint="eastAsia"/>
          <w:sz w:val="32"/>
          <w:szCs w:val="32"/>
        </w:rPr>
        <w:t>网络监管出成效。</w:t>
      </w:r>
      <w:r>
        <w:rPr>
          <w:rFonts w:ascii="华文仿宋" w:eastAsia="华文仿宋" w:hAnsi="华文仿宋"/>
          <w:sz w:val="32"/>
          <w:szCs w:val="32"/>
        </w:rPr>
        <w:t>依靠</w:t>
      </w:r>
      <w:r>
        <w:rPr>
          <w:rFonts w:ascii="华文仿宋" w:eastAsia="华文仿宋" w:hAnsi="华文仿宋" w:hint="eastAsia"/>
          <w:sz w:val="32"/>
          <w:szCs w:val="32"/>
        </w:rPr>
        <w:t>“</w:t>
      </w:r>
      <w:r>
        <w:rPr>
          <w:rFonts w:ascii="华文仿宋" w:eastAsia="华文仿宋" w:hAnsi="华文仿宋"/>
          <w:sz w:val="32"/>
          <w:szCs w:val="32"/>
        </w:rPr>
        <w:t>金保</w:t>
      </w:r>
      <w:r>
        <w:rPr>
          <w:rFonts w:ascii="华文仿宋" w:eastAsia="华文仿宋" w:hAnsi="华文仿宋" w:hint="eastAsia"/>
          <w:sz w:val="32"/>
          <w:szCs w:val="32"/>
        </w:rPr>
        <w:t>工程”</w:t>
      </w:r>
      <w:r>
        <w:rPr>
          <w:rFonts w:ascii="华文仿宋" w:eastAsia="华文仿宋" w:hAnsi="华文仿宋"/>
          <w:sz w:val="32"/>
          <w:szCs w:val="32"/>
        </w:rPr>
        <w:t>网络软件，及时分析社保基金存在的信息预警，及时分</w:t>
      </w:r>
      <w:r>
        <w:rPr>
          <w:rFonts w:ascii="华文仿宋" w:eastAsia="华文仿宋" w:hAnsi="华文仿宋" w:hint="eastAsia"/>
          <w:sz w:val="32"/>
          <w:szCs w:val="32"/>
        </w:rPr>
        <w:t>发</w:t>
      </w:r>
      <w:r>
        <w:rPr>
          <w:rFonts w:ascii="华文仿宋" w:eastAsia="华文仿宋" w:hAnsi="华文仿宋"/>
          <w:sz w:val="32"/>
          <w:szCs w:val="32"/>
        </w:rPr>
        <w:t>至各经办机构，及时处理反馈涉及的垃圾信息，针对一些重点疑似信息进行调查核实，按质按量向上级报表。</w:t>
      </w:r>
      <w:r>
        <w:rPr>
          <w:rFonts w:ascii="华文仿宋" w:eastAsia="华文仿宋" w:hAnsi="华文仿宋" w:hint="eastAsia"/>
          <w:sz w:val="32"/>
          <w:szCs w:val="32"/>
        </w:rPr>
        <w:t>全年</w:t>
      </w:r>
      <w:r>
        <w:rPr>
          <w:rFonts w:ascii="华文仿宋" w:eastAsia="华文仿宋" w:hAnsi="华文仿宋"/>
          <w:sz w:val="32"/>
          <w:szCs w:val="32"/>
        </w:rPr>
        <w:t>共分发信息  14114  条，处理信息</w:t>
      </w:r>
      <w:r>
        <w:rPr>
          <w:rFonts w:ascii="华文仿宋" w:eastAsia="华文仿宋" w:hAnsi="华文仿宋" w:hint="eastAsia"/>
          <w:sz w:val="32"/>
          <w:szCs w:val="32"/>
        </w:rPr>
        <w:t>14114</w:t>
      </w:r>
      <w:r>
        <w:rPr>
          <w:rFonts w:ascii="华文仿宋" w:eastAsia="华文仿宋" w:hAnsi="华文仿宋"/>
          <w:sz w:val="32"/>
          <w:szCs w:val="32"/>
        </w:rPr>
        <w:t> 条。</w:t>
      </w:r>
    </w:p>
    <w:p w:rsidR="00F67406" w:rsidRDefault="00C72CFB">
      <w:pPr>
        <w:spacing w:line="578"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三是重点布防不懈怠。坚持重点打击，</w:t>
      </w:r>
      <w:r w:rsidR="00947D07">
        <w:rPr>
          <w:rFonts w:ascii="华文仿宋" w:eastAsia="华文仿宋" w:hAnsi="华文仿宋" w:hint="eastAsia"/>
          <w:sz w:val="32"/>
          <w:szCs w:val="32"/>
        </w:rPr>
        <w:t>注重</w:t>
      </w:r>
      <w:r>
        <w:rPr>
          <w:rFonts w:ascii="华文仿宋" w:eastAsia="华文仿宋" w:hAnsi="华文仿宋" w:hint="eastAsia"/>
          <w:sz w:val="32"/>
          <w:szCs w:val="32"/>
        </w:rPr>
        <w:t>打防结合，防范基金风险。认真对待关于社会保险基金的举报案件。</w:t>
      </w:r>
    </w:p>
    <w:p w:rsidR="00F67406" w:rsidRDefault="00C72CFB">
      <w:pPr>
        <w:spacing w:line="578" w:lineRule="exact"/>
        <w:ind w:firstLineChars="200" w:firstLine="640"/>
        <w:rPr>
          <w:rFonts w:ascii="华文仿宋" w:eastAsia="仿宋" w:hAnsi="华文仿宋"/>
          <w:b/>
          <w:sz w:val="32"/>
          <w:szCs w:val="32"/>
        </w:rPr>
      </w:pPr>
      <w:r>
        <w:rPr>
          <w:rFonts w:ascii="华文仿宋" w:eastAsia="华文仿宋" w:hAnsi="华文仿宋" w:hint="eastAsia"/>
          <w:bCs/>
          <w:sz w:val="32"/>
          <w:szCs w:val="32"/>
        </w:rPr>
        <w:t>四是完成任务不打折。</w:t>
      </w:r>
      <w:r>
        <w:rPr>
          <w:rFonts w:ascii="仿宋" w:eastAsia="仿宋" w:hAnsi="仿宋" w:hint="eastAsia"/>
          <w:sz w:val="32"/>
          <w:szCs w:val="32"/>
        </w:rPr>
        <w:t xml:space="preserve"> 根据部、省、市人社部门要求，全面完成2017年我区养老保险重点剩余指标的核查工作；按照《四川省人力资源和社会保障厅社会保险基金监督督办通知》（川人社基函</w:t>
      </w:r>
      <w:r>
        <w:rPr>
          <w:rFonts w:ascii="华文仿宋" w:eastAsia="华文仿宋" w:hAnsi="华文仿宋"/>
          <w:sz w:val="32"/>
          <w:szCs w:val="32"/>
        </w:rPr>
        <w:t>〔201</w:t>
      </w:r>
      <w:r>
        <w:rPr>
          <w:rFonts w:ascii="华文仿宋" w:eastAsia="华文仿宋" w:hAnsi="华文仿宋" w:hint="eastAsia"/>
          <w:sz w:val="32"/>
          <w:szCs w:val="32"/>
        </w:rPr>
        <w:t>9</w:t>
      </w:r>
      <w:r>
        <w:rPr>
          <w:rFonts w:ascii="华文仿宋" w:eastAsia="华文仿宋" w:hAnsi="华文仿宋"/>
          <w:sz w:val="32"/>
          <w:szCs w:val="32"/>
        </w:rPr>
        <w:t>〕</w:t>
      </w:r>
      <w:r>
        <w:rPr>
          <w:rFonts w:ascii="仿宋" w:eastAsia="仿宋" w:hAnsi="仿宋" w:hint="eastAsia"/>
          <w:sz w:val="32"/>
          <w:szCs w:val="32"/>
        </w:rPr>
        <w:t>9号）和</w:t>
      </w:r>
      <w:r w:rsidR="00EB3D63">
        <w:rPr>
          <w:rFonts w:ascii="仿宋" w:eastAsia="仿宋" w:hAnsi="仿宋" w:hint="eastAsia"/>
          <w:sz w:val="32"/>
          <w:szCs w:val="32"/>
        </w:rPr>
        <w:t>《</w:t>
      </w:r>
      <w:r>
        <w:rPr>
          <w:rFonts w:ascii="仿宋" w:eastAsia="仿宋" w:hAnsi="仿宋" w:hint="eastAsia"/>
          <w:sz w:val="32"/>
          <w:szCs w:val="32"/>
        </w:rPr>
        <w:t>达州市人力资源和社会保障局社会保险基金监督督办通知》（达市人社函</w:t>
      </w:r>
      <w:r>
        <w:rPr>
          <w:rFonts w:ascii="华文仿宋" w:eastAsia="华文仿宋" w:hAnsi="华文仿宋"/>
          <w:sz w:val="32"/>
          <w:szCs w:val="32"/>
        </w:rPr>
        <w:t>〔201</w:t>
      </w:r>
      <w:r>
        <w:rPr>
          <w:rFonts w:ascii="华文仿宋" w:eastAsia="华文仿宋" w:hAnsi="华文仿宋" w:hint="eastAsia"/>
          <w:sz w:val="32"/>
          <w:szCs w:val="32"/>
        </w:rPr>
        <w:t>9</w:t>
      </w:r>
      <w:r>
        <w:rPr>
          <w:rFonts w:ascii="华文仿宋" w:eastAsia="华文仿宋" w:hAnsi="华文仿宋"/>
          <w:sz w:val="32"/>
          <w:szCs w:val="32"/>
        </w:rPr>
        <w:t>〕</w:t>
      </w:r>
      <w:r>
        <w:rPr>
          <w:rFonts w:ascii="仿宋" w:eastAsia="仿宋" w:hAnsi="仿宋" w:hint="eastAsia"/>
          <w:sz w:val="32"/>
          <w:szCs w:val="32"/>
        </w:rPr>
        <w:t>75号）精神，结合我区2017年养老保险重点指标核实和追冒情况，拟订了《达州市达川区人力资源和社会保障局关于开展严厉打击欺诈骗取社会保险待遇专项行动的实施方案》（达川人社发</w:t>
      </w:r>
      <w:r>
        <w:rPr>
          <w:rFonts w:ascii="华文仿宋" w:eastAsia="华文仿宋" w:hAnsi="华文仿宋"/>
          <w:sz w:val="32"/>
          <w:szCs w:val="32"/>
        </w:rPr>
        <w:t>〔201</w:t>
      </w:r>
      <w:r>
        <w:rPr>
          <w:rFonts w:ascii="华文仿宋" w:eastAsia="华文仿宋" w:hAnsi="华文仿宋" w:hint="eastAsia"/>
          <w:sz w:val="32"/>
          <w:szCs w:val="32"/>
        </w:rPr>
        <w:t>9</w:t>
      </w:r>
      <w:r>
        <w:rPr>
          <w:rFonts w:ascii="华文仿宋" w:eastAsia="华文仿宋" w:hAnsi="华文仿宋"/>
          <w:sz w:val="32"/>
          <w:szCs w:val="32"/>
        </w:rPr>
        <w:t>〕</w:t>
      </w:r>
      <w:r>
        <w:rPr>
          <w:rFonts w:ascii="仿宋" w:eastAsia="仿宋" w:hAnsi="仿宋" w:hint="eastAsia"/>
          <w:sz w:val="32"/>
          <w:szCs w:val="32"/>
        </w:rPr>
        <w:t>32号），成立专项行动领导小组，加强组织领导</w:t>
      </w:r>
      <w:r>
        <w:rPr>
          <w:rFonts w:ascii="仿宋_GB2312" w:hAnsi="仿宋_GB2312" w:hint="eastAsia"/>
          <w:sz w:val="32"/>
          <w:szCs w:val="32"/>
        </w:rPr>
        <w:t>，</w:t>
      </w:r>
      <w:r w:rsidR="00EB3D63">
        <w:rPr>
          <w:rFonts w:ascii="仿宋" w:eastAsia="仿宋" w:hAnsi="仿宋" w:hint="eastAsia"/>
          <w:sz w:val="32"/>
          <w:szCs w:val="32"/>
        </w:rPr>
        <w:t>认真部署和</w:t>
      </w:r>
      <w:r>
        <w:rPr>
          <w:rFonts w:ascii="仿宋" w:eastAsia="仿宋" w:hAnsi="仿宋" w:hint="eastAsia"/>
          <w:sz w:val="32"/>
          <w:szCs w:val="32"/>
        </w:rPr>
        <w:t>精心组织，主动向区委区政府汇报，先后组织召开协调工作会4次，先后出动50人次下乡督导</w:t>
      </w:r>
      <w:r>
        <w:rPr>
          <w:rFonts w:ascii="仿宋" w:eastAsia="仿宋" w:hAnsi="仿宋" w:hint="eastAsia"/>
          <w:sz w:val="32"/>
          <w:szCs w:val="32"/>
        </w:rPr>
        <w:lastRenderedPageBreak/>
        <w:t>养老重复和死亡冒领基金的追缴工作;</w:t>
      </w:r>
      <w:r>
        <w:rPr>
          <w:rFonts w:ascii="仿宋" w:eastAsia="仿宋" w:hAnsi="仿宋" w:cs="仿宋" w:hint="eastAsia"/>
          <w:sz w:val="32"/>
          <w:szCs w:val="32"/>
        </w:rPr>
        <w:t>通过艰苦努力,应该核查的疑似指标全部核实完毕，企业职工养老保险与机保重复领取尚未追回基金</w:t>
      </w:r>
      <w:r w:rsidR="00947D07">
        <w:rPr>
          <w:rFonts w:ascii="仿宋" w:eastAsia="仿宋" w:hAnsi="仿宋" w:cs="仿宋" w:hint="eastAsia"/>
          <w:sz w:val="32"/>
          <w:szCs w:val="32"/>
        </w:rPr>
        <w:t>如数追回，居保</w:t>
      </w:r>
      <w:r>
        <w:rPr>
          <w:rFonts w:ascii="仿宋" w:eastAsia="仿宋" w:hAnsi="仿宋" w:cs="仿宋" w:hint="eastAsia"/>
          <w:sz w:val="32"/>
          <w:szCs w:val="32"/>
        </w:rPr>
        <w:t>涉及死亡、重复领取悉数追回，至此2017年养老保险重点指标的核查和整改工作圆满完成，确保了基金安全完整。</w:t>
      </w:r>
    </w:p>
    <w:p w:rsidR="00F67406" w:rsidRDefault="00C72CFB">
      <w:pPr>
        <w:pStyle w:val="2"/>
        <w:spacing w:line="240" w:lineRule="auto"/>
        <w:rPr>
          <w:rStyle w:val="2Char"/>
          <w:rFonts w:ascii="黑体" w:eastAsia="黑体" w:hAnsi="黑体"/>
          <w:bCs/>
        </w:rPr>
      </w:pPr>
      <w:bookmarkStart w:id="21" w:name="_Toc15377200"/>
      <w:bookmarkStart w:id="22" w:name="_Toc15396601"/>
      <w:r>
        <w:rPr>
          <w:rStyle w:val="2Char"/>
          <w:rFonts w:ascii="黑体" w:eastAsia="黑体" w:hAnsi="黑体" w:hint="eastAsia"/>
          <w:bCs/>
        </w:rPr>
        <w:t>二、机构设置</w:t>
      </w:r>
      <w:bookmarkEnd w:id="21"/>
      <w:bookmarkEnd w:id="22"/>
    </w:p>
    <w:p w:rsidR="00F67406" w:rsidRDefault="00C72CFB">
      <w:pPr>
        <w:ind w:firstLineChars="250" w:firstLine="750"/>
        <w:rPr>
          <w:rFonts w:ascii="仿宋" w:eastAsia="仿宋" w:hAnsi="仿宋"/>
          <w:sz w:val="32"/>
          <w:szCs w:val="32"/>
        </w:rPr>
      </w:pPr>
      <w:r>
        <w:rPr>
          <w:rFonts w:ascii="仿宋_GB2312" w:eastAsia="仿宋_GB2312" w:hAnsi="Calibri" w:hint="eastAsia"/>
          <w:sz w:val="30"/>
          <w:szCs w:val="30"/>
        </w:rPr>
        <w:t>达川区社会保险基金监督管理局是</w:t>
      </w:r>
      <w:r w:rsidR="00947D07">
        <w:rPr>
          <w:rFonts w:ascii="仿宋_GB2312" w:eastAsia="仿宋_GB2312" w:hAnsi="Calibri" w:hint="eastAsia"/>
          <w:sz w:val="30"/>
          <w:szCs w:val="30"/>
        </w:rPr>
        <w:t>隶属于</w:t>
      </w:r>
      <w:r>
        <w:rPr>
          <w:rFonts w:ascii="仿宋_GB2312" w:eastAsia="仿宋_GB2312" w:hAnsi="Calibri" w:hint="eastAsia"/>
          <w:sz w:val="30"/>
          <w:szCs w:val="30"/>
        </w:rPr>
        <w:t>达川区人力资源社会保障局</w:t>
      </w:r>
      <w:r w:rsidR="00947D07">
        <w:rPr>
          <w:rFonts w:ascii="仿宋" w:eastAsia="仿宋" w:hAnsi="仿宋" w:hint="eastAsia"/>
          <w:sz w:val="32"/>
          <w:szCs w:val="32"/>
        </w:rPr>
        <w:t>管理（</w:t>
      </w:r>
      <w:r>
        <w:rPr>
          <w:rFonts w:ascii="仿宋" w:eastAsia="仿宋" w:hAnsi="仿宋" w:hint="eastAsia"/>
          <w:sz w:val="32"/>
          <w:szCs w:val="32"/>
        </w:rPr>
        <w:t>参照公务员法管理</w:t>
      </w:r>
      <w:r w:rsidR="00947D07">
        <w:rPr>
          <w:rFonts w:ascii="仿宋" w:eastAsia="仿宋" w:hAnsi="仿宋" w:hint="eastAsia"/>
          <w:sz w:val="32"/>
          <w:szCs w:val="32"/>
        </w:rPr>
        <w:t>）</w:t>
      </w:r>
      <w:r>
        <w:rPr>
          <w:rFonts w:ascii="仿宋" w:eastAsia="仿宋" w:hAnsi="仿宋" w:hint="eastAsia"/>
          <w:sz w:val="32"/>
          <w:szCs w:val="32"/>
        </w:rPr>
        <w:t>的</w:t>
      </w:r>
      <w:r w:rsidR="00947D07">
        <w:rPr>
          <w:rFonts w:ascii="仿宋" w:eastAsia="仿宋" w:hAnsi="仿宋" w:hint="eastAsia"/>
          <w:sz w:val="32"/>
          <w:szCs w:val="32"/>
        </w:rPr>
        <w:t>副科级</w:t>
      </w:r>
      <w:r>
        <w:rPr>
          <w:rFonts w:ascii="仿宋" w:eastAsia="仿宋" w:hAnsi="仿宋" w:hint="eastAsia"/>
          <w:sz w:val="32"/>
          <w:szCs w:val="32"/>
        </w:rPr>
        <w:t>事业单位。</w:t>
      </w: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F67406">
      <w:pPr>
        <w:ind w:firstLineChars="250" w:firstLine="800"/>
        <w:rPr>
          <w:rFonts w:ascii="仿宋" w:eastAsia="仿宋" w:hAnsi="仿宋"/>
          <w:sz w:val="32"/>
          <w:szCs w:val="32"/>
        </w:rPr>
      </w:pPr>
    </w:p>
    <w:p w:rsidR="00F67406" w:rsidRDefault="00C72CFB">
      <w:pPr>
        <w:pStyle w:val="1"/>
        <w:spacing w:line="240" w:lineRule="auto"/>
        <w:ind w:right="440"/>
        <w:jc w:val="right"/>
        <w:rPr>
          <w:rStyle w:val="1Char"/>
          <w:rFonts w:ascii="黑体" w:eastAsia="黑体" w:hAnsi="黑体"/>
        </w:rPr>
      </w:pPr>
      <w:bookmarkStart w:id="23" w:name="_Toc15396602"/>
      <w:bookmarkStart w:id="24" w:name="_Toc15377204"/>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3"/>
      <w:bookmarkEnd w:id="24"/>
    </w:p>
    <w:p w:rsidR="00F67406" w:rsidRDefault="00F67406"/>
    <w:p w:rsidR="00F67406" w:rsidRDefault="00C72CFB">
      <w:pPr>
        <w:pStyle w:val="a9"/>
        <w:numPr>
          <w:ilvl w:val="0"/>
          <w:numId w:val="1"/>
        </w:numPr>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F67406" w:rsidRDefault="00C72CFB">
      <w:pPr>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2019年度收、支总计263.01万元。与2018年相比收、支总计各增加35.92万元，增长15.82</w:t>
      </w:r>
      <w:r>
        <w:rPr>
          <w:rFonts w:ascii="仿宋" w:eastAsia="仿宋" w:hAnsi="仿宋"/>
          <w:color w:val="000000"/>
          <w:sz w:val="32"/>
          <w:szCs w:val="32"/>
        </w:rPr>
        <w:t>%</w:t>
      </w:r>
      <w:r>
        <w:rPr>
          <w:rFonts w:ascii="仿宋" w:eastAsia="仿宋" w:hAnsi="仿宋" w:hint="eastAsia"/>
          <w:color w:val="000000"/>
          <w:sz w:val="32"/>
          <w:szCs w:val="32"/>
        </w:rPr>
        <w:t>。主要变动原因是人员经费增加。</w:t>
      </w:r>
    </w:p>
    <w:p w:rsidR="00F67406" w:rsidRDefault="00F67406">
      <w:pPr>
        <w:ind w:firstLineChars="200" w:firstLine="640"/>
        <w:rPr>
          <w:rFonts w:ascii="仿宋" w:eastAsia="仿宋" w:hAnsi="仿宋"/>
          <w:color w:val="000000"/>
          <w:sz w:val="32"/>
          <w:szCs w:val="32"/>
        </w:rPr>
      </w:pPr>
    </w:p>
    <w:p w:rsidR="00F67406" w:rsidRDefault="00C72CFB">
      <w:pPr>
        <w:ind w:firstLineChars="200" w:firstLine="480"/>
        <w:jc w:val="center"/>
        <w:rPr>
          <w:rFonts w:ascii="宋体" w:hAnsi="宋体" w:cs="宋体"/>
          <w:sz w:val="24"/>
        </w:rPr>
      </w:pPr>
      <w:r>
        <w:rPr>
          <w:rFonts w:ascii="宋体" w:hAnsi="宋体" w:cs="宋体"/>
          <w:noProof/>
          <w:sz w:val="24"/>
        </w:rPr>
        <w:drawing>
          <wp:inline distT="0" distB="0" distL="114300" distR="114300">
            <wp:extent cx="2823210" cy="1701800"/>
            <wp:effectExtent l="0" t="0" r="15240" b="1270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tretch>
                      <a:fillRect/>
                    </a:stretch>
                  </pic:blipFill>
                  <pic:spPr>
                    <a:xfrm>
                      <a:off x="0" y="0"/>
                      <a:ext cx="2823210" cy="1701800"/>
                    </a:xfrm>
                    <a:prstGeom prst="rect">
                      <a:avLst/>
                    </a:prstGeom>
                    <a:noFill/>
                    <a:ln w="9525">
                      <a:noFill/>
                    </a:ln>
                  </pic:spPr>
                </pic:pic>
              </a:graphicData>
            </a:graphic>
          </wp:inline>
        </w:drawing>
      </w:r>
    </w:p>
    <w:p w:rsidR="00F67406" w:rsidRDefault="00C72CF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F67406" w:rsidRDefault="00F67406">
      <w:pPr>
        <w:ind w:firstLineChars="200" w:firstLine="640"/>
        <w:jc w:val="left"/>
        <w:rPr>
          <w:rFonts w:ascii="仿宋_GB2312" w:eastAsia="仿宋_GB2312"/>
          <w:color w:val="000000"/>
          <w:sz w:val="32"/>
          <w:szCs w:val="32"/>
        </w:rPr>
      </w:pPr>
    </w:p>
    <w:p w:rsidR="00F67406" w:rsidRDefault="00C72CFB">
      <w:pPr>
        <w:pStyle w:val="a9"/>
        <w:numPr>
          <w:ilvl w:val="0"/>
          <w:numId w:val="1"/>
        </w:numPr>
        <w:ind w:firstLineChars="0"/>
        <w:outlineLvl w:val="1"/>
        <w:rPr>
          <w:rStyle w:val="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F67406" w:rsidRDefault="00C72CFB">
      <w:pPr>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9年本年收入合计130.98万元，其中：一般公共预算财政拨款收入130.98万元，占100</w:t>
      </w:r>
      <w:r>
        <w:rPr>
          <w:rFonts w:ascii="仿宋" w:eastAsia="仿宋" w:hAnsi="仿宋"/>
          <w:color w:val="000000"/>
          <w:sz w:val="32"/>
          <w:szCs w:val="32"/>
        </w:rPr>
        <w:t>%</w:t>
      </w:r>
      <w:r>
        <w:rPr>
          <w:rFonts w:ascii="仿宋" w:eastAsia="仿宋" w:hAnsi="仿宋" w:hint="eastAsia"/>
          <w:color w:val="000000"/>
          <w:sz w:val="32"/>
          <w:szCs w:val="32"/>
        </w:rPr>
        <w:t>。</w:t>
      </w:r>
    </w:p>
    <w:p w:rsidR="00F67406" w:rsidRDefault="00C72CFB">
      <w:pPr>
        <w:ind w:firstLineChars="200" w:firstLine="420"/>
        <w:jc w:val="center"/>
        <w:outlineLvl w:val="1"/>
        <w:rPr>
          <w:rFonts w:ascii="仿宋" w:eastAsia="仿宋" w:hAnsi="仿宋"/>
          <w:color w:val="000000"/>
          <w:sz w:val="32"/>
          <w:szCs w:val="32"/>
        </w:rPr>
      </w:pPr>
      <w:r>
        <w:rPr>
          <w:noProof/>
        </w:rPr>
        <w:lastRenderedPageBreak/>
        <w:drawing>
          <wp:inline distT="0" distB="0" distL="114300" distR="114300">
            <wp:extent cx="2656840" cy="1497965"/>
            <wp:effectExtent l="0" t="0" r="1016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656840" cy="1497965"/>
                    </a:xfrm>
                    <a:prstGeom prst="rect">
                      <a:avLst/>
                    </a:prstGeom>
                    <a:noFill/>
                    <a:ln>
                      <a:noFill/>
                    </a:ln>
                  </pic:spPr>
                </pic:pic>
              </a:graphicData>
            </a:graphic>
          </wp:inline>
        </w:drawing>
      </w:r>
    </w:p>
    <w:p w:rsidR="00F67406" w:rsidRDefault="00C72CFB">
      <w:pPr>
        <w:ind w:firstLineChars="300" w:firstLine="96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F67406" w:rsidRDefault="00F67406">
      <w:pPr>
        <w:ind w:firstLineChars="200" w:firstLine="640"/>
        <w:rPr>
          <w:rFonts w:ascii="仿宋_GB2312" w:eastAsia="仿宋_GB2312"/>
          <w:color w:val="FF0000"/>
          <w:sz w:val="32"/>
          <w:szCs w:val="32"/>
        </w:rPr>
      </w:pPr>
    </w:p>
    <w:p w:rsidR="00F67406" w:rsidRDefault="00C72CFB">
      <w:pPr>
        <w:pStyle w:val="a9"/>
        <w:numPr>
          <w:ilvl w:val="0"/>
          <w:numId w:val="1"/>
        </w:numPr>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F67406" w:rsidRDefault="00C72CFB">
      <w:pPr>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9年本年支出合计132.03万元，其中：基本支出123.23万元，占93</w:t>
      </w:r>
      <w:r>
        <w:rPr>
          <w:rFonts w:ascii="仿宋" w:eastAsia="仿宋" w:hAnsi="仿宋"/>
          <w:color w:val="000000"/>
          <w:sz w:val="32"/>
          <w:szCs w:val="32"/>
        </w:rPr>
        <w:t>%</w:t>
      </w:r>
      <w:r>
        <w:rPr>
          <w:rFonts w:ascii="仿宋" w:eastAsia="仿宋" w:hAnsi="仿宋" w:hint="eastAsia"/>
          <w:color w:val="000000"/>
          <w:sz w:val="32"/>
          <w:szCs w:val="32"/>
        </w:rPr>
        <w:t>；项目支出8.80万元，占7</w:t>
      </w:r>
      <w:r>
        <w:rPr>
          <w:rFonts w:ascii="仿宋" w:eastAsia="仿宋" w:hAnsi="仿宋"/>
          <w:color w:val="000000"/>
          <w:sz w:val="32"/>
          <w:szCs w:val="32"/>
        </w:rPr>
        <w:t>%</w:t>
      </w:r>
      <w:r>
        <w:rPr>
          <w:rFonts w:ascii="仿宋" w:eastAsia="仿宋" w:hAnsi="仿宋" w:hint="eastAsia"/>
          <w:color w:val="000000"/>
          <w:sz w:val="32"/>
          <w:szCs w:val="32"/>
        </w:rPr>
        <w:t>；</w:t>
      </w:r>
    </w:p>
    <w:p w:rsidR="00F67406" w:rsidRDefault="00C72CFB">
      <w:pPr>
        <w:ind w:firstLineChars="200" w:firstLine="420"/>
        <w:outlineLvl w:val="1"/>
        <w:rPr>
          <w:rFonts w:ascii="仿宋" w:eastAsia="仿宋" w:hAnsi="仿宋"/>
          <w:color w:val="000000"/>
          <w:sz w:val="32"/>
          <w:szCs w:val="32"/>
        </w:rPr>
      </w:pPr>
      <w:r>
        <w:rPr>
          <w:noProof/>
        </w:rPr>
        <w:drawing>
          <wp:inline distT="0" distB="0" distL="114300" distR="114300">
            <wp:extent cx="3417570" cy="2101215"/>
            <wp:effectExtent l="0" t="0" r="1143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3417570" cy="2101215"/>
                    </a:xfrm>
                    <a:prstGeom prst="rect">
                      <a:avLst/>
                    </a:prstGeom>
                    <a:noFill/>
                    <a:ln>
                      <a:noFill/>
                    </a:ln>
                  </pic:spPr>
                </pic:pic>
              </a:graphicData>
            </a:graphic>
          </wp:inline>
        </w:drawing>
      </w:r>
    </w:p>
    <w:p w:rsidR="00F67406" w:rsidRDefault="00C72CF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F67406" w:rsidRDefault="00F67406">
      <w:pPr>
        <w:ind w:firstLineChars="200" w:firstLine="640"/>
        <w:rPr>
          <w:rFonts w:ascii="仿宋_GB2312" w:eastAsia="仿宋_GB2312"/>
          <w:color w:val="FF0000"/>
          <w:sz w:val="32"/>
          <w:szCs w:val="32"/>
        </w:rPr>
      </w:pPr>
    </w:p>
    <w:p w:rsidR="00F67406" w:rsidRDefault="00C72CFB">
      <w:pPr>
        <w:ind w:firstLineChars="200" w:firstLine="640"/>
        <w:outlineLvl w:val="1"/>
        <w:rPr>
          <w:rStyle w:val="2Char"/>
          <w:rFonts w:ascii="黑体" w:eastAsia="黑体" w:hAnsi="黑体"/>
          <w:b w:val="0"/>
        </w:rPr>
      </w:pPr>
      <w:bookmarkStart w:id="31" w:name="_Toc15396606"/>
      <w:bookmarkStart w:id="32"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F67406" w:rsidRDefault="00C72CFB">
      <w:pPr>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2019年度收、支总计263.01万元。与2018年相比收、支总计各增加35.92万元，增长15.82</w:t>
      </w:r>
      <w:r>
        <w:rPr>
          <w:rFonts w:ascii="仿宋" w:eastAsia="仿宋" w:hAnsi="仿宋"/>
          <w:color w:val="000000"/>
          <w:sz w:val="32"/>
          <w:szCs w:val="32"/>
        </w:rPr>
        <w:t>%</w:t>
      </w:r>
      <w:r>
        <w:rPr>
          <w:rFonts w:ascii="仿宋" w:eastAsia="仿宋" w:hAnsi="仿宋" w:hint="eastAsia"/>
          <w:color w:val="000000"/>
          <w:sz w:val="32"/>
          <w:szCs w:val="32"/>
        </w:rPr>
        <w:t>。主要变动原因是人员经费增加。</w:t>
      </w:r>
    </w:p>
    <w:p w:rsidR="00F67406" w:rsidRDefault="00C72CFB">
      <w:pPr>
        <w:ind w:firstLineChars="200" w:firstLine="480"/>
        <w:jc w:val="center"/>
        <w:rPr>
          <w:rFonts w:ascii="仿宋" w:eastAsia="仿宋" w:hAnsi="仿宋"/>
          <w:color w:val="000000"/>
          <w:sz w:val="32"/>
          <w:szCs w:val="32"/>
        </w:rPr>
      </w:pPr>
      <w:r>
        <w:rPr>
          <w:rFonts w:ascii="宋体" w:hAnsi="宋体" w:cs="宋体"/>
          <w:noProof/>
          <w:sz w:val="24"/>
        </w:rPr>
        <w:lastRenderedPageBreak/>
        <w:drawing>
          <wp:inline distT="0" distB="0" distL="114300" distR="114300">
            <wp:extent cx="2823210" cy="1701800"/>
            <wp:effectExtent l="0" t="0" r="15240" b="1270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2823210" cy="1701800"/>
                    </a:xfrm>
                    <a:prstGeom prst="rect">
                      <a:avLst/>
                    </a:prstGeom>
                    <a:noFill/>
                    <a:ln w="9525">
                      <a:noFill/>
                    </a:ln>
                  </pic:spPr>
                </pic:pic>
              </a:graphicData>
            </a:graphic>
          </wp:inline>
        </w:drawing>
      </w:r>
    </w:p>
    <w:p w:rsidR="00F67406" w:rsidRDefault="00F67406">
      <w:pPr>
        <w:rPr>
          <w:rFonts w:ascii="仿宋" w:eastAsia="仿宋" w:hAnsi="仿宋"/>
          <w:color w:val="000000"/>
          <w:sz w:val="32"/>
          <w:szCs w:val="32"/>
        </w:rPr>
      </w:pPr>
    </w:p>
    <w:p w:rsidR="00F67406" w:rsidRDefault="00C72CF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F67406" w:rsidRDefault="00F67406">
      <w:pPr>
        <w:ind w:firstLine="640"/>
        <w:rPr>
          <w:rFonts w:ascii="仿宋" w:eastAsia="仿宋" w:hAnsi="仿宋"/>
          <w:b/>
          <w:color w:val="00B050"/>
          <w:sz w:val="32"/>
          <w:szCs w:val="32"/>
        </w:rPr>
      </w:pPr>
    </w:p>
    <w:p w:rsidR="00F67406" w:rsidRDefault="00C72CFB">
      <w:pPr>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F67406" w:rsidRDefault="00C72CFB">
      <w:pPr>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F67406" w:rsidRDefault="00C72CFB">
      <w:pPr>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9年一般公共预算财政拨款支出132.03万元，占本年支出合计的100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8年相比，一般公共预算财政拨款增加30.20万元，增长29.67%。主要变动原因是人员经费增加。</w:t>
      </w:r>
    </w:p>
    <w:p w:rsidR="00F67406" w:rsidRDefault="00C72CFB">
      <w:pPr>
        <w:ind w:firstLineChars="200" w:firstLine="420"/>
        <w:jc w:val="center"/>
        <w:rPr>
          <w:rFonts w:ascii="仿宋" w:eastAsia="仿宋" w:hAnsi="仿宋"/>
          <w:color w:val="000000"/>
          <w:sz w:val="32"/>
          <w:szCs w:val="32"/>
        </w:rPr>
      </w:pPr>
      <w:r>
        <w:rPr>
          <w:noProof/>
        </w:rPr>
        <w:drawing>
          <wp:inline distT="0" distB="0" distL="114300" distR="114300">
            <wp:extent cx="3314065" cy="1842135"/>
            <wp:effectExtent l="0" t="0" r="635" b="57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3314065" cy="1842135"/>
                    </a:xfrm>
                    <a:prstGeom prst="rect">
                      <a:avLst/>
                    </a:prstGeom>
                    <a:noFill/>
                    <a:ln>
                      <a:noFill/>
                    </a:ln>
                  </pic:spPr>
                </pic:pic>
              </a:graphicData>
            </a:graphic>
          </wp:inline>
        </w:drawing>
      </w:r>
    </w:p>
    <w:p w:rsidR="00F67406" w:rsidRDefault="00C72CF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F67406" w:rsidRDefault="00F67406">
      <w:pPr>
        <w:ind w:firstLineChars="200" w:firstLine="640"/>
        <w:rPr>
          <w:rFonts w:ascii="仿宋" w:eastAsia="仿宋" w:hAnsi="仿宋"/>
          <w:color w:val="000000" w:themeColor="text1"/>
          <w:sz w:val="32"/>
          <w:szCs w:val="32"/>
        </w:rPr>
      </w:pPr>
    </w:p>
    <w:p w:rsidR="00F67406" w:rsidRDefault="00C72CFB">
      <w:pPr>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F67406" w:rsidRDefault="00C72CFB">
      <w:pPr>
        <w:ind w:firstLine="640"/>
        <w:rPr>
          <w:rFonts w:ascii="仿宋" w:eastAsia="仿宋" w:hAnsi="仿宋"/>
          <w:color w:val="000000" w:themeColor="text1"/>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政拨款支出132.03万元，主要用于以下方面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社会保障和就业</w:t>
      </w:r>
      <w:r>
        <w:rPr>
          <w:rFonts w:ascii="仿宋" w:eastAsia="仿宋" w:hAnsi="仿宋" w:hint="eastAsia"/>
          <w:color w:val="000000" w:themeColor="text1"/>
          <w:sz w:val="32"/>
          <w:szCs w:val="32"/>
        </w:rPr>
        <w:t>支出116.65万元，占89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Pr>
          <w:rFonts w:ascii="仿宋" w:eastAsia="仿宋" w:hAnsi="仿宋" w:hint="eastAsia"/>
          <w:color w:val="000000" w:themeColor="text1"/>
          <w:sz w:val="32"/>
          <w:szCs w:val="32"/>
        </w:rPr>
        <w:t>5.72万元，占4</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；住房保障支出9.66万元，占7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F67406" w:rsidRDefault="00C72CFB">
      <w:pPr>
        <w:ind w:firstLine="640"/>
        <w:jc w:val="center"/>
        <w:rPr>
          <w:rFonts w:ascii="仿宋" w:eastAsia="仿宋" w:hAnsi="仿宋"/>
          <w:color w:val="000000" w:themeColor="text1"/>
          <w:sz w:val="32"/>
          <w:szCs w:val="32"/>
        </w:rPr>
      </w:pPr>
      <w:r>
        <w:rPr>
          <w:noProof/>
        </w:rPr>
        <w:drawing>
          <wp:inline distT="0" distB="0" distL="114300" distR="114300">
            <wp:extent cx="3058795" cy="1901190"/>
            <wp:effectExtent l="0" t="0" r="8255" b="381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3058795" cy="1901190"/>
                    </a:xfrm>
                    <a:prstGeom prst="rect">
                      <a:avLst/>
                    </a:prstGeom>
                    <a:noFill/>
                    <a:ln>
                      <a:noFill/>
                    </a:ln>
                  </pic:spPr>
                </pic:pic>
              </a:graphicData>
            </a:graphic>
          </wp:inline>
        </w:drawing>
      </w:r>
    </w:p>
    <w:p w:rsidR="00F67406" w:rsidRDefault="00C72CFB">
      <w:pPr>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F67406" w:rsidRDefault="00F67406">
      <w:pPr>
        <w:ind w:firstLineChars="200" w:firstLine="640"/>
        <w:rPr>
          <w:rFonts w:ascii="仿宋" w:eastAsia="仿宋" w:hAnsi="仿宋"/>
          <w:color w:val="000000"/>
          <w:sz w:val="32"/>
          <w:szCs w:val="32"/>
        </w:rPr>
      </w:pPr>
    </w:p>
    <w:p w:rsidR="00F67406" w:rsidRDefault="00C72CFB">
      <w:pPr>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F67406" w:rsidRDefault="00C72CFB">
      <w:pPr>
        <w:ind w:firstLineChars="200" w:firstLine="643"/>
        <w:outlineLvl w:val="2"/>
        <w:rPr>
          <w:rFonts w:ascii="仿宋" w:eastAsia="仿宋" w:hAnsi="仿宋"/>
          <w:color w:val="FF0000"/>
          <w:sz w:val="32"/>
          <w:szCs w:val="32"/>
        </w:rPr>
      </w:pPr>
      <w:bookmarkStart w:id="38" w:name="_Toc15377213"/>
      <w:bookmarkStart w:id="39" w:name="_Toc15377444"/>
      <w:bookmarkStart w:id="40" w:name="_Toc15378460"/>
      <w:r>
        <w:rPr>
          <w:rFonts w:ascii="仿宋" w:eastAsia="仿宋" w:hAnsi="仿宋" w:hint="eastAsia"/>
          <w:b/>
          <w:color w:val="000000" w:themeColor="text1"/>
          <w:sz w:val="32"/>
          <w:szCs w:val="32"/>
        </w:rPr>
        <w:t>2019年般公共预算支出决算数为132.03</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8"/>
      <w:bookmarkEnd w:id="39"/>
      <w:bookmarkEnd w:id="40"/>
    </w:p>
    <w:p w:rsidR="00F67406" w:rsidRDefault="00C72CFB">
      <w:pPr>
        <w:numPr>
          <w:ilvl w:val="0"/>
          <w:numId w:val="2"/>
        </w:num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社会保障和就业支出（类）人力资源和社会保障管理事务（款）行政运行（项）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支出决算为98.45万元，完成预算100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 xml:space="preserve">，决算数大于预算数的主要原因是人员经费开支增加；  </w:t>
      </w:r>
      <w:r>
        <w:rPr>
          <w:rStyle w:val="a7"/>
          <w:rFonts w:ascii="仿宋" w:eastAsia="仿宋" w:hAnsi="仿宋" w:hint="eastAsia"/>
          <w:color w:val="000000"/>
          <w:sz w:val="32"/>
          <w:szCs w:val="32"/>
        </w:rPr>
        <w:t>一般行政管理事务</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支出决算为8.80万元，完成预算40%，主要原因是档案经费未支付。</w:t>
      </w:r>
    </w:p>
    <w:p w:rsidR="00F67406" w:rsidRDefault="00C72CFB">
      <w:pPr>
        <w:numPr>
          <w:ilvl w:val="0"/>
          <w:numId w:val="2"/>
        </w:numPr>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社会保障和就业支出（类）行政事业单位离退休（款）  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w:t>
      </w:r>
      <w:r>
        <w:rPr>
          <w:rStyle w:val="a7"/>
          <w:rFonts w:ascii="仿宋" w:eastAsia="仿宋" w:hAnsi="仿宋" w:hint="eastAsia"/>
          <w:b w:val="0"/>
          <w:bCs/>
          <w:color w:val="000000"/>
          <w:sz w:val="32"/>
          <w:szCs w:val="32"/>
        </w:rPr>
        <w:lastRenderedPageBreak/>
        <w:t>决算为9.40万元，与预算数持平；</w:t>
      </w:r>
    </w:p>
    <w:p w:rsidR="00F67406" w:rsidRDefault="00C72CFB">
      <w:pPr>
        <w:numPr>
          <w:ilvl w:val="0"/>
          <w:numId w:val="2"/>
        </w:num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医疗卫生与计划生育（类）行政事业单位医疗（款）  行政单位医疗（项）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支出决算为5.72万元，与预算数持平。</w:t>
      </w:r>
    </w:p>
    <w:p w:rsidR="00F67406" w:rsidRDefault="00C72CFB">
      <w:pPr>
        <w:numPr>
          <w:ilvl w:val="0"/>
          <w:numId w:val="2"/>
        </w:num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支出决算为9.66万元，与预算数持平。</w:t>
      </w:r>
    </w:p>
    <w:p w:rsidR="00F67406" w:rsidRDefault="00C72CFB">
      <w:pPr>
        <w:tabs>
          <w:tab w:val="right" w:pos="8306"/>
        </w:tabs>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F67406" w:rsidRDefault="00C72CFB">
      <w:pPr>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9年一般公共预算财政拨款基本支出123.23万元，其中：</w:t>
      </w:r>
    </w:p>
    <w:p w:rsidR="00F67406" w:rsidRDefault="00C72CFB">
      <w:pPr>
        <w:ind w:firstLine="645"/>
        <w:rPr>
          <w:rFonts w:ascii="仿宋" w:eastAsia="仿宋" w:hAnsi="仿宋"/>
          <w:color w:val="000000"/>
          <w:sz w:val="32"/>
          <w:szCs w:val="32"/>
        </w:rPr>
      </w:pPr>
      <w:r>
        <w:rPr>
          <w:rFonts w:ascii="仿宋" w:eastAsia="仿宋" w:hAnsi="仿宋" w:hint="eastAsia"/>
          <w:color w:val="000000"/>
          <w:sz w:val="32"/>
          <w:szCs w:val="32"/>
        </w:rPr>
        <w:t>人员经费109.64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13.59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67406" w:rsidRDefault="00C72CFB">
      <w:pPr>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F67406" w:rsidRDefault="00C72CFB">
      <w:pPr>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F67406" w:rsidRDefault="00C72CFB">
      <w:pPr>
        <w:ind w:firstLine="640"/>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9年“三公”经费财政拨款支出决算为0万元，未完成预算，主要原因是未发生三公经费业务。</w:t>
      </w:r>
    </w:p>
    <w:p w:rsidR="00F67406" w:rsidRDefault="00C72CFB">
      <w:pPr>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F67406" w:rsidRDefault="00C72CFB">
      <w:pPr>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9年“三公”经费财政拨款支出决算中，因公出国（境）费支出决算0万元，公务用车购置及运行维护费支出决算0万元，公务接待费支出决算0万元。</w:t>
      </w:r>
    </w:p>
    <w:p w:rsidR="00F67406" w:rsidRDefault="00C72CFB">
      <w:pPr>
        <w:numPr>
          <w:ilvl w:val="0"/>
          <w:numId w:val="3"/>
        </w:numPr>
        <w:ind w:firstLine="640"/>
        <w:rPr>
          <w:rFonts w:ascii="仿宋_GB2312" w:eastAsia="仿宋_GB2312"/>
          <w:color w:val="000000"/>
          <w:sz w:val="32"/>
          <w:szCs w:val="32"/>
        </w:rPr>
      </w:pP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因公出国（境）支出决算与</w:t>
      </w:r>
      <w:r>
        <w:rPr>
          <w:rFonts w:ascii="仿宋_GB2312" w:eastAsia="仿宋_GB2312"/>
          <w:color w:val="000000"/>
          <w:sz w:val="32"/>
          <w:szCs w:val="32"/>
        </w:rPr>
        <w:t>201</w:t>
      </w:r>
      <w:r>
        <w:rPr>
          <w:rFonts w:ascii="仿宋_GB2312" w:eastAsia="仿宋_GB2312" w:hint="eastAsia"/>
          <w:color w:val="000000"/>
          <w:sz w:val="32"/>
          <w:szCs w:val="32"/>
        </w:rPr>
        <w:t>8年持平。</w:t>
      </w:r>
    </w:p>
    <w:p w:rsidR="00F67406" w:rsidRDefault="00C72CFB">
      <w:pPr>
        <w:numPr>
          <w:ilvl w:val="0"/>
          <w:numId w:val="3"/>
        </w:numPr>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公务用车购置及运行维护费支出决算与</w:t>
      </w:r>
      <w:r>
        <w:rPr>
          <w:rFonts w:ascii="仿宋_GB2312" w:eastAsia="仿宋_GB2312"/>
          <w:color w:val="000000"/>
          <w:sz w:val="32"/>
          <w:szCs w:val="32"/>
        </w:rPr>
        <w:t>201</w:t>
      </w:r>
      <w:r>
        <w:rPr>
          <w:rFonts w:ascii="仿宋_GB2312" w:eastAsia="仿宋_GB2312" w:hint="eastAsia"/>
          <w:color w:val="000000"/>
          <w:sz w:val="32"/>
          <w:szCs w:val="32"/>
        </w:rPr>
        <w:t>8年持平。</w:t>
      </w:r>
    </w:p>
    <w:p w:rsidR="00F67406" w:rsidRDefault="00C72CFB">
      <w:pPr>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0万元。</w:t>
      </w:r>
      <w:r w:rsidR="00A44796">
        <w:rPr>
          <w:rFonts w:ascii="仿宋_GB2312" w:eastAsia="仿宋_GB2312" w:hint="eastAsia"/>
          <w:bCs/>
          <w:color w:val="000000"/>
          <w:sz w:val="32"/>
          <w:szCs w:val="32"/>
        </w:rPr>
        <w:t>公务接待费</w:t>
      </w:r>
      <w:r>
        <w:rPr>
          <w:rFonts w:ascii="仿宋_GB2312" w:eastAsia="仿宋_GB2312" w:hint="eastAsia"/>
          <w:color w:val="000000"/>
          <w:sz w:val="32"/>
          <w:szCs w:val="32"/>
        </w:rPr>
        <w:t>支出决算与</w:t>
      </w:r>
      <w:r>
        <w:rPr>
          <w:rFonts w:ascii="仿宋_GB2312" w:eastAsia="仿宋_GB2312"/>
          <w:color w:val="000000"/>
          <w:sz w:val="32"/>
          <w:szCs w:val="32"/>
        </w:rPr>
        <w:t>201</w:t>
      </w:r>
      <w:r>
        <w:rPr>
          <w:rFonts w:ascii="仿宋_GB2312" w:eastAsia="仿宋_GB2312" w:hint="eastAsia"/>
          <w:color w:val="000000"/>
          <w:sz w:val="32"/>
          <w:szCs w:val="32"/>
        </w:rPr>
        <w:t>8年持平。</w:t>
      </w:r>
    </w:p>
    <w:p w:rsidR="00F67406" w:rsidRDefault="00C72CFB">
      <w:pPr>
        <w:ind w:firstLine="640"/>
        <w:outlineLvl w:val="1"/>
        <w:rPr>
          <w:rStyle w:val="2Char"/>
          <w:rFonts w:ascii="黑体" w:eastAsia="黑体" w:hAnsi="黑体"/>
        </w:rPr>
      </w:pPr>
      <w:bookmarkStart w:id="47" w:name="_Toc15377218"/>
      <w:bookmarkStart w:id="48"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F67406" w:rsidRDefault="00C72CFB">
      <w:pPr>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9年政府性基金预算拨款支出0万元。</w:t>
      </w:r>
    </w:p>
    <w:p w:rsidR="00F67406" w:rsidRDefault="00C72CFB">
      <w:pPr>
        <w:numPr>
          <w:ilvl w:val="0"/>
          <w:numId w:val="4"/>
        </w:numPr>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t>国有资本经营预算支出决算情况说明</w:t>
      </w:r>
      <w:bookmarkEnd w:id="49"/>
      <w:bookmarkEnd w:id="50"/>
    </w:p>
    <w:p w:rsidR="00F67406" w:rsidRDefault="00C72CFB">
      <w:pPr>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F67406" w:rsidRDefault="00C72CFB">
      <w:pPr>
        <w:ind w:firstLineChars="250" w:firstLine="800"/>
        <w:outlineLvl w:val="1"/>
        <w:rPr>
          <w:rStyle w:val="2Char"/>
          <w:rFonts w:ascii="黑体" w:eastAsia="黑体" w:hAnsi="黑体"/>
        </w:rPr>
      </w:pPr>
      <w:bookmarkStart w:id="51" w:name="_Toc15377221"/>
      <w:bookmarkStart w:id="52"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F67406" w:rsidRDefault="00C72CFB">
      <w:pPr>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F67406" w:rsidRDefault="00C72CFB">
      <w:pPr>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9年机关运行经费支出13.59万元，比</w:t>
      </w:r>
      <w:r>
        <w:rPr>
          <w:rFonts w:ascii="仿宋_GB2312" w:eastAsia="仿宋_GB2312"/>
          <w:color w:val="000000"/>
          <w:sz w:val="32"/>
          <w:szCs w:val="32"/>
        </w:rPr>
        <w:t>201</w:t>
      </w:r>
      <w:r>
        <w:rPr>
          <w:rFonts w:ascii="仿宋_GB2312" w:eastAsia="仿宋_GB2312" w:hint="eastAsia"/>
          <w:color w:val="000000"/>
          <w:sz w:val="32"/>
          <w:szCs w:val="32"/>
        </w:rPr>
        <w:t>8年增加0.89万元，增长7</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主要原因是人员增加。</w:t>
      </w:r>
    </w:p>
    <w:p w:rsidR="00F67406" w:rsidRDefault="00C72CFB">
      <w:pPr>
        <w:autoSpaceDE w:val="0"/>
        <w:autoSpaceDN w:val="0"/>
        <w:adjustRightInd w:val="0"/>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F67406" w:rsidRDefault="00C72CFB">
      <w:pPr>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9年政府采购支出总额0万元。</w:t>
      </w:r>
    </w:p>
    <w:p w:rsidR="00F67406" w:rsidRDefault="00C72CFB">
      <w:pPr>
        <w:autoSpaceDE w:val="0"/>
        <w:autoSpaceDN w:val="0"/>
        <w:adjustRightInd w:val="0"/>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lastRenderedPageBreak/>
        <w:t>（三）国有资产占有使用情况</w:t>
      </w:r>
      <w:bookmarkEnd w:id="55"/>
    </w:p>
    <w:p w:rsidR="00F67406" w:rsidRDefault="00C72CFB">
      <w:pPr>
        <w:autoSpaceDE w:val="0"/>
        <w:autoSpaceDN w:val="0"/>
        <w:adjustRightInd w:val="0"/>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日，共有车辆0辆。</w:t>
      </w: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ind w:firstLineChars="200" w:firstLine="643"/>
        <w:jc w:val="left"/>
        <w:rPr>
          <w:rFonts w:ascii="仿宋" w:eastAsia="仿宋" w:hAnsi="仿宋"/>
          <w:b/>
          <w:color w:val="FF0000"/>
          <w:sz w:val="32"/>
          <w:szCs w:val="32"/>
        </w:rPr>
      </w:pPr>
    </w:p>
    <w:p w:rsidR="00F67406" w:rsidRDefault="00F67406">
      <w:pPr>
        <w:autoSpaceDE w:val="0"/>
        <w:autoSpaceDN w:val="0"/>
        <w:adjustRightInd w:val="0"/>
        <w:jc w:val="left"/>
        <w:rPr>
          <w:rFonts w:ascii="仿宋" w:eastAsia="仿宋" w:hAnsi="仿宋"/>
          <w:b/>
          <w:color w:val="FF0000"/>
          <w:sz w:val="32"/>
          <w:szCs w:val="32"/>
        </w:rPr>
      </w:pPr>
    </w:p>
    <w:p w:rsidR="00F67406" w:rsidRDefault="00C72CFB">
      <w:pPr>
        <w:numPr>
          <w:ilvl w:val="0"/>
          <w:numId w:val="5"/>
        </w:numPr>
        <w:ind w:firstLineChars="150" w:firstLine="660"/>
        <w:jc w:val="center"/>
        <w:outlineLvl w:val="0"/>
        <w:rPr>
          <w:rStyle w:val="1Char"/>
          <w:rFonts w:ascii="黑体" w:eastAsia="黑体" w:hAnsi="黑体"/>
          <w:b w:val="0"/>
        </w:rPr>
      </w:pPr>
      <w:bookmarkStart w:id="56" w:name="_Toc15377225"/>
      <w:bookmarkStart w:id="57"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F67406" w:rsidRDefault="00F67406">
      <w:pPr>
        <w:jc w:val="left"/>
        <w:rPr>
          <w:rFonts w:ascii="宋体"/>
          <w:b/>
          <w:color w:val="000000"/>
          <w:sz w:val="44"/>
          <w:szCs w:val="44"/>
        </w:rPr>
      </w:pP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w:t>
      </w:r>
      <w:r>
        <w:rPr>
          <w:rFonts w:hAnsi="仿宋" w:hint="eastAsia"/>
          <w:color w:val="auto"/>
          <w:sz w:val="32"/>
          <w:szCs w:val="32"/>
        </w:rPr>
        <w:t>反映政府部门本期开展专业业务活动及其辅助活动取得的收入。上缴国库或者财政专户的资金不属于事业收入，从财政专户核拨给事业单位的资金和经核准不上缴国库或者财政专户的资金，属于事业收入</w:t>
      </w:r>
      <w:r>
        <w:rPr>
          <w:rFonts w:ascii="仿宋_GB2312" w:eastAsia="仿宋_GB2312" w:hint="eastAsia"/>
          <w:sz w:val="32"/>
          <w:szCs w:val="32"/>
        </w:rPr>
        <w:t>。</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经营收入：指事业单位在专业业务活动及其辅助活动之外开展非独立核算经营活动取得的收入等。</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其他收入：指单位取得的除上述收入以外的各项收入等。</w:t>
      </w:r>
      <w:r>
        <w:rPr>
          <w:rFonts w:ascii="仿宋_GB2312" w:eastAsia="仿宋_GB2312"/>
          <w:sz w:val="32"/>
          <w:szCs w:val="32"/>
        </w:rPr>
        <w:t xml:space="preserve"> </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5.社会保障和就业（208）人力资源和社会保障管理事务（01）行政运行（01）：反映行政单位（包括实行公务员管理的事业单位）的基本支出。</w:t>
      </w:r>
      <w:r>
        <w:rPr>
          <w:rFonts w:ascii="仿宋_GB2312" w:eastAsia="仿宋_GB2312" w:hint="eastAsia"/>
          <w:sz w:val="32"/>
          <w:szCs w:val="32"/>
        </w:rPr>
        <w:br/>
        <w:t xml:space="preserve">    6.社会保障和就业（208）人力资源和社会保障管理事务（01）一般行政管理事务（02）：反映行政单位（包括实行公务员管理的事业单位）未单独设置项级科目的其他项目支出。</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7.社会保障和就业（208）行政事业单位离退休（05）机关事业单位基本养老保险缴费支出（05）：指由单位缴纳的基本养老保险费支出。</w:t>
      </w:r>
    </w:p>
    <w:p w:rsidR="00F67406" w:rsidRDefault="00C72CF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8.社会保障和就业（208）行政事业单位离退休（05）机关事业单位基本养老保险缴费支出（06）：是由单位缴纳</w:t>
      </w:r>
      <w:r>
        <w:rPr>
          <w:rFonts w:ascii="仿宋_GB2312" w:eastAsia="仿宋_GB2312" w:hint="eastAsia"/>
          <w:sz w:val="32"/>
          <w:szCs w:val="32"/>
        </w:rPr>
        <w:lastRenderedPageBreak/>
        <w:t>的职业年金支出。</w:t>
      </w:r>
      <w:r>
        <w:rPr>
          <w:rFonts w:ascii="仿宋_GB2312" w:eastAsia="仿宋_GB2312" w:hint="eastAsia"/>
          <w:sz w:val="32"/>
          <w:szCs w:val="32"/>
        </w:rPr>
        <w:br/>
        <w:t xml:space="preserve">   9.</w:t>
      </w:r>
      <w:r>
        <w:rPr>
          <w:rFonts w:ascii="仿宋_GB2312" w:eastAsia="仿宋_GB2312" w:hint="eastAsia"/>
          <w:sz w:val="32"/>
          <w:szCs w:val="32"/>
        </w:rPr>
        <w:t> </w:t>
      </w:r>
      <w:r>
        <w:rPr>
          <w:rFonts w:ascii="仿宋_GB2312" w:eastAsia="仿宋_GB2312" w:hint="eastAsia"/>
          <w:sz w:val="32"/>
          <w:szCs w:val="32"/>
        </w:rPr>
        <w:t>医疗卫生与计划生育（210）行政事业单位医疗（11）  行政单位医疗（01）：指单位基本医疗保险缴费经费。</w:t>
      </w:r>
      <w:r>
        <w:rPr>
          <w:rFonts w:ascii="仿宋_GB2312" w:eastAsia="仿宋_GB2312" w:hint="eastAsia"/>
          <w:sz w:val="32"/>
          <w:szCs w:val="32"/>
        </w:rPr>
        <w:br/>
        <w:t xml:space="preserve">   10.</w:t>
      </w:r>
      <w:r>
        <w:rPr>
          <w:rFonts w:ascii="仿宋_GB2312" w:eastAsia="仿宋_GB2312" w:hint="eastAsia"/>
          <w:sz w:val="32"/>
          <w:szCs w:val="32"/>
        </w:rPr>
        <w:t> </w:t>
      </w:r>
      <w:r>
        <w:rPr>
          <w:rFonts w:ascii="仿宋_GB2312" w:eastAsia="仿宋_GB2312" w:hint="eastAsia"/>
          <w:sz w:val="32"/>
          <w:szCs w:val="32"/>
        </w:rPr>
        <w:t>住房保障支出（221）住房改革支出（02）住房公积金（01）：指单位按人力资源和社会保障部、财政部规定的基本工资和津贴补贴以为规定比例为职工缴纳的住房公积金。</w:t>
      </w:r>
      <w:r>
        <w:rPr>
          <w:rFonts w:ascii="仿宋_GB2312" w:eastAsia="仿宋_GB2312" w:hint="eastAsia"/>
          <w:sz w:val="32"/>
          <w:szCs w:val="32"/>
        </w:rPr>
        <w:br/>
        <w:t xml:space="preserve">   11.年末结转和结余：指本年度或以前年度预算安排、因客观条件发生变化无法按原计划实施，需延迟到以后年度按有关规定继续使用的资金。</w:t>
      </w:r>
      <w:r>
        <w:rPr>
          <w:rFonts w:ascii="仿宋_GB2312" w:eastAsia="仿宋_GB2312" w:hint="eastAsia"/>
          <w:sz w:val="32"/>
          <w:szCs w:val="32"/>
        </w:rPr>
        <w:br/>
        <w:t xml:space="preserve">   12.基本支出：指为保障机构正常运转、完成日常工作任务而发生的人员支出和公用支出。</w:t>
      </w:r>
      <w:r>
        <w:rPr>
          <w:rFonts w:ascii="仿宋_GB2312" w:eastAsia="仿宋_GB2312" w:hint="eastAsia"/>
          <w:sz w:val="32"/>
          <w:szCs w:val="32"/>
        </w:rPr>
        <w:br/>
        <w:t xml:space="preserve">   13.项目支出：指在基本支出之外为完成特定行政任务和事业发展目标所发生的支出。</w:t>
      </w:r>
      <w:r>
        <w:rPr>
          <w:rFonts w:ascii="仿宋_GB2312" w:eastAsia="仿宋_GB2312" w:hint="eastAsia"/>
          <w:sz w:val="32"/>
          <w:szCs w:val="32"/>
        </w:rPr>
        <w:t> </w:t>
      </w:r>
      <w:r>
        <w:rPr>
          <w:rFonts w:ascii="仿宋_GB2312" w:eastAsia="仿宋_GB2312" w:hint="eastAsia"/>
          <w:sz w:val="32"/>
          <w:szCs w:val="32"/>
        </w:rPr>
        <w:br/>
        <w:t xml:space="preserve">   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_GB2312" w:eastAsia="仿宋_GB2312" w:hint="eastAsia"/>
          <w:sz w:val="32"/>
          <w:szCs w:val="32"/>
        </w:rPr>
        <w:br/>
        <w:t xml:space="preserve">    15.机关运行经费：为保障行政单位（含参照公务员法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67406" w:rsidRDefault="00F67406">
      <w:pPr>
        <w:pStyle w:val="Default"/>
        <w:ind w:firstLineChars="200" w:firstLine="640"/>
        <w:rPr>
          <w:rFonts w:ascii="仿宋_GB2312" w:eastAsia="仿宋_GB2312" w:cs="黑体"/>
          <w:sz w:val="32"/>
          <w:szCs w:val="32"/>
        </w:rPr>
      </w:pPr>
    </w:p>
    <w:p w:rsidR="00F67406" w:rsidRDefault="00C72CFB">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F67406" w:rsidRDefault="00C72CFB">
      <w:pPr>
        <w:widowControl/>
        <w:jc w:val="left"/>
        <w:rPr>
          <w:rStyle w:val="1Char"/>
          <w:rFonts w:ascii="黑体" w:eastAsia="黑体" w:hAnsi="黑体"/>
          <w:b w:val="0"/>
        </w:rPr>
      </w:pPr>
      <w:bookmarkStart w:id="58" w:name="_Toc15377226"/>
      <w:r>
        <w:rPr>
          <w:rFonts w:ascii="宋体"/>
          <w:b/>
          <w:color w:val="000000"/>
          <w:sz w:val="44"/>
          <w:szCs w:val="44"/>
        </w:rPr>
        <w:br w:type="page"/>
      </w:r>
    </w:p>
    <w:p w:rsidR="00F67406" w:rsidRDefault="00F67406">
      <w:pPr>
        <w:jc w:val="center"/>
        <w:outlineLvl w:val="0"/>
        <w:rPr>
          <w:rStyle w:val="1Char"/>
          <w:rFonts w:ascii="黑体" w:eastAsia="黑体" w:hAnsi="黑体"/>
          <w:b w:val="0"/>
        </w:rPr>
      </w:pPr>
    </w:p>
    <w:p w:rsidR="00F67406" w:rsidRDefault="00C72CFB">
      <w:pPr>
        <w:jc w:val="center"/>
        <w:outlineLvl w:val="0"/>
        <w:rPr>
          <w:rStyle w:val="1Char"/>
          <w:rFonts w:ascii="黑体" w:eastAsia="黑体" w:hAnsi="黑体"/>
          <w:b w:val="0"/>
        </w:rPr>
      </w:pPr>
      <w:bookmarkStart w:id="59" w:name="_Toc15396618"/>
      <w:r>
        <w:rPr>
          <w:rFonts w:ascii="黑体" w:eastAsia="黑体" w:hAnsi="黑体" w:hint="eastAsia"/>
          <w:color w:val="000000"/>
          <w:sz w:val="44"/>
          <w:szCs w:val="44"/>
        </w:rPr>
        <w:t>第四</w:t>
      </w:r>
      <w:r>
        <w:rPr>
          <w:rStyle w:val="1Char"/>
          <w:rFonts w:ascii="黑体" w:eastAsia="黑体" w:hAnsi="黑体" w:hint="eastAsia"/>
          <w:b w:val="0"/>
        </w:rPr>
        <w:t>部分 附表</w:t>
      </w:r>
      <w:bookmarkEnd w:id="58"/>
      <w:bookmarkEnd w:id="59"/>
    </w:p>
    <w:p w:rsidR="00F67406" w:rsidRDefault="00F67406">
      <w:pPr>
        <w:jc w:val="center"/>
        <w:outlineLvl w:val="0"/>
        <w:rPr>
          <w:rFonts w:ascii="仿宋" w:eastAsia="仿宋" w:hAnsi="仿宋"/>
          <w:b/>
          <w:color w:val="000000"/>
          <w:sz w:val="44"/>
          <w:szCs w:val="44"/>
        </w:rPr>
      </w:pPr>
    </w:p>
    <w:p w:rsidR="00F67406" w:rsidRDefault="00C72CFB">
      <w:pPr>
        <w:pStyle w:val="2"/>
        <w:spacing w:line="240" w:lineRule="auto"/>
        <w:rPr>
          <w:rFonts w:ascii="仿宋" w:eastAsia="仿宋" w:hAnsi="仿宋"/>
          <w:color w:val="000000"/>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F67406" w:rsidRDefault="00C72CFB">
      <w:pPr>
        <w:pStyle w:val="2"/>
        <w:spacing w:line="240" w:lineRule="auto"/>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入决算表</w:t>
      </w:r>
      <w:bookmarkEnd w:id="61"/>
    </w:p>
    <w:p w:rsidR="00F67406" w:rsidRDefault="00C72CFB">
      <w:pPr>
        <w:pStyle w:val="2"/>
        <w:spacing w:line="240" w:lineRule="auto"/>
        <w:rPr>
          <w:rFonts w:ascii="仿宋" w:eastAsia="仿宋" w:hAnsi="仿宋"/>
          <w:color w:val="000000"/>
        </w:rPr>
      </w:pPr>
      <w:bookmarkStart w:id="6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2"/>
    </w:p>
    <w:p w:rsidR="00F67406" w:rsidRDefault="00C72CFB">
      <w:pPr>
        <w:pStyle w:val="2"/>
        <w:spacing w:line="240" w:lineRule="auto"/>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F67406" w:rsidRDefault="00C72CFB">
      <w:pPr>
        <w:pStyle w:val="2"/>
        <w:spacing w:line="240" w:lineRule="auto"/>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5" w:name="_Toc15396624"/>
      <w:bookmarkEnd w:id="64"/>
    </w:p>
    <w:p w:rsidR="00F67406" w:rsidRDefault="00C72CFB">
      <w:pPr>
        <w:pStyle w:val="2"/>
        <w:spacing w:line="240" w:lineRule="auto"/>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F67406" w:rsidRDefault="00C72CFB">
      <w:pPr>
        <w:pStyle w:val="2"/>
        <w:spacing w:line="240" w:lineRule="auto"/>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F67406" w:rsidRDefault="00C72CFB">
      <w:pPr>
        <w:pStyle w:val="2"/>
        <w:spacing w:line="240" w:lineRule="auto"/>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F67406" w:rsidRDefault="00C72CFB">
      <w:pPr>
        <w:pStyle w:val="2"/>
        <w:spacing w:line="240" w:lineRule="auto"/>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F67406" w:rsidRDefault="00C72CFB">
      <w:pPr>
        <w:pStyle w:val="2"/>
        <w:spacing w:line="240" w:lineRule="auto"/>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F67406" w:rsidRDefault="00C72CFB">
      <w:pPr>
        <w:pStyle w:val="2"/>
        <w:spacing w:line="240" w:lineRule="auto"/>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F67406" w:rsidRDefault="00C72CFB">
      <w:pPr>
        <w:pStyle w:val="2"/>
        <w:spacing w:line="240" w:lineRule="auto"/>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F67406" w:rsidRDefault="00C72CFB">
      <w:pPr>
        <w:pStyle w:val="2"/>
        <w:spacing w:line="240" w:lineRule="auto"/>
        <w:rPr>
          <w:rFonts w:ascii="仿宋" w:eastAsia="仿宋" w:hAnsi="仿宋"/>
          <w:color w:val="000000" w:themeColor="text1"/>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2"/>
    </w:p>
    <w:sectPr w:rsidR="00F67406" w:rsidSect="00F67406">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A2" w:rsidRDefault="001B58A2" w:rsidP="00F67406">
      <w:r>
        <w:separator/>
      </w:r>
    </w:p>
  </w:endnote>
  <w:endnote w:type="continuationSeparator" w:id="0">
    <w:p w:rsidR="001B58A2" w:rsidRDefault="001B58A2" w:rsidP="00F67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F67406" w:rsidRDefault="006654C2">
        <w:pPr>
          <w:pStyle w:val="a5"/>
          <w:jc w:val="center"/>
        </w:pPr>
        <w:r>
          <w:fldChar w:fldCharType="begin"/>
        </w:r>
        <w:r w:rsidR="00C72CFB">
          <w:instrText>PAGE   \* MERGEFORMAT</w:instrText>
        </w:r>
        <w:r>
          <w:fldChar w:fldCharType="separate"/>
        </w:r>
        <w:r w:rsidR="004D79E1" w:rsidRPr="004D79E1">
          <w:rPr>
            <w:noProof/>
            <w:lang w:val="zh-CN"/>
          </w:rPr>
          <w:t>4</w:t>
        </w:r>
        <w:r>
          <w:fldChar w:fldCharType="end"/>
        </w:r>
      </w:p>
    </w:sdtContent>
  </w:sdt>
  <w:p w:rsidR="00F67406" w:rsidRDefault="00F674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A2" w:rsidRDefault="001B58A2" w:rsidP="00F67406">
      <w:r>
        <w:separator/>
      </w:r>
    </w:p>
  </w:footnote>
  <w:footnote w:type="continuationSeparator" w:id="0">
    <w:p w:rsidR="001B58A2" w:rsidRDefault="001B58A2" w:rsidP="00F67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06" w:rsidRDefault="00F6740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A5F523"/>
    <w:multiLevelType w:val="singleLevel"/>
    <w:tmpl w:val="9EA5F523"/>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9AD3171"/>
    <w:multiLevelType w:val="singleLevel"/>
    <w:tmpl w:val="29AD3171"/>
    <w:lvl w:ilvl="0">
      <w:start w:val="1"/>
      <w:numFmt w:val="decimal"/>
      <w:lvlText w:val="%1."/>
      <w:lvlJc w:val="left"/>
      <w:pPr>
        <w:tabs>
          <w:tab w:val="left" w:pos="312"/>
        </w:tabs>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B58A2"/>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D79E1"/>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654C2"/>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58"/>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47D07"/>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4796"/>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72CFB"/>
    <w:rsid w:val="00C91CBB"/>
    <w:rsid w:val="00CA527C"/>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B3D63"/>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7406"/>
    <w:rsid w:val="00F754A1"/>
    <w:rsid w:val="00F81FD9"/>
    <w:rsid w:val="00F841AA"/>
    <w:rsid w:val="00F84A94"/>
    <w:rsid w:val="00F87E96"/>
    <w:rsid w:val="00FA23E8"/>
    <w:rsid w:val="00FD3CC1"/>
    <w:rsid w:val="00FF1E02"/>
    <w:rsid w:val="00FF30B4"/>
    <w:rsid w:val="04916149"/>
    <w:rsid w:val="097007BA"/>
    <w:rsid w:val="0A29759E"/>
    <w:rsid w:val="0AE422F4"/>
    <w:rsid w:val="10C055FF"/>
    <w:rsid w:val="16BB723D"/>
    <w:rsid w:val="1BD05F8A"/>
    <w:rsid w:val="1BDD5940"/>
    <w:rsid w:val="1FA47D15"/>
    <w:rsid w:val="2336448B"/>
    <w:rsid w:val="240371BF"/>
    <w:rsid w:val="29FD04D3"/>
    <w:rsid w:val="319F7F4E"/>
    <w:rsid w:val="3B4454B0"/>
    <w:rsid w:val="40B46138"/>
    <w:rsid w:val="47AC1211"/>
    <w:rsid w:val="4ECE2238"/>
    <w:rsid w:val="598A0AC6"/>
    <w:rsid w:val="5DC17ED8"/>
    <w:rsid w:val="5EE459F4"/>
    <w:rsid w:val="65735702"/>
    <w:rsid w:val="65E07F40"/>
    <w:rsid w:val="6B3833EF"/>
    <w:rsid w:val="6B550525"/>
    <w:rsid w:val="72734D90"/>
    <w:rsid w:val="73561497"/>
    <w:rsid w:val="769D1E33"/>
    <w:rsid w:val="78347310"/>
    <w:rsid w:val="78796D0C"/>
    <w:rsid w:val="79A30B53"/>
    <w:rsid w:val="7A783311"/>
    <w:rsid w:val="7AC267A0"/>
    <w:rsid w:val="7AED11CA"/>
    <w:rsid w:val="7D0905BB"/>
    <w:rsid w:val="7EE96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0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674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74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674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7406"/>
    <w:pPr>
      <w:spacing w:beforeLines="30"/>
    </w:pPr>
    <w:rPr>
      <w:rFonts w:ascii="仿宋_GB2312" w:eastAsia="仿宋_GB2312"/>
      <w:kern w:val="0"/>
      <w:sz w:val="30"/>
    </w:rPr>
  </w:style>
  <w:style w:type="paragraph" w:styleId="30">
    <w:name w:val="toc 3"/>
    <w:basedOn w:val="a"/>
    <w:next w:val="a"/>
    <w:uiPriority w:val="39"/>
    <w:unhideWhenUsed/>
    <w:qFormat/>
    <w:rsid w:val="00F67406"/>
    <w:pPr>
      <w:tabs>
        <w:tab w:val="right" w:leader="dot" w:pos="8296"/>
      </w:tabs>
      <w:ind w:leftChars="400" w:left="840"/>
    </w:pPr>
  </w:style>
  <w:style w:type="paragraph" w:styleId="a4">
    <w:name w:val="Balloon Text"/>
    <w:basedOn w:val="a"/>
    <w:link w:val="Char0"/>
    <w:uiPriority w:val="99"/>
    <w:semiHidden/>
    <w:unhideWhenUsed/>
    <w:qFormat/>
    <w:rsid w:val="00F67406"/>
    <w:rPr>
      <w:sz w:val="18"/>
      <w:szCs w:val="18"/>
    </w:rPr>
  </w:style>
  <w:style w:type="paragraph" w:styleId="a5">
    <w:name w:val="footer"/>
    <w:basedOn w:val="a"/>
    <w:link w:val="Char1"/>
    <w:uiPriority w:val="99"/>
    <w:qFormat/>
    <w:rsid w:val="00F67406"/>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6740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6740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67406"/>
    <w:pPr>
      <w:tabs>
        <w:tab w:val="right" w:leader="dot" w:pos="8296"/>
      </w:tabs>
      <w:ind w:leftChars="200" w:left="420"/>
    </w:pPr>
  </w:style>
  <w:style w:type="character" w:styleId="a7">
    <w:name w:val="Strong"/>
    <w:basedOn w:val="a0"/>
    <w:uiPriority w:val="99"/>
    <w:qFormat/>
    <w:rsid w:val="00F67406"/>
    <w:rPr>
      <w:b/>
    </w:rPr>
  </w:style>
  <w:style w:type="character" w:styleId="a8">
    <w:name w:val="Hyperlink"/>
    <w:basedOn w:val="a0"/>
    <w:uiPriority w:val="99"/>
    <w:unhideWhenUsed/>
    <w:qFormat/>
    <w:rsid w:val="00F67406"/>
    <w:rPr>
      <w:color w:val="0000FF" w:themeColor="hyperlink"/>
      <w:u w:val="single"/>
    </w:rPr>
  </w:style>
  <w:style w:type="character" w:customStyle="1" w:styleId="HeaderChar">
    <w:name w:val="Header Char"/>
    <w:basedOn w:val="a0"/>
    <w:uiPriority w:val="99"/>
    <w:semiHidden/>
    <w:qFormat/>
    <w:rsid w:val="00F67406"/>
    <w:rPr>
      <w:rFonts w:ascii="Times New Roman" w:hAnsi="Times New Roman"/>
      <w:sz w:val="18"/>
      <w:szCs w:val="18"/>
    </w:rPr>
  </w:style>
  <w:style w:type="character" w:customStyle="1" w:styleId="Char2">
    <w:name w:val="页眉 Char"/>
    <w:link w:val="a6"/>
    <w:uiPriority w:val="99"/>
    <w:semiHidden/>
    <w:qFormat/>
    <w:locked/>
    <w:rsid w:val="00F67406"/>
    <w:rPr>
      <w:sz w:val="18"/>
    </w:rPr>
  </w:style>
  <w:style w:type="character" w:customStyle="1" w:styleId="FooterChar">
    <w:name w:val="Footer Char"/>
    <w:basedOn w:val="a0"/>
    <w:uiPriority w:val="99"/>
    <w:semiHidden/>
    <w:qFormat/>
    <w:rsid w:val="00F67406"/>
    <w:rPr>
      <w:rFonts w:ascii="Times New Roman" w:hAnsi="Times New Roman"/>
      <w:sz w:val="18"/>
      <w:szCs w:val="18"/>
    </w:rPr>
  </w:style>
  <w:style w:type="character" w:customStyle="1" w:styleId="Char1">
    <w:name w:val="页脚 Char"/>
    <w:link w:val="a5"/>
    <w:uiPriority w:val="99"/>
    <w:qFormat/>
    <w:locked/>
    <w:rsid w:val="00F67406"/>
    <w:rPr>
      <w:sz w:val="18"/>
    </w:rPr>
  </w:style>
  <w:style w:type="character" w:customStyle="1" w:styleId="BodyTextChar">
    <w:name w:val="Body Text Char"/>
    <w:basedOn w:val="a0"/>
    <w:uiPriority w:val="99"/>
    <w:semiHidden/>
    <w:qFormat/>
    <w:rsid w:val="00F67406"/>
    <w:rPr>
      <w:rFonts w:ascii="Times New Roman" w:hAnsi="Times New Roman"/>
      <w:szCs w:val="24"/>
    </w:rPr>
  </w:style>
  <w:style w:type="character" w:customStyle="1" w:styleId="Char">
    <w:name w:val="正文文本 Char"/>
    <w:link w:val="a3"/>
    <w:uiPriority w:val="99"/>
    <w:qFormat/>
    <w:locked/>
    <w:rsid w:val="00F67406"/>
    <w:rPr>
      <w:rFonts w:ascii="仿宋_GB2312" w:eastAsia="仿宋_GB2312" w:hAnsi="Times New Roman"/>
      <w:sz w:val="24"/>
    </w:rPr>
  </w:style>
  <w:style w:type="paragraph" w:customStyle="1" w:styleId="Default">
    <w:name w:val="Default"/>
    <w:uiPriority w:val="99"/>
    <w:qFormat/>
    <w:rsid w:val="00F67406"/>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67406"/>
    <w:pPr>
      <w:ind w:firstLineChars="200" w:firstLine="420"/>
    </w:pPr>
  </w:style>
  <w:style w:type="character" w:customStyle="1" w:styleId="1Char">
    <w:name w:val="标题 1 Char"/>
    <w:basedOn w:val="a0"/>
    <w:link w:val="1"/>
    <w:uiPriority w:val="9"/>
    <w:qFormat/>
    <w:rsid w:val="00F67406"/>
    <w:rPr>
      <w:rFonts w:ascii="Times New Roman" w:hAnsi="Times New Roman"/>
      <w:b/>
      <w:bCs/>
      <w:kern w:val="44"/>
      <w:sz w:val="44"/>
      <w:szCs w:val="44"/>
    </w:rPr>
  </w:style>
  <w:style w:type="character" w:customStyle="1" w:styleId="2Char">
    <w:name w:val="标题 2 Char"/>
    <w:basedOn w:val="a0"/>
    <w:link w:val="2"/>
    <w:uiPriority w:val="9"/>
    <w:qFormat/>
    <w:rsid w:val="00F67406"/>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674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F67406"/>
    <w:rPr>
      <w:rFonts w:ascii="Times New Roman" w:hAnsi="Times New Roman"/>
      <w:kern w:val="2"/>
      <w:sz w:val="18"/>
      <w:szCs w:val="18"/>
    </w:rPr>
  </w:style>
  <w:style w:type="character" w:customStyle="1" w:styleId="3Char">
    <w:name w:val="标题 3 Char"/>
    <w:basedOn w:val="a0"/>
    <w:link w:val="3"/>
    <w:uiPriority w:val="9"/>
    <w:qFormat/>
    <w:rsid w:val="00F67406"/>
    <w:rPr>
      <w:rFonts w:ascii="Times New Roman" w:hAnsi="Times New Roman"/>
      <w:b/>
      <w:bCs/>
      <w:kern w:val="2"/>
      <w:sz w:val="32"/>
      <w:szCs w:val="32"/>
    </w:rPr>
  </w:style>
  <w:style w:type="paragraph" w:customStyle="1" w:styleId="TOC2">
    <w:name w:val="TOC 标题2"/>
    <w:basedOn w:val="1"/>
    <w:next w:val="a"/>
    <w:uiPriority w:val="39"/>
    <w:unhideWhenUsed/>
    <w:qFormat/>
    <w:rsid w:val="00F674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DDCBF-1172-454F-AC5D-9947669C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787</Words>
  <Characters>4490</Characters>
  <Application>Microsoft Office Word</Application>
  <DocSecurity>0</DocSecurity>
  <Lines>37</Lines>
  <Paragraphs>10</Paragraphs>
  <ScaleCrop>false</ScaleCrop>
  <Company>四川省财政厅</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cp:revision>
  <cp:lastPrinted>2020-09-17T02:16:00Z</cp:lastPrinted>
  <dcterms:created xsi:type="dcterms:W3CDTF">2020-09-17T08:37:00Z</dcterms:created>
  <dcterms:modified xsi:type="dcterms:W3CDTF">2020-09-17T09:39:00Z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