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铁路护路联防工作经费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对铁路沿线20个乡镇签订目标责任书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落实铁路护路联防责任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管护全区139公里铁道线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无安全事故发生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完成平安铁道线任务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安排部署工作，督导检查工作落实情况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办公费3万元，差旅费8万元，会议费1万元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达到平安铁路线标准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火车安全过境，沿线群众平安出入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满意铁路联防线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  <w:lang w:eastAsia="zh-CN"/>
              </w:rPr>
              <w:t>铁路护路联防工作经费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1C2E183E"/>
    <w:rsid w:val="29FC65CF"/>
    <w:rsid w:val="35252D1F"/>
    <w:rsid w:val="35F36BEF"/>
    <w:rsid w:val="3CB8310B"/>
    <w:rsid w:val="3F1A28F5"/>
    <w:rsid w:val="3FEF3BD2"/>
    <w:rsid w:val="450C71CD"/>
    <w:rsid w:val="50D574A0"/>
    <w:rsid w:val="56042620"/>
    <w:rsid w:val="626B23FF"/>
    <w:rsid w:val="67616309"/>
    <w:rsid w:val="69B9148D"/>
    <w:rsid w:val="7A39132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2020-02-18T02:35:21Z</cp:lastPrinted>
  <dcterms:modified xsi:type="dcterms:W3CDTF">2020-02-18T02:36:21Z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