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jc w:val="center"/>
        <w:outlineLvl w:val="0"/>
        <w:rPr>
          <w:rFonts w:ascii="方正小标宋简体" w:hAnsi="宋体" w:eastAsia="方正小标宋简体"/>
          <w:color w:val="0000FF"/>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425"/>
      <w:bookmarkStart w:id="3" w:name="_Toc15396597"/>
      <w:bookmarkStart w:id="4" w:name="_Toc15378441"/>
      <w:bookmarkStart w:id="5" w:name="_Toc15377193"/>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6" w:name="_Toc15396598"/>
      <w:bookmarkStart w:id="7" w:name="_Toc15378442"/>
      <w:bookmarkStart w:id="8" w:name="_Toc15396476"/>
      <w:bookmarkStart w:id="9" w:name="_Toc15377426"/>
      <w:bookmarkStart w:id="10" w:name="_Toc15377194"/>
      <w:r>
        <w:rPr>
          <w:rFonts w:hint="eastAsia" w:ascii="方正小标宋简体" w:hAnsi="宋体" w:eastAsia="方正小标宋简体"/>
          <w:color w:val="000000"/>
          <w:sz w:val="72"/>
          <w:szCs w:val="72"/>
        </w:rPr>
        <w:t>四川省</w:t>
      </w:r>
      <w:bookmarkStart w:id="11" w:name="_Toc15306268"/>
      <w:bookmarkEnd w:id="0"/>
      <w:r>
        <w:rPr>
          <w:rFonts w:hint="eastAsia" w:ascii="方正小标宋简体" w:hAnsi="宋体" w:eastAsia="方正小标宋简体"/>
          <w:color w:val="000000"/>
          <w:sz w:val="72"/>
          <w:szCs w:val="72"/>
        </w:rPr>
        <w:t>达州市达川区委</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组织部决算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公开时间：2019年9月1</w:t>
      </w:r>
      <w:r>
        <w:rPr>
          <w:rFonts w:hint="eastAsia"/>
          <w:lang w:val="en-US" w:eastAsia="zh-CN"/>
        </w:rPr>
        <w:t>8</w:t>
      </w:r>
      <w:r>
        <w:rPr>
          <w:rFonts w:hint="eastAsia"/>
        </w:rPr>
        <w:t>日</w:t>
      </w:r>
    </w:p>
    <w:p>
      <w:pPr/>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19</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21</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lang w:val="en-US" w:eastAsia="zh-CN"/>
        </w:rPr>
        <w:t xml:space="preserve"> </w:t>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28</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spacing w:line="578" w:lineRule="exact"/>
        <w:rPr>
          <w:rStyle w:val="26"/>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578"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（一）基本职能</w:t>
      </w:r>
    </w:p>
    <w:p>
      <w:pPr>
        <w:snapToGrid w:val="0"/>
        <w:spacing w:line="578" w:lineRule="exact"/>
        <w:ind w:firstLine="640" w:firstLineChars="200"/>
        <w:rPr>
          <w:rFonts w:eastAsia="仿宋_GB2312"/>
          <w:sz w:val="32"/>
          <w:szCs w:val="32"/>
        </w:rPr>
      </w:pPr>
      <w:r>
        <w:rPr>
          <w:rFonts w:eastAsia="仿宋_GB2312"/>
          <w:sz w:val="32"/>
          <w:szCs w:val="32"/>
        </w:rPr>
        <w:t>研究、指导全区各级党组织特别是党的基层组织建设。提出乡镇和区级各部门、区委管理的企事业单位以及列入区委管理的领导班子的调整、配备方案；承办区委管理干部和区级党群系统干部的调配、交流安置工作；制定全区干部队伍建设、领导班子建设措施，主管干部教育培训工作。牵头抓好人才工作、两新党建工作、电化（远程）教育工作等。代管党建办、人才办、党员教育中心、两新党委、党员信息中心。设办公室、干部股、组织股、调研股、干部监督股、干部培训股等股（室）。</w:t>
      </w:r>
    </w:p>
    <w:p>
      <w:pPr>
        <w:pStyle w:val="5"/>
        <w:adjustRightInd w:val="0"/>
        <w:snapToGrid w:val="0"/>
        <w:spacing w:before="93" w:line="578" w:lineRule="exact"/>
        <w:ind w:firstLine="672" w:firstLineChars="210"/>
        <w:outlineLvl w:val="2"/>
        <w:rPr>
          <w:rFonts w:ascii="仿宋" w:hAnsi="仿宋" w:eastAsia="仿宋"/>
          <w:bCs/>
          <w:color w:val="000000"/>
          <w:sz w:val="32"/>
          <w:szCs w:val="32"/>
        </w:rPr>
      </w:pPr>
      <w:bookmarkStart w:id="16" w:name="_Toc15378446"/>
      <w:bookmarkStart w:id="17"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6"/>
      <w:bookmarkEnd w:id="17"/>
    </w:p>
    <w:p>
      <w:pPr>
        <w:snapToGrid w:val="0"/>
        <w:spacing w:line="578" w:lineRule="exact"/>
        <w:ind w:firstLine="640" w:firstLineChars="200"/>
        <w:rPr>
          <w:rFonts w:eastAsia="仿宋_GB2312"/>
          <w:sz w:val="32"/>
          <w:szCs w:val="32"/>
        </w:rPr>
      </w:pPr>
      <w:r>
        <w:rPr>
          <w:rFonts w:eastAsia="仿宋_GB2312"/>
          <w:sz w:val="32"/>
          <w:szCs w:val="32"/>
        </w:rPr>
        <w:t>一年来，在区委的领导下，部机关主要加强了全区干部的教育培训、选拔任用、监督管理；加强了基层组织建设及党员干部的教育、管理及队伍建设；加强对硕博人才、援藏人才、弹性人才、乡士人才的管理及硕博人才招聘引进工作；开展了部机关自身建设，各项工作取了较为满意的效果。</w:t>
      </w:r>
    </w:p>
    <w:p>
      <w:pPr>
        <w:pStyle w:val="3"/>
        <w:ind w:firstLine="640" w:firstLineChars="200"/>
        <w:rPr>
          <w:rStyle w:val="26"/>
          <w:rFonts w:hint="eastAsia" w:ascii="黑体" w:hAnsi="黑体" w:eastAsia="黑体"/>
          <w:b w:val="0"/>
          <w:bCs w:val="0"/>
        </w:rPr>
      </w:pPr>
      <w:bookmarkStart w:id="18" w:name="_Toc15396601"/>
      <w:bookmarkStart w:id="19" w:name="_Toc15377200"/>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18"/>
      <w:bookmarkEnd w:id="19"/>
      <w:bookmarkStart w:id="20" w:name="_Toc15377204"/>
      <w:bookmarkStart w:id="21" w:name="_Toc15396602"/>
    </w:p>
    <w:p>
      <w:pPr>
        <w:snapToGrid w:val="0"/>
        <w:spacing w:line="554" w:lineRule="exact"/>
        <w:ind w:firstLine="640" w:firstLineChars="200"/>
        <w:rPr>
          <w:rFonts w:eastAsia="仿宋_GB2312"/>
          <w:sz w:val="32"/>
          <w:szCs w:val="32"/>
        </w:rPr>
      </w:pPr>
      <w:r>
        <w:rPr>
          <w:rFonts w:hint="eastAsia" w:eastAsia="仿宋_GB2312"/>
          <w:sz w:val="32"/>
          <w:szCs w:val="32"/>
        </w:rPr>
        <w:t>本单位属行政单位，编制人数48人</w:t>
      </w:r>
      <w:r>
        <w:rPr>
          <w:rFonts w:hint="eastAsia" w:eastAsia="仿宋_GB2312"/>
          <w:sz w:val="32"/>
          <w:szCs w:val="32"/>
          <w:lang w:eastAsia="zh-CN"/>
        </w:rPr>
        <w:t>（含</w:t>
      </w:r>
      <w:r>
        <w:rPr>
          <w:rFonts w:hint="eastAsia" w:eastAsia="仿宋_GB2312"/>
          <w:sz w:val="32"/>
          <w:szCs w:val="32"/>
          <w:lang w:val="en-US" w:eastAsia="zh-CN"/>
        </w:rPr>
        <w:t>3个下属事业单位</w:t>
      </w:r>
      <w:r>
        <w:rPr>
          <w:rFonts w:hint="eastAsia" w:eastAsia="仿宋_GB2312"/>
          <w:sz w:val="32"/>
          <w:szCs w:val="32"/>
          <w:lang w:eastAsia="zh-CN"/>
        </w:rPr>
        <w:t>）</w:t>
      </w:r>
      <w:r>
        <w:rPr>
          <w:rFonts w:hint="eastAsia" w:eastAsia="仿宋_GB2312"/>
          <w:sz w:val="32"/>
          <w:szCs w:val="32"/>
        </w:rPr>
        <w:t>，其中行政编制25人，参照公务员管理事业编制10人，事业编制13人。201</w:t>
      </w:r>
      <w:r>
        <w:rPr>
          <w:rFonts w:hint="eastAsia" w:eastAsia="仿宋_GB2312"/>
          <w:sz w:val="32"/>
          <w:szCs w:val="32"/>
          <w:lang w:val="en-US" w:eastAsia="zh-CN"/>
        </w:rPr>
        <w:t>8</w:t>
      </w:r>
      <w:r>
        <w:rPr>
          <w:rFonts w:eastAsia="仿宋_GB2312"/>
          <w:sz w:val="32"/>
          <w:szCs w:val="32"/>
        </w:rPr>
        <w:t>年末人员共2</w:t>
      </w:r>
      <w:r>
        <w:rPr>
          <w:rFonts w:hint="eastAsia" w:eastAsia="仿宋_GB2312"/>
          <w:sz w:val="32"/>
          <w:szCs w:val="32"/>
          <w:lang w:val="en-US" w:eastAsia="zh-CN"/>
        </w:rPr>
        <w:t>2</w:t>
      </w:r>
      <w:r>
        <w:rPr>
          <w:rFonts w:eastAsia="仿宋_GB2312"/>
          <w:sz w:val="32"/>
          <w:szCs w:val="32"/>
        </w:rPr>
        <w:t>人（不含离退休干部5人），其中：公务员1</w:t>
      </w:r>
      <w:r>
        <w:rPr>
          <w:rFonts w:hint="eastAsia" w:eastAsia="仿宋_GB2312"/>
          <w:sz w:val="32"/>
          <w:szCs w:val="32"/>
          <w:lang w:val="en-US" w:eastAsia="zh-CN"/>
        </w:rPr>
        <w:t>3</w:t>
      </w:r>
      <w:r>
        <w:rPr>
          <w:rFonts w:eastAsia="仿宋_GB2312"/>
          <w:sz w:val="32"/>
          <w:szCs w:val="32"/>
        </w:rPr>
        <w:t>人，工勤人员1人，参公人员</w:t>
      </w:r>
      <w:r>
        <w:rPr>
          <w:rFonts w:hint="eastAsia" w:eastAsia="仿宋_GB2312"/>
          <w:sz w:val="32"/>
          <w:szCs w:val="32"/>
          <w:lang w:val="en-US" w:eastAsia="zh-CN"/>
        </w:rPr>
        <w:t>1</w:t>
      </w:r>
      <w:r>
        <w:rPr>
          <w:rFonts w:eastAsia="仿宋_GB2312"/>
          <w:sz w:val="32"/>
          <w:szCs w:val="32"/>
        </w:rPr>
        <w:t>人、事业人员</w:t>
      </w:r>
      <w:r>
        <w:rPr>
          <w:rFonts w:hint="eastAsia" w:eastAsia="仿宋_GB2312"/>
          <w:sz w:val="32"/>
          <w:szCs w:val="32"/>
          <w:lang w:val="en-US" w:eastAsia="zh-CN"/>
        </w:rPr>
        <w:t>7</w:t>
      </w:r>
      <w:r>
        <w:rPr>
          <w:rFonts w:eastAsia="仿宋_GB2312"/>
          <w:sz w:val="32"/>
          <w:szCs w:val="32"/>
        </w:rPr>
        <w:t>人。</w:t>
      </w:r>
    </w:p>
    <w:p>
      <w:pPr>
        <w:pStyle w:val="2"/>
        <w:ind w:right="440"/>
        <w:jc w:val="center"/>
        <w:rPr>
          <w:rStyle w:val="25"/>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2018年度部门决算情况说明</w:t>
      </w:r>
      <w:bookmarkEnd w:id="20"/>
      <w:bookmarkEnd w:id="21"/>
    </w:p>
    <w:p>
      <w:pPr/>
    </w:p>
    <w:p>
      <w:pPr>
        <w:pStyle w:val="24"/>
        <w:numPr>
          <w:ilvl w:val="0"/>
          <w:numId w:val="1"/>
        </w:numPr>
        <w:spacing w:line="600" w:lineRule="exact"/>
        <w:ind w:firstLineChars="0"/>
        <w:outlineLvl w:val="1"/>
        <w:rPr>
          <w:rStyle w:val="26"/>
          <w:rFonts w:ascii="黑体" w:hAnsi="黑体" w:eastAsia="黑体"/>
          <w:b w:val="0"/>
        </w:rPr>
      </w:pPr>
      <w:bookmarkStart w:id="22" w:name="_Toc15396603"/>
      <w:bookmarkStart w:id="23"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2"/>
      <w:bookmarkEnd w:id="23"/>
    </w:p>
    <w:p>
      <w:pPr>
        <w:snapToGrid w:val="0"/>
        <w:spacing w:line="554" w:lineRule="exact"/>
        <w:ind w:firstLine="640" w:firstLineChars="200"/>
        <w:rPr>
          <w:rFonts w:hint="eastAsia" w:ascii="方正仿宋_GBK" w:hAnsi="方正仿宋_GBK" w:eastAsia="方正仿宋_GBK" w:cs="方正仿宋_GBK"/>
          <w:color w:val="0000FF"/>
          <w:sz w:val="32"/>
          <w:szCs w:val="32"/>
        </w:rPr>
      </w:pPr>
      <w:r>
        <w:rPr>
          <w:rFonts w:eastAsia="仿宋_GB2312"/>
          <w:sz w:val="32"/>
          <w:szCs w:val="32"/>
        </w:rPr>
        <w:t>部机关201</w:t>
      </w:r>
      <w:r>
        <w:rPr>
          <w:rFonts w:hint="eastAsia" w:eastAsia="仿宋_GB2312"/>
          <w:sz w:val="32"/>
          <w:szCs w:val="32"/>
        </w:rPr>
        <w:t>8</w:t>
      </w:r>
      <w:r>
        <w:rPr>
          <w:rFonts w:eastAsia="仿宋_GB2312"/>
          <w:sz w:val="32"/>
          <w:szCs w:val="32"/>
        </w:rPr>
        <w:t>年收入</w:t>
      </w:r>
      <w:r>
        <w:rPr>
          <w:rFonts w:hint="eastAsia" w:ascii="仿宋" w:hAnsi="仿宋" w:eastAsia="仿宋"/>
          <w:color w:val="000000"/>
          <w:sz w:val="32"/>
          <w:szCs w:val="32"/>
        </w:rPr>
        <w:t>3236.56</w:t>
      </w:r>
      <w:r>
        <w:rPr>
          <w:rFonts w:eastAsia="仿宋_GB2312"/>
          <w:sz w:val="32"/>
          <w:szCs w:val="32"/>
        </w:rPr>
        <w:t xml:space="preserve">万元, </w:t>
      </w:r>
      <w:r>
        <w:rPr>
          <w:rFonts w:hint="eastAsia" w:eastAsia="仿宋_GB2312"/>
          <w:sz w:val="32"/>
          <w:szCs w:val="32"/>
          <w:lang w:eastAsia="zh-CN"/>
        </w:rPr>
        <w:t>其中：</w:t>
      </w:r>
      <w:r>
        <w:rPr>
          <w:rFonts w:hint="eastAsia" w:ascii="仿宋" w:hAnsi="仿宋" w:eastAsia="仿宋"/>
          <w:color w:val="000000"/>
          <w:sz w:val="32"/>
          <w:szCs w:val="32"/>
        </w:rPr>
        <w:t>一般公共预算财政拨款收入1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39.96万元</w:t>
      </w:r>
      <w:r>
        <w:rPr>
          <w:rFonts w:hint="eastAsia" w:ascii="仿宋" w:hAnsi="仿宋" w:eastAsia="仿宋"/>
          <w:color w:val="000000"/>
          <w:sz w:val="32"/>
          <w:szCs w:val="32"/>
          <w:lang w:eastAsia="zh-CN"/>
        </w:rPr>
        <w:t>，</w:t>
      </w:r>
      <w:r>
        <w:rPr>
          <w:rFonts w:hint="eastAsia" w:eastAsia="仿宋_GB2312"/>
          <w:sz w:val="32"/>
          <w:szCs w:val="32"/>
        </w:rPr>
        <w:t>与2017年相比，收入减少</w:t>
      </w:r>
      <w:r>
        <w:rPr>
          <w:rFonts w:hint="eastAsia" w:eastAsia="仿宋_GB2312"/>
          <w:sz w:val="32"/>
          <w:szCs w:val="32"/>
          <w:lang w:val="en-US" w:eastAsia="zh-CN"/>
        </w:rPr>
        <w:t>1543.06</w:t>
      </w:r>
      <w:r>
        <w:rPr>
          <w:rFonts w:hint="eastAsia" w:eastAsia="仿宋_GB2312"/>
          <w:sz w:val="32"/>
          <w:szCs w:val="32"/>
        </w:rPr>
        <w:t>万元，下降</w:t>
      </w:r>
      <w:r>
        <w:rPr>
          <w:rFonts w:hint="eastAsia" w:eastAsia="仿宋_GB2312"/>
          <w:sz w:val="32"/>
          <w:szCs w:val="32"/>
          <w:lang w:val="en-US" w:eastAsia="zh-CN"/>
        </w:rPr>
        <w:t>44.3</w:t>
      </w:r>
      <w:r>
        <w:rPr>
          <w:rFonts w:eastAsia="仿宋_GB2312"/>
          <w:sz w:val="32"/>
          <w:szCs w:val="32"/>
        </w:rPr>
        <w:t>%</w:t>
      </w:r>
      <w:r>
        <w:rPr>
          <w:rFonts w:hint="eastAsia" w:eastAsia="仿宋_GB2312"/>
          <w:sz w:val="32"/>
          <w:szCs w:val="32"/>
        </w:rPr>
        <w:t>，</w:t>
      </w:r>
      <w:r>
        <w:rPr>
          <w:rFonts w:hint="eastAsia" w:eastAsia="仿宋_GB2312"/>
          <w:color w:val="auto"/>
          <w:sz w:val="32"/>
          <w:szCs w:val="32"/>
        </w:rPr>
        <w:t>主要变动原因是</w:t>
      </w:r>
      <w:r>
        <w:rPr>
          <w:rFonts w:hint="eastAsia" w:eastAsia="仿宋_GB2312"/>
          <w:color w:val="auto"/>
          <w:sz w:val="32"/>
          <w:szCs w:val="32"/>
          <w:lang w:eastAsia="zh-CN"/>
        </w:rPr>
        <w:t>项目减少相关费用减少</w:t>
      </w:r>
      <w:r>
        <w:rPr>
          <w:rFonts w:hint="eastAsia" w:eastAsia="仿宋_GB2312"/>
          <w:color w:val="0000FF"/>
          <w:sz w:val="32"/>
          <w:szCs w:val="32"/>
        </w:rPr>
        <w:t>；</w:t>
      </w:r>
      <w:r>
        <w:rPr>
          <w:rFonts w:hint="eastAsia" w:eastAsia="仿宋_GB2312"/>
          <w:sz w:val="32"/>
          <w:szCs w:val="32"/>
        </w:rPr>
        <w:t>2018年</w:t>
      </w:r>
      <w:r>
        <w:rPr>
          <w:rFonts w:eastAsia="仿宋_GB2312"/>
          <w:sz w:val="32"/>
          <w:szCs w:val="32"/>
        </w:rPr>
        <w:t>支出</w:t>
      </w:r>
      <w:r>
        <w:rPr>
          <w:rFonts w:hint="eastAsia" w:eastAsia="仿宋_GB2312"/>
          <w:sz w:val="32"/>
          <w:szCs w:val="32"/>
        </w:rPr>
        <w:t>2306.68</w:t>
      </w:r>
      <w:r>
        <w:rPr>
          <w:rFonts w:eastAsia="仿宋_GB2312"/>
          <w:sz w:val="32"/>
          <w:szCs w:val="32"/>
        </w:rPr>
        <w:t>万元，</w:t>
      </w:r>
      <w:r>
        <w:rPr>
          <w:rFonts w:hint="eastAsia" w:eastAsia="仿宋_GB2312"/>
          <w:sz w:val="32"/>
          <w:szCs w:val="32"/>
        </w:rPr>
        <w:t>与2017年相比，增加100.04万元，增长4.5</w:t>
      </w:r>
      <w:r>
        <w:rPr>
          <w:rFonts w:eastAsia="仿宋_GB2312"/>
          <w:sz w:val="32"/>
          <w:szCs w:val="32"/>
        </w:rPr>
        <w:t>%</w:t>
      </w:r>
      <w:r>
        <w:rPr>
          <w:rFonts w:hint="eastAsia" w:eastAsia="仿宋_GB2312"/>
          <w:sz w:val="32"/>
          <w:szCs w:val="32"/>
        </w:rPr>
        <w:t>，</w:t>
      </w:r>
      <w:r>
        <w:rPr>
          <w:rFonts w:hint="eastAsia" w:ascii="仿宋" w:hAnsi="仿宋" w:eastAsia="仿宋"/>
          <w:color w:val="auto"/>
          <w:sz w:val="32"/>
          <w:szCs w:val="32"/>
        </w:rPr>
        <w:t>主要变动原因是</w:t>
      </w:r>
      <w:r>
        <w:rPr>
          <w:rFonts w:hint="eastAsia" w:ascii="方正仿宋_GBK" w:hAnsi="方正仿宋_GBK" w:eastAsia="方正仿宋_GBK" w:cs="方正仿宋_GBK"/>
          <w:color w:val="auto"/>
          <w:sz w:val="32"/>
          <w:szCs w:val="32"/>
        </w:rPr>
        <w:t>主要是教育、城乡社区经费支出增加。</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both"/>
        <w:textAlignment w:val="auto"/>
        <w:outlineLvl w:val="9"/>
        <w:rPr>
          <w:rFonts w:hint="eastAsia" w:ascii="方正仿宋_GBK" w:hAnsi="方正仿宋_GBK" w:eastAsia="方正仿宋_GBK" w:cs="方正仿宋_GBK"/>
          <w:color w:val="0000FF"/>
          <w:sz w:val="32"/>
          <w:szCs w:val="32"/>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1"/>
        </w:numPr>
        <w:spacing w:line="600" w:lineRule="exact"/>
        <w:ind w:firstLineChars="0"/>
        <w:outlineLvl w:val="1"/>
        <w:rPr>
          <w:rStyle w:val="26"/>
          <w:rFonts w:ascii="黑体" w:hAnsi="黑体" w:eastAsia="黑体"/>
          <w:b w:val="0"/>
        </w:rPr>
      </w:pPr>
      <w:bookmarkStart w:id="24" w:name="_Toc15377206"/>
      <w:bookmarkStart w:id="25"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4"/>
      <w:bookmarkEnd w:id="25"/>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8年本年收入合计3236.56万元，其中：一般公共预算财政拨款收入1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39.96万元，占53.8</w:t>
      </w:r>
      <w:r>
        <w:rPr>
          <w:rFonts w:ascii="仿宋" w:hAnsi="仿宋" w:eastAsia="仿宋"/>
          <w:color w:val="000000"/>
          <w:sz w:val="32"/>
          <w:szCs w:val="32"/>
        </w:rPr>
        <w:t>%</w:t>
      </w:r>
      <w:r>
        <w:rPr>
          <w:rFonts w:hint="eastAsia" w:ascii="仿宋" w:hAnsi="仿宋" w:eastAsia="仿宋"/>
          <w:color w:val="000000"/>
          <w:sz w:val="32"/>
          <w:szCs w:val="32"/>
        </w:rPr>
        <w:t>；政府性基金预算财政拨款收入200万元，占6.2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方正仿宋_GBK" w:hAnsi="方正仿宋_GBK" w:eastAsia="方正仿宋_GBK" w:cs="方正仿宋_GBK"/>
          <w:sz w:val="32"/>
          <w:szCs w:val="32"/>
        </w:rPr>
        <w:t>年初结转和结余1296.6万元，占40%</w:t>
      </w:r>
      <w:r>
        <w:rPr>
          <w:rFonts w:hint="eastAsia" w:ascii="仿宋" w:hAnsi="仿宋" w:eastAsia="仿宋"/>
          <w:color w:val="000000"/>
          <w:sz w:val="32"/>
          <w:szCs w:val="32"/>
        </w:rPr>
        <w:t>。</w:t>
      </w:r>
    </w:p>
    <w:p>
      <w:pPr>
        <w:spacing w:line="600" w:lineRule="exact"/>
        <w:ind w:firstLine="420" w:firstLineChars="200"/>
        <w:outlineLvl w:val="1"/>
        <w:rPr>
          <w:rFonts w:hint="eastAsia" w:ascii="仿宋" w:hAnsi="仿宋" w:eastAsia="仿宋"/>
          <w:color w:val="000000"/>
          <w:sz w:val="32"/>
          <w:szCs w:val="32"/>
        </w:rPr>
      </w:pPr>
      <w:r>
        <w:drawing>
          <wp:anchor distT="0" distB="0" distL="114300" distR="114300" simplePos="0" relativeHeight="251658240" behindDoc="1" locked="0" layoutInCell="1" allowOverlap="1">
            <wp:simplePos x="0" y="0"/>
            <wp:positionH relativeFrom="column">
              <wp:posOffset>187325</wp:posOffset>
            </wp:positionH>
            <wp:positionV relativeFrom="paragraph">
              <wp:posOffset>113665</wp:posOffset>
            </wp:positionV>
            <wp:extent cx="4572000" cy="2743200"/>
            <wp:effectExtent l="4445" t="4445" r="14605" b="14605"/>
            <wp:wrapTight wrapText="bothSides">
              <wp:wrapPolygon>
                <wp:start x="-21" y="-35"/>
                <wp:lineTo x="-21" y="21565"/>
                <wp:lineTo x="21579" y="21565"/>
                <wp:lineTo x="21579" y="-35"/>
                <wp:lineTo x="-21" y="-35"/>
              </wp:wrapPolygon>
            </wp:wrapTight>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1"/>
        </w:numPr>
        <w:spacing w:line="600" w:lineRule="exact"/>
        <w:ind w:firstLineChars="0"/>
        <w:outlineLvl w:val="1"/>
        <w:rPr>
          <w:rStyle w:val="26"/>
          <w:rFonts w:ascii="黑体" w:hAnsi="黑体" w:eastAsia="黑体"/>
          <w:b w:val="0"/>
        </w:rPr>
      </w:pPr>
      <w:bookmarkStart w:id="26" w:name="_Toc15396605"/>
      <w:bookmarkStart w:id="27" w:name="_Toc15377207"/>
      <w:r>
        <w:rPr>
          <w:rFonts w:hint="eastAsia" w:ascii="黑体" w:hAnsi="黑体" w:eastAsia="黑体"/>
          <w:color w:val="000000"/>
          <w:sz w:val="32"/>
          <w:szCs w:val="32"/>
        </w:rPr>
        <w:t>支</w:t>
      </w:r>
      <w:r>
        <w:rPr>
          <w:rStyle w:val="26"/>
          <w:rFonts w:hint="eastAsia" w:ascii="黑体" w:hAnsi="黑体" w:eastAsia="黑体"/>
          <w:b w:val="0"/>
        </w:rPr>
        <w:t>出决算情况说明</w:t>
      </w:r>
      <w:bookmarkEnd w:id="26"/>
      <w:bookmarkEnd w:id="27"/>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8年本年支出合计2306.68万元，其中：基本支出477.79万元，占20.7</w:t>
      </w:r>
      <w:r>
        <w:rPr>
          <w:rFonts w:ascii="仿宋" w:hAnsi="仿宋" w:eastAsia="仿宋"/>
          <w:color w:val="000000"/>
          <w:sz w:val="32"/>
          <w:szCs w:val="32"/>
        </w:rPr>
        <w:t>%</w:t>
      </w:r>
      <w:r>
        <w:rPr>
          <w:rFonts w:hint="eastAsia" w:ascii="仿宋" w:hAnsi="仿宋" w:eastAsia="仿宋"/>
          <w:color w:val="000000"/>
          <w:sz w:val="32"/>
          <w:szCs w:val="32"/>
        </w:rPr>
        <w:t>；项目支出1828.89万元，占79.3</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sz w:val="32"/>
          <w:szCs w:val="32"/>
        </w:rPr>
      </w:pPr>
      <w:r>
        <w:drawing>
          <wp:anchor distT="0" distB="0" distL="114300" distR="114300" simplePos="0" relativeHeight="251659264" behindDoc="1" locked="0" layoutInCell="1" allowOverlap="1">
            <wp:simplePos x="0" y="0"/>
            <wp:positionH relativeFrom="column">
              <wp:posOffset>434975</wp:posOffset>
            </wp:positionH>
            <wp:positionV relativeFrom="paragraph">
              <wp:posOffset>118110</wp:posOffset>
            </wp:positionV>
            <wp:extent cx="4571365" cy="2743835"/>
            <wp:effectExtent l="4445" t="4445" r="15240" b="13970"/>
            <wp:wrapTight wrapText="bothSides">
              <wp:wrapPolygon>
                <wp:start x="-21" y="-35"/>
                <wp:lineTo x="-21" y="21560"/>
                <wp:lineTo x="21492" y="21560"/>
                <wp:lineTo x="21492" y="-35"/>
                <wp:lineTo x="-21" y="-35"/>
              </wp:wrapPolygon>
            </wp:wrapTight>
            <wp:docPr id="308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26"/>
          <w:rFonts w:ascii="黑体" w:hAnsi="黑体" w:eastAsia="黑体"/>
          <w:b w:val="0"/>
        </w:rPr>
      </w:pPr>
      <w:bookmarkStart w:id="28" w:name="_Toc15377208"/>
      <w:bookmarkStart w:id="29"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28"/>
      <w:bookmarkEnd w:id="29"/>
    </w:p>
    <w:p>
      <w:pPr>
        <w:snapToGrid w:val="0"/>
        <w:spacing w:line="554" w:lineRule="exact"/>
        <w:ind w:firstLine="640" w:firstLineChars="200"/>
        <w:rPr>
          <w:rFonts w:hint="eastAsia" w:ascii="方正仿宋_GBK" w:hAnsi="方正仿宋_GBK" w:eastAsia="方正仿宋_GBK" w:cs="方正仿宋_GBK"/>
          <w:color w:val="auto"/>
          <w:sz w:val="32"/>
          <w:szCs w:val="32"/>
        </w:rPr>
      </w:pPr>
      <w:r>
        <w:rPr>
          <w:rFonts w:eastAsia="仿宋_GB2312"/>
          <w:sz w:val="32"/>
          <w:szCs w:val="32"/>
        </w:rPr>
        <w:t>201</w:t>
      </w:r>
      <w:r>
        <w:rPr>
          <w:rFonts w:hint="eastAsia" w:eastAsia="仿宋_GB2312"/>
          <w:sz w:val="32"/>
          <w:szCs w:val="32"/>
        </w:rPr>
        <w:t>8</w:t>
      </w:r>
      <w:r>
        <w:rPr>
          <w:rFonts w:eastAsia="仿宋_GB2312"/>
          <w:sz w:val="32"/>
          <w:szCs w:val="32"/>
        </w:rPr>
        <w:t>年</w:t>
      </w:r>
      <w:r>
        <w:rPr>
          <w:rFonts w:hint="eastAsia" w:eastAsia="仿宋_GB2312"/>
          <w:sz w:val="32"/>
          <w:szCs w:val="32"/>
        </w:rPr>
        <w:t>财政拨款</w:t>
      </w:r>
      <w:r>
        <w:rPr>
          <w:rFonts w:eastAsia="仿宋_GB2312"/>
          <w:sz w:val="32"/>
          <w:szCs w:val="32"/>
        </w:rPr>
        <w:t>收入</w:t>
      </w:r>
      <w:r>
        <w:rPr>
          <w:rFonts w:hint="eastAsia" w:eastAsia="仿宋_GB2312"/>
          <w:sz w:val="32"/>
          <w:szCs w:val="32"/>
        </w:rPr>
        <w:t>3236.56</w:t>
      </w:r>
      <w:r>
        <w:rPr>
          <w:rFonts w:eastAsia="仿宋_GB2312"/>
          <w:sz w:val="32"/>
          <w:szCs w:val="32"/>
        </w:rPr>
        <w:t xml:space="preserve">万元, </w:t>
      </w:r>
      <w:r>
        <w:rPr>
          <w:rFonts w:hint="eastAsia" w:eastAsia="仿宋_GB2312"/>
          <w:sz w:val="32"/>
          <w:szCs w:val="32"/>
        </w:rPr>
        <w:t>与2017年相比，财政拨款收入减少266.68万元，下降7.6</w:t>
      </w:r>
      <w:r>
        <w:rPr>
          <w:rFonts w:eastAsia="仿宋_GB2312"/>
          <w:sz w:val="32"/>
          <w:szCs w:val="32"/>
        </w:rPr>
        <w:t>%</w:t>
      </w:r>
      <w:r>
        <w:rPr>
          <w:rFonts w:hint="eastAsia" w:eastAsia="仿宋_GB2312"/>
          <w:sz w:val="32"/>
          <w:szCs w:val="32"/>
        </w:rPr>
        <w:t>，</w:t>
      </w:r>
      <w:r>
        <w:rPr>
          <w:rFonts w:hint="eastAsia" w:eastAsia="仿宋_GB2312"/>
          <w:color w:val="auto"/>
          <w:sz w:val="32"/>
          <w:szCs w:val="32"/>
        </w:rPr>
        <w:t>主要变动原因是</w:t>
      </w:r>
      <w:r>
        <w:rPr>
          <w:rFonts w:hint="eastAsia" w:ascii="方正仿宋_GBK" w:hAnsi="方正仿宋_GBK" w:eastAsia="方正仿宋_GBK" w:cs="方正仿宋_GBK"/>
          <w:color w:val="auto"/>
          <w:sz w:val="32"/>
          <w:szCs w:val="32"/>
        </w:rPr>
        <w:t>一般公共预算财政拨款收入减少</w:t>
      </w:r>
      <w:r>
        <w:rPr>
          <w:rFonts w:hint="eastAsia" w:eastAsia="仿宋_GB2312"/>
          <w:sz w:val="32"/>
          <w:szCs w:val="32"/>
        </w:rPr>
        <w:t>；2018年财政拨款</w:t>
      </w:r>
      <w:r>
        <w:rPr>
          <w:rFonts w:eastAsia="仿宋_GB2312"/>
          <w:sz w:val="32"/>
          <w:szCs w:val="32"/>
        </w:rPr>
        <w:t>支出</w:t>
      </w:r>
      <w:r>
        <w:rPr>
          <w:rFonts w:hint="eastAsia" w:eastAsia="仿宋_GB2312"/>
          <w:sz w:val="32"/>
          <w:szCs w:val="32"/>
        </w:rPr>
        <w:t>2306.68</w:t>
      </w:r>
      <w:r>
        <w:rPr>
          <w:rFonts w:eastAsia="仿宋_GB2312"/>
          <w:sz w:val="32"/>
          <w:szCs w:val="32"/>
        </w:rPr>
        <w:t>万元，</w:t>
      </w:r>
      <w:r>
        <w:rPr>
          <w:rFonts w:hint="eastAsia" w:eastAsia="仿宋_GB2312"/>
          <w:sz w:val="32"/>
          <w:szCs w:val="32"/>
        </w:rPr>
        <w:t>与2017年相比，增加100.04万元，增长4.5</w:t>
      </w:r>
      <w:r>
        <w:rPr>
          <w:rFonts w:eastAsia="仿宋_GB2312"/>
          <w:sz w:val="32"/>
          <w:szCs w:val="32"/>
        </w:rPr>
        <w:t>%</w:t>
      </w:r>
      <w:r>
        <w:rPr>
          <w:rFonts w:hint="eastAsia" w:eastAsia="仿宋_GB2312"/>
          <w:sz w:val="32"/>
          <w:szCs w:val="32"/>
        </w:rPr>
        <w:t>，</w:t>
      </w:r>
      <w:r>
        <w:rPr>
          <w:rFonts w:hint="eastAsia" w:ascii="仿宋" w:hAnsi="仿宋" w:eastAsia="仿宋"/>
          <w:color w:val="auto"/>
          <w:sz w:val="32"/>
          <w:szCs w:val="32"/>
        </w:rPr>
        <w:t>主要变动原因是</w:t>
      </w:r>
      <w:r>
        <w:rPr>
          <w:rFonts w:hint="eastAsia" w:ascii="方正仿宋_GBK" w:hAnsi="方正仿宋_GBK" w:eastAsia="方正仿宋_GBK" w:cs="方正仿宋_GBK"/>
          <w:color w:val="auto"/>
          <w:sz w:val="32"/>
          <w:szCs w:val="32"/>
        </w:rPr>
        <w:t>主要是教育、城乡社区经费支出增加。</w:t>
      </w:r>
    </w:p>
    <w:p>
      <w:pPr>
        <w:snapToGrid w:val="0"/>
        <w:spacing w:line="554" w:lineRule="exact"/>
        <w:ind w:firstLine="420" w:firstLineChars="200"/>
        <w:rPr>
          <w:rFonts w:hint="eastAsia" w:ascii="方正仿宋_GBK" w:hAnsi="方正仿宋_GBK" w:eastAsia="方正仿宋_GBK" w:cs="方正仿宋_GBK"/>
          <w:color w:val="auto"/>
          <w:sz w:val="32"/>
          <w:szCs w:val="32"/>
        </w:rPr>
      </w:pPr>
      <w:r>
        <w:drawing>
          <wp:anchor distT="0" distB="0" distL="114300" distR="114300" simplePos="0" relativeHeight="251660288" behindDoc="1" locked="0" layoutInCell="1" allowOverlap="1">
            <wp:simplePos x="0" y="0"/>
            <wp:positionH relativeFrom="column">
              <wp:posOffset>366395</wp:posOffset>
            </wp:positionH>
            <wp:positionV relativeFrom="paragraph">
              <wp:posOffset>60960</wp:posOffset>
            </wp:positionV>
            <wp:extent cx="4572000" cy="2743200"/>
            <wp:effectExtent l="4445" t="4445" r="14605" b="14605"/>
            <wp:wrapTight wrapText="bothSides">
              <wp:wrapPolygon>
                <wp:start x="-21" y="-35"/>
                <wp:lineTo x="-21" y="21565"/>
                <wp:lineTo x="21579" y="21565"/>
                <wp:lineTo x="21579" y="-35"/>
                <wp:lineTo x="-21" y="-35"/>
              </wp:wrapPolygon>
            </wp:wrapTight>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26"/>
          <w:rFonts w:ascii="黑体" w:hAnsi="黑体" w:eastAsia="黑体"/>
          <w:b w:val="0"/>
        </w:rPr>
      </w:pPr>
      <w:bookmarkStart w:id="30" w:name="_Toc15396607"/>
      <w:bookmarkStart w:id="31"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0"/>
      <w:bookmarkEnd w:id="31"/>
    </w:p>
    <w:p>
      <w:pPr>
        <w:spacing w:line="600" w:lineRule="exact"/>
        <w:ind w:firstLine="643" w:firstLineChars="200"/>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（一）一般公共预算财政拨款支出决算总体情况</w:t>
      </w:r>
      <w:bookmarkEnd w:id="3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8年一般公共预算财政拨款支出2186.68万元，占本年支出合计的94.8</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7年相比，一般公共预算财政拨款减少19.95万元，下降0.9</w:t>
      </w:r>
      <w:r>
        <w:rPr>
          <w:rFonts w:ascii="仿宋" w:hAnsi="仿宋" w:eastAsia="仿宋"/>
          <w:color w:val="000000"/>
          <w:sz w:val="32"/>
          <w:szCs w:val="32"/>
        </w:rPr>
        <w:t>%</w:t>
      </w:r>
      <w:r>
        <w:rPr>
          <w:rFonts w:hint="eastAsia" w:ascii="仿宋" w:hAnsi="仿宋" w:eastAsia="仿宋"/>
          <w:color w:val="000000"/>
          <w:sz w:val="32"/>
          <w:szCs w:val="32"/>
        </w:rPr>
        <w:t>。主要变动原因是一般公共服务支出和</w:t>
      </w:r>
      <w:r>
        <w:rPr>
          <w:rFonts w:hint="eastAsia" w:ascii="方正仿宋_GBK" w:hAnsi="方正仿宋_GBK" w:eastAsia="方正仿宋_GBK" w:cs="方正仿宋_GBK"/>
          <w:color w:val="auto"/>
          <w:sz w:val="32"/>
          <w:szCs w:val="32"/>
        </w:rPr>
        <w:t>社会保障和就业支出减少</w:t>
      </w:r>
      <w:r>
        <w:rPr>
          <w:rFonts w:hint="eastAsia" w:ascii="方正仿宋_GBK" w:hAnsi="方正仿宋_GBK" w:eastAsia="方正仿宋_GBK" w:cs="方正仿宋_GBK"/>
          <w:color w:val="0000FF"/>
          <w:sz w:val="32"/>
          <w:szCs w:val="32"/>
        </w:rPr>
        <w:t>。</w:t>
      </w:r>
    </w:p>
    <w:p>
      <w:pPr>
        <w:spacing w:line="600" w:lineRule="exact"/>
        <w:ind w:firstLine="643" w:firstLineChars="200"/>
        <w:outlineLvl w:val="2"/>
        <w:rPr>
          <w:rFonts w:ascii="仿宋" w:hAnsi="仿宋" w:eastAsia="仿宋"/>
          <w:b/>
          <w:color w:val="000000"/>
          <w:sz w:val="32"/>
          <w:szCs w:val="32"/>
        </w:rPr>
      </w:pPr>
      <w:bookmarkStart w:id="33" w:name="_Toc15377211"/>
      <w:r>
        <w:rPr>
          <w:rFonts w:hint="eastAsia" w:ascii="仿宋" w:hAnsi="仿宋" w:eastAsia="仿宋"/>
          <w:b/>
          <w:color w:val="000000"/>
          <w:sz w:val="32"/>
          <w:szCs w:val="32"/>
        </w:rPr>
        <w:t>（二）一般公共预算财政拨款支出决算结构情况</w:t>
      </w:r>
      <w:bookmarkEnd w:id="33"/>
    </w:p>
    <w:p>
      <w:pPr>
        <w:spacing w:line="600" w:lineRule="exact"/>
        <w:ind w:firstLine="640" w:firstLineChars="200"/>
        <w:outlineLvl w:val="2"/>
        <w:rPr>
          <w:rFonts w:hint="eastAsia"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政拨款支出2186.68万元，主要用于以下方面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支出1446.05万元，占66.1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rPr>
        <w:t>669.66万元，占30.6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支出32.62万元，占1.5</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；医疗卫生支出12.19万元，占0.6</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；住房保障支出26.17万元，占1.2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bookmarkStart w:id="34" w:name="_Toc15377212"/>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2"/>
        <w:rPr>
          <w:rFonts w:hint="eastAsia" w:ascii="仿宋" w:hAnsi="仿宋" w:eastAsia="仿宋"/>
          <w:color w:val="000000" w:themeColor="text1"/>
          <w:sz w:val="32"/>
          <w:szCs w:val="32"/>
        </w:rPr>
      </w:pPr>
      <w:r>
        <w:rPr>
          <w:rFonts w:ascii="仿宋" w:hAnsi="仿宋" w:eastAsia="仿宋"/>
          <w:color w:val="000000" w:themeColor="text1"/>
          <w:sz w:val="32"/>
          <w:szCs w:val="32"/>
        </w:rPr>
        <w:drawing>
          <wp:inline distT="0" distB="0" distL="0" distR="0">
            <wp:extent cx="4791075" cy="3343275"/>
            <wp:effectExtent l="4445" t="4445" r="5080"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4"/>
    </w:p>
    <w:p>
      <w:pPr>
        <w:spacing w:line="600" w:lineRule="exact"/>
        <w:ind w:firstLine="643" w:firstLineChars="200"/>
        <w:outlineLvl w:val="2"/>
        <w:rPr>
          <w:rFonts w:ascii="仿宋" w:hAnsi="仿宋" w:eastAsia="仿宋"/>
          <w:color w:val="FF0000"/>
          <w:sz w:val="32"/>
          <w:szCs w:val="32"/>
        </w:rPr>
      </w:pPr>
      <w:bookmarkStart w:id="35" w:name="_Toc15377444"/>
      <w:bookmarkStart w:id="36" w:name="_Toc15377213"/>
      <w:bookmarkStart w:id="37" w:name="_Toc15378460"/>
      <w:r>
        <w:rPr>
          <w:rFonts w:hint="eastAsia" w:ascii="仿宋" w:hAnsi="仿宋" w:eastAsia="仿宋"/>
          <w:b/>
          <w:color w:val="000000" w:themeColor="text1"/>
          <w:sz w:val="32"/>
          <w:szCs w:val="32"/>
        </w:rPr>
        <w:t>2018年一般公共预算支出决算数为2186.68</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5"/>
      <w:bookmarkEnd w:id="36"/>
      <w:bookmarkEnd w:id="37"/>
    </w:p>
    <w:p>
      <w:pPr>
        <w:numPr>
          <w:ilvl w:val="0"/>
          <w:numId w:val="2"/>
        </w:num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一般公共服务（类）组织事务（款）行政运行（项）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支出决算为406.81万元，完成预算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2"/>
        </w:numPr>
        <w:spacing w:line="600" w:lineRule="exact"/>
        <w:ind w:firstLine="643" w:firstLineChars="200"/>
        <w:rPr>
          <w:rStyle w:val="14"/>
          <w:rFonts w:ascii="仿宋" w:hAnsi="仿宋" w:eastAsia="仿宋"/>
          <w:b w:val="0"/>
          <w:bCs/>
          <w:color w:val="auto"/>
          <w:sz w:val="32"/>
          <w:szCs w:val="32"/>
        </w:rPr>
      </w:pPr>
      <w:r>
        <w:rPr>
          <w:rStyle w:val="14"/>
          <w:rFonts w:hint="eastAsia" w:ascii="仿宋" w:hAnsi="仿宋" w:eastAsia="仿宋"/>
          <w:bCs/>
          <w:color w:val="000000"/>
          <w:sz w:val="32"/>
          <w:szCs w:val="32"/>
        </w:rPr>
        <w:t>一般公共服务（类）组织事务（款）一般行政管理事务（项）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支出决算为849.24万元，完成预算51.9</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部分</w:t>
      </w:r>
      <w:r>
        <w:rPr>
          <w:rStyle w:val="14"/>
          <w:rFonts w:hint="eastAsia" w:ascii="仿宋" w:hAnsi="仿宋" w:eastAsia="仿宋"/>
          <w:b w:val="0"/>
          <w:bCs/>
          <w:color w:val="auto"/>
          <w:sz w:val="32"/>
          <w:szCs w:val="32"/>
        </w:rPr>
        <w:t>项目没完成，</w:t>
      </w:r>
      <w:r>
        <w:rPr>
          <w:rStyle w:val="14"/>
          <w:rFonts w:hint="eastAsia" w:ascii="仿宋" w:hAnsi="仿宋" w:eastAsia="仿宋"/>
          <w:b w:val="0"/>
          <w:bCs/>
          <w:color w:val="auto"/>
          <w:sz w:val="32"/>
          <w:szCs w:val="32"/>
          <w:lang w:eastAsia="zh-CN"/>
        </w:rPr>
        <w:t>正在实施中。</w:t>
      </w:r>
    </w:p>
    <w:p>
      <w:pPr>
        <w:numPr>
          <w:ilvl w:val="0"/>
          <w:numId w:val="2"/>
        </w:num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一般公共服务（类）组织事务（款）其他组织事务（项）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支出决算为190万元，完成预算100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auto"/>
          <w:sz w:val="32"/>
          <w:szCs w:val="32"/>
        </w:rPr>
      </w:pPr>
      <w:r>
        <w:rPr>
          <w:rStyle w:val="14"/>
          <w:rFonts w:hint="eastAsia" w:ascii="仿宋" w:hAnsi="仿宋" w:eastAsia="仿宋"/>
          <w:bCs/>
          <w:color w:val="000000"/>
          <w:sz w:val="32"/>
          <w:szCs w:val="32"/>
        </w:rPr>
        <w:t>4.教育（类）进修及培训（款）干部教育（项）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支出决算为669.66万元，完成预算96.5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 w:val="0"/>
          <w:bCs/>
          <w:color w:val="auto"/>
          <w:sz w:val="32"/>
          <w:szCs w:val="32"/>
        </w:rPr>
        <w:t>原因是项目没完成，</w:t>
      </w:r>
      <w:r>
        <w:rPr>
          <w:rStyle w:val="14"/>
          <w:rFonts w:hint="eastAsia" w:ascii="仿宋" w:hAnsi="仿宋" w:eastAsia="仿宋"/>
          <w:b w:val="0"/>
          <w:bCs/>
          <w:color w:val="auto"/>
          <w:sz w:val="32"/>
          <w:szCs w:val="32"/>
          <w:lang w:eastAsia="zh-CN"/>
        </w:rPr>
        <w:t>正在实施中</w:t>
      </w:r>
      <w:r>
        <w:rPr>
          <w:rStyle w:val="14"/>
          <w:rFonts w:hint="eastAsia" w:ascii="仿宋" w:hAnsi="仿宋" w:eastAsia="仿宋"/>
          <w:b w:val="0"/>
          <w:bCs/>
          <w:color w:val="auto"/>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社会保障和就业（类）行政事业单位离退休（款）机关事业单位基本养老保险缴费支出（项）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支出决算为25.76万元，完成预算100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6.社会保障和就业（类）行政事业单位离退休（款）机关事业单位职业年金缴费支出（项）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支出决算为6.86万元，完成预算100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color w:val="000000"/>
          <w:sz w:val="32"/>
          <w:szCs w:val="32"/>
        </w:rPr>
      </w:pPr>
      <w:r>
        <w:rPr>
          <w:rStyle w:val="14"/>
          <w:rFonts w:hint="eastAsia" w:ascii="仿宋" w:hAnsi="仿宋" w:eastAsia="仿宋"/>
          <w:bCs/>
          <w:color w:val="000000"/>
          <w:sz w:val="32"/>
          <w:szCs w:val="32"/>
        </w:rPr>
        <w:t>7</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医疗卫生与计划生育（类）行政事业单位医疗（款）行政单位医疗（项）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支出决算为12.19万元，完成预算100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ascii="仿宋" w:hAnsi="仿宋" w:eastAsia="仿宋"/>
          <w:color w:val="000000"/>
          <w:sz w:val="32"/>
          <w:szCs w:val="32"/>
        </w:rPr>
        <w:t xml:space="preserve"> </w:t>
      </w:r>
    </w:p>
    <w:p>
      <w:pPr>
        <w:tabs>
          <w:tab w:val="right" w:pos="8306"/>
        </w:tabs>
        <w:spacing w:line="600" w:lineRule="exact"/>
        <w:ind w:firstLine="640"/>
        <w:outlineLvl w:val="1"/>
        <w:rPr>
          <w:rStyle w:val="26"/>
        </w:rPr>
      </w:pPr>
      <w:bookmarkStart w:id="38" w:name="_Toc15377214"/>
      <w:bookmarkStart w:id="39"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38"/>
      <w:bookmarkEnd w:id="39"/>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8年一般公共预算财政拨款基本支出477.79万元，其中：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人员经费376.06万元，主要包括：基本工资</w:t>
      </w:r>
      <w:r>
        <w:rPr>
          <w:rFonts w:hint="eastAsia" w:ascii="仿宋" w:hAnsi="仿宋" w:eastAsia="仿宋"/>
          <w:color w:val="000000"/>
          <w:sz w:val="32"/>
          <w:szCs w:val="32"/>
          <w:lang w:val="en-US" w:eastAsia="zh-CN"/>
        </w:rPr>
        <w:t>69.02</w:t>
      </w:r>
      <w:r>
        <w:rPr>
          <w:rFonts w:hint="eastAsia" w:ascii="仿宋" w:hAnsi="仿宋" w:eastAsia="仿宋"/>
          <w:color w:val="000000"/>
          <w:sz w:val="32"/>
          <w:szCs w:val="32"/>
        </w:rPr>
        <w:t>万元、津贴补贴</w:t>
      </w:r>
      <w:r>
        <w:rPr>
          <w:rFonts w:hint="eastAsia" w:ascii="仿宋" w:hAnsi="仿宋" w:eastAsia="仿宋"/>
          <w:color w:val="000000"/>
          <w:sz w:val="32"/>
          <w:szCs w:val="32"/>
          <w:lang w:val="en-US" w:eastAsia="zh-CN"/>
        </w:rPr>
        <w:t>60.20</w:t>
      </w:r>
      <w:r>
        <w:rPr>
          <w:rFonts w:hint="eastAsia" w:ascii="仿宋" w:hAnsi="仿宋" w:eastAsia="仿宋"/>
          <w:color w:val="000000"/>
          <w:sz w:val="32"/>
          <w:szCs w:val="32"/>
        </w:rPr>
        <w:t>万元、奖金</w:t>
      </w:r>
      <w:r>
        <w:rPr>
          <w:rFonts w:hint="eastAsia" w:ascii="仿宋" w:hAnsi="仿宋" w:eastAsia="仿宋"/>
          <w:color w:val="000000"/>
          <w:sz w:val="32"/>
          <w:szCs w:val="32"/>
          <w:lang w:val="en-US" w:eastAsia="zh-CN"/>
        </w:rPr>
        <w:t>19.04</w:t>
      </w:r>
      <w:r>
        <w:rPr>
          <w:rFonts w:hint="eastAsia" w:ascii="仿宋" w:hAnsi="仿宋" w:eastAsia="仿宋"/>
          <w:color w:val="000000"/>
          <w:sz w:val="32"/>
          <w:szCs w:val="32"/>
        </w:rPr>
        <w:t>万元、伙食补助费</w:t>
      </w:r>
      <w:r>
        <w:rPr>
          <w:rFonts w:hint="eastAsia" w:ascii="仿宋" w:hAnsi="仿宋" w:eastAsia="仿宋"/>
          <w:color w:val="000000"/>
          <w:sz w:val="32"/>
          <w:szCs w:val="32"/>
          <w:lang w:val="en-US" w:eastAsia="zh-CN"/>
        </w:rPr>
        <w:t>8.94</w:t>
      </w:r>
      <w:r>
        <w:rPr>
          <w:rFonts w:hint="eastAsia" w:ascii="仿宋" w:hAnsi="仿宋" w:eastAsia="仿宋"/>
          <w:color w:val="000000"/>
          <w:sz w:val="32"/>
          <w:szCs w:val="32"/>
        </w:rPr>
        <w:t>万元、机关事业单位基本养老保险缴费</w:t>
      </w:r>
      <w:r>
        <w:rPr>
          <w:rFonts w:hint="eastAsia" w:ascii="仿宋" w:hAnsi="仿宋" w:eastAsia="仿宋"/>
          <w:color w:val="000000"/>
          <w:sz w:val="32"/>
          <w:szCs w:val="32"/>
          <w:lang w:val="en-US" w:eastAsia="zh-CN"/>
        </w:rPr>
        <w:t>25.76</w:t>
      </w:r>
      <w:r>
        <w:rPr>
          <w:rFonts w:hint="eastAsia" w:ascii="仿宋" w:hAnsi="仿宋" w:eastAsia="仿宋"/>
          <w:color w:val="000000"/>
          <w:sz w:val="32"/>
          <w:szCs w:val="32"/>
        </w:rPr>
        <w:t>万元、职业年金缴费</w:t>
      </w:r>
      <w:r>
        <w:rPr>
          <w:rFonts w:hint="eastAsia" w:ascii="仿宋" w:hAnsi="仿宋" w:eastAsia="仿宋"/>
          <w:color w:val="000000"/>
          <w:sz w:val="32"/>
          <w:szCs w:val="32"/>
          <w:lang w:val="en-US" w:eastAsia="zh-CN"/>
        </w:rPr>
        <w:t>6.86</w:t>
      </w:r>
      <w:r>
        <w:rPr>
          <w:rFonts w:hint="eastAsia" w:ascii="仿宋" w:hAnsi="仿宋" w:eastAsia="仿宋"/>
          <w:color w:val="000000"/>
          <w:sz w:val="32"/>
          <w:szCs w:val="32"/>
        </w:rPr>
        <w:t>万元、职工基本医疗保险缴费</w:t>
      </w:r>
      <w:r>
        <w:rPr>
          <w:rFonts w:hint="eastAsia" w:ascii="仿宋" w:hAnsi="仿宋" w:eastAsia="仿宋"/>
          <w:color w:val="000000"/>
          <w:sz w:val="32"/>
          <w:szCs w:val="32"/>
          <w:lang w:val="en-US" w:eastAsia="zh-CN"/>
        </w:rPr>
        <w:t>12.19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1.90</w:t>
      </w:r>
      <w:r>
        <w:rPr>
          <w:rFonts w:hint="eastAsia" w:ascii="仿宋" w:hAnsi="仿宋" w:eastAsia="仿宋"/>
          <w:color w:val="000000"/>
          <w:sz w:val="32"/>
          <w:szCs w:val="32"/>
        </w:rPr>
        <w:t>万元、其他工资福利支出</w:t>
      </w:r>
      <w:r>
        <w:rPr>
          <w:rFonts w:hint="eastAsia" w:ascii="仿宋" w:hAnsi="仿宋" w:eastAsia="仿宋"/>
          <w:color w:val="000000"/>
          <w:sz w:val="32"/>
          <w:szCs w:val="32"/>
          <w:lang w:val="en-US" w:eastAsia="zh-CN"/>
        </w:rPr>
        <w:t>114.85</w:t>
      </w:r>
      <w:r>
        <w:rPr>
          <w:rFonts w:hint="eastAsia" w:ascii="仿宋" w:hAnsi="仿宋" w:eastAsia="仿宋"/>
          <w:color w:val="000000"/>
          <w:sz w:val="32"/>
          <w:szCs w:val="32"/>
        </w:rPr>
        <w:t>万元、生活补助</w:t>
      </w:r>
      <w:r>
        <w:rPr>
          <w:rFonts w:hint="eastAsia" w:ascii="仿宋" w:hAnsi="仿宋" w:eastAsia="仿宋"/>
          <w:color w:val="000000"/>
          <w:sz w:val="32"/>
          <w:szCs w:val="32"/>
          <w:lang w:val="en-US" w:eastAsia="zh-CN"/>
        </w:rPr>
        <w:t>1.19</w:t>
      </w:r>
      <w:r>
        <w:rPr>
          <w:rFonts w:hint="eastAsia" w:ascii="仿宋" w:hAnsi="仿宋" w:eastAsia="仿宋"/>
          <w:color w:val="000000"/>
          <w:sz w:val="32"/>
          <w:szCs w:val="32"/>
        </w:rPr>
        <w:t>万元、奖励金</w:t>
      </w:r>
      <w:r>
        <w:rPr>
          <w:rFonts w:hint="eastAsia" w:ascii="仿宋" w:hAnsi="仿宋" w:eastAsia="仿宋"/>
          <w:color w:val="000000"/>
          <w:sz w:val="32"/>
          <w:szCs w:val="32"/>
          <w:lang w:val="en-US" w:eastAsia="zh-CN"/>
        </w:rPr>
        <w:t>26.97</w:t>
      </w:r>
      <w:r>
        <w:rPr>
          <w:rFonts w:hint="eastAsia" w:ascii="仿宋" w:hAnsi="仿宋" w:eastAsia="仿宋"/>
          <w:color w:val="000000"/>
          <w:sz w:val="32"/>
          <w:szCs w:val="32"/>
        </w:rPr>
        <w:t>万元、住房公积金</w:t>
      </w:r>
      <w:r>
        <w:rPr>
          <w:rFonts w:hint="eastAsia" w:ascii="仿宋" w:hAnsi="仿宋" w:eastAsia="仿宋"/>
          <w:color w:val="000000"/>
          <w:sz w:val="32"/>
          <w:szCs w:val="32"/>
          <w:lang w:val="en-US" w:eastAsia="zh-CN"/>
        </w:rPr>
        <w:t>26.17</w:t>
      </w:r>
      <w:r>
        <w:rPr>
          <w:rFonts w:hint="eastAsia" w:ascii="仿宋" w:hAnsi="仿宋" w:eastAsia="仿宋"/>
          <w:color w:val="000000"/>
          <w:sz w:val="32"/>
          <w:szCs w:val="32"/>
        </w:rPr>
        <w:t>万元其他对个人和家庭的补助支出等</w:t>
      </w:r>
      <w:r>
        <w:rPr>
          <w:rFonts w:hint="eastAsia" w:ascii="仿宋" w:hAnsi="仿宋" w:eastAsia="仿宋"/>
          <w:color w:val="000000"/>
          <w:sz w:val="32"/>
          <w:szCs w:val="32"/>
          <w:lang w:val="en-US" w:eastAsia="zh-CN"/>
        </w:rPr>
        <w:t>2.99</w:t>
      </w:r>
      <w:r>
        <w:rPr>
          <w:rFonts w:hint="eastAsia" w:ascii="仿宋" w:hAnsi="仿宋" w:eastAsia="仿宋"/>
          <w:color w:val="000000"/>
          <w:sz w:val="32"/>
          <w:szCs w:val="32"/>
        </w:rPr>
        <w:t>万元。</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101.73</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17.96</w:t>
      </w:r>
      <w:r>
        <w:rPr>
          <w:rFonts w:hint="eastAsia" w:ascii="仿宋" w:hAnsi="仿宋" w:eastAsia="仿宋"/>
          <w:color w:val="000000"/>
          <w:sz w:val="32"/>
          <w:szCs w:val="32"/>
        </w:rPr>
        <w:t>万元、印刷费</w:t>
      </w:r>
      <w:r>
        <w:rPr>
          <w:rFonts w:hint="eastAsia" w:ascii="仿宋" w:hAnsi="仿宋" w:eastAsia="仿宋"/>
          <w:color w:val="000000"/>
          <w:sz w:val="32"/>
          <w:szCs w:val="32"/>
          <w:lang w:val="en-US" w:eastAsia="zh-CN"/>
        </w:rPr>
        <w:t>3.82</w:t>
      </w:r>
      <w:r>
        <w:rPr>
          <w:rFonts w:hint="eastAsia" w:ascii="仿宋" w:hAnsi="仿宋" w:eastAsia="仿宋"/>
          <w:color w:val="000000"/>
          <w:sz w:val="32"/>
          <w:szCs w:val="32"/>
        </w:rPr>
        <w:t>万元、手续费</w:t>
      </w:r>
      <w:r>
        <w:rPr>
          <w:rFonts w:hint="eastAsia" w:ascii="仿宋" w:hAnsi="仿宋" w:eastAsia="仿宋"/>
          <w:color w:val="000000"/>
          <w:sz w:val="32"/>
          <w:szCs w:val="32"/>
          <w:lang w:val="en-US" w:eastAsia="zh-CN"/>
        </w:rPr>
        <w:t>0.06</w:t>
      </w:r>
      <w:r>
        <w:rPr>
          <w:rFonts w:hint="eastAsia" w:ascii="仿宋" w:hAnsi="仿宋" w:eastAsia="仿宋"/>
          <w:color w:val="000000"/>
          <w:sz w:val="32"/>
          <w:szCs w:val="32"/>
        </w:rPr>
        <w:t>万元、水费</w:t>
      </w:r>
      <w:r>
        <w:rPr>
          <w:rFonts w:hint="eastAsia" w:ascii="仿宋" w:hAnsi="仿宋" w:eastAsia="仿宋"/>
          <w:color w:val="000000"/>
          <w:sz w:val="32"/>
          <w:szCs w:val="32"/>
          <w:lang w:val="en-US" w:eastAsia="zh-CN"/>
        </w:rPr>
        <w:t>0.32</w:t>
      </w:r>
      <w:r>
        <w:rPr>
          <w:rFonts w:hint="eastAsia" w:ascii="仿宋" w:hAnsi="仿宋" w:eastAsia="仿宋"/>
          <w:color w:val="000000"/>
          <w:sz w:val="32"/>
          <w:szCs w:val="32"/>
        </w:rPr>
        <w:t>万元、电费</w:t>
      </w:r>
      <w:r>
        <w:rPr>
          <w:rFonts w:hint="eastAsia" w:ascii="仿宋" w:hAnsi="仿宋" w:eastAsia="仿宋"/>
          <w:color w:val="000000"/>
          <w:sz w:val="32"/>
          <w:szCs w:val="32"/>
          <w:lang w:val="en-US" w:eastAsia="zh-CN"/>
        </w:rPr>
        <w:t>0.70</w:t>
      </w:r>
      <w:r>
        <w:rPr>
          <w:rFonts w:hint="eastAsia" w:ascii="仿宋" w:hAnsi="仿宋" w:eastAsia="仿宋"/>
          <w:color w:val="000000"/>
          <w:sz w:val="32"/>
          <w:szCs w:val="32"/>
        </w:rPr>
        <w:t>万元、邮电费</w:t>
      </w:r>
      <w:r>
        <w:rPr>
          <w:rFonts w:hint="eastAsia" w:ascii="仿宋" w:hAnsi="仿宋" w:eastAsia="仿宋"/>
          <w:color w:val="000000"/>
          <w:sz w:val="32"/>
          <w:szCs w:val="32"/>
          <w:lang w:val="en-US" w:eastAsia="zh-CN"/>
        </w:rPr>
        <w:t>1.86</w:t>
      </w:r>
      <w:r>
        <w:rPr>
          <w:rFonts w:hint="eastAsia" w:ascii="仿宋" w:hAnsi="仿宋" w:eastAsia="仿宋"/>
          <w:color w:val="000000"/>
          <w:sz w:val="32"/>
          <w:szCs w:val="32"/>
        </w:rPr>
        <w:t>万元、差旅费</w:t>
      </w:r>
      <w:r>
        <w:rPr>
          <w:rFonts w:hint="eastAsia" w:ascii="仿宋" w:hAnsi="仿宋" w:eastAsia="仿宋"/>
          <w:color w:val="000000"/>
          <w:sz w:val="32"/>
          <w:szCs w:val="32"/>
          <w:lang w:val="en-US" w:eastAsia="zh-CN"/>
        </w:rPr>
        <w:t>0.56</w:t>
      </w:r>
      <w:r>
        <w:rPr>
          <w:rFonts w:hint="eastAsia" w:ascii="仿宋" w:hAnsi="仿宋" w:eastAsia="仿宋"/>
          <w:color w:val="000000"/>
          <w:sz w:val="32"/>
          <w:szCs w:val="32"/>
        </w:rPr>
        <w:t>万元、维修（护）费</w:t>
      </w:r>
      <w:r>
        <w:rPr>
          <w:rFonts w:hint="eastAsia" w:ascii="仿宋" w:hAnsi="仿宋" w:eastAsia="仿宋"/>
          <w:color w:val="000000"/>
          <w:sz w:val="32"/>
          <w:szCs w:val="32"/>
          <w:lang w:val="en-US" w:eastAsia="zh-CN"/>
        </w:rPr>
        <w:t>3.71</w:t>
      </w:r>
      <w:r>
        <w:rPr>
          <w:rFonts w:hint="eastAsia" w:ascii="仿宋" w:hAnsi="仿宋" w:eastAsia="仿宋"/>
          <w:color w:val="000000"/>
          <w:sz w:val="32"/>
          <w:szCs w:val="32"/>
        </w:rPr>
        <w:t>万元、租赁费</w:t>
      </w:r>
      <w:r>
        <w:rPr>
          <w:rFonts w:hint="eastAsia" w:ascii="仿宋" w:hAnsi="仿宋" w:eastAsia="仿宋"/>
          <w:color w:val="000000"/>
          <w:sz w:val="32"/>
          <w:szCs w:val="32"/>
          <w:lang w:val="en-US" w:eastAsia="zh-CN"/>
        </w:rPr>
        <w:t>2.84</w:t>
      </w:r>
      <w:r>
        <w:rPr>
          <w:rFonts w:hint="eastAsia" w:ascii="仿宋" w:hAnsi="仿宋" w:eastAsia="仿宋"/>
          <w:color w:val="000000"/>
          <w:sz w:val="32"/>
          <w:szCs w:val="32"/>
        </w:rPr>
        <w:t>万元、会议费培训费</w:t>
      </w:r>
      <w:r>
        <w:rPr>
          <w:rFonts w:hint="eastAsia" w:ascii="仿宋" w:hAnsi="仿宋" w:eastAsia="仿宋"/>
          <w:color w:val="000000"/>
          <w:sz w:val="32"/>
          <w:szCs w:val="32"/>
          <w:lang w:val="en-US" w:eastAsia="zh-CN"/>
        </w:rPr>
        <w:t>1.52</w:t>
      </w:r>
      <w:r>
        <w:rPr>
          <w:rFonts w:hint="eastAsia" w:ascii="仿宋" w:hAnsi="仿宋" w:eastAsia="仿宋"/>
          <w:color w:val="000000"/>
          <w:sz w:val="32"/>
          <w:szCs w:val="32"/>
        </w:rPr>
        <w:t>万元、公务接待费</w:t>
      </w:r>
      <w:r>
        <w:rPr>
          <w:rFonts w:hint="eastAsia" w:ascii="仿宋" w:hAnsi="仿宋" w:eastAsia="仿宋"/>
          <w:color w:val="000000"/>
          <w:sz w:val="32"/>
          <w:szCs w:val="32"/>
          <w:lang w:val="en-US" w:eastAsia="zh-CN"/>
        </w:rPr>
        <w:t>3.58</w:t>
      </w:r>
      <w:r>
        <w:rPr>
          <w:rFonts w:hint="eastAsia" w:ascii="仿宋" w:hAnsi="仿宋" w:eastAsia="仿宋"/>
          <w:color w:val="000000"/>
          <w:sz w:val="32"/>
          <w:szCs w:val="32"/>
        </w:rPr>
        <w:t>万元、劳务费</w:t>
      </w:r>
      <w:r>
        <w:rPr>
          <w:rFonts w:hint="eastAsia" w:ascii="仿宋" w:hAnsi="仿宋" w:eastAsia="仿宋"/>
          <w:color w:val="000000"/>
          <w:sz w:val="32"/>
          <w:szCs w:val="32"/>
          <w:lang w:val="en-US" w:eastAsia="zh-CN"/>
        </w:rPr>
        <w:t>5.52</w:t>
      </w:r>
      <w:r>
        <w:rPr>
          <w:rFonts w:hint="eastAsia" w:ascii="仿宋" w:hAnsi="仿宋" w:eastAsia="仿宋"/>
          <w:color w:val="000000"/>
          <w:sz w:val="32"/>
          <w:szCs w:val="32"/>
        </w:rPr>
        <w:t>万元、工会经费</w:t>
      </w:r>
      <w:r>
        <w:rPr>
          <w:rFonts w:hint="eastAsia" w:ascii="仿宋" w:hAnsi="仿宋" w:eastAsia="仿宋"/>
          <w:color w:val="000000"/>
          <w:sz w:val="32"/>
          <w:szCs w:val="32"/>
          <w:lang w:val="en-US" w:eastAsia="zh-CN"/>
        </w:rPr>
        <w:t>13.05</w:t>
      </w:r>
      <w:r>
        <w:rPr>
          <w:rFonts w:hint="eastAsia" w:ascii="仿宋" w:hAnsi="仿宋" w:eastAsia="仿宋"/>
          <w:color w:val="000000"/>
          <w:sz w:val="32"/>
          <w:szCs w:val="32"/>
        </w:rPr>
        <w:t>万元、其他交通费</w:t>
      </w:r>
      <w:r>
        <w:rPr>
          <w:rFonts w:hint="eastAsia" w:ascii="仿宋" w:hAnsi="仿宋" w:eastAsia="仿宋"/>
          <w:color w:val="000000"/>
          <w:sz w:val="32"/>
          <w:szCs w:val="32"/>
          <w:lang w:val="en-US" w:eastAsia="zh-CN"/>
        </w:rPr>
        <w:t>26.81</w:t>
      </w:r>
      <w:r>
        <w:rPr>
          <w:rFonts w:hint="eastAsia" w:ascii="仿宋" w:hAnsi="仿宋" w:eastAsia="仿宋"/>
          <w:color w:val="000000"/>
          <w:sz w:val="32"/>
          <w:szCs w:val="32"/>
        </w:rPr>
        <w:t>万元、其他商品和服务支出</w:t>
      </w:r>
      <w:r>
        <w:rPr>
          <w:rFonts w:hint="eastAsia" w:ascii="仿宋" w:hAnsi="仿宋" w:eastAsia="仿宋"/>
          <w:color w:val="000000"/>
          <w:sz w:val="32"/>
          <w:szCs w:val="32"/>
          <w:lang w:val="en-US" w:eastAsia="zh-CN"/>
        </w:rPr>
        <w:t>17.77</w:t>
      </w:r>
      <w:r>
        <w:rPr>
          <w:rFonts w:hint="eastAsia" w:ascii="仿宋" w:hAnsi="仿宋" w:eastAsia="仿宋"/>
          <w:color w:val="000000"/>
          <w:sz w:val="32"/>
          <w:szCs w:val="32"/>
        </w:rPr>
        <w:t>万元、办公设备购置</w:t>
      </w:r>
      <w:r>
        <w:rPr>
          <w:rFonts w:hint="eastAsia" w:ascii="仿宋" w:hAnsi="仿宋" w:eastAsia="仿宋"/>
          <w:color w:val="000000"/>
          <w:sz w:val="32"/>
          <w:szCs w:val="32"/>
          <w:lang w:val="en-US" w:eastAsia="zh-CN"/>
        </w:rPr>
        <w:t>1.67</w:t>
      </w:r>
      <w:r>
        <w:rPr>
          <w:rFonts w:hint="eastAsia" w:ascii="仿宋" w:hAnsi="仿宋" w:eastAsia="仿宋"/>
          <w:color w:val="000000"/>
          <w:sz w:val="32"/>
          <w:szCs w:val="32"/>
        </w:rPr>
        <w:t>万元。</w:t>
      </w:r>
    </w:p>
    <w:p>
      <w:pPr>
        <w:spacing w:line="600" w:lineRule="exact"/>
        <w:ind w:firstLine="640"/>
        <w:outlineLvl w:val="1"/>
        <w:rPr>
          <w:rStyle w:val="26"/>
          <w:rFonts w:ascii="黑体" w:hAnsi="黑体" w:eastAsia="黑体"/>
          <w:b w:val="0"/>
        </w:rPr>
      </w:pPr>
      <w:bookmarkStart w:id="40" w:name="_Toc15396609"/>
      <w:bookmarkStart w:id="41"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0"/>
      <w:bookmarkEnd w:id="41"/>
    </w:p>
    <w:p>
      <w:pPr>
        <w:spacing w:line="600" w:lineRule="exact"/>
        <w:ind w:firstLine="640"/>
        <w:outlineLvl w:val="2"/>
        <w:rPr>
          <w:rFonts w:ascii="仿宋" w:hAnsi="仿宋" w:eastAsia="仿宋"/>
          <w:b/>
          <w:color w:val="000000"/>
          <w:sz w:val="32"/>
          <w:szCs w:val="32"/>
        </w:rPr>
      </w:pPr>
      <w:bookmarkStart w:id="42" w:name="_Toc15377216"/>
      <w:r>
        <w:rPr>
          <w:rFonts w:hint="eastAsia" w:ascii="仿宋" w:hAnsi="仿宋" w:eastAsia="仿宋"/>
          <w:b/>
          <w:color w:val="000000"/>
          <w:sz w:val="32"/>
          <w:szCs w:val="32"/>
        </w:rPr>
        <w:t>（一）“三公”经费财政拨款支出决算总体情况说明</w:t>
      </w:r>
      <w:bookmarkEnd w:id="4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8年“三公”经费财政拨款支出决算为3.58万元，完成预算100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3" w:name="_Toc15377217"/>
      <w:r>
        <w:rPr>
          <w:rFonts w:hint="eastAsia" w:ascii="仿宋" w:hAnsi="仿宋" w:eastAsia="仿宋"/>
          <w:b/>
          <w:color w:val="000000"/>
          <w:sz w:val="32"/>
          <w:szCs w:val="32"/>
        </w:rPr>
        <w:t>（二）“三公”经费财政拨款支出决算具体情况说明</w:t>
      </w:r>
      <w:bookmarkEnd w:id="43"/>
    </w:p>
    <w:p>
      <w:pPr>
        <w:spacing w:line="578" w:lineRule="exact"/>
        <w:rPr>
          <w:rFonts w:hint="eastAsia" w:ascii="仿宋" w:hAnsi="仿宋" w:eastAsia="仿宋" w:cs="仿宋"/>
          <w:sz w:val="32"/>
          <w:szCs w:val="32"/>
        </w:rPr>
      </w:pPr>
      <w:r>
        <w:rPr>
          <w:rFonts w:hint="eastAsia" w:ascii="仿宋" w:hAnsi="仿宋" w:eastAsia="仿宋" w:cs="仿宋"/>
          <w:sz w:val="32"/>
          <w:szCs w:val="32"/>
        </w:rPr>
        <w:t>2018年度“三公”经费财政拨款支出决算中，公务接待费支出决算3.58万元，占100%。具体情况如下：1.公务用车购置及运行维护费支出0万元。2.因公出国费用支出0万元。</w:t>
      </w:r>
    </w:p>
    <w:p>
      <w:pPr>
        <w:spacing w:line="578" w:lineRule="exact"/>
        <w:rPr>
          <w:rFonts w:hint="eastAsia" w:ascii="仿宋" w:hAnsi="仿宋" w:eastAsia="仿宋" w:cs="仿宋"/>
          <w:sz w:val="32"/>
          <w:szCs w:val="32"/>
        </w:rPr>
      </w:pPr>
      <w:r>
        <w:rPr>
          <w:rFonts w:hint="eastAsia" w:ascii="仿宋" w:hAnsi="仿宋" w:eastAsia="仿宋" w:cs="仿宋"/>
          <w:sz w:val="32"/>
          <w:szCs w:val="32"/>
        </w:rPr>
        <w:t>3.公务接待费支出3.58万元。主要用于执行公务、开展业务活动开支的交通费、住宿费、用餐费等。公务接待费支出决算比2017年减少0.13万元，下降3.5%。</w:t>
      </w:r>
    </w:p>
    <w:p>
      <w:pPr>
        <w:spacing w:line="600" w:lineRule="exact"/>
        <w:ind w:firstLine="640"/>
        <w:outlineLvl w:val="1"/>
        <w:rPr>
          <w:rStyle w:val="26"/>
          <w:rFonts w:ascii="黑体" w:hAnsi="黑体" w:eastAsia="黑体"/>
        </w:rPr>
      </w:pPr>
      <w:bookmarkStart w:id="44" w:name="_Toc15396610"/>
      <w:bookmarkStart w:id="45" w:name="_Toc15377218"/>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8年政府性基金预算拨款支出120万元。</w:t>
      </w:r>
    </w:p>
    <w:p>
      <w:pPr>
        <w:spacing w:line="600" w:lineRule="exact"/>
        <w:ind w:firstLine="640" w:firstLineChars="200"/>
        <w:outlineLvl w:val="1"/>
        <w:rPr>
          <w:rStyle w:val="26"/>
          <w:rFonts w:ascii="黑体" w:hAnsi="黑体" w:eastAsia="黑体"/>
          <w:b w:val="0"/>
        </w:rPr>
      </w:pPr>
      <w:bookmarkStart w:id="46" w:name="_Toc15377219"/>
      <w:bookmarkStart w:id="47" w:name="_Toc15396611"/>
      <w:r>
        <w:rPr>
          <w:rFonts w:hint="eastAsia" w:ascii="黑体" w:eastAsia="黑体"/>
          <w:color w:val="000000"/>
          <w:sz w:val="32"/>
          <w:szCs w:val="32"/>
        </w:rPr>
        <w:t>九、</w:t>
      </w:r>
      <w:r>
        <w:rPr>
          <w:rStyle w:val="26"/>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无</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根据预算绩效管理要求，</w:t>
      </w:r>
      <w:r>
        <w:rPr>
          <w:rFonts w:hint="eastAsia" w:ascii="方正小标宋简体" w:hAnsi="宋体" w:eastAsia="方正小标宋简体"/>
          <w:color w:val="000000"/>
          <w:sz w:val="28"/>
          <w:szCs w:val="28"/>
        </w:rPr>
        <w:t>四川省达州市达川区委组织部</w:t>
      </w:r>
      <w:r>
        <w:rPr>
          <w:rFonts w:hint="eastAsia" w:ascii="仿宋" w:hAnsi="仿宋" w:eastAsia="仿宋" w:cs="仿宋_GB2312"/>
          <w:sz w:val="32"/>
          <w:szCs w:val="32"/>
        </w:rPr>
        <w:t>在年初预算编制阶段，</w:t>
      </w:r>
      <w:r>
        <w:rPr>
          <w:rFonts w:hint="eastAsia" w:ascii="仿宋_GB2312" w:hAnsi="仿宋_GB2312" w:eastAsia="仿宋_GB2312" w:cs="仿宋_GB2312"/>
          <w:color w:val="auto"/>
          <w:sz w:val="32"/>
          <w:szCs w:val="32"/>
        </w:rPr>
        <w:t>本部门在2018年度部门决算中反映“一般公共服务支出”</w:t>
      </w:r>
      <w:r>
        <w:rPr>
          <w:rFonts w:hint="eastAsia" w:ascii="仿宋_GB2312" w:hAnsi="仿宋_GB2312" w:eastAsia="仿宋_GB2312" w:cs="仿宋_GB2312"/>
          <w:color w:val="auto"/>
          <w:sz w:val="32"/>
          <w:szCs w:val="32"/>
          <w:lang w:eastAsia="zh-CN"/>
        </w:rPr>
        <w:t>的项目支出</w:t>
      </w:r>
      <w:r>
        <w:rPr>
          <w:rFonts w:hint="eastAsia" w:ascii="仿宋_GB2312" w:hAnsi="仿宋_GB2312" w:eastAsia="仿宋_GB2312" w:cs="仿宋_GB2312"/>
          <w:color w:val="auto"/>
          <w:sz w:val="32"/>
          <w:szCs w:val="32"/>
          <w:lang w:val="en-US" w:eastAsia="zh-CN"/>
        </w:rPr>
        <w:t>1828.89万元</w:t>
      </w:r>
      <w:r>
        <w:rPr>
          <w:rFonts w:hint="eastAsia" w:ascii="仿宋_GB2312" w:hAnsi="仿宋_GB2312" w:eastAsia="仿宋_GB2312" w:cs="仿宋_GB2312"/>
          <w:color w:val="auto"/>
          <w:sz w:val="32"/>
          <w:szCs w:val="32"/>
          <w:lang w:eastAsia="zh-CN"/>
        </w:rPr>
        <w:t>中：党员干部培训</w:t>
      </w:r>
      <w:r>
        <w:rPr>
          <w:rFonts w:hint="eastAsia" w:ascii="仿宋_GB2312" w:hAnsi="仿宋_GB2312" w:eastAsia="仿宋_GB2312" w:cs="仿宋_GB2312"/>
          <w:color w:val="auto"/>
          <w:sz w:val="32"/>
          <w:szCs w:val="32"/>
          <w:lang w:val="en-US" w:eastAsia="zh-CN"/>
        </w:rPr>
        <w:t>669.66万元、</w:t>
      </w:r>
      <w:r>
        <w:rPr>
          <w:rFonts w:hint="eastAsia" w:ascii="仿宋_GB2312" w:hAnsi="仿宋_GB2312" w:eastAsia="仿宋_GB2312" w:cs="仿宋_GB2312"/>
          <w:color w:val="auto"/>
          <w:sz w:val="32"/>
          <w:szCs w:val="32"/>
        </w:rPr>
        <w:t>基层组织建设</w:t>
      </w:r>
      <w:r>
        <w:rPr>
          <w:rFonts w:hint="eastAsia" w:ascii="仿宋_GB2312" w:hAnsi="仿宋_GB2312" w:eastAsia="仿宋_GB2312" w:cs="仿宋_GB2312"/>
          <w:color w:val="auto"/>
          <w:sz w:val="32"/>
          <w:szCs w:val="32"/>
          <w:lang w:val="en-US" w:eastAsia="zh-CN"/>
        </w:rPr>
        <w:t>127.51万元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农村党员干部电化教育工作经费</w:t>
      </w:r>
      <w:r>
        <w:rPr>
          <w:rFonts w:hint="eastAsia" w:ascii="仿宋_GB2312" w:hAnsi="仿宋_GB2312" w:eastAsia="仿宋_GB2312" w:cs="仿宋_GB2312"/>
          <w:color w:val="auto"/>
          <w:sz w:val="32"/>
          <w:szCs w:val="32"/>
          <w:lang w:val="en-US" w:eastAsia="zh-CN"/>
        </w:rPr>
        <w:t>92.62万元</w:t>
      </w:r>
      <w:r>
        <w:rPr>
          <w:rFonts w:hint="eastAsia" w:ascii="仿宋_GB2312" w:hAnsi="仿宋_GB2312" w:eastAsia="仿宋_GB2312" w:cs="仿宋_GB2312"/>
          <w:color w:val="auto"/>
          <w:sz w:val="32"/>
          <w:szCs w:val="32"/>
          <w:lang w:eastAsia="zh-CN"/>
        </w:rPr>
        <w:t>、</w:t>
      </w:r>
      <w:r>
        <w:rPr>
          <w:rFonts w:hint="eastAsia" w:ascii="仿宋" w:hAnsi="仿宋" w:eastAsia="仿宋" w:cs="仿宋_GB2312"/>
          <w:sz w:val="32"/>
          <w:szCs w:val="32"/>
        </w:rPr>
        <w:t>党内救助资金</w:t>
      </w:r>
      <w:r>
        <w:rPr>
          <w:rFonts w:hint="eastAsia" w:ascii="仿宋" w:hAnsi="仿宋" w:eastAsia="仿宋" w:cs="仿宋_GB2312"/>
          <w:sz w:val="32"/>
          <w:szCs w:val="32"/>
          <w:lang w:val="en-US" w:eastAsia="zh-CN"/>
        </w:rPr>
        <w:t>190</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基层党建补助资金村集体216</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lang w:eastAsia="zh-CN"/>
        </w:rPr>
        <w:t>、党建示范带建设</w:t>
      </w:r>
      <w:r>
        <w:rPr>
          <w:rFonts w:hint="eastAsia" w:ascii="仿宋_GB2312" w:hAnsi="仿宋_GB2312" w:eastAsia="仿宋_GB2312" w:cs="仿宋_GB2312"/>
          <w:color w:val="auto"/>
          <w:sz w:val="32"/>
          <w:szCs w:val="32"/>
          <w:lang w:val="en-US" w:eastAsia="zh-CN"/>
        </w:rPr>
        <w:t>165万元、</w:t>
      </w:r>
      <w:r>
        <w:rPr>
          <w:rFonts w:hint="eastAsia" w:ascii="仿宋_GB2312" w:hAnsi="仿宋_GB2312" w:eastAsia="仿宋_GB2312" w:cs="仿宋_GB2312"/>
          <w:color w:val="auto"/>
          <w:sz w:val="32"/>
          <w:szCs w:val="32"/>
        </w:rPr>
        <w:t>党建示范点建设</w:t>
      </w:r>
      <w:r>
        <w:rPr>
          <w:rFonts w:hint="eastAsia" w:ascii="仿宋_GB2312" w:hAnsi="仿宋_GB2312" w:eastAsia="仿宋_GB2312" w:cs="仿宋_GB2312"/>
          <w:color w:val="auto"/>
          <w:sz w:val="32"/>
          <w:szCs w:val="32"/>
          <w:lang w:val="en-US" w:eastAsia="zh-CN"/>
        </w:rPr>
        <w:t>114万元</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lang w:eastAsia="zh-CN"/>
        </w:rPr>
        <w:t>项目资金均实现了目标绩效管理，都取得了重要成效，</w:t>
      </w:r>
      <w:r>
        <w:rPr>
          <w:rFonts w:hint="eastAsia" w:ascii="仿宋_GB2312" w:hAnsi="仿宋_GB2312" w:eastAsia="仿宋_GB2312" w:cs="仿宋_GB2312"/>
          <w:sz w:val="32"/>
          <w:szCs w:val="32"/>
        </w:rPr>
        <w:t>下一步改进措施：</w:t>
      </w:r>
      <w:r>
        <w:rPr>
          <w:rFonts w:hint="eastAsia" w:ascii="仿宋" w:hAnsi="仿宋" w:eastAsia="仿宋" w:cs="仿宋"/>
          <w:sz w:val="32"/>
          <w:szCs w:val="32"/>
          <w:lang w:val="zh-CN"/>
        </w:rPr>
        <w:t>在以后年度预算绩效申报时，在财务部门的配合下，将全年工作任务细化分解为具体的工作目标，并尽量采取定量的方式制定清晰、可衡量的绩效指标</w:t>
      </w:r>
      <w:r>
        <w:rPr>
          <w:rFonts w:hint="eastAsia" w:ascii="仿宋" w:hAnsi="仿宋" w:eastAsia="仿宋" w:cs="仿宋"/>
          <w:sz w:val="32"/>
          <w:szCs w:val="32"/>
          <w:lang w:val="en-US" w:eastAsia="zh-CN"/>
        </w:rPr>
        <w:t>,注重资金使用的效果</w:t>
      </w:r>
      <w:r>
        <w:rPr>
          <w:rFonts w:hint="eastAsia" w:ascii="方正仿宋简体" w:hAnsi="宋体" w:eastAsia="方正仿宋简体"/>
          <w:sz w:val="32"/>
          <w:szCs w:val="32"/>
          <w:lang w:val="zh-CN"/>
        </w:rPr>
        <w:t>。</w:t>
      </w:r>
    </w:p>
    <w:p>
      <w:pPr>
        <w:spacing w:line="578" w:lineRule="exact"/>
        <w:ind w:firstLine="640"/>
        <w:rPr>
          <w:rFonts w:ascii="仿宋" w:hAnsi="仿宋" w:eastAsia="仿宋"/>
          <w:sz w:val="32"/>
          <w:szCs w:val="32"/>
        </w:rPr>
      </w:pPr>
      <w:r>
        <w:rPr>
          <w:rFonts w:hint="eastAsia" w:ascii="仿宋" w:hAnsi="仿宋" w:eastAsia="仿宋" w:cs="仿宋_GB2312"/>
          <w:sz w:val="32"/>
          <w:szCs w:val="32"/>
        </w:rPr>
        <w:t>本部门按要求对2018年部门整体支出开展绩效自评，从评价情况来看通</w:t>
      </w:r>
      <w:r>
        <w:rPr>
          <w:rFonts w:ascii="仿宋" w:hAnsi="仿宋" w:eastAsia="仿宋" w:cs="仿宋_GB2312"/>
          <w:sz w:val="32"/>
          <w:szCs w:val="32"/>
        </w:rPr>
        <w:t>过</w:t>
      </w:r>
      <w:r>
        <w:rPr>
          <w:rFonts w:hint="eastAsia" w:ascii="仿宋" w:hAnsi="仿宋" w:eastAsia="仿宋" w:cs="仿宋_GB2312"/>
          <w:sz w:val="32"/>
          <w:szCs w:val="32"/>
        </w:rPr>
        <w:t>以</w:t>
      </w:r>
      <w:r>
        <w:rPr>
          <w:rFonts w:ascii="仿宋" w:hAnsi="仿宋" w:eastAsia="仿宋" w:cs="仿宋_GB2312"/>
          <w:sz w:val="32"/>
          <w:szCs w:val="32"/>
        </w:rPr>
        <w:t>上经费的保</w:t>
      </w:r>
      <w:r>
        <w:rPr>
          <w:rFonts w:hint="eastAsia" w:ascii="仿宋" w:hAnsi="仿宋" w:eastAsia="仿宋" w:cs="仿宋_GB2312"/>
          <w:sz w:val="32"/>
          <w:szCs w:val="32"/>
        </w:rPr>
        <w:t>障顺</w:t>
      </w:r>
      <w:r>
        <w:rPr>
          <w:rFonts w:ascii="仿宋" w:hAnsi="仿宋" w:eastAsia="仿宋" w:cs="仿宋_GB2312"/>
          <w:sz w:val="32"/>
          <w:szCs w:val="32"/>
        </w:rPr>
        <w:t>利完</w:t>
      </w:r>
      <w:r>
        <w:rPr>
          <w:rFonts w:hint="eastAsia" w:ascii="仿宋" w:hAnsi="仿宋" w:eastAsia="仿宋" w:cs="仿宋_GB2312"/>
          <w:sz w:val="32"/>
          <w:szCs w:val="32"/>
        </w:rPr>
        <w:t>成</w:t>
      </w:r>
      <w:r>
        <w:rPr>
          <w:rFonts w:ascii="仿宋" w:hAnsi="仿宋" w:eastAsia="仿宋" w:cs="仿宋_GB2312"/>
          <w:sz w:val="32"/>
          <w:szCs w:val="32"/>
        </w:rPr>
        <w:t>全年</w:t>
      </w:r>
      <w:r>
        <w:rPr>
          <w:rFonts w:hint="eastAsia" w:ascii="仿宋" w:hAnsi="仿宋" w:eastAsia="仿宋" w:cs="仿宋_GB2312"/>
          <w:sz w:val="32"/>
          <w:szCs w:val="32"/>
        </w:rPr>
        <w:t>年初</w:t>
      </w:r>
      <w:r>
        <w:rPr>
          <w:rFonts w:ascii="仿宋" w:hAnsi="仿宋" w:eastAsia="仿宋" w:cs="仿宋_GB2312"/>
          <w:sz w:val="32"/>
          <w:szCs w:val="32"/>
        </w:rPr>
        <w:t>既定的目标任务</w:t>
      </w:r>
      <w:r>
        <w:rPr>
          <w:rFonts w:hint="eastAsia" w:ascii="仿宋" w:hAnsi="仿宋" w:eastAsia="仿宋" w:cs="仿宋_GB2312"/>
          <w:sz w:val="32"/>
          <w:szCs w:val="32"/>
        </w:rPr>
        <w:t>，</w:t>
      </w:r>
      <w:r>
        <w:rPr>
          <w:rFonts w:ascii="仿宋" w:hAnsi="仿宋" w:eastAsia="仿宋"/>
          <w:sz w:val="32"/>
          <w:szCs w:val="32"/>
        </w:rPr>
        <w:t>充分发挥</w:t>
      </w:r>
      <w:r>
        <w:rPr>
          <w:rFonts w:hint="eastAsia" w:ascii="仿宋" w:hAnsi="仿宋" w:eastAsia="仿宋"/>
          <w:sz w:val="32"/>
          <w:szCs w:val="32"/>
        </w:rPr>
        <w:t>了</w:t>
      </w:r>
      <w:r>
        <w:rPr>
          <w:rFonts w:ascii="仿宋" w:hAnsi="仿宋" w:eastAsia="仿宋"/>
          <w:sz w:val="32"/>
          <w:szCs w:val="32"/>
        </w:rPr>
        <w:t>综合协调、参谋助手、督促检查、保障服务等职能作用，不断推进</w:t>
      </w:r>
      <w:r>
        <w:rPr>
          <w:rFonts w:hint="eastAsia" w:ascii="仿宋" w:hAnsi="仿宋" w:eastAsia="仿宋"/>
          <w:sz w:val="32"/>
          <w:szCs w:val="32"/>
          <w:lang w:eastAsia="zh-CN"/>
        </w:rPr>
        <w:t>我部</w:t>
      </w:r>
      <w:r>
        <w:rPr>
          <w:rFonts w:ascii="仿宋" w:hAnsi="仿宋" w:eastAsia="仿宋"/>
          <w:sz w:val="32"/>
          <w:szCs w:val="32"/>
        </w:rPr>
        <w:t>整体工作再上新台阶。</w:t>
      </w:r>
    </w:p>
    <w:p>
      <w:pPr>
        <w:numPr>
          <w:ilvl w:val="0"/>
          <w:numId w:val="0"/>
        </w:numPr>
        <w:spacing w:line="580" w:lineRule="exact"/>
        <w:ind w:firstLine="643" w:firstLineChars="200"/>
        <w:rPr>
          <w:rFonts w:hint="eastAsia" w:ascii="仿宋_GB2312" w:hAnsi="仿宋_GB2312" w:eastAsia="仿宋_GB2312" w:cs="仿宋_GB2312"/>
          <w:color w:val="0000FF"/>
          <w:sz w:val="32"/>
          <w:szCs w:val="32"/>
        </w:rPr>
      </w:pPr>
      <w:r>
        <w:rPr>
          <w:rFonts w:hint="eastAsia" w:ascii="仿宋" w:hAnsi="仿宋" w:eastAsia="仿宋" w:cs="楷体_GB2312"/>
          <w:b/>
          <w:bCs/>
          <w:sz w:val="32"/>
          <w:szCs w:val="32"/>
          <w:lang w:val="en-US" w:eastAsia="zh-CN"/>
        </w:rPr>
        <w:t>2、</w:t>
      </w:r>
      <w:r>
        <w:rPr>
          <w:rFonts w:hint="eastAsia" w:ascii="仿宋" w:hAnsi="仿宋" w:eastAsia="仿宋" w:cs="楷体_GB2312"/>
          <w:b/>
          <w:bCs/>
          <w:sz w:val="32"/>
          <w:szCs w:val="32"/>
        </w:rPr>
        <w:t>项目绩效目标完成情况。</w:t>
      </w:r>
    </w:p>
    <w:tbl>
      <w:tblPr>
        <w:tblStyle w:val="16"/>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ascii="宋体" w:hAnsi="宋体" w:cs="宋体"/>
                <w:color w:val="auto"/>
                <w:sz w:val="36"/>
                <w:szCs w:val="36"/>
              </w:rPr>
            </w:pPr>
            <w:r>
              <w:rPr>
                <w:rFonts w:hint="eastAsia" w:ascii="黑体" w:hAnsi="黑体" w:eastAsia="黑体" w:cs="宋体"/>
                <w:bCs/>
                <w:color w:val="auto"/>
                <w:kern w:val="0"/>
                <w:sz w:val="36"/>
                <w:szCs w:val="36"/>
              </w:rPr>
              <w:t>项目支出绩效目标完成情况表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党内救助资金</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center"/>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rPr>
              <w:t>四川省达州市达川区委组织部</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190</w:t>
            </w:r>
            <w:r>
              <w:rPr>
                <w:rFonts w:hint="eastAsia" w:ascii="方正仿宋_GBK" w:hAnsi="方正仿宋_GBK" w:eastAsia="方正仿宋_GBK" w:cs="方正仿宋_GBK"/>
                <w:color w:val="auto"/>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190</w:t>
            </w:r>
            <w:r>
              <w:rPr>
                <w:rFonts w:hint="eastAsia" w:ascii="方正仿宋_GBK" w:hAnsi="方正仿宋_GBK" w:eastAsia="方正仿宋_GBK" w:cs="方正仿宋_GBK"/>
                <w:color w:val="auto"/>
                <w:sz w:val="24"/>
                <w:szCs w:val="24"/>
              </w:rPr>
              <w:t>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190</w:t>
            </w:r>
            <w:r>
              <w:rPr>
                <w:rFonts w:hint="eastAsia" w:ascii="方正仿宋_GBK" w:hAnsi="方正仿宋_GBK" w:eastAsia="方正仿宋_GBK" w:cs="方正仿宋_GBK"/>
                <w:color w:val="auto"/>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190</w:t>
            </w:r>
            <w:r>
              <w:rPr>
                <w:rFonts w:hint="eastAsia" w:ascii="方正仿宋_GBK" w:hAnsi="方正仿宋_GBK" w:eastAsia="方正仿宋_GBK" w:cs="方正仿宋_GBK"/>
                <w:color w:val="auto"/>
                <w:sz w:val="24"/>
                <w:szCs w:val="24"/>
              </w:rPr>
              <w:t>万元</w:t>
            </w:r>
          </w:p>
        </w:tc>
      </w:tr>
      <w:tr>
        <w:tblPrEx>
          <w:tblLayout w:type="fixed"/>
          <w:tblCellMar>
            <w:top w:w="0" w:type="dxa"/>
            <w:left w:w="0" w:type="dxa"/>
            <w:bottom w:w="0" w:type="dxa"/>
            <w:right w:w="0" w:type="dxa"/>
          </w:tblCellMar>
        </w:tblPrEx>
        <w:trPr>
          <w:trHeight w:val="36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kern w:val="0"/>
                <w:sz w:val="24"/>
                <w:szCs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方正仿宋_GBK" w:hAnsi="方正仿宋_GBK" w:eastAsia="方正仿宋_GBK" w:cs="方正仿宋_GBK"/>
                <w:color w:val="auto"/>
                <w:sz w:val="24"/>
                <w:szCs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i w:val="0"/>
                <w:caps w:val="0"/>
                <w:color w:val="auto"/>
                <w:spacing w:val="0"/>
                <w:sz w:val="24"/>
                <w:szCs w:val="24"/>
                <w:shd w:val="clear" w:fill="FFFFFF"/>
                <w:lang w:eastAsia="zh-CN"/>
              </w:rPr>
              <w:t>在党员疾病、自然灾害等</w:t>
            </w:r>
            <w:r>
              <w:rPr>
                <w:rFonts w:hint="eastAsia" w:ascii="方正仿宋_GBK" w:hAnsi="方正仿宋_GBK" w:eastAsia="方正仿宋_GBK" w:cs="方正仿宋_GBK"/>
                <w:i w:val="0"/>
                <w:caps w:val="0"/>
                <w:color w:val="auto"/>
                <w:spacing w:val="0"/>
                <w:sz w:val="24"/>
                <w:szCs w:val="24"/>
                <w:shd w:val="clear" w:fill="FFFFFF"/>
              </w:rPr>
              <w:t>突发事件</w:t>
            </w:r>
            <w:r>
              <w:rPr>
                <w:rFonts w:hint="eastAsia" w:ascii="方正仿宋_GBK" w:hAnsi="方正仿宋_GBK" w:eastAsia="方正仿宋_GBK" w:cs="方正仿宋_GBK"/>
                <w:i w:val="0"/>
                <w:caps w:val="0"/>
                <w:color w:val="auto"/>
                <w:spacing w:val="0"/>
                <w:sz w:val="24"/>
                <w:szCs w:val="24"/>
                <w:shd w:val="clear" w:fill="FFFFFF"/>
                <w:lang w:eastAsia="zh-CN"/>
              </w:rPr>
              <w:t>发生时进行救助</w:t>
            </w:r>
            <w:r>
              <w:rPr>
                <w:rFonts w:hint="eastAsia" w:ascii="方正仿宋_GBK" w:hAnsi="方正仿宋_GBK" w:eastAsia="方正仿宋_GBK" w:cs="方正仿宋_GBK"/>
                <w:i w:val="0"/>
                <w:caps w:val="0"/>
                <w:color w:val="auto"/>
                <w:spacing w:val="0"/>
                <w:sz w:val="24"/>
                <w:szCs w:val="24"/>
                <w:shd w:val="clear" w:fill="FFFFFF"/>
              </w:rPr>
              <w:t>，让困难</w:t>
            </w:r>
            <w:r>
              <w:rPr>
                <w:rFonts w:hint="eastAsia" w:ascii="方正仿宋_GBK" w:hAnsi="方正仿宋_GBK" w:eastAsia="方正仿宋_GBK" w:cs="方正仿宋_GBK"/>
                <w:i w:val="0"/>
                <w:caps w:val="0"/>
                <w:color w:val="auto"/>
                <w:spacing w:val="0"/>
                <w:sz w:val="24"/>
                <w:szCs w:val="24"/>
                <w:shd w:val="clear" w:fill="FFFFFF"/>
                <w:lang w:eastAsia="zh-CN"/>
              </w:rPr>
              <w:t>党员</w:t>
            </w:r>
            <w:r>
              <w:rPr>
                <w:rFonts w:hint="eastAsia" w:ascii="方正仿宋_GBK" w:hAnsi="方正仿宋_GBK" w:eastAsia="方正仿宋_GBK" w:cs="方正仿宋_GBK"/>
                <w:i w:val="0"/>
                <w:caps w:val="0"/>
                <w:color w:val="auto"/>
                <w:spacing w:val="0"/>
                <w:sz w:val="24"/>
                <w:szCs w:val="24"/>
                <w:shd w:val="clear" w:fill="FFFFFF"/>
              </w:rPr>
              <w:t>感受到</w:t>
            </w:r>
            <w:r>
              <w:rPr>
                <w:rFonts w:hint="eastAsia" w:ascii="方正仿宋_GBK" w:hAnsi="方正仿宋_GBK" w:eastAsia="方正仿宋_GBK" w:cs="方正仿宋_GBK"/>
                <w:i w:val="0"/>
                <w:caps w:val="0"/>
                <w:color w:val="auto"/>
                <w:spacing w:val="0"/>
                <w:sz w:val="24"/>
                <w:szCs w:val="24"/>
                <w:shd w:val="clear" w:fill="FFFFFF"/>
                <w:lang w:eastAsia="zh-CN"/>
              </w:rPr>
              <w:t>党</w:t>
            </w:r>
            <w:r>
              <w:rPr>
                <w:rFonts w:hint="eastAsia" w:ascii="方正仿宋_GBK" w:hAnsi="方正仿宋_GBK" w:eastAsia="方正仿宋_GBK" w:cs="方正仿宋_GBK"/>
                <w:i w:val="0"/>
                <w:caps w:val="0"/>
                <w:color w:val="auto"/>
                <w:spacing w:val="0"/>
                <w:sz w:val="24"/>
                <w:szCs w:val="24"/>
                <w:shd w:val="clear" w:fill="FFFFFF"/>
              </w:rPr>
              <w:t>的温暖，促进了社会和谐进步</w:t>
            </w:r>
            <w:r>
              <w:rPr>
                <w:rFonts w:hint="eastAsia" w:ascii="方正仿宋_GBK" w:hAnsi="方正仿宋_GBK" w:eastAsia="方正仿宋_GBK" w:cs="方正仿宋_GBK"/>
                <w:i w:val="0"/>
                <w:caps w:val="0"/>
                <w:color w:val="auto"/>
                <w:spacing w:val="0"/>
                <w:sz w:val="24"/>
                <w:szCs w:val="24"/>
                <w:shd w:val="clear" w:fill="FFFFFF"/>
                <w:lang w:eastAsia="zh-CN"/>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i w:val="0"/>
                <w:caps w:val="0"/>
                <w:color w:val="auto"/>
                <w:spacing w:val="0"/>
                <w:sz w:val="24"/>
                <w:szCs w:val="24"/>
                <w:shd w:val="clear" w:fill="FFFFFF"/>
                <w:lang w:eastAsia="zh-CN"/>
              </w:rPr>
              <w:t>在党员疾病、自然灾害等</w:t>
            </w:r>
            <w:r>
              <w:rPr>
                <w:rFonts w:hint="eastAsia" w:ascii="方正仿宋_GBK" w:hAnsi="方正仿宋_GBK" w:eastAsia="方正仿宋_GBK" w:cs="方正仿宋_GBK"/>
                <w:i w:val="0"/>
                <w:caps w:val="0"/>
                <w:color w:val="auto"/>
                <w:spacing w:val="0"/>
                <w:sz w:val="24"/>
                <w:szCs w:val="24"/>
                <w:shd w:val="clear" w:fill="FFFFFF"/>
              </w:rPr>
              <w:t>突发事件</w:t>
            </w:r>
            <w:r>
              <w:rPr>
                <w:rFonts w:hint="eastAsia" w:ascii="方正仿宋_GBK" w:hAnsi="方正仿宋_GBK" w:eastAsia="方正仿宋_GBK" w:cs="方正仿宋_GBK"/>
                <w:i w:val="0"/>
                <w:caps w:val="0"/>
                <w:color w:val="auto"/>
                <w:spacing w:val="0"/>
                <w:sz w:val="24"/>
                <w:szCs w:val="24"/>
                <w:shd w:val="clear" w:fill="FFFFFF"/>
                <w:lang w:eastAsia="zh-CN"/>
              </w:rPr>
              <w:t>发生时进行救助</w:t>
            </w:r>
            <w:r>
              <w:rPr>
                <w:rFonts w:hint="eastAsia" w:ascii="方正仿宋_GBK" w:hAnsi="方正仿宋_GBK" w:eastAsia="方正仿宋_GBK" w:cs="方正仿宋_GBK"/>
                <w:i w:val="0"/>
                <w:caps w:val="0"/>
                <w:color w:val="auto"/>
                <w:spacing w:val="0"/>
                <w:sz w:val="24"/>
                <w:szCs w:val="24"/>
                <w:shd w:val="clear" w:fill="FFFFFF"/>
              </w:rPr>
              <w:t>，让困难</w:t>
            </w:r>
            <w:r>
              <w:rPr>
                <w:rFonts w:hint="eastAsia" w:ascii="方正仿宋_GBK" w:hAnsi="方正仿宋_GBK" w:eastAsia="方正仿宋_GBK" w:cs="方正仿宋_GBK"/>
                <w:i w:val="0"/>
                <w:caps w:val="0"/>
                <w:color w:val="auto"/>
                <w:spacing w:val="0"/>
                <w:sz w:val="24"/>
                <w:szCs w:val="24"/>
                <w:shd w:val="clear" w:fill="FFFFFF"/>
                <w:lang w:eastAsia="zh-CN"/>
              </w:rPr>
              <w:t>党员</w:t>
            </w:r>
            <w:r>
              <w:rPr>
                <w:rFonts w:hint="eastAsia" w:ascii="方正仿宋_GBK" w:hAnsi="方正仿宋_GBK" w:eastAsia="方正仿宋_GBK" w:cs="方正仿宋_GBK"/>
                <w:i w:val="0"/>
                <w:caps w:val="0"/>
                <w:color w:val="auto"/>
                <w:spacing w:val="0"/>
                <w:sz w:val="24"/>
                <w:szCs w:val="24"/>
                <w:shd w:val="clear" w:fill="FFFFFF"/>
              </w:rPr>
              <w:t>感受到</w:t>
            </w:r>
            <w:r>
              <w:rPr>
                <w:rFonts w:hint="eastAsia" w:ascii="方正仿宋_GBK" w:hAnsi="方正仿宋_GBK" w:eastAsia="方正仿宋_GBK" w:cs="方正仿宋_GBK"/>
                <w:i w:val="0"/>
                <w:caps w:val="0"/>
                <w:color w:val="auto"/>
                <w:spacing w:val="0"/>
                <w:sz w:val="24"/>
                <w:szCs w:val="24"/>
                <w:shd w:val="clear" w:fill="FFFFFF"/>
                <w:lang w:eastAsia="zh-CN"/>
              </w:rPr>
              <w:t>党</w:t>
            </w:r>
            <w:r>
              <w:rPr>
                <w:rFonts w:hint="eastAsia" w:ascii="方正仿宋_GBK" w:hAnsi="方正仿宋_GBK" w:eastAsia="方正仿宋_GBK" w:cs="方正仿宋_GBK"/>
                <w:i w:val="0"/>
                <w:caps w:val="0"/>
                <w:color w:val="auto"/>
                <w:spacing w:val="0"/>
                <w:sz w:val="24"/>
                <w:szCs w:val="24"/>
                <w:shd w:val="clear" w:fill="FFFFFF"/>
              </w:rPr>
              <w:t>的温暖，促进了社会和谐进步</w:t>
            </w:r>
            <w:r>
              <w:rPr>
                <w:rFonts w:hint="eastAsia" w:ascii="方正仿宋_GBK" w:hAnsi="方正仿宋_GBK" w:eastAsia="方正仿宋_GBK" w:cs="方正仿宋_GBK"/>
                <w:i w:val="0"/>
                <w:caps w:val="0"/>
                <w:color w:val="auto"/>
                <w:spacing w:val="0"/>
                <w:sz w:val="24"/>
                <w:szCs w:val="24"/>
                <w:shd w:val="clear" w:fill="FFFFFF"/>
                <w:lang w:eastAsia="zh-CN"/>
              </w:rPr>
              <w:t>。</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对困难党员进行救助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每季度研究一批全区上报上来需要救助的困难党员，向他们发放慰问金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每季度研究一批全区上报上来需要救助的困难党员，向他们发放慰问金</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进度、完成率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97%</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2018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群众满意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党员群众感受到了党的温暖和关怀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党员群众感受到了党的温暖和关怀</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代表满意、群众满意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》98%</w:t>
            </w:r>
          </w:p>
        </w:tc>
      </w:tr>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hint="eastAsia" w:ascii="黑体" w:hAnsi="黑体" w:eastAsia="黑体" w:cs="宋体"/>
                <w:bCs/>
                <w:color w:val="auto"/>
                <w:kern w:val="0"/>
                <w:sz w:val="36"/>
                <w:szCs w:val="36"/>
              </w:rPr>
            </w:pPr>
          </w:p>
          <w:p>
            <w:pPr>
              <w:pStyle w:val="30"/>
              <w:widowControl/>
              <w:ind w:left="4173" w:leftChars="1310" w:hanging="1422" w:hangingChars="395"/>
              <w:textAlignment w:val="center"/>
              <w:rPr>
                <w:rFonts w:ascii="宋体" w:hAnsi="宋体" w:cs="宋体"/>
                <w:color w:val="auto"/>
                <w:sz w:val="36"/>
                <w:szCs w:val="36"/>
              </w:rPr>
            </w:pPr>
            <w:r>
              <w:rPr>
                <w:rFonts w:hint="eastAsia" w:ascii="黑体" w:hAnsi="黑体" w:eastAsia="黑体" w:cs="宋体"/>
                <w:bCs/>
                <w:color w:val="auto"/>
                <w:kern w:val="0"/>
                <w:sz w:val="36"/>
                <w:szCs w:val="36"/>
              </w:rPr>
              <w:t>项目支出绩效目标完成情况表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党建示范带建设经费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四川省达州市达川区委组织部</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万</w:t>
            </w:r>
            <w:r>
              <w:rPr>
                <w:rFonts w:hint="eastAsia" w:ascii="方正仿宋_GBK" w:hAnsi="方正仿宋_GBK" w:eastAsia="方正仿宋_GBK" w:cs="方正仿宋_GBK"/>
                <w:color w:val="auto"/>
                <w:sz w:val="24"/>
                <w:szCs w:val="24"/>
              </w:rPr>
              <w:t>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165</w:t>
            </w:r>
            <w:r>
              <w:rPr>
                <w:rFonts w:hint="eastAsia" w:ascii="方正仿宋_GBK" w:hAnsi="方正仿宋_GBK" w:eastAsia="方正仿宋_GBK" w:cs="方正仿宋_GBK"/>
                <w:color w:val="auto"/>
                <w:sz w:val="24"/>
                <w:szCs w:val="24"/>
              </w:rPr>
              <w:t>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上年财政拨款结转</w:t>
            </w:r>
            <w:r>
              <w:rPr>
                <w:rFonts w:hint="eastAsia" w:ascii="方正仿宋_GBK" w:hAnsi="方正仿宋_GBK" w:eastAsia="方正仿宋_GBK" w:cs="方正仿宋_GBK"/>
                <w:color w:val="auto"/>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165万元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建立健全基层党建工作机制，推进党的组织和工作覆盖，抓好典型带动，全面提升基层党建工作整体水平，创新学习载体和方式</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建立健全基层党建工作机制，推进党的组织和工作覆盖，抓好典型带动，全面提升基层党建工作整体水平，创新学习载体和方式</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rPr>
              <w:t>全面提升基层党建工作整体水平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各基层党组织通过党建示范带引领，全区党建水平得到了整体提升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各基层党组织通过党建示范带引领，全区党建水平得到了整体提升</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提高群众满意度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全区党建各项工作扎实推进，成效明显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全区党建各项工作扎实推进，成效明显</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2018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98%</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基层党员群众满意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全区党建各项工作扎实推进，成效明显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全区党建各项工作扎实推进，成效明显</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干部、群众满意度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&gt;95%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&gt;95%</w:t>
            </w:r>
          </w:p>
        </w:tc>
      </w:tr>
    </w:tbl>
    <w:tbl>
      <w:tblPr>
        <w:tblStyle w:val="16"/>
        <w:tblpPr w:leftFromText="180" w:rightFromText="180" w:vertAnchor="text" w:horzAnchor="page" w:tblpX="1065" w:tblpY="1038"/>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ascii="宋体" w:hAnsi="宋体" w:cs="宋体"/>
                <w:color w:val="auto"/>
                <w:sz w:val="36"/>
                <w:szCs w:val="36"/>
              </w:rPr>
            </w:pPr>
            <w:r>
              <w:rPr>
                <w:rFonts w:hint="eastAsia" w:ascii="黑体" w:hAnsi="黑体" w:eastAsia="黑体" w:cs="宋体"/>
                <w:bCs/>
                <w:color w:val="auto"/>
                <w:kern w:val="0"/>
                <w:sz w:val="36"/>
                <w:szCs w:val="36"/>
              </w:rPr>
              <w:t>项目支出绩效目标完成情况表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党建示范点建设经费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四川省达州市达川区委组织部</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114</w:t>
            </w:r>
            <w:r>
              <w:rPr>
                <w:rFonts w:hint="eastAsia" w:ascii="方正仿宋_GBK" w:hAnsi="方正仿宋_GBK" w:eastAsia="方正仿宋_GBK" w:cs="方正仿宋_GBK"/>
                <w:color w:val="auto"/>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114</w:t>
            </w:r>
            <w:r>
              <w:rPr>
                <w:rFonts w:hint="eastAsia" w:ascii="方正仿宋_GBK" w:hAnsi="方正仿宋_GBK" w:eastAsia="方正仿宋_GBK" w:cs="方正仿宋_GBK"/>
                <w:color w:val="auto"/>
                <w:sz w:val="24"/>
                <w:szCs w:val="24"/>
              </w:rPr>
              <w:t>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上年财政拨款结转</w:t>
            </w:r>
            <w:r>
              <w:rPr>
                <w:rFonts w:hint="eastAsia" w:ascii="方正仿宋_GBK" w:hAnsi="方正仿宋_GBK" w:eastAsia="方正仿宋_GBK" w:cs="方正仿宋_GBK"/>
                <w:color w:val="auto"/>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114万元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建立健全基层党建工作机制，推进党的组织和工作覆盖，抓好典型带动，全面提升基层党建工作整体水平，创新学习载体和方式</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建立健全基层党建工作机制，推进党的组织和工作覆盖，抓好典型带动，全面提升基层党建工作整体水平，创新学习载体和方式</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全面提升基层党建工作整体水平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各基层党组织通过党建示范带引领，全区党建水平得到了整体提升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各基层党组织通过党建示范带引领，全区党建水平得到了整体提升</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进度、完成率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97%</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2018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群众满意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全区党建各项工作扎实推进，成效明显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全区党建各项工作扎实推进，成效明显</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代表满意、群众满意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》98%</w:t>
            </w:r>
          </w:p>
        </w:tc>
      </w:tr>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ascii="宋体" w:hAnsi="宋体" w:cs="宋体"/>
                <w:color w:val="auto"/>
                <w:sz w:val="36"/>
                <w:szCs w:val="36"/>
              </w:rPr>
            </w:pPr>
            <w:r>
              <w:rPr>
                <w:rFonts w:hint="eastAsia" w:ascii="黑体" w:hAnsi="黑体" w:eastAsia="黑体" w:cs="宋体"/>
                <w:bCs/>
                <w:color w:val="auto"/>
                <w:kern w:val="0"/>
                <w:sz w:val="36"/>
                <w:szCs w:val="36"/>
              </w:rPr>
              <w:t>项目支出绩效目标完成情况表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基层组织建设</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四川省达州市达川区委组织部</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100</w:t>
            </w:r>
            <w:r>
              <w:rPr>
                <w:rFonts w:hint="eastAsia" w:ascii="方正仿宋_GBK" w:hAnsi="方正仿宋_GBK" w:eastAsia="方正仿宋_GBK" w:cs="方正仿宋_GBK"/>
                <w:color w:val="auto"/>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127.51</w:t>
            </w:r>
            <w:r>
              <w:rPr>
                <w:rFonts w:hint="eastAsia" w:ascii="方正仿宋_GBK" w:hAnsi="方正仿宋_GBK" w:eastAsia="方正仿宋_GBK" w:cs="方正仿宋_GBK"/>
                <w:color w:val="auto"/>
                <w:sz w:val="24"/>
                <w:szCs w:val="24"/>
              </w:rPr>
              <w:t>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100</w:t>
            </w:r>
            <w:r>
              <w:rPr>
                <w:rFonts w:hint="eastAsia" w:ascii="方正仿宋_GBK" w:hAnsi="方正仿宋_GBK" w:eastAsia="方正仿宋_GBK" w:cs="方正仿宋_GBK"/>
                <w:color w:val="auto"/>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100</w:t>
            </w:r>
            <w:r>
              <w:rPr>
                <w:rFonts w:hint="eastAsia" w:ascii="方正仿宋_GBK" w:hAnsi="方正仿宋_GBK" w:eastAsia="方正仿宋_GBK" w:cs="方正仿宋_GBK"/>
                <w:color w:val="auto"/>
                <w:sz w:val="24"/>
                <w:szCs w:val="24"/>
              </w:rPr>
              <w:t>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上年财政拨款结转</w:t>
            </w:r>
            <w:r>
              <w:rPr>
                <w:rFonts w:hint="eastAsia" w:ascii="方正仿宋_GBK" w:hAnsi="方正仿宋_GBK" w:eastAsia="方正仿宋_GBK" w:cs="方正仿宋_GBK"/>
                <w:color w:val="auto"/>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27.51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加强基层组织建设及党员干部的教育、管理及队伍建设、开展“两学一做”“三严三实”等主题教育活动。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加强基层组织建设及党员干部的教育、管理及队伍建设、开展“两学一做”“三严三实”等主题教育活动。</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eastAsia="zh-CN"/>
              </w:rPr>
              <w:t>加强基层组织建设及党员干部的教育、管理及队伍建设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全区基层党组织党员干部政治理论素养和能力等到全面提升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全区基层党组织党员干部政治理论素养和能力等到全面提升</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进度、完成率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97%</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2018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群众满意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基层党组织建设成效明显，党员理论水平和政治素养全面提升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基层党组织建设成效明显，党员理论水平和政治素养全面提升</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代表满意、群众满意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》98%</w:t>
            </w:r>
          </w:p>
        </w:tc>
      </w:tr>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ascii="宋体" w:hAnsi="宋体" w:cs="宋体"/>
                <w:color w:val="auto"/>
                <w:sz w:val="36"/>
                <w:szCs w:val="36"/>
              </w:rPr>
            </w:pPr>
            <w:r>
              <w:rPr>
                <w:rFonts w:hint="eastAsia" w:ascii="黑体" w:hAnsi="黑体" w:eastAsia="黑体" w:cs="宋体"/>
                <w:bCs/>
                <w:color w:val="auto"/>
                <w:kern w:val="0"/>
                <w:sz w:val="36"/>
                <w:szCs w:val="36"/>
              </w:rPr>
              <w:t>项目支出绩效目标完成情况表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农村党员干部电化教育工作经费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四川省达州市达川区委组织部</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92.62</w:t>
            </w:r>
            <w:r>
              <w:rPr>
                <w:rFonts w:hint="eastAsia" w:ascii="方正仿宋_GBK" w:hAnsi="方正仿宋_GBK" w:eastAsia="方正仿宋_GBK" w:cs="方正仿宋_GBK"/>
                <w:color w:val="auto"/>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92.62</w:t>
            </w:r>
            <w:r>
              <w:rPr>
                <w:rFonts w:hint="eastAsia" w:ascii="方正仿宋_GBK" w:hAnsi="方正仿宋_GBK" w:eastAsia="方正仿宋_GBK" w:cs="方正仿宋_GBK"/>
                <w:color w:val="auto"/>
                <w:sz w:val="24"/>
                <w:szCs w:val="24"/>
              </w:rPr>
              <w:t>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92.62</w:t>
            </w:r>
            <w:r>
              <w:rPr>
                <w:rFonts w:hint="eastAsia" w:ascii="方正仿宋_GBK" w:hAnsi="方正仿宋_GBK" w:eastAsia="方正仿宋_GBK" w:cs="方正仿宋_GBK"/>
                <w:color w:val="auto"/>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92.62</w:t>
            </w:r>
            <w:r>
              <w:rPr>
                <w:rFonts w:hint="eastAsia" w:ascii="方正仿宋_GBK" w:hAnsi="方正仿宋_GBK" w:eastAsia="方正仿宋_GBK" w:cs="方正仿宋_GBK"/>
                <w:color w:val="auto"/>
                <w:sz w:val="24"/>
                <w:szCs w:val="24"/>
              </w:rPr>
              <w:t>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抓好全区党员电化教育网络和农村党员干部现代远程教育站点建设及管理工作，发挥自身优势，为全区基层党建、干部及人才队伍建设等工作搞好宣传和服务。</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抓好全区党员电化教育网络和农村党员干部现代远程教育站点建设及管理工作，发挥自身优势，为全区基层党建、干部及人才队伍建设等工作搞好宣传和服务。</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抓好全区党员电化教育网络和农村党员干部现代远程教育站点建设及管理工作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加强对基层党建点的硬件软件投入，更好为农村党员干部的教育服务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加强对基层党建点的硬件软件投入，更好为农村党员干部的教育服务</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进度、完成率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97%</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2018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基层党员干部满意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农村党员干部现代远程教育站点建设有序，基层党建成效明显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农村党员干部现代远程教育站点建设有序，基层党建成效明显</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代表满意、群众满意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》98%</w:t>
            </w:r>
          </w:p>
        </w:tc>
      </w:tr>
    </w:tbl>
    <w:p>
      <w:pPr>
        <w:rPr>
          <w:rFonts w:ascii="Calibri" w:hAnsi="Calibri"/>
          <w:color w:val="0000FF"/>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本部门按要求对2018年部门整体支出绩效评价情况开展自评，《达川区委组织部2018年部门整体支出绩效评价报告》见附件。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w:t>
      </w:r>
      <w:r>
        <w:rPr>
          <w:rFonts w:hint="eastAsia" w:ascii="仿宋" w:hAnsi="仿宋" w:eastAsia="仿宋" w:cs="仿宋_GB2312"/>
          <w:color w:val="auto"/>
          <w:sz w:val="32"/>
          <w:szCs w:val="32"/>
        </w:rPr>
        <w:t>《</w:t>
      </w:r>
      <w:r>
        <w:rPr>
          <w:rFonts w:hint="eastAsia" w:ascii="仿宋_GB2312" w:hAnsi="仿宋_GB2312" w:eastAsia="仿宋_GB2312" w:cs="仿宋_GB2312"/>
          <w:color w:val="auto"/>
          <w:sz w:val="32"/>
          <w:szCs w:val="32"/>
        </w:rPr>
        <w:t>基层组织建设</w:t>
      </w:r>
      <w:r>
        <w:rPr>
          <w:rFonts w:hint="eastAsia" w:ascii="仿宋_GB2312" w:hAnsi="仿宋_GB2312" w:eastAsia="仿宋_GB2312" w:cs="仿宋_GB2312"/>
          <w:color w:val="auto"/>
          <w:sz w:val="32"/>
          <w:szCs w:val="32"/>
          <w:lang w:eastAsia="zh-CN"/>
        </w:rPr>
        <w:t>经费</w:t>
      </w:r>
      <w:r>
        <w:rPr>
          <w:rFonts w:hint="eastAsia" w:ascii="仿宋" w:hAnsi="仿宋" w:eastAsia="仿宋" w:cs="仿宋_GB2312"/>
          <w:color w:val="auto"/>
          <w:sz w:val="32"/>
          <w:szCs w:val="32"/>
        </w:rPr>
        <w:t>项目2018年绩效评价报告》、《</w:t>
      </w:r>
      <w:r>
        <w:rPr>
          <w:rFonts w:hint="eastAsia" w:ascii="仿宋_GB2312" w:hAnsi="仿宋_GB2312" w:eastAsia="仿宋_GB2312" w:cs="仿宋_GB2312"/>
          <w:color w:val="auto"/>
          <w:sz w:val="32"/>
          <w:szCs w:val="32"/>
        </w:rPr>
        <w:t>农村党员干部电化教育工作经费</w:t>
      </w:r>
      <w:r>
        <w:rPr>
          <w:rFonts w:hint="eastAsia" w:ascii="仿宋" w:hAnsi="仿宋" w:eastAsia="仿宋" w:cs="仿宋_GB2312"/>
          <w:color w:val="auto"/>
          <w:sz w:val="32"/>
          <w:szCs w:val="32"/>
        </w:rPr>
        <w:t>项目2018年绩效评价报告》、《党内救助资金项目2018年绩效评价报告》、《</w:t>
      </w:r>
      <w:r>
        <w:rPr>
          <w:rFonts w:hint="eastAsia" w:ascii="仿宋_GB2312" w:hAnsi="仿宋_GB2312" w:eastAsia="仿宋_GB2312" w:cs="仿宋_GB2312"/>
          <w:color w:val="auto"/>
          <w:sz w:val="32"/>
          <w:szCs w:val="32"/>
          <w:lang w:eastAsia="zh-CN"/>
        </w:rPr>
        <w:t>党建示范带建设</w:t>
      </w:r>
      <w:r>
        <w:rPr>
          <w:rFonts w:hint="eastAsia" w:ascii="仿宋" w:hAnsi="仿宋" w:eastAsia="仿宋" w:cs="仿宋_GB2312"/>
          <w:color w:val="auto"/>
          <w:sz w:val="32"/>
          <w:szCs w:val="32"/>
        </w:rPr>
        <w:t>项目2018年绩效评价报告》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w:t>
      </w:r>
      <w:r>
        <w:rPr>
          <w:rFonts w:hint="eastAsia" w:ascii="仿宋_GB2312" w:hAnsi="仿宋_GB2312" w:eastAsia="仿宋_GB2312" w:cs="仿宋_GB2312"/>
          <w:color w:val="auto"/>
          <w:sz w:val="32"/>
          <w:szCs w:val="32"/>
        </w:rPr>
        <w:t>党建示范点建设</w:t>
      </w:r>
      <w:r>
        <w:rPr>
          <w:rFonts w:hint="eastAsia" w:ascii="仿宋" w:hAnsi="仿宋" w:eastAsia="仿宋" w:cs="仿宋_GB2312"/>
          <w:color w:val="auto"/>
          <w:sz w:val="32"/>
          <w:szCs w:val="32"/>
        </w:rPr>
        <w:t>项目2018年绩效评价报告》</w:t>
      </w:r>
      <w:r>
        <w:rPr>
          <w:rFonts w:hint="eastAsia" w:ascii="仿宋_GB2312" w:hAnsi="仿宋_GB2312" w:eastAsia="仿宋_GB2312" w:cs="仿宋_GB2312"/>
          <w:sz w:val="32"/>
          <w:szCs w:val="32"/>
        </w:rPr>
        <w:t>见附件。</w:t>
      </w:r>
    </w:p>
    <w:p>
      <w:pPr>
        <w:spacing w:line="600" w:lineRule="exact"/>
        <w:ind w:firstLine="800" w:firstLineChars="250"/>
        <w:outlineLvl w:val="1"/>
        <w:rPr>
          <w:rStyle w:val="26"/>
          <w:rFonts w:ascii="黑体" w:hAnsi="黑体" w:eastAsia="黑体"/>
        </w:rPr>
      </w:pPr>
      <w:bookmarkStart w:id="48" w:name="_Toc15396612"/>
      <w:bookmarkStart w:id="49" w:name="_Toc15377221"/>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48"/>
      <w:bookmarkEnd w:id="49"/>
    </w:p>
    <w:p>
      <w:pPr>
        <w:spacing w:line="600" w:lineRule="exact"/>
        <w:ind w:firstLine="643"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8年，达川区委组织部机关运行经费支出101.73万元，比</w:t>
      </w:r>
      <w:r>
        <w:rPr>
          <w:rFonts w:ascii="仿宋_GB2312" w:eastAsia="仿宋_GB2312"/>
          <w:color w:val="000000"/>
          <w:sz w:val="32"/>
          <w:szCs w:val="32"/>
        </w:rPr>
        <w:t>201</w:t>
      </w:r>
      <w:r>
        <w:rPr>
          <w:rFonts w:hint="eastAsia" w:ascii="仿宋_GB2312" w:eastAsia="仿宋_GB2312"/>
          <w:color w:val="000000"/>
          <w:sz w:val="32"/>
          <w:szCs w:val="32"/>
        </w:rPr>
        <w:t>7年减少1.48万元，下降1.43</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8年，政府采购支出总额1.67万元，主要用于办公设备购置。</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spacing w:line="578" w:lineRule="exact"/>
        <w:ind w:firstLine="640" w:firstLineChars="200"/>
        <w:rPr>
          <w:rFonts w:ascii="方正仿宋_GBK" w:hAnsi="方正仿宋_GBK" w:eastAsia="方正仿宋_GBK" w:cs="方正仿宋_GBK"/>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方正仿宋_GBK" w:hAnsi="方正仿宋_GBK" w:eastAsia="方正仿宋_GBK" w:cs="方正仿宋_GBK"/>
          <w:sz w:val="32"/>
          <w:szCs w:val="32"/>
        </w:rPr>
        <w:t>区委组织部共有车辆</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辆，其中：一般公务用车</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辆。</w:t>
      </w:r>
    </w:p>
    <w:p>
      <w:pPr>
        <w:widowControl/>
        <w:jc w:val="center"/>
        <w:rPr>
          <w:rStyle w:val="25"/>
          <w:rFonts w:ascii="黑体" w:hAnsi="黑体" w:eastAsia="黑体"/>
          <w:b w:val="0"/>
        </w:rPr>
      </w:pPr>
      <w:r>
        <w:rPr>
          <w:rFonts w:ascii="仿宋_GB2312" w:eastAsia="仿宋_GB2312"/>
          <w:b/>
          <w:color w:val="000000"/>
          <w:sz w:val="32"/>
          <w:szCs w:val="32"/>
        </w:rPr>
        <w:br w:type="page"/>
      </w:r>
      <w:bookmarkStart w:id="53" w:name="_Toc15396613"/>
      <w:bookmarkStart w:id="54" w:name="_Toc15377225"/>
      <w:r>
        <w:rPr>
          <w:rStyle w:val="25"/>
          <w:rFonts w:hint="eastAsia" w:ascii="黑体" w:hAnsi="黑体" w:eastAsia="黑体"/>
          <w:b w:val="0"/>
          <w:lang w:eastAsia="zh-CN"/>
        </w:rPr>
        <w:t>第三部分</w:t>
      </w:r>
      <w:r>
        <w:rPr>
          <w:rStyle w:val="25"/>
          <w:rFonts w:hint="eastAsia" w:ascii="黑体" w:hAnsi="黑体" w:eastAsia="黑体"/>
          <w:b w:val="0"/>
          <w:lang w:val="en-US" w:eastAsia="zh-CN"/>
        </w:rPr>
        <w:t xml:space="preserve"> </w:t>
      </w:r>
      <w:r>
        <w:rPr>
          <w:rFonts w:hint="eastAsia" w:ascii="黑体" w:hAnsi="黑体" w:eastAsia="黑体"/>
          <w:b/>
          <w:color w:val="000000"/>
          <w:sz w:val="44"/>
          <w:szCs w:val="44"/>
        </w:rPr>
        <w:t>名</w:t>
      </w:r>
      <w:r>
        <w:rPr>
          <w:rStyle w:val="25"/>
          <w:rFonts w:hint="eastAsia" w:ascii="黑体" w:hAnsi="黑体" w:eastAsia="黑体"/>
          <w:b w:val="0"/>
        </w:rPr>
        <w:t>词解释</w:t>
      </w:r>
      <w:bookmarkEnd w:id="53"/>
      <w:bookmarkEnd w:id="54"/>
    </w:p>
    <w:p>
      <w:pPr>
        <w:spacing w:line="600" w:lineRule="exact"/>
        <w:jc w:val="left"/>
        <w:rPr>
          <w:rFonts w:ascii="宋体"/>
          <w:b/>
          <w:color w:val="000000"/>
          <w:sz w:val="44"/>
          <w:szCs w:val="44"/>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1.财政拨款收入：指单位从同级财政部门取得的财政预算资金。</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2.事业收入：指事业单位开展专业业务活动及辅助活动取得的收入。如…（二级预算单位事业收入情况）等。</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3.经营收入：指事业单位在专业业务活动及其辅助活动之外开展非独立核算经营活动取得的收入。如…（二级预算单位经营收入情况）等。</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4.其他收入：指单位取得的除上述收入以外的各项收入。主要是…（收入类型）等。</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6.年初结转和结余：指以前年度尚未完成、结转到本年按有关规定继续使用的资金。</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7.结余分配：指事业单位按照事业单位会计制度的规定从非财政补助结余中分配的事业基金和职工福利基金等。</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8、年末结转和结余：指单位按有关规定结转到下年或以后年度继续使用的资金。</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9.一般公共服务（类）组织事务（款）行政运行（项）: 指单位的基本支出。</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10.一般公共服务（类）组织事务（款）一般行政管理事务（项）:指单位的项目支出。</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11.一般公共服务（类）组织事务（款）其他组织事务支出（项）:指单位的其他支出。</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12.教育支出（类）进修及培训（款）干部教育（项）:指全区的干部教育支出。</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13.社会保障和就业支出（类）行政事业单位离退休（款）机关事业单位基本养老保险缴费支出（项）:指机关事业单位实施养老保险制度由单位缴纳的基本养老保险费支。</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14.医疗卫生与计划生育支出（类）行政事业单位医疗（款）行政单位医疗（项）:指财政部门集中安排的行政单位基本医疗保险缴费经费。</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15.住房保障支出（类）住房改革支出（款）住房公积金（项）:指行政事业单位按人力资源和社会保障部、财政部规定的基本工资和津贴补贴以及规定比例为职工缴纳的住房公积金。</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16.基本支出：指为保障机构正常运转、完成日常工作任务而发生的人员支出和公用支出。</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17.项目支出：指在基本支出之外为完成特定行政任务和事业发展目标所发生的支出。</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18.经营支出：指事业单位在专业业务活动及其辅助活动之外开展非独立核算经营活动发生的支出。</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19.“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both"/>
        <w:outlineLvl w:val="0"/>
        <w:rPr>
          <w:rFonts w:hint="eastAsia" w:ascii="黑体" w:hAnsi="黑体" w:eastAsia="黑体"/>
          <w:color w:val="000000"/>
          <w:sz w:val="44"/>
          <w:szCs w:val="44"/>
        </w:rPr>
      </w:pPr>
      <w:bookmarkStart w:id="55" w:name="_Toc15396614"/>
      <w:bookmarkStart w:id="56" w:name="_Toc15377226"/>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四部分 附件</w:t>
      </w:r>
      <w:bookmarkEnd w:id="55"/>
    </w:p>
    <w:p>
      <w:pPr>
        <w:spacing w:line="600" w:lineRule="exact"/>
        <w:jc w:val="center"/>
        <w:outlineLvl w:val="0"/>
        <w:rPr>
          <w:rStyle w:val="25"/>
          <w:rFonts w:hint="eastAsia" w:ascii="方正黑体_GBK" w:hAnsi="方正黑体_GBK" w:eastAsia="方正黑体_GBK" w:cs="方正黑体_GBK"/>
        </w:rPr>
      </w:pPr>
    </w:p>
    <w:p>
      <w:pPr>
        <w:pStyle w:val="3"/>
        <w:pageBreakBefore w:val="0"/>
        <w:kinsoku/>
        <w:wordWrap/>
        <w:overflowPunct/>
        <w:topLinePunct w:val="0"/>
        <w:autoSpaceDE/>
        <w:autoSpaceDN/>
        <w:bidi w:val="0"/>
        <w:adjustRightInd/>
        <w:spacing w:before="0" w:after="0" w:line="578" w:lineRule="exact"/>
        <w:ind w:right="0" w:rightChars="0"/>
        <w:textAlignment w:val="auto"/>
        <w:rPr>
          <w:rStyle w:val="25"/>
          <w:rFonts w:hint="eastAsia" w:ascii="方正黑体_GBK" w:hAnsi="方正黑体_GBK" w:eastAsia="方正黑体_GBK" w:cs="方正黑体_GBK"/>
          <w:b w:val="0"/>
          <w:bCs w:val="0"/>
          <w:sz w:val="32"/>
          <w:szCs w:val="32"/>
        </w:rPr>
      </w:pPr>
      <w:bookmarkStart w:id="57" w:name="_Toc15396615"/>
      <w:r>
        <w:rPr>
          <w:rStyle w:val="25"/>
          <w:rFonts w:hint="eastAsia" w:ascii="方正黑体_GBK" w:hAnsi="方正黑体_GBK" w:eastAsia="方正黑体_GBK" w:cs="方正黑体_GBK"/>
          <w:b w:val="0"/>
          <w:bCs w:val="0"/>
          <w:sz w:val="32"/>
          <w:szCs w:val="32"/>
        </w:rPr>
        <w:t>附件1</w:t>
      </w:r>
      <w:bookmarkEnd w:id="57"/>
    </w:p>
    <w:p>
      <w:pPr>
        <w:pageBreakBefore w:val="0"/>
        <w:kinsoku/>
        <w:wordWrap/>
        <w:overflowPunct/>
        <w:topLinePunct w:val="0"/>
        <w:autoSpaceDE/>
        <w:autoSpaceDN/>
        <w:bidi w:val="0"/>
        <w:adjustRightInd/>
        <w:spacing w:line="578" w:lineRule="exact"/>
        <w:ind w:left="0" w:leftChars="0" w:right="0" w:rightChars="0"/>
        <w:jc w:val="center"/>
        <w:textAlignment w:val="auto"/>
        <w:outlineLvl w:val="0"/>
        <w:rPr>
          <w:rFonts w:ascii="黑体" w:hAnsi="黑体" w:eastAsia="黑体" w:cs="方正小标宋简体"/>
          <w:sz w:val="36"/>
          <w:szCs w:val="36"/>
        </w:rPr>
      </w:pPr>
      <w:bookmarkStart w:id="58" w:name="_Toc15396616"/>
      <w:r>
        <w:rPr>
          <w:rFonts w:hint="eastAsia" w:ascii="黑体" w:hAnsi="黑体" w:eastAsia="黑体" w:cs="方正小标宋简体"/>
          <w:sz w:val="36"/>
          <w:szCs w:val="36"/>
        </w:rPr>
        <w:t>达川区委组织部2018年部门整体支出绩效评价报告</w:t>
      </w:r>
      <w:bookmarkEnd w:id="58"/>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一、单位概况</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（一）机构组成。</w:t>
      </w:r>
      <w:r>
        <w:rPr>
          <w:rFonts w:hint="eastAsia" w:ascii="方正仿宋简体" w:hAnsi="方正仿宋简体" w:eastAsia="方正仿宋简体" w:cs="方正仿宋简体"/>
          <w:sz w:val="32"/>
          <w:szCs w:val="32"/>
        </w:rPr>
        <w:t>我部按照“三定方案”内设办公室、组织一股、组织二股、组织三股、干部股、干部监督股、干部教育股、调研股等7个股室，代管党建办、人才办、党员教育中心、两新党工委、党员信息中心。</w:t>
      </w:r>
    </w:p>
    <w:p>
      <w:pPr>
        <w:pStyle w:val="12"/>
        <w:pageBreakBefore w:val="0"/>
        <w:widowControl/>
        <w:kinsoku/>
        <w:wordWrap/>
        <w:overflowPunct/>
        <w:topLinePunct w:val="0"/>
        <w:autoSpaceDE/>
        <w:autoSpaceDN/>
        <w:bidi w:val="0"/>
        <w:adjustRightInd/>
        <w:spacing w:before="0" w:beforeAutospacing="0" w:after="0" w:afterAutospacing="0" w:line="578" w:lineRule="exact"/>
        <w:ind w:left="0" w:leftChars="0" w:right="0" w:rightChars="0" w:firstLine="640" w:firstLineChars="200"/>
        <w:textAlignment w:val="auto"/>
        <w:rPr>
          <w:rFonts w:ascii="方正仿宋简体" w:hAnsi="方正仿宋简体" w:eastAsia="方正仿宋简体" w:cs="方正仿宋简体"/>
          <w:snapToGrid w:val="0"/>
          <w:sz w:val="32"/>
          <w:szCs w:val="32"/>
        </w:rPr>
      </w:pPr>
      <w:r>
        <w:rPr>
          <w:rFonts w:hint="eastAsia" w:ascii="方正楷体简体" w:hAnsi="方正楷体简体" w:eastAsia="方正楷体简体" w:cs="方正楷体简体"/>
          <w:sz w:val="32"/>
          <w:szCs w:val="32"/>
        </w:rPr>
        <w:t>（二）机构职能。</w:t>
      </w:r>
      <w:r>
        <w:rPr>
          <w:rFonts w:hint="eastAsia" w:ascii="方正仿宋简体" w:hAnsi="方正仿宋简体" w:eastAsia="方正仿宋简体" w:cs="方正仿宋简体"/>
          <w:sz w:val="32"/>
          <w:szCs w:val="32"/>
        </w:rPr>
        <w:t>研究、指导全区各级党组织特别是党的基层组织建设。提出乡镇和区级各部门、区委管理的企事业单位以及列入区委管理的领导班子的调整、配备方案；承办区委管理干部和区级党群系统干部的调配、交流安置工作；制定全区干部队伍建设、领导班子建设措施，主管干部教育培训工作。牵头抓好人才工作、两新党建工作、电化（远程）教育工作等。</w:t>
      </w:r>
    </w:p>
    <w:p>
      <w:pPr>
        <w:snapToGrid w:val="0"/>
        <w:spacing w:line="554" w:lineRule="exact"/>
        <w:ind w:firstLine="640" w:firstLineChars="200"/>
        <w:rPr>
          <w:rFonts w:eastAsia="仿宋_GB2312"/>
          <w:sz w:val="32"/>
          <w:szCs w:val="32"/>
        </w:rPr>
      </w:pPr>
      <w:r>
        <w:rPr>
          <w:rFonts w:hint="eastAsia" w:ascii="方正楷体简体" w:hAnsi="方正楷体简体" w:eastAsia="方正楷体简体" w:cs="方正楷体简体"/>
          <w:sz w:val="32"/>
          <w:szCs w:val="32"/>
        </w:rPr>
        <w:t>（三）人员概况。</w:t>
      </w:r>
      <w:r>
        <w:rPr>
          <w:rFonts w:hint="eastAsia" w:eastAsia="仿宋_GB2312"/>
          <w:sz w:val="32"/>
          <w:szCs w:val="32"/>
        </w:rPr>
        <w:t>本单位属行政单位，编制人数48人</w:t>
      </w:r>
      <w:r>
        <w:rPr>
          <w:rFonts w:hint="eastAsia" w:eastAsia="仿宋_GB2312"/>
          <w:sz w:val="32"/>
          <w:szCs w:val="32"/>
          <w:lang w:eastAsia="zh-CN"/>
        </w:rPr>
        <w:t>（含</w:t>
      </w:r>
      <w:r>
        <w:rPr>
          <w:rFonts w:hint="eastAsia" w:eastAsia="仿宋_GB2312"/>
          <w:sz w:val="32"/>
          <w:szCs w:val="32"/>
          <w:lang w:val="en-US" w:eastAsia="zh-CN"/>
        </w:rPr>
        <w:t>3个下属事业单位</w:t>
      </w:r>
      <w:r>
        <w:rPr>
          <w:rFonts w:hint="eastAsia" w:eastAsia="仿宋_GB2312"/>
          <w:sz w:val="32"/>
          <w:szCs w:val="32"/>
          <w:lang w:eastAsia="zh-CN"/>
        </w:rPr>
        <w:t>）</w:t>
      </w:r>
      <w:r>
        <w:rPr>
          <w:rFonts w:hint="eastAsia" w:eastAsia="仿宋_GB2312"/>
          <w:sz w:val="32"/>
          <w:szCs w:val="32"/>
        </w:rPr>
        <w:t>，其中行政编制25人，参照公务员管理事业编制10人，事业编制13人。201</w:t>
      </w:r>
      <w:r>
        <w:rPr>
          <w:rFonts w:hint="eastAsia" w:eastAsia="仿宋_GB2312"/>
          <w:sz w:val="32"/>
          <w:szCs w:val="32"/>
          <w:lang w:val="en-US" w:eastAsia="zh-CN"/>
        </w:rPr>
        <w:t>8</w:t>
      </w:r>
      <w:r>
        <w:rPr>
          <w:rFonts w:eastAsia="仿宋_GB2312"/>
          <w:sz w:val="32"/>
          <w:szCs w:val="32"/>
        </w:rPr>
        <w:t>年末人员共2</w:t>
      </w:r>
      <w:r>
        <w:rPr>
          <w:rFonts w:hint="eastAsia" w:eastAsia="仿宋_GB2312"/>
          <w:sz w:val="32"/>
          <w:szCs w:val="32"/>
          <w:lang w:val="en-US" w:eastAsia="zh-CN"/>
        </w:rPr>
        <w:t>2</w:t>
      </w:r>
      <w:r>
        <w:rPr>
          <w:rFonts w:eastAsia="仿宋_GB2312"/>
          <w:sz w:val="32"/>
          <w:szCs w:val="32"/>
        </w:rPr>
        <w:t>人（不含离退休干部5人），其中：公务员1</w:t>
      </w:r>
      <w:r>
        <w:rPr>
          <w:rFonts w:hint="eastAsia" w:eastAsia="仿宋_GB2312"/>
          <w:sz w:val="32"/>
          <w:szCs w:val="32"/>
          <w:lang w:val="en-US" w:eastAsia="zh-CN"/>
        </w:rPr>
        <w:t>3</w:t>
      </w:r>
      <w:r>
        <w:rPr>
          <w:rFonts w:eastAsia="仿宋_GB2312"/>
          <w:sz w:val="32"/>
          <w:szCs w:val="32"/>
        </w:rPr>
        <w:t>人，工勤人员1人，参公人员</w:t>
      </w:r>
      <w:r>
        <w:rPr>
          <w:rFonts w:hint="eastAsia" w:eastAsia="仿宋_GB2312"/>
          <w:sz w:val="32"/>
          <w:szCs w:val="32"/>
          <w:lang w:val="en-US" w:eastAsia="zh-CN"/>
        </w:rPr>
        <w:t>1</w:t>
      </w:r>
      <w:r>
        <w:rPr>
          <w:rFonts w:eastAsia="仿宋_GB2312"/>
          <w:sz w:val="32"/>
          <w:szCs w:val="32"/>
        </w:rPr>
        <w:t>人、事业人员</w:t>
      </w:r>
      <w:r>
        <w:rPr>
          <w:rFonts w:hint="eastAsia" w:eastAsia="仿宋_GB2312"/>
          <w:sz w:val="32"/>
          <w:szCs w:val="32"/>
          <w:lang w:val="en-US" w:eastAsia="zh-CN"/>
        </w:rPr>
        <w:t>7</w:t>
      </w:r>
      <w:r>
        <w:rPr>
          <w:rFonts w:eastAsia="仿宋_GB2312"/>
          <w:sz w:val="32"/>
          <w:szCs w:val="32"/>
        </w:rPr>
        <w:t>人。</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三、部门财政支出管理情况</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（一）预决算编制情况</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napToGrid w:val="0"/>
          <w:sz w:val="32"/>
          <w:szCs w:val="32"/>
        </w:rPr>
        <w:t>我部严格部门预算编制，提高预算编制的质量，加强综合财政预算管理，切实提高财政资金使用效益。</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napToGrid w:val="0"/>
          <w:sz w:val="32"/>
          <w:szCs w:val="32"/>
        </w:rPr>
        <w:t>1.科学编制预算。严格遵循政府预算统一性、完整性、年度性、可靠性、公开性和分类性原则，切实落实区财政局相关预算要求，结合本局实际，保证预算编制的科学、合理、规范、准确、完整、效益。</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napToGrid w:val="0"/>
          <w:sz w:val="32"/>
          <w:szCs w:val="32"/>
        </w:rPr>
        <w:t>2.严格经费收支。我部坚持综合预算、零基预算、细化预算的原则，科学编制完整的部门综合收支计划，细化收支预算，规范收支行为。</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napToGrid w:val="0"/>
          <w:sz w:val="32"/>
          <w:szCs w:val="32"/>
        </w:rPr>
        <w:t>3.维护预算严肃性。我部严格执行并维护预算的严肃性，预算前展开调研，多方研究，一经确定严格执行，不随意调整，也不无故追加。</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（二）执行管理情况。</w:t>
      </w:r>
      <w:r>
        <w:rPr>
          <w:rFonts w:hint="eastAsia" w:ascii="方正楷体简体" w:hAnsi="方正楷体简体" w:eastAsia="方正楷体简体" w:cs="方正楷体简体"/>
          <w:sz w:val="32"/>
          <w:szCs w:val="32"/>
        </w:rPr>
        <w:tab/>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部门预算执行进度情况。按《预算法》和财政有关规定，职工工资等人员经费按月发放，公务费按季申报，项目支出按项目实施情况经我单位和区财政审核无误后按项目进度拨付。在支付方式上，工资和项目资金实行财政直接支付；公用经费根据资金用途选择财政直接支付、申请授权支付，并尽量采取公务卡支付或转账支付，尽量减少现金支出。</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2.预算约束刚性情况。 在执行各项资金预算中，严格按照中央、省、市、区各级财务规定，管好、用好每笔资金。在专项项目资金使用过程中，严格按照项目资金管理办法的规定做好项目实施和监管，切实做到专款专用，从而发挥好项目资金对项目实施的促进作用；对涉及专项资金支出额度较大时，必须专题研究决定，杜绝违规违法事件的发生。</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3.行政运行成本控制情况</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（1）机关节能降耗。 认真开展厉行节约反对浪费规定学习的同时，倡导全体机关工作人员弘扬艰苦奋斗、勤俭节约的优良作风，进一步推进建设节约型机关。办公室、会议室等尽量采用自然光，尽可能少开灯或不开灯；做到离开办公室随手关灯，杜绝“长明灯”、“白昼灯”；下班后自觉关闭各类电器设备电源；强化节水意识，切实做到节约每一滴水，使广大干部职工养成良好的节水习惯；加强办公用品的使用管理，规范办公用品的采购，积极推行网络办公，尽量在电子媒介上撰写、修改文稿，加快推进无纸化办公。</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三公”支出逐年递减。严格执行中央八项规定和省、市、区相关规定，着力控制“三公”经费预算支出。全年无因公出国（境）费用支出；精减会议活动，减少会议费支出；严格执行党政机关厉行节约反对浪费条例，加强内部财务管理。</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（三）综合管理情况</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1.政府采购实施情况。按照《预算法》和《政府采购法》规定编制政府采购预算和实施政府采购计划，按规定做好备案工作。</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资产管理。我部固定资产实行“统一管理，分级负责”。设置固定资产的管理部门，统一建账、核算，统一登记、监督管理和维修。各股室是固定资产的使用部门，并负责固定资产的保管和使用。同时，根据《行政事业单位资产清查核实管理办法》开展了资产清查工作。</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（1）资产管理信息系统建设情况。已将所有资产全部录入行政事业单位资产管理系统，并指定专人负责管理系统。</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（2）资产清查情况。启动全单位资产清查，并将资产清查结果上报了相关主管部门。</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（3）资产报表上报情况。安排专人负责国有资产清查及报表上报工作。在资产清查结束后，已上报清查报表、清查工作报告等国有资产报表数据。 </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z w:val="32"/>
          <w:szCs w:val="32"/>
        </w:rPr>
        <w:t>3.内控制度管理。</w:t>
      </w:r>
      <w:r>
        <w:rPr>
          <w:rFonts w:hint="eastAsia" w:ascii="方正仿宋简体" w:hAnsi="方正仿宋简体" w:eastAsia="方正仿宋简体" w:cs="方正仿宋简体"/>
          <w:snapToGrid w:val="0"/>
          <w:sz w:val="32"/>
          <w:szCs w:val="32"/>
        </w:rPr>
        <w:t>201</w:t>
      </w:r>
      <w:r>
        <w:rPr>
          <w:rFonts w:hint="eastAsia" w:ascii="方正仿宋简体" w:hAnsi="方正仿宋简体" w:eastAsia="方正仿宋简体" w:cs="方正仿宋简体"/>
          <w:snapToGrid w:val="0"/>
          <w:sz w:val="32"/>
          <w:szCs w:val="32"/>
          <w:lang w:val="en-US" w:eastAsia="zh-CN"/>
        </w:rPr>
        <w:t>8</w:t>
      </w:r>
      <w:r>
        <w:rPr>
          <w:rFonts w:hint="eastAsia" w:ascii="方正仿宋简体" w:hAnsi="方正仿宋简体" w:eastAsia="方正仿宋简体" w:cs="方正仿宋简体"/>
          <w:snapToGrid w:val="0"/>
          <w:sz w:val="32"/>
          <w:szCs w:val="32"/>
        </w:rPr>
        <w:t>年，我部抽派人力，根据本单位实际，制定了《财务内控制度》，从多方面规范了经费开支行为，严格审签制度，切实把控财务风险。同时，严格执行上级有关财务管理规定，落实“三重一大”制度，确保财务整体的安全、顺畅，防止违法违纪现象发生。</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4.信息公开。按照相关规定，落实工作人员按要求对201</w:t>
      </w:r>
      <w:r>
        <w:rPr>
          <w:rFonts w:hint="eastAsia" w:ascii="方正仿宋简体" w:hAnsi="方正仿宋简体" w:eastAsia="方正仿宋简体" w:cs="方正仿宋简体"/>
          <w:sz w:val="32"/>
          <w:szCs w:val="32"/>
          <w:lang w:val="en-US" w:eastAsia="zh-CN"/>
        </w:rPr>
        <w:t>8</w:t>
      </w:r>
      <w:r>
        <w:rPr>
          <w:rFonts w:hint="eastAsia" w:ascii="方正仿宋简体" w:hAnsi="方正仿宋简体" w:eastAsia="方正仿宋简体" w:cs="方正仿宋简体"/>
          <w:sz w:val="32"/>
          <w:szCs w:val="32"/>
        </w:rPr>
        <w:t>年预决算信息进行了公开，确保公开透明。</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sz w:val="32"/>
          <w:szCs w:val="32"/>
        </w:rPr>
        <w:t>5.绩效管理。</w:t>
      </w:r>
      <w:r>
        <w:rPr>
          <w:rFonts w:hint="eastAsia" w:ascii="方正仿宋简体" w:hAnsi="方正仿宋简体" w:eastAsia="方正仿宋简体" w:cs="方正仿宋简体"/>
          <w:snapToGrid w:val="0"/>
          <w:sz w:val="32"/>
          <w:szCs w:val="32"/>
        </w:rPr>
        <w:t>通过对单位的工作和运营目标进行分解，设定各股室绩效目标，对股室和个人的绩效进行沟通、反馈、考评，从而将个人、股室与单位目标有机结合，提高单位整体绩效，促进职工工作积极性和单位发展动力。</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6.依法接受财政监督情况。按照财政部门相关要求，开展了201</w:t>
      </w:r>
      <w:r>
        <w:rPr>
          <w:rFonts w:hint="eastAsia" w:ascii="方正仿宋简体" w:hAnsi="方正仿宋简体" w:eastAsia="方正仿宋简体" w:cs="方正仿宋简体"/>
          <w:sz w:val="32"/>
          <w:szCs w:val="32"/>
          <w:lang w:val="en-US" w:eastAsia="zh-CN"/>
        </w:rPr>
        <w:t>8</w:t>
      </w:r>
      <w:r>
        <w:rPr>
          <w:rFonts w:hint="eastAsia" w:ascii="方正仿宋简体" w:hAnsi="方正仿宋简体" w:eastAsia="方正仿宋简体" w:cs="方正仿宋简体"/>
          <w:sz w:val="32"/>
          <w:szCs w:val="32"/>
        </w:rPr>
        <w:t>年度财政监督检查的自查自纠工作，并报送了自查自纠报告及报表。</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（四）整体效益</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sz w:val="32"/>
          <w:szCs w:val="32"/>
        </w:rPr>
        <w:t>我部201</w:t>
      </w:r>
      <w:r>
        <w:rPr>
          <w:rFonts w:hint="eastAsia" w:ascii="方正仿宋简体" w:hAnsi="方正仿宋简体" w:eastAsia="方正仿宋简体" w:cs="方正仿宋简体"/>
          <w:sz w:val="32"/>
          <w:szCs w:val="32"/>
          <w:lang w:val="en-US" w:eastAsia="zh-CN"/>
        </w:rPr>
        <w:t>8</w:t>
      </w:r>
      <w:r>
        <w:rPr>
          <w:rFonts w:hint="eastAsia" w:ascii="方正仿宋简体" w:hAnsi="方正仿宋简体" w:eastAsia="方正仿宋简体" w:cs="方正仿宋简体"/>
          <w:sz w:val="32"/>
          <w:szCs w:val="32"/>
        </w:rPr>
        <w:t>年认真履行好职能职责，全面保障了机关日常正常运转，圆满完成了区委、区政府及市委组织部下达的各项目标任务，</w:t>
      </w:r>
      <w:r>
        <w:rPr>
          <w:rFonts w:hint="eastAsia" w:ascii="方正仿宋简体" w:hAnsi="方正仿宋简体" w:eastAsia="方正仿宋简体" w:cs="方正仿宋简体"/>
          <w:kern w:val="0"/>
          <w:sz w:val="32"/>
          <w:szCs w:val="32"/>
        </w:rPr>
        <w:t>全年完成了村社区活动室建设、干部档案数字化、农村远程教育站点维护、党建示范点建设等。</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四、自评结论及建议</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（一）评价结论</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总体看，我部预算编制及执行决算较为准确，支出管理较为规范，财务管理制度较完善，部门整体绩效较好，自评得分为96分。</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（二）存在问题</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一是政府采购实施计划编制不完整。年初在编制预算时，不能准确预测当年需采购当年所要采购的计划清单，以致不能准确编入政府采购计划；二是内控制度管理质量不高，个别内控制度执行不够到位。</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（三）改进措施</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一是提高预算编制质量。二是严格执行政府采购。三是加强资产管理。四是强化资金财务管理。</w:t>
      </w:r>
    </w:p>
    <w:p>
      <w:pPr>
        <w:jc w:val="center"/>
        <w:rPr>
          <w:rFonts w:hint="eastAsia" w:ascii="黑体" w:hAnsi="黑体" w:eastAsia="黑体"/>
          <w:color w:val="000000"/>
          <w:sz w:val="32"/>
          <w:szCs w:val="32"/>
        </w:rPr>
      </w:pPr>
      <w:r>
        <w:rPr>
          <w:rFonts w:hint="eastAsia" w:ascii="黑体" w:hAnsi="黑体" w:eastAsia="黑体"/>
          <w:color w:val="000000"/>
          <w:sz w:val="32"/>
          <w:szCs w:val="32"/>
        </w:rPr>
        <w:t>201</w:t>
      </w:r>
      <w:r>
        <w:rPr>
          <w:rFonts w:hint="eastAsia" w:ascii="黑体" w:hAnsi="黑体" w:eastAsia="黑体"/>
          <w:color w:val="000000"/>
          <w:sz w:val="32"/>
          <w:szCs w:val="32"/>
          <w:lang w:val="en-US" w:eastAsia="zh-CN"/>
        </w:rPr>
        <w:t>8</w:t>
      </w:r>
      <w:r>
        <w:rPr>
          <w:rFonts w:hint="eastAsia" w:ascii="黑体" w:hAnsi="黑体" w:eastAsia="黑体"/>
          <w:color w:val="000000"/>
          <w:sz w:val="32"/>
          <w:szCs w:val="32"/>
        </w:rPr>
        <w:t>年部门整体支出绩效评价得分表</w:t>
      </w:r>
    </w:p>
    <w:p>
      <w:pPr>
        <w:spacing w:line="580" w:lineRule="exact"/>
        <w:ind w:firstLine="640" w:firstLineChars="200"/>
        <w:rPr>
          <w:rFonts w:ascii="仿宋" w:hAnsi="仿宋" w:eastAsia="仿宋" w:cs="仿宋_GB2312"/>
          <w:sz w:val="32"/>
          <w:szCs w:val="32"/>
        </w:rPr>
      </w:pPr>
    </w:p>
    <w:tbl>
      <w:tblPr>
        <w:tblStyle w:val="16"/>
        <w:tblW w:w="9498" w:type="dxa"/>
        <w:tblInd w:w="-176" w:type="dxa"/>
        <w:tblLayout w:type="fixed"/>
        <w:tblCellMar>
          <w:top w:w="0" w:type="dxa"/>
          <w:left w:w="108" w:type="dxa"/>
          <w:bottom w:w="0" w:type="dxa"/>
          <w:right w:w="108" w:type="dxa"/>
        </w:tblCellMar>
      </w:tblPr>
      <w:tblGrid>
        <w:gridCol w:w="1702"/>
        <w:gridCol w:w="2268"/>
        <w:gridCol w:w="3402"/>
        <w:gridCol w:w="2126"/>
      </w:tblGrid>
      <w:tr>
        <w:tblPrEx>
          <w:tblLayout w:type="fixed"/>
          <w:tblCellMar>
            <w:top w:w="0" w:type="dxa"/>
            <w:left w:w="108" w:type="dxa"/>
            <w:bottom w:w="0" w:type="dxa"/>
            <w:right w:w="108" w:type="dxa"/>
          </w:tblCellMar>
        </w:tblPrEx>
        <w:trPr>
          <w:trHeight w:val="240"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一级指标</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二级指标</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三级指标</w:t>
            </w:r>
          </w:p>
        </w:tc>
        <w:tc>
          <w:tcPr>
            <w:tcW w:w="2126" w:type="dxa"/>
            <w:tcBorders>
              <w:top w:val="single" w:color="auto" w:sz="4" w:space="0"/>
              <w:left w:val="nil"/>
              <w:bottom w:val="single" w:color="auto" w:sz="4" w:space="0"/>
              <w:right w:val="single" w:color="auto" w:sz="4" w:space="0"/>
            </w:tcBorders>
            <w:vAlign w:val="top"/>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得分</w:t>
            </w:r>
          </w:p>
        </w:tc>
      </w:tr>
      <w:tr>
        <w:tblPrEx>
          <w:tblLayout w:type="fixed"/>
          <w:tblCellMar>
            <w:top w:w="0" w:type="dxa"/>
            <w:left w:w="108" w:type="dxa"/>
            <w:bottom w:w="0" w:type="dxa"/>
            <w:right w:w="108" w:type="dxa"/>
          </w:tblCellMar>
        </w:tblPrEx>
        <w:trPr>
          <w:trHeight w:val="520" w:hRule="atLeast"/>
        </w:trPr>
        <w:tc>
          <w:tcPr>
            <w:tcW w:w="170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部门决策（25分）</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目标任务（15分）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相关性（5分）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明确性（5分）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20" w:hRule="atLeast"/>
        </w:trPr>
        <w:tc>
          <w:tcPr>
            <w:tcW w:w="170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合理性（5分）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269" w:hRule="atLeast"/>
        </w:trPr>
        <w:tc>
          <w:tcPr>
            <w:tcW w:w="1702"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预算编制（10分）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测算依据（5分）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231" w:hRule="atLeast"/>
        </w:trPr>
        <w:tc>
          <w:tcPr>
            <w:tcW w:w="170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目标管理（5分）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77" w:hRule="atLeast"/>
        </w:trPr>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综合管理（30分）</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专项资金分配时限（2分）</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省级财力专项预算分配时限（1分）</w:t>
            </w:r>
          </w:p>
        </w:tc>
        <w:tc>
          <w:tcPr>
            <w:tcW w:w="212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13" w:hRule="atLeast"/>
        </w:trPr>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中央专款分配合规率（1分）</w:t>
            </w:r>
          </w:p>
        </w:tc>
        <w:tc>
          <w:tcPr>
            <w:tcW w:w="212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77" w:hRule="atLeast"/>
        </w:trPr>
        <w:tc>
          <w:tcPr>
            <w:tcW w:w="1702" w:type="dxa"/>
            <w:vMerge w:val="continue"/>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中期评估（2分）</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执行中期评估（2分）</w:t>
            </w:r>
          </w:p>
        </w:tc>
        <w:tc>
          <w:tcPr>
            <w:tcW w:w="2126" w:type="dxa"/>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381" w:hRule="atLeast"/>
        </w:trPr>
        <w:tc>
          <w:tcPr>
            <w:tcW w:w="1702"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绩效监控（5分）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预算执行进度监控（2分）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73" w:hRule="atLeast"/>
        </w:trPr>
        <w:tc>
          <w:tcPr>
            <w:tcW w:w="1702"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绩效目标动态监控（3分）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非税收入执收情况（2分）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非税收入征收情况（1分）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25" w:hRule="atLeast"/>
        </w:trPr>
        <w:tc>
          <w:tcPr>
            <w:tcW w:w="1702"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非税收入上缴情况（1分）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资产管理（6分）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资产管理信息化情况（2分）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行政事业单位资产报告情况（2分）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353" w:hRule="atLeast"/>
        </w:trPr>
        <w:tc>
          <w:tcPr>
            <w:tcW w:w="1702"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资产管理与预算管理相结合（2分）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72" w:hRule="atLeast"/>
        </w:trPr>
        <w:tc>
          <w:tcPr>
            <w:tcW w:w="1702"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内控制度管理（2分）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内部控制度健全完整（2分）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21" w:hRule="atLeast"/>
        </w:trPr>
        <w:tc>
          <w:tcPr>
            <w:tcW w:w="170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信息公开（6分）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预算公开（2分）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197" w:hRule="atLeast"/>
        </w:trPr>
        <w:tc>
          <w:tcPr>
            <w:tcW w:w="170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决算公开（2分）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绩效信息公开（2分）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405" w:hRule="atLeast"/>
        </w:trPr>
        <w:tc>
          <w:tcPr>
            <w:tcW w:w="170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绩效评价（5分）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绩效评价开展（2分）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127" w:hRule="atLeast"/>
        </w:trPr>
        <w:tc>
          <w:tcPr>
            <w:tcW w:w="170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评价结果应用（3分）</w:t>
            </w:r>
          </w:p>
        </w:tc>
        <w:tc>
          <w:tcPr>
            <w:tcW w:w="2126" w:type="dxa"/>
            <w:tcBorders>
              <w:top w:val="nil"/>
              <w:left w:val="nil"/>
              <w:bottom w:val="single" w:color="auto" w:sz="4" w:space="0"/>
              <w:right w:val="single" w:color="auto" w:sz="4" w:space="0"/>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231" w:hRule="atLeast"/>
        </w:trPr>
        <w:tc>
          <w:tcPr>
            <w:tcW w:w="170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部门绩效情况（45分）</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履职成效（20分）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部门特性指标</w:t>
            </w:r>
          </w:p>
        </w:tc>
        <w:tc>
          <w:tcPr>
            <w:tcW w:w="2126" w:type="dxa"/>
            <w:tcBorders>
              <w:top w:val="nil"/>
              <w:left w:val="nil"/>
              <w:bottom w:val="single" w:color="auto" w:sz="4" w:space="0"/>
              <w:right w:val="single" w:color="auto" w:sz="4" w:space="0"/>
            </w:tcBorders>
            <w:vAlign w:val="top"/>
          </w:tcPr>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rPr>
              <w:t>20</w:t>
            </w:r>
          </w:p>
        </w:tc>
      </w:tr>
      <w:tr>
        <w:tblPrEx>
          <w:tblLayout w:type="fixed"/>
          <w:tblCellMar>
            <w:top w:w="0" w:type="dxa"/>
            <w:left w:w="108" w:type="dxa"/>
            <w:bottom w:w="0" w:type="dxa"/>
            <w:right w:w="108" w:type="dxa"/>
          </w:tblCellMar>
        </w:tblPrEx>
        <w:trPr>
          <w:trHeight w:val="180" w:hRule="atLeast"/>
        </w:trPr>
        <w:tc>
          <w:tcPr>
            <w:tcW w:w="1702" w:type="dxa"/>
            <w:vMerge w:val="continue"/>
            <w:tcBorders>
              <w:left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vAlign w:val="top"/>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vAlign w:val="top"/>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vAlign w:val="top"/>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57" w:hRule="atLeast"/>
        </w:trPr>
        <w:tc>
          <w:tcPr>
            <w:tcW w:w="1702" w:type="dxa"/>
            <w:vMerge w:val="continue"/>
            <w:tcBorders>
              <w:left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可持续发展能力（15分）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重点改革（重点工作）完成情况（5分）</w:t>
            </w:r>
          </w:p>
        </w:tc>
        <w:tc>
          <w:tcPr>
            <w:tcW w:w="2126" w:type="dxa"/>
            <w:tcBorders>
              <w:top w:val="nil"/>
              <w:left w:val="nil"/>
              <w:bottom w:val="single" w:color="auto" w:sz="4" w:space="0"/>
              <w:right w:val="single" w:color="auto" w:sz="4" w:space="0"/>
            </w:tcBorders>
            <w:vAlign w:val="top"/>
          </w:tcPr>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320" w:hRule="atLeast"/>
        </w:trPr>
        <w:tc>
          <w:tcPr>
            <w:tcW w:w="1702" w:type="dxa"/>
            <w:vMerge w:val="continue"/>
            <w:tcBorders>
              <w:left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科技（制度、方法、机制等）创新（5分）</w:t>
            </w:r>
          </w:p>
        </w:tc>
        <w:tc>
          <w:tcPr>
            <w:tcW w:w="2126" w:type="dxa"/>
            <w:tcBorders>
              <w:top w:val="nil"/>
              <w:left w:val="nil"/>
              <w:bottom w:val="single" w:color="auto" w:sz="4" w:space="0"/>
              <w:right w:val="single" w:color="auto" w:sz="4" w:space="0"/>
            </w:tcBorders>
            <w:vAlign w:val="top"/>
          </w:tcPr>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385" w:hRule="atLeast"/>
        </w:trPr>
        <w:tc>
          <w:tcPr>
            <w:tcW w:w="1702" w:type="dxa"/>
            <w:vMerge w:val="continue"/>
            <w:tcBorders>
              <w:left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人才培养（5分）</w:t>
            </w:r>
          </w:p>
        </w:tc>
        <w:tc>
          <w:tcPr>
            <w:tcW w:w="2126" w:type="dxa"/>
            <w:tcBorders>
              <w:top w:val="nil"/>
              <w:left w:val="nil"/>
              <w:bottom w:val="single" w:color="auto" w:sz="4" w:space="0"/>
              <w:right w:val="single" w:color="auto" w:sz="4" w:space="0"/>
            </w:tcBorders>
            <w:vAlign w:val="top"/>
          </w:tcPr>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32" w:hRule="atLeast"/>
        </w:trPr>
        <w:tc>
          <w:tcPr>
            <w:tcW w:w="1702" w:type="dxa"/>
            <w:vMerge w:val="continue"/>
            <w:tcBorders>
              <w:left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268"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满意度（10分）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协作部门满意度（3分）</w:t>
            </w:r>
          </w:p>
        </w:tc>
        <w:tc>
          <w:tcPr>
            <w:tcW w:w="2126" w:type="dxa"/>
            <w:tcBorders>
              <w:top w:val="nil"/>
              <w:left w:val="nil"/>
              <w:bottom w:val="single" w:color="auto" w:sz="4" w:space="0"/>
              <w:right w:val="single" w:color="auto" w:sz="4" w:space="0"/>
            </w:tcBorders>
            <w:vAlign w:val="top"/>
          </w:tcPr>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396" w:hRule="atLeast"/>
        </w:trPr>
        <w:tc>
          <w:tcPr>
            <w:tcW w:w="1702" w:type="dxa"/>
            <w:vMerge w:val="continue"/>
            <w:tcBorders>
              <w:left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268" w:type="dxa"/>
            <w:vMerge w:val="continue"/>
            <w:tcBorders>
              <w:left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管理对象满意度（3分）</w:t>
            </w:r>
          </w:p>
        </w:tc>
        <w:tc>
          <w:tcPr>
            <w:tcW w:w="2126" w:type="dxa"/>
            <w:tcBorders>
              <w:top w:val="nil"/>
              <w:left w:val="nil"/>
              <w:bottom w:val="single" w:color="auto" w:sz="4" w:space="0"/>
              <w:right w:val="single" w:color="auto" w:sz="4" w:space="0"/>
            </w:tcBorders>
            <w:vAlign w:val="top"/>
          </w:tcPr>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411" w:hRule="atLeast"/>
        </w:trPr>
        <w:tc>
          <w:tcPr>
            <w:tcW w:w="170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68"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社会公众满意度（4分）</w:t>
            </w:r>
          </w:p>
        </w:tc>
        <w:tc>
          <w:tcPr>
            <w:tcW w:w="2126" w:type="dxa"/>
            <w:tcBorders>
              <w:top w:val="nil"/>
              <w:left w:val="nil"/>
              <w:bottom w:val="single" w:color="auto" w:sz="4" w:space="0"/>
              <w:right w:val="single" w:color="auto" w:sz="4" w:space="0"/>
            </w:tcBorders>
            <w:vAlign w:val="top"/>
          </w:tcPr>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rPr>
              <w:t>4</w:t>
            </w:r>
          </w:p>
        </w:tc>
      </w:tr>
    </w:tbl>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仿宋" w:hAnsi="仿宋" w:eastAsia="仿宋" w:cs="仿宋_GB2312"/>
          <w:color w:val="auto"/>
          <w:sz w:val="32"/>
          <w:szCs w:val="32"/>
          <w:lang w:eastAsia="zh-CN"/>
        </w:rPr>
      </w:pPr>
    </w:p>
    <w:p>
      <w:pPr>
        <w:spacing w:line="620" w:lineRule="exact"/>
        <w:ind w:firstLine="640" w:firstLineChars="200"/>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spacing w:line="620" w:lineRule="exact"/>
        <w:ind w:firstLine="640" w:firstLineChars="200"/>
        <w:rPr>
          <w:rFonts w:hint="eastAsia" w:ascii="方正仿宋简体" w:hAnsi="方正仿宋简体" w:eastAsia="方正仿宋简体" w:cs="方正仿宋简体"/>
          <w:sz w:val="32"/>
          <w:szCs w:val="32"/>
        </w:rPr>
      </w:pPr>
      <w:r>
        <w:rPr>
          <w:rFonts w:hint="eastAsia" w:ascii="仿宋" w:hAnsi="仿宋" w:eastAsia="仿宋" w:cs="仿宋_GB2312"/>
          <w:color w:val="auto"/>
          <w:sz w:val="32"/>
          <w:szCs w:val="32"/>
        </w:rPr>
        <w:t>《</w:t>
      </w:r>
      <w:r>
        <w:rPr>
          <w:rFonts w:hint="eastAsia" w:ascii="仿宋_GB2312" w:hAnsi="仿宋_GB2312" w:eastAsia="仿宋_GB2312" w:cs="仿宋_GB2312"/>
          <w:color w:val="auto"/>
          <w:sz w:val="32"/>
          <w:szCs w:val="32"/>
        </w:rPr>
        <w:t>基层组织建设</w:t>
      </w:r>
      <w:r>
        <w:rPr>
          <w:rFonts w:hint="eastAsia" w:ascii="仿宋_GB2312" w:hAnsi="仿宋_GB2312" w:eastAsia="仿宋_GB2312" w:cs="仿宋_GB2312"/>
          <w:color w:val="auto"/>
          <w:sz w:val="32"/>
          <w:szCs w:val="32"/>
          <w:lang w:eastAsia="zh-CN"/>
        </w:rPr>
        <w:t>经费</w:t>
      </w:r>
      <w:r>
        <w:rPr>
          <w:rFonts w:hint="eastAsia" w:ascii="仿宋" w:hAnsi="仿宋" w:eastAsia="仿宋" w:cs="仿宋_GB2312"/>
          <w:color w:val="auto"/>
          <w:sz w:val="32"/>
          <w:szCs w:val="32"/>
        </w:rPr>
        <w:t>项目2018年绩效评价报告》、《</w:t>
      </w:r>
      <w:r>
        <w:rPr>
          <w:rFonts w:hint="eastAsia" w:ascii="仿宋_GB2312" w:hAnsi="仿宋_GB2312" w:eastAsia="仿宋_GB2312" w:cs="仿宋_GB2312"/>
          <w:color w:val="auto"/>
          <w:sz w:val="32"/>
          <w:szCs w:val="32"/>
        </w:rPr>
        <w:t>农村党员干部电化教育工作经费</w:t>
      </w:r>
      <w:r>
        <w:rPr>
          <w:rFonts w:hint="eastAsia" w:ascii="仿宋" w:hAnsi="仿宋" w:eastAsia="仿宋" w:cs="仿宋_GB2312"/>
          <w:color w:val="auto"/>
          <w:sz w:val="32"/>
          <w:szCs w:val="32"/>
        </w:rPr>
        <w:t>项目2018年绩效评价报告》、《党内救助资金项目2018年绩效评价报告》、《</w:t>
      </w:r>
      <w:r>
        <w:rPr>
          <w:rFonts w:hint="eastAsia" w:ascii="仿宋_GB2312" w:hAnsi="仿宋_GB2312" w:eastAsia="仿宋_GB2312" w:cs="仿宋_GB2312"/>
          <w:color w:val="auto"/>
          <w:sz w:val="32"/>
          <w:szCs w:val="32"/>
          <w:lang w:eastAsia="zh-CN"/>
        </w:rPr>
        <w:t>党建示范带建设</w:t>
      </w:r>
      <w:r>
        <w:rPr>
          <w:rFonts w:hint="eastAsia" w:ascii="仿宋" w:hAnsi="仿宋" w:eastAsia="仿宋" w:cs="仿宋_GB2312"/>
          <w:color w:val="auto"/>
          <w:sz w:val="32"/>
          <w:szCs w:val="32"/>
        </w:rPr>
        <w:t>项目2018年绩效评价报告》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w:t>
      </w:r>
      <w:r>
        <w:rPr>
          <w:rFonts w:hint="eastAsia" w:ascii="仿宋_GB2312" w:hAnsi="仿宋_GB2312" w:eastAsia="仿宋_GB2312" w:cs="仿宋_GB2312"/>
          <w:color w:val="auto"/>
          <w:sz w:val="32"/>
          <w:szCs w:val="32"/>
        </w:rPr>
        <w:t>党建示范点建设</w:t>
      </w:r>
      <w:r>
        <w:rPr>
          <w:rFonts w:hint="eastAsia" w:ascii="仿宋" w:hAnsi="仿宋" w:eastAsia="仿宋" w:cs="仿宋_GB2312"/>
          <w:color w:val="auto"/>
          <w:sz w:val="32"/>
          <w:szCs w:val="32"/>
        </w:rPr>
        <w:t>项目2018年绩效评价报告》</w:t>
      </w:r>
    </w:p>
    <w:p>
      <w:pPr>
        <w:spacing w:line="578" w:lineRule="exact"/>
        <w:jc w:val="center"/>
        <w:rPr>
          <w:rFonts w:hint="eastAsia" w:ascii="方正小标宋简体" w:eastAsia="方正小标宋简体"/>
          <w:sz w:val="44"/>
          <w:szCs w:val="44"/>
        </w:rPr>
      </w:pPr>
      <w:bookmarkStart w:id="59" w:name="_Toc15396618"/>
    </w:p>
    <w:p>
      <w:pPr>
        <w:spacing w:line="578" w:lineRule="exact"/>
        <w:jc w:val="center"/>
        <w:rPr>
          <w:rFonts w:hint="eastAsia" w:ascii="方正小标宋简体" w:eastAsia="方正小标宋简体"/>
          <w:sz w:val="44"/>
          <w:szCs w:val="44"/>
        </w:rPr>
      </w:pPr>
    </w:p>
    <w:p>
      <w:pPr>
        <w:spacing w:line="578" w:lineRule="exact"/>
        <w:jc w:val="center"/>
        <w:rPr>
          <w:rFonts w:hint="eastAsia" w:ascii="方正小标宋简体" w:eastAsia="方正小标宋简体"/>
          <w:sz w:val="44"/>
          <w:szCs w:val="44"/>
        </w:rPr>
      </w:pPr>
      <w:r>
        <w:rPr>
          <w:rFonts w:hint="eastAsia" w:ascii="方正小标宋简体" w:eastAsia="方正小标宋简体"/>
          <w:sz w:val="44"/>
          <w:szCs w:val="44"/>
        </w:rPr>
        <w:t>达州市达川区</w:t>
      </w:r>
      <w:r>
        <w:rPr>
          <w:rFonts w:hint="eastAsia" w:ascii="方正小标宋简体" w:eastAsia="方正小标宋简体"/>
          <w:sz w:val="44"/>
          <w:szCs w:val="44"/>
          <w:lang w:eastAsia="zh-CN"/>
        </w:rPr>
        <w:t>委组织部</w:t>
      </w:r>
      <w:r>
        <w:rPr>
          <w:rFonts w:hint="eastAsia" w:ascii="方正小标宋简体" w:eastAsia="方正小标宋简体"/>
          <w:sz w:val="44"/>
          <w:szCs w:val="44"/>
        </w:rPr>
        <w:t>项目支出绩效自评报告</w:t>
      </w:r>
    </w:p>
    <w:p>
      <w:pPr>
        <w:spacing w:line="578" w:lineRule="exact"/>
        <w:jc w:val="center"/>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w:t>
      </w:r>
      <w:r>
        <w:rPr>
          <w:rFonts w:hint="eastAsia" w:ascii="方正楷体简体" w:hAnsi="方正楷体简体" w:eastAsia="方正楷体简体" w:cs="方正楷体简体"/>
          <w:sz w:val="32"/>
          <w:szCs w:val="32"/>
          <w:lang w:eastAsia="zh-CN"/>
        </w:rPr>
        <w:t>基层组织建设经费</w:t>
      </w:r>
      <w:r>
        <w:rPr>
          <w:rFonts w:hint="eastAsia" w:ascii="方正楷体简体" w:hAnsi="方正楷体简体" w:eastAsia="方正楷体简体" w:cs="方正楷体简体"/>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hint="eastAsia" w:ascii="方正楷体简体" w:hAnsi="方正楷体简体" w:eastAsia="方正楷体简体" w:cs="方正楷体简体"/>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一、项目概况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（一）项目资金申报及批复情况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2018年初，我部向区财政提出该项目经费预算100万元。区财政局及时批复，按照我部预算给予100万元项目经费</w:t>
      </w:r>
      <w:r>
        <w:rPr>
          <w:rFonts w:hint="eastAsia" w:ascii="方正仿宋简体" w:hAnsi="方正仿宋简体" w:eastAsia="方正仿宋简体" w:cs="方正仿宋简体"/>
          <w:b w:val="0"/>
          <w:bCs w:val="0"/>
          <w:sz w:val="32"/>
          <w:szCs w:val="32"/>
          <w:lang w:eastAsia="zh-CN"/>
        </w:rPr>
        <w:t>，上年财政拨款结转</w:t>
      </w:r>
      <w:r>
        <w:rPr>
          <w:rFonts w:hint="eastAsia" w:ascii="方正仿宋简体" w:hAnsi="方正仿宋简体" w:eastAsia="方正仿宋简体" w:cs="方正仿宋简体"/>
          <w:b w:val="0"/>
          <w:bCs w:val="0"/>
          <w:sz w:val="32"/>
          <w:szCs w:val="32"/>
          <w:lang w:val="en-US" w:eastAsia="zh-CN"/>
        </w:rPr>
        <w:t>27.51万元，共计基层组织建设经费127.51万元。</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（二）项目绩效目标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该项目主要</w:t>
      </w:r>
      <w:r>
        <w:rPr>
          <w:rFonts w:hint="eastAsia" w:ascii="方正仿宋简体" w:hAnsi="方正仿宋简体" w:eastAsia="方正仿宋简体" w:cs="方正仿宋简体"/>
          <w:b w:val="0"/>
          <w:bCs w:val="0"/>
          <w:sz w:val="32"/>
          <w:szCs w:val="32"/>
          <w:lang w:eastAsia="zh-CN"/>
        </w:rPr>
        <w:t>用于加强基层组织建设及党员干部的教育、管理及队伍建设、开展“两学一做”、“三严三实”等主题教育活动。本年度基层组织建设经费按计划基本实施到位，完成率</w:t>
      </w:r>
      <w:r>
        <w:rPr>
          <w:rFonts w:hint="eastAsia" w:ascii="方正仿宋简体" w:hAnsi="方正仿宋简体" w:eastAsia="方正仿宋简体" w:cs="方正仿宋简体"/>
          <w:b w:val="0"/>
          <w:bCs w:val="0"/>
          <w:sz w:val="32"/>
          <w:szCs w:val="32"/>
          <w:lang w:val="en-US" w:eastAsia="zh-CN"/>
        </w:rPr>
        <w:t>100</w:t>
      </w:r>
      <w:r>
        <w:rPr>
          <w:rFonts w:hint="eastAsia" w:ascii="方正仿宋简体" w:hAnsi="方正仿宋简体" w:eastAsia="方正仿宋简体" w:cs="方正仿宋简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（三）项目资金申报相符性</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该项目申报内容与具体实施内容相符、申报目标合理可行。</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二、项目实施及管理情况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ab/>
      </w:r>
      <w:r>
        <w:rPr>
          <w:rFonts w:hint="eastAsia" w:ascii="方正楷体简体" w:hAnsi="方正楷体简体" w:eastAsia="方正楷体简体" w:cs="方正楷体简体"/>
          <w:b w:val="0"/>
          <w:bCs w:val="0"/>
          <w:sz w:val="32"/>
          <w:szCs w:val="32"/>
        </w:rPr>
        <w:t>（一）资金计划、到位及使用情况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1</w:t>
      </w:r>
      <w:r>
        <w:rPr>
          <w:rFonts w:hint="eastAsia" w:ascii="方正仿宋简体" w:hAnsi="方正仿宋简体" w:eastAsia="方正仿宋简体" w:cs="方正仿宋简体"/>
          <w:b w:val="0"/>
          <w:bCs w:val="0"/>
          <w:sz w:val="32"/>
          <w:szCs w:val="32"/>
          <w:lang w:val="en-US" w:eastAsia="zh-CN"/>
        </w:rPr>
        <w:t>.</w:t>
      </w:r>
      <w:r>
        <w:rPr>
          <w:rFonts w:hint="eastAsia" w:ascii="方正仿宋简体" w:hAnsi="方正仿宋简体" w:eastAsia="方正仿宋简体" w:cs="方正仿宋简体"/>
          <w:b w:val="0"/>
          <w:bCs w:val="0"/>
          <w:sz w:val="32"/>
          <w:szCs w:val="32"/>
        </w:rPr>
        <w:t>资金计划及</w:t>
      </w:r>
      <w:r>
        <w:rPr>
          <w:rFonts w:hint="eastAsia" w:ascii="方正仿宋简体" w:hAnsi="方正仿宋简体" w:eastAsia="方正仿宋简体" w:cs="方正仿宋简体"/>
          <w:b w:val="0"/>
          <w:bCs w:val="0"/>
          <w:sz w:val="32"/>
          <w:szCs w:val="32"/>
          <w:lang w:eastAsia="zh-CN"/>
        </w:rPr>
        <w:t>时</w:t>
      </w:r>
      <w:r>
        <w:rPr>
          <w:rFonts w:hint="eastAsia" w:ascii="方正仿宋简体" w:hAnsi="方正仿宋简体" w:eastAsia="方正仿宋简体" w:cs="方正仿宋简体"/>
          <w:b w:val="0"/>
          <w:bCs w:val="0"/>
          <w:sz w:val="32"/>
          <w:szCs w:val="32"/>
        </w:rPr>
        <w:t>到位。201</w:t>
      </w:r>
      <w:r>
        <w:rPr>
          <w:rFonts w:hint="eastAsia" w:ascii="方正仿宋简体" w:hAnsi="方正仿宋简体" w:eastAsia="方正仿宋简体" w:cs="方正仿宋简体"/>
          <w:b w:val="0"/>
          <w:bCs w:val="0"/>
          <w:sz w:val="32"/>
          <w:szCs w:val="32"/>
          <w:lang w:val="en-US" w:eastAsia="zh-CN"/>
        </w:rPr>
        <w:t>8</w:t>
      </w:r>
      <w:r>
        <w:rPr>
          <w:rFonts w:hint="eastAsia" w:ascii="方正仿宋简体" w:hAnsi="方正仿宋简体" w:eastAsia="方正仿宋简体" w:cs="方正仿宋简体"/>
          <w:b w:val="0"/>
          <w:bCs w:val="0"/>
          <w:sz w:val="32"/>
          <w:szCs w:val="32"/>
        </w:rPr>
        <w:t xml:space="preserve"> 年</w:t>
      </w:r>
      <w:r>
        <w:rPr>
          <w:rFonts w:hint="eastAsia" w:ascii="方正仿宋简体" w:hAnsi="方正仿宋简体" w:eastAsia="方正仿宋简体" w:cs="方正仿宋简体"/>
          <w:b w:val="0"/>
          <w:bCs w:val="0"/>
          <w:sz w:val="32"/>
          <w:szCs w:val="32"/>
          <w:lang w:eastAsia="zh-CN"/>
        </w:rPr>
        <w:t>上半年，</w:t>
      </w:r>
      <w:r>
        <w:rPr>
          <w:rFonts w:hint="eastAsia" w:ascii="方正仿宋简体" w:hAnsi="方正仿宋简体" w:eastAsia="方正仿宋简体" w:cs="方正仿宋简体"/>
          <w:b w:val="0"/>
          <w:bCs w:val="0"/>
          <w:sz w:val="32"/>
          <w:szCs w:val="32"/>
        </w:rPr>
        <w:t>项目资金通过财政大平台直接支付拨付到</w:t>
      </w:r>
      <w:r>
        <w:rPr>
          <w:rFonts w:hint="eastAsia" w:ascii="方正仿宋简体" w:hAnsi="方正仿宋简体" w:eastAsia="方正仿宋简体" w:cs="方正仿宋简体"/>
          <w:b w:val="0"/>
          <w:bCs w:val="0"/>
          <w:sz w:val="32"/>
          <w:szCs w:val="32"/>
          <w:lang w:eastAsia="zh-CN"/>
        </w:rPr>
        <w:t>我部</w:t>
      </w:r>
      <w:r>
        <w:rPr>
          <w:rFonts w:hint="eastAsia" w:ascii="方正仿宋简体" w:hAnsi="方正仿宋简体" w:eastAsia="方正仿宋简体" w:cs="方正仿宋简体"/>
          <w:b w:val="0"/>
          <w:bCs w:val="0"/>
          <w:sz w:val="32"/>
          <w:szCs w:val="32"/>
        </w:rPr>
        <w:t>账户，实际到位资金</w:t>
      </w:r>
      <w:r>
        <w:rPr>
          <w:rFonts w:hint="eastAsia" w:ascii="方正仿宋简体" w:hAnsi="方正仿宋简体" w:eastAsia="方正仿宋简体" w:cs="方正仿宋简体"/>
          <w:b w:val="0"/>
          <w:bCs w:val="0"/>
          <w:sz w:val="32"/>
          <w:szCs w:val="32"/>
          <w:lang w:val="en-US" w:eastAsia="zh-CN"/>
        </w:rPr>
        <w:t>127.51</w:t>
      </w:r>
      <w:r>
        <w:rPr>
          <w:rFonts w:hint="eastAsia" w:ascii="方正仿宋简体" w:hAnsi="方正仿宋简体" w:eastAsia="方正仿宋简体" w:cs="方正仿宋简体"/>
          <w:b w:val="0"/>
          <w:bCs w:val="0"/>
          <w:sz w:val="32"/>
          <w:szCs w:val="32"/>
        </w:rPr>
        <w:t>万元</w:t>
      </w:r>
      <w:r>
        <w:rPr>
          <w:rFonts w:hint="eastAsia" w:ascii="方正仿宋简体" w:hAnsi="方正仿宋简体" w:eastAsia="方正仿宋简体" w:cs="方正仿宋简体"/>
          <w:b w:val="0"/>
          <w:bCs w:val="0"/>
          <w:sz w:val="32"/>
          <w:szCs w:val="32"/>
          <w:lang w:eastAsia="zh-CN"/>
        </w:rPr>
        <w:t>。我部及时将资金存于专户，专款专用，</w:t>
      </w:r>
      <w:r>
        <w:rPr>
          <w:rFonts w:hint="eastAsia" w:ascii="方正仿宋简体" w:hAnsi="方正仿宋简体" w:eastAsia="方正仿宋简体" w:cs="方正仿宋简体"/>
          <w:b w:val="0"/>
          <w:bCs w:val="0"/>
          <w:sz w:val="32"/>
          <w:szCs w:val="32"/>
        </w:rPr>
        <w:t>资金到位及时，到位率100%。</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2</w:t>
      </w:r>
      <w:r>
        <w:rPr>
          <w:rFonts w:hint="eastAsia" w:ascii="方正仿宋简体" w:hAnsi="方正仿宋简体" w:eastAsia="方正仿宋简体" w:cs="方正仿宋简体"/>
          <w:b w:val="0"/>
          <w:bCs w:val="0"/>
          <w:sz w:val="32"/>
          <w:szCs w:val="32"/>
          <w:lang w:val="en-US" w:eastAsia="zh-CN"/>
        </w:rPr>
        <w:t>.</w:t>
      </w:r>
      <w:r>
        <w:rPr>
          <w:rFonts w:hint="eastAsia" w:ascii="方正仿宋简体" w:hAnsi="方正仿宋简体" w:eastAsia="方正仿宋简体" w:cs="方正仿宋简体"/>
          <w:b w:val="0"/>
          <w:bCs w:val="0"/>
          <w:sz w:val="32"/>
          <w:szCs w:val="32"/>
        </w:rPr>
        <w:t>资金使用。该项</w:t>
      </w:r>
      <w:r>
        <w:rPr>
          <w:rFonts w:hint="eastAsia" w:ascii="方正仿宋简体" w:hAnsi="方正仿宋简体" w:eastAsia="方正仿宋简体" w:cs="方正仿宋简体"/>
          <w:b w:val="0"/>
          <w:bCs w:val="0"/>
          <w:sz w:val="32"/>
          <w:szCs w:val="32"/>
          <w:lang w:eastAsia="zh-CN"/>
        </w:rPr>
        <w:t>目经费主要用于建强基层党组织、党建工作督导等。</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（二）项目财务管理情况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eastAsia="zh-CN"/>
        </w:rPr>
        <w:t>我部严格按照规定加强项目经费专项管理，</w:t>
      </w:r>
      <w:r>
        <w:rPr>
          <w:rFonts w:hint="eastAsia" w:ascii="方正仿宋简体" w:hAnsi="方正仿宋简体" w:eastAsia="方正仿宋简体" w:cs="方正仿宋简体"/>
          <w:b w:val="0"/>
          <w:bCs w:val="0"/>
          <w:sz w:val="32"/>
          <w:szCs w:val="32"/>
        </w:rPr>
        <w:t>做到项目资金专款专用，</w:t>
      </w:r>
      <w:r>
        <w:rPr>
          <w:rFonts w:hint="eastAsia" w:ascii="方正仿宋简体" w:hAnsi="方正仿宋简体" w:eastAsia="方正仿宋简体" w:cs="方正仿宋简体"/>
          <w:b w:val="0"/>
          <w:bCs w:val="0"/>
          <w:sz w:val="32"/>
          <w:szCs w:val="32"/>
          <w:lang w:eastAsia="zh-CN"/>
        </w:rPr>
        <w:t>坚决不挪用、不挤占</w:t>
      </w:r>
      <w:r>
        <w:rPr>
          <w:rFonts w:hint="eastAsia" w:ascii="方正仿宋简体" w:hAnsi="方正仿宋简体" w:eastAsia="方正仿宋简体" w:cs="方正仿宋简体"/>
          <w:b w:val="0"/>
          <w:bCs w:val="0"/>
          <w:sz w:val="32"/>
          <w:szCs w:val="32"/>
        </w:rPr>
        <w:t>，会计核算及账务处理合理健全，账务真实，手续完备。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三、目标完成情况</w:t>
      </w:r>
      <w:r>
        <w:rPr>
          <w:rFonts w:hint="eastAsia" w:ascii="方正黑体简体" w:hAnsi="方正黑体简体" w:eastAsia="方正黑体简体" w:cs="方正黑体简体"/>
          <w:b w:val="0"/>
          <w:bCs w:val="0"/>
          <w:sz w:val="32"/>
          <w:szCs w:val="32"/>
        </w:rPr>
        <w:tab/>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仿宋简体" w:hAnsi="方正仿宋简体" w:eastAsia="方正仿宋简体" w:cs="方正仿宋简体"/>
          <w:b w:val="0"/>
          <w:bCs w:val="0"/>
          <w:sz w:val="32"/>
          <w:szCs w:val="32"/>
          <w:lang w:val="zh-CN" w:eastAsia="zh-CN"/>
        </w:rPr>
        <w:t>201</w:t>
      </w:r>
      <w:r>
        <w:rPr>
          <w:rFonts w:hint="eastAsia" w:ascii="方正仿宋简体" w:hAnsi="方正仿宋简体" w:eastAsia="方正仿宋简体" w:cs="方正仿宋简体"/>
          <w:b w:val="0"/>
          <w:bCs w:val="0"/>
          <w:sz w:val="32"/>
          <w:szCs w:val="32"/>
          <w:lang w:val="en-US" w:eastAsia="zh-CN"/>
        </w:rPr>
        <w:t>8</w:t>
      </w:r>
      <w:r>
        <w:rPr>
          <w:rFonts w:hint="eastAsia" w:ascii="方正仿宋简体" w:hAnsi="方正仿宋简体" w:eastAsia="方正仿宋简体" w:cs="方正仿宋简体"/>
          <w:b w:val="0"/>
          <w:bCs w:val="0"/>
          <w:sz w:val="32"/>
          <w:szCs w:val="32"/>
          <w:lang w:val="zh-CN" w:eastAsia="zh-CN"/>
        </w:rPr>
        <w:t>年基层组织建设经费按年初项目预算规划并接合全年党建工作任务有条不紊进行开展，全年基层组织建设经费按预算和工作规划全部实施完成。</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四、项目效益情况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仿宋简体" w:hAnsi="方正仿宋简体" w:eastAsia="方正仿宋简体" w:cs="方正仿宋简体"/>
          <w:b w:val="0"/>
          <w:bCs w:val="0"/>
          <w:sz w:val="32"/>
          <w:szCs w:val="32"/>
          <w:lang w:val="zh-CN" w:eastAsia="zh-CN"/>
        </w:rPr>
        <w:t>通过开展基层组织建设和党员队伍建设，进一步提振党员干部干事创业的热情；通过开展“两学一做”“三严三实”等教育，进一步提高了基层党组织党员干部政治理论素养和能力，提升了全区组织工作水平。</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五、问题及建议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楷体_GBK" w:hAnsi="方正楷体_GBK" w:eastAsia="方正楷体_GBK" w:cs="方正楷体_GBK"/>
          <w:b w:val="0"/>
          <w:bCs w:val="0"/>
          <w:sz w:val="32"/>
          <w:szCs w:val="32"/>
          <w:lang w:val="zh-CN" w:eastAsia="zh-CN"/>
        </w:rPr>
        <w:t>（一）存在的问题。</w:t>
      </w:r>
      <w:r>
        <w:rPr>
          <w:rFonts w:hint="eastAsia" w:ascii="方正仿宋简体" w:hAnsi="方正仿宋简体" w:eastAsia="方正仿宋简体" w:cs="方正仿宋简体"/>
          <w:b w:val="0"/>
          <w:bCs w:val="0"/>
          <w:sz w:val="32"/>
          <w:szCs w:val="32"/>
          <w:lang w:val="zh-CN" w:eastAsia="zh-CN"/>
        </w:rPr>
        <w:t>根据本次绩效评价情况，存在预算绩效申报时，对项目编制不够明细和精准，绩效目标未完全细化分解为具体工作任务，部分绩效指标不清晰、可衡量性差。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楷体_GBK" w:hAnsi="方正楷体_GBK" w:eastAsia="方正楷体_GBK" w:cs="方正楷体_GBK"/>
          <w:b w:val="0"/>
          <w:bCs w:val="0"/>
          <w:sz w:val="32"/>
          <w:szCs w:val="32"/>
          <w:lang w:val="zh-CN" w:eastAsia="zh-CN"/>
        </w:rPr>
        <w:t>（二）整改措施</w:t>
      </w:r>
      <w:r>
        <w:rPr>
          <w:rFonts w:hint="eastAsia" w:ascii="方正仿宋简体" w:hAnsi="方正仿宋简体" w:eastAsia="方正仿宋简体" w:cs="方正仿宋简体"/>
          <w:b w:val="0"/>
          <w:bCs w:val="0"/>
          <w:sz w:val="32"/>
          <w:szCs w:val="32"/>
          <w:lang w:val="zh-CN" w:eastAsia="zh-CN"/>
        </w:rPr>
        <w:t>。针对上述问题，单位在今后的预算绩效申报时，在财务部门的配合下，将全年工作任务细化分解为具体的工作目标，并尽量采取定量的方式制定清晰、可衡量的绩效指标。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0"/>
        <w:rPr>
          <w:rFonts w:hint="eastAsia" w:ascii="黑体" w:hAnsi="黑体" w:eastAsia="黑体"/>
          <w:color w:val="000000"/>
          <w:sz w:val="32"/>
          <w:szCs w:val="32"/>
        </w:rPr>
      </w:pPr>
    </w:p>
    <w:p>
      <w:pPr>
        <w:spacing w:line="578" w:lineRule="exact"/>
        <w:jc w:val="center"/>
        <w:rPr>
          <w:rFonts w:hint="eastAsia" w:ascii="方正小标宋简体" w:eastAsia="方正小标宋简体"/>
          <w:sz w:val="44"/>
          <w:szCs w:val="44"/>
        </w:rPr>
      </w:pPr>
      <w:r>
        <w:rPr>
          <w:rFonts w:hint="eastAsia" w:ascii="方正小标宋简体" w:eastAsia="方正小标宋简体"/>
          <w:sz w:val="44"/>
          <w:szCs w:val="44"/>
        </w:rPr>
        <w:t>达州市达川区</w:t>
      </w:r>
      <w:r>
        <w:rPr>
          <w:rFonts w:hint="eastAsia" w:ascii="方正小标宋简体" w:eastAsia="方正小标宋简体"/>
          <w:sz w:val="44"/>
          <w:szCs w:val="44"/>
          <w:lang w:eastAsia="zh-CN"/>
        </w:rPr>
        <w:t>委组织部</w:t>
      </w:r>
      <w:r>
        <w:rPr>
          <w:rFonts w:hint="eastAsia" w:ascii="方正小标宋简体" w:eastAsia="方正小标宋简体"/>
          <w:sz w:val="44"/>
          <w:szCs w:val="44"/>
        </w:rPr>
        <w:t>项目支出绩效自评报告</w:t>
      </w:r>
    </w:p>
    <w:p>
      <w:pPr>
        <w:spacing w:line="578" w:lineRule="exact"/>
        <w:jc w:val="center"/>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w:t>
      </w:r>
      <w:r>
        <w:rPr>
          <w:rFonts w:hint="eastAsia" w:ascii="方正楷体简体" w:hAnsi="方正楷体简体" w:eastAsia="方正楷体简体" w:cs="方正楷体简体"/>
          <w:sz w:val="32"/>
          <w:szCs w:val="32"/>
          <w:lang w:eastAsia="zh-CN"/>
        </w:rPr>
        <w:t>农村党员干部电化教育工作经费</w:t>
      </w:r>
      <w:r>
        <w:rPr>
          <w:rFonts w:hint="eastAsia" w:ascii="方正楷体简体" w:hAnsi="方正楷体简体" w:eastAsia="方正楷体简体" w:cs="方正楷体简体"/>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hint="eastAsia" w:ascii="方正楷体简体" w:hAnsi="方正楷体简体" w:eastAsia="方正楷体简体" w:cs="方正楷体简体"/>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一、项目概况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（一）项目资金申报及批复情况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2018年初，我部向区财政提出该项目经费预算92.62万元。区财政局及时批复，按照我部预算给予92.62万元项目经费。</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（二）项目绩效目标</w:t>
      </w:r>
    </w:p>
    <w:p>
      <w:pPr>
        <w:spacing w:line="578" w:lineRule="exact"/>
        <w:ind w:left="200" w:firstLine="480" w:firstLineChars="15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该项目主要</w:t>
      </w:r>
      <w:r>
        <w:rPr>
          <w:rFonts w:hint="eastAsia" w:ascii="方正仿宋简体" w:hAnsi="方正仿宋简体" w:eastAsia="方正仿宋简体" w:cs="方正仿宋简体"/>
          <w:b w:val="0"/>
          <w:bCs w:val="0"/>
          <w:sz w:val="32"/>
          <w:szCs w:val="32"/>
          <w:lang w:eastAsia="zh-CN"/>
        </w:rPr>
        <w:t>用于</w:t>
      </w:r>
      <w:r>
        <w:rPr>
          <w:rFonts w:hint="eastAsia" w:ascii="Times New Roman" w:hAnsi="Times New Roman" w:eastAsia="方正仿宋简体" w:cs="Times New Roman"/>
          <w:sz w:val="32"/>
          <w:szCs w:val="32"/>
        </w:rPr>
        <w:t>抓好全区党员电化教育网络和农村党员干部现代远程教育站点建设及管理工作，发挥自身优势，为全区基层党建、干部及人才队伍建设等工作搞好宣传和服务。</w:t>
      </w:r>
      <w:r>
        <w:rPr>
          <w:rFonts w:hint="eastAsia" w:ascii="方正仿宋简体" w:hAnsi="方正仿宋简体" w:eastAsia="方正仿宋简体" w:cs="方正仿宋简体"/>
          <w:b w:val="0"/>
          <w:bCs w:val="0"/>
          <w:sz w:val="32"/>
          <w:szCs w:val="32"/>
          <w:lang w:eastAsia="zh-CN"/>
        </w:rPr>
        <w:t>本年度农村党员电化教育工作经费按计划基本实施到位，完成率</w:t>
      </w:r>
      <w:r>
        <w:rPr>
          <w:rFonts w:hint="eastAsia" w:ascii="方正仿宋简体" w:hAnsi="方正仿宋简体" w:eastAsia="方正仿宋简体" w:cs="方正仿宋简体"/>
          <w:b w:val="0"/>
          <w:bCs w:val="0"/>
          <w:sz w:val="32"/>
          <w:szCs w:val="32"/>
          <w:lang w:val="en-US" w:eastAsia="zh-CN"/>
        </w:rPr>
        <w:t>100</w:t>
      </w:r>
      <w:r>
        <w:rPr>
          <w:rFonts w:hint="eastAsia" w:ascii="方正仿宋简体" w:hAnsi="方正仿宋简体" w:eastAsia="方正仿宋简体" w:cs="方正仿宋简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（三）项目资金申报相符性</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该项目申报内容与具体实施内容相符、申报目标合理可行。</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二、项目实施及管理情况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ab/>
      </w:r>
      <w:r>
        <w:rPr>
          <w:rFonts w:hint="eastAsia" w:ascii="方正楷体简体" w:hAnsi="方正楷体简体" w:eastAsia="方正楷体简体" w:cs="方正楷体简体"/>
          <w:b w:val="0"/>
          <w:bCs w:val="0"/>
          <w:sz w:val="32"/>
          <w:szCs w:val="32"/>
        </w:rPr>
        <w:t>（一）资金计划、到位及使用情况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1</w:t>
      </w:r>
      <w:r>
        <w:rPr>
          <w:rFonts w:hint="eastAsia" w:ascii="方正仿宋简体" w:hAnsi="方正仿宋简体" w:eastAsia="方正仿宋简体" w:cs="方正仿宋简体"/>
          <w:b w:val="0"/>
          <w:bCs w:val="0"/>
          <w:sz w:val="32"/>
          <w:szCs w:val="32"/>
          <w:lang w:val="en-US" w:eastAsia="zh-CN"/>
        </w:rPr>
        <w:t>.</w:t>
      </w:r>
      <w:r>
        <w:rPr>
          <w:rFonts w:hint="eastAsia" w:ascii="方正仿宋简体" w:hAnsi="方正仿宋简体" w:eastAsia="方正仿宋简体" w:cs="方正仿宋简体"/>
          <w:b w:val="0"/>
          <w:bCs w:val="0"/>
          <w:sz w:val="32"/>
          <w:szCs w:val="32"/>
        </w:rPr>
        <w:t>资金计划及</w:t>
      </w:r>
      <w:r>
        <w:rPr>
          <w:rFonts w:hint="eastAsia" w:ascii="方正仿宋简体" w:hAnsi="方正仿宋简体" w:eastAsia="方正仿宋简体" w:cs="方正仿宋简体"/>
          <w:b w:val="0"/>
          <w:bCs w:val="0"/>
          <w:sz w:val="32"/>
          <w:szCs w:val="32"/>
          <w:lang w:eastAsia="zh-CN"/>
        </w:rPr>
        <w:t>时</w:t>
      </w:r>
      <w:r>
        <w:rPr>
          <w:rFonts w:hint="eastAsia" w:ascii="方正仿宋简体" w:hAnsi="方正仿宋简体" w:eastAsia="方正仿宋简体" w:cs="方正仿宋简体"/>
          <w:b w:val="0"/>
          <w:bCs w:val="0"/>
          <w:sz w:val="32"/>
          <w:szCs w:val="32"/>
        </w:rPr>
        <w:t>到位。201</w:t>
      </w:r>
      <w:r>
        <w:rPr>
          <w:rFonts w:hint="eastAsia" w:ascii="方正仿宋简体" w:hAnsi="方正仿宋简体" w:eastAsia="方正仿宋简体" w:cs="方正仿宋简体"/>
          <w:b w:val="0"/>
          <w:bCs w:val="0"/>
          <w:sz w:val="32"/>
          <w:szCs w:val="32"/>
          <w:lang w:val="en-US" w:eastAsia="zh-CN"/>
        </w:rPr>
        <w:t>8</w:t>
      </w:r>
      <w:r>
        <w:rPr>
          <w:rFonts w:hint="eastAsia" w:ascii="方正仿宋简体" w:hAnsi="方正仿宋简体" w:eastAsia="方正仿宋简体" w:cs="方正仿宋简体"/>
          <w:b w:val="0"/>
          <w:bCs w:val="0"/>
          <w:sz w:val="32"/>
          <w:szCs w:val="32"/>
        </w:rPr>
        <w:t xml:space="preserve"> 年</w:t>
      </w:r>
      <w:r>
        <w:rPr>
          <w:rFonts w:hint="eastAsia" w:ascii="方正仿宋简体" w:hAnsi="方正仿宋简体" w:eastAsia="方正仿宋简体" w:cs="方正仿宋简体"/>
          <w:b w:val="0"/>
          <w:bCs w:val="0"/>
          <w:sz w:val="32"/>
          <w:szCs w:val="32"/>
          <w:lang w:eastAsia="zh-CN"/>
        </w:rPr>
        <w:t>上半年，</w:t>
      </w:r>
      <w:r>
        <w:rPr>
          <w:rFonts w:hint="eastAsia" w:ascii="方正仿宋简体" w:hAnsi="方正仿宋简体" w:eastAsia="方正仿宋简体" w:cs="方正仿宋简体"/>
          <w:b w:val="0"/>
          <w:bCs w:val="0"/>
          <w:sz w:val="32"/>
          <w:szCs w:val="32"/>
        </w:rPr>
        <w:t>项目资金通过财政大平台直接支付拨付到</w:t>
      </w:r>
      <w:r>
        <w:rPr>
          <w:rFonts w:hint="eastAsia" w:ascii="方正仿宋简体" w:hAnsi="方正仿宋简体" w:eastAsia="方正仿宋简体" w:cs="方正仿宋简体"/>
          <w:b w:val="0"/>
          <w:bCs w:val="0"/>
          <w:sz w:val="32"/>
          <w:szCs w:val="32"/>
          <w:lang w:eastAsia="zh-CN"/>
        </w:rPr>
        <w:t>我部</w:t>
      </w:r>
      <w:r>
        <w:rPr>
          <w:rFonts w:hint="eastAsia" w:ascii="方正仿宋简体" w:hAnsi="方正仿宋简体" w:eastAsia="方正仿宋简体" w:cs="方正仿宋简体"/>
          <w:b w:val="0"/>
          <w:bCs w:val="0"/>
          <w:sz w:val="32"/>
          <w:szCs w:val="32"/>
        </w:rPr>
        <w:t>账户，实际到位资金</w:t>
      </w:r>
      <w:r>
        <w:rPr>
          <w:rFonts w:hint="eastAsia" w:ascii="方正仿宋简体" w:hAnsi="方正仿宋简体" w:eastAsia="方正仿宋简体" w:cs="方正仿宋简体"/>
          <w:b w:val="0"/>
          <w:bCs w:val="0"/>
          <w:sz w:val="32"/>
          <w:szCs w:val="32"/>
          <w:lang w:val="en-US" w:eastAsia="zh-CN"/>
        </w:rPr>
        <w:t>92.62</w:t>
      </w:r>
      <w:r>
        <w:rPr>
          <w:rFonts w:hint="eastAsia" w:ascii="方正仿宋简体" w:hAnsi="方正仿宋简体" w:eastAsia="方正仿宋简体" w:cs="方正仿宋简体"/>
          <w:b w:val="0"/>
          <w:bCs w:val="0"/>
          <w:sz w:val="32"/>
          <w:szCs w:val="32"/>
        </w:rPr>
        <w:t>万元</w:t>
      </w:r>
      <w:r>
        <w:rPr>
          <w:rFonts w:hint="eastAsia" w:ascii="方正仿宋简体" w:hAnsi="方正仿宋简体" w:eastAsia="方正仿宋简体" w:cs="方正仿宋简体"/>
          <w:b w:val="0"/>
          <w:bCs w:val="0"/>
          <w:sz w:val="32"/>
          <w:szCs w:val="32"/>
          <w:lang w:eastAsia="zh-CN"/>
        </w:rPr>
        <w:t>。我部及时将资金存于专户，专款专用，</w:t>
      </w:r>
      <w:r>
        <w:rPr>
          <w:rFonts w:hint="eastAsia" w:ascii="方正仿宋简体" w:hAnsi="方正仿宋简体" w:eastAsia="方正仿宋简体" w:cs="方正仿宋简体"/>
          <w:b w:val="0"/>
          <w:bCs w:val="0"/>
          <w:sz w:val="32"/>
          <w:szCs w:val="32"/>
        </w:rPr>
        <w:t>资金到位及时，到位率100%。</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2</w:t>
      </w:r>
      <w:r>
        <w:rPr>
          <w:rFonts w:hint="eastAsia" w:ascii="方正仿宋简体" w:hAnsi="方正仿宋简体" w:eastAsia="方正仿宋简体" w:cs="方正仿宋简体"/>
          <w:b w:val="0"/>
          <w:bCs w:val="0"/>
          <w:sz w:val="32"/>
          <w:szCs w:val="32"/>
          <w:lang w:val="en-US" w:eastAsia="zh-CN"/>
        </w:rPr>
        <w:t>.</w:t>
      </w:r>
      <w:r>
        <w:rPr>
          <w:rFonts w:hint="eastAsia" w:ascii="方正仿宋简体" w:hAnsi="方正仿宋简体" w:eastAsia="方正仿宋简体" w:cs="方正仿宋简体"/>
          <w:b w:val="0"/>
          <w:bCs w:val="0"/>
          <w:sz w:val="32"/>
          <w:szCs w:val="32"/>
        </w:rPr>
        <w:t>资金使用。该项</w:t>
      </w:r>
      <w:r>
        <w:rPr>
          <w:rFonts w:hint="eastAsia" w:ascii="方正仿宋简体" w:hAnsi="方正仿宋简体" w:eastAsia="方正仿宋简体" w:cs="方正仿宋简体"/>
          <w:b w:val="0"/>
          <w:bCs w:val="0"/>
          <w:sz w:val="32"/>
          <w:szCs w:val="32"/>
          <w:lang w:eastAsia="zh-CN"/>
        </w:rPr>
        <w:t>目经费主要用于农村党员远程教育等。</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（二）项目财务管理情况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eastAsia="zh-CN"/>
        </w:rPr>
        <w:t>我部严格按照规定加强项目经费专项管理，</w:t>
      </w:r>
      <w:r>
        <w:rPr>
          <w:rFonts w:hint="eastAsia" w:ascii="方正仿宋简体" w:hAnsi="方正仿宋简体" w:eastAsia="方正仿宋简体" w:cs="方正仿宋简体"/>
          <w:b w:val="0"/>
          <w:bCs w:val="0"/>
          <w:sz w:val="32"/>
          <w:szCs w:val="32"/>
        </w:rPr>
        <w:t>做到项目资金专款专用，</w:t>
      </w:r>
      <w:r>
        <w:rPr>
          <w:rFonts w:hint="eastAsia" w:ascii="方正仿宋简体" w:hAnsi="方正仿宋简体" w:eastAsia="方正仿宋简体" w:cs="方正仿宋简体"/>
          <w:b w:val="0"/>
          <w:bCs w:val="0"/>
          <w:sz w:val="32"/>
          <w:szCs w:val="32"/>
          <w:lang w:eastAsia="zh-CN"/>
        </w:rPr>
        <w:t>坚决不挪用、不挤占</w:t>
      </w:r>
      <w:r>
        <w:rPr>
          <w:rFonts w:hint="eastAsia" w:ascii="方正仿宋简体" w:hAnsi="方正仿宋简体" w:eastAsia="方正仿宋简体" w:cs="方正仿宋简体"/>
          <w:b w:val="0"/>
          <w:bCs w:val="0"/>
          <w:sz w:val="32"/>
          <w:szCs w:val="32"/>
        </w:rPr>
        <w:t>，会计核算及账务处理合理健全，账务真实，手续完备。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三、目标完成情况</w:t>
      </w:r>
      <w:r>
        <w:rPr>
          <w:rFonts w:hint="eastAsia" w:ascii="方正黑体简体" w:hAnsi="方正黑体简体" w:eastAsia="方正黑体简体" w:cs="方正黑体简体"/>
          <w:b w:val="0"/>
          <w:bCs w:val="0"/>
          <w:sz w:val="32"/>
          <w:szCs w:val="32"/>
        </w:rPr>
        <w:tab/>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仿宋简体" w:hAnsi="方正仿宋简体" w:eastAsia="方正仿宋简体" w:cs="方正仿宋简体"/>
          <w:b w:val="0"/>
          <w:bCs w:val="0"/>
          <w:sz w:val="32"/>
          <w:szCs w:val="32"/>
          <w:lang w:val="zh-CN" w:eastAsia="zh-CN"/>
        </w:rPr>
        <w:t>201</w:t>
      </w:r>
      <w:r>
        <w:rPr>
          <w:rFonts w:hint="eastAsia" w:ascii="方正仿宋简体" w:hAnsi="方正仿宋简体" w:eastAsia="方正仿宋简体" w:cs="方正仿宋简体"/>
          <w:b w:val="0"/>
          <w:bCs w:val="0"/>
          <w:sz w:val="32"/>
          <w:szCs w:val="32"/>
          <w:lang w:val="en-US" w:eastAsia="zh-CN"/>
        </w:rPr>
        <w:t>8</w:t>
      </w:r>
      <w:r>
        <w:rPr>
          <w:rFonts w:hint="eastAsia" w:ascii="方正仿宋简体" w:hAnsi="方正仿宋简体" w:eastAsia="方正仿宋简体" w:cs="方正仿宋简体"/>
          <w:b w:val="0"/>
          <w:bCs w:val="0"/>
          <w:sz w:val="32"/>
          <w:szCs w:val="32"/>
          <w:lang w:val="zh-CN" w:eastAsia="zh-CN"/>
        </w:rPr>
        <w:t>年农村党员电化教育工作经费按年初项目预算规划并接合全年党建工作任务有条不紊进行开展，全年农村党员电化教育工作经费按预算和工作规划全部实施完成。</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四、项目效益情况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仿宋简体" w:hAnsi="方正仿宋简体" w:eastAsia="方正仿宋简体" w:cs="方正仿宋简体"/>
          <w:b w:val="0"/>
          <w:bCs w:val="0"/>
          <w:sz w:val="32"/>
          <w:szCs w:val="32"/>
          <w:lang w:val="zh-CN" w:eastAsia="zh-CN"/>
        </w:rPr>
        <w:t>通过加强农村党员电化教育站点的建设及管理，加大硬件、软件的投入，农村党员干部远程教育工作推进有序，成效明显。</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五、问题及建议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楷体_GBK" w:hAnsi="方正楷体_GBK" w:eastAsia="方正楷体_GBK" w:cs="方正楷体_GBK"/>
          <w:b w:val="0"/>
          <w:bCs w:val="0"/>
          <w:sz w:val="32"/>
          <w:szCs w:val="32"/>
          <w:lang w:val="zh-CN" w:eastAsia="zh-CN"/>
        </w:rPr>
        <w:t>（一）存在的问题。</w:t>
      </w:r>
      <w:r>
        <w:rPr>
          <w:rFonts w:hint="eastAsia" w:ascii="方正仿宋简体" w:hAnsi="方正仿宋简体" w:eastAsia="方正仿宋简体" w:cs="方正仿宋简体"/>
          <w:b w:val="0"/>
          <w:bCs w:val="0"/>
          <w:sz w:val="32"/>
          <w:szCs w:val="32"/>
          <w:lang w:val="zh-CN" w:eastAsia="zh-CN"/>
        </w:rPr>
        <w:t>根据本次绩效评价情况，存在预算绩效申报时，对项目编制不够明细和精准，绩效目标未完全细化分解为具体工作任务，部分绩效指标不清晰、可衡量性差。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楷体_GBK" w:hAnsi="方正楷体_GBK" w:eastAsia="方正楷体_GBK" w:cs="方正楷体_GBK"/>
          <w:b w:val="0"/>
          <w:bCs w:val="0"/>
          <w:sz w:val="32"/>
          <w:szCs w:val="32"/>
          <w:lang w:val="zh-CN" w:eastAsia="zh-CN"/>
        </w:rPr>
        <w:t>（二）整改措施</w:t>
      </w:r>
      <w:r>
        <w:rPr>
          <w:rFonts w:hint="eastAsia" w:ascii="方正仿宋简体" w:hAnsi="方正仿宋简体" w:eastAsia="方正仿宋简体" w:cs="方正仿宋简体"/>
          <w:b w:val="0"/>
          <w:bCs w:val="0"/>
          <w:sz w:val="32"/>
          <w:szCs w:val="32"/>
          <w:lang w:val="zh-CN" w:eastAsia="zh-CN"/>
        </w:rPr>
        <w:t>。针对上述问题，单位在今后的预算绩效申报时，在财务部门的配合下，将全年工作任务细化分解为具体的工作目标，并尽量采取定量的方式制定清晰、可衡量的绩效指标。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0"/>
        <w:rPr>
          <w:rFonts w:hint="eastAsia" w:ascii="黑体" w:hAnsi="黑体" w:eastAsia="黑体"/>
          <w:color w:val="000000"/>
          <w:sz w:val="32"/>
          <w:szCs w:val="32"/>
        </w:rPr>
      </w:pPr>
    </w:p>
    <w:p>
      <w:pPr>
        <w:spacing w:line="578" w:lineRule="exact"/>
        <w:jc w:val="center"/>
        <w:rPr>
          <w:rFonts w:hint="eastAsia" w:ascii="方正小标宋简体" w:eastAsia="方正小标宋简体"/>
          <w:sz w:val="44"/>
          <w:szCs w:val="44"/>
        </w:rPr>
      </w:pPr>
    </w:p>
    <w:p>
      <w:pPr>
        <w:spacing w:line="578" w:lineRule="exact"/>
        <w:jc w:val="center"/>
        <w:rPr>
          <w:rFonts w:hint="eastAsia" w:ascii="方正小标宋简体" w:eastAsia="方正小标宋简体"/>
          <w:sz w:val="44"/>
          <w:szCs w:val="44"/>
        </w:rPr>
      </w:pPr>
    </w:p>
    <w:p>
      <w:pPr>
        <w:spacing w:line="578" w:lineRule="exact"/>
        <w:jc w:val="center"/>
        <w:rPr>
          <w:rFonts w:hint="eastAsia" w:ascii="方正小标宋简体" w:eastAsia="方正小标宋简体"/>
          <w:sz w:val="44"/>
          <w:szCs w:val="44"/>
        </w:rPr>
      </w:pPr>
    </w:p>
    <w:p>
      <w:pPr>
        <w:spacing w:line="578" w:lineRule="exact"/>
        <w:jc w:val="center"/>
        <w:rPr>
          <w:rFonts w:hint="eastAsia" w:ascii="方正小标宋简体" w:eastAsia="方正小标宋简体"/>
          <w:sz w:val="44"/>
          <w:szCs w:val="44"/>
        </w:rPr>
      </w:pPr>
      <w:r>
        <w:rPr>
          <w:rFonts w:hint="eastAsia" w:ascii="方正小标宋简体" w:eastAsia="方正小标宋简体"/>
          <w:sz w:val="44"/>
          <w:szCs w:val="44"/>
        </w:rPr>
        <w:t>达州市达川区</w:t>
      </w:r>
      <w:r>
        <w:rPr>
          <w:rFonts w:hint="eastAsia" w:ascii="方正小标宋简体" w:eastAsia="方正小标宋简体"/>
          <w:sz w:val="44"/>
          <w:szCs w:val="44"/>
          <w:lang w:eastAsia="zh-CN"/>
        </w:rPr>
        <w:t>委组织部</w:t>
      </w:r>
      <w:r>
        <w:rPr>
          <w:rFonts w:hint="eastAsia" w:ascii="方正小标宋简体" w:eastAsia="方正小标宋简体"/>
          <w:sz w:val="44"/>
          <w:szCs w:val="44"/>
        </w:rPr>
        <w:t>项目支出绩效自评报告</w:t>
      </w:r>
    </w:p>
    <w:p>
      <w:pPr>
        <w:spacing w:line="578" w:lineRule="exact"/>
        <w:jc w:val="center"/>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w:t>
      </w:r>
      <w:r>
        <w:rPr>
          <w:rFonts w:hint="eastAsia" w:ascii="方正楷体简体" w:hAnsi="方正楷体简体" w:eastAsia="方正楷体简体" w:cs="方正楷体简体"/>
          <w:sz w:val="32"/>
          <w:szCs w:val="32"/>
          <w:lang w:eastAsia="zh-CN"/>
        </w:rPr>
        <w:t>党内救助资金</w:t>
      </w:r>
      <w:r>
        <w:rPr>
          <w:rFonts w:hint="eastAsia" w:ascii="方正楷体简体" w:hAnsi="方正楷体简体" w:eastAsia="方正楷体简体" w:cs="方正楷体简体"/>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hint="eastAsia" w:ascii="方正楷体简体" w:hAnsi="方正楷体简体" w:eastAsia="方正楷体简体" w:cs="方正楷体简体"/>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一、项目概况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（一）项目资金申报及批复情况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2018年初，我部向区财政提出该项目经费预算190万元。区财政局及时批复，按照我部预算给予190万元项目经费。</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（二）项目绩效目标</w:t>
      </w:r>
    </w:p>
    <w:p>
      <w:pPr>
        <w:spacing w:line="578" w:lineRule="exact"/>
        <w:ind w:left="200" w:firstLine="480" w:firstLineChars="15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该项目主要</w:t>
      </w:r>
      <w:r>
        <w:rPr>
          <w:rFonts w:hint="eastAsia" w:ascii="方正仿宋简体" w:hAnsi="方正仿宋简体" w:eastAsia="方正仿宋简体" w:cs="方正仿宋简体"/>
          <w:b w:val="0"/>
          <w:bCs w:val="0"/>
          <w:sz w:val="32"/>
          <w:szCs w:val="32"/>
          <w:lang w:eastAsia="zh-CN"/>
        </w:rPr>
        <w:t>用于</w:t>
      </w:r>
      <w:r>
        <w:rPr>
          <w:rFonts w:hint="eastAsia" w:eastAsia="方正仿宋简体" w:cs="Times New Roman"/>
          <w:sz w:val="32"/>
          <w:szCs w:val="32"/>
          <w:lang w:eastAsia="zh-CN"/>
        </w:rPr>
        <w:t>在党员疾病、自然灾害等突发事件发生时进行党内救助，让困难党员感受到党</w:t>
      </w:r>
      <w:bookmarkStart w:id="73" w:name="_GoBack"/>
      <w:bookmarkEnd w:id="73"/>
      <w:r>
        <w:rPr>
          <w:rFonts w:hint="eastAsia" w:eastAsia="方正仿宋简体" w:cs="Times New Roman"/>
          <w:sz w:val="32"/>
          <w:szCs w:val="32"/>
          <w:lang w:eastAsia="zh-CN"/>
        </w:rPr>
        <w:t>的温暖，促进社会和谐进步</w:t>
      </w:r>
      <w:r>
        <w:rPr>
          <w:rFonts w:hint="eastAsia" w:ascii="Times New Roman" w:hAnsi="Times New Roman" w:eastAsia="方正仿宋简体" w:cs="Times New Roman"/>
          <w:sz w:val="32"/>
          <w:szCs w:val="32"/>
        </w:rPr>
        <w:t>。</w:t>
      </w:r>
      <w:r>
        <w:rPr>
          <w:rFonts w:hint="eastAsia" w:ascii="方正仿宋简体" w:hAnsi="方正仿宋简体" w:eastAsia="方正仿宋简体" w:cs="方正仿宋简体"/>
          <w:b w:val="0"/>
          <w:bCs w:val="0"/>
          <w:sz w:val="32"/>
          <w:szCs w:val="32"/>
          <w:lang w:eastAsia="zh-CN"/>
        </w:rPr>
        <w:t>本年度农村党员电化教育工作经费按计划基本实施到位，完成率</w:t>
      </w:r>
      <w:r>
        <w:rPr>
          <w:rFonts w:hint="eastAsia" w:ascii="方正仿宋简体" w:hAnsi="方正仿宋简体" w:eastAsia="方正仿宋简体" w:cs="方正仿宋简体"/>
          <w:b w:val="0"/>
          <w:bCs w:val="0"/>
          <w:sz w:val="32"/>
          <w:szCs w:val="32"/>
          <w:lang w:val="en-US" w:eastAsia="zh-CN"/>
        </w:rPr>
        <w:t>100</w:t>
      </w:r>
      <w:r>
        <w:rPr>
          <w:rFonts w:hint="eastAsia" w:ascii="方正仿宋简体" w:hAnsi="方正仿宋简体" w:eastAsia="方正仿宋简体" w:cs="方正仿宋简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（三）项目资金申报相符性</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该项目申报内容与具体实施内容相符、申报目标合理可行。</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二、项目实施及管理情况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ab/>
      </w:r>
      <w:r>
        <w:rPr>
          <w:rFonts w:hint="eastAsia" w:ascii="方正楷体简体" w:hAnsi="方正楷体简体" w:eastAsia="方正楷体简体" w:cs="方正楷体简体"/>
          <w:b w:val="0"/>
          <w:bCs w:val="0"/>
          <w:sz w:val="32"/>
          <w:szCs w:val="32"/>
        </w:rPr>
        <w:t>（一）资金计划、到位及使用情况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1</w:t>
      </w:r>
      <w:r>
        <w:rPr>
          <w:rFonts w:hint="eastAsia" w:ascii="方正仿宋简体" w:hAnsi="方正仿宋简体" w:eastAsia="方正仿宋简体" w:cs="方正仿宋简体"/>
          <w:b w:val="0"/>
          <w:bCs w:val="0"/>
          <w:sz w:val="32"/>
          <w:szCs w:val="32"/>
          <w:lang w:val="en-US" w:eastAsia="zh-CN"/>
        </w:rPr>
        <w:t>.</w:t>
      </w:r>
      <w:r>
        <w:rPr>
          <w:rFonts w:hint="eastAsia" w:ascii="方正仿宋简体" w:hAnsi="方正仿宋简体" w:eastAsia="方正仿宋简体" w:cs="方正仿宋简体"/>
          <w:b w:val="0"/>
          <w:bCs w:val="0"/>
          <w:sz w:val="32"/>
          <w:szCs w:val="32"/>
        </w:rPr>
        <w:t>资金计划及</w:t>
      </w:r>
      <w:r>
        <w:rPr>
          <w:rFonts w:hint="eastAsia" w:ascii="方正仿宋简体" w:hAnsi="方正仿宋简体" w:eastAsia="方正仿宋简体" w:cs="方正仿宋简体"/>
          <w:b w:val="0"/>
          <w:bCs w:val="0"/>
          <w:sz w:val="32"/>
          <w:szCs w:val="32"/>
          <w:lang w:eastAsia="zh-CN"/>
        </w:rPr>
        <w:t>时</w:t>
      </w:r>
      <w:r>
        <w:rPr>
          <w:rFonts w:hint="eastAsia" w:ascii="方正仿宋简体" w:hAnsi="方正仿宋简体" w:eastAsia="方正仿宋简体" w:cs="方正仿宋简体"/>
          <w:b w:val="0"/>
          <w:bCs w:val="0"/>
          <w:sz w:val="32"/>
          <w:szCs w:val="32"/>
        </w:rPr>
        <w:t>到位。201</w:t>
      </w:r>
      <w:r>
        <w:rPr>
          <w:rFonts w:hint="eastAsia" w:ascii="方正仿宋简体" w:hAnsi="方正仿宋简体" w:eastAsia="方正仿宋简体" w:cs="方正仿宋简体"/>
          <w:b w:val="0"/>
          <w:bCs w:val="0"/>
          <w:sz w:val="32"/>
          <w:szCs w:val="32"/>
          <w:lang w:val="en-US" w:eastAsia="zh-CN"/>
        </w:rPr>
        <w:t>8</w:t>
      </w:r>
      <w:r>
        <w:rPr>
          <w:rFonts w:hint="eastAsia" w:ascii="方正仿宋简体" w:hAnsi="方正仿宋简体" w:eastAsia="方正仿宋简体" w:cs="方正仿宋简体"/>
          <w:b w:val="0"/>
          <w:bCs w:val="0"/>
          <w:sz w:val="32"/>
          <w:szCs w:val="32"/>
        </w:rPr>
        <w:t xml:space="preserve"> 年</w:t>
      </w:r>
      <w:r>
        <w:rPr>
          <w:rFonts w:hint="eastAsia" w:ascii="方正仿宋简体" w:hAnsi="方正仿宋简体" w:eastAsia="方正仿宋简体" w:cs="方正仿宋简体"/>
          <w:b w:val="0"/>
          <w:bCs w:val="0"/>
          <w:sz w:val="32"/>
          <w:szCs w:val="32"/>
          <w:lang w:eastAsia="zh-CN"/>
        </w:rPr>
        <w:t>上半年，</w:t>
      </w:r>
      <w:r>
        <w:rPr>
          <w:rFonts w:hint="eastAsia" w:ascii="方正仿宋简体" w:hAnsi="方正仿宋简体" w:eastAsia="方正仿宋简体" w:cs="方正仿宋简体"/>
          <w:b w:val="0"/>
          <w:bCs w:val="0"/>
          <w:sz w:val="32"/>
          <w:szCs w:val="32"/>
        </w:rPr>
        <w:t>项目资金通过财政大平台直接支付拨付到</w:t>
      </w:r>
      <w:r>
        <w:rPr>
          <w:rFonts w:hint="eastAsia" w:ascii="方正仿宋简体" w:hAnsi="方正仿宋简体" w:eastAsia="方正仿宋简体" w:cs="方正仿宋简体"/>
          <w:b w:val="0"/>
          <w:bCs w:val="0"/>
          <w:sz w:val="32"/>
          <w:szCs w:val="32"/>
          <w:lang w:eastAsia="zh-CN"/>
        </w:rPr>
        <w:t>我部</w:t>
      </w:r>
      <w:r>
        <w:rPr>
          <w:rFonts w:hint="eastAsia" w:ascii="方正仿宋简体" w:hAnsi="方正仿宋简体" w:eastAsia="方正仿宋简体" w:cs="方正仿宋简体"/>
          <w:b w:val="0"/>
          <w:bCs w:val="0"/>
          <w:sz w:val="32"/>
          <w:szCs w:val="32"/>
        </w:rPr>
        <w:t>账户，实际到位资金</w:t>
      </w:r>
      <w:r>
        <w:rPr>
          <w:rFonts w:hint="eastAsia" w:ascii="方正仿宋简体" w:hAnsi="方正仿宋简体" w:eastAsia="方正仿宋简体" w:cs="方正仿宋简体"/>
          <w:b w:val="0"/>
          <w:bCs w:val="0"/>
          <w:sz w:val="32"/>
          <w:szCs w:val="32"/>
          <w:lang w:val="en-US" w:eastAsia="zh-CN"/>
        </w:rPr>
        <w:t>190</w:t>
      </w:r>
      <w:r>
        <w:rPr>
          <w:rFonts w:hint="eastAsia" w:ascii="方正仿宋简体" w:hAnsi="方正仿宋简体" w:eastAsia="方正仿宋简体" w:cs="方正仿宋简体"/>
          <w:b w:val="0"/>
          <w:bCs w:val="0"/>
          <w:sz w:val="32"/>
          <w:szCs w:val="32"/>
        </w:rPr>
        <w:t>万元</w:t>
      </w:r>
      <w:r>
        <w:rPr>
          <w:rFonts w:hint="eastAsia" w:ascii="方正仿宋简体" w:hAnsi="方正仿宋简体" w:eastAsia="方正仿宋简体" w:cs="方正仿宋简体"/>
          <w:b w:val="0"/>
          <w:bCs w:val="0"/>
          <w:sz w:val="32"/>
          <w:szCs w:val="32"/>
          <w:lang w:eastAsia="zh-CN"/>
        </w:rPr>
        <w:t>。我部及时将资金存于专户，专款专用，</w:t>
      </w:r>
      <w:r>
        <w:rPr>
          <w:rFonts w:hint="eastAsia" w:ascii="方正仿宋简体" w:hAnsi="方正仿宋简体" w:eastAsia="方正仿宋简体" w:cs="方正仿宋简体"/>
          <w:b w:val="0"/>
          <w:bCs w:val="0"/>
          <w:sz w:val="32"/>
          <w:szCs w:val="32"/>
        </w:rPr>
        <w:t>资金到位及时，到位率100%。</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2</w:t>
      </w:r>
      <w:r>
        <w:rPr>
          <w:rFonts w:hint="eastAsia" w:ascii="方正仿宋简体" w:hAnsi="方正仿宋简体" w:eastAsia="方正仿宋简体" w:cs="方正仿宋简体"/>
          <w:b w:val="0"/>
          <w:bCs w:val="0"/>
          <w:sz w:val="32"/>
          <w:szCs w:val="32"/>
          <w:lang w:val="en-US" w:eastAsia="zh-CN"/>
        </w:rPr>
        <w:t>.</w:t>
      </w:r>
      <w:r>
        <w:rPr>
          <w:rFonts w:hint="eastAsia" w:ascii="方正仿宋简体" w:hAnsi="方正仿宋简体" w:eastAsia="方正仿宋简体" w:cs="方正仿宋简体"/>
          <w:b w:val="0"/>
          <w:bCs w:val="0"/>
          <w:sz w:val="32"/>
          <w:szCs w:val="32"/>
        </w:rPr>
        <w:t>资金使用。该项</w:t>
      </w:r>
      <w:r>
        <w:rPr>
          <w:rFonts w:hint="eastAsia" w:ascii="方正仿宋简体" w:hAnsi="方正仿宋简体" w:eastAsia="方正仿宋简体" w:cs="方正仿宋简体"/>
          <w:b w:val="0"/>
          <w:bCs w:val="0"/>
          <w:sz w:val="32"/>
          <w:szCs w:val="32"/>
          <w:lang w:eastAsia="zh-CN"/>
        </w:rPr>
        <w:t>目经费主要用于党内困难救助等。</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（二）项目财务管理情况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eastAsia="zh-CN"/>
        </w:rPr>
        <w:t>我部严格按照规定加强项目经费专项管理，</w:t>
      </w:r>
      <w:r>
        <w:rPr>
          <w:rFonts w:hint="eastAsia" w:ascii="方正仿宋简体" w:hAnsi="方正仿宋简体" w:eastAsia="方正仿宋简体" w:cs="方正仿宋简体"/>
          <w:b w:val="0"/>
          <w:bCs w:val="0"/>
          <w:sz w:val="32"/>
          <w:szCs w:val="32"/>
        </w:rPr>
        <w:t>做到项目资金专款专用，</w:t>
      </w:r>
      <w:r>
        <w:rPr>
          <w:rFonts w:hint="eastAsia" w:ascii="方正仿宋简体" w:hAnsi="方正仿宋简体" w:eastAsia="方正仿宋简体" w:cs="方正仿宋简体"/>
          <w:b w:val="0"/>
          <w:bCs w:val="0"/>
          <w:sz w:val="32"/>
          <w:szCs w:val="32"/>
          <w:lang w:eastAsia="zh-CN"/>
        </w:rPr>
        <w:t>坚决不挪用、不挤占</w:t>
      </w:r>
      <w:r>
        <w:rPr>
          <w:rFonts w:hint="eastAsia" w:ascii="方正仿宋简体" w:hAnsi="方正仿宋简体" w:eastAsia="方正仿宋简体" w:cs="方正仿宋简体"/>
          <w:b w:val="0"/>
          <w:bCs w:val="0"/>
          <w:sz w:val="32"/>
          <w:szCs w:val="32"/>
        </w:rPr>
        <w:t>，会计核算及账务处理合理健全，账务真实，手续完备。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三、目标完成情况</w:t>
      </w:r>
      <w:r>
        <w:rPr>
          <w:rFonts w:hint="eastAsia" w:ascii="方正黑体简体" w:hAnsi="方正黑体简体" w:eastAsia="方正黑体简体" w:cs="方正黑体简体"/>
          <w:b w:val="0"/>
          <w:bCs w:val="0"/>
          <w:sz w:val="32"/>
          <w:szCs w:val="32"/>
        </w:rPr>
        <w:tab/>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仿宋简体" w:hAnsi="方正仿宋简体" w:eastAsia="方正仿宋简体" w:cs="方正仿宋简体"/>
          <w:b w:val="0"/>
          <w:bCs w:val="0"/>
          <w:sz w:val="32"/>
          <w:szCs w:val="32"/>
          <w:lang w:val="zh-CN" w:eastAsia="zh-CN"/>
        </w:rPr>
        <w:t>201</w:t>
      </w:r>
      <w:r>
        <w:rPr>
          <w:rFonts w:hint="eastAsia" w:ascii="方正仿宋简体" w:hAnsi="方正仿宋简体" w:eastAsia="方正仿宋简体" w:cs="方正仿宋简体"/>
          <w:b w:val="0"/>
          <w:bCs w:val="0"/>
          <w:sz w:val="32"/>
          <w:szCs w:val="32"/>
          <w:lang w:val="en-US" w:eastAsia="zh-CN"/>
        </w:rPr>
        <w:t>8</w:t>
      </w:r>
      <w:r>
        <w:rPr>
          <w:rFonts w:hint="eastAsia" w:ascii="方正仿宋简体" w:hAnsi="方正仿宋简体" w:eastAsia="方正仿宋简体" w:cs="方正仿宋简体"/>
          <w:b w:val="0"/>
          <w:bCs w:val="0"/>
          <w:sz w:val="32"/>
          <w:szCs w:val="32"/>
          <w:lang w:val="zh-CN" w:eastAsia="zh-CN"/>
        </w:rPr>
        <w:t>年党内救助资金按年初项目预算规划并接合全年党建工作任务有条不紊进行开展，全年党内救助资金按预算和工作规划全部实施完成。</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四、项目效益情况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仿宋简体" w:hAnsi="方正仿宋简体" w:eastAsia="方正仿宋简体" w:cs="方正仿宋简体"/>
          <w:b w:val="0"/>
          <w:bCs w:val="0"/>
          <w:sz w:val="32"/>
          <w:szCs w:val="32"/>
          <w:lang w:val="zh-CN" w:eastAsia="zh-CN"/>
        </w:rPr>
        <w:t>通过党内救助资金的使用，进一步体现了党的人文关怀，让跟多的困难党员感受到了党和国家的关怀与温暖。</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五、问题及建议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楷体_GBK" w:hAnsi="方正楷体_GBK" w:eastAsia="方正楷体_GBK" w:cs="方正楷体_GBK"/>
          <w:b w:val="0"/>
          <w:bCs w:val="0"/>
          <w:sz w:val="32"/>
          <w:szCs w:val="32"/>
          <w:lang w:val="zh-CN" w:eastAsia="zh-CN"/>
        </w:rPr>
        <w:t>（一）存在的问题。</w:t>
      </w:r>
      <w:r>
        <w:rPr>
          <w:rFonts w:hint="eastAsia" w:ascii="方正仿宋简体" w:hAnsi="方正仿宋简体" w:eastAsia="方正仿宋简体" w:cs="方正仿宋简体"/>
          <w:b w:val="0"/>
          <w:bCs w:val="0"/>
          <w:sz w:val="32"/>
          <w:szCs w:val="32"/>
          <w:lang w:val="zh-CN" w:eastAsia="zh-CN"/>
        </w:rPr>
        <w:t>根据本次绩效评价情况，存在预算绩效申报时，对项目编制不够明细和精准，绩效目标未完全细化分解为具体工作任务，部分绩效指标不清晰、可衡量性差。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楷体_GBK" w:hAnsi="方正楷体_GBK" w:eastAsia="方正楷体_GBK" w:cs="方正楷体_GBK"/>
          <w:b w:val="0"/>
          <w:bCs w:val="0"/>
          <w:sz w:val="32"/>
          <w:szCs w:val="32"/>
          <w:lang w:val="zh-CN" w:eastAsia="zh-CN"/>
        </w:rPr>
        <w:t>（二）整改措施</w:t>
      </w:r>
      <w:r>
        <w:rPr>
          <w:rFonts w:hint="eastAsia" w:ascii="方正仿宋简体" w:hAnsi="方正仿宋简体" w:eastAsia="方正仿宋简体" w:cs="方正仿宋简体"/>
          <w:b w:val="0"/>
          <w:bCs w:val="0"/>
          <w:sz w:val="32"/>
          <w:szCs w:val="32"/>
          <w:lang w:val="zh-CN" w:eastAsia="zh-CN"/>
        </w:rPr>
        <w:t>。针对上述问题，单位在今后的预算绩效申报时，在财务部门的配合下，将全年工作任务细化分解为具体的工作目标，并尽量采取定量的方式制定清晰、可衡量的绩效指标。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0"/>
        <w:rPr>
          <w:rFonts w:hint="eastAsia" w:ascii="黑体" w:hAnsi="黑体" w:eastAsia="黑体"/>
          <w:color w:val="000000"/>
          <w:sz w:val="32"/>
          <w:szCs w:val="32"/>
        </w:rPr>
      </w:pPr>
    </w:p>
    <w:p>
      <w:pPr>
        <w:spacing w:line="578" w:lineRule="exact"/>
        <w:jc w:val="center"/>
        <w:rPr>
          <w:rFonts w:hint="eastAsia" w:ascii="方正小标宋简体" w:eastAsia="方正小标宋简体"/>
          <w:sz w:val="44"/>
          <w:szCs w:val="44"/>
        </w:rPr>
      </w:pPr>
    </w:p>
    <w:p>
      <w:pPr>
        <w:spacing w:line="578" w:lineRule="exact"/>
        <w:jc w:val="center"/>
        <w:rPr>
          <w:rFonts w:hint="eastAsia" w:ascii="方正小标宋简体" w:eastAsia="方正小标宋简体"/>
          <w:sz w:val="44"/>
          <w:szCs w:val="44"/>
        </w:rPr>
      </w:pPr>
    </w:p>
    <w:p>
      <w:pPr>
        <w:spacing w:line="578" w:lineRule="exact"/>
        <w:jc w:val="center"/>
        <w:rPr>
          <w:rFonts w:hint="eastAsia" w:ascii="方正小标宋简体" w:eastAsia="方正小标宋简体"/>
          <w:sz w:val="44"/>
          <w:szCs w:val="44"/>
        </w:rPr>
      </w:pPr>
    </w:p>
    <w:p>
      <w:pPr>
        <w:spacing w:line="578" w:lineRule="exact"/>
        <w:jc w:val="center"/>
        <w:rPr>
          <w:rFonts w:hint="eastAsia" w:ascii="方正小标宋简体" w:eastAsia="方正小标宋简体"/>
          <w:sz w:val="44"/>
          <w:szCs w:val="44"/>
        </w:rPr>
      </w:pPr>
    </w:p>
    <w:p>
      <w:pPr>
        <w:spacing w:line="578" w:lineRule="exact"/>
        <w:jc w:val="center"/>
        <w:rPr>
          <w:rFonts w:hint="eastAsia" w:ascii="方正小标宋简体" w:eastAsia="方正小标宋简体"/>
          <w:sz w:val="44"/>
          <w:szCs w:val="44"/>
        </w:rPr>
      </w:pPr>
    </w:p>
    <w:p>
      <w:pPr>
        <w:spacing w:line="578" w:lineRule="exact"/>
        <w:jc w:val="center"/>
        <w:rPr>
          <w:rFonts w:hint="eastAsia" w:ascii="方正小标宋简体" w:eastAsia="方正小标宋简体"/>
          <w:sz w:val="44"/>
          <w:szCs w:val="44"/>
        </w:rPr>
      </w:pPr>
      <w:r>
        <w:rPr>
          <w:rFonts w:hint="eastAsia" w:ascii="方正小标宋简体" w:eastAsia="方正小标宋简体"/>
          <w:sz w:val="44"/>
          <w:szCs w:val="44"/>
        </w:rPr>
        <w:t>达州市达川区</w:t>
      </w:r>
      <w:r>
        <w:rPr>
          <w:rFonts w:hint="eastAsia" w:ascii="方正小标宋简体" w:eastAsia="方正小标宋简体"/>
          <w:sz w:val="44"/>
          <w:szCs w:val="44"/>
          <w:lang w:eastAsia="zh-CN"/>
        </w:rPr>
        <w:t>委组织部</w:t>
      </w:r>
      <w:r>
        <w:rPr>
          <w:rFonts w:hint="eastAsia" w:ascii="方正小标宋简体" w:eastAsia="方正小标宋简体"/>
          <w:sz w:val="44"/>
          <w:szCs w:val="44"/>
        </w:rPr>
        <w:t>项目支出绩效自评报告</w:t>
      </w:r>
    </w:p>
    <w:p>
      <w:pPr>
        <w:spacing w:line="578" w:lineRule="exact"/>
        <w:jc w:val="center"/>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w:t>
      </w:r>
      <w:r>
        <w:rPr>
          <w:rFonts w:hint="eastAsia" w:ascii="方正楷体简体" w:hAnsi="方正楷体简体" w:eastAsia="方正楷体简体" w:cs="方正楷体简体"/>
          <w:sz w:val="32"/>
          <w:szCs w:val="32"/>
          <w:lang w:eastAsia="zh-CN"/>
        </w:rPr>
        <w:t>党员示范点建设经费</w:t>
      </w:r>
      <w:r>
        <w:rPr>
          <w:rFonts w:hint="eastAsia" w:ascii="方正楷体简体" w:hAnsi="方正楷体简体" w:eastAsia="方正楷体简体" w:cs="方正楷体简体"/>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hint="eastAsia" w:ascii="方正楷体简体" w:hAnsi="方正楷体简体" w:eastAsia="方正楷体简体" w:cs="方正楷体简体"/>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一、项目概况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（一）项目资金申报及批复情况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2018年初，我部向区财政提出该项目经费预算114万元。区财政局及时批复，按照我部预算给予114万元项目经费</w:t>
      </w:r>
      <w:r>
        <w:rPr>
          <w:rFonts w:hint="eastAsia" w:ascii="方正仿宋简体" w:hAnsi="方正仿宋简体" w:eastAsia="方正仿宋简体" w:cs="方正仿宋简体"/>
          <w:b w:val="0"/>
          <w:bCs w:val="0"/>
          <w:sz w:val="32"/>
          <w:szCs w:val="32"/>
          <w:lang w:eastAsia="zh-CN"/>
        </w:rPr>
        <w:t>，其中上年财政拨款结转</w:t>
      </w:r>
      <w:r>
        <w:rPr>
          <w:rFonts w:hint="eastAsia" w:ascii="方正仿宋简体" w:hAnsi="方正仿宋简体" w:eastAsia="方正仿宋简体" w:cs="方正仿宋简体"/>
          <w:b w:val="0"/>
          <w:bCs w:val="0"/>
          <w:sz w:val="32"/>
          <w:szCs w:val="32"/>
          <w:lang w:val="en-US" w:eastAsia="zh-CN"/>
        </w:rPr>
        <w:t>114万元。</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（二）项目绩效目标</w:t>
      </w:r>
    </w:p>
    <w:p>
      <w:pPr>
        <w:spacing w:line="578" w:lineRule="exact"/>
        <w:ind w:left="200" w:firstLine="480" w:firstLineChars="15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该项目主要</w:t>
      </w:r>
      <w:r>
        <w:rPr>
          <w:rFonts w:hint="eastAsia" w:ascii="方正仿宋简体" w:hAnsi="方正仿宋简体" w:eastAsia="方正仿宋简体" w:cs="方正仿宋简体"/>
          <w:b w:val="0"/>
          <w:bCs w:val="0"/>
          <w:sz w:val="32"/>
          <w:szCs w:val="32"/>
          <w:lang w:eastAsia="zh-CN"/>
        </w:rPr>
        <w:t>用于</w:t>
      </w:r>
      <w:r>
        <w:rPr>
          <w:rFonts w:ascii="Times New Roman" w:hAnsi="Times New Roman" w:eastAsia="方正仿宋简体" w:cs="Times New Roman"/>
          <w:sz w:val="32"/>
          <w:szCs w:val="32"/>
        </w:rPr>
        <w:t>建立健全基层党建工作机制</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推进党的组织和工作覆盖，抓好典型带动，全面提升基层党建工作整体水平</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创新学习载体和方式</w:t>
      </w:r>
      <w:r>
        <w:rPr>
          <w:rFonts w:hint="eastAsia" w:eastAsia="方正仿宋简体" w:cs="Times New Roman"/>
          <w:sz w:val="32"/>
          <w:szCs w:val="32"/>
          <w:lang w:eastAsia="zh-CN"/>
        </w:rPr>
        <w:t>。</w:t>
      </w:r>
      <w:r>
        <w:rPr>
          <w:rFonts w:hint="eastAsia" w:ascii="方正仿宋简体" w:hAnsi="方正仿宋简体" w:eastAsia="方正仿宋简体" w:cs="方正仿宋简体"/>
          <w:b w:val="0"/>
          <w:bCs w:val="0"/>
          <w:sz w:val="32"/>
          <w:szCs w:val="32"/>
          <w:lang w:eastAsia="zh-CN"/>
        </w:rPr>
        <w:t>本年度基层组织建设经费按计划基本实施到位，完成率</w:t>
      </w:r>
      <w:r>
        <w:rPr>
          <w:rFonts w:hint="eastAsia" w:ascii="方正仿宋简体" w:hAnsi="方正仿宋简体" w:eastAsia="方正仿宋简体" w:cs="方正仿宋简体"/>
          <w:b w:val="0"/>
          <w:bCs w:val="0"/>
          <w:sz w:val="32"/>
          <w:szCs w:val="32"/>
          <w:lang w:val="en-US" w:eastAsia="zh-CN"/>
        </w:rPr>
        <w:t>100</w:t>
      </w:r>
      <w:r>
        <w:rPr>
          <w:rFonts w:hint="eastAsia" w:ascii="方正仿宋简体" w:hAnsi="方正仿宋简体" w:eastAsia="方正仿宋简体" w:cs="方正仿宋简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（三）项目资金申报相符性</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该项目申报内容与具体实施内容相符、申报目标合理可行。</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二、项目实施及管理情况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ab/>
      </w:r>
      <w:r>
        <w:rPr>
          <w:rFonts w:hint="eastAsia" w:ascii="方正楷体简体" w:hAnsi="方正楷体简体" w:eastAsia="方正楷体简体" w:cs="方正楷体简体"/>
          <w:b w:val="0"/>
          <w:bCs w:val="0"/>
          <w:sz w:val="32"/>
          <w:szCs w:val="32"/>
        </w:rPr>
        <w:t>（一）资金计划、到位及使用情况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1</w:t>
      </w:r>
      <w:r>
        <w:rPr>
          <w:rFonts w:hint="eastAsia" w:ascii="方正仿宋简体" w:hAnsi="方正仿宋简体" w:eastAsia="方正仿宋简体" w:cs="方正仿宋简体"/>
          <w:b w:val="0"/>
          <w:bCs w:val="0"/>
          <w:sz w:val="32"/>
          <w:szCs w:val="32"/>
          <w:lang w:val="en-US" w:eastAsia="zh-CN"/>
        </w:rPr>
        <w:t>.</w:t>
      </w:r>
      <w:r>
        <w:rPr>
          <w:rFonts w:hint="eastAsia" w:ascii="方正仿宋简体" w:hAnsi="方正仿宋简体" w:eastAsia="方正仿宋简体" w:cs="方正仿宋简体"/>
          <w:b w:val="0"/>
          <w:bCs w:val="0"/>
          <w:sz w:val="32"/>
          <w:szCs w:val="32"/>
        </w:rPr>
        <w:t>资金计划及</w:t>
      </w:r>
      <w:r>
        <w:rPr>
          <w:rFonts w:hint="eastAsia" w:ascii="方正仿宋简体" w:hAnsi="方正仿宋简体" w:eastAsia="方正仿宋简体" w:cs="方正仿宋简体"/>
          <w:b w:val="0"/>
          <w:bCs w:val="0"/>
          <w:sz w:val="32"/>
          <w:szCs w:val="32"/>
          <w:lang w:eastAsia="zh-CN"/>
        </w:rPr>
        <w:t>时</w:t>
      </w:r>
      <w:r>
        <w:rPr>
          <w:rFonts w:hint="eastAsia" w:ascii="方正仿宋简体" w:hAnsi="方正仿宋简体" w:eastAsia="方正仿宋简体" w:cs="方正仿宋简体"/>
          <w:b w:val="0"/>
          <w:bCs w:val="0"/>
          <w:sz w:val="32"/>
          <w:szCs w:val="32"/>
        </w:rPr>
        <w:t>到位。201</w:t>
      </w:r>
      <w:r>
        <w:rPr>
          <w:rFonts w:hint="eastAsia" w:ascii="方正仿宋简体" w:hAnsi="方正仿宋简体" w:eastAsia="方正仿宋简体" w:cs="方正仿宋简体"/>
          <w:b w:val="0"/>
          <w:bCs w:val="0"/>
          <w:sz w:val="32"/>
          <w:szCs w:val="32"/>
          <w:lang w:val="en-US" w:eastAsia="zh-CN"/>
        </w:rPr>
        <w:t>8</w:t>
      </w:r>
      <w:r>
        <w:rPr>
          <w:rFonts w:hint="eastAsia" w:ascii="方正仿宋简体" w:hAnsi="方正仿宋简体" w:eastAsia="方正仿宋简体" w:cs="方正仿宋简体"/>
          <w:b w:val="0"/>
          <w:bCs w:val="0"/>
          <w:sz w:val="32"/>
          <w:szCs w:val="32"/>
        </w:rPr>
        <w:t>年</w:t>
      </w:r>
      <w:r>
        <w:rPr>
          <w:rFonts w:hint="eastAsia" w:ascii="方正仿宋简体" w:hAnsi="方正仿宋简体" w:eastAsia="方正仿宋简体" w:cs="方正仿宋简体"/>
          <w:b w:val="0"/>
          <w:bCs w:val="0"/>
          <w:sz w:val="32"/>
          <w:szCs w:val="32"/>
          <w:lang w:eastAsia="zh-CN"/>
        </w:rPr>
        <w:t>上半年，</w:t>
      </w:r>
      <w:r>
        <w:rPr>
          <w:rFonts w:hint="eastAsia" w:ascii="方正仿宋简体" w:hAnsi="方正仿宋简体" w:eastAsia="方正仿宋简体" w:cs="方正仿宋简体"/>
          <w:b w:val="0"/>
          <w:bCs w:val="0"/>
          <w:sz w:val="32"/>
          <w:szCs w:val="32"/>
        </w:rPr>
        <w:t>项目资金通过财政大平台直接支付拨付到</w:t>
      </w:r>
      <w:r>
        <w:rPr>
          <w:rFonts w:hint="eastAsia" w:ascii="方正仿宋简体" w:hAnsi="方正仿宋简体" w:eastAsia="方正仿宋简体" w:cs="方正仿宋简体"/>
          <w:b w:val="0"/>
          <w:bCs w:val="0"/>
          <w:sz w:val="32"/>
          <w:szCs w:val="32"/>
          <w:lang w:eastAsia="zh-CN"/>
        </w:rPr>
        <w:t>我部</w:t>
      </w:r>
      <w:r>
        <w:rPr>
          <w:rFonts w:hint="eastAsia" w:ascii="方正仿宋简体" w:hAnsi="方正仿宋简体" w:eastAsia="方正仿宋简体" w:cs="方正仿宋简体"/>
          <w:b w:val="0"/>
          <w:bCs w:val="0"/>
          <w:sz w:val="32"/>
          <w:szCs w:val="32"/>
        </w:rPr>
        <w:t>账户，实际到位资金</w:t>
      </w:r>
      <w:r>
        <w:rPr>
          <w:rFonts w:hint="eastAsia" w:ascii="方正仿宋简体" w:hAnsi="方正仿宋简体" w:eastAsia="方正仿宋简体" w:cs="方正仿宋简体"/>
          <w:b w:val="0"/>
          <w:bCs w:val="0"/>
          <w:sz w:val="32"/>
          <w:szCs w:val="32"/>
          <w:lang w:val="en-US" w:eastAsia="zh-CN"/>
        </w:rPr>
        <w:t>114</w:t>
      </w:r>
      <w:r>
        <w:rPr>
          <w:rFonts w:hint="eastAsia" w:ascii="方正仿宋简体" w:hAnsi="方正仿宋简体" w:eastAsia="方正仿宋简体" w:cs="方正仿宋简体"/>
          <w:b w:val="0"/>
          <w:bCs w:val="0"/>
          <w:sz w:val="32"/>
          <w:szCs w:val="32"/>
        </w:rPr>
        <w:t>万元</w:t>
      </w:r>
      <w:r>
        <w:rPr>
          <w:rFonts w:hint="eastAsia" w:ascii="方正仿宋简体" w:hAnsi="方正仿宋简体" w:eastAsia="方正仿宋简体" w:cs="方正仿宋简体"/>
          <w:b w:val="0"/>
          <w:bCs w:val="0"/>
          <w:sz w:val="32"/>
          <w:szCs w:val="32"/>
          <w:lang w:eastAsia="zh-CN"/>
        </w:rPr>
        <w:t>。我部及时将资金存于专户，专款专用，</w:t>
      </w:r>
      <w:r>
        <w:rPr>
          <w:rFonts w:hint="eastAsia" w:ascii="方正仿宋简体" w:hAnsi="方正仿宋简体" w:eastAsia="方正仿宋简体" w:cs="方正仿宋简体"/>
          <w:b w:val="0"/>
          <w:bCs w:val="0"/>
          <w:sz w:val="32"/>
          <w:szCs w:val="32"/>
        </w:rPr>
        <w:t>资金到位及时，到位率100%。</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2</w:t>
      </w:r>
      <w:r>
        <w:rPr>
          <w:rFonts w:hint="eastAsia" w:ascii="方正仿宋简体" w:hAnsi="方正仿宋简体" w:eastAsia="方正仿宋简体" w:cs="方正仿宋简体"/>
          <w:b w:val="0"/>
          <w:bCs w:val="0"/>
          <w:sz w:val="32"/>
          <w:szCs w:val="32"/>
          <w:lang w:val="en-US" w:eastAsia="zh-CN"/>
        </w:rPr>
        <w:t>.</w:t>
      </w:r>
      <w:r>
        <w:rPr>
          <w:rFonts w:hint="eastAsia" w:ascii="方正仿宋简体" w:hAnsi="方正仿宋简体" w:eastAsia="方正仿宋简体" w:cs="方正仿宋简体"/>
          <w:b w:val="0"/>
          <w:bCs w:val="0"/>
          <w:sz w:val="32"/>
          <w:szCs w:val="32"/>
        </w:rPr>
        <w:t>资金使用。该项</w:t>
      </w:r>
      <w:r>
        <w:rPr>
          <w:rFonts w:hint="eastAsia" w:ascii="方正仿宋简体" w:hAnsi="方正仿宋简体" w:eastAsia="方正仿宋简体" w:cs="方正仿宋简体"/>
          <w:b w:val="0"/>
          <w:bCs w:val="0"/>
          <w:sz w:val="32"/>
          <w:szCs w:val="32"/>
          <w:lang w:eastAsia="zh-CN"/>
        </w:rPr>
        <w:t>目经费主要用于基层党建示范点建设等。</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（二）项目财务管理情况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eastAsia="zh-CN"/>
        </w:rPr>
        <w:t>我部严格按照规定加强项目经费专项管理，</w:t>
      </w:r>
      <w:r>
        <w:rPr>
          <w:rFonts w:hint="eastAsia" w:ascii="方正仿宋简体" w:hAnsi="方正仿宋简体" w:eastAsia="方正仿宋简体" w:cs="方正仿宋简体"/>
          <w:b w:val="0"/>
          <w:bCs w:val="0"/>
          <w:sz w:val="32"/>
          <w:szCs w:val="32"/>
        </w:rPr>
        <w:t>做到项目资金专款专用，</w:t>
      </w:r>
      <w:r>
        <w:rPr>
          <w:rFonts w:hint="eastAsia" w:ascii="方正仿宋简体" w:hAnsi="方正仿宋简体" w:eastAsia="方正仿宋简体" w:cs="方正仿宋简体"/>
          <w:b w:val="0"/>
          <w:bCs w:val="0"/>
          <w:sz w:val="32"/>
          <w:szCs w:val="32"/>
          <w:lang w:eastAsia="zh-CN"/>
        </w:rPr>
        <w:t>坚决不挪用、不挤占</w:t>
      </w:r>
      <w:r>
        <w:rPr>
          <w:rFonts w:hint="eastAsia" w:ascii="方正仿宋简体" w:hAnsi="方正仿宋简体" w:eastAsia="方正仿宋简体" w:cs="方正仿宋简体"/>
          <w:b w:val="0"/>
          <w:bCs w:val="0"/>
          <w:sz w:val="32"/>
          <w:szCs w:val="32"/>
        </w:rPr>
        <w:t>，会计核算及账务处理合理健全，账务真实，手续完备。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三、目标完成情况</w:t>
      </w:r>
      <w:r>
        <w:rPr>
          <w:rFonts w:hint="eastAsia" w:ascii="方正黑体简体" w:hAnsi="方正黑体简体" w:eastAsia="方正黑体简体" w:cs="方正黑体简体"/>
          <w:b w:val="0"/>
          <w:bCs w:val="0"/>
          <w:sz w:val="32"/>
          <w:szCs w:val="32"/>
        </w:rPr>
        <w:tab/>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仿宋简体" w:hAnsi="方正仿宋简体" w:eastAsia="方正仿宋简体" w:cs="方正仿宋简体"/>
          <w:b w:val="0"/>
          <w:bCs w:val="0"/>
          <w:sz w:val="32"/>
          <w:szCs w:val="32"/>
          <w:lang w:val="zh-CN" w:eastAsia="zh-CN"/>
        </w:rPr>
        <w:t>201</w:t>
      </w:r>
      <w:r>
        <w:rPr>
          <w:rFonts w:hint="eastAsia" w:ascii="方正仿宋简体" w:hAnsi="方正仿宋简体" w:eastAsia="方正仿宋简体" w:cs="方正仿宋简体"/>
          <w:b w:val="0"/>
          <w:bCs w:val="0"/>
          <w:sz w:val="32"/>
          <w:szCs w:val="32"/>
          <w:lang w:val="en-US" w:eastAsia="zh-CN"/>
        </w:rPr>
        <w:t>8</w:t>
      </w:r>
      <w:r>
        <w:rPr>
          <w:rFonts w:hint="eastAsia" w:ascii="方正仿宋简体" w:hAnsi="方正仿宋简体" w:eastAsia="方正仿宋简体" w:cs="方正仿宋简体"/>
          <w:b w:val="0"/>
          <w:bCs w:val="0"/>
          <w:sz w:val="32"/>
          <w:szCs w:val="32"/>
          <w:lang w:val="zh-CN" w:eastAsia="zh-CN"/>
        </w:rPr>
        <w:t>年党建示范点建设经费按年初项目预算规划并接合全年党建工作任务有条不紊进行开展，全年党建示范点建设经费按预算和工作规划全部实施完成。</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四、项目效益情况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仿宋简体" w:hAnsi="方正仿宋简体" w:eastAsia="方正仿宋简体" w:cs="方正仿宋简体"/>
          <w:b w:val="0"/>
          <w:bCs w:val="0"/>
          <w:sz w:val="32"/>
          <w:szCs w:val="32"/>
          <w:lang w:val="zh-CN" w:eastAsia="zh-CN"/>
        </w:rPr>
        <w:t>通过开展党建示范点建设，各基层党组织得到了示范引领，全区党建各项工作扎实推进，党建水平得到了整体提升。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五、问题及建议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楷体_GBK" w:hAnsi="方正楷体_GBK" w:eastAsia="方正楷体_GBK" w:cs="方正楷体_GBK"/>
          <w:b w:val="0"/>
          <w:bCs w:val="0"/>
          <w:sz w:val="32"/>
          <w:szCs w:val="32"/>
          <w:lang w:val="zh-CN" w:eastAsia="zh-CN"/>
        </w:rPr>
        <w:t>（一）存在的问题。</w:t>
      </w:r>
      <w:r>
        <w:rPr>
          <w:rFonts w:hint="eastAsia" w:ascii="方正仿宋简体" w:hAnsi="方正仿宋简体" w:eastAsia="方正仿宋简体" w:cs="方正仿宋简体"/>
          <w:b w:val="0"/>
          <w:bCs w:val="0"/>
          <w:sz w:val="32"/>
          <w:szCs w:val="32"/>
          <w:lang w:val="zh-CN" w:eastAsia="zh-CN"/>
        </w:rPr>
        <w:t>根据本次绩效评价情况，存在预算绩效申报时，对项目编制不够明细和精准，绩效目标未完全细化分解为具体工作任务，部分绩效指标不清晰、可衡量性差。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楷体_GBK" w:hAnsi="方正楷体_GBK" w:eastAsia="方正楷体_GBK" w:cs="方正楷体_GBK"/>
          <w:b w:val="0"/>
          <w:bCs w:val="0"/>
          <w:sz w:val="32"/>
          <w:szCs w:val="32"/>
          <w:lang w:val="zh-CN" w:eastAsia="zh-CN"/>
        </w:rPr>
        <w:t>（二）整改措施</w:t>
      </w:r>
      <w:r>
        <w:rPr>
          <w:rFonts w:hint="eastAsia" w:ascii="方正仿宋简体" w:hAnsi="方正仿宋简体" w:eastAsia="方正仿宋简体" w:cs="方正仿宋简体"/>
          <w:b w:val="0"/>
          <w:bCs w:val="0"/>
          <w:sz w:val="32"/>
          <w:szCs w:val="32"/>
          <w:lang w:val="zh-CN" w:eastAsia="zh-CN"/>
        </w:rPr>
        <w:t>。针对上述问题，单位在今后的预算绩效申报时，在财务部门的配合下，将全年工作任务细化分解为具体的工作目标，并尽量采取定量的方式制定清晰、可衡量的绩效指标。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0"/>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0"/>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0"/>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0"/>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0"/>
        <w:rPr>
          <w:rFonts w:hint="eastAsia" w:ascii="黑体" w:hAnsi="黑体" w:eastAsia="黑体"/>
          <w:color w:val="000000"/>
          <w:sz w:val="32"/>
          <w:szCs w:val="32"/>
        </w:rPr>
      </w:pPr>
    </w:p>
    <w:p>
      <w:pPr>
        <w:spacing w:line="578" w:lineRule="exact"/>
        <w:jc w:val="center"/>
        <w:rPr>
          <w:rFonts w:hint="eastAsia" w:ascii="方正小标宋简体" w:eastAsia="方正小标宋简体"/>
          <w:sz w:val="44"/>
          <w:szCs w:val="44"/>
        </w:rPr>
      </w:pPr>
      <w:r>
        <w:rPr>
          <w:rFonts w:hint="eastAsia" w:ascii="方正小标宋简体" w:eastAsia="方正小标宋简体"/>
          <w:sz w:val="44"/>
          <w:szCs w:val="44"/>
        </w:rPr>
        <w:t>达州市达川区</w:t>
      </w:r>
      <w:r>
        <w:rPr>
          <w:rFonts w:hint="eastAsia" w:ascii="方正小标宋简体" w:eastAsia="方正小标宋简体"/>
          <w:sz w:val="44"/>
          <w:szCs w:val="44"/>
          <w:lang w:eastAsia="zh-CN"/>
        </w:rPr>
        <w:t>委组织部</w:t>
      </w:r>
      <w:r>
        <w:rPr>
          <w:rFonts w:hint="eastAsia" w:ascii="方正小标宋简体" w:eastAsia="方正小标宋简体"/>
          <w:sz w:val="44"/>
          <w:szCs w:val="44"/>
        </w:rPr>
        <w:t>项目支出绩效自评报告</w:t>
      </w:r>
    </w:p>
    <w:p>
      <w:pPr>
        <w:spacing w:line="578" w:lineRule="exact"/>
        <w:jc w:val="center"/>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w:t>
      </w:r>
      <w:r>
        <w:rPr>
          <w:rFonts w:hint="eastAsia" w:ascii="方正楷体简体" w:hAnsi="方正楷体简体" w:eastAsia="方正楷体简体" w:cs="方正楷体简体"/>
          <w:sz w:val="32"/>
          <w:szCs w:val="32"/>
          <w:lang w:eastAsia="zh-CN"/>
        </w:rPr>
        <w:t>党员示范带建设经费</w:t>
      </w:r>
      <w:r>
        <w:rPr>
          <w:rFonts w:hint="eastAsia" w:ascii="方正楷体简体" w:hAnsi="方正楷体简体" w:eastAsia="方正楷体简体" w:cs="方正楷体简体"/>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hint="eastAsia" w:ascii="方正楷体简体" w:hAnsi="方正楷体简体" w:eastAsia="方正楷体简体" w:cs="方正楷体简体"/>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一、项目概况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（一）项目资金申报及批复情况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2018年初，我部向区财政提出该项目经费预算165万元。区财政局及时批复，按照我部预算给予165万元项目经费</w:t>
      </w:r>
      <w:r>
        <w:rPr>
          <w:rFonts w:hint="eastAsia" w:ascii="方正仿宋简体" w:hAnsi="方正仿宋简体" w:eastAsia="方正仿宋简体" w:cs="方正仿宋简体"/>
          <w:b w:val="0"/>
          <w:bCs w:val="0"/>
          <w:sz w:val="32"/>
          <w:szCs w:val="32"/>
          <w:lang w:eastAsia="zh-CN"/>
        </w:rPr>
        <w:t>，其中上年财政拨款结转</w:t>
      </w:r>
      <w:r>
        <w:rPr>
          <w:rFonts w:hint="eastAsia" w:ascii="方正仿宋简体" w:hAnsi="方正仿宋简体" w:eastAsia="方正仿宋简体" w:cs="方正仿宋简体"/>
          <w:b w:val="0"/>
          <w:bCs w:val="0"/>
          <w:sz w:val="32"/>
          <w:szCs w:val="32"/>
          <w:lang w:val="en-US" w:eastAsia="zh-CN"/>
        </w:rPr>
        <w:t>165万元。</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（二）项目绩效目标</w:t>
      </w:r>
    </w:p>
    <w:p>
      <w:pPr>
        <w:spacing w:line="578" w:lineRule="exact"/>
        <w:ind w:left="200" w:firstLine="480" w:firstLineChars="15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该项目主要</w:t>
      </w:r>
      <w:r>
        <w:rPr>
          <w:rFonts w:hint="eastAsia" w:ascii="方正仿宋简体" w:hAnsi="方正仿宋简体" w:eastAsia="方正仿宋简体" w:cs="方正仿宋简体"/>
          <w:b w:val="0"/>
          <w:bCs w:val="0"/>
          <w:sz w:val="32"/>
          <w:szCs w:val="32"/>
          <w:lang w:eastAsia="zh-CN"/>
        </w:rPr>
        <w:t>用于</w:t>
      </w:r>
      <w:r>
        <w:rPr>
          <w:rFonts w:ascii="Times New Roman" w:hAnsi="Times New Roman" w:eastAsia="方正仿宋简体" w:cs="Times New Roman"/>
          <w:sz w:val="32"/>
          <w:szCs w:val="32"/>
        </w:rPr>
        <w:t>建立健全基层党建工作机制</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推进党的组织和工作覆盖，抓好典型带动，全面提升基层党建工作整体水平</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创新学习载体和方式。</w:t>
      </w:r>
      <w:r>
        <w:rPr>
          <w:rFonts w:hint="eastAsia" w:ascii="方正仿宋简体" w:hAnsi="方正仿宋简体" w:eastAsia="方正仿宋简体" w:cs="方正仿宋简体"/>
          <w:b w:val="0"/>
          <w:bCs w:val="0"/>
          <w:sz w:val="32"/>
          <w:szCs w:val="32"/>
          <w:lang w:eastAsia="zh-CN"/>
        </w:rPr>
        <w:t>本年度基层组织建设经费按计划基本实施到位，完成率</w:t>
      </w:r>
      <w:r>
        <w:rPr>
          <w:rFonts w:hint="eastAsia" w:ascii="方正仿宋简体" w:hAnsi="方正仿宋简体" w:eastAsia="方正仿宋简体" w:cs="方正仿宋简体"/>
          <w:b w:val="0"/>
          <w:bCs w:val="0"/>
          <w:sz w:val="32"/>
          <w:szCs w:val="32"/>
          <w:lang w:val="en-US" w:eastAsia="zh-CN"/>
        </w:rPr>
        <w:t>100</w:t>
      </w:r>
      <w:r>
        <w:rPr>
          <w:rFonts w:hint="eastAsia" w:ascii="方正仿宋简体" w:hAnsi="方正仿宋简体" w:eastAsia="方正仿宋简体" w:cs="方正仿宋简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（三）项目资金申报相符性</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该项目申报内容与具体实施内容相符、申报目标合理可行。</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二、项目实施及管理情况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ab/>
      </w:r>
      <w:r>
        <w:rPr>
          <w:rFonts w:hint="eastAsia" w:ascii="方正楷体简体" w:hAnsi="方正楷体简体" w:eastAsia="方正楷体简体" w:cs="方正楷体简体"/>
          <w:b w:val="0"/>
          <w:bCs w:val="0"/>
          <w:sz w:val="32"/>
          <w:szCs w:val="32"/>
        </w:rPr>
        <w:t>（一）资金计划、到位及使用情况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1</w:t>
      </w:r>
      <w:r>
        <w:rPr>
          <w:rFonts w:hint="eastAsia" w:ascii="方正仿宋简体" w:hAnsi="方正仿宋简体" w:eastAsia="方正仿宋简体" w:cs="方正仿宋简体"/>
          <w:b w:val="0"/>
          <w:bCs w:val="0"/>
          <w:sz w:val="32"/>
          <w:szCs w:val="32"/>
          <w:lang w:val="en-US" w:eastAsia="zh-CN"/>
        </w:rPr>
        <w:t>.</w:t>
      </w:r>
      <w:r>
        <w:rPr>
          <w:rFonts w:hint="eastAsia" w:ascii="方正仿宋简体" w:hAnsi="方正仿宋简体" w:eastAsia="方正仿宋简体" w:cs="方正仿宋简体"/>
          <w:b w:val="0"/>
          <w:bCs w:val="0"/>
          <w:sz w:val="32"/>
          <w:szCs w:val="32"/>
        </w:rPr>
        <w:t>资金计划及</w:t>
      </w:r>
      <w:r>
        <w:rPr>
          <w:rFonts w:hint="eastAsia" w:ascii="方正仿宋简体" w:hAnsi="方正仿宋简体" w:eastAsia="方正仿宋简体" w:cs="方正仿宋简体"/>
          <w:b w:val="0"/>
          <w:bCs w:val="0"/>
          <w:sz w:val="32"/>
          <w:szCs w:val="32"/>
          <w:lang w:eastAsia="zh-CN"/>
        </w:rPr>
        <w:t>时</w:t>
      </w:r>
      <w:r>
        <w:rPr>
          <w:rFonts w:hint="eastAsia" w:ascii="方正仿宋简体" w:hAnsi="方正仿宋简体" w:eastAsia="方正仿宋简体" w:cs="方正仿宋简体"/>
          <w:b w:val="0"/>
          <w:bCs w:val="0"/>
          <w:sz w:val="32"/>
          <w:szCs w:val="32"/>
        </w:rPr>
        <w:t>到位。201</w:t>
      </w:r>
      <w:r>
        <w:rPr>
          <w:rFonts w:hint="eastAsia" w:ascii="方正仿宋简体" w:hAnsi="方正仿宋简体" w:eastAsia="方正仿宋简体" w:cs="方正仿宋简体"/>
          <w:b w:val="0"/>
          <w:bCs w:val="0"/>
          <w:sz w:val="32"/>
          <w:szCs w:val="32"/>
          <w:lang w:val="en-US" w:eastAsia="zh-CN"/>
        </w:rPr>
        <w:t>8</w:t>
      </w:r>
      <w:r>
        <w:rPr>
          <w:rFonts w:hint="eastAsia" w:ascii="方正仿宋简体" w:hAnsi="方正仿宋简体" w:eastAsia="方正仿宋简体" w:cs="方正仿宋简体"/>
          <w:b w:val="0"/>
          <w:bCs w:val="0"/>
          <w:sz w:val="32"/>
          <w:szCs w:val="32"/>
        </w:rPr>
        <w:t>年</w:t>
      </w:r>
      <w:r>
        <w:rPr>
          <w:rFonts w:hint="eastAsia" w:ascii="方正仿宋简体" w:hAnsi="方正仿宋简体" w:eastAsia="方正仿宋简体" w:cs="方正仿宋简体"/>
          <w:b w:val="0"/>
          <w:bCs w:val="0"/>
          <w:sz w:val="32"/>
          <w:szCs w:val="32"/>
          <w:lang w:eastAsia="zh-CN"/>
        </w:rPr>
        <w:t>上半年，</w:t>
      </w:r>
      <w:r>
        <w:rPr>
          <w:rFonts w:hint="eastAsia" w:ascii="方正仿宋简体" w:hAnsi="方正仿宋简体" w:eastAsia="方正仿宋简体" w:cs="方正仿宋简体"/>
          <w:b w:val="0"/>
          <w:bCs w:val="0"/>
          <w:sz w:val="32"/>
          <w:szCs w:val="32"/>
        </w:rPr>
        <w:t>项目资金通过财政大平台直接支付拨付到</w:t>
      </w:r>
      <w:r>
        <w:rPr>
          <w:rFonts w:hint="eastAsia" w:ascii="方正仿宋简体" w:hAnsi="方正仿宋简体" w:eastAsia="方正仿宋简体" w:cs="方正仿宋简体"/>
          <w:b w:val="0"/>
          <w:bCs w:val="0"/>
          <w:sz w:val="32"/>
          <w:szCs w:val="32"/>
          <w:lang w:eastAsia="zh-CN"/>
        </w:rPr>
        <w:t>我部</w:t>
      </w:r>
      <w:r>
        <w:rPr>
          <w:rFonts w:hint="eastAsia" w:ascii="方正仿宋简体" w:hAnsi="方正仿宋简体" w:eastAsia="方正仿宋简体" w:cs="方正仿宋简体"/>
          <w:b w:val="0"/>
          <w:bCs w:val="0"/>
          <w:sz w:val="32"/>
          <w:szCs w:val="32"/>
        </w:rPr>
        <w:t>账户，实际到位资金</w:t>
      </w:r>
      <w:r>
        <w:rPr>
          <w:rFonts w:hint="eastAsia" w:ascii="方正仿宋简体" w:hAnsi="方正仿宋简体" w:eastAsia="方正仿宋简体" w:cs="方正仿宋简体"/>
          <w:b w:val="0"/>
          <w:bCs w:val="0"/>
          <w:sz w:val="32"/>
          <w:szCs w:val="32"/>
          <w:lang w:val="en-US" w:eastAsia="zh-CN"/>
        </w:rPr>
        <w:t>165</w:t>
      </w:r>
      <w:r>
        <w:rPr>
          <w:rFonts w:hint="eastAsia" w:ascii="方正仿宋简体" w:hAnsi="方正仿宋简体" w:eastAsia="方正仿宋简体" w:cs="方正仿宋简体"/>
          <w:b w:val="0"/>
          <w:bCs w:val="0"/>
          <w:sz w:val="32"/>
          <w:szCs w:val="32"/>
        </w:rPr>
        <w:t>万元</w:t>
      </w:r>
      <w:r>
        <w:rPr>
          <w:rFonts w:hint="eastAsia" w:ascii="方正仿宋简体" w:hAnsi="方正仿宋简体" w:eastAsia="方正仿宋简体" w:cs="方正仿宋简体"/>
          <w:b w:val="0"/>
          <w:bCs w:val="0"/>
          <w:sz w:val="32"/>
          <w:szCs w:val="32"/>
          <w:lang w:eastAsia="zh-CN"/>
        </w:rPr>
        <w:t>。我部及时将资金存于专户，专款专用，</w:t>
      </w:r>
      <w:r>
        <w:rPr>
          <w:rFonts w:hint="eastAsia" w:ascii="方正仿宋简体" w:hAnsi="方正仿宋简体" w:eastAsia="方正仿宋简体" w:cs="方正仿宋简体"/>
          <w:b w:val="0"/>
          <w:bCs w:val="0"/>
          <w:sz w:val="32"/>
          <w:szCs w:val="32"/>
        </w:rPr>
        <w:t>资金到位及时，到位率100%。</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2</w:t>
      </w:r>
      <w:r>
        <w:rPr>
          <w:rFonts w:hint="eastAsia" w:ascii="方正仿宋简体" w:hAnsi="方正仿宋简体" w:eastAsia="方正仿宋简体" w:cs="方正仿宋简体"/>
          <w:b w:val="0"/>
          <w:bCs w:val="0"/>
          <w:sz w:val="32"/>
          <w:szCs w:val="32"/>
          <w:lang w:val="en-US" w:eastAsia="zh-CN"/>
        </w:rPr>
        <w:t>.</w:t>
      </w:r>
      <w:r>
        <w:rPr>
          <w:rFonts w:hint="eastAsia" w:ascii="方正仿宋简体" w:hAnsi="方正仿宋简体" w:eastAsia="方正仿宋简体" w:cs="方正仿宋简体"/>
          <w:b w:val="0"/>
          <w:bCs w:val="0"/>
          <w:sz w:val="32"/>
          <w:szCs w:val="32"/>
        </w:rPr>
        <w:t>资金使用。该项</w:t>
      </w:r>
      <w:r>
        <w:rPr>
          <w:rFonts w:hint="eastAsia" w:ascii="方正仿宋简体" w:hAnsi="方正仿宋简体" w:eastAsia="方正仿宋简体" w:cs="方正仿宋简体"/>
          <w:b w:val="0"/>
          <w:bCs w:val="0"/>
          <w:sz w:val="32"/>
          <w:szCs w:val="32"/>
          <w:lang w:eastAsia="zh-CN"/>
        </w:rPr>
        <w:t>目经费主要用于基层党建示范点建设等。</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（二）项目财务管理情况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eastAsia="zh-CN"/>
        </w:rPr>
        <w:t>我部严格按照规定加强项目经费专项管理，</w:t>
      </w:r>
      <w:r>
        <w:rPr>
          <w:rFonts w:hint="eastAsia" w:ascii="方正仿宋简体" w:hAnsi="方正仿宋简体" w:eastAsia="方正仿宋简体" w:cs="方正仿宋简体"/>
          <w:b w:val="0"/>
          <w:bCs w:val="0"/>
          <w:sz w:val="32"/>
          <w:szCs w:val="32"/>
        </w:rPr>
        <w:t>做到项目资金专款专用，</w:t>
      </w:r>
      <w:r>
        <w:rPr>
          <w:rFonts w:hint="eastAsia" w:ascii="方正仿宋简体" w:hAnsi="方正仿宋简体" w:eastAsia="方正仿宋简体" w:cs="方正仿宋简体"/>
          <w:b w:val="0"/>
          <w:bCs w:val="0"/>
          <w:sz w:val="32"/>
          <w:szCs w:val="32"/>
          <w:lang w:eastAsia="zh-CN"/>
        </w:rPr>
        <w:t>坚决不挪用、不挤占</w:t>
      </w:r>
      <w:r>
        <w:rPr>
          <w:rFonts w:hint="eastAsia" w:ascii="方正仿宋简体" w:hAnsi="方正仿宋简体" w:eastAsia="方正仿宋简体" w:cs="方正仿宋简体"/>
          <w:b w:val="0"/>
          <w:bCs w:val="0"/>
          <w:sz w:val="32"/>
          <w:szCs w:val="32"/>
        </w:rPr>
        <w:t>，会计核算及账务处理合理健全，账务真实，手续完备。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三、目标完成情况</w:t>
      </w:r>
      <w:r>
        <w:rPr>
          <w:rFonts w:hint="eastAsia" w:ascii="方正黑体简体" w:hAnsi="方正黑体简体" w:eastAsia="方正黑体简体" w:cs="方正黑体简体"/>
          <w:b w:val="0"/>
          <w:bCs w:val="0"/>
          <w:sz w:val="32"/>
          <w:szCs w:val="32"/>
        </w:rPr>
        <w:tab/>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仿宋简体" w:hAnsi="方正仿宋简体" w:eastAsia="方正仿宋简体" w:cs="方正仿宋简体"/>
          <w:b w:val="0"/>
          <w:bCs w:val="0"/>
          <w:sz w:val="32"/>
          <w:szCs w:val="32"/>
          <w:lang w:val="zh-CN" w:eastAsia="zh-CN"/>
        </w:rPr>
        <w:t>201</w:t>
      </w:r>
      <w:r>
        <w:rPr>
          <w:rFonts w:hint="eastAsia" w:ascii="方正仿宋简体" w:hAnsi="方正仿宋简体" w:eastAsia="方正仿宋简体" w:cs="方正仿宋简体"/>
          <w:b w:val="0"/>
          <w:bCs w:val="0"/>
          <w:sz w:val="32"/>
          <w:szCs w:val="32"/>
          <w:lang w:val="en-US" w:eastAsia="zh-CN"/>
        </w:rPr>
        <w:t>8</w:t>
      </w:r>
      <w:r>
        <w:rPr>
          <w:rFonts w:hint="eastAsia" w:ascii="方正仿宋简体" w:hAnsi="方正仿宋简体" w:eastAsia="方正仿宋简体" w:cs="方正仿宋简体"/>
          <w:b w:val="0"/>
          <w:bCs w:val="0"/>
          <w:sz w:val="32"/>
          <w:szCs w:val="32"/>
          <w:lang w:val="zh-CN" w:eastAsia="zh-CN"/>
        </w:rPr>
        <w:t>年党建示范点建设经费按年初项目预算规划并接合全年党建工作任务有条不紊进行开展，全年党建示范点建设经费按预算和工作规划全部实施完成。</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四、项目效益情况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仿宋简体" w:hAnsi="方正仿宋简体" w:eastAsia="方正仿宋简体" w:cs="方正仿宋简体"/>
          <w:b w:val="0"/>
          <w:bCs w:val="0"/>
          <w:sz w:val="32"/>
          <w:szCs w:val="32"/>
          <w:lang w:val="zh-CN" w:eastAsia="zh-CN"/>
        </w:rPr>
        <w:t>通过开展党建示范点建设，各基层党组织得到了示范引领，全区党建各项工作扎实推进，党建水平得到了整体提升。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五、问题及建议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楷体_GBK" w:hAnsi="方正楷体_GBK" w:eastAsia="方正楷体_GBK" w:cs="方正楷体_GBK"/>
          <w:b w:val="0"/>
          <w:bCs w:val="0"/>
          <w:sz w:val="32"/>
          <w:szCs w:val="32"/>
          <w:lang w:val="zh-CN" w:eastAsia="zh-CN"/>
        </w:rPr>
        <w:t>（一）存在的问题。</w:t>
      </w:r>
      <w:r>
        <w:rPr>
          <w:rFonts w:hint="eastAsia" w:ascii="方正仿宋简体" w:hAnsi="方正仿宋简体" w:eastAsia="方正仿宋简体" w:cs="方正仿宋简体"/>
          <w:b w:val="0"/>
          <w:bCs w:val="0"/>
          <w:sz w:val="32"/>
          <w:szCs w:val="32"/>
          <w:lang w:val="zh-CN" w:eastAsia="zh-CN"/>
        </w:rPr>
        <w:t>根据本次绩效评价情况，存在预算绩效申报时，对项目编制不够明细和精准，绩效目标未完全细化分解为具体工作任务，部分绩效指标不清晰、可衡量性差。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方正仿宋简体" w:hAnsi="方正仿宋简体" w:eastAsia="方正仿宋简体" w:cs="方正仿宋简体"/>
          <w:b w:val="0"/>
          <w:bCs w:val="0"/>
          <w:sz w:val="32"/>
          <w:szCs w:val="32"/>
          <w:lang w:val="zh-CN" w:eastAsia="zh-CN"/>
        </w:rPr>
      </w:pPr>
      <w:r>
        <w:rPr>
          <w:rFonts w:hint="eastAsia" w:ascii="方正楷体_GBK" w:hAnsi="方正楷体_GBK" w:eastAsia="方正楷体_GBK" w:cs="方正楷体_GBK"/>
          <w:b w:val="0"/>
          <w:bCs w:val="0"/>
          <w:sz w:val="32"/>
          <w:szCs w:val="32"/>
          <w:lang w:val="zh-CN" w:eastAsia="zh-CN"/>
        </w:rPr>
        <w:t>（二）整改措施</w:t>
      </w:r>
      <w:r>
        <w:rPr>
          <w:rFonts w:hint="eastAsia" w:ascii="方正仿宋简体" w:hAnsi="方正仿宋简体" w:eastAsia="方正仿宋简体" w:cs="方正仿宋简体"/>
          <w:b w:val="0"/>
          <w:bCs w:val="0"/>
          <w:sz w:val="32"/>
          <w:szCs w:val="32"/>
          <w:lang w:val="zh-CN" w:eastAsia="zh-CN"/>
        </w:rPr>
        <w:t>。针对上述问题，单位在今后的预算绩效申报时，在财务部门的配合下，将全年工作任务细化分解为具体的工作目标，并尽量采取定量的方式制定清晰、可衡量的绩效指标。</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numPr>
          <w:ilvl w:val="0"/>
          <w:numId w:val="5"/>
        </w:numPr>
        <w:spacing w:line="600" w:lineRule="exact"/>
        <w:jc w:val="center"/>
        <w:outlineLvl w:val="0"/>
        <w:rPr>
          <w:rStyle w:val="25"/>
          <w:rFonts w:hint="eastAsia" w:ascii="黑体" w:hAnsi="黑体" w:eastAsia="黑体"/>
          <w:b w:val="0"/>
        </w:rPr>
      </w:pPr>
      <w:r>
        <w:rPr>
          <w:rStyle w:val="25"/>
          <w:rFonts w:hint="eastAsia" w:ascii="黑体" w:hAnsi="黑体" w:eastAsia="黑体"/>
          <w:b w:val="0"/>
        </w:rPr>
        <w:t>附表</w:t>
      </w:r>
      <w:bookmarkEnd w:id="56"/>
      <w:bookmarkEnd w:id="59"/>
      <w:bookmarkStart w:id="60" w:name="_Toc15396619"/>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收入支出决算总表</w:t>
      </w:r>
      <w:bookmarkEnd w:id="60"/>
      <w:bookmarkStart w:id="61" w:name="_Toc15396620"/>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二、收入总表</w:t>
      </w:r>
      <w:bookmarkEnd w:id="61"/>
      <w:bookmarkStart w:id="62" w:name="_Toc15396621"/>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三、支出总表</w:t>
      </w:r>
      <w:bookmarkEnd w:id="62"/>
      <w:bookmarkStart w:id="63" w:name="_Toc15396622"/>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四、财政拨款收入支出决算总表</w:t>
      </w:r>
      <w:bookmarkEnd w:id="63"/>
      <w:bookmarkStart w:id="64" w:name="_Toc15396623"/>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五、财政拨款支出决算明细表（政府经济分类科目）</w:t>
      </w:r>
      <w:bookmarkEnd w:id="64"/>
      <w:bookmarkStart w:id="65" w:name="_Toc15396624"/>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六、一般公共预算财政拨款支出决算表</w:t>
      </w:r>
      <w:bookmarkEnd w:id="65"/>
      <w:bookmarkStart w:id="66" w:name="_Toc15396625"/>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七、一般公共预算财政拨款支出决算明细表</w:t>
      </w:r>
      <w:bookmarkEnd w:id="66"/>
      <w:bookmarkStart w:id="67" w:name="_Toc15396626"/>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八、一般公共预算财政拨款基本支出决算表</w:t>
      </w:r>
      <w:bookmarkEnd w:id="67"/>
      <w:bookmarkStart w:id="68" w:name="_Toc15396627"/>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九、一般公共预算财政拨款项目支出决算表</w:t>
      </w:r>
      <w:bookmarkEnd w:id="68"/>
      <w:bookmarkStart w:id="69" w:name="_Toc15396628"/>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十、一般公共预算财政拨款“三公”经费支出决算表</w:t>
      </w:r>
      <w:bookmarkEnd w:id="69"/>
      <w:bookmarkStart w:id="70" w:name="_Toc15396629"/>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十一、政府性基金预算财政拨款收入支出决算表</w:t>
      </w:r>
      <w:bookmarkEnd w:id="70"/>
      <w:bookmarkStart w:id="71" w:name="_Toc15396630"/>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十二、政府性基金预算财政拨款“三公”经费支出决算表</w:t>
      </w:r>
      <w:bookmarkEnd w:id="71"/>
      <w:bookmarkStart w:id="72" w:name="_Toc15396631"/>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十三、国有资本经营预算支出决算表</w:t>
      </w:r>
      <w:bookmarkEnd w:id="72"/>
    </w:p>
    <w:sectPr>
      <w:headerReference r:id="rId3" w:type="default"/>
      <w:footerReference r:id="rId4" w:type="default"/>
      <w:pgSz w:w="11906" w:h="16838"/>
      <w:pgMar w:top="2098" w:right="1474" w:bottom="1984"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altName w:val="Segoe UI"/>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Segoe UI">
    <w:panose1 w:val="020B0502040204020203"/>
    <w:charset w:val="00"/>
    <w:family w:val="decorative"/>
    <w:pitch w:val="default"/>
    <w:sig w:usb0="E10022FF" w:usb1="C000E47F" w:usb2="00000029" w:usb3="00000000" w:csb0="200001DF" w:csb1="20000000"/>
  </w:font>
  <w:font w:name="Arial">
    <w:panose1 w:val="020B0604020202020204"/>
    <w:charset w:val="00"/>
    <w:family w:val="auto"/>
    <w:pitch w:val="default"/>
    <w:sig w:usb0="E0002AFF" w:usb1="C0007843" w:usb2="00000009" w:usb3="00000000" w:csb0="400001FF" w:csb1="FFFF0000"/>
  </w:font>
  <w:font w:name="方正楷体简体">
    <w:panose1 w:val="02010601030101010101"/>
    <w:charset w:val="86"/>
    <w:family w:val="auto"/>
    <w:pitch w:val="default"/>
    <w:sig w:usb0="00000001" w:usb1="080E0000" w:usb2="00000000" w:usb3="00000000" w:csb0="00040000" w:csb1="00000000"/>
  </w:font>
  <w:font w:name="Calibri">
    <w:altName w:val="Segoe UI"/>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Segoe UI">
    <w:panose1 w:val="020B0502040204020203"/>
    <w:charset w:val="00"/>
    <w:family w:val="roman"/>
    <w:pitch w:val="default"/>
    <w:sig w:usb0="E10022FF" w:usb1="C000E47F" w:usb2="00000029" w:usb3="00000000" w:csb0="200001DF" w:csb1="20000000"/>
  </w:font>
  <w:font w:name="Calibri">
    <w:altName w:val="Segoe UI"/>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Segoe UI">
    <w:panose1 w:val="020B0502040204020203"/>
    <w:charset w:val="00"/>
    <w:family w:val="modern"/>
    <w:pitch w:val="default"/>
    <w:sig w:usb0="E10022FF" w:usb1="C000E47F" w:usb2="00000029" w:usb3="00000000" w:csb0="200001DF" w:csb1="2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81956"/>
    </w:sdtPr>
    <w:sdtContent>
      <w:p>
        <w:pPr>
          <w:pStyle w:val="8"/>
          <w:jc w:val="center"/>
        </w:pPr>
        <w:r>
          <w:fldChar w:fldCharType="begin"/>
        </w:r>
        <w:r>
          <w:instrText xml:space="preserve">PAGE   \* MERGEFORMAT</w:instrText>
        </w:r>
        <w:r>
          <w:fldChar w:fldCharType="separate"/>
        </w:r>
        <w:r>
          <w:rPr>
            <w:lang w:val="zh-CN"/>
          </w:rPr>
          <w:t>17</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9482763">
    <w:nsid w:val="1272550B"/>
    <w:multiLevelType w:val="multilevel"/>
    <w:tmpl w:val="1272550B"/>
    <w:lvl w:ilvl="0" w:tentative="1">
      <w:start w:val="1"/>
      <w:numFmt w:val="japaneseCounting"/>
      <w:lvlText w:val="%1、"/>
      <w:lvlJc w:val="left"/>
      <w:pPr>
        <w:ind w:left="1360" w:hanging="720"/>
      </w:pPr>
      <w:rPr>
        <w:rFonts w:hint="default"/>
        <w:b w:val="0"/>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568706460">
    <w:nsid w:val="5D808F9C"/>
    <w:multiLevelType w:val="singleLevel"/>
    <w:tmpl w:val="5D808F9C"/>
    <w:lvl w:ilvl="0" w:tentative="1">
      <w:start w:val="1"/>
      <w:numFmt w:val="decimal"/>
      <w:suff w:val="nothing"/>
      <w:lvlText w:val="%1."/>
      <w:lvlJc w:val="left"/>
    </w:lvl>
  </w:abstractNum>
  <w:abstractNum w:abstractNumId="401876663">
    <w:nsid w:val="17F426B7"/>
    <w:multiLevelType w:val="multilevel"/>
    <w:tmpl w:val="17F426B7"/>
    <w:lvl w:ilvl="0" w:tentative="1">
      <w:start w:val="10"/>
      <w:numFmt w:val="japaneseCounting"/>
      <w:lvlText w:val="%1、"/>
      <w:lvlJc w:val="left"/>
      <w:pPr>
        <w:ind w:left="1429" w:hanging="720"/>
      </w:pPr>
      <w:rPr>
        <w:rFonts w:hint="default"/>
      </w:rPr>
    </w:lvl>
    <w:lvl w:ilvl="1" w:tentative="1">
      <w:start w:val="1"/>
      <w:numFmt w:val="lowerLetter"/>
      <w:lvlText w:val="%2)"/>
      <w:lvlJc w:val="left"/>
      <w:pPr>
        <w:ind w:left="1549" w:hanging="420"/>
      </w:p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abstractNum w:abstractNumId="3960205104">
    <w:nsid w:val="EC0BEF30"/>
    <w:multiLevelType w:val="singleLevel"/>
    <w:tmpl w:val="EC0BEF30"/>
    <w:lvl w:ilvl="0" w:tentative="1">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36905927">
    <w:nsid w:val="0E1EE5C7"/>
    <w:multiLevelType w:val="singleLevel"/>
    <w:tmpl w:val="0E1EE5C7"/>
    <w:lvl w:ilvl="0" w:tentative="1">
      <w:start w:val="5"/>
      <w:numFmt w:val="chineseCounting"/>
      <w:suff w:val="space"/>
      <w:lvlText w:val="第%1部分"/>
      <w:lvlJc w:val="left"/>
      <w:rPr>
        <w:rFonts w:hint="eastAsia"/>
      </w:rPr>
    </w:lvl>
  </w:abstractNum>
  <w:num w:numId="1">
    <w:abstractNumId w:val="309482763"/>
  </w:num>
  <w:num w:numId="2">
    <w:abstractNumId w:val="1568706460"/>
  </w:num>
  <w:num w:numId="3">
    <w:abstractNumId w:val="401876663"/>
  </w:num>
  <w:num w:numId="4">
    <w:abstractNumId w:val="3960205104"/>
  </w:num>
  <w:num w:numId="5">
    <w:abstractNumId w:val="2369059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55EB"/>
    <w:rsid w:val="0014729F"/>
    <w:rsid w:val="00157BAB"/>
    <w:rsid w:val="001654D1"/>
    <w:rsid w:val="00180CF3"/>
    <w:rsid w:val="0018106D"/>
    <w:rsid w:val="001877A7"/>
    <w:rsid w:val="00191536"/>
    <w:rsid w:val="00196687"/>
    <w:rsid w:val="001A6378"/>
    <w:rsid w:val="001C0962"/>
    <w:rsid w:val="001D7531"/>
    <w:rsid w:val="001E737D"/>
    <w:rsid w:val="001F0592"/>
    <w:rsid w:val="001F5D5B"/>
    <w:rsid w:val="001F7506"/>
    <w:rsid w:val="002006CD"/>
    <w:rsid w:val="00202B36"/>
    <w:rsid w:val="00204B7A"/>
    <w:rsid w:val="0021101A"/>
    <w:rsid w:val="00220536"/>
    <w:rsid w:val="00235629"/>
    <w:rsid w:val="00260C38"/>
    <w:rsid w:val="002616C0"/>
    <w:rsid w:val="002662AA"/>
    <w:rsid w:val="00280496"/>
    <w:rsid w:val="00295495"/>
    <w:rsid w:val="002B2613"/>
    <w:rsid w:val="002D30F4"/>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00682"/>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2916"/>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D6BA7"/>
    <w:rsid w:val="008D6BE2"/>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9F467F"/>
    <w:rsid w:val="00A04EB0"/>
    <w:rsid w:val="00A13CC1"/>
    <w:rsid w:val="00A16847"/>
    <w:rsid w:val="00A237D8"/>
    <w:rsid w:val="00A268C4"/>
    <w:rsid w:val="00A307CD"/>
    <w:rsid w:val="00A40A00"/>
    <w:rsid w:val="00A4142F"/>
    <w:rsid w:val="00A56DF2"/>
    <w:rsid w:val="00A67AB5"/>
    <w:rsid w:val="00A71940"/>
    <w:rsid w:val="00A91760"/>
    <w:rsid w:val="00A93B00"/>
    <w:rsid w:val="00A93C21"/>
    <w:rsid w:val="00A96BBB"/>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3E93"/>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72E3A"/>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786"/>
    <w:rsid w:val="00E568DF"/>
    <w:rsid w:val="00E64269"/>
    <w:rsid w:val="00E82267"/>
    <w:rsid w:val="00EA010F"/>
    <w:rsid w:val="00EA6628"/>
    <w:rsid w:val="00EC138E"/>
    <w:rsid w:val="00ED1B63"/>
    <w:rsid w:val="00ED3C1F"/>
    <w:rsid w:val="00ED4085"/>
    <w:rsid w:val="00ED420E"/>
    <w:rsid w:val="00EE2F57"/>
    <w:rsid w:val="00EF4C34"/>
    <w:rsid w:val="00EF77C6"/>
    <w:rsid w:val="00F05438"/>
    <w:rsid w:val="00F1361C"/>
    <w:rsid w:val="00F160C7"/>
    <w:rsid w:val="00F16D34"/>
    <w:rsid w:val="00F36D8F"/>
    <w:rsid w:val="00F417B1"/>
    <w:rsid w:val="00F602DF"/>
    <w:rsid w:val="00F81FD9"/>
    <w:rsid w:val="00F841AA"/>
    <w:rsid w:val="00FA23E8"/>
    <w:rsid w:val="00FD3CC1"/>
    <w:rsid w:val="00FF1E02"/>
    <w:rsid w:val="00FF30B4"/>
    <w:rsid w:val="07246B37"/>
    <w:rsid w:val="08A04881"/>
    <w:rsid w:val="10C055FF"/>
    <w:rsid w:val="14AA41BE"/>
    <w:rsid w:val="16BB723D"/>
    <w:rsid w:val="240371BF"/>
    <w:rsid w:val="29FD04D3"/>
    <w:rsid w:val="2D1D5607"/>
    <w:rsid w:val="319F7F4E"/>
    <w:rsid w:val="378D4C86"/>
    <w:rsid w:val="3F565C81"/>
    <w:rsid w:val="40E8652E"/>
    <w:rsid w:val="432A3D49"/>
    <w:rsid w:val="44E701AD"/>
    <w:rsid w:val="50AB67B0"/>
    <w:rsid w:val="59804998"/>
    <w:rsid w:val="59BD7BD4"/>
    <w:rsid w:val="5B511FA8"/>
    <w:rsid w:val="5EF23B23"/>
    <w:rsid w:val="621E41D8"/>
    <w:rsid w:val="62DA698C"/>
    <w:rsid w:val="6FE47020"/>
    <w:rsid w:val="71433FC0"/>
    <w:rsid w:val="73670B0F"/>
    <w:rsid w:val="76557ACA"/>
    <w:rsid w:val="78777A19"/>
    <w:rsid w:val="78994D9B"/>
    <w:rsid w:val="7C917B26"/>
    <w:rsid w:val="7EAF123C"/>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99"/>
    <w:pPr>
      <w:spacing w:before="100" w:beforeAutospacing="1" w:after="100" w:afterAutospacing="1"/>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4">
    <w:name w:val="列出段落1"/>
    <w:basedOn w:val="1"/>
    <w:qFormat/>
    <w:uiPriority w:val="34"/>
    <w:pPr>
      <w:ind w:firstLine="420" w:firstLineChars="200"/>
    </w:pPr>
  </w:style>
  <w:style w:type="character" w:customStyle="1" w:styleId="25">
    <w:name w:val="标题 1 Char"/>
    <w:basedOn w:val="13"/>
    <w:link w:val="2"/>
    <w:qFormat/>
    <w:uiPriority w:val="9"/>
    <w:rPr>
      <w:rFonts w:ascii="Times New Roman" w:hAnsi="Times New Roman"/>
      <w:b/>
      <w:bCs/>
      <w:kern w:val="44"/>
      <w:sz w:val="44"/>
      <w:szCs w:val="44"/>
    </w:rPr>
  </w:style>
  <w:style w:type="character" w:customStyle="1" w:styleId="26">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4"/>
    <w:qFormat/>
    <w:uiPriority w:val="9"/>
    <w:rPr>
      <w:rFonts w:ascii="Times New Roman" w:hAnsi="Times New Roman"/>
      <w:b/>
      <w:bCs/>
      <w:kern w:val="2"/>
      <w:sz w:val="32"/>
      <w:szCs w:val="32"/>
    </w:rPr>
  </w:style>
  <w:style w:type="paragraph" w:customStyle="1" w:styleId="3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C:\Users\Administrator\Desktop\&#20392;&#32852;&#25554;&#22270;&#30456;&#20851;&#25968;&#26896;.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C:\Users\Administrator\Desktop\&#20392;&#32852;&#25554;&#22270;&#30456;&#20851;&#25968;&#2689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Users\Administrator\Desktop\&#20392;&#32852;&#25554;&#22270;&#30456;&#20851;&#25968;&#26896;.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C:\Users\Administrator\Desktop\&#20392;&#32852;&#25554;&#22270;&#30456;&#20851;&#25968;&#26896;.xls"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en-US" altLang="zh-CN"/>
              <a:t>2017-2018</a:t>
            </a:r>
            <a:r>
              <a:rPr altLang="en-US"/>
              <a:t>收支变动表</a:t>
            </a:r>
            <a:endParaRPr altLang="en-US"/>
          </a:p>
        </c:rich>
      </c:tx>
      <c:layout/>
      <c:overlay val="0"/>
      <c:spPr>
        <a:noFill/>
        <a:ln>
          <a:noFill/>
        </a:ln>
        <a:effectLst/>
      </c:spPr>
    </c:title>
    <c:autoTitleDeleted val="0"/>
    <c:plotArea>
      <c:layout/>
      <c:barChart>
        <c:barDir val="col"/>
        <c:grouping val="clustered"/>
        <c:varyColors val="0"/>
        <c:ser>
          <c:idx val="0"/>
          <c:order val="0"/>
          <c:tx>
            <c:strRef>
              <c:f>[侨联插图相关数椐.xls]Sheet1!$A$3</c:f>
              <c:strCache>
                <c:ptCount val="1"/>
                <c:pt idx="0">
                  <c:v>收入</c:v>
                </c:pt>
              </c:strCache>
            </c:strRef>
          </c:tx>
          <c:spPr>
            <a:solidFill>
              <a:schemeClr val="accent1"/>
            </a:solidFill>
            <a:ln>
              <a:noFill/>
            </a:ln>
            <a:effectLst/>
          </c:spPr>
          <c:invertIfNegative val="0"/>
          <c:dLbls>
            <c:delete val="1"/>
          </c:dLbls>
          <c:cat>
            <c:multiLvlStrRef>
              <c:f>[侨联插图相关数椐.xls]Sheet1!$B$1:$C$2</c:f>
              <c:multiLvlStrCache>
                <c:ptCount val="2"/>
                <c:lvl/>
                <c:lvl>
                  <c:pt idx="0">
                    <c:v>2017年</c:v>
                  </c:pt>
                  <c:pt idx="1">
                    <c:v>2018年</c:v>
                  </c:pt>
                </c:lvl>
              </c:multiLvlStrCache>
            </c:multiLvlStrRef>
          </c:cat>
          <c:val>
            <c:numRef>
              <c:f>[侨联插图相关数椐.xls]Sheet1!$B$3:$C$3</c:f>
              <c:numCache>
                <c:formatCode>General</c:formatCode>
                <c:ptCount val="2"/>
                <c:pt idx="0" c:formatCode="General">
                  <c:v>1939.96</c:v>
                </c:pt>
                <c:pt idx="1" c:formatCode="General">
                  <c:v>3483.02</c:v>
                </c:pt>
              </c:numCache>
            </c:numRef>
          </c:val>
        </c:ser>
        <c:ser>
          <c:idx val="1"/>
          <c:order val="1"/>
          <c:tx>
            <c:strRef>
              <c:f>[侨联插图相关数椐.xls]Sheet1!$A$4</c:f>
              <c:strCache>
                <c:ptCount val="1"/>
                <c:pt idx="0">
                  <c:v>支出</c:v>
                </c:pt>
              </c:strCache>
            </c:strRef>
          </c:tx>
          <c:spPr>
            <a:solidFill>
              <a:schemeClr val="accent2"/>
            </a:solidFill>
            <a:ln>
              <a:noFill/>
            </a:ln>
            <a:effectLst/>
          </c:spPr>
          <c:invertIfNegative val="0"/>
          <c:dLbls>
            <c:delete val="1"/>
          </c:dLbls>
          <c:cat>
            <c:multiLvlStrRef>
              <c:f>[侨联插图相关数椐.xls]Sheet1!$B$1:$C$2</c:f>
              <c:multiLvlStrCache>
                <c:ptCount val="2"/>
                <c:lvl/>
                <c:lvl>
                  <c:pt idx="0">
                    <c:v>2017年</c:v>
                  </c:pt>
                  <c:pt idx="1">
                    <c:v>2018年</c:v>
                  </c:pt>
                </c:lvl>
              </c:multiLvlStrCache>
            </c:multiLvlStrRef>
          </c:cat>
          <c:val>
            <c:numRef>
              <c:f>[侨联插图相关数椐.xls]Sheet1!$B$4:$C$4</c:f>
              <c:numCache>
                <c:formatCode>General</c:formatCode>
                <c:ptCount val="2"/>
                <c:pt idx="0" c:formatCode="General">
                  <c:v>2306.68</c:v>
                </c:pt>
                <c:pt idx="1" c:formatCode="General">
                  <c:v>2206.64</c:v>
                </c:pt>
              </c:numCache>
            </c:numRef>
          </c:val>
        </c:ser>
        <c:dLbls>
          <c:dLblPos val="outEnd"/>
          <c:showLegendKey val="0"/>
          <c:showVal val="0"/>
          <c:showCatName val="0"/>
          <c:showSerName val="0"/>
          <c:showPercent val="0"/>
          <c:showBubbleSize val="0"/>
        </c:dLbls>
        <c:gapWidth val="219"/>
        <c:overlap val="-27"/>
        <c:axId val="582196986"/>
        <c:axId val="72237984"/>
      </c:barChart>
      <c:catAx>
        <c:axId val="58219698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237984"/>
        <c:crosses val="autoZero"/>
        <c:auto val="1"/>
        <c:lblAlgn val="ctr"/>
        <c:lblOffset val="100"/>
        <c:tickMarkSkip val="1"/>
        <c:noMultiLvlLbl val="0"/>
      </c:catAx>
      <c:valAx>
        <c:axId val="72237984"/>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2196986"/>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t>2018收入情况 （单位：万元）</a:t>
            </a:r>
          </a:p>
        </c:rich>
      </c:tx>
      <c:layout/>
      <c:overlay val="0"/>
      <c:spPr>
        <a:noFill/>
        <a:ln>
          <a:noFill/>
        </a:ln>
        <a:effectLst/>
      </c:spPr>
    </c:title>
    <c:autoTitleDeleted val="0"/>
    <c:plotArea>
      <c:layout/>
      <c:pieChart>
        <c:varyColors val="1"/>
        <c:ser>
          <c:idx val="0"/>
          <c:order val="0"/>
          <c:tx>
            <c:strRef>
              <c:f>[侨联插图相关数椐.xls]Sheet2!$B$1:$B$3</c:f>
              <c:strCache>
                <c:ptCount val="1"/>
                <c:pt idx="0">
                  <c:v>2018收入情况 单位：万元 收入金额</c:v>
                </c:pt>
              </c:strCache>
            </c:strRef>
          </c:tx>
          <c:spPr>
            <a:effectLst/>
          </c:spPr>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delete val="1"/>
          </c:dLbls>
          <c:cat>
            <c:strRef>
              <c:f>[侨联插图相关数椐.xls]Sheet2!$A$4:$A$5</c:f>
              <c:strCache>
                <c:ptCount val="2"/>
                <c:pt idx="0">
                  <c:v>一般公共财政拨款</c:v>
                </c:pt>
                <c:pt idx="1">
                  <c:v>政府性基金预算拨款收入</c:v>
                </c:pt>
              </c:strCache>
            </c:strRef>
          </c:cat>
          <c:val>
            <c:numRef>
              <c:f>[侨联插图相关数椐.xls]Sheet2!$B$4:$B$5</c:f>
              <c:numCache>
                <c:formatCode>General</c:formatCode>
                <c:ptCount val="2"/>
                <c:pt idx="0" c:formatCode="General">
                  <c:v>1939.96</c:v>
                </c:pt>
                <c:pt idx="1" c:formatCode="General">
                  <c:v>200</c:v>
                </c:pt>
              </c:numCache>
            </c:numRef>
          </c:val>
        </c:ser>
        <c:dLbls>
          <c:dLblPos val="bestFit"/>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t>2018支出情况图（ 金额：万元）</a:t>
            </a:r>
          </a:p>
        </c:rich>
      </c:tx>
      <c:layout/>
      <c:overlay val="0"/>
      <c:spPr>
        <a:noFill/>
        <a:ln>
          <a:noFill/>
        </a:ln>
        <a:effectLst/>
      </c:spPr>
    </c:title>
    <c:autoTitleDeleted val="0"/>
    <c:plotArea>
      <c:layout/>
      <c:pieChart>
        <c:varyColors val="1"/>
        <c:ser>
          <c:idx val="0"/>
          <c:order val="0"/>
          <c:tx>
            <c:strRef>
              <c:f>[侨联插图相关数椐.xls]Sheet3!$B$1:$B$2</c:f>
              <c:strCache>
                <c:ptCount val="1"/>
                <c:pt idx="0">
                  <c:v>2018支出情况图 金额：万元</c:v>
                </c:pt>
              </c:strCache>
            </c:strRef>
          </c:tx>
          <c:spPr>
            <a:effectLst/>
          </c:spPr>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delete val="1"/>
          </c:dLbls>
          <c:cat>
            <c:strRef>
              <c:f>[侨联插图相关数椐.xls]Sheet3!$A$3:$A$4</c:f>
              <c:strCache>
                <c:ptCount val="2"/>
                <c:pt idx="0">
                  <c:v>基本支出</c:v>
                </c:pt>
                <c:pt idx="1">
                  <c:v>项目支出</c:v>
                </c:pt>
              </c:strCache>
            </c:strRef>
          </c:cat>
          <c:val>
            <c:numRef>
              <c:f>[侨联插图相关数椐.xls]Sheet3!$B$3:$B$4</c:f>
              <c:numCache>
                <c:formatCode>General</c:formatCode>
                <c:ptCount val="2"/>
                <c:pt idx="0" c:formatCode="General">
                  <c:v>477.79</c:v>
                </c:pt>
                <c:pt idx="1" c:formatCode="General">
                  <c:v>1828.89</c:v>
                </c:pt>
              </c:numCache>
            </c:numRef>
          </c:val>
        </c:ser>
        <c:dLbls>
          <c:dLblPos val="bestFit"/>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en-US" altLang="zh-CN"/>
              <a:t>2017-2018</a:t>
            </a:r>
            <a:r>
              <a:rPr altLang="en-US"/>
              <a:t>年收支变动表</a:t>
            </a:r>
            <a:endParaRPr altLang="en-US"/>
          </a:p>
        </c:rich>
      </c:tx>
      <c:layout/>
      <c:overlay val="0"/>
      <c:spPr>
        <a:noFill/>
        <a:ln>
          <a:noFill/>
        </a:ln>
        <a:effectLst/>
      </c:spPr>
    </c:title>
    <c:autoTitleDeleted val="0"/>
    <c:plotArea>
      <c:layout/>
      <c:barChart>
        <c:barDir val="col"/>
        <c:grouping val="clustered"/>
        <c:varyColors val="0"/>
        <c:ser>
          <c:idx val="0"/>
          <c:order val="0"/>
          <c:tx>
            <c:strRef>
              <c:f>[侨联插图相关数椐.xls]Sheet4!$A$3</c:f>
              <c:strCache>
                <c:ptCount val="1"/>
                <c:pt idx="0">
                  <c:v>财政拨款收入</c:v>
                </c:pt>
              </c:strCache>
            </c:strRef>
          </c:tx>
          <c:spPr>
            <a:solidFill>
              <a:schemeClr val="accent1"/>
            </a:solidFill>
            <a:ln>
              <a:noFill/>
            </a:ln>
            <a:effectLst/>
          </c:spPr>
          <c:invertIfNegative val="0"/>
          <c:dLbls>
            <c:delete val="1"/>
          </c:dLbls>
          <c:cat>
            <c:multiLvlStrRef>
              <c:f>[侨联插图相关数椐.xls]Sheet4!$B$1:$C$2</c:f>
              <c:multiLvlStrCache>
                <c:ptCount val="2"/>
                <c:lvl/>
                <c:lvl>
                  <c:pt idx="0">
                    <c:v>2017年</c:v>
                  </c:pt>
                  <c:pt idx="1">
                    <c:v>2018年</c:v>
                  </c:pt>
                </c:lvl>
              </c:multiLvlStrCache>
            </c:multiLvlStrRef>
          </c:cat>
          <c:val>
            <c:numRef>
              <c:f>[侨联插图相关数椐.xls]Sheet4!$B$3:$C$3</c:f>
              <c:numCache>
                <c:formatCode>General</c:formatCode>
                <c:ptCount val="2"/>
                <c:pt idx="0" c:formatCode="General">
                  <c:v>3483.02</c:v>
                </c:pt>
                <c:pt idx="1" c:formatCode="General">
                  <c:v>1939.96</c:v>
                </c:pt>
              </c:numCache>
            </c:numRef>
          </c:val>
        </c:ser>
        <c:ser>
          <c:idx val="1"/>
          <c:order val="1"/>
          <c:tx>
            <c:strRef>
              <c:f>[侨联插图相关数椐.xls]Sheet4!$A$4</c:f>
              <c:strCache>
                <c:ptCount val="1"/>
                <c:pt idx="0">
                  <c:v>一般公共财政支出</c:v>
                </c:pt>
              </c:strCache>
            </c:strRef>
          </c:tx>
          <c:spPr>
            <a:solidFill>
              <a:schemeClr val="accent2"/>
            </a:solidFill>
            <a:ln>
              <a:noFill/>
            </a:ln>
            <a:effectLst/>
          </c:spPr>
          <c:invertIfNegative val="0"/>
          <c:dLbls>
            <c:delete val="1"/>
          </c:dLbls>
          <c:cat>
            <c:multiLvlStrRef>
              <c:f>[侨联插图相关数椐.xls]Sheet4!$B$1:$C$2</c:f>
              <c:multiLvlStrCache>
                <c:ptCount val="2"/>
                <c:lvl/>
                <c:lvl>
                  <c:pt idx="0">
                    <c:v>2017年</c:v>
                  </c:pt>
                  <c:pt idx="1">
                    <c:v>2018年</c:v>
                  </c:pt>
                </c:lvl>
              </c:multiLvlStrCache>
            </c:multiLvlStrRef>
          </c:cat>
          <c:val>
            <c:numRef>
              <c:f>[侨联插图相关数椐.xls]Sheet4!$B$4:$C$4</c:f>
              <c:numCache>
                <c:formatCode>General</c:formatCode>
                <c:ptCount val="2"/>
                <c:pt idx="0" c:formatCode="General">
                  <c:v>2206.64</c:v>
                </c:pt>
                <c:pt idx="1" c:formatCode="General">
                  <c:v>2306.68</c:v>
                </c:pt>
              </c:numCache>
            </c:numRef>
          </c:val>
        </c:ser>
        <c:dLbls>
          <c:dLblPos val="outEnd"/>
          <c:showLegendKey val="0"/>
          <c:showVal val="0"/>
          <c:showCatName val="0"/>
          <c:showSerName val="0"/>
          <c:showPercent val="0"/>
          <c:showBubbleSize val="0"/>
        </c:dLbls>
        <c:gapWidth val="219"/>
        <c:overlap val="-27"/>
        <c:axId val="275390248"/>
        <c:axId val="437250021"/>
      </c:barChart>
      <c:catAx>
        <c:axId val="275390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250021"/>
        <c:crosses val="autoZero"/>
        <c:auto val="1"/>
        <c:lblAlgn val="ctr"/>
        <c:lblOffset val="100"/>
        <c:tickMarkSkip val="1"/>
        <c:noMultiLvlLbl val="0"/>
      </c:catAx>
      <c:valAx>
        <c:axId val="437250021"/>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5390248"/>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1800" b="1" i="0" u="none" strike="noStrike" kern="1200" baseline="0">
                <a:solidFill>
                  <a:schemeClr val="dk1">
                    <a:lumMod val="75000"/>
                    <a:lumOff val="25000"/>
                  </a:schemeClr>
                </a:solidFill>
                <a:latin typeface="+mn-lt"/>
                <a:ea typeface="+mn-ea"/>
                <a:cs typeface="+mn-cs"/>
              </a:defRPr>
            </a:pPr>
            <a:r>
              <a:rPr lang="zh-CN" altLang="en-US" sz="1600"/>
              <a:t>一般公共预算财政拨款支出决算结构图</a:t>
            </a:r>
            <a:endParaRPr lang="zh-CN" altLang="en-US" sz="1600"/>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一般公共预算财政拨款支出决算结构图</c:v>
                </c:pt>
              </c:strCache>
            </c:strRef>
          </c:tx>
          <c:explosion val="27"/>
          <c:dPt>
            <c:idx val="0"/>
            <c:bubble3D val="0"/>
            <c:explosion val="4"/>
            <c:spPr>
              <a:solidFill>
                <a:schemeClr val="accent1"/>
              </a:solidFill>
              <a:ln>
                <a:noFill/>
              </a:ln>
              <a:effectLst>
                <a:outerShdw blurRad="254000" sx="102000" sy="102000" algn="ctr" rotWithShape="0">
                  <a:prstClr val="black">
                    <a:alpha val="20000"/>
                  </a:prstClr>
                </a:outerShdw>
              </a:effectLst>
              <a:sp3d/>
            </c:spPr>
          </c:dPt>
          <c:dPt>
            <c:idx val="1"/>
            <c:bubble3D val="0"/>
            <c:explosion val="3"/>
            <c:spPr>
              <a:solidFill>
                <a:schemeClr val="accent2"/>
              </a:solidFill>
              <a:ln>
                <a:noFill/>
              </a:ln>
              <a:effectLst>
                <a:outerShdw blurRad="254000" sx="102000" sy="102000" algn="ctr" rotWithShape="0">
                  <a:prstClr val="black">
                    <a:alpha val="20000"/>
                  </a:prstClr>
                </a:outerShdw>
              </a:effectLst>
              <a:sp3d/>
            </c:spPr>
          </c:dPt>
          <c:dPt>
            <c:idx val="2"/>
            <c:bubble3D val="0"/>
            <c:explosion val="8"/>
            <c:spPr>
              <a:solidFill>
                <a:schemeClr val="accent3"/>
              </a:solidFill>
              <a:ln>
                <a:noFill/>
              </a:ln>
              <a:effectLst>
                <a:outerShdw blurRad="254000" sx="102000" sy="102000" algn="ctr" rotWithShape="0">
                  <a:prstClr val="black">
                    <a:alpha val="20000"/>
                  </a:prstClr>
                </a:outerShdw>
              </a:effectLst>
              <a:sp3d/>
            </c:spPr>
          </c:dPt>
          <c:dPt>
            <c:idx val="3"/>
            <c:bubble3D val="0"/>
            <c:explosion val="7"/>
            <c:spPr>
              <a:solidFill>
                <a:schemeClr val="accent4"/>
              </a:solidFill>
              <a:ln>
                <a:noFill/>
              </a:ln>
              <a:effectLst>
                <a:outerShdw blurRad="254000" sx="102000" sy="102000" algn="ctr" rotWithShape="0">
                  <a:prstClr val="black">
                    <a:alpha val="20000"/>
                  </a:prstClr>
                </a:outerShdw>
              </a:effectLst>
              <a:sp3d/>
            </c:spPr>
          </c:dPt>
          <c:dPt>
            <c:idx val="4"/>
            <c:bubble3D val="0"/>
            <c:explosion val="5"/>
            <c:spPr>
              <a:solidFill>
                <a:schemeClr val="accent5"/>
              </a:solidFill>
              <a:ln>
                <a:noFill/>
              </a:ln>
              <a:effectLst/>
            </c:spPr>
          </c:dPt>
          <c:dLbls>
            <c:dLbl>
              <c:idx val="1"/>
              <c:layout>
                <c:manualLayout>
                  <c:x val="-0.00762501108832569"/>
                  <c:y val="0.00248319387426995"/>
                </c:manualLayout>
              </c:layout>
              <c:numFmt formatCode="General" sourceLinked="1"/>
              <c:spPr>
                <a:noFill/>
                <a:ln>
                  <a:noFill/>
                </a:ln>
                <a:effectLst/>
              </c:spPr>
              <c:txPr>
                <a:bodyPr rot="0" spcFirstLastPara="1"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152984455471893"/>
                  <c:y val="-0.0203088289177528"/>
                </c:manualLayout>
              </c:layout>
              <c:numFmt formatCode="General" sourceLinked="1"/>
              <c:spPr>
                <a:noFill/>
                <a:ln>
                  <a:noFill/>
                </a:ln>
                <a:effectLst/>
              </c:spPr>
              <c:txPr>
                <a:bodyPr rot="0" spcFirstLastPara="1"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19850555459892"/>
                  <c:y val="0.110801534423582"/>
                </c:manualLayout>
              </c:layout>
              <c:numFmt formatCode="General" sourceLinked="1"/>
              <c:spPr>
                <a:noFill/>
                <a:ln>
                  <a:noFill/>
                </a:ln>
                <a:effectLst/>
              </c:spPr>
              <c:txPr>
                <a:bodyPr rot="0" spcFirstLastPara="1"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numFmt formatCode="General" sourceLinked="1"/>
              <c:dLblPos val="ctr"/>
              <c:showLegendKey val="0"/>
              <c:showVal val="0"/>
              <c:showCatName val="0"/>
              <c:showSerName val="0"/>
              <c:showPercent val="1"/>
              <c:showBubbleSize val="0"/>
              <c:extLst>
                <c:ext xmlns:c15="http://schemas.microsoft.com/office/drawing/2012/chart" uri="{CE6537A1-D6FC-4f65-9D91-7224C49458BB}"/>
              </c:extLst>
            </c:dLbl>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horzOverflow="overflow"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noFill/>
                    <a:ln w="9525" cap="flat" cmpd="sng" algn="ctr">
                      <a:solidFill>
                        <a:schemeClr val="dk1">
                          <a:lumMod val="50000"/>
                          <a:lumOff val="50000"/>
                        </a:schemeClr>
                      </a:solidFill>
                      <a:prstDash val="solid"/>
                      <a:round/>
                    </a:ln>
                    <a:effectLst/>
                  </c:spPr>
                </c15:leaderLines>
              </c:ext>
            </c:extLst>
          </c:dLbls>
          <c:cat>
            <c:strRef>
              <c:f>Sheet1!$A$2:$A$6</c:f>
              <c:strCache>
                <c:ptCount val="5"/>
                <c:pt idx="0">
                  <c:v>一般公共服务支出</c:v>
                </c:pt>
                <c:pt idx="1">
                  <c:v>教育支出</c:v>
                </c:pt>
                <c:pt idx="2">
                  <c:v>社会保障和就业支出</c:v>
                </c:pt>
                <c:pt idx="3">
                  <c:v>医疗卫生与计划生育支出</c:v>
                </c:pt>
                <c:pt idx="4">
                  <c:v>住房保障支出</c:v>
                </c:pt>
              </c:strCache>
            </c:strRef>
          </c:cat>
          <c:val>
            <c:numRef>
              <c:f>Sheet1!$B$2:$B$6</c:f>
              <c:numCache>
                <c:formatCode>0.00_ </c:formatCode>
                <c:ptCount val="5"/>
                <c:pt idx="0">
                  <c:v>1446.05</c:v>
                </c:pt>
                <c:pt idx="1">
                  <c:v>669.66</c:v>
                </c:pt>
                <c:pt idx="2">
                  <c:v>32.62</c:v>
                </c:pt>
                <c:pt idx="3">
                  <c:v>12.19</c:v>
                </c:pt>
                <c:pt idx="4">
                  <c:v>26.17</c:v>
                </c:pt>
              </c:numCache>
            </c:numRef>
          </c:val>
        </c:ser>
        <c:dLbls>
          <c:dLblPos val="bestFit"/>
          <c:showLegendKey val="0"/>
          <c:showVal val="0"/>
          <c:showCatName val="0"/>
          <c:showSerName val="0"/>
          <c:showPercent val="1"/>
          <c:showBubbleSize val="0"/>
          <c:showLeaderLines val="1"/>
        </c:dLbls>
        <c:firstSliceAng val="29"/>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horzOverflow="overflow"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ADD587-FAFF-417A-9417-0B4C99ED092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8456</Words>
  <Characters>2930</Characters>
  <Lines>24</Lines>
  <Paragraphs>22</Paragraphs>
  <TotalTime>0</TotalTime>
  <ScaleCrop>false</ScaleCrop>
  <LinksUpToDate>false</LinksUpToDate>
  <CharactersWithSpaces>11364</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2019-09-17T10:52:00Z</dcterms:created>
  <dc:creator>张彬茜</dc:creator>
  <cp:lastModifiedBy>Administrator</cp:lastModifiedBy>
  <cp:lastPrinted>2019-09-19T06:59:00Z</cp:lastPrinted>
  <dcterms:modified xsi:type="dcterms:W3CDTF">2019-09-19T08:28:11Z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