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193"/>
      <w:bookmarkStart w:id="3" w:name="_Toc15377425"/>
      <w:bookmarkStart w:id="4" w:name="_Toc15396475"/>
      <w:bookmarkStart w:id="5" w:name="_Toc15396597"/>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598"/>
      <w:bookmarkStart w:id="8" w:name="_Toc15377426"/>
      <w:bookmarkStart w:id="9" w:name="_Toc15396476"/>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达州市达川区江阳乡卫生院</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公开时间：2019年</w:t>
      </w:r>
      <w:r>
        <w:rPr>
          <w:rFonts w:hint="eastAsia"/>
          <w:lang w:val="en-US" w:eastAsia="zh-CN"/>
        </w:rPr>
        <w:t>9</w:t>
      </w:r>
      <w:r>
        <w:rPr>
          <w:rFonts w:hint="eastAsia"/>
        </w:rPr>
        <w:t>月</w:t>
      </w:r>
      <w:r>
        <w:rPr>
          <w:rFonts w:hint="eastAsia"/>
          <w:lang w:val="en-US" w:eastAsia="zh-CN"/>
        </w:rPr>
        <w:t>12</w:t>
      </w:r>
      <w:r>
        <w:rPr>
          <w:rFonts w:hint="eastAsia"/>
        </w:rPr>
        <w:t>日</w:t>
      </w:r>
    </w:p>
    <w:p/>
    <w:p>
      <w:pPr>
        <w:pStyle w:val="10"/>
        <w:rPr>
          <w:rFonts w:cstheme="minorBidi"/>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_Toc15396614 \h </w:instrText>
      </w:r>
      <w:r>
        <w:fldChar w:fldCharType="separate"/>
      </w:r>
      <w:r>
        <w:t>19</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fldChar w:fldCharType="begin"/>
      </w:r>
      <w:r>
        <w:instrText xml:space="preserve"> PAGEREF _Toc15396618 \h </w:instrText>
      </w:r>
      <w:r>
        <w:fldChar w:fldCharType="separate"/>
      </w:r>
      <w:r>
        <w:t>22</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adjustRightInd w:val="0"/>
        <w:snapToGrid w:val="0"/>
        <w:spacing w:line="600" w:lineRule="atLeast"/>
        <w:ind w:firstLine="704" w:firstLineChars="220"/>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8446"/>
      <w:bookmarkStart w:id="19" w:name="_Toc15377199"/>
    </w:p>
    <w:p>
      <w:pPr>
        <w:adjustRightInd w:val="0"/>
        <w:snapToGrid w:val="0"/>
        <w:spacing w:line="600" w:lineRule="atLeast"/>
        <w:ind w:firstLine="704" w:firstLineChars="220"/>
        <w:rPr>
          <w:rFonts w:hint="eastAsia" w:ascii="仿宋_GB2312" w:eastAsia="仿宋_GB2312"/>
          <w:sz w:val="32"/>
          <w:szCs w:val="32"/>
        </w:rPr>
      </w:pPr>
      <w:r>
        <w:rPr>
          <w:rFonts w:hint="eastAsia" w:ascii="仿宋_GB2312" w:eastAsia="仿宋_GB2312"/>
          <w:sz w:val="32"/>
          <w:szCs w:val="32"/>
        </w:rPr>
        <w:t>我院是一所一级</w:t>
      </w:r>
      <w:r>
        <w:rPr>
          <w:rFonts w:hint="eastAsia" w:ascii="仿宋_GB2312" w:eastAsia="仿宋_GB2312"/>
          <w:sz w:val="32"/>
          <w:szCs w:val="32"/>
          <w:lang w:eastAsia="zh-CN"/>
        </w:rPr>
        <w:t>乙</w:t>
      </w:r>
      <w:r>
        <w:rPr>
          <w:rFonts w:hint="eastAsia" w:ascii="仿宋_GB2312" w:eastAsia="仿宋_GB2312"/>
          <w:sz w:val="32"/>
          <w:szCs w:val="32"/>
        </w:rPr>
        <w:t>等卫生院，提供以预防保健、基本医疗、健康教育、计划生育、康复为主要内容的综合性服务，全面实施国家基本公共卫生服务和重大公共卫生服务项目，提高农民保健意识。</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p>
    <w:p>
      <w:pPr>
        <w:adjustRightInd w:val="0"/>
        <w:snapToGrid w:val="0"/>
        <w:spacing w:line="600" w:lineRule="atLeast"/>
        <w:ind w:firstLine="704" w:firstLineChars="220"/>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8"/>
      <w:bookmarkEnd w:id="19"/>
    </w:p>
    <w:p>
      <w:pPr>
        <w:adjustRightInd w:val="0"/>
        <w:snapToGrid w:val="0"/>
        <w:spacing w:line="600" w:lineRule="atLeast"/>
        <w:ind w:firstLine="704" w:firstLineChars="22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201</w:t>
      </w:r>
      <w:r>
        <w:rPr>
          <w:rFonts w:hint="eastAsia" w:ascii="仿宋_GB2312" w:hAnsi="Times New Roman" w:eastAsia="仿宋_GB2312" w:cs="Times New Roman"/>
          <w:sz w:val="32"/>
          <w:szCs w:val="32"/>
          <w:lang w:val="en-US" w:eastAsia="zh-CN"/>
        </w:rPr>
        <w:t>8年</w:t>
      </w:r>
      <w:r>
        <w:rPr>
          <w:rFonts w:hint="eastAsia" w:ascii="仿宋_GB2312" w:hAnsi="Times New Roman" w:eastAsia="仿宋_GB2312" w:cs="Times New Roman"/>
          <w:sz w:val="32"/>
          <w:szCs w:val="32"/>
        </w:rPr>
        <w:t>达川区</w:t>
      </w:r>
      <w:r>
        <w:rPr>
          <w:rFonts w:hint="eastAsia" w:ascii="仿宋_GB2312" w:hAnsi="Times New Roman" w:eastAsia="仿宋_GB2312" w:cs="Times New Roman"/>
          <w:sz w:val="32"/>
          <w:szCs w:val="32"/>
          <w:lang w:eastAsia="zh-CN"/>
        </w:rPr>
        <w:t>江阳乡</w:t>
      </w:r>
      <w:r>
        <w:rPr>
          <w:rFonts w:hint="eastAsia" w:ascii="仿宋_GB2312" w:hAnsi="Times New Roman" w:eastAsia="仿宋_GB2312" w:cs="Times New Roman"/>
          <w:sz w:val="32"/>
          <w:szCs w:val="32"/>
        </w:rPr>
        <w:t>卫生院</w:t>
      </w:r>
      <w:r>
        <w:rPr>
          <w:rFonts w:hint="eastAsia" w:ascii="仿宋_GB2312" w:hAnsi="Times New Roman" w:eastAsia="仿宋_GB2312" w:cs="Times New Roman"/>
          <w:sz w:val="32"/>
          <w:szCs w:val="32"/>
          <w:lang w:eastAsia="zh-CN"/>
        </w:rPr>
        <w:t>的卫生工作</w:t>
      </w:r>
      <w:r>
        <w:rPr>
          <w:rFonts w:hint="eastAsia" w:ascii="仿宋_GB2312" w:hAnsi="Times New Roman" w:eastAsia="仿宋_GB2312" w:cs="Times New Roman"/>
          <w:sz w:val="32"/>
          <w:szCs w:val="32"/>
        </w:rPr>
        <w:t>在镇党委、政府</w:t>
      </w:r>
      <w:r>
        <w:rPr>
          <w:rFonts w:hint="eastAsia" w:ascii="仿宋_GB2312" w:hAnsi="Times New Roman" w:eastAsia="仿宋_GB2312" w:cs="Times New Roman"/>
          <w:sz w:val="32"/>
          <w:szCs w:val="32"/>
          <w:lang w:eastAsia="zh-CN"/>
        </w:rPr>
        <w:t>和</w:t>
      </w:r>
      <w:r>
        <w:rPr>
          <w:rFonts w:hint="eastAsia" w:ascii="仿宋_GB2312" w:hAnsi="Times New Roman" w:eastAsia="仿宋_GB2312" w:cs="Times New Roman"/>
          <w:sz w:val="32"/>
          <w:szCs w:val="32"/>
        </w:rPr>
        <w:t>区卫生</w:t>
      </w:r>
      <w:r>
        <w:rPr>
          <w:rFonts w:hint="eastAsia" w:ascii="仿宋_GB2312" w:hAnsi="Times New Roman" w:eastAsia="仿宋_GB2312" w:cs="Times New Roman"/>
          <w:sz w:val="32"/>
          <w:szCs w:val="32"/>
          <w:lang w:eastAsia="zh-CN"/>
        </w:rPr>
        <w:t>计生</w:t>
      </w:r>
      <w:r>
        <w:rPr>
          <w:rFonts w:hint="eastAsia" w:ascii="仿宋_GB2312" w:hAnsi="Times New Roman" w:eastAsia="仿宋_GB2312" w:cs="Times New Roman"/>
          <w:sz w:val="32"/>
          <w:szCs w:val="32"/>
        </w:rPr>
        <w:t>局领导下，</w:t>
      </w:r>
      <w:bookmarkStart w:id="20" w:name="OLE_LINK1"/>
      <w:r>
        <w:rPr>
          <w:rFonts w:hint="eastAsia" w:ascii="仿宋_GB2312" w:hAnsi="Times New Roman" w:eastAsia="仿宋_GB2312" w:cs="Times New Roman"/>
          <w:sz w:val="32"/>
          <w:szCs w:val="32"/>
        </w:rPr>
        <w:t>坚持以“三个代表”重要思想为指导，认真贯彻落实党的</w:t>
      </w:r>
      <w:r>
        <w:rPr>
          <w:rFonts w:hint="eastAsia" w:ascii="仿宋_GB2312" w:hAnsi="Times New Roman" w:eastAsia="仿宋_GB2312" w:cs="Times New Roman"/>
          <w:sz w:val="32"/>
          <w:szCs w:val="32"/>
          <w:lang w:eastAsia="zh-CN"/>
        </w:rPr>
        <w:t>十九</w:t>
      </w:r>
      <w:r>
        <w:rPr>
          <w:rFonts w:hint="eastAsia" w:ascii="仿宋_GB2312" w:hAnsi="Times New Roman" w:eastAsia="仿宋_GB2312" w:cs="Times New Roman"/>
          <w:sz w:val="32"/>
          <w:szCs w:val="32"/>
        </w:rPr>
        <w:t>大精神，强化“以病人为中心，以质量为核心”的服务理念，深入</w:t>
      </w:r>
      <w:r>
        <w:rPr>
          <w:rFonts w:hint="eastAsia" w:ascii="仿宋_GB2312" w:hAnsi="Times New Roman" w:eastAsia="仿宋_GB2312" w:cs="Times New Roman"/>
          <w:sz w:val="32"/>
          <w:szCs w:val="32"/>
          <w:lang w:eastAsia="zh-CN"/>
        </w:rPr>
        <w:t>全面</w:t>
      </w:r>
      <w:r>
        <w:rPr>
          <w:rFonts w:hint="eastAsia" w:ascii="仿宋_GB2312" w:hAnsi="Times New Roman" w:eastAsia="仿宋_GB2312" w:cs="Times New Roman"/>
          <w:sz w:val="32"/>
          <w:szCs w:val="32"/>
        </w:rPr>
        <w:t>贯彻党的</w:t>
      </w:r>
      <w:r>
        <w:rPr>
          <w:rFonts w:hint="eastAsia" w:ascii="仿宋_GB2312" w:hAnsi="Times New Roman" w:eastAsia="仿宋_GB2312" w:cs="Times New Roman"/>
          <w:sz w:val="32"/>
          <w:szCs w:val="32"/>
          <w:lang w:eastAsia="zh-CN"/>
        </w:rPr>
        <w:t>十九大</w:t>
      </w:r>
      <w:r>
        <w:rPr>
          <w:rFonts w:hint="eastAsia" w:ascii="仿宋_GB2312" w:hAnsi="Times New Roman" w:eastAsia="仿宋_GB2312" w:cs="Times New Roman"/>
          <w:sz w:val="32"/>
          <w:szCs w:val="32"/>
        </w:rPr>
        <w:t>精神</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习近平新时代中国特色社会主义思想</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习近平总书记对四川工作系列重要指示精神和省委十一届三次全会精神，落实市第四次党代会部署</w:t>
      </w:r>
      <w:r>
        <w:rPr>
          <w:rFonts w:hint="eastAsia" w:ascii="仿宋_GB2312" w:hAnsi="Times New Roman" w:eastAsia="仿宋_GB2312" w:cs="Times New Roman"/>
          <w:sz w:val="32"/>
          <w:szCs w:val="32"/>
          <w:lang w:eastAsia="zh-CN"/>
        </w:rPr>
        <w:t>。深入</w:t>
      </w:r>
      <w:r>
        <w:rPr>
          <w:rFonts w:hint="eastAsia" w:ascii="仿宋_GB2312" w:hAnsi="Times New Roman" w:eastAsia="仿宋_GB2312" w:cs="Times New Roman"/>
          <w:sz w:val="32"/>
          <w:szCs w:val="32"/>
        </w:rPr>
        <w:t>开展</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六个年</w:t>
      </w:r>
      <w:r>
        <w:rPr>
          <w:rFonts w:hint="eastAsia" w:ascii="仿宋_GB2312" w:hAnsi="Times New Roman" w:eastAsia="仿宋_GB2312" w:cs="Times New Roman"/>
          <w:sz w:val="32"/>
          <w:szCs w:val="32"/>
          <w:lang w:eastAsia="zh-CN"/>
        </w:rPr>
        <w:t>”、“廉洁医院建设”</w:t>
      </w:r>
      <w:r>
        <w:rPr>
          <w:rFonts w:hint="eastAsia" w:ascii="仿宋_GB2312" w:hAnsi="Times New Roman" w:eastAsia="仿宋_GB2312" w:cs="Times New Roman"/>
          <w:sz w:val="32"/>
          <w:szCs w:val="32"/>
        </w:rPr>
        <w:t>活动。</w:t>
      </w:r>
      <w:bookmarkEnd w:id="20"/>
      <w:r>
        <w:rPr>
          <w:rFonts w:hint="eastAsia" w:ascii="仿宋_GB2312" w:hAnsi="Times New Roman" w:eastAsia="仿宋_GB2312" w:cs="Times New Roman"/>
          <w:sz w:val="32"/>
          <w:szCs w:val="32"/>
        </w:rPr>
        <w:t>加强政治思想和医德医风教育</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抓好医疗核心制度落实，严格</w:t>
      </w:r>
      <w:r>
        <w:rPr>
          <w:rFonts w:hint="eastAsia" w:ascii="仿宋_GB2312" w:hAnsi="Times New Roman" w:eastAsia="仿宋_GB2312" w:cs="Times New Roman"/>
          <w:sz w:val="32"/>
          <w:szCs w:val="32"/>
          <w:lang w:eastAsia="zh-CN"/>
        </w:rPr>
        <w:t>医疗保险</w:t>
      </w:r>
      <w:r>
        <w:rPr>
          <w:rFonts w:hint="eastAsia" w:ascii="仿宋_GB2312" w:hAnsi="Times New Roman" w:eastAsia="仿宋_GB2312" w:cs="Times New Roman"/>
          <w:sz w:val="32"/>
          <w:szCs w:val="32"/>
        </w:rPr>
        <w:t>制度和基</w:t>
      </w:r>
      <w:r>
        <w:rPr>
          <w:rFonts w:hint="eastAsia" w:ascii="仿宋_GB2312" w:hAnsi="Times New Roman" w:eastAsia="仿宋_GB2312" w:cs="Times New Roman"/>
          <w:sz w:val="32"/>
          <w:szCs w:val="32"/>
          <w:lang w:eastAsia="zh-CN"/>
        </w:rPr>
        <w:t>本</w:t>
      </w:r>
      <w:r>
        <w:rPr>
          <w:rFonts w:hint="eastAsia" w:ascii="仿宋_GB2312" w:hAnsi="Times New Roman" w:eastAsia="仿宋_GB2312" w:cs="Times New Roman"/>
          <w:sz w:val="32"/>
          <w:szCs w:val="32"/>
        </w:rPr>
        <w:t>公共卫生项目实施，努力做好辖区内疾病预防控制工作，严格执行药品网上采购“阳光采购”方案</w:t>
      </w:r>
      <w:r>
        <w:rPr>
          <w:rFonts w:hint="eastAsia" w:ascii="仿宋_GB2312" w:hAnsi="Times New Roman" w:eastAsia="仿宋_GB2312" w:cs="Times New Roman"/>
          <w:sz w:val="32"/>
          <w:szCs w:val="32"/>
          <w:lang w:eastAsia="zh-CN"/>
        </w:rPr>
        <w:t>及</w:t>
      </w:r>
      <w:r>
        <w:rPr>
          <w:rFonts w:hint="eastAsia" w:ascii="仿宋_GB2312" w:hAnsi="Times New Roman" w:eastAsia="仿宋_GB2312" w:cs="Times New Roman"/>
          <w:sz w:val="32"/>
          <w:szCs w:val="32"/>
        </w:rPr>
        <w:t>基本药物制度和抗菌药物应用管理的规定。</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p>
    <w:p>
      <w:pPr>
        <w:pStyle w:val="3"/>
        <w:rPr>
          <w:rStyle w:val="25"/>
          <w:b w:val="0"/>
          <w:bCs w:val="0"/>
        </w:rPr>
      </w:pPr>
      <w:bookmarkStart w:id="21" w:name="_Toc15396601"/>
      <w:bookmarkStart w:id="22"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1"/>
      <w:bookmarkEnd w:id="22"/>
    </w:p>
    <w:p>
      <w:pPr>
        <w:widowControl/>
        <w:ind w:firstLine="640" w:firstLineChars="200"/>
        <w:jc w:val="left"/>
        <w:rPr>
          <w:rFonts w:ascii="仿宋" w:hAnsi="仿宋" w:eastAsia="仿宋"/>
          <w:color w:val="000000"/>
          <w:kern w:val="0"/>
          <w:sz w:val="32"/>
          <w:szCs w:val="32"/>
        </w:rPr>
      </w:pPr>
      <w:r>
        <w:rPr>
          <w:rFonts w:hint="eastAsia" w:ascii="仿宋_GB2312" w:hAnsi="仿宋_GB2312" w:eastAsia="仿宋_GB2312" w:cs="仿宋_GB2312"/>
          <w:color w:val="000000"/>
          <w:sz w:val="32"/>
          <w:szCs w:val="32"/>
        </w:rPr>
        <w:t>达州市达川区</w:t>
      </w:r>
      <w:r>
        <w:rPr>
          <w:rFonts w:hint="eastAsia" w:ascii="仿宋_GB2312" w:hAnsi="仿宋_GB2312" w:eastAsia="仿宋_GB2312" w:cs="仿宋_GB2312"/>
          <w:color w:val="000000"/>
          <w:sz w:val="32"/>
          <w:szCs w:val="32"/>
          <w:lang w:eastAsia="zh-CN"/>
        </w:rPr>
        <w:t>江阳乡</w:t>
      </w:r>
      <w:r>
        <w:rPr>
          <w:rFonts w:hint="eastAsia" w:ascii="仿宋_GB2312" w:hAnsi="仿宋_GB2312" w:eastAsia="仿宋_GB2312" w:cs="仿宋_GB2312"/>
          <w:color w:val="000000"/>
          <w:sz w:val="32"/>
          <w:szCs w:val="32"/>
        </w:rPr>
        <w:t>卫生院</w:t>
      </w:r>
      <w:r>
        <w:rPr>
          <w:rFonts w:hint="eastAsia" w:ascii="仿宋_GB2312" w:hAnsi="仿宋_GB2312" w:eastAsia="仿宋_GB2312" w:cs="仿宋_GB2312"/>
          <w:color w:val="000000"/>
          <w:sz w:val="32"/>
          <w:szCs w:val="32"/>
          <w:lang w:eastAsia="zh-CN"/>
        </w:rPr>
        <w:t>为</w:t>
      </w:r>
      <w:r>
        <w:rPr>
          <w:rFonts w:hint="eastAsia" w:ascii="仿宋_GB2312" w:hAnsi="仿宋_GB2312" w:eastAsia="仿宋_GB2312" w:cs="仿宋_GB2312"/>
          <w:color w:val="000000"/>
          <w:sz w:val="32"/>
          <w:szCs w:val="32"/>
        </w:rPr>
        <w:t>事业单位1个。</w:t>
      </w:r>
      <w:r>
        <w:rPr>
          <w:rFonts w:hint="eastAsia" w:ascii="仿宋_GB2312" w:hAnsi="仿宋_GB2312" w:eastAsia="仿宋_GB2312" w:cs="仿宋_GB2312"/>
          <w:color w:val="000000"/>
          <w:sz w:val="32"/>
          <w:szCs w:val="32"/>
          <w:lang w:val="en-US" w:eastAsia="zh-CN"/>
        </w:rPr>
        <w:t>2018年纳入部门决算。</w:t>
      </w:r>
      <w:r>
        <w:rPr>
          <w:rFonts w:hint="eastAsia" w:ascii="仿宋_GB2312" w:hAnsi="仿宋" w:eastAsia="仿宋_GB2312"/>
          <w:sz w:val="32"/>
          <w:szCs w:val="32"/>
        </w:rPr>
        <w:t>年末实有人数</w:t>
      </w:r>
      <w:r>
        <w:rPr>
          <w:rFonts w:hint="eastAsia" w:ascii="仿宋_GB2312" w:hAnsi="仿宋" w:eastAsia="仿宋_GB2312"/>
          <w:sz w:val="32"/>
          <w:szCs w:val="32"/>
          <w:lang w:val="en-US" w:eastAsia="zh-CN"/>
        </w:rPr>
        <w:t>9</w:t>
      </w:r>
      <w:r>
        <w:rPr>
          <w:rFonts w:hint="eastAsia" w:ascii="仿宋_GB2312" w:hAnsi="仿宋" w:eastAsia="仿宋_GB2312"/>
          <w:sz w:val="32"/>
          <w:szCs w:val="32"/>
        </w:rPr>
        <w:t>人，其中事业专技人员</w:t>
      </w:r>
      <w:r>
        <w:rPr>
          <w:rFonts w:hint="eastAsia" w:ascii="仿宋_GB2312" w:hAnsi="仿宋" w:eastAsia="仿宋_GB2312"/>
          <w:sz w:val="32"/>
          <w:szCs w:val="32"/>
          <w:lang w:val="en-US" w:eastAsia="zh-CN"/>
        </w:rPr>
        <w:t>9</w:t>
      </w:r>
      <w:r>
        <w:rPr>
          <w:rFonts w:hint="eastAsia" w:ascii="仿宋_GB2312" w:hAnsi="仿宋" w:eastAsia="仿宋_GB2312"/>
          <w:sz w:val="32"/>
          <w:szCs w:val="32"/>
        </w:rPr>
        <w:t>人、临聘人员</w:t>
      </w:r>
      <w:r>
        <w:rPr>
          <w:rFonts w:hint="eastAsia" w:ascii="仿宋_GB2312" w:hAnsi="仿宋" w:eastAsia="仿宋_GB2312"/>
          <w:sz w:val="32"/>
          <w:szCs w:val="32"/>
          <w:lang w:val="en-US" w:eastAsia="zh-CN"/>
        </w:rPr>
        <w:t>1</w:t>
      </w:r>
      <w:r>
        <w:rPr>
          <w:rFonts w:hint="eastAsia" w:ascii="仿宋_GB2312" w:hAnsi="仿宋" w:eastAsia="仿宋_GB2312"/>
          <w:sz w:val="32"/>
          <w:szCs w:val="32"/>
        </w:rPr>
        <w:t>人；退休人员</w:t>
      </w:r>
      <w:r>
        <w:rPr>
          <w:rFonts w:hint="eastAsia" w:ascii="仿宋_GB2312" w:hAnsi="仿宋" w:eastAsia="仿宋_GB2312"/>
          <w:sz w:val="32"/>
          <w:szCs w:val="32"/>
          <w:lang w:val="en-US" w:eastAsia="zh-CN"/>
        </w:rPr>
        <w:t>5</w:t>
      </w:r>
      <w:r>
        <w:rPr>
          <w:rFonts w:hint="eastAsia" w:ascii="仿宋_GB2312" w:hAnsi="仿宋" w:eastAsia="仿宋_GB2312"/>
          <w:sz w:val="32"/>
          <w:szCs w:val="32"/>
        </w:rPr>
        <w:t>人。</w:t>
      </w: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3" w:name="_Toc15396602"/>
      <w:bookmarkStart w:id="24"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2018年度部门决算情况说明</w:t>
      </w:r>
      <w:bookmarkEnd w:id="23"/>
      <w:bookmarkEnd w:id="24"/>
    </w:p>
    <w:p/>
    <w:p>
      <w:pPr>
        <w:pStyle w:val="23"/>
        <w:numPr>
          <w:ilvl w:val="0"/>
          <w:numId w:val="1"/>
        </w:numPr>
        <w:spacing w:line="600" w:lineRule="exact"/>
        <w:ind w:firstLineChars="0"/>
        <w:outlineLvl w:val="1"/>
        <w:rPr>
          <w:rStyle w:val="25"/>
          <w:rFonts w:ascii="黑体" w:hAnsi="黑体" w:eastAsia="黑体"/>
          <w:b w:val="0"/>
        </w:rPr>
      </w:pPr>
      <w:bookmarkStart w:id="25" w:name="_Toc15396603"/>
      <w:bookmarkStart w:id="26"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5"/>
      <w:bookmarkEnd w:id="26"/>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2018年度收</w:t>
      </w:r>
      <w:r>
        <w:rPr>
          <w:rFonts w:hint="eastAsia" w:ascii="仿宋" w:hAnsi="仿宋" w:eastAsia="仿宋"/>
          <w:color w:val="000000"/>
          <w:sz w:val="32"/>
          <w:szCs w:val="32"/>
          <w:lang w:eastAsia="zh-CN"/>
        </w:rPr>
        <w:t>支总计</w:t>
      </w:r>
      <w:r>
        <w:rPr>
          <w:rFonts w:hint="eastAsia" w:ascii="仿宋" w:hAnsi="仿宋" w:eastAsia="仿宋"/>
          <w:color w:val="000000"/>
          <w:sz w:val="32"/>
          <w:szCs w:val="32"/>
          <w:lang w:val="en-US" w:eastAsia="zh-CN"/>
        </w:rPr>
        <w:t>294.63万元</w:t>
      </w:r>
      <w:r>
        <w:rPr>
          <w:rFonts w:hint="eastAsia" w:ascii="仿宋" w:hAnsi="仿宋" w:eastAsia="仿宋"/>
          <w:color w:val="000000"/>
          <w:sz w:val="32"/>
          <w:szCs w:val="32"/>
        </w:rPr>
        <w:t>。与2017年相比，收、支总计各增加</w:t>
      </w:r>
      <w:r>
        <w:rPr>
          <w:rFonts w:hint="eastAsia" w:ascii="仿宋" w:hAnsi="仿宋" w:eastAsia="仿宋"/>
          <w:color w:val="000000"/>
          <w:sz w:val="32"/>
          <w:szCs w:val="32"/>
          <w:lang w:val="en-US" w:eastAsia="zh-CN"/>
        </w:rPr>
        <w:t>36.83</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业务收入增加，医疗支出成本增加。</w:t>
      </w:r>
    </w:p>
    <w:p>
      <w:pPr>
        <w:spacing w:line="600" w:lineRule="exact"/>
        <w:ind w:firstLine="630" w:firstLineChars="300"/>
        <w:rPr>
          <w:rFonts w:hint="eastAsia" w:ascii="仿宋" w:hAnsi="仿宋" w:eastAsia="仿宋"/>
          <w:color w:val="000000"/>
          <w:sz w:val="32"/>
          <w:szCs w:val="32"/>
          <w:lang w:eastAsia="zh-CN"/>
        </w:rPr>
      </w:pPr>
      <w:r>
        <w:drawing>
          <wp:anchor distT="0" distB="0" distL="114300" distR="114300" simplePos="0" relativeHeight="251658240" behindDoc="0" locked="0" layoutInCell="1" allowOverlap="1">
            <wp:simplePos x="0" y="0"/>
            <wp:positionH relativeFrom="column">
              <wp:posOffset>804545</wp:posOffset>
            </wp:positionH>
            <wp:positionV relativeFrom="paragraph">
              <wp:posOffset>271145</wp:posOffset>
            </wp:positionV>
            <wp:extent cx="3676650" cy="2743200"/>
            <wp:effectExtent l="4445" t="4445" r="14605" b="14605"/>
            <wp:wrapNone/>
            <wp:docPr id="116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960" w:firstLineChars="300"/>
        <w:rPr>
          <w:rFonts w:hint="eastAsia" w:ascii="仿宋" w:hAnsi="仿宋" w:eastAsia="仿宋"/>
          <w:color w:val="000000"/>
          <w:sz w:val="32"/>
          <w:szCs w:val="32"/>
          <w:lang w:eastAsia="zh-CN"/>
        </w:rPr>
      </w:pPr>
    </w:p>
    <w:p>
      <w:pPr>
        <w:spacing w:line="600" w:lineRule="exact"/>
        <w:ind w:firstLine="960" w:firstLineChars="300"/>
        <w:rPr>
          <w:rFonts w:hint="eastAsia" w:ascii="仿宋" w:hAnsi="仿宋" w:eastAsia="仿宋"/>
          <w:color w:val="000000" w:themeColor="text1"/>
          <w:sz w:val="32"/>
          <w:szCs w:val="32"/>
          <w14:textFill>
            <w14:solidFill>
              <w14:schemeClr w14:val="tx1"/>
            </w14:solidFill>
          </w14:textFill>
        </w:rPr>
      </w:pPr>
    </w:p>
    <w:p>
      <w:pPr>
        <w:spacing w:line="600" w:lineRule="exact"/>
        <w:ind w:firstLine="960" w:firstLineChars="300"/>
        <w:rPr>
          <w:rFonts w:hint="eastAsia" w:ascii="仿宋" w:hAnsi="仿宋" w:eastAsia="仿宋"/>
          <w:color w:val="000000" w:themeColor="text1"/>
          <w:sz w:val="32"/>
          <w:szCs w:val="32"/>
          <w14:textFill>
            <w14:solidFill>
              <w14:schemeClr w14:val="tx1"/>
            </w14:solidFill>
          </w14:textFill>
        </w:rPr>
      </w:pPr>
    </w:p>
    <w:p>
      <w:pPr>
        <w:spacing w:line="600" w:lineRule="exact"/>
        <w:ind w:firstLine="960" w:firstLineChars="300"/>
        <w:rPr>
          <w:rFonts w:hint="eastAsia" w:ascii="仿宋" w:hAnsi="仿宋" w:eastAsia="仿宋"/>
          <w:color w:val="000000" w:themeColor="text1"/>
          <w:sz w:val="32"/>
          <w:szCs w:val="32"/>
          <w14:textFill>
            <w14:solidFill>
              <w14:schemeClr w14:val="tx1"/>
            </w14:solidFill>
          </w14:textFill>
        </w:rPr>
      </w:pPr>
    </w:p>
    <w:p>
      <w:pPr>
        <w:spacing w:line="600" w:lineRule="exact"/>
        <w:ind w:firstLine="960" w:firstLineChars="300"/>
        <w:rPr>
          <w:rFonts w:hint="eastAsia" w:ascii="仿宋" w:hAnsi="仿宋" w:eastAsia="仿宋"/>
          <w:color w:val="000000" w:themeColor="text1"/>
          <w:sz w:val="32"/>
          <w:szCs w:val="32"/>
          <w14:textFill>
            <w14:solidFill>
              <w14:schemeClr w14:val="tx1"/>
            </w14:solidFill>
          </w14:textFill>
        </w:rPr>
      </w:pPr>
    </w:p>
    <w:p>
      <w:pPr>
        <w:spacing w:line="600" w:lineRule="exact"/>
        <w:ind w:firstLine="960" w:firstLineChars="300"/>
        <w:rPr>
          <w:rFonts w:hint="eastAsia" w:ascii="仿宋" w:hAnsi="仿宋" w:eastAsia="仿宋"/>
          <w:color w:val="000000" w:themeColor="text1"/>
          <w:sz w:val="32"/>
          <w:szCs w:val="32"/>
          <w14:textFill>
            <w14:solidFill>
              <w14:schemeClr w14:val="tx1"/>
            </w14:solidFill>
          </w14:textFill>
        </w:rPr>
      </w:pPr>
    </w:p>
    <w:p>
      <w:pPr>
        <w:spacing w:line="600" w:lineRule="exact"/>
        <w:ind w:firstLine="960" w:firstLineChars="300"/>
        <w:rPr>
          <w:rFonts w:hint="eastAsia" w:ascii="仿宋" w:hAnsi="仿宋" w:eastAsia="仿宋"/>
          <w:color w:val="000000" w:themeColor="text1"/>
          <w:sz w:val="32"/>
          <w:szCs w:val="32"/>
          <w14:textFill>
            <w14:solidFill>
              <w14:schemeClr w14:val="tx1"/>
            </w14:solidFill>
          </w14:textFill>
        </w:rPr>
      </w:pPr>
    </w:p>
    <w:p>
      <w:pPr>
        <w:spacing w:line="600" w:lineRule="exact"/>
        <w:ind w:firstLine="960" w:firstLineChars="300"/>
        <w:rPr>
          <w:rFonts w:hint="eastAsia" w:ascii="仿宋" w:hAnsi="仿宋" w:eastAsia="仿宋"/>
          <w:color w:val="000000" w:themeColor="text1"/>
          <w:sz w:val="32"/>
          <w:szCs w:val="32"/>
          <w14:textFill>
            <w14:solidFill>
              <w14:schemeClr w14:val="tx1"/>
            </w14:solidFill>
          </w14:textFill>
        </w:rPr>
      </w:pPr>
    </w:p>
    <w:p>
      <w:pPr>
        <w:spacing w:line="600" w:lineRule="exact"/>
        <w:ind w:firstLine="960" w:firstLineChars="3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spacing w:line="600" w:lineRule="exact"/>
        <w:ind w:firstLine="640" w:firstLineChars="200"/>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7" w:name="_Toc15396604"/>
      <w:bookmarkStart w:id="28"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7"/>
      <w:bookmarkEnd w:id="28"/>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8年本年收入合计</w:t>
      </w:r>
      <w:r>
        <w:rPr>
          <w:rFonts w:hint="eastAsia" w:ascii="仿宋" w:hAnsi="仿宋" w:eastAsia="仿宋"/>
          <w:color w:val="000000"/>
          <w:sz w:val="32"/>
          <w:szCs w:val="32"/>
          <w:lang w:val="en-US" w:eastAsia="zh-CN"/>
        </w:rPr>
        <w:t>225.66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148.48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65.8</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万元；国有资本经营预算财政拨款收入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万元；事业收入</w:t>
      </w:r>
      <w:r>
        <w:rPr>
          <w:rFonts w:hint="eastAsia" w:ascii="仿宋" w:hAnsi="仿宋" w:eastAsia="仿宋"/>
          <w:color w:val="000000"/>
          <w:sz w:val="32"/>
          <w:szCs w:val="32"/>
          <w:lang w:val="en-US" w:eastAsia="zh-CN"/>
        </w:rPr>
        <w:t>77.18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34.2</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ind w:firstLine="420" w:firstLineChars="200"/>
        <w:rPr>
          <w:rFonts w:hint="eastAsia" w:ascii="仿宋" w:hAnsi="仿宋" w:eastAsia="仿宋"/>
          <w:color w:val="000000" w:themeColor="text1"/>
          <w:sz w:val="32"/>
          <w:szCs w:val="32"/>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804545</wp:posOffset>
            </wp:positionH>
            <wp:positionV relativeFrom="paragraph">
              <wp:posOffset>271145</wp:posOffset>
            </wp:positionV>
            <wp:extent cx="2637790" cy="2743200"/>
            <wp:effectExtent l="4445" t="4445" r="5715" b="14605"/>
            <wp:wrapNone/>
            <wp:docPr id="116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pPr>
        <w:spacing w:line="600" w:lineRule="exact"/>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9" w:name="_Toc15377207"/>
      <w:bookmarkStart w:id="30"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9"/>
      <w:bookmarkEnd w:id="30"/>
    </w:p>
    <w:p>
      <w:pPr>
        <w:spacing w:line="600" w:lineRule="exact"/>
        <w:ind w:firstLine="640"/>
        <w:rPr>
          <w:rFonts w:ascii="仿宋" w:hAnsi="仿宋" w:eastAsia="仿宋"/>
          <w:color w:val="000000"/>
          <w:sz w:val="32"/>
          <w:szCs w:val="32"/>
          <w:shd w:val="pct10" w:color="auto" w:fill="FFFFFF"/>
        </w:rPr>
      </w:pPr>
      <w:r>
        <w:drawing>
          <wp:anchor distT="0" distB="0" distL="114300" distR="114300" simplePos="0" relativeHeight="251660288" behindDoc="0" locked="0" layoutInCell="1" allowOverlap="1">
            <wp:simplePos x="0" y="0"/>
            <wp:positionH relativeFrom="column">
              <wp:posOffset>652145</wp:posOffset>
            </wp:positionH>
            <wp:positionV relativeFrom="paragraph">
              <wp:posOffset>1509395</wp:posOffset>
            </wp:positionV>
            <wp:extent cx="3609340" cy="2743200"/>
            <wp:effectExtent l="4445" t="4445" r="5715" b="14605"/>
            <wp:wrapNone/>
            <wp:docPr id="116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 w:hAnsi="仿宋" w:eastAsia="仿宋"/>
          <w:color w:val="000000"/>
          <w:sz w:val="32"/>
          <w:szCs w:val="32"/>
        </w:rPr>
        <w:t>201</w:t>
      </w:r>
      <w:r>
        <w:rPr>
          <w:rFonts w:hint="eastAsia" w:ascii="仿宋" w:hAnsi="仿宋" w:eastAsia="仿宋"/>
          <w:color w:val="000000"/>
          <w:sz w:val="32"/>
          <w:szCs w:val="32"/>
        </w:rPr>
        <w:t>8年本年支出合计</w:t>
      </w:r>
      <w:r>
        <w:rPr>
          <w:rFonts w:hint="eastAsia" w:ascii="仿宋" w:hAnsi="仿宋" w:eastAsia="仿宋"/>
          <w:color w:val="000000"/>
          <w:sz w:val="32"/>
          <w:szCs w:val="32"/>
          <w:lang w:val="en-US" w:eastAsia="zh-CN"/>
        </w:rPr>
        <w:t>245.27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179.84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73</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65.43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27</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1" w:name="_Toc15377208"/>
      <w:bookmarkStart w:id="32"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1"/>
      <w:bookmarkEnd w:id="3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8年财政拨款收、支总计</w:t>
      </w:r>
      <w:r>
        <w:rPr>
          <w:rFonts w:hint="eastAsia" w:ascii="仿宋" w:hAnsi="仿宋" w:eastAsia="仿宋"/>
          <w:color w:val="000000"/>
          <w:sz w:val="32"/>
          <w:szCs w:val="32"/>
          <w:lang w:val="en-US" w:eastAsia="zh-CN"/>
        </w:rPr>
        <w:t>193.48</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7年相比，财政拨款收、支总计各增加</w:t>
      </w:r>
      <w:r>
        <w:rPr>
          <w:rFonts w:hint="eastAsia" w:ascii="仿宋" w:hAnsi="仿宋" w:eastAsia="仿宋"/>
          <w:color w:val="000000"/>
          <w:sz w:val="32"/>
          <w:szCs w:val="32"/>
          <w:lang w:val="en-US" w:eastAsia="zh-CN"/>
        </w:rPr>
        <w:t>25.68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15</w:t>
      </w:r>
      <w:r>
        <w:rPr>
          <w:rFonts w:ascii="仿宋" w:hAnsi="仿宋" w:eastAsia="仿宋"/>
          <w:color w:val="000000"/>
          <w:sz w:val="32"/>
          <w:szCs w:val="32"/>
        </w:rPr>
        <w:t>%</w:t>
      </w:r>
      <w:r>
        <w:rPr>
          <w:rFonts w:hint="eastAsia" w:ascii="仿宋" w:hAnsi="仿宋" w:eastAsia="仿宋"/>
          <w:color w:val="000000"/>
          <w:sz w:val="32"/>
          <w:szCs w:val="32"/>
        </w:rPr>
        <w:t>。主要变动原因是……</w:t>
      </w:r>
    </w:p>
    <w:p>
      <w:pPr>
        <w:spacing w:line="600" w:lineRule="exact"/>
        <w:ind w:firstLine="420" w:firstLineChars="200"/>
        <w:rPr>
          <w:rFonts w:hint="eastAsia" w:ascii="仿宋" w:hAnsi="仿宋" w:eastAsia="仿宋"/>
          <w:color w:val="000000" w:themeColor="text1"/>
          <w:sz w:val="32"/>
          <w:szCs w:val="32"/>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194945</wp:posOffset>
            </wp:positionH>
            <wp:positionV relativeFrom="paragraph">
              <wp:posOffset>242570</wp:posOffset>
            </wp:positionV>
            <wp:extent cx="4285615" cy="4436745"/>
            <wp:effectExtent l="4445" t="4445" r="15240" b="16510"/>
            <wp:wrapNone/>
            <wp:docPr id="1165"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33" w:name="_Toc15396607"/>
      <w:bookmarkStart w:id="34"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3"/>
      <w:bookmarkEnd w:id="34"/>
    </w:p>
    <w:p>
      <w:pPr>
        <w:spacing w:line="600" w:lineRule="exact"/>
        <w:ind w:firstLine="640" w:firstLineChars="200"/>
        <w:outlineLvl w:val="2"/>
        <w:rPr>
          <w:rFonts w:ascii="仿宋" w:hAnsi="仿宋" w:eastAsia="仿宋"/>
          <w:b/>
          <w:color w:val="000000"/>
          <w:sz w:val="32"/>
          <w:szCs w:val="32"/>
        </w:rPr>
      </w:pPr>
      <w:bookmarkStart w:id="35" w:name="_Toc15377210"/>
      <w:r>
        <w:rPr>
          <w:rFonts w:hint="eastAsia" w:ascii="仿宋" w:hAnsi="仿宋" w:eastAsia="仿宋"/>
          <w:b/>
          <w:color w:val="000000"/>
          <w:sz w:val="32"/>
          <w:szCs w:val="32"/>
        </w:rPr>
        <w:t>（一）一般公共预算财政拨款支出决算总体情况</w:t>
      </w:r>
      <w:bookmarkEnd w:id="35"/>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w:t>
      </w:r>
      <w:r>
        <w:rPr>
          <w:rFonts w:hint="eastAsia" w:ascii="仿宋" w:hAnsi="仿宋" w:eastAsia="仿宋"/>
          <w:color w:val="000000"/>
          <w:sz w:val="32"/>
          <w:szCs w:val="32"/>
          <w:lang w:val="en-US" w:eastAsia="zh-CN"/>
        </w:rPr>
        <w:t>144.12</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58.8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7年相比，一般公共预算财政拨款增加</w:t>
      </w:r>
      <w:r>
        <w:rPr>
          <w:rFonts w:hint="eastAsia" w:ascii="仿宋" w:hAnsi="仿宋" w:eastAsia="仿宋"/>
          <w:color w:val="000000"/>
          <w:sz w:val="32"/>
          <w:szCs w:val="32"/>
          <w:lang w:val="en-US" w:eastAsia="zh-CN"/>
        </w:rPr>
        <w:t>21.3</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17.4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财政预算增加</w:t>
      </w:r>
    </w:p>
    <w:p>
      <w:pPr>
        <w:spacing w:line="600" w:lineRule="exact"/>
        <w:ind w:firstLine="420" w:firstLineChars="200"/>
        <w:rPr>
          <w:rFonts w:hint="eastAsia" w:ascii="仿宋" w:hAnsi="仿宋" w:eastAsia="仿宋"/>
          <w:color w:val="000000" w:themeColor="text1"/>
          <w:sz w:val="32"/>
          <w:szCs w:val="32"/>
          <w14:textFill>
            <w14:solidFill>
              <w14:schemeClr w14:val="tx1"/>
            </w14:solidFill>
          </w14:textFill>
        </w:rPr>
      </w:pPr>
      <w:r>
        <w:drawing>
          <wp:anchor distT="0" distB="0" distL="114300" distR="114300" simplePos="0" relativeHeight="251662336" behindDoc="0" locked="0" layoutInCell="1" allowOverlap="1">
            <wp:simplePos x="0" y="0"/>
            <wp:positionH relativeFrom="column">
              <wp:posOffset>471170</wp:posOffset>
            </wp:positionH>
            <wp:positionV relativeFrom="paragraph">
              <wp:posOffset>166370</wp:posOffset>
            </wp:positionV>
            <wp:extent cx="3609975" cy="3599815"/>
            <wp:effectExtent l="4445" t="4445" r="5080" b="15240"/>
            <wp:wrapNone/>
            <wp:docPr id="1166"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640" w:firstLineChars="200"/>
        <w:outlineLvl w:val="2"/>
        <w:rPr>
          <w:rFonts w:ascii="仿宋" w:hAnsi="仿宋" w:eastAsia="仿宋"/>
          <w:b/>
          <w:color w:val="000000"/>
          <w:sz w:val="32"/>
          <w:szCs w:val="32"/>
        </w:rPr>
      </w:pPr>
      <w:bookmarkStart w:id="36" w:name="_Toc15377211"/>
      <w:r>
        <w:rPr>
          <w:rFonts w:hint="eastAsia" w:ascii="仿宋" w:hAnsi="仿宋" w:eastAsia="仿宋"/>
          <w:b/>
          <w:color w:val="000000"/>
          <w:sz w:val="32"/>
          <w:szCs w:val="32"/>
        </w:rPr>
        <w:t>（二）一般公共预算财政拨款支出决算结构情况</w:t>
      </w:r>
      <w:bookmarkEnd w:id="36"/>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144.12</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社会保障和就业支出（类）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8.97</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，占</w:t>
      </w: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医疗卫生与计划生育支出（类）</w:t>
      </w:r>
      <w:r>
        <w:rPr>
          <w:rFonts w:hint="eastAsia" w:ascii="仿宋" w:hAnsi="仿宋" w:eastAsia="仿宋"/>
          <w:color w:val="000000" w:themeColor="text1"/>
          <w:sz w:val="32"/>
          <w:szCs w:val="32"/>
          <w:lang w:val="en-US" w:eastAsia="zh-CN"/>
          <w14:textFill>
            <w14:solidFill>
              <w14:schemeClr w14:val="tx1"/>
            </w14:solidFill>
          </w14:textFill>
        </w:rPr>
        <w:t>124.12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868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住房保障支出（类）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11.03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420" w:firstLineChars="200"/>
        <w:rPr>
          <w:rFonts w:hint="eastAsia" w:ascii="仿宋" w:hAnsi="仿宋" w:eastAsia="仿宋"/>
          <w:color w:val="000000"/>
          <w:sz w:val="32"/>
          <w:szCs w:val="32"/>
        </w:rPr>
      </w:pPr>
      <w:r>
        <w:drawing>
          <wp:anchor distT="0" distB="0" distL="114300" distR="114300" simplePos="0" relativeHeight="251663360" behindDoc="0" locked="0" layoutInCell="1" allowOverlap="1">
            <wp:simplePos x="0" y="0"/>
            <wp:positionH relativeFrom="column">
              <wp:posOffset>556895</wp:posOffset>
            </wp:positionH>
            <wp:positionV relativeFrom="paragraph">
              <wp:posOffset>-805180</wp:posOffset>
            </wp:positionV>
            <wp:extent cx="3228975" cy="2743200"/>
            <wp:effectExtent l="4445" t="4445" r="5080" b="14605"/>
            <wp:wrapNone/>
            <wp:docPr id="1167"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0" w:firstLineChars="200"/>
        <w:outlineLvl w:val="2"/>
        <w:rPr>
          <w:rFonts w:ascii="仿宋" w:hAnsi="仿宋" w:eastAsia="仿宋"/>
          <w:b/>
          <w:color w:val="000000"/>
          <w:sz w:val="32"/>
          <w:szCs w:val="32"/>
        </w:rPr>
      </w:pPr>
      <w:bookmarkStart w:id="37" w:name="_Toc15377212"/>
      <w:r>
        <w:rPr>
          <w:rFonts w:hint="eastAsia" w:ascii="仿宋" w:hAnsi="仿宋" w:eastAsia="仿宋"/>
          <w:b/>
          <w:color w:val="000000"/>
          <w:sz w:val="32"/>
          <w:szCs w:val="32"/>
        </w:rPr>
        <w:t>（三）一般公共预算财政拨款支出决算具体情况</w:t>
      </w:r>
      <w:bookmarkEnd w:id="37"/>
    </w:p>
    <w:p>
      <w:pPr>
        <w:spacing w:line="600" w:lineRule="exact"/>
        <w:ind w:firstLine="640" w:firstLineChars="200"/>
        <w:outlineLvl w:val="2"/>
        <w:rPr>
          <w:rFonts w:ascii="仿宋" w:hAnsi="仿宋" w:eastAsia="仿宋"/>
          <w:color w:val="FF0000"/>
          <w:sz w:val="32"/>
          <w:szCs w:val="32"/>
        </w:rPr>
      </w:pPr>
      <w:bookmarkStart w:id="38" w:name="_Toc15378460"/>
      <w:bookmarkStart w:id="39" w:name="_Toc15377213"/>
      <w:bookmarkStart w:id="40" w:name="_Toc15377444"/>
      <w:r>
        <w:rPr>
          <w:rFonts w:hint="eastAsia" w:ascii="仿宋" w:hAnsi="仿宋" w:eastAsia="仿宋"/>
          <w:b/>
          <w:color w:val="000000" w:themeColor="text1"/>
          <w:sz w:val="32"/>
          <w:szCs w:val="32"/>
          <w14:textFill>
            <w14:solidFill>
              <w14:schemeClr w14:val="tx1"/>
            </w14:solidFill>
          </w14:textFill>
        </w:rPr>
        <w:t>2018年般公共预算支出决算数为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144.12万元</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74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8"/>
      <w:bookmarkEnd w:id="39"/>
      <w:bookmarkEnd w:id="40"/>
    </w:p>
    <w:p>
      <w:pPr>
        <w:numPr>
          <w:ilvl w:val="0"/>
          <w:numId w:val="2"/>
        </w:numPr>
        <w:spacing w:line="600" w:lineRule="exact"/>
        <w:ind w:firstLine="640" w:firstLineChars="200"/>
        <w:rPr>
          <w:rStyle w:val="14"/>
          <w:rFonts w:hint="eastAsia" w:ascii="仿宋" w:hAnsi="仿宋" w:eastAsia="仿宋"/>
          <w:b w:val="0"/>
          <w:bCs/>
          <w:color w:val="000000"/>
          <w:sz w:val="32"/>
          <w:szCs w:val="32"/>
          <w:lang w:eastAsia="zh-CN"/>
        </w:rPr>
      </w:pPr>
      <w:r>
        <w:rPr>
          <w:rStyle w:val="14"/>
          <w:rFonts w:hint="eastAsia" w:ascii="仿宋" w:hAnsi="仿宋" w:eastAsia="仿宋"/>
          <w:bCs/>
          <w:color w:val="000000"/>
          <w:sz w:val="32"/>
          <w:szCs w:val="32"/>
        </w:rPr>
        <w:t>社会保障和就业支出（类）行政事业单位离退休（款）  机关事业单位基本养老保险缴费支出（项）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7.38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48</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rPr>
        <w:t>决算数小于预算数的主要原因</w:t>
      </w:r>
      <w:r>
        <w:rPr>
          <w:rStyle w:val="14"/>
          <w:rFonts w:hint="eastAsia" w:ascii="仿宋" w:hAnsi="仿宋" w:eastAsia="仿宋"/>
          <w:b w:val="0"/>
          <w:bCs/>
          <w:color w:val="000000"/>
          <w:sz w:val="32"/>
          <w:szCs w:val="32"/>
          <w:lang w:eastAsia="zh-CN"/>
        </w:rPr>
        <w:t>是基本养老保险还未上缴。</w:t>
      </w:r>
    </w:p>
    <w:p>
      <w:pPr>
        <w:numPr>
          <w:ilvl w:val="0"/>
          <w:numId w:val="2"/>
        </w:numPr>
        <w:spacing w:line="600" w:lineRule="exact"/>
        <w:ind w:firstLine="640" w:firstLineChars="200"/>
        <w:rPr>
          <w:rFonts w:ascii="仿宋" w:hAnsi="仿宋" w:eastAsia="仿宋"/>
          <w:b/>
          <w:color w:val="000000"/>
          <w:sz w:val="32"/>
          <w:szCs w:val="32"/>
        </w:rPr>
      </w:pPr>
      <w:r>
        <w:rPr>
          <w:rStyle w:val="14"/>
          <w:rFonts w:hint="eastAsia" w:ascii="仿宋" w:hAnsi="仿宋" w:eastAsia="仿宋"/>
          <w:bCs/>
          <w:color w:val="000000"/>
          <w:sz w:val="32"/>
          <w:szCs w:val="32"/>
        </w:rPr>
        <w:t>社会保障和就业支出（类）行政事业单位离退休（款）    机关事业单位职业年金缴费支出（项）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1.59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val="en-US" w:eastAsia="zh-CN"/>
        </w:rPr>
        <w:t>.</w:t>
      </w:r>
    </w:p>
    <w:p>
      <w:pPr>
        <w:spacing w:line="600" w:lineRule="exact"/>
        <w:ind w:firstLine="640"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医疗卫生与计划生育支出（类）基层医疗卫生机构（款）  乡镇卫生院（项）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56.22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60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w:t>
      </w:r>
      <w:r>
        <w:rPr>
          <w:rStyle w:val="14"/>
          <w:rFonts w:hint="eastAsia" w:ascii="仿宋" w:hAnsi="仿宋" w:eastAsia="仿宋"/>
          <w:b w:val="0"/>
          <w:bCs/>
          <w:color w:val="000000"/>
          <w:sz w:val="32"/>
          <w:szCs w:val="32"/>
          <w:lang w:eastAsia="zh-CN"/>
        </w:rPr>
        <w:t>年底财政应返额度增加</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医疗卫生与计划生育支出（类）  乡镇卫生院（款）      其他基层医疗卫生机构支出（项）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12.92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医疗卫生与计划生育支出（类）公共卫生（款）  基本公共卫生服务（项）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52.52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Style w:val="14"/>
          <w:rFonts w:ascii="仿宋" w:hAnsi="仿宋" w:eastAsia="仿宋"/>
          <w:bCs/>
          <w:color w:val="000000"/>
          <w:sz w:val="32"/>
          <w:szCs w:val="32"/>
        </w:rPr>
        <w:t>6.</w:t>
      </w:r>
      <w:r>
        <w:rPr>
          <w:rStyle w:val="14"/>
          <w:rFonts w:hint="eastAsia" w:ascii="仿宋" w:hAnsi="仿宋" w:eastAsia="仿宋"/>
          <w:bCs/>
          <w:color w:val="000000"/>
          <w:sz w:val="32"/>
          <w:szCs w:val="32"/>
        </w:rPr>
        <w:t>住房保障支出（类）住房改革支出（款）  住房公积金（项）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11.03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41" w:name="_Toc15396608"/>
      <w:bookmarkStart w:id="42"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1"/>
      <w:bookmarkEnd w:id="42"/>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8年一般公共预算财政拨款基本支出</w:t>
      </w:r>
      <w:r>
        <w:rPr>
          <w:rFonts w:hint="eastAsia" w:ascii="仿宋" w:hAnsi="仿宋" w:eastAsia="仿宋"/>
          <w:color w:val="000000"/>
          <w:sz w:val="32"/>
          <w:szCs w:val="32"/>
          <w:lang w:val="en-US" w:eastAsia="zh-CN"/>
        </w:rPr>
        <w:t>78.69</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76.89</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color w:val="FF0000"/>
          <w:sz w:val="32"/>
          <w:szCs w:val="32"/>
        </w:rPr>
      </w:pPr>
    </w:p>
    <w:p>
      <w:pPr>
        <w:spacing w:line="600" w:lineRule="exact"/>
        <w:ind w:firstLine="640"/>
        <w:outlineLvl w:val="1"/>
        <w:rPr>
          <w:rStyle w:val="25"/>
          <w:rFonts w:ascii="黑体" w:hAnsi="黑体" w:eastAsia="黑体"/>
          <w:b w:val="0"/>
        </w:rPr>
      </w:pPr>
      <w:bookmarkStart w:id="43" w:name="_Toc15396609"/>
      <w:bookmarkStart w:id="44"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3"/>
      <w:bookmarkEnd w:id="44"/>
    </w:p>
    <w:p>
      <w:pPr>
        <w:spacing w:line="600" w:lineRule="exact"/>
        <w:ind w:firstLine="640"/>
        <w:outlineLvl w:val="2"/>
        <w:rPr>
          <w:rFonts w:ascii="仿宋" w:hAnsi="仿宋" w:eastAsia="仿宋"/>
          <w:b/>
          <w:color w:val="000000"/>
          <w:sz w:val="32"/>
          <w:szCs w:val="32"/>
        </w:rPr>
      </w:pPr>
      <w:bookmarkStart w:id="45" w:name="_Toc15377216"/>
      <w:r>
        <w:rPr>
          <w:rFonts w:hint="eastAsia" w:ascii="仿宋" w:hAnsi="仿宋" w:eastAsia="仿宋"/>
          <w:b/>
          <w:color w:val="000000"/>
          <w:sz w:val="32"/>
          <w:szCs w:val="32"/>
        </w:rPr>
        <w:t>（一）“三公”经费财政拨款支出决算总体情况说明</w:t>
      </w:r>
      <w:bookmarkEnd w:id="45"/>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p>
    <w:p>
      <w:pPr>
        <w:spacing w:line="600" w:lineRule="exact"/>
        <w:ind w:firstLine="640"/>
        <w:outlineLvl w:val="2"/>
        <w:rPr>
          <w:rFonts w:ascii="仿宋" w:hAnsi="仿宋" w:eastAsia="仿宋"/>
          <w:b/>
          <w:color w:val="000000"/>
          <w:sz w:val="32"/>
          <w:szCs w:val="32"/>
        </w:rPr>
      </w:pPr>
      <w:bookmarkStart w:id="46" w:name="_Toc15377217"/>
      <w:r>
        <w:rPr>
          <w:rFonts w:hint="eastAsia" w:ascii="仿宋" w:hAnsi="仿宋" w:eastAsia="仿宋"/>
          <w:b/>
          <w:color w:val="000000"/>
          <w:sz w:val="32"/>
          <w:szCs w:val="32"/>
        </w:rPr>
        <w:t>（二）“三公”经费财政拨款支出决算具体情况说明</w:t>
      </w:r>
      <w:bookmarkEnd w:id="46"/>
    </w:p>
    <w:p>
      <w:pPr>
        <w:spacing w:line="600" w:lineRule="exact"/>
        <w:ind w:firstLine="640"/>
        <w:rPr>
          <w:rFonts w:hint="eastAsia" w:ascii="仿宋_GB2312" w:eastAsia="仿宋_GB2312"/>
          <w:b/>
          <w:color w:val="000000"/>
          <w:sz w:val="32"/>
          <w:szCs w:val="32"/>
          <w:lang w:eastAsia="zh-CN"/>
        </w:rPr>
      </w:pPr>
      <w:r>
        <w:rPr>
          <w:rFonts w:hint="eastAsia" w:ascii="仿宋_GB2312" w:eastAsia="仿宋_GB2312"/>
          <w:b/>
          <w:color w:val="000000"/>
          <w:sz w:val="32"/>
          <w:szCs w:val="32"/>
          <w:lang w:eastAsia="zh-CN"/>
        </w:rPr>
        <w:t>无</w:t>
      </w:r>
    </w:p>
    <w:p>
      <w:pPr>
        <w:spacing w:line="600" w:lineRule="exact"/>
        <w:ind w:firstLine="640"/>
        <w:outlineLvl w:val="1"/>
        <w:rPr>
          <w:rStyle w:val="25"/>
          <w:rFonts w:ascii="黑体" w:hAnsi="黑体" w:eastAsia="黑体"/>
        </w:rPr>
      </w:pPr>
      <w:bookmarkStart w:id="47" w:name="_Toc15396610"/>
      <w:bookmarkStart w:id="48" w:name="_Toc15377218"/>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7"/>
      <w:bookmarkEnd w:id="48"/>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0"/>
        </w:numPr>
        <w:spacing w:line="600" w:lineRule="exact"/>
        <w:ind w:firstLine="640" w:firstLineChars="200"/>
        <w:outlineLvl w:val="1"/>
        <w:rPr>
          <w:rStyle w:val="25"/>
          <w:rFonts w:ascii="黑体" w:hAnsi="黑体" w:eastAsia="黑体"/>
          <w:b w:val="0"/>
        </w:rPr>
      </w:pPr>
      <w:bookmarkStart w:id="49" w:name="_Toc15377219"/>
      <w:bookmarkStart w:id="50" w:name="_Toc15396611"/>
      <w:r>
        <w:rPr>
          <w:rStyle w:val="25"/>
          <w:rFonts w:hint="eastAsia" w:ascii="黑体" w:hAnsi="黑体" w:eastAsia="黑体"/>
          <w:b w:val="0"/>
          <w:lang w:eastAsia="zh-CN"/>
        </w:rPr>
        <w:t>九、</w:t>
      </w:r>
      <w:r>
        <w:rPr>
          <w:rStyle w:val="25"/>
          <w:rFonts w:hint="eastAsia" w:ascii="黑体" w:hAnsi="黑体" w:eastAsia="黑体"/>
          <w:b w:val="0"/>
        </w:rPr>
        <w:t>国有资本经营预算支出决算情况说明</w:t>
      </w:r>
      <w:bookmarkEnd w:id="49"/>
      <w:bookmarkEnd w:id="50"/>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Style w:val="23"/>
        <w:numPr>
          <w:ilvl w:val="0"/>
          <w:numId w:val="3"/>
        </w:numPr>
        <w:spacing w:line="580" w:lineRule="exact"/>
        <w:ind w:firstLineChars="0"/>
        <w:rPr>
          <w:rStyle w:val="25"/>
          <w:rFonts w:ascii="黑体" w:hAnsi="黑体" w:eastAsia="黑体"/>
          <w:b w:val="0"/>
        </w:rPr>
      </w:pPr>
      <w:r>
        <w:rPr>
          <w:rStyle w:val="25"/>
          <w:rFonts w:hint="eastAsia" w:ascii="黑体" w:hAnsi="黑体" w:eastAsia="黑体"/>
          <w:b w:val="0"/>
        </w:rPr>
        <w:t>预算绩效情况说明</w:t>
      </w:r>
    </w:p>
    <w:p>
      <w:pPr>
        <w:numPr>
          <w:ilvl w:val="0"/>
          <w:numId w:val="4"/>
        </w:numPr>
        <w:spacing w:line="580" w:lineRule="exact"/>
        <w:ind w:firstLine="640"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据预算绩效管理要求，本单位在年初预算编制阶段，组织对2个项目开展了预算事前绩效评估，对2个项目编制了绩效目标，预算执行过程中，选取2项目开展绩效监控，年终执行完毕后，对2个项目开展了绩效目标完成情况梳理填报。</w:t>
      </w:r>
    </w:p>
    <w:p>
      <w:pPr>
        <w:numPr>
          <w:ilvl w:val="0"/>
          <w:numId w:val="4"/>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本单位按要求对2018年部门整体支出开展绩效自评，从评价情况来看本单位按要求对 2018 年单位整体支出开展绩效自评，从评价情况来看，本单位 2018 年单位整体支出绩效评价自查自评结果良好。财务制度较健全，财务管理较规范，全年基本支出保障了单位的正常运行和日程工作的正常开展，项目支出保障了重点工作的开展，履职成效明显，达到了预期绩效目标和预期经济效果。</w:t>
      </w:r>
    </w:p>
    <w:p>
      <w:pPr>
        <w:numPr>
          <w:ilvl w:val="0"/>
          <w:numId w:val="0"/>
        </w:numPr>
        <w:spacing w:line="58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本单位在2018年度部门决算中反映“基本公共卫生服务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“基本药物补助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等2个项目绩效目标实际完成情况。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1.基本药物补助项目绩效目标完成情况综述。项目全年预算数</w:t>
      </w:r>
      <w:r>
        <w:rPr>
          <w:rFonts w:hint="eastAsia" w:ascii="仿宋_GB2312" w:hAnsi="仿宋_GB2312" w:eastAsia="仿宋_GB2312" w:cs="仿宋_GB2312"/>
          <w:sz w:val="32"/>
          <w:szCs w:val="32"/>
          <w:lang w:val="en-US" w:eastAsia="zh-CN"/>
        </w:rPr>
        <w:t>12.92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12.92</w:t>
      </w:r>
      <w:r>
        <w:rPr>
          <w:rFonts w:hint="eastAsia" w:ascii="仿宋_GB2312" w:hAnsi="仿宋_GB2312" w:eastAsia="仿宋_GB2312" w:cs="仿宋_GB2312"/>
          <w:sz w:val="32"/>
          <w:szCs w:val="32"/>
        </w:rPr>
        <w:t>万元，完成预算的100%。通过项目实施，保障了2018年我院基本药物采购资金的保障，发现的主要问题：对专项项目推进工作重视度有待加强，对。下一步改进措施：极与财政部门衔接，在单位预算编制中从细从严，切实推进预算。</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2.基本公共卫生服务项目绩效目标完成情况综述。项目年初预算数</w:t>
      </w:r>
      <w:r>
        <w:rPr>
          <w:rFonts w:hint="eastAsia" w:ascii="仿宋_GB2312" w:hAnsi="仿宋_GB2312" w:eastAsia="仿宋_GB2312" w:cs="仿宋_GB2312"/>
          <w:sz w:val="32"/>
          <w:szCs w:val="32"/>
          <w:lang w:val="en-US" w:eastAsia="zh-CN"/>
        </w:rPr>
        <w:t>52.52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52.52</w:t>
      </w:r>
      <w:r>
        <w:rPr>
          <w:rFonts w:hint="eastAsia" w:ascii="仿宋_GB2312" w:hAnsi="仿宋_GB2312" w:eastAsia="仿宋_GB2312" w:cs="仿宋_GB2312"/>
          <w:sz w:val="32"/>
          <w:szCs w:val="32"/>
        </w:rPr>
        <w:t>万元，完成预算的100%。通过项目实施，保障了我院基本公共卫生服务的运行，发现的主要问题：基本公共卫生服务推进力度有待加强。下一步改进措施：积极与财政部门衔接，在单位部门预算编制中从细从严，切实推进预算。</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Layout w:type="fixed"/>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基本药物补助</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w:t>
            </w:r>
            <w:r>
              <w:rPr>
                <w:rFonts w:hint="eastAsia" w:ascii="宋体" w:hAnsi="宋体" w:cs="宋体"/>
                <w:color w:val="000000"/>
                <w:sz w:val="24"/>
                <w:lang w:eastAsia="zh-CN"/>
              </w:rPr>
              <w:t>江阳乡</w:t>
            </w:r>
            <w:r>
              <w:rPr>
                <w:rFonts w:hint="eastAsia" w:ascii="宋体" w:hAnsi="宋体" w:cs="宋体"/>
                <w:color w:val="000000"/>
                <w:sz w:val="24"/>
              </w:rPr>
              <w:t>卫生院</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12.92</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12.92</w:t>
            </w:r>
            <w:r>
              <w:rPr>
                <w:rFonts w:hint="eastAsia" w:ascii="宋体" w:hAnsi="宋体" w:cs="宋体"/>
                <w:color w:val="000000"/>
                <w:sz w:val="24"/>
              </w:rPr>
              <w:t>万元</w:t>
            </w:r>
          </w:p>
        </w:tc>
      </w:tr>
      <w:tr>
        <w:tblPrEx>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12.92</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12.92</w:t>
            </w:r>
            <w:r>
              <w:rPr>
                <w:rFonts w:hint="eastAsia" w:ascii="宋体" w:hAnsi="宋体" w:cs="宋体"/>
                <w:color w:val="000000"/>
                <w:sz w:val="24"/>
              </w:rPr>
              <w:t>万元</w:t>
            </w:r>
          </w:p>
        </w:tc>
      </w:tr>
      <w:tr>
        <w:tblPrEx>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Layout w:type="fixed"/>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完成2018年基本药物资金补助</w:t>
            </w:r>
            <w:r>
              <w:rPr>
                <w:rFonts w:hint="eastAsia" w:ascii="宋体" w:hAnsi="宋体" w:cs="宋体"/>
                <w:color w:val="000000"/>
                <w:sz w:val="24"/>
                <w:lang w:val="en-US" w:eastAsia="zh-CN"/>
              </w:rPr>
              <w:t>12.92</w:t>
            </w:r>
            <w:r>
              <w:rPr>
                <w:rFonts w:hint="eastAsia" w:ascii="宋体" w:hAnsi="宋体" w:cs="宋体"/>
                <w:color w:val="000000"/>
                <w:sz w:val="24"/>
              </w:rPr>
              <w:t>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完成2018年基本药物资金补助</w:t>
            </w:r>
            <w:r>
              <w:rPr>
                <w:rFonts w:hint="eastAsia" w:ascii="宋体" w:hAnsi="宋体" w:cs="宋体"/>
                <w:color w:val="000000"/>
                <w:sz w:val="24"/>
                <w:lang w:val="en-US" w:eastAsia="zh-CN"/>
              </w:rPr>
              <w:t>12.92</w:t>
            </w:r>
            <w:r>
              <w:rPr>
                <w:rFonts w:hint="eastAsia" w:ascii="宋体" w:hAnsi="宋体" w:cs="宋体"/>
                <w:color w:val="000000"/>
                <w:sz w:val="24"/>
              </w:rPr>
              <w:t>万元</w:t>
            </w:r>
          </w:p>
        </w:tc>
      </w:tr>
      <w:tr>
        <w:tblPrEx>
          <w:tblLayout w:type="fixed"/>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w:t>
            </w:r>
            <w:bookmarkStart w:id="77" w:name="_GoBack"/>
            <w:bookmarkEnd w:id="77"/>
            <w:r>
              <w:rPr>
                <w:rFonts w:hint="eastAsia" w:ascii="宋体" w:hAnsi="宋体" w:cs="宋体"/>
                <w:color w:val="000000"/>
                <w:kern w:val="0"/>
                <w:sz w:val="24"/>
              </w:rPr>
              <w:t>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Layout w:type="fixed"/>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完成2018年基药采购数量任务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通过基药采购平台进行采购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每月按时完成采购计划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在基药平台采购基药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基药零差价进销让患者减轻负担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Layout w:type="fixed"/>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患者对基药零差价进销满意度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Layout w:type="fixed"/>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基本公共卫生服务</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w:t>
            </w:r>
            <w:r>
              <w:rPr>
                <w:rFonts w:hint="eastAsia" w:ascii="宋体" w:hAnsi="宋体" w:cs="宋体"/>
                <w:color w:val="000000"/>
                <w:sz w:val="24"/>
                <w:lang w:eastAsia="zh-CN"/>
              </w:rPr>
              <w:t>江阳乡</w:t>
            </w:r>
            <w:r>
              <w:rPr>
                <w:rFonts w:hint="eastAsia" w:ascii="宋体" w:hAnsi="宋体" w:cs="宋体"/>
                <w:color w:val="000000"/>
                <w:sz w:val="24"/>
              </w:rPr>
              <w:t>卫生院</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52.52</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52.52</w:t>
            </w:r>
            <w:r>
              <w:rPr>
                <w:rFonts w:hint="eastAsia" w:ascii="宋体" w:hAnsi="宋体" w:cs="宋体"/>
                <w:color w:val="000000"/>
                <w:sz w:val="24"/>
              </w:rPr>
              <w:t>万元</w:t>
            </w:r>
          </w:p>
        </w:tc>
      </w:tr>
      <w:tr>
        <w:tblPrEx>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52.52</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52.52</w:t>
            </w:r>
            <w:r>
              <w:rPr>
                <w:rFonts w:hint="eastAsia" w:ascii="宋体" w:hAnsi="宋体" w:cs="宋体"/>
                <w:color w:val="000000"/>
                <w:sz w:val="24"/>
              </w:rPr>
              <w:t>万元</w:t>
            </w:r>
          </w:p>
        </w:tc>
      </w:tr>
      <w:tr>
        <w:tblPrEx>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Layout w:type="fixed"/>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完成2018年基本公共卫生服务</w:t>
            </w:r>
            <w:r>
              <w:rPr>
                <w:rFonts w:hint="eastAsia" w:ascii="宋体" w:hAnsi="宋体" w:cs="宋体"/>
                <w:color w:val="000000"/>
                <w:sz w:val="24"/>
                <w:lang w:val="en-US" w:eastAsia="zh-CN"/>
              </w:rPr>
              <w:t>52.52</w:t>
            </w:r>
            <w:r>
              <w:rPr>
                <w:rFonts w:hint="eastAsia" w:ascii="宋体" w:hAnsi="宋体" w:cs="宋体"/>
                <w:color w:val="000000"/>
                <w:sz w:val="24"/>
              </w:rPr>
              <w:t>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完成2018年基本公共卫生服务</w:t>
            </w:r>
            <w:r>
              <w:rPr>
                <w:rFonts w:hint="eastAsia" w:ascii="宋体" w:hAnsi="宋体" w:cs="宋体"/>
                <w:color w:val="000000"/>
                <w:sz w:val="24"/>
                <w:lang w:val="en-US" w:eastAsia="zh-CN"/>
              </w:rPr>
              <w:t>52.52</w:t>
            </w:r>
            <w:r>
              <w:rPr>
                <w:rFonts w:hint="eastAsia" w:ascii="宋体" w:hAnsi="宋体" w:cs="宋体"/>
                <w:color w:val="000000"/>
                <w:sz w:val="24"/>
              </w:rPr>
              <w:t>万元</w:t>
            </w:r>
          </w:p>
        </w:tc>
      </w:tr>
      <w:tr>
        <w:tblPrEx>
          <w:tblLayout w:type="fixed"/>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Layout w:type="fixed"/>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完成2018年基本公共卫生服</w:t>
            </w:r>
            <w:r>
              <w:rPr>
                <w:rFonts w:hint="eastAsia" w:ascii="宋体" w:hAnsi="宋体" w:cs="宋体"/>
                <w:color w:val="000000"/>
                <w:sz w:val="24"/>
                <w:lang w:val="en-US" w:eastAsia="zh-CN"/>
              </w:rPr>
              <w:t>52.52</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通过基本公共卫生服务开展达到对辖区居民建档率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按时完成公卫相关工作及相关报表的上报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严格控制基本公共卫生服务经费支出做到专款专用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通过基本公共卫生服务的开展让群众知道该项目的开展目的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Layout w:type="fixed"/>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通过基本公共卫生服务的开展使群众对改项目的认可度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keepNext w:val="0"/>
        <w:keepLines w:val="0"/>
        <w:widowControl/>
        <w:suppressLineNumbers w:val="0"/>
        <w:jc w:val="left"/>
      </w:pPr>
      <w:r>
        <w:rPr>
          <w:rFonts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color w:val="000000"/>
          <w:kern w:val="0"/>
          <w:sz w:val="32"/>
          <w:szCs w:val="32"/>
          <w:lang w:val="en-US" w:eastAsia="zh-CN" w:bidi="ar"/>
        </w:rPr>
        <w:t>二</w:t>
      </w:r>
      <w:r>
        <w:rPr>
          <w:rFonts w:ascii="楷体_GB2312" w:hAnsi="楷体_GB2312" w:eastAsia="楷体_GB2312" w:cs="楷体_GB2312"/>
          <w:color w:val="000000"/>
          <w:kern w:val="0"/>
          <w:sz w:val="32"/>
          <w:szCs w:val="32"/>
          <w:lang w:val="en-US" w:eastAsia="zh-CN" w:bidi="ar"/>
        </w:rPr>
        <w:t>）</w:t>
      </w:r>
      <w:r>
        <w:rPr>
          <w:rFonts w:ascii="楷体_GB2312" w:hAnsi="楷体_GB2312" w:eastAsia="楷体_GB2312" w:cs="楷体_GB2312"/>
          <w:b/>
          <w:bCs/>
          <w:color w:val="000000"/>
          <w:kern w:val="0"/>
          <w:sz w:val="32"/>
          <w:szCs w:val="32"/>
          <w:lang w:val="en-US" w:eastAsia="zh-CN" w:bidi="ar"/>
        </w:rPr>
        <w:t>部门开展绩效评价结果</w:t>
      </w:r>
      <w:r>
        <w:rPr>
          <w:rFonts w:ascii="楷体_GB2312" w:hAnsi="楷体_GB2312" w:eastAsia="楷体_GB2312" w:cs="楷体_GB2312"/>
          <w:color w:val="000000"/>
          <w:kern w:val="0"/>
          <w:sz w:val="32"/>
          <w:szCs w:val="32"/>
          <w:lang w:val="en-US" w:eastAsia="zh-CN" w:bidi="ar"/>
        </w:rPr>
        <w:t xml:space="preserve">。 </w:t>
      </w:r>
    </w:p>
    <w:p>
      <w:pPr>
        <w:keepNext w:val="0"/>
        <w:keepLines w:val="0"/>
        <w:widowControl/>
        <w:suppressLineNumbers w:val="0"/>
        <w:ind w:firstLine="320" w:firstLineChars="100"/>
        <w:jc w:val="left"/>
      </w:pPr>
      <w:r>
        <w:rPr>
          <w:rFonts w:ascii="仿宋_GB2312" w:hAnsi="仿宋_GB2312" w:eastAsia="仿宋_GB2312" w:cs="仿宋_GB2312"/>
          <w:color w:val="000000"/>
          <w:kern w:val="0"/>
          <w:sz w:val="32"/>
          <w:szCs w:val="32"/>
          <w:lang w:val="en-US" w:eastAsia="zh-CN" w:bidi="ar"/>
        </w:rPr>
        <w:t>本部门按要求对 2018 年部门整体支出绩效评价情况开展自评，《</w:t>
      </w:r>
      <w:r>
        <w:rPr>
          <w:rFonts w:hint="eastAsia" w:ascii="仿宋_GB2312" w:hAnsi="仿宋_GB2312" w:eastAsia="仿宋_GB2312" w:cs="仿宋_GB2312"/>
          <w:color w:val="000000"/>
          <w:kern w:val="0"/>
          <w:sz w:val="32"/>
          <w:szCs w:val="32"/>
          <w:lang w:val="en-US" w:eastAsia="zh-CN" w:bidi="ar"/>
        </w:rPr>
        <w:t>达州市达川区江阳乡卫生院</w:t>
      </w:r>
      <w:r>
        <w:rPr>
          <w:rFonts w:ascii="仿宋_GB2312" w:hAnsi="仿宋_GB2312" w:eastAsia="仿宋_GB2312" w:cs="仿宋_GB2312"/>
          <w:color w:val="000000"/>
          <w:kern w:val="0"/>
          <w:sz w:val="32"/>
          <w:szCs w:val="32"/>
          <w:lang w:val="en-US" w:eastAsia="zh-CN" w:bidi="ar"/>
        </w:rPr>
        <w:t>2018年部门整体支出绩效评价报告》 见附件。</w:t>
      </w:r>
      <w:r>
        <w:rPr>
          <w:rFonts w:hint="eastAsia" w:ascii="仿宋_GB2312" w:hAnsi="仿宋_GB2312" w:eastAsia="仿宋_GB2312" w:cs="仿宋_GB2312"/>
          <w:sz w:val="32"/>
          <w:szCs w:val="32"/>
        </w:rPr>
        <w:t>本部门未自行组织其他项目绩效评价。</w:t>
      </w:r>
      <w:r>
        <w:rPr>
          <w:rFonts w:ascii="仿宋_GB2312" w:hAnsi="仿宋_GB2312" w:eastAsia="仿宋_GB2312" w:cs="仿宋_GB2312"/>
          <w:color w:val="000000"/>
          <w:kern w:val="0"/>
          <w:sz w:val="32"/>
          <w:szCs w:val="32"/>
          <w:lang w:val="en-US" w:eastAsia="zh-CN" w:bidi="ar"/>
        </w:rPr>
        <w:t xml:space="preserve"> </w:t>
      </w:r>
    </w:p>
    <w:p>
      <w:pPr>
        <w:spacing w:line="600" w:lineRule="exact"/>
        <w:ind w:firstLine="320" w:firstLineChars="100"/>
        <w:outlineLvl w:val="1"/>
        <w:rPr>
          <w:rStyle w:val="25"/>
          <w:rFonts w:ascii="黑体" w:hAnsi="黑体" w:eastAsia="黑体"/>
        </w:rPr>
      </w:pPr>
      <w:bookmarkStart w:id="51" w:name="_Toc15377221"/>
      <w:bookmarkStart w:id="52" w:name="_Toc15396612"/>
      <w:r>
        <w:rPr>
          <w:rFonts w:hint="eastAsia" w:ascii="黑体" w:hAnsi="黑体" w:eastAsia="黑体"/>
          <w:color w:val="000000"/>
          <w:sz w:val="32"/>
          <w:szCs w:val="32"/>
        </w:rPr>
        <w:t>十</w:t>
      </w:r>
      <w:r>
        <w:rPr>
          <w:rStyle w:val="25"/>
          <w:rFonts w:hint="eastAsia" w:ascii="黑体" w:hAnsi="黑体" w:eastAsia="黑体"/>
        </w:rPr>
        <w:t>一、</w:t>
      </w:r>
      <w:r>
        <w:rPr>
          <w:rStyle w:val="25"/>
          <w:rFonts w:hint="eastAsia" w:ascii="黑体" w:hAnsi="黑体" w:eastAsia="黑体"/>
          <w:b w:val="0"/>
        </w:rPr>
        <w:t>其他重要事项的情况说明</w:t>
      </w:r>
      <w:bookmarkEnd w:id="51"/>
      <w:bookmarkEnd w:id="52"/>
    </w:p>
    <w:p>
      <w:pPr>
        <w:spacing w:line="600" w:lineRule="exact"/>
        <w:ind w:firstLine="640" w:firstLineChars="200"/>
        <w:outlineLvl w:val="2"/>
        <w:rPr>
          <w:rFonts w:ascii="仿宋" w:hAnsi="仿宋" w:eastAsia="仿宋"/>
          <w:color w:val="000000"/>
          <w:sz w:val="32"/>
          <w:szCs w:val="32"/>
        </w:rPr>
      </w:pPr>
      <w:bookmarkStart w:id="53" w:name="_Toc15377222"/>
      <w:r>
        <w:rPr>
          <w:rFonts w:hint="eastAsia" w:ascii="仿宋" w:hAnsi="仿宋" w:eastAsia="仿宋"/>
          <w:b/>
          <w:color w:val="000000"/>
          <w:sz w:val="32"/>
          <w:szCs w:val="32"/>
        </w:rPr>
        <w:t>（一）机关运行经费支出情况</w:t>
      </w:r>
      <w:bookmarkEnd w:id="53"/>
    </w:p>
    <w:p>
      <w:pPr>
        <w:spacing w:line="600" w:lineRule="exact"/>
        <w:ind w:firstLine="640"/>
        <w:rPr>
          <w:rFonts w:ascii="仿宋" w:hAnsi="仿宋" w:eastAsia="仿宋"/>
          <w:b/>
          <w:color w:val="000000"/>
          <w:sz w:val="32"/>
          <w:szCs w:val="32"/>
        </w:rPr>
      </w:pPr>
      <w:r>
        <w:rPr>
          <w:rFonts w:hint="eastAsia" w:ascii="仿宋_GB2312" w:eastAsia="仿宋_GB2312"/>
          <w:color w:val="000000"/>
          <w:sz w:val="32"/>
          <w:szCs w:val="32"/>
          <w:lang w:eastAsia="zh-CN"/>
        </w:rPr>
        <w:t>无</w:t>
      </w:r>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bookmarkStart w:id="54" w:name="_Toc15377223"/>
      <w:r>
        <w:rPr>
          <w:rFonts w:hint="eastAsia" w:ascii="仿宋" w:hAnsi="仿宋" w:eastAsia="仿宋"/>
          <w:b/>
          <w:color w:val="000000"/>
          <w:sz w:val="32"/>
          <w:szCs w:val="32"/>
        </w:rPr>
        <w:t>（二）政府采购支出情况</w:t>
      </w:r>
      <w:bookmarkEnd w:id="54"/>
    </w:p>
    <w:p>
      <w:pPr>
        <w:spacing w:line="600" w:lineRule="exact"/>
        <w:ind w:firstLine="640" w:firstLineChars="200"/>
        <w:rPr>
          <w:rFonts w:hint="default" w:ascii="仿宋_GB2312" w:eastAsia="仿宋_GB2312"/>
          <w:color w:val="000000"/>
          <w:sz w:val="32"/>
          <w:szCs w:val="32"/>
          <w:lang w:val="en-US" w:eastAsia="zh-CN"/>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达川区江阳乡卫生院</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6.262</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60262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用于采购尿液分析仪</w:t>
      </w:r>
      <w:r>
        <w:rPr>
          <w:rFonts w:hint="eastAsia" w:ascii="仿宋_GB2312" w:eastAsia="仿宋_GB2312"/>
          <w:color w:val="000000"/>
          <w:sz w:val="32"/>
          <w:szCs w:val="32"/>
          <w:lang w:val="en-US" w:eastAsia="zh-CN"/>
        </w:rPr>
        <w:t>0.89万元，血细胞分析仪1.99万元，办公设备采购3.382万元。</w:t>
      </w:r>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bookmarkStart w:id="55" w:name="_Toc15377224"/>
      <w:r>
        <w:rPr>
          <w:rFonts w:hint="eastAsia" w:ascii="仿宋" w:hAnsi="仿宋" w:eastAsia="仿宋"/>
          <w:b/>
          <w:color w:val="000000"/>
          <w:sz w:val="32"/>
          <w:szCs w:val="32"/>
        </w:rPr>
        <w:t>（三）国有资产占有使用情况</w:t>
      </w:r>
      <w:bookmarkEnd w:id="55"/>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日，有特种专业技术用车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spacing w:line="600" w:lineRule="atLeast"/>
        <w:ind w:firstLine="640"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3" w:firstLineChars="150"/>
        <w:jc w:val="center"/>
        <w:outlineLvl w:val="0"/>
        <w:rPr>
          <w:rStyle w:val="24"/>
          <w:rFonts w:ascii="黑体" w:hAnsi="黑体" w:eastAsia="黑体"/>
          <w:b w:val="0"/>
        </w:rPr>
      </w:pPr>
      <w:bookmarkStart w:id="56" w:name="_Toc15377225"/>
      <w:bookmarkStart w:id="57" w:name="_Toc15396613"/>
      <w:r>
        <w:rPr>
          <w:rFonts w:hint="eastAsia" w:ascii="黑体" w:hAnsi="黑体" w:eastAsia="黑体"/>
          <w:b/>
          <w:color w:val="000000"/>
          <w:sz w:val="44"/>
          <w:szCs w:val="44"/>
        </w:rPr>
        <w:t>名</w:t>
      </w:r>
      <w:r>
        <w:rPr>
          <w:rStyle w:val="24"/>
          <w:rFonts w:hint="eastAsia" w:ascii="黑体" w:hAnsi="黑体" w:eastAsia="黑体"/>
          <w:b w:val="0"/>
        </w:rPr>
        <w:t>词解释</w:t>
      </w:r>
    </w:p>
    <w:p>
      <w:pPr>
        <w:numPr>
          <w:ilvl w:val="0"/>
          <w:numId w:val="0"/>
        </w:numPr>
        <w:spacing w:line="600" w:lineRule="exact"/>
        <w:jc w:val="both"/>
        <w:outlineLvl w:val="0"/>
        <w:rPr>
          <w:rStyle w:val="24"/>
          <w:rFonts w:ascii="黑体" w:hAnsi="黑体" w:eastAsia="黑体"/>
          <w:b w:val="0"/>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784" w:firstLineChars="245"/>
        <w:rPr>
          <w:rFonts w:hint="eastAsia" w:ascii="仿宋_GB2312" w:eastAsia="仿宋_GB2312" w:cs="Arial"/>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.社会保障和就业（208）</w:t>
      </w:r>
      <w:r>
        <w:rPr>
          <w:rFonts w:hint="eastAsia" w:ascii="仿宋_GB2312" w:eastAsia="仿宋_GB2312" w:cs="Arial"/>
          <w:color w:val="000000"/>
          <w:sz w:val="32"/>
          <w:szCs w:val="32"/>
        </w:rPr>
        <w:t>行政事业单位离退休（05</w:t>
      </w:r>
      <w:r>
        <w:rPr>
          <w:rFonts w:hint="eastAsia" w:cs="Arial"/>
          <w:color w:val="000000"/>
          <w:sz w:val="32"/>
          <w:szCs w:val="32"/>
        </w:rPr>
        <w:t>）</w:t>
      </w:r>
      <w:r>
        <w:rPr>
          <w:rFonts w:hint="eastAsia" w:cs="Arial"/>
          <w:color w:val="000000"/>
          <w:sz w:val="22"/>
          <w:szCs w:val="22"/>
        </w:rPr>
        <w:t xml:space="preserve"> </w:t>
      </w:r>
      <w:r>
        <w:rPr>
          <w:rFonts w:hint="eastAsia" w:ascii="仿宋_GB2312" w:eastAsia="仿宋_GB2312" w:cs="Arial"/>
          <w:color w:val="000000"/>
          <w:sz w:val="32"/>
          <w:szCs w:val="32"/>
        </w:rPr>
        <w:t xml:space="preserve"> 机关事业单位基本养老保险缴费支出（05）</w:t>
      </w:r>
      <w:r>
        <w:rPr>
          <w:rFonts w:hint="eastAsia" w:ascii="仿宋_GB2312" w:eastAsia="仿宋_GB2312"/>
          <w:color w:val="000000"/>
          <w:sz w:val="32"/>
          <w:szCs w:val="32"/>
        </w:rPr>
        <w:t>：反映机构事业单位实施养老保险制度由单位缴纳的基本养老保险</w:t>
      </w:r>
      <w:r>
        <w:rPr>
          <w:rFonts w:hint="eastAsia" w:ascii="仿宋_GB2312" w:eastAsia="仿宋_GB2312" w:cs="Arial"/>
          <w:color w:val="000000"/>
          <w:sz w:val="32"/>
          <w:szCs w:val="32"/>
        </w:rPr>
        <w:t>支出；</w:t>
      </w:r>
    </w:p>
    <w:p>
      <w:pPr>
        <w:ind w:firstLine="784" w:firstLineChars="245"/>
        <w:rPr>
          <w:rFonts w:hint="eastAsia" w:ascii="仿宋_GB2312" w:eastAsia="仿宋_GB2312"/>
          <w:color w:val="000000"/>
          <w:sz w:val="32"/>
          <w:szCs w:val="32"/>
        </w:rPr>
      </w:pPr>
      <w:r>
        <w:rPr>
          <w:rStyle w:val="14"/>
          <w:rFonts w:hint="eastAsia" w:ascii="仿宋_GB2312" w:eastAsia="仿宋_GB2312"/>
          <w:b w:val="0"/>
          <w:color w:val="000000"/>
          <w:sz w:val="32"/>
          <w:szCs w:val="32"/>
          <w:lang w:val="en-US" w:eastAsia="zh-CN"/>
        </w:rPr>
        <w:t>10</w:t>
      </w:r>
      <w:r>
        <w:rPr>
          <w:rStyle w:val="14"/>
          <w:rFonts w:hint="eastAsia" w:ascii="仿宋_GB2312" w:eastAsia="仿宋_GB2312"/>
          <w:b w:val="0"/>
          <w:color w:val="000000"/>
          <w:sz w:val="32"/>
          <w:szCs w:val="32"/>
        </w:rPr>
        <w:t>.医疗卫生与计划生育（210）基层医疗卫生机构（03）</w:t>
      </w:r>
      <w:r>
        <w:rPr>
          <w:rFonts w:hint="eastAsia" w:ascii="仿宋_GB2312" w:eastAsia="仿宋_GB2312" w:cs="Arial"/>
          <w:color w:val="000000"/>
          <w:sz w:val="32"/>
          <w:szCs w:val="32"/>
        </w:rPr>
        <w:t>乡镇卫生院</w:t>
      </w:r>
      <w:r>
        <w:rPr>
          <w:rStyle w:val="14"/>
          <w:rFonts w:hint="eastAsia" w:ascii="仿宋_GB2312" w:eastAsia="仿宋_GB2312"/>
          <w:b w:val="0"/>
          <w:color w:val="000000"/>
          <w:sz w:val="32"/>
          <w:szCs w:val="32"/>
        </w:rPr>
        <w:t>（02）反映医疗卫生与计划生育</w:t>
      </w:r>
      <w:r>
        <w:rPr>
          <w:rFonts w:hint="eastAsia" w:ascii="仿宋_GB2312" w:eastAsia="仿宋_GB2312"/>
          <w:color w:val="000000"/>
          <w:sz w:val="32"/>
          <w:szCs w:val="32"/>
        </w:rPr>
        <w:t>用于医疗卫生与计划生育管理事务方面的支出；</w:t>
      </w:r>
      <w:r>
        <w:rPr>
          <w:rStyle w:val="14"/>
          <w:rFonts w:hint="eastAsia" w:ascii="仿宋_GB2312" w:eastAsia="仿宋_GB2312"/>
          <w:b w:val="0"/>
          <w:color w:val="000000"/>
          <w:sz w:val="32"/>
          <w:szCs w:val="32"/>
        </w:rPr>
        <w:t>（210）基层医疗卫生机构（03）其他基层医疗卫生机构支出（99）</w:t>
      </w:r>
      <w:r>
        <w:rPr>
          <w:rFonts w:hint="eastAsia" w:ascii="仿宋_GB2312" w:eastAsia="仿宋_GB2312"/>
          <w:color w:val="000000"/>
          <w:sz w:val="32"/>
          <w:szCs w:val="32"/>
        </w:rPr>
        <w:t>反映其他用于医疗卫生与计划生育管理事务方面的支出；</w:t>
      </w:r>
      <w:r>
        <w:rPr>
          <w:rStyle w:val="14"/>
          <w:rFonts w:hint="eastAsia" w:ascii="仿宋_GB2312" w:eastAsia="仿宋_GB2312"/>
          <w:b w:val="0"/>
          <w:color w:val="000000"/>
          <w:sz w:val="32"/>
          <w:szCs w:val="32"/>
        </w:rPr>
        <w:t>医疗卫生与计划生育（210）</w:t>
      </w:r>
      <w:r>
        <w:rPr>
          <w:rFonts w:hint="eastAsia" w:ascii="仿宋_GB2312" w:eastAsia="仿宋_GB2312" w:cs="Arial"/>
          <w:color w:val="000000"/>
          <w:sz w:val="32"/>
          <w:szCs w:val="32"/>
        </w:rPr>
        <w:t>公共卫生</w:t>
      </w:r>
      <w:r>
        <w:rPr>
          <w:rStyle w:val="14"/>
          <w:rFonts w:hint="eastAsia" w:ascii="仿宋_GB2312" w:eastAsia="仿宋_GB2312"/>
          <w:b w:val="0"/>
          <w:color w:val="000000"/>
          <w:sz w:val="32"/>
          <w:szCs w:val="32"/>
        </w:rPr>
        <w:t>（04）基本公共卫生服务（08）反映基本公共卫生服务支出。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11.基本支出：指为保障机构正常运转、完成日常工作任务而发生的人员支出和公用支出。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12.项目支出：指在基本支出之外为完成特定行政任务和事业发展目标所发生的支出。 </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13.经营支出：指事业单位在专业业务活动及其辅助活动之外开展非独立核算经营活动发生的支出。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14.“三公”经费：纳入区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sz w:val="32"/>
          <w:szCs w:val="32"/>
        </w:rPr>
      </w:pPr>
    </w:p>
    <w:bookmarkEnd w:id="56"/>
    <w:bookmarkEnd w:id="57"/>
    <w:p>
      <w:pPr>
        <w:spacing w:line="600" w:lineRule="exact"/>
        <w:jc w:val="center"/>
        <w:outlineLvl w:val="0"/>
        <w:rPr>
          <w:rFonts w:hint="eastAsia" w:ascii="黑体" w:hAnsi="黑体" w:eastAsia="黑体"/>
          <w:color w:val="000000"/>
          <w:sz w:val="44"/>
          <w:szCs w:val="44"/>
        </w:rPr>
      </w:pPr>
      <w:bookmarkStart w:id="58" w:name="_Toc15396614"/>
      <w:bookmarkStart w:id="59" w:name="_Toc15377226"/>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center"/>
        <w:outlineLvl w:val="0"/>
        <w:rPr>
          <w:rStyle w:val="24"/>
        </w:rPr>
      </w:pPr>
    </w:p>
    <w:p>
      <w:pPr>
        <w:pStyle w:val="3"/>
        <w:rPr>
          <w:rStyle w:val="24"/>
          <w:rFonts w:ascii="仿宋" w:hAnsi="仿宋" w:eastAsia="仿宋"/>
          <w:b w:val="0"/>
          <w:bCs w:val="0"/>
          <w:sz w:val="32"/>
          <w:szCs w:val="32"/>
        </w:rPr>
      </w:pPr>
      <w:bookmarkStart w:id="60" w:name="_Toc15396615"/>
      <w:r>
        <w:rPr>
          <w:rStyle w:val="24"/>
          <w:rFonts w:hint="eastAsia" w:ascii="仿宋" w:hAnsi="仿宋" w:eastAsia="仿宋"/>
          <w:b w:val="0"/>
          <w:bCs w:val="0"/>
          <w:sz w:val="32"/>
          <w:szCs w:val="32"/>
        </w:rPr>
        <w:t>附件1</w:t>
      </w:r>
      <w:bookmarkEnd w:id="60"/>
    </w:p>
    <w:p>
      <w:pPr>
        <w:spacing w:line="600" w:lineRule="exact"/>
        <w:jc w:val="center"/>
        <w:outlineLvl w:val="0"/>
        <w:rPr>
          <w:rFonts w:hint="eastAsia" w:ascii="黑体" w:hAnsi="黑体" w:eastAsia="黑体" w:cs="方正小标宋简体"/>
          <w:b/>
          <w:bCs/>
          <w:sz w:val="36"/>
          <w:szCs w:val="36"/>
          <w:lang w:eastAsia="zh-CN"/>
        </w:rPr>
      </w:pPr>
      <w:bookmarkStart w:id="61" w:name="_Toc15396616"/>
      <w:bookmarkStart w:id="62" w:name="_Toc15396617"/>
      <w:r>
        <w:rPr>
          <w:rFonts w:hint="eastAsia" w:ascii="黑体" w:hAnsi="黑体" w:eastAsia="黑体" w:cs="方正小标宋简体"/>
          <w:b/>
          <w:bCs/>
          <w:sz w:val="36"/>
          <w:szCs w:val="36"/>
          <w:lang w:eastAsia="zh-CN"/>
        </w:rPr>
        <w:t>达州市达川区江阳乡卫生院</w:t>
      </w:r>
    </w:p>
    <w:p>
      <w:pPr>
        <w:spacing w:line="600" w:lineRule="exact"/>
        <w:jc w:val="center"/>
        <w:outlineLvl w:val="0"/>
        <w:rPr>
          <w:rFonts w:ascii="黑体" w:hAnsi="黑体" w:eastAsia="黑体" w:cs="方正小标宋简体"/>
          <w:b/>
          <w:bCs/>
          <w:sz w:val="36"/>
          <w:szCs w:val="36"/>
        </w:rPr>
      </w:pPr>
      <w:r>
        <w:rPr>
          <w:rFonts w:hint="eastAsia" w:ascii="黑体" w:hAnsi="黑体" w:eastAsia="黑体" w:cs="方正小标宋简体"/>
          <w:b/>
          <w:bCs/>
          <w:sz w:val="36"/>
          <w:szCs w:val="36"/>
        </w:rPr>
        <w:t>2018年部门整体支出绩效评价报告</w:t>
      </w:r>
      <w:bookmarkEnd w:id="61"/>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楷体" w:hAnsi="楷体" w:eastAsia="楷体" w:cs="仿宋_GB2312"/>
          <w:sz w:val="32"/>
          <w:szCs w:val="32"/>
        </w:rPr>
      </w:pPr>
      <w:r>
        <w:rPr>
          <w:rFonts w:ascii="楷体" w:hAnsi="楷体" w:eastAsia="楷体" w:cs="仿宋_GB2312"/>
          <w:sz w:val="32"/>
          <w:szCs w:val="32"/>
        </w:rPr>
        <w:t>（一）机构组成。</w:t>
      </w:r>
    </w:p>
    <w:p>
      <w:pPr>
        <w:spacing w:line="580" w:lineRule="exact"/>
        <w:rPr>
          <w:rFonts w:ascii="仿宋" w:hAnsi="仿宋" w:eastAsia="仿宋" w:cs="仿宋_GB2312"/>
          <w:sz w:val="32"/>
          <w:szCs w:val="32"/>
        </w:rPr>
      </w:pPr>
      <w:r>
        <w:rPr>
          <w:rFonts w:hint="eastAsia" w:ascii="仿宋" w:hAnsi="仿宋" w:eastAsia="仿宋" w:cs="仿宋_GB2312"/>
          <w:sz w:val="32"/>
          <w:szCs w:val="32"/>
        </w:rPr>
        <w:t>达州市达川区</w:t>
      </w:r>
      <w:r>
        <w:rPr>
          <w:rFonts w:hint="eastAsia" w:ascii="仿宋" w:hAnsi="仿宋" w:eastAsia="仿宋" w:cs="仿宋_GB2312"/>
          <w:sz w:val="32"/>
          <w:szCs w:val="32"/>
          <w:lang w:eastAsia="zh-CN"/>
        </w:rPr>
        <w:t>江阳乡</w:t>
      </w:r>
      <w:r>
        <w:rPr>
          <w:rFonts w:hint="eastAsia" w:ascii="仿宋" w:hAnsi="仿宋" w:eastAsia="仿宋" w:cs="仿宋_GB2312"/>
          <w:sz w:val="32"/>
          <w:szCs w:val="32"/>
        </w:rPr>
        <w:t>卫生院是一家</w:t>
      </w:r>
      <w:r>
        <w:rPr>
          <w:rFonts w:hint="eastAsia" w:ascii="仿宋" w:hAnsi="仿宋" w:eastAsia="仿宋" w:cs="仿宋_GB2312"/>
          <w:sz w:val="32"/>
          <w:szCs w:val="32"/>
          <w:lang w:eastAsia="zh-CN"/>
        </w:rPr>
        <w:t>基层医疗卫生</w:t>
      </w:r>
      <w:r>
        <w:rPr>
          <w:rFonts w:hint="eastAsia" w:ascii="仿宋" w:hAnsi="仿宋" w:eastAsia="仿宋" w:cs="仿宋_GB2312"/>
          <w:sz w:val="32"/>
          <w:szCs w:val="32"/>
        </w:rPr>
        <w:t>单位，无其他下属单位。</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w:t>
      </w:r>
      <w:r>
        <w:rPr>
          <w:rFonts w:ascii="楷体" w:hAnsi="楷体" w:eastAsia="楷体" w:cs="仿宋_GB2312"/>
          <w:sz w:val="32"/>
          <w:szCs w:val="32"/>
        </w:rPr>
        <w:t>机构职能。</w:t>
      </w:r>
    </w:p>
    <w:p>
      <w:pPr>
        <w:adjustRightInd w:val="0"/>
        <w:snapToGrid w:val="0"/>
        <w:spacing w:line="600" w:lineRule="atLeast"/>
        <w:ind w:firstLine="640" w:firstLineChars="200"/>
        <w:rPr>
          <w:rFonts w:ascii="仿宋" w:hAnsi="仿宋" w:eastAsia="仿宋" w:cs="仿宋_GB2312"/>
          <w:sz w:val="32"/>
          <w:szCs w:val="32"/>
        </w:rPr>
      </w:pPr>
      <w:r>
        <w:rPr>
          <w:rFonts w:hint="eastAsia" w:ascii="仿宋" w:hAnsi="仿宋" w:eastAsia="仿宋" w:cs="仿宋_GB2312"/>
          <w:sz w:val="32"/>
          <w:szCs w:val="32"/>
        </w:rPr>
        <w:t>达州市达川区</w:t>
      </w:r>
      <w:r>
        <w:rPr>
          <w:rFonts w:hint="eastAsia" w:ascii="仿宋" w:hAnsi="仿宋" w:eastAsia="仿宋" w:cs="仿宋_GB2312"/>
          <w:sz w:val="32"/>
          <w:szCs w:val="32"/>
          <w:lang w:eastAsia="zh-CN"/>
        </w:rPr>
        <w:t>江阳乡</w:t>
      </w:r>
      <w:r>
        <w:rPr>
          <w:rFonts w:hint="eastAsia" w:ascii="仿宋" w:hAnsi="仿宋" w:eastAsia="仿宋" w:cs="仿宋_GB2312"/>
          <w:sz w:val="32"/>
          <w:szCs w:val="32"/>
        </w:rPr>
        <w:t>卫生院是</w:t>
      </w:r>
      <w:r>
        <w:rPr>
          <w:rFonts w:hint="eastAsia" w:ascii="仿宋" w:hAnsi="仿宋" w:eastAsia="仿宋" w:cs="仿宋_GB2312"/>
          <w:sz w:val="32"/>
          <w:szCs w:val="32"/>
          <w:lang w:eastAsia="zh-CN"/>
        </w:rPr>
        <w:t>公立基层医疗单位</w:t>
      </w:r>
      <w:r>
        <w:rPr>
          <w:rFonts w:hint="eastAsia" w:ascii="仿宋" w:hAnsi="仿宋" w:eastAsia="仿宋" w:cs="仿宋_GB2312"/>
          <w:sz w:val="32"/>
          <w:szCs w:val="32"/>
        </w:rPr>
        <w:t>，为辖区居民提供以预防保健、基本医疗、健康教育、康复为主要内容的综合性服务，全面实施国家基本公共卫生服务和重大公共卫生服务项目，提高全民健康意识。负责对村级卫生机构的技术指导和对乡村医生的培训。</w:t>
      </w:r>
    </w:p>
    <w:p>
      <w:pPr>
        <w:spacing w:line="57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我院拥有B超、全自动生化分析仪、等辅助设备，现设有内科、外科、中医科等科室。能对常见病，多发病以及部分疑难杂症做出准确的诊断和治疗。</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（三）</w:t>
      </w:r>
      <w:r>
        <w:rPr>
          <w:rFonts w:ascii="楷体" w:hAnsi="楷体" w:eastAsia="楷体" w:cs="仿宋_GB2312"/>
          <w:sz w:val="32"/>
          <w:szCs w:val="32"/>
        </w:rPr>
        <w:t>人员概况。</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达州市达川区</w:t>
      </w:r>
      <w:r>
        <w:rPr>
          <w:rFonts w:hint="eastAsia" w:ascii="仿宋" w:hAnsi="仿宋" w:eastAsia="仿宋" w:cs="仿宋_GB2312"/>
          <w:sz w:val="32"/>
          <w:szCs w:val="32"/>
          <w:lang w:eastAsia="zh-CN"/>
        </w:rPr>
        <w:t>江阳乡</w:t>
      </w:r>
      <w:r>
        <w:rPr>
          <w:rFonts w:hint="eastAsia" w:ascii="仿宋" w:hAnsi="仿宋" w:eastAsia="仿宋"/>
          <w:sz w:val="32"/>
          <w:szCs w:val="32"/>
        </w:rPr>
        <w:t>卫生院，在2018年年初有在编职工</w:t>
      </w:r>
      <w:r>
        <w:rPr>
          <w:rFonts w:hint="eastAsia" w:ascii="仿宋" w:hAnsi="仿宋" w:eastAsia="仿宋"/>
          <w:sz w:val="32"/>
          <w:szCs w:val="32"/>
          <w:lang w:val="en-US" w:eastAsia="zh-CN"/>
        </w:rPr>
        <w:t>7</w:t>
      </w:r>
      <w:r>
        <w:rPr>
          <w:rFonts w:hint="eastAsia" w:ascii="仿宋" w:hAnsi="仿宋" w:eastAsia="仿宋"/>
          <w:sz w:val="32"/>
          <w:szCs w:val="32"/>
        </w:rPr>
        <w:t>人，在2018年末在编职工</w:t>
      </w:r>
      <w:r>
        <w:rPr>
          <w:rFonts w:hint="eastAsia" w:ascii="仿宋" w:hAnsi="仿宋" w:eastAsia="仿宋"/>
          <w:sz w:val="32"/>
          <w:szCs w:val="32"/>
          <w:lang w:val="en-US" w:eastAsia="zh-CN"/>
        </w:rPr>
        <w:t>9</w:t>
      </w:r>
      <w:r>
        <w:rPr>
          <w:rFonts w:hint="eastAsia" w:ascii="仿宋" w:hAnsi="仿宋" w:eastAsia="仿宋"/>
          <w:sz w:val="32"/>
          <w:szCs w:val="32"/>
        </w:rPr>
        <w:t>人（其中：退休</w:t>
      </w:r>
      <w:r>
        <w:rPr>
          <w:rFonts w:hint="eastAsia" w:ascii="仿宋" w:hAnsi="仿宋" w:eastAsia="仿宋"/>
          <w:sz w:val="32"/>
          <w:szCs w:val="32"/>
          <w:lang w:val="en-US" w:eastAsia="zh-CN"/>
        </w:rPr>
        <w:t>4</w:t>
      </w:r>
      <w:r>
        <w:rPr>
          <w:rFonts w:hint="eastAsia" w:ascii="仿宋" w:hAnsi="仿宋" w:eastAsia="仿宋"/>
          <w:sz w:val="32"/>
          <w:szCs w:val="32"/>
        </w:rPr>
        <w:t>人，调</w:t>
      </w:r>
      <w:r>
        <w:rPr>
          <w:rFonts w:hint="eastAsia" w:ascii="仿宋" w:hAnsi="仿宋" w:eastAsia="仿宋"/>
          <w:sz w:val="32"/>
          <w:szCs w:val="32"/>
          <w:lang w:eastAsia="zh-CN"/>
        </w:rPr>
        <w:t>入</w:t>
      </w:r>
      <w:r>
        <w:rPr>
          <w:rFonts w:hint="eastAsia" w:ascii="仿宋" w:hAnsi="仿宋" w:eastAsia="仿宋"/>
          <w:sz w:val="32"/>
          <w:szCs w:val="32"/>
          <w:lang w:val="en-US" w:eastAsia="zh-CN"/>
        </w:rPr>
        <w:t>2</w:t>
      </w:r>
      <w:r>
        <w:rPr>
          <w:rFonts w:hint="eastAsia" w:ascii="仿宋" w:hAnsi="仿宋" w:eastAsia="仿宋"/>
          <w:sz w:val="32"/>
          <w:szCs w:val="32"/>
        </w:rPr>
        <w:t>人），2018年末我院有临聘人员</w:t>
      </w:r>
      <w:r>
        <w:rPr>
          <w:rFonts w:hint="eastAsia" w:ascii="仿宋" w:hAnsi="仿宋" w:eastAsia="仿宋"/>
          <w:sz w:val="32"/>
          <w:szCs w:val="32"/>
          <w:lang w:val="en-US" w:eastAsia="zh-CN"/>
        </w:rPr>
        <w:t>1</w:t>
      </w:r>
      <w:r>
        <w:rPr>
          <w:rFonts w:hint="eastAsia" w:ascii="仿宋" w:hAnsi="仿宋" w:eastAsia="仿宋"/>
          <w:sz w:val="32"/>
          <w:szCs w:val="32"/>
        </w:rPr>
        <w:t>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2018年我院财政拨款收入总计</w:t>
      </w:r>
      <w:r>
        <w:rPr>
          <w:rFonts w:hint="eastAsia" w:ascii="仿宋" w:hAnsi="仿宋" w:eastAsia="仿宋" w:cs="仿宋_GB2312"/>
          <w:sz w:val="32"/>
          <w:szCs w:val="32"/>
          <w:lang w:val="en-US" w:eastAsia="zh-CN"/>
        </w:rPr>
        <w:t>193.48</w:t>
      </w:r>
      <w:r>
        <w:rPr>
          <w:rFonts w:hint="eastAsia" w:ascii="仿宋" w:hAnsi="仿宋" w:eastAsia="仿宋" w:cs="仿宋_GB2312"/>
          <w:sz w:val="32"/>
          <w:szCs w:val="32"/>
        </w:rPr>
        <w:t>万元，其中一般公共预算财政拨款收入</w:t>
      </w:r>
      <w:r>
        <w:rPr>
          <w:rFonts w:hint="eastAsia" w:ascii="仿宋" w:hAnsi="仿宋" w:eastAsia="仿宋" w:cs="仿宋_GB2312"/>
          <w:sz w:val="32"/>
          <w:szCs w:val="32"/>
          <w:lang w:val="en-US" w:eastAsia="zh-CN"/>
        </w:rPr>
        <w:t>148.48</w:t>
      </w:r>
      <w:r>
        <w:rPr>
          <w:rFonts w:hint="eastAsia" w:ascii="仿宋" w:hAnsi="仿宋" w:eastAsia="仿宋" w:cs="仿宋_GB2312"/>
          <w:sz w:val="32"/>
          <w:szCs w:val="32"/>
        </w:rPr>
        <w:t>万元，年初财政补助结转和结余</w:t>
      </w:r>
      <w:r>
        <w:rPr>
          <w:rFonts w:hint="eastAsia" w:ascii="仿宋" w:hAnsi="仿宋" w:eastAsia="仿宋" w:cs="仿宋_GB2312"/>
          <w:sz w:val="32"/>
          <w:szCs w:val="32"/>
          <w:lang w:val="en-US" w:eastAsia="zh-CN"/>
        </w:rPr>
        <w:t>45</w:t>
      </w:r>
      <w:r>
        <w:rPr>
          <w:rFonts w:hint="eastAsia" w:ascii="仿宋" w:hAnsi="仿宋" w:eastAsia="仿宋" w:cs="仿宋_GB2312"/>
          <w:sz w:val="32"/>
          <w:szCs w:val="32"/>
        </w:rPr>
        <w:t>万元。</w:t>
      </w:r>
    </w:p>
    <w:p>
      <w:pPr>
        <w:numPr>
          <w:ilvl w:val="0"/>
          <w:numId w:val="6"/>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2018年我院财政拨款支出总计</w:t>
      </w:r>
      <w:r>
        <w:rPr>
          <w:rFonts w:hint="eastAsia" w:ascii="仿宋" w:hAnsi="仿宋" w:eastAsia="仿宋" w:cs="仿宋_GB2312"/>
          <w:sz w:val="32"/>
          <w:szCs w:val="32"/>
          <w:lang w:val="en-US" w:eastAsia="zh-CN"/>
        </w:rPr>
        <w:t>193.48</w:t>
      </w:r>
      <w:r>
        <w:rPr>
          <w:rFonts w:hint="eastAsia" w:ascii="仿宋" w:hAnsi="仿宋" w:eastAsia="仿宋" w:cs="仿宋_GB2312"/>
          <w:sz w:val="32"/>
          <w:szCs w:val="32"/>
        </w:rPr>
        <w:t>万元，其中一般公共预算财政拨款支出</w:t>
      </w:r>
      <w:r>
        <w:rPr>
          <w:rFonts w:hint="eastAsia" w:ascii="仿宋" w:hAnsi="仿宋" w:eastAsia="仿宋" w:cs="仿宋_GB2312"/>
          <w:sz w:val="32"/>
          <w:szCs w:val="32"/>
          <w:lang w:val="en-US" w:eastAsia="zh-CN"/>
        </w:rPr>
        <w:t>144.12</w:t>
      </w:r>
      <w:r>
        <w:rPr>
          <w:rFonts w:hint="eastAsia" w:ascii="仿宋" w:hAnsi="仿宋" w:eastAsia="仿宋" w:cs="仿宋_GB2312"/>
          <w:sz w:val="32"/>
          <w:szCs w:val="32"/>
        </w:rPr>
        <w:t>万元，年末财政补助结转和结余</w:t>
      </w:r>
      <w:r>
        <w:rPr>
          <w:rFonts w:hint="eastAsia" w:ascii="仿宋" w:hAnsi="仿宋" w:eastAsia="仿宋" w:cs="仿宋_GB2312"/>
          <w:sz w:val="32"/>
          <w:szCs w:val="32"/>
          <w:lang w:val="en-US" w:eastAsia="zh-CN"/>
        </w:rPr>
        <w:t>49.36</w:t>
      </w:r>
      <w:r>
        <w:rPr>
          <w:rFonts w:hint="eastAsia" w:ascii="仿宋" w:hAnsi="仿宋" w:eastAsia="仿宋" w:cs="仿宋_GB2312"/>
          <w:sz w:val="32"/>
          <w:szCs w:val="32"/>
        </w:rPr>
        <w:t>万元。</w:t>
      </w:r>
    </w:p>
    <w:p>
      <w:pPr>
        <w:numPr>
          <w:ilvl w:val="0"/>
          <w:numId w:val="1"/>
        </w:numPr>
        <w:spacing w:line="580" w:lineRule="exact"/>
        <w:ind w:left="1360" w:leftChars="0" w:hanging="720" w:firstLineChars="0"/>
        <w:rPr>
          <w:rFonts w:ascii="黑体" w:hAnsi="黑体" w:eastAsia="黑体" w:cs="黑体"/>
          <w:sz w:val="32"/>
          <w:szCs w:val="32"/>
        </w:rPr>
      </w:pPr>
      <w:r>
        <w:rPr>
          <w:rFonts w:ascii="黑体" w:hAnsi="黑体" w:eastAsia="黑体" w:cs="黑体"/>
          <w:sz w:val="32"/>
          <w:szCs w:val="32"/>
        </w:rPr>
        <w:t>部门整体预算绩效管理情况</w:t>
      </w:r>
    </w:p>
    <w:p>
      <w:pPr>
        <w:numPr>
          <w:ilvl w:val="0"/>
          <w:numId w:val="1"/>
        </w:numPr>
        <w:spacing w:line="580" w:lineRule="exact"/>
        <w:ind w:left="1360" w:leftChars="0" w:hanging="720" w:firstLineChars="0"/>
        <w:rPr>
          <w:rFonts w:ascii="仿宋" w:hAnsi="仿宋" w:eastAsia="仿宋" w:cs="仿宋_GB2312"/>
          <w:sz w:val="32"/>
          <w:szCs w:val="32"/>
        </w:rPr>
      </w:pPr>
      <w:r>
        <w:rPr>
          <w:rFonts w:ascii="仿宋" w:hAnsi="仿宋" w:eastAsia="仿宋" w:cs="仿宋_GB2312"/>
          <w:sz w:val="32"/>
          <w:szCs w:val="32"/>
        </w:rPr>
        <w:t>（一）部门预算管理。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认真落实全面预算管理方针政策，基本支出强化预算统筹，项目支出强化专款专用，切实加强经费管理和预算管理。严格按照区财政局部门预算编制通知及有关要求，充分调查了解，做好前期准备工作，始终遵循部门预算编制的基本要求、程序要求及编制口径，紧紧围绕整体绩效目标，科学量化重点项目绩效目标，确保预算编制的准确性，按照科学的测算依据按时完成 2018年预算编制工作，按时完成基础库、项目库报送工作，并按时提交部门预算草案。绩效目标是预算编制的前提和基础，按照“费随事定”的原则，2018 年我院对项目按要求编制了部门预算项目绩效目标。从项目完成、项目效益、满意度等方面设置了绩效指标，综合反映项目预期完成的数量、成本、时效、质量，预期达到的社会效益、经济效益、生态效益、可持续影响以及服务对象满意度等情况。同时设置了以项目完成数量为核心的指标，用于评价绩效目标实际实现程度，反映与预期目标的偏离度。绩效目标编制要素完整，绩效指标设置做到了细化量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预算执行过程中，我院严格控制公用经费及非定额公用支出，认真开展绩效运行监控，积极推进预算执行进度，提高整体预算执行率。一是坚持将预算执行纳入单位目标考核，强化目标责任，树立预算管理的主体责任意识。二是开展预算执行中期评估调整工作。按照区财政局县级预算调整的要求，对照项目执行进度，及时做好沟通衔接，对经确认的暂不支出、执行留有结余的项目予以合理统筹调整，盘活资金，提高使用效率。三是积极开展绩效评价工作。严格落实基本公共卫生服务项目、基本药物资金补助等项目的绩效评价。</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截止 2018 年 12 月 31 日，我院 2018 年财政资金一般公共预算财政拨款执行进度为</w:t>
      </w:r>
      <w:r>
        <w:rPr>
          <w:rFonts w:hint="eastAsia" w:ascii="仿宋" w:hAnsi="仿宋" w:eastAsia="仿宋" w:cs="仿宋_GB2312"/>
          <w:sz w:val="32"/>
          <w:szCs w:val="32"/>
          <w:lang w:val="en-US" w:eastAsia="zh-CN"/>
        </w:rPr>
        <w:t>76.7</w:t>
      </w:r>
      <w:r>
        <w:rPr>
          <w:rFonts w:hint="eastAsia" w:ascii="仿宋" w:hAnsi="仿宋" w:eastAsia="仿宋" w:cs="仿宋_GB2312"/>
          <w:sz w:val="32"/>
          <w:szCs w:val="32"/>
        </w:rPr>
        <w:t>%。</w:t>
      </w:r>
    </w:p>
    <w:p>
      <w:pPr>
        <w:spacing w:before="270" w:line="33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专项项目设立实行项目储备制。除按明确的数量、标准、比例等进行据实计算的实施基本药物制度、基本公共卫生服务包括专项预算项目程序严密、规划合理、结果符合、分配科学、分配及时、专项预算绩效目标完成、实施绩效、违规记录等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我</w:t>
      </w:r>
      <w:r>
        <w:rPr>
          <w:rFonts w:hint="eastAsia" w:ascii="仿宋" w:hAnsi="仿宋" w:eastAsia="仿宋" w:cs="仿宋_GB2312"/>
          <w:sz w:val="32"/>
          <w:szCs w:val="32"/>
        </w:rPr>
        <w:t>单位</w:t>
      </w:r>
      <w:r>
        <w:rPr>
          <w:rFonts w:ascii="仿宋" w:hAnsi="仿宋" w:eastAsia="仿宋" w:cs="仿宋_GB2312"/>
          <w:sz w:val="32"/>
          <w:szCs w:val="32"/>
        </w:rPr>
        <w:t>严格遵循《预算法》等相关法律法规和财政</w:t>
      </w:r>
      <w:r>
        <w:rPr>
          <w:rFonts w:hint="eastAsia" w:ascii="仿宋" w:hAnsi="仿宋" w:eastAsia="仿宋" w:cs="仿宋_GB2312"/>
          <w:sz w:val="32"/>
          <w:szCs w:val="32"/>
        </w:rPr>
        <w:t>局</w:t>
      </w:r>
      <w:r>
        <w:rPr>
          <w:rFonts w:ascii="仿宋" w:hAnsi="仿宋" w:eastAsia="仿宋" w:cs="仿宋_GB2312"/>
          <w:sz w:val="32"/>
          <w:szCs w:val="32"/>
        </w:rPr>
        <w:t>相关要求，在规定时间内随同预决算向社会公开部门绩效目标和部门整体绩效自评情况。针对各单位绩效评价发现的问题，要求各单位建立台账，逐一整改。并根据绩效评价和日常管理中，存在的共性问题，通过完善制度加以改进管理</w:t>
      </w:r>
      <w:r>
        <w:rPr>
          <w:rFonts w:hint="eastAsia" w:ascii="仿宋" w:hAnsi="仿宋" w:eastAsia="仿宋" w:cs="仿宋_GB2312"/>
          <w:sz w:val="32"/>
          <w:szCs w:val="32"/>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KaiTi_GB2312" w:hAnsi="KaiTi_GB2312" w:eastAsia="Times New Roman" w:cs="KaiTi_GB2312"/>
          <w:color w:val="000000"/>
          <w:sz w:val="32"/>
          <w:szCs w:val="22"/>
        </w:rPr>
      </w:pPr>
      <w:r>
        <w:rPr>
          <w:rFonts w:ascii="KaiTi_GB2312" w:hAnsi="KaiTi_GB2312" w:eastAsia="Times New Roman" w:cs="KaiTi_GB2312"/>
          <w:color w:val="000000"/>
          <w:sz w:val="32"/>
          <w:szCs w:val="22"/>
        </w:rPr>
        <w:t>（一）评价结论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2018 年我</w:t>
      </w:r>
      <w:r>
        <w:rPr>
          <w:rFonts w:hint="eastAsia" w:ascii="仿宋" w:hAnsi="仿宋" w:eastAsia="仿宋" w:cs="仿宋_GB2312"/>
          <w:sz w:val="32"/>
          <w:szCs w:val="32"/>
        </w:rPr>
        <w:t>单位</w:t>
      </w:r>
      <w:r>
        <w:rPr>
          <w:rFonts w:ascii="仿宋" w:hAnsi="仿宋" w:eastAsia="仿宋" w:cs="仿宋_GB2312"/>
          <w:sz w:val="32"/>
          <w:szCs w:val="32"/>
        </w:rPr>
        <w:t>整体支出绩效评价自查自评结果良好。财务制度较健全，财务管理较规范，全年基本支出保障了部门的正常运行和日程工作的正常开展，</w:t>
      </w:r>
      <w:r>
        <w:rPr>
          <w:rFonts w:hint="eastAsia" w:ascii="仿宋" w:hAnsi="仿宋" w:eastAsia="仿宋" w:cs="仿宋_GB2312"/>
          <w:sz w:val="32"/>
          <w:szCs w:val="32"/>
        </w:rPr>
        <w:t>全额保障了</w:t>
      </w:r>
      <w:r>
        <w:rPr>
          <w:rFonts w:ascii="仿宋" w:hAnsi="仿宋" w:eastAsia="仿宋" w:cs="仿宋_GB2312"/>
          <w:sz w:val="32"/>
          <w:szCs w:val="32"/>
        </w:rPr>
        <w:t>项目支出工作的开展，履职成效明显，达到了预期绩效目标和预期经济效果。</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信息化建设不够完善。预算管理绩效监控的动态调整能力有待进一步提高，把绩效监控结果有效应用到预算执行和调整上。</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建议</w:t>
      </w:r>
      <w:r>
        <w:rPr>
          <w:rFonts w:hint="eastAsia" w:ascii="仿宋" w:hAnsi="仿宋" w:eastAsia="仿宋" w:cs="仿宋_GB2312"/>
          <w:sz w:val="32"/>
          <w:szCs w:val="32"/>
        </w:rPr>
        <w:t>区财政局</w:t>
      </w:r>
      <w:r>
        <w:rPr>
          <w:rFonts w:ascii="仿宋" w:hAnsi="仿宋" w:eastAsia="仿宋" w:cs="仿宋_GB2312"/>
          <w:sz w:val="32"/>
          <w:szCs w:val="32"/>
        </w:rPr>
        <w:t>根据实际需求，重新核定</w:t>
      </w:r>
      <w:r>
        <w:rPr>
          <w:rFonts w:hint="eastAsia" w:ascii="仿宋" w:hAnsi="仿宋" w:eastAsia="仿宋" w:cs="仿宋_GB2312"/>
          <w:sz w:val="32"/>
          <w:szCs w:val="32"/>
        </w:rPr>
        <w:t>我</w:t>
      </w:r>
      <w:r>
        <w:rPr>
          <w:rFonts w:ascii="仿宋" w:hAnsi="仿宋" w:eastAsia="仿宋" w:cs="仿宋_GB2312"/>
          <w:sz w:val="32"/>
          <w:szCs w:val="32"/>
        </w:rPr>
        <w:t>单位</w:t>
      </w:r>
      <w:r>
        <w:rPr>
          <w:rFonts w:hint="eastAsia" w:ascii="仿宋" w:hAnsi="仿宋" w:eastAsia="仿宋" w:cs="仿宋_GB2312"/>
          <w:sz w:val="32"/>
          <w:szCs w:val="32"/>
        </w:rPr>
        <w:t>医疗收入和</w:t>
      </w:r>
      <w:r>
        <w:rPr>
          <w:rFonts w:ascii="仿宋" w:hAnsi="仿宋" w:eastAsia="仿宋" w:cs="仿宋_GB2312"/>
          <w:sz w:val="32"/>
          <w:szCs w:val="32"/>
        </w:rPr>
        <w:t>基本支出控制数，提高</w:t>
      </w:r>
      <w:r>
        <w:rPr>
          <w:rFonts w:hint="eastAsia" w:ascii="仿宋" w:hAnsi="仿宋" w:eastAsia="仿宋" w:cs="仿宋_GB2312"/>
          <w:sz w:val="32"/>
          <w:szCs w:val="32"/>
        </w:rPr>
        <w:t>财政补助</w:t>
      </w:r>
      <w:r>
        <w:rPr>
          <w:rFonts w:ascii="仿宋" w:hAnsi="仿宋" w:eastAsia="仿宋" w:cs="仿宋_GB2312"/>
          <w:sz w:val="32"/>
          <w:szCs w:val="32"/>
        </w:rPr>
        <w:t>经费定额标准，保证正常工作运转。</w:t>
      </w:r>
    </w:p>
    <w:p/>
    <w:p>
      <w:pPr>
        <w:spacing w:line="580" w:lineRule="exact"/>
        <w:ind w:firstLine="640" w:firstLineChars="200"/>
        <w:rPr>
          <w:rFonts w:ascii="黑体" w:hAnsi="黑体" w:eastAsia="黑体" w:cs="黑体"/>
          <w:sz w:val="32"/>
          <w:szCs w:val="32"/>
        </w:rPr>
      </w:pPr>
    </w:p>
    <w:p>
      <w:pPr>
        <w:widowControl/>
        <w:ind w:firstLine="3200" w:firstLineChars="1000"/>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bookmarkEnd w:id="62"/>
    <w:p>
      <w:pPr>
        <w:pStyle w:val="3"/>
        <w:rPr>
          <w:rStyle w:val="24"/>
          <w:rFonts w:ascii="仿宋" w:hAnsi="仿宋" w:eastAsia="仿宋"/>
          <w:b w:val="0"/>
          <w:bCs w:val="0"/>
          <w:sz w:val="32"/>
          <w:szCs w:val="32"/>
        </w:rPr>
      </w:pPr>
      <w:r>
        <w:rPr>
          <w:rStyle w:val="24"/>
          <w:rFonts w:hint="eastAsia" w:ascii="仿宋" w:hAnsi="仿宋" w:eastAsia="仿宋"/>
          <w:b w:val="0"/>
          <w:bCs w:val="0"/>
          <w:sz w:val="32"/>
          <w:szCs w:val="32"/>
        </w:rPr>
        <w:t>附件2</w:t>
      </w:r>
    </w:p>
    <w:p>
      <w:pPr>
        <w:spacing w:line="600" w:lineRule="exact"/>
        <w:jc w:val="center"/>
        <w:outlineLvl w:val="0"/>
        <w:rPr>
          <w:rFonts w:hint="eastAsia" w:ascii="黑体" w:hAnsi="黑体" w:eastAsia="黑体" w:cs="方正小标宋简体"/>
          <w:sz w:val="44"/>
          <w:szCs w:val="44"/>
        </w:rPr>
      </w:pPr>
    </w:p>
    <w:p>
      <w:pPr>
        <w:spacing w:line="600" w:lineRule="exact"/>
        <w:ind w:firstLine="880" w:firstLineChars="200"/>
        <w:jc w:val="both"/>
        <w:outlineLvl w:val="0"/>
        <w:rPr>
          <w:rFonts w:hint="eastAsia" w:ascii="黑体" w:hAnsi="黑体" w:eastAsia="黑体" w:cs="方正小标宋简体"/>
          <w:sz w:val="44"/>
          <w:szCs w:val="44"/>
          <w:lang w:eastAsia="zh-CN"/>
        </w:rPr>
      </w:pPr>
      <w:r>
        <w:rPr>
          <w:rFonts w:hint="eastAsia" w:ascii="黑体" w:hAnsi="黑体" w:eastAsia="黑体" w:cs="方正小标宋简体"/>
          <w:sz w:val="44"/>
          <w:szCs w:val="44"/>
        </w:rPr>
        <w:t>2018年</w:t>
      </w:r>
      <w:r>
        <w:rPr>
          <w:rFonts w:hint="eastAsia" w:ascii="黑体" w:hAnsi="黑体" w:eastAsia="黑体" w:cs="方正小标宋简体"/>
          <w:sz w:val="44"/>
          <w:szCs w:val="44"/>
          <w:lang w:eastAsia="zh-CN"/>
        </w:rPr>
        <w:t>达州市达川区江阳乡卫生院</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项目支出绩效评价报告</w:t>
      </w:r>
    </w:p>
    <w:p>
      <w:pPr>
        <w:spacing w:line="580" w:lineRule="exact"/>
        <w:ind w:firstLine="640" w:firstLineChars="200"/>
        <w:rPr>
          <w:rFonts w:ascii="仿宋" w:hAnsi="仿宋" w:eastAsia="仿宋" w:cs="仿宋_GB2312"/>
          <w:sz w:val="32"/>
          <w:szCs w:val="32"/>
        </w:rPr>
      </w:pPr>
      <w:bookmarkStart w:id="63" w:name="_Toc15396618"/>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pPr>
        <w:keepNext w:val="0"/>
        <w:keepLines w:val="0"/>
        <w:widowControl/>
        <w:suppressLineNumbers w:val="0"/>
        <w:ind w:firstLine="640" w:firstLineChars="200"/>
        <w:jc w:val="left"/>
      </w:pPr>
      <w:r>
        <w:rPr>
          <w:rFonts w:hint="eastAsia" w:ascii="仿宋" w:hAnsi="仿宋" w:eastAsia="仿宋" w:cs="仿宋_GB2312"/>
          <w:sz w:val="32"/>
          <w:szCs w:val="32"/>
          <w:lang w:val="en-US" w:eastAsia="zh-CN"/>
        </w:rPr>
        <w:t>2018年我院仅对基本公共卫生项目和基本药物补助两个项目进行了评价，分别从数量指标、时效指标、质量指标、成本指标、社会效益指标、群众满意度指标进行了考核。并对项目资金从预算到执行进行了全过程监督和评价。</w:t>
      </w:r>
      <w:r>
        <w:rPr>
          <w:rFonts w:ascii="仿宋_GB2312" w:hAnsi="仿宋_GB2312" w:eastAsia="仿宋_GB2312" w:cs="仿宋_GB2312"/>
          <w:color w:val="000000"/>
          <w:kern w:val="0"/>
          <w:sz w:val="32"/>
          <w:szCs w:val="32"/>
          <w:lang w:val="en-US" w:eastAsia="zh-CN" w:bidi="ar"/>
        </w:rPr>
        <w:t xml:space="preserve">同时设置了以项目完成数量为 核心的指标，用于评价绩效目标实际实现程度，反映与预期目标的偏离度。绩效目标编制要素完整，绩效指标设置做到了细化量化。 </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、评价结论及绩效分析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项目绩效评价总体</w:t>
      </w:r>
      <w:r>
        <w:rPr>
          <w:rFonts w:hint="eastAsia" w:ascii="仿宋" w:hAnsi="仿宋" w:eastAsia="仿宋" w:cs="仿宋_GB2312"/>
          <w:sz w:val="32"/>
          <w:szCs w:val="32"/>
          <w:lang w:eastAsia="zh-CN"/>
        </w:rPr>
        <w:t>为满意</w:t>
      </w:r>
      <w:r>
        <w:rPr>
          <w:rFonts w:ascii="仿宋" w:hAnsi="仿宋" w:eastAsia="仿宋" w:cs="仿宋_GB2312"/>
          <w:sz w:val="32"/>
          <w:szCs w:val="32"/>
        </w:rPr>
        <w:t>（包括项目评价得分表）</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pPr>
        <w:keepNext w:val="0"/>
        <w:keepLines w:val="0"/>
        <w:widowControl/>
        <w:suppressLineNumbers w:val="0"/>
        <w:ind w:firstLine="960" w:firstLineChars="300"/>
        <w:jc w:val="left"/>
        <w:rPr>
          <w:rFonts w:ascii="仿宋" w:hAnsi="仿宋" w:eastAsia="仿宋" w:cs="仿宋_GB2312"/>
          <w:sz w:val="32"/>
          <w:szCs w:val="32"/>
        </w:rPr>
      </w:pPr>
      <w:r>
        <w:rPr>
          <w:rFonts w:hint="eastAsia" w:ascii="仿宋" w:hAnsi="仿宋" w:eastAsia="仿宋" w:cs="仿宋_GB2312"/>
          <w:sz w:val="32"/>
          <w:szCs w:val="32"/>
          <w:lang w:eastAsia="zh-CN"/>
        </w:rPr>
        <w:t>项目资金属专项资金，根据</w:t>
      </w:r>
      <w:r>
        <w:rPr>
          <w:rFonts w:ascii="仿宋_GB2312" w:hAnsi="仿宋_GB2312" w:eastAsia="仿宋_GB2312" w:cs="仿宋_GB2312"/>
          <w:color w:val="000000"/>
          <w:kern w:val="0"/>
          <w:sz w:val="32"/>
          <w:szCs w:val="32"/>
          <w:lang w:val="en-US" w:eastAsia="zh-CN" w:bidi="ar"/>
        </w:rPr>
        <w:t>《四川省公共卫生服务补助资金管理办法》《四川省计划生育服务补助资金管理办法》《中央和省级财政医疗服务能力提升补助资金管理暂行法</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 xml:space="preserve">《中央和省级基层医疗卫生机构实施国家基本药物制度补助资金管理 办法》等，形成了健全完善的资金管理制度体系。 </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2、项目管理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根据达川区财政局</w:t>
      </w:r>
      <w:r>
        <w:rPr>
          <w:rFonts w:hint="eastAsia" w:ascii="仿宋" w:hAnsi="仿宋" w:eastAsia="仿宋" w:cs="仿宋_GB2312"/>
          <w:sz w:val="32"/>
          <w:szCs w:val="32"/>
          <w:lang w:val="en-US" w:eastAsia="zh-CN"/>
        </w:rPr>
        <w:t>2018年年初预算，公共卫生补助资金按2017年辖区常住人口，补助标准为50.0元/人（按中央40.0元、省4.48元、市1.0元、区4.52元）；基本药物财政补助资金按辖区2017年常住人口，补助标准为13元/人/年，（中央7.1元，省1.9元，市1元，区本级3元）分别下达。既做到了资金规范预算，规范使用，规范管理，又体现了资金分配的科学合理性。</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3、项目绩效</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2018年我院对基本公共卫生资金和基本药物财政补助资金，预算数分别为52.52万元和12.29万元，2018年年底预算执行率100%。既保障了我院公共卫生项目的正常开展，又保障了我院医疗业务的正常开展，取得了良好的社会效益和经济效益，群众的认可度得以提升。我院对项目绩效情况从以下两个方面进行评价：一是</w:t>
      </w:r>
      <w:r>
        <w:rPr>
          <w:rFonts w:ascii="仿宋" w:hAnsi="仿宋" w:eastAsia="仿宋" w:cs="仿宋_GB2312"/>
          <w:sz w:val="32"/>
          <w:szCs w:val="32"/>
        </w:rPr>
        <w:t>项目目标完成情况</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分别从</w:t>
      </w:r>
      <w:r>
        <w:rPr>
          <w:rFonts w:ascii="仿宋" w:hAnsi="仿宋" w:eastAsia="仿宋" w:cs="仿宋_GB2312"/>
          <w:sz w:val="32"/>
          <w:szCs w:val="32"/>
        </w:rPr>
        <w:t>数量、质量、时效、成本</w:t>
      </w:r>
      <w:r>
        <w:rPr>
          <w:rFonts w:hint="eastAsia" w:ascii="仿宋" w:hAnsi="仿宋" w:eastAsia="仿宋" w:cs="仿宋_GB2312"/>
          <w:sz w:val="32"/>
          <w:szCs w:val="32"/>
          <w:lang w:eastAsia="zh-CN"/>
        </w:rPr>
        <w:t>几个方向进行了考核，均达到</w:t>
      </w:r>
      <w:r>
        <w:rPr>
          <w:rFonts w:hint="eastAsia" w:ascii="仿宋" w:hAnsi="仿宋" w:eastAsia="仿宋" w:cs="仿宋_GB2312"/>
          <w:sz w:val="32"/>
          <w:szCs w:val="32"/>
          <w:lang w:val="en-US" w:eastAsia="zh-CN"/>
        </w:rPr>
        <w:t>100%</w:t>
      </w:r>
      <w:r>
        <w:rPr>
          <w:rFonts w:hint="eastAsia" w:ascii="仿宋" w:hAnsi="仿宋" w:eastAsia="仿宋" w:cs="仿宋_GB2312"/>
          <w:sz w:val="32"/>
          <w:szCs w:val="32"/>
          <w:lang w:eastAsia="zh-CN"/>
        </w:rPr>
        <w:t>；二是</w:t>
      </w:r>
      <w:r>
        <w:rPr>
          <w:rFonts w:ascii="仿宋" w:hAnsi="仿宋" w:eastAsia="仿宋" w:cs="仿宋_GB2312"/>
          <w:sz w:val="32"/>
          <w:szCs w:val="32"/>
        </w:rPr>
        <w:t>项目效益情况</w:t>
      </w:r>
      <w:r>
        <w:rPr>
          <w:rFonts w:hint="eastAsia" w:ascii="仿宋" w:hAnsi="仿宋" w:eastAsia="仿宋" w:cs="仿宋_GB2312"/>
          <w:sz w:val="32"/>
          <w:szCs w:val="32"/>
          <w:lang w:eastAsia="zh-CN"/>
        </w:rPr>
        <w:t>：社会</w:t>
      </w:r>
      <w:r>
        <w:rPr>
          <w:rFonts w:ascii="仿宋" w:hAnsi="仿宋" w:eastAsia="仿宋" w:cs="仿宋_GB2312"/>
          <w:sz w:val="32"/>
          <w:szCs w:val="32"/>
        </w:rPr>
        <w:t>经济效益</w:t>
      </w:r>
      <w:r>
        <w:rPr>
          <w:rFonts w:hint="eastAsia" w:ascii="仿宋" w:hAnsi="仿宋" w:eastAsia="仿宋" w:cs="仿宋_GB2312"/>
          <w:sz w:val="32"/>
          <w:szCs w:val="32"/>
          <w:lang w:eastAsia="zh-CN"/>
        </w:rPr>
        <w:t>和</w:t>
      </w:r>
      <w:r>
        <w:rPr>
          <w:rFonts w:ascii="仿宋" w:hAnsi="仿宋" w:eastAsia="仿宋" w:cs="仿宋_GB2312"/>
          <w:sz w:val="32"/>
          <w:szCs w:val="32"/>
        </w:rPr>
        <w:t>受益群体满意度</w:t>
      </w:r>
      <w:r>
        <w:rPr>
          <w:rFonts w:hint="eastAsia" w:ascii="仿宋" w:hAnsi="仿宋" w:eastAsia="仿宋" w:cs="仿宋_GB2312"/>
          <w:sz w:val="32"/>
          <w:szCs w:val="32"/>
          <w:lang w:eastAsia="zh-CN"/>
        </w:rPr>
        <w:t>等方面进行了评价</w:t>
      </w:r>
      <w:r>
        <w:rPr>
          <w:rFonts w:ascii="仿宋" w:hAnsi="仿宋" w:eastAsia="仿宋" w:cs="仿宋_GB2312"/>
          <w:sz w:val="32"/>
          <w:szCs w:val="32"/>
        </w:rPr>
        <w:t>。</w:t>
      </w:r>
    </w:p>
    <w:p>
      <w:pPr>
        <w:numPr>
          <w:ilvl w:val="0"/>
          <w:numId w:val="1"/>
        </w:numPr>
        <w:spacing w:line="580" w:lineRule="exact"/>
        <w:ind w:left="1360" w:leftChars="0" w:hanging="720" w:firstLineChars="0"/>
        <w:rPr>
          <w:rFonts w:ascii="仿宋" w:hAnsi="仿宋" w:eastAsia="仿宋" w:cs="仿宋_GB2312"/>
          <w:sz w:val="32"/>
          <w:szCs w:val="32"/>
        </w:rPr>
      </w:pPr>
      <w:r>
        <w:rPr>
          <w:rFonts w:ascii="仿宋" w:hAnsi="仿宋" w:eastAsia="仿宋" w:cs="仿宋_GB2312"/>
          <w:sz w:val="32"/>
          <w:szCs w:val="32"/>
        </w:rPr>
        <w:t>存在主要问题</w:t>
      </w:r>
    </w:p>
    <w:p>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预算执行进度不够理想。</w:t>
      </w:r>
      <w:r>
        <w:rPr>
          <w:rFonts w:hint="eastAsia" w:ascii="仿宋_GB2312" w:hAnsi="仿宋_GB2312" w:eastAsia="仿宋_GB2312" w:cs="仿宋_GB2312"/>
          <w:color w:val="000000"/>
          <w:kern w:val="0"/>
          <w:sz w:val="32"/>
          <w:szCs w:val="32"/>
          <w:lang w:val="en-US" w:eastAsia="zh-CN" w:bidi="ar"/>
        </w:rPr>
        <w:t>主要原因是财政拨款不及时，造成工作进展缓慢</w:t>
      </w:r>
    </w:p>
    <w:p>
      <w:pPr>
        <w:numPr>
          <w:ilvl w:val="0"/>
          <w:numId w:val="0"/>
        </w:numPr>
        <w:spacing w:line="580" w:lineRule="exact"/>
        <w:ind w:left="640" w:leftChars="0"/>
        <w:rPr>
          <w:rFonts w:hint="eastAsia" w:ascii="仿宋" w:hAnsi="仿宋" w:eastAsia="仿宋" w:cs="仿宋_GB2312"/>
          <w:sz w:val="32"/>
          <w:szCs w:val="32"/>
          <w:lang w:val="en-US" w:eastAsia="zh-CN"/>
        </w:rPr>
      </w:pPr>
    </w:p>
    <w:p>
      <w:pPr>
        <w:numPr>
          <w:ilvl w:val="0"/>
          <w:numId w:val="1"/>
        </w:numPr>
        <w:spacing w:line="580" w:lineRule="exact"/>
        <w:ind w:left="1360" w:leftChars="0" w:hanging="720" w:firstLineChars="0"/>
        <w:rPr>
          <w:rFonts w:ascii="仿宋" w:hAnsi="仿宋" w:eastAsia="仿宋" w:cs="仿宋_GB2312"/>
          <w:sz w:val="32"/>
          <w:szCs w:val="32"/>
        </w:rPr>
      </w:pPr>
      <w:r>
        <w:rPr>
          <w:rFonts w:ascii="仿宋" w:hAnsi="仿宋" w:eastAsia="仿宋" w:cs="仿宋_GB2312"/>
          <w:sz w:val="32"/>
          <w:szCs w:val="32"/>
        </w:rPr>
        <w:t>相关措施建议</w:t>
      </w:r>
    </w:p>
    <w:p>
      <w:pPr>
        <w:numPr>
          <w:ilvl w:val="0"/>
          <w:numId w:val="7"/>
        </w:numPr>
        <w:spacing w:line="580" w:lineRule="exact"/>
        <w:ind w:left="640" w:leftChars="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加强沟通，特别是财政局和基层卫生院之间信息不对称，核定的医疗收入偏大，造成基层医院资金缺口大，无法正常运行。</w:t>
      </w:r>
    </w:p>
    <w:p>
      <w:pPr>
        <w:numPr>
          <w:ilvl w:val="0"/>
          <w:numId w:val="7"/>
        </w:numPr>
        <w:spacing w:line="580" w:lineRule="exact"/>
        <w:ind w:left="640" w:leftChars="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专项资金拨款及时。财政资金如果不及时拨款，可能造成医院专项资金不能专款专用，工作开展存在困难。</w:t>
      </w: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ind w:firstLine="2200" w:firstLineChars="500"/>
        <w:jc w:val="both"/>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9"/>
      <w:bookmarkEnd w:id="63"/>
    </w:p>
    <w:p>
      <w:pPr>
        <w:pStyle w:val="3"/>
        <w:rPr>
          <w:rFonts w:ascii="仿宋" w:hAnsi="仿宋" w:eastAsia="仿宋"/>
          <w:color w:val="000000"/>
        </w:rPr>
      </w:pPr>
      <w:bookmarkStart w:id="64"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4"/>
    </w:p>
    <w:p>
      <w:pPr>
        <w:pStyle w:val="3"/>
        <w:rPr>
          <w:rFonts w:ascii="仿宋" w:hAnsi="仿宋" w:eastAsia="仿宋"/>
          <w:color w:val="000000"/>
        </w:rPr>
      </w:pPr>
      <w:bookmarkStart w:id="65"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65"/>
    </w:p>
    <w:p>
      <w:pPr>
        <w:pStyle w:val="3"/>
        <w:rPr>
          <w:rFonts w:ascii="仿宋" w:hAnsi="仿宋" w:eastAsia="仿宋"/>
          <w:color w:val="000000"/>
        </w:rPr>
      </w:pPr>
      <w:bookmarkStart w:id="66"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6"/>
    </w:p>
    <w:p>
      <w:pPr>
        <w:pStyle w:val="3"/>
        <w:rPr>
          <w:rFonts w:ascii="仿宋" w:hAnsi="仿宋" w:eastAsia="仿宋"/>
          <w:b w:val="0"/>
          <w:color w:val="000000"/>
        </w:rPr>
      </w:pPr>
      <w:bookmarkStart w:id="67"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7"/>
    </w:p>
    <w:p>
      <w:pPr>
        <w:pStyle w:val="3"/>
        <w:rPr>
          <w:rFonts w:ascii="仿宋" w:hAnsi="仿宋" w:eastAsia="仿宋"/>
          <w:color w:val="000000"/>
        </w:rPr>
      </w:pPr>
      <w:bookmarkStart w:id="68"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8"/>
    </w:p>
    <w:p>
      <w:pPr>
        <w:pStyle w:val="3"/>
        <w:rPr>
          <w:rFonts w:ascii="仿宋" w:hAnsi="仿宋" w:eastAsia="仿宋"/>
          <w:color w:val="000000"/>
        </w:rPr>
      </w:pPr>
      <w:bookmarkStart w:id="69"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9"/>
    </w:p>
    <w:p>
      <w:pPr>
        <w:pStyle w:val="3"/>
        <w:rPr>
          <w:rFonts w:ascii="仿宋" w:hAnsi="仿宋" w:eastAsia="仿宋"/>
          <w:color w:val="000000"/>
        </w:rPr>
      </w:pPr>
      <w:bookmarkStart w:id="70"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70"/>
    </w:p>
    <w:p>
      <w:pPr>
        <w:pStyle w:val="3"/>
        <w:rPr>
          <w:rFonts w:ascii="仿宋" w:hAnsi="仿宋" w:eastAsia="仿宋"/>
          <w:color w:val="000000"/>
        </w:rPr>
      </w:pPr>
      <w:bookmarkStart w:id="71"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71"/>
    </w:p>
    <w:p>
      <w:pPr>
        <w:pStyle w:val="3"/>
        <w:rPr>
          <w:rFonts w:ascii="仿宋" w:hAnsi="仿宋" w:eastAsia="仿宋"/>
          <w:color w:val="000000"/>
        </w:rPr>
      </w:pPr>
      <w:bookmarkStart w:id="72"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2"/>
    </w:p>
    <w:p>
      <w:pPr>
        <w:pStyle w:val="3"/>
        <w:rPr>
          <w:rFonts w:ascii="仿宋" w:hAnsi="仿宋" w:eastAsia="仿宋"/>
          <w:color w:val="000000"/>
        </w:rPr>
      </w:pPr>
      <w:bookmarkStart w:id="73"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3"/>
    </w:p>
    <w:p>
      <w:pPr>
        <w:pStyle w:val="3"/>
        <w:rPr>
          <w:rFonts w:ascii="仿宋" w:hAnsi="仿宋" w:eastAsia="仿宋"/>
          <w:color w:val="000000"/>
        </w:rPr>
      </w:pPr>
      <w:bookmarkStart w:id="74"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4"/>
    </w:p>
    <w:p>
      <w:pPr>
        <w:pStyle w:val="3"/>
        <w:rPr>
          <w:rFonts w:ascii="仿宋" w:hAnsi="仿宋" w:eastAsia="仿宋"/>
          <w:color w:val="000000"/>
        </w:rPr>
      </w:pPr>
      <w:bookmarkStart w:id="75"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5"/>
    </w:p>
    <w:p>
      <w:pPr>
        <w:pStyle w:val="3"/>
        <w:rPr>
          <w:rFonts w:ascii="仿宋" w:hAnsi="仿宋" w:eastAsia="仿宋"/>
          <w:color w:val="000000" w:themeColor="text1"/>
          <w14:textFill>
            <w14:solidFill>
              <w14:schemeClr w14:val="tx1"/>
            </w14:solidFill>
          </w14:textFill>
        </w:rPr>
      </w:pPr>
      <w:bookmarkStart w:id="76"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微软雅黑"/>
    <w:panose1 w:val="00000000000000000000"/>
    <w:charset w:val="86"/>
    <w:family w:val="modern"/>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altName w:val="宋体"/>
    <w:panose1 w:val="00000000000000000000"/>
    <w:charset w:val="86"/>
    <w:family w:val="auto"/>
    <w:pitch w:val="default"/>
    <w:sig w:usb0="00000000" w:usb1="00000000" w:usb2="00000000" w:usb3="00000000" w:csb0="00040000" w:csb1="00000000"/>
  </w:font>
  <w:font w:name="Tahoma">
    <w:panose1 w:val="020B0604030504040204"/>
    <w:charset w:val="86"/>
    <w:family w:val="auto"/>
    <w:pitch w:val="default"/>
    <w:sig w:usb0="E1002EFF" w:usb1="C000605B" w:usb2="00000029" w:usb3="00000000" w:csb0="200101FF" w:csb1="20280000"/>
  </w:font>
  <w:font w:name="楷体_GB2312">
    <w:altName w:val="微软雅黑"/>
    <w:panose1 w:val="00000000000000000000"/>
    <w:charset w:val="86"/>
    <w:family w:val="auto"/>
    <w:pitch w:val="default"/>
    <w:sig w:usb0="00000000" w:usb1="00000000" w:usb2="00000000" w:usb3="00000000" w:csb0="00040000" w:csb1="00000000"/>
  </w:font>
  <w:font w:name="楷体">
    <w:altName w:val="宋体"/>
    <w:panose1 w:val="02010609060101010101"/>
    <w:charset w:val="86"/>
    <w:family w:val="modern"/>
    <w:pitch w:val="default"/>
    <w:sig w:usb0="00000000" w:usb1="00000000" w:usb2="00000016" w:usb3="00000000" w:csb0="00040001" w:csb1="00000000"/>
  </w:font>
  <w:font w:name="KaiTi_GB2312">
    <w:altName w:val="Segoe Print"/>
    <w:panose1 w:val="02010609060101010101"/>
    <w:charset w:val="01"/>
    <w:family w:val="auto"/>
    <w:pitch w:val="default"/>
    <w:sig w:usb0="00000000" w:usb1="00000000" w:usb2="01010101" w:usb3="01010101" w:csb0="01010101" w:csb1="01010101"/>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1"/>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E882BE"/>
    <w:multiLevelType w:val="singleLevel"/>
    <w:tmpl w:val="8CE882BE"/>
    <w:lvl w:ilvl="0" w:tentative="0">
      <w:start w:val="1"/>
      <w:numFmt w:val="decimal"/>
      <w:lvlText w:val="%1."/>
      <w:lvlJc w:val="left"/>
      <w:pPr>
        <w:tabs>
          <w:tab w:val="left" w:pos="312"/>
        </w:tabs>
      </w:pPr>
    </w:lvl>
  </w:abstractNum>
  <w:abstractNum w:abstractNumId="1">
    <w:nsid w:val="965E6D32"/>
    <w:multiLevelType w:val="singleLevel"/>
    <w:tmpl w:val="965E6D32"/>
    <w:lvl w:ilvl="0" w:tentative="0">
      <w:start w:val="1"/>
      <w:numFmt w:val="decimal"/>
      <w:suff w:val="nothing"/>
      <w:lvlText w:val="%1、"/>
      <w:lvlJc w:val="left"/>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1BA8B6F6"/>
    <w:multiLevelType w:val="singleLevel"/>
    <w:tmpl w:val="1BA8B6F6"/>
    <w:lvl w:ilvl="0" w:tentative="0">
      <w:start w:val="2"/>
      <w:numFmt w:val="chineseCounting"/>
      <w:suff w:val="nothing"/>
      <w:lvlText w:val="（%1）"/>
      <w:lvlJc w:val="left"/>
      <w:rPr>
        <w:rFonts w:hint="eastAsia"/>
      </w:r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6FA7BB6"/>
    <w:rsid w:val="10C055FF"/>
    <w:rsid w:val="16BB723D"/>
    <w:rsid w:val="1C4B2EF7"/>
    <w:rsid w:val="240371BF"/>
    <w:rsid w:val="29FD04D3"/>
    <w:rsid w:val="319F7F4E"/>
    <w:rsid w:val="3A563842"/>
    <w:rsid w:val="3F2D304B"/>
    <w:rsid w:val="44080C7B"/>
    <w:rsid w:val="4B3C669C"/>
    <w:rsid w:val="52E07F23"/>
    <w:rsid w:val="5AC556D3"/>
    <w:rsid w:val="63441CF7"/>
    <w:rsid w:val="6BC24B5B"/>
    <w:rsid w:val="6E866F1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915;&#31639;&#20844;&#24320;&#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915;&#31639;&#20844;&#243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915;&#31639;&#20844;&#24320;&#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zh-CN" sz="1800" b="1" i="0" u="none" strike="noStrike" baseline="0">
                <a:solidFill>
                  <a:srgbClr val="000000"/>
                </a:solidFill>
                <a:latin typeface="宋体" panose="02010600030101010101" charset="-122"/>
                <a:ea typeface="宋体" panose="02010600030101010101" charset="-122"/>
                <a:cs typeface="宋体" panose="02010600030101010101" charset="-122"/>
              </a:rPr>
              <a:t>收、支决算总计变动情况图</a:t>
            </a:r>
            <a:r>
              <a:rPr lang="zh-CN" altLang="en-US" sz="1800" b="1" i="0" u="none" strike="noStrike" baseline="0">
                <a:solidFill>
                  <a:srgbClr val="000000"/>
                </a:solidFill>
                <a:latin typeface="宋体" panose="02010600030101010101" charset="-122"/>
                <a:ea typeface="宋体" panose="02010600030101010101" charset="-122"/>
                <a:cs typeface="宋体" panose="02010600030101010101" charset="-122"/>
              </a:rPr>
              <a:t>（万元）</a:t>
            </a:r>
            <a:endParaRPr lang="zh-CN" altLang="en-US" sz="1100" b="0" i="0" u="none" strike="noStrike" baseline="0">
              <a:solidFill>
                <a:srgbClr val="000000"/>
              </a:solidFill>
              <a:latin typeface="Tahoma" panose="020B0604030504040204" charset="-122"/>
              <a:ea typeface="Tahoma" panose="020B0604030504040204" charset="-122"/>
              <a:cs typeface="Tahoma" panose="020B0604030504040204" charset="-122"/>
            </a:endParaRPr>
          </a:p>
        </c:rich>
      </c:tx>
      <c:layout>
        <c:manualLayout>
          <c:xMode val="edge"/>
          <c:yMode val="edge"/>
          <c:x val="0.181269556925079"/>
          <c:y val="0.0277777777777778"/>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Lbl>
              <c:idx val="0"/>
              <c:delete val="1"/>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solidFill>
                      <a:prstDash val="solid"/>
                      <a:round/>
                    </a:ln>
                    <a:effectLst/>
                  </c:spPr>
                </c15:leaderLines>
              </c:ext>
            </c:extLst>
          </c:dLbls>
          <c:cat>
            <c:strRef>
              <c:f>[决算公开图表.xls]Sheet1!$F$10:$G$10</c:f>
              <c:strCache>
                <c:ptCount val="2"/>
                <c:pt idx="0">
                  <c:v>2017年收支合计</c:v>
                </c:pt>
                <c:pt idx="1">
                  <c:v>2018年收支合计</c:v>
                </c:pt>
              </c:strCache>
            </c:strRef>
          </c:cat>
          <c:val>
            <c:numRef>
              <c:f>[决算公开图表.xls]Sheet1!$F$11:$G$11</c:f>
              <c:numCache>
                <c:formatCode>General</c:formatCode>
                <c:ptCount val="2"/>
                <c:pt idx="0">
                  <c:v>257.8</c:v>
                </c:pt>
                <c:pt idx="1">
                  <c:v>294.63</c:v>
                </c:pt>
              </c:numCache>
            </c:numRef>
          </c:val>
        </c:ser>
        <c:dLbls>
          <c:showLegendKey val="0"/>
          <c:showVal val="0"/>
          <c:showCatName val="0"/>
          <c:showSerName val="0"/>
          <c:showPercent val="0"/>
          <c:showBubbleSize val="0"/>
        </c:dLbls>
        <c:gapWidth val="150"/>
        <c:overlap val="0"/>
        <c:axId val="425365529"/>
        <c:axId val="692045984"/>
      </c:barChart>
      <c:catAx>
        <c:axId val="425365529"/>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692045984"/>
        <c:crosses val="autoZero"/>
        <c:auto val="1"/>
        <c:lblAlgn val="ctr"/>
        <c:lblOffset val="100"/>
        <c:noMultiLvlLbl val="0"/>
      </c:catAx>
      <c:valAx>
        <c:axId val="692045984"/>
        <c:scaling>
          <c:orientation val="minMax"/>
        </c:scaling>
        <c:delete val="0"/>
        <c:axPos val="l"/>
        <c:majorGridlines>
          <c:spPr>
            <a:ln w="9525" cap="flat" cmpd="sng" algn="ctr">
              <a:solidFill>
                <a:schemeClr val="tx1">
                  <a:lumMod val="50000"/>
                  <a:lumOff val="50000"/>
                </a:schemeClr>
              </a:solidFill>
              <a:prstDash val="solid"/>
              <a:round/>
            </a:ln>
            <a:effectLst/>
          </c:spPr>
        </c:majorGridlines>
        <c:title>
          <c:layout/>
          <c:overlay val="0"/>
          <c:spPr>
            <a:noFill/>
            <a:ln>
              <a:noFill/>
            </a:ln>
            <a:effectLst/>
          </c:spPr>
          <c:txPr>
            <a:bodyPr rot="-5400000" spcFirstLastPara="0" vertOverflow="ellipsis" horzOverflow="overflow" vert="horz" wrap="square" anchor="ctr" anchorCtr="1"/>
            <a:lstStyle/>
            <a:p>
              <a:pPr>
                <a:defRPr lang="zh-CN" sz="1000" b="1" i="0" u="none" strike="noStrike" kern="1200" baseline="0">
                  <a:solidFill>
                    <a:schemeClr val="tx1"/>
                  </a:solidFill>
                  <a:latin typeface="+mn-lt"/>
                  <a:ea typeface="+mn-ea"/>
                  <a:cs typeface="+mn-cs"/>
                </a:defRPr>
              </a:pPr>
            </a:p>
          </c:txPr>
        </c:title>
        <c:numFmt formatCode="General" sourceLinked="1"/>
        <c:majorTickMark val="none"/>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425365529"/>
        <c:crosses val="autoZero"/>
        <c:crossBetween val="between"/>
      </c:valAx>
      <c:dTable>
        <c:showHorzBorder val="1"/>
        <c:showVertBorder val="1"/>
        <c:showOutline val="1"/>
        <c:showKeys val="1"/>
        <c:spPr>
          <a:no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dTable>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zh-CN" sz="1800"/>
              <a:t>收入决算结构图</a:t>
            </a:r>
            <a:endParaRPr lang="zh-CN" altLang="zh-CN" sz="18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spPr>
            <a:effectLst/>
          </c:spPr>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a:effectLst/>
                  </c:spPr>
                </c15:leaderLines>
              </c:ext>
            </c:extLst>
          </c:dLbls>
          <c:cat>
            <c:strRef>
              <c:f>[决算公开图表.xls]Sheet1!$D$33:$E$33</c:f>
              <c:strCache>
                <c:ptCount val="2"/>
                <c:pt idx="0">
                  <c:v>财政拨款收入</c:v>
                </c:pt>
                <c:pt idx="1">
                  <c:v>事业收入</c:v>
                </c:pt>
              </c:strCache>
            </c:strRef>
          </c:cat>
          <c:val>
            <c:numRef>
              <c:f>[决算公开图表.xls]Sheet1!$D$34:$E$34</c:f>
              <c:numCache>
                <c:formatCode>General</c:formatCode>
                <c:ptCount val="2"/>
                <c:pt idx="0">
                  <c:v>148.48</c:v>
                </c:pt>
                <c:pt idx="1">
                  <c:v>77.18</c:v>
                </c:pt>
              </c:numCache>
            </c:numRef>
          </c:val>
        </c:ser>
        <c:dLbls>
          <c:showLegendKey val="0"/>
          <c:showVal val="0"/>
          <c:showCatName val="0"/>
          <c:showSerName val="0"/>
          <c:showPercent val="0"/>
          <c:showBubbleSize val="0"/>
          <c:showLeaderLines val="1"/>
        </c:dLbls>
        <c:firstSliceAng val="0"/>
      </c:pieChart>
      <c:spPr>
        <a:noFill/>
        <a:ln w="3175">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zh-CN" sz="1800" b="1" i="0" u="none" strike="noStrike" baseline="0"/>
              <a:t>支出决算结构图</a:t>
            </a:r>
            <a:endParaRPr lang="zh-CN" altLang="en-US" sz="18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spPr>
            <a:effectLst/>
          </c:spPr>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a:effectLst/>
                  </c:spPr>
                </c15:leaderLines>
              </c:ext>
            </c:extLst>
          </c:dLbls>
          <c:cat>
            <c:strRef>
              <c:f>[决算公开图表.xls]Sheet1!$D$57:$E$57</c:f>
              <c:strCache>
                <c:ptCount val="2"/>
                <c:pt idx="0">
                  <c:v>基本支出</c:v>
                </c:pt>
                <c:pt idx="1">
                  <c:v>项目支出</c:v>
                </c:pt>
              </c:strCache>
            </c:strRef>
          </c:cat>
          <c:val>
            <c:numRef>
              <c:f>[决算公开图表.xls]Sheet1!$D$58:$E$58</c:f>
              <c:numCache>
                <c:formatCode>General</c:formatCode>
                <c:ptCount val="2"/>
                <c:pt idx="0">
                  <c:v>179.84</c:v>
                </c:pt>
                <c:pt idx="1">
                  <c:v>65.43</c:v>
                </c:pt>
              </c:numCache>
            </c:numRef>
          </c:val>
        </c:ser>
        <c:dLbls>
          <c:showLegendKey val="0"/>
          <c:showVal val="0"/>
          <c:showCatName val="0"/>
          <c:showSerName val="0"/>
          <c:showPercent val="0"/>
          <c:showBubbleSize val="0"/>
          <c:showLeaderLines val="1"/>
        </c:dLbls>
        <c:firstSliceAng val="0"/>
      </c:pieChart>
      <c:spPr>
        <a:noFill/>
        <a:ln w="3175">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zh-CN" sz="1380" b="1" i="0" u="none" strike="noStrike" baseline="0">
                <a:solidFill>
                  <a:srgbClr val="000000"/>
                </a:solidFill>
                <a:latin typeface="宋体" panose="02010600030101010101" charset="-122"/>
                <a:ea typeface="宋体" panose="02010600030101010101" charset="-122"/>
                <a:cs typeface="宋体" panose="02010600030101010101" charset="-122"/>
              </a:rPr>
              <a:t>财政拨款收、支决算总计变动情况</a:t>
            </a:r>
            <a:r>
              <a:rPr lang="zh-CN" altLang="en-US" sz="1380" b="1" i="0" u="none" strike="noStrike" baseline="0">
                <a:solidFill>
                  <a:srgbClr val="000000"/>
                </a:solidFill>
                <a:latin typeface="宋体" panose="02010600030101010101" charset="-122"/>
                <a:ea typeface="宋体" panose="02010600030101010101" charset="-122"/>
                <a:cs typeface="宋体" panose="02010600030101010101" charset="-122"/>
              </a:rPr>
              <a:t>表</a:t>
            </a:r>
            <a:endParaRPr lang="zh-CN" altLang="en-US" sz="1100" b="0" i="0" u="none" strike="noStrike" baseline="0">
              <a:solidFill>
                <a:srgbClr val="000000"/>
              </a:solidFill>
              <a:latin typeface="Tahoma" panose="020B0604030504040204" charset="-122"/>
              <a:ea typeface="Tahoma" panose="020B0604030504040204" charset="-122"/>
              <a:cs typeface="Tahoma" panose="020B0604030504040204" charset="-122"/>
            </a:endParaRPr>
          </a:p>
        </c:rich>
      </c:tx>
      <c:layout/>
      <c:overlay val="0"/>
      <c:spPr>
        <a:noFill/>
        <a:ln>
          <a:noFill/>
        </a:ln>
        <a:effectLst/>
      </c:spPr>
    </c:title>
    <c:autoTitleDeleted val="0"/>
    <c:plotArea>
      <c:layout>
        <c:manualLayout>
          <c:layoutTarget val="inner"/>
          <c:xMode val="edge"/>
          <c:yMode val="edge"/>
          <c:x val="0.139743827568599"/>
          <c:y val="0.0963855421686747"/>
          <c:w val="0.811748709744834"/>
          <c:h val="0.563654618473896"/>
        </c:manualLayout>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strRef>
              <c:f>[决算公开图表.xls]Sheet1!$D$83:$G$83</c:f>
              <c:strCache>
                <c:ptCount val="4"/>
                <c:pt idx="0">
                  <c:v>2018年</c:v>
                </c:pt>
                <c:pt idx="1">
                  <c:v>2017年</c:v>
                </c:pt>
              </c:strCache>
            </c:strRef>
          </c:cat>
          <c:val>
            <c:numRef>
              <c:f>[决算公开图表.xls]Sheet1!$D$84:$G$84</c:f>
              <c:numCache>
                <c:formatCode>General</c:formatCode>
                <c:ptCount val="4"/>
                <c:pt idx="0">
                  <c:v>193.48</c:v>
                </c:pt>
                <c:pt idx="1">
                  <c:v>167.8</c:v>
                </c:pt>
              </c:numCache>
            </c:numRef>
          </c:val>
        </c:ser>
        <c:dLbls>
          <c:showLegendKey val="0"/>
          <c:showVal val="0"/>
          <c:showCatName val="0"/>
          <c:showSerName val="0"/>
          <c:showPercent val="0"/>
          <c:showBubbleSize val="0"/>
        </c:dLbls>
        <c:gapWidth val="150"/>
        <c:overlap val="0"/>
        <c:axId val="739864401"/>
        <c:axId val="942171826"/>
      </c:barChart>
      <c:catAx>
        <c:axId val="739864401"/>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942171826"/>
        <c:crosses val="autoZero"/>
        <c:auto val="1"/>
        <c:lblAlgn val="ctr"/>
        <c:lblOffset val="100"/>
        <c:noMultiLvlLbl val="0"/>
      </c:catAx>
      <c:valAx>
        <c:axId val="942171826"/>
        <c:scaling>
          <c:orientation val="minMax"/>
        </c:scaling>
        <c:delete val="0"/>
        <c:axPos val="l"/>
        <c:majorGridlines>
          <c:spPr>
            <a:ln w="9525" cap="flat" cmpd="sng" algn="ctr">
              <a:solidFill>
                <a:schemeClr val="tx1">
                  <a:lumMod val="50000"/>
                  <a:lumOff val="50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739864401"/>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zh-CN" sz="1800" b="1" i="0" u="none" strike="noStrike" baseline="0"/>
              <a:t>一般公共预算财政拨款支出决算变动情况</a:t>
            </a:r>
            <a:endParaRPr lang="zh-CN" altLang="en-US" sz="18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solidFill>
                      <a:prstDash val="solid"/>
                      <a:round/>
                    </a:ln>
                    <a:effectLst/>
                  </c:spPr>
                </c15:leaderLines>
              </c:ext>
            </c:extLst>
          </c:dLbls>
          <c:cat>
            <c:strRef>
              <c:f>[决算公开图表.xls]Sheet1!$D$111:$E$111</c:f>
              <c:strCache>
                <c:ptCount val="2"/>
                <c:pt idx="0">
                  <c:v>2017年</c:v>
                </c:pt>
                <c:pt idx="1">
                  <c:v>2018年</c:v>
                </c:pt>
              </c:strCache>
            </c:strRef>
          </c:cat>
          <c:val>
            <c:numRef>
              <c:f>[决算公开图表.xls]Sheet1!$D$112:$E$112</c:f>
              <c:numCache>
                <c:formatCode>General</c:formatCode>
                <c:ptCount val="2"/>
                <c:pt idx="0">
                  <c:v>122.8</c:v>
                </c:pt>
                <c:pt idx="1">
                  <c:v>144.12</c:v>
                </c:pt>
              </c:numCache>
            </c:numRef>
          </c:val>
        </c:ser>
        <c:dLbls>
          <c:showLegendKey val="0"/>
          <c:showVal val="1"/>
          <c:showCatName val="0"/>
          <c:showSerName val="0"/>
          <c:showPercent val="0"/>
          <c:showBubbleSize val="0"/>
        </c:dLbls>
        <c:gapWidth val="150"/>
        <c:overlap val="0"/>
        <c:axId val="730894881"/>
        <c:axId val="215056738"/>
      </c:barChart>
      <c:catAx>
        <c:axId val="730894881"/>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215056738"/>
        <c:crosses val="autoZero"/>
        <c:auto val="1"/>
        <c:lblAlgn val="ctr"/>
        <c:lblOffset val="100"/>
        <c:noMultiLvlLbl val="0"/>
      </c:catAx>
      <c:valAx>
        <c:axId val="215056738"/>
        <c:scaling>
          <c:orientation val="minMax"/>
        </c:scaling>
        <c:delete val="0"/>
        <c:axPos val="l"/>
        <c:majorGridlines>
          <c:spPr>
            <a:ln w="9525" cap="flat" cmpd="sng" algn="ctr">
              <a:solidFill>
                <a:schemeClr val="tx1">
                  <a:lumMod val="50000"/>
                  <a:lumOff val="50000"/>
                </a:schemeClr>
              </a:solidFill>
              <a:prstDash val="solid"/>
              <a:round/>
            </a:ln>
            <a:effectLst/>
          </c:spPr>
        </c:majorGridlines>
        <c:title>
          <c:layout/>
          <c:overlay val="0"/>
          <c:spPr>
            <a:noFill/>
            <a:ln>
              <a:noFill/>
            </a:ln>
            <a:effectLst/>
          </c:spPr>
          <c:txPr>
            <a:bodyPr rot="-5400000" spcFirstLastPara="0" vertOverflow="ellipsis" horzOverflow="overflow" vert="horz" wrap="square" anchor="ctr" anchorCtr="1"/>
            <a:lstStyle/>
            <a:p>
              <a:pPr>
                <a:defRPr lang="zh-CN" sz="1000" b="1" i="0" u="none" strike="noStrike" kern="1200" baseline="0">
                  <a:solidFill>
                    <a:schemeClr val="tx1"/>
                  </a:solidFill>
                  <a:latin typeface="+mn-lt"/>
                  <a:ea typeface="+mn-ea"/>
                  <a:cs typeface="+mn-cs"/>
                </a:defRPr>
              </a:pPr>
            </a:p>
          </c:txPr>
        </c:title>
        <c:numFmt formatCode="General" sourceLinked="1"/>
        <c:majorTickMark val="none"/>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730894881"/>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zh-CN" sz="1800" b="1" i="0" u="none" strike="noStrike" baseline="0"/>
              <a:t>一般公共预算财政拨款支出决算结构</a:t>
            </a:r>
            <a:endParaRPr lang="zh-CN" altLang="en-US" sz="18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spPr>
            <a:effectLst/>
          </c:spPr>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Pt>
            <c:idx val="2"/>
            <c:bubble3D val="0"/>
            <c:explosion val="0"/>
            <c:spPr>
              <a:solidFill>
                <a:schemeClr val="accent3"/>
              </a:solidFill>
              <a:ln>
                <a:noFill/>
              </a:ln>
              <a:effectLst/>
            </c:spPr>
          </c:dPt>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a:effectLst/>
                  </c:spPr>
                </c15:leaderLines>
              </c:ext>
            </c:extLst>
          </c:dLbls>
          <c:cat>
            <c:strRef>
              <c:f>[决算公开图表.xls]Sheet1!$C$139:$E$139</c:f>
              <c:strCache>
                <c:ptCount val="3"/>
                <c:pt idx="0">
                  <c:v>社会保障和就业</c:v>
                </c:pt>
                <c:pt idx="1">
                  <c:v>医疗卫生</c:v>
                </c:pt>
                <c:pt idx="2">
                  <c:v>住房保障</c:v>
                </c:pt>
              </c:strCache>
            </c:strRef>
          </c:cat>
          <c:val>
            <c:numRef>
              <c:f>[决算公开图表.xls]Sheet1!$C$140:$E$140</c:f>
              <c:numCache>
                <c:formatCode>General</c:formatCode>
                <c:ptCount val="3"/>
                <c:pt idx="0">
                  <c:v>8.97</c:v>
                </c:pt>
                <c:pt idx="1">
                  <c:v>124.12</c:v>
                </c:pt>
                <c:pt idx="2">
                  <c:v>11.03</c:v>
                </c:pt>
              </c:numCache>
            </c:numRef>
          </c:val>
        </c:ser>
        <c:dLbls>
          <c:showLegendKey val="0"/>
          <c:showVal val="0"/>
          <c:showCatName val="0"/>
          <c:showSerName val="0"/>
          <c:showPercent val="0"/>
          <c:showBubbleSize val="0"/>
          <c:showLeaderLines val="1"/>
        </c:dLbls>
        <c:firstSliceAng val="0"/>
      </c:pieChart>
      <c:spPr>
        <a:noFill/>
        <a:ln w="3175">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1441</Words>
  <Characters>8219</Characters>
  <Lines>68</Lines>
  <Paragraphs>19</Paragraphs>
  <TotalTime>3</TotalTime>
  <ScaleCrop>false</ScaleCrop>
  <LinksUpToDate>false</LinksUpToDate>
  <CharactersWithSpaces>9641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平淡</cp:lastModifiedBy>
  <cp:lastPrinted>2019-08-01T00:48:00Z</cp:lastPrinted>
  <dcterms:modified xsi:type="dcterms:W3CDTF">2019-09-18T05:25:30Z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