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96597"/>
      <w:bookmarkStart w:id="1" w:name="_Toc15378441"/>
      <w:bookmarkStart w:id="2" w:name="_Toc15377193"/>
      <w:bookmarkStart w:id="3" w:name="_Toc15396475"/>
      <w:bookmarkStart w:id="4" w:name="_Toc15377425"/>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77194"/>
      <w:bookmarkStart w:id="6" w:name="_Toc15377426"/>
      <w:bookmarkStart w:id="7" w:name="_Toc15396598"/>
      <w:bookmarkStart w:id="8" w:name="_Toc15396476"/>
      <w:bookmarkStart w:id="9" w:name="_Toc15378442"/>
      <w:r>
        <w:rPr>
          <w:rFonts w:hint="eastAsia" w:ascii="方正小标宋简体" w:hAnsi="宋体" w:eastAsia="方正小标宋简体"/>
          <w:color w:val="000000"/>
          <w:sz w:val="72"/>
          <w:szCs w:val="72"/>
        </w:rPr>
        <w:t>四川省</w:t>
      </w:r>
      <w:bookmarkStart w:id="10" w:name="_Toc15306268"/>
      <w:r>
        <w:rPr>
          <w:rFonts w:hint="eastAsia" w:ascii="方正小标宋简体" w:hAnsi="宋体" w:eastAsia="方正小标宋简体"/>
          <w:color w:val="000000"/>
          <w:sz w:val="72"/>
          <w:szCs w:val="72"/>
          <w:lang w:eastAsia="zh-CN"/>
        </w:rPr>
        <w:t>达州市达川区亭子镇中心卫生院</w:t>
      </w:r>
      <w:r>
        <w:rPr>
          <w:rFonts w:hint="eastAsia" w:ascii="方正小标宋简体" w:hAnsi="宋体" w:eastAsia="方正小标宋简体"/>
          <w:color w:val="000000"/>
          <w:sz w:val="72"/>
          <w:szCs w:val="72"/>
        </w:rPr>
        <w:t>部门决算</w:t>
      </w:r>
      <w:bookmarkEnd w:id="5"/>
      <w:bookmarkEnd w:id="6"/>
      <w:bookmarkEnd w:id="7"/>
      <w:bookmarkEnd w:id="8"/>
      <w:bookmarkEnd w:id="9"/>
      <w:bookmarkEnd w:id="10"/>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ind w:firstLine="3840" w:firstLineChars="800"/>
        <w:jc w:val="both"/>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7"/>
      </w:pPr>
      <w:r>
        <w:rPr>
          <w:rFonts w:hint="eastAsia"/>
        </w:rPr>
        <w:t>公开时间：2019年</w:t>
      </w:r>
      <w:r>
        <w:rPr>
          <w:rFonts w:hint="eastAsia"/>
          <w:lang w:val="en-US" w:eastAsia="zh-CN"/>
        </w:rPr>
        <w:t>9</w:t>
      </w:r>
      <w:r>
        <w:rPr>
          <w:rFonts w:hint="eastAsia"/>
        </w:rPr>
        <w:t>月</w:t>
      </w:r>
      <w:r>
        <w:rPr>
          <w:rFonts w:hint="eastAsia"/>
          <w:lang w:val="en-US" w:eastAsia="zh-CN"/>
        </w:rPr>
        <w:t>12</w:t>
      </w:r>
      <w:r>
        <w:rPr>
          <w:rFonts w:hint="eastAsia"/>
        </w:rPr>
        <w:t>日</w:t>
      </w:r>
    </w:p>
    <w:p/>
    <w:p>
      <w:pPr>
        <w:pStyle w:val="7"/>
        <w:rPr>
          <w:rFonts w:cstheme="minorBidi"/>
        </w:rPr>
      </w:pPr>
      <w:r>
        <w:fldChar w:fldCharType="begin"/>
      </w:r>
      <w:r>
        <w:instrText xml:space="preserve"> HYPERLINK \l "_Toc15396599" </w:instrText>
      </w:r>
      <w:r>
        <w:fldChar w:fldCharType="separate"/>
      </w:r>
      <w:r>
        <w:rPr>
          <w:rStyle w:val="12"/>
          <w:rFonts w:hint="eastAsia"/>
        </w:rPr>
        <w:t>第一部分</w:t>
      </w:r>
      <w:r>
        <w:rPr>
          <w:rStyle w:val="12"/>
        </w:rPr>
        <w:t xml:space="preserve"> </w:t>
      </w:r>
      <w:r>
        <w:rPr>
          <w:rStyle w:val="12"/>
          <w:rFonts w:hint="eastAsia"/>
        </w:rPr>
        <w:t>部门概况</w:t>
      </w:r>
      <w:r>
        <w:tab/>
      </w:r>
      <w:r>
        <w:rPr>
          <w:rFonts w:hint="eastAsia"/>
        </w:rPr>
        <w:t>4</w:t>
      </w:r>
      <w:r>
        <w:rPr>
          <w:rFonts w:hint="eastAsia"/>
        </w:rPr>
        <w:fldChar w:fldCharType="end"/>
      </w:r>
    </w:p>
    <w:p>
      <w:pPr>
        <w:pStyle w:val="8"/>
        <w:rPr>
          <w:rFonts w:ascii="仿宋" w:hAnsi="仿宋" w:eastAsia="仿宋" w:cstheme="minorBidi"/>
          <w:sz w:val="28"/>
          <w:szCs w:val="28"/>
        </w:rPr>
      </w:pPr>
      <w:r>
        <w:fldChar w:fldCharType="begin"/>
      </w:r>
      <w:r>
        <w:instrText xml:space="preserve"> HYPERLINK \l "_Toc15396600" </w:instrText>
      </w:r>
      <w:r>
        <w:fldChar w:fldCharType="separate"/>
      </w:r>
      <w:r>
        <w:rPr>
          <w:rStyle w:val="12"/>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"_Toc15396601" </w:instrText>
      </w:r>
      <w:r>
        <w:fldChar w:fldCharType="separate"/>
      </w:r>
      <w:r>
        <w:rPr>
          <w:rStyle w:val="12"/>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7"/>
      </w:pPr>
      <w:r>
        <w:fldChar w:fldCharType="begin"/>
      </w:r>
      <w:r>
        <w:instrText xml:space="preserve"> HYPERLINK \l "_Toc15396602" </w:instrText>
      </w:r>
      <w:r>
        <w:fldChar w:fldCharType="separate"/>
      </w:r>
      <w:r>
        <w:rPr>
          <w:rStyle w:val="12"/>
          <w:rFonts w:hint="eastAsia"/>
        </w:rPr>
        <w:t>第二部分</w:t>
      </w:r>
      <w:r>
        <w:rPr>
          <w:rStyle w:val="12"/>
        </w:rPr>
        <w:t xml:space="preserve"> 2018</w:t>
      </w:r>
      <w:r>
        <w:rPr>
          <w:rStyle w:val="12"/>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8"/>
        <w:rPr>
          <w:rFonts w:ascii="仿宋" w:hAnsi="仿宋" w:eastAsia="仿宋" w:cstheme="minorBidi"/>
          <w:sz w:val="28"/>
          <w:szCs w:val="28"/>
        </w:rPr>
      </w:pPr>
      <w:r>
        <w:fldChar w:fldCharType="begin"/>
      </w:r>
      <w:r>
        <w:instrText xml:space="preserve"> HYPERLINK \l "_Toc15396603" </w:instrText>
      </w:r>
      <w:r>
        <w:fldChar w:fldCharType="separate"/>
      </w:r>
      <w:r>
        <w:rPr>
          <w:rStyle w:val="12"/>
          <w:rFonts w:hint="eastAsia" w:ascii="仿宋" w:hAnsi="仿宋" w:eastAsia="仿宋" w:cstheme="majorBidi"/>
          <w:bCs/>
          <w:sz w:val="28"/>
          <w:szCs w:val="28"/>
        </w:rPr>
        <w:t>一、</w:t>
      </w:r>
      <w:r>
        <w:rPr>
          <w:rStyle w:val="12"/>
          <w:rFonts w:hint="eastAsia" w:ascii="仿宋" w:hAnsi="仿宋" w:eastAsia="仿宋"/>
          <w:sz w:val="28"/>
          <w:szCs w:val="28"/>
        </w:rPr>
        <w:t>收</w:t>
      </w:r>
      <w:r>
        <w:rPr>
          <w:rStyle w:val="12"/>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"_Toc15396604" </w:instrText>
      </w:r>
      <w:r>
        <w:fldChar w:fldCharType="separate"/>
      </w:r>
      <w:r>
        <w:rPr>
          <w:rStyle w:val="12"/>
          <w:rFonts w:hint="eastAsia" w:ascii="仿宋" w:hAnsi="仿宋" w:eastAsia="仿宋" w:cstheme="majorBidi"/>
          <w:bCs/>
          <w:sz w:val="28"/>
          <w:szCs w:val="28"/>
        </w:rPr>
        <w:t>二、</w:t>
      </w:r>
      <w:r>
        <w:rPr>
          <w:rStyle w:val="12"/>
          <w:rFonts w:hint="eastAsia" w:ascii="仿宋" w:hAnsi="仿宋" w:eastAsia="仿宋"/>
          <w:sz w:val="28"/>
          <w:szCs w:val="28"/>
        </w:rPr>
        <w:t>收</w:t>
      </w:r>
      <w:r>
        <w:rPr>
          <w:rStyle w:val="12"/>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"_Toc15396605" </w:instrText>
      </w:r>
      <w:r>
        <w:fldChar w:fldCharType="separate"/>
      </w:r>
      <w:r>
        <w:rPr>
          <w:rStyle w:val="12"/>
          <w:rFonts w:hint="eastAsia" w:ascii="仿宋" w:hAnsi="仿宋" w:eastAsia="仿宋" w:cstheme="majorBidi"/>
          <w:bCs/>
          <w:sz w:val="28"/>
          <w:szCs w:val="28"/>
        </w:rPr>
        <w:t>三、</w:t>
      </w:r>
      <w:r>
        <w:rPr>
          <w:rStyle w:val="12"/>
          <w:rFonts w:hint="eastAsia" w:ascii="仿宋" w:hAnsi="仿宋" w:eastAsia="仿宋"/>
          <w:sz w:val="28"/>
          <w:szCs w:val="28"/>
        </w:rPr>
        <w:t>支</w:t>
      </w:r>
      <w:r>
        <w:rPr>
          <w:rStyle w:val="12"/>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"_Toc15396606" </w:instrText>
      </w:r>
      <w:r>
        <w:fldChar w:fldCharType="separate"/>
      </w:r>
      <w:r>
        <w:rPr>
          <w:rStyle w:val="12"/>
          <w:rFonts w:hint="eastAsia" w:ascii="仿宋" w:hAnsi="仿宋" w:eastAsia="仿宋"/>
          <w:sz w:val="28"/>
          <w:szCs w:val="28"/>
        </w:rPr>
        <w:t>四、财</w:t>
      </w:r>
      <w:r>
        <w:rPr>
          <w:rStyle w:val="12"/>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"_Toc15396607" </w:instrText>
      </w:r>
      <w:r>
        <w:fldChar w:fldCharType="separate"/>
      </w:r>
      <w:r>
        <w:rPr>
          <w:rStyle w:val="12"/>
          <w:rFonts w:hint="eastAsia" w:ascii="仿宋" w:hAnsi="仿宋" w:eastAsia="仿宋"/>
          <w:sz w:val="28"/>
          <w:szCs w:val="28"/>
        </w:rPr>
        <w:t>五、一</w:t>
      </w:r>
      <w:r>
        <w:rPr>
          <w:rStyle w:val="12"/>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"_Toc15396608" </w:instrText>
      </w:r>
      <w:r>
        <w:fldChar w:fldCharType="separate"/>
      </w:r>
      <w:r>
        <w:rPr>
          <w:rStyle w:val="12"/>
          <w:rFonts w:hint="eastAsia" w:ascii="仿宋" w:hAnsi="仿宋" w:eastAsia="仿宋"/>
          <w:sz w:val="28"/>
          <w:szCs w:val="28"/>
        </w:rPr>
        <w:t>六、一</w:t>
      </w:r>
      <w:r>
        <w:rPr>
          <w:rStyle w:val="12"/>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"_Toc15396609" </w:instrText>
      </w:r>
      <w:r>
        <w:fldChar w:fldCharType="separate"/>
      </w:r>
      <w:r>
        <w:rPr>
          <w:rStyle w:val="12"/>
          <w:rFonts w:hint="eastAsia" w:ascii="仿宋" w:hAnsi="仿宋" w:eastAsia="仿宋"/>
          <w:sz w:val="28"/>
          <w:szCs w:val="28"/>
        </w:rPr>
        <w:t>七、</w:t>
      </w:r>
      <w:r>
        <w:rPr>
          <w:rStyle w:val="12"/>
          <w:rFonts w:ascii="仿宋" w:hAnsi="仿宋" w:eastAsia="仿宋"/>
          <w:sz w:val="28"/>
          <w:szCs w:val="28"/>
        </w:rPr>
        <w:t>“</w:t>
      </w:r>
      <w:r>
        <w:rPr>
          <w:rStyle w:val="12"/>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"_Toc15396610" </w:instrText>
      </w:r>
      <w:r>
        <w:fldChar w:fldCharType="separate"/>
      </w:r>
      <w:r>
        <w:rPr>
          <w:rStyle w:val="12"/>
          <w:rFonts w:hint="eastAsia" w:ascii="仿宋" w:hAnsi="仿宋" w:eastAsia="仿宋"/>
          <w:sz w:val="28"/>
          <w:szCs w:val="28"/>
        </w:rPr>
        <w:t>八、</w:t>
      </w:r>
      <w:r>
        <w:rPr>
          <w:rStyle w:val="12"/>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"_Toc15396611" </w:instrText>
      </w:r>
      <w:r>
        <w:fldChar w:fldCharType="separate"/>
      </w:r>
      <w:r>
        <w:rPr>
          <w:rStyle w:val="12"/>
          <w:rFonts w:hint="eastAsia" w:ascii="仿宋" w:hAnsi="仿宋" w:eastAsia="仿宋" w:cstheme="majorBidi"/>
          <w:bCs/>
          <w:sz w:val="28"/>
          <w:szCs w:val="28"/>
        </w:rPr>
        <w:t>九、</w:t>
      </w:r>
      <w:r>
        <w:rPr>
          <w:rStyle w:val="12"/>
          <w:rFonts w:hint="eastAsia" w:ascii="仿宋" w:hAnsi="仿宋" w:eastAsia="仿宋"/>
          <w:sz w:val="28"/>
          <w:szCs w:val="28"/>
        </w:rPr>
        <w:t xml:space="preserve"> 国</w:t>
      </w:r>
      <w:r>
        <w:rPr>
          <w:rStyle w:val="12"/>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"_Toc15396612" </w:instrText>
      </w:r>
      <w:r>
        <w:fldChar w:fldCharType="separate"/>
      </w:r>
      <w:r>
        <w:rPr>
          <w:rStyle w:val="12"/>
          <w:rFonts w:hint="eastAsia" w:ascii="仿宋" w:hAnsi="仿宋" w:eastAsia="仿宋"/>
          <w:sz w:val="28"/>
          <w:szCs w:val="28"/>
        </w:rPr>
        <w:t>十</w:t>
      </w:r>
      <w:r>
        <w:rPr>
          <w:rStyle w:val="12"/>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7"/>
        <w:rPr>
          <w:rFonts w:cstheme="minorBidi"/>
        </w:rPr>
      </w:pPr>
      <w:r>
        <w:fldChar w:fldCharType="begin"/>
      </w:r>
      <w:r>
        <w:instrText xml:space="preserve"> HYPERLINK \l "_Toc15396613" </w:instrText>
      </w:r>
      <w:r>
        <w:fldChar w:fldCharType="separate"/>
      </w:r>
      <w:r>
        <w:rPr>
          <w:rStyle w:val="12"/>
          <w:rFonts w:hint="eastAsia"/>
          <w:bCs/>
          <w:kern w:val="44"/>
        </w:rPr>
        <w:t>第三部分</w:t>
      </w:r>
      <w:r>
        <w:rPr>
          <w:rStyle w:val="12"/>
          <w:rFonts w:hint="eastAsia"/>
        </w:rPr>
        <w:t xml:space="preserve"> 名</w:t>
      </w:r>
      <w:r>
        <w:rPr>
          <w:rStyle w:val="12"/>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7"/>
        <w:rPr>
          <w:rFonts w:cstheme="minorBidi"/>
        </w:rPr>
      </w:pPr>
      <w:r>
        <w:fldChar w:fldCharType="begin"/>
      </w:r>
      <w:r>
        <w:instrText xml:space="preserve"> HYPERLINK \l "_Toc15396614" </w:instrText>
      </w:r>
      <w:r>
        <w:fldChar w:fldCharType="separate"/>
      </w:r>
      <w:r>
        <w:rPr>
          <w:rStyle w:val="12"/>
          <w:rFonts w:hint="eastAsia"/>
        </w:rPr>
        <w:t>第</w:t>
      </w:r>
      <w:r>
        <w:rPr>
          <w:rStyle w:val="12"/>
          <w:rFonts w:hint="eastAsia"/>
          <w:bCs/>
          <w:kern w:val="44"/>
        </w:rPr>
        <w:t>四部分</w:t>
      </w:r>
      <w:r>
        <w:rPr>
          <w:rStyle w:val="12"/>
          <w:bCs/>
          <w:kern w:val="44"/>
        </w:rPr>
        <w:t xml:space="preserve"> </w:t>
      </w:r>
      <w:r>
        <w:rPr>
          <w:rStyle w:val="12"/>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pPr>
        <w:pStyle w:val="8"/>
        <w:rPr>
          <w:rFonts w:ascii="仿宋" w:hAnsi="仿宋" w:eastAsia="仿宋" w:cstheme="minorBidi"/>
          <w:sz w:val="28"/>
          <w:szCs w:val="28"/>
        </w:rPr>
      </w:pPr>
      <w:r>
        <w:fldChar w:fldCharType="begin"/>
      </w:r>
      <w:r>
        <w:instrText xml:space="preserve"> HYPERLINK \l "_Toc15396615" </w:instrText>
      </w:r>
      <w:r>
        <w:fldChar w:fldCharType="separate"/>
      </w:r>
      <w:r>
        <w:rPr>
          <w:rStyle w:val="12"/>
          <w:rFonts w:hint="eastAsia" w:ascii="仿宋" w:hAnsi="仿宋" w:eastAsia="仿宋"/>
          <w:kern w:val="44"/>
          <w:sz w:val="28"/>
          <w:szCs w:val="28"/>
        </w:rPr>
        <w:t>附件</w:t>
      </w:r>
      <w:r>
        <w:rPr>
          <w:rStyle w:val="12"/>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"_Toc15396617" </w:instrText>
      </w:r>
      <w:r>
        <w:fldChar w:fldCharType="separate"/>
      </w:r>
      <w:r>
        <w:rPr>
          <w:rStyle w:val="12"/>
          <w:rFonts w:hint="eastAsia" w:ascii="仿宋" w:hAnsi="仿宋" w:eastAsia="仿宋"/>
          <w:kern w:val="44"/>
          <w:sz w:val="28"/>
          <w:szCs w:val="28"/>
        </w:rPr>
        <w:t>附件</w:t>
      </w:r>
      <w:r>
        <w:rPr>
          <w:rStyle w:val="12"/>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7"/>
        <w:rPr>
          <w:rFonts w:cstheme="minorBidi"/>
        </w:rPr>
      </w:pPr>
      <w:r>
        <w:fldChar w:fldCharType="begin"/>
      </w:r>
      <w:r>
        <w:instrText xml:space="preserve"> HYPERLINK \l "_Toc15396618" </w:instrText>
      </w:r>
      <w:r>
        <w:fldChar w:fldCharType="separate"/>
      </w:r>
      <w:r>
        <w:rPr>
          <w:rStyle w:val="12"/>
          <w:rFonts w:hint="eastAsia"/>
        </w:rPr>
        <w:t>第</w:t>
      </w:r>
      <w:r>
        <w:rPr>
          <w:rStyle w:val="12"/>
          <w:rFonts w:hint="eastAsia"/>
          <w:bCs/>
          <w:kern w:val="44"/>
        </w:rPr>
        <w:t>五部分</w:t>
      </w:r>
      <w:r>
        <w:rPr>
          <w:rStyle w:val="12"/>
          <w:bCs/>
          <w:kern w:val="44"/>
        </w:rPr>
        <w:t xml:space="preserve"> </w:t>
      </w:r>
      <w:r>
        <w:rPr>
          <w:rStyle w:val="12"/>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pPr>
        <w:pStyle w:val="8"/>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2"/>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2"/>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2"/>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2"/>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2"/>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2"/>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2"/>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2"/>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2"/>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2"/>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2"/>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2"/>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2"/>
        <w:jc w:val="center"/>
        <w:rPr>
          <w:rStyle w:val="13"/>
          <w:rFonts w:ascii="黑体" w:hAnsi="黑体" w:eastAsia="黑体"/>
          <w:b/>
          <w:bCs w:val="0"/>
        </w:rPr>
      </w:pPr>
      <w:r>
        <w:rPr>
          <w:rFonts w:ascii="仿宋" w:hAnsi="仿宋" w:eastAsia="仿宋"/>
          <w:color w:val="000000"/>
          <w:sz w:val="24"/>
        </w:rPr>
        <w:fldChar w:fldCharType="end"/>
      </w:r>
      <w:r>
        <w:rPr>
          <w:rFonts w:hint="eastAsia" w:ascii="黑体" w:hAnsi="黑体" w:eastAsia="黑体"/>
          <w:b w:val="0"/>
        </w:rPr>
        <w:t xml:space="preserve">第一部分 </w:t>
      </w:r>
      <w:r>
        <w:rPr>
          <w:rStyle w:val="13"/>
          <w:rFonts w:hint="eastAsia" w:ascii="黑体" w:hAnsi="黑体" w:eastAsia="黑体"/>
          <w:b w:val="0"/>
          <w:bCs w:val="0"/>
        </w:rPr>
        <w:t>部门概况</w:t>
      </w:r>
    </w:p>
    <w:p>
      <w:pPr>
        <w:widowControl/>
        <w:jc w:val="left"/>
        <w:rPr>
          <w:rFonts w:ascii="黑体" w:eastAsia="黑体"/>
          <w:color w:val="000000"/>
          <w:sz w:val="32"/>
          <w:szCs w:val="32"/>
        </w:rPr>
      </w:pPr>
    </w:p>
    <w:p>
      <w:pPr>
        <w:pStyle w:val="3"/>
        <w:rPr>
          <w:rStyle w:val="14"/>
          <w:rFonts w:ascii="仿宋" w:hAnsi="仿宋" w:eastAsia="仿宋"/>
          <w:b w:val="0"/>
          <w:bCs w:val="0"/>
        </w:rPr>
      </w:pPr>
      <w:bookmarkStart w:id="11" w:name="_Toc15377197"/>
      <w:bookmarkStart w:id="12" w:name="_Toc15396600"/>
      <w:r>
        <w:rPr>
          <w:rFonts w:hint="eastAsia" w:ascii="黑体" w:hAnsi="黑体" w:eastAsia="黑体"/>
          <w:b w:val="0"/>
          <w:color w:val="000000"/>
        </w:rPr>
        <w:t>一、基</w:t>
      </w:r>
      <w:r>
        <w:rPr>
          <w:rStyle w:val="14"/>
          <w:rFonts w:hint="eastAsia" w:ascii="黑体" w:hAnsi="黑体" w:eastAsia="黑体"/>
          <w:b w:val="0"/>
          <w:bCs w:val="0"/>
        </w:rPr>
        <w:t>本职能及主要工作</w:t>
      </w:r>
      <w:bookmarkEnd w:id="11"/>
      <w:bookmarkEnd w:id="12"/>
    </w:p>
    <w:p>
      <w:pPr>
        <w:snapToGrid w:val="0"/>
        <w:spacing w:line="588" w:lineRule="exact"/>
        <w:ind w:firstLine="640" w:firstLineChars="200"/>
        <w:rPr>
          <w:rFonts w:hint="eastAsia" w:ascii="仿宋_GB2312" w:hAnsi="仿宋" w:eastAsia="仿宋_GB2312"/>
          <w:sz w:val="28"/>
          <w:szCs w:val="28"/>
        </w:rPr>
      </w:pPr>
      <w:bookmarkStart w:id="13" w:name="_Toc15377198"/>
      <w:bookmarkStart w:id="14" w:name="_Toc15378445"/>
      <w:r>
        <w:rPr>
          <w:rFonts w:hint="eastAsia" w:ascii="仿宋" w:hAnsi="仿宋" w:eastAsia="仿宋"/>
          <w:bCs/>
          <w:color w:val="000000"/>
          <w:sz w:val="32"/>
          <w:szCs w:val="32"/>
        </w:rPr>
        <w:t>（一）主要职能。</w:t>
      </w:r>
    </w:p>
    <w:p>
      <w:pPr>
        <w:spacing w:line="4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地方政府和卫生行政部门领导下，根据党的方针、政策及市、区卫生局对社区卫生服务工作的总体要求、做好社区卫生服务行政业务工作，积极开展以保护、促进人民健康，不断提高居民生活质量为目的的卫生保健，认真落实各项卫生工作指标。开展以社区为范围，家庭为单位，健康为中心，人的生命为过程的以老年、妇女、儿童和慢性病人为重点的集预防、医疗、保健、康复、健康教育、计划生育指导为一体的综合性社区卫生服务。</w:t>
      </w:r>
    </w:p>
    <w:bookmarkEnd w:id="13"/>
    <w:bookmarkEnd w:id="14"/>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5" w:name="_Toc15377199"/>
      <w:bookmarkStart w:id="16"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5"/>
      <w:bookmarkEnd w:id="16"/>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_GB2312" w:hAnsi="Times New Roman" w:eastAsia="仿宋_GB2312" w:cs="Times New Roman"/>
          <w:sz w:val="32"/>
          <w:szCs w:val="32"/>
        </w:rPr>
        <w:t>201</w:t>
      </w:r>
      <w:r>
        <w:rPr>
          <w:rFonts w:hint="eastAsia" w:ascii="仿宋_GB2312" w:hAnsi="Times New Roman" w:eastAsia="仿宋_GB2312" w:cs="Times New Roman"/>
          <w:sz w:val="32"/>
          <w:szCs w:val="32"/>
          <w:lang w:val="en-US" w:eastAsia="zh-CN"/>
        </w:rPr>
        <w:t>8年</w:t>
      </w:r>
      <w:r>
        <w:rPr>
          <w:rFonts w:hint="eastAsia" w:ascii="仿宋_GB2312" w:hAnsi="Times New Roman" w:eastAsia="仿宋_GB2312" w:cs="Times New Roman"/>
          <w:sz w:val="32"/>
          <w:szCs w:val="32"/>
        </w:rPr>
        <w:t>达川区</w:t>
      </w:r>
      <w:r>
        <w:rPr>
          <w:rFonts w:hint="eastAsia" w:hAnsi="Times New Roman" w:cs="Times New Roman"/>
          <w:sz w:val="32"/>
          <w:szCs w:val="32"/>
          <w:lang w:eastAsia="zh-CN"/>
        </w:rPr>
        <w:t>亭子</w:t>
      </w:r>
      <w:r>
        <w:rPr>
          <w:rFonts w:hint="eastAsia" w:ascii="仿宋_GB2312" w:hAnsi="Times New Roman" w:eastAsia="仿宋_GB2312" w:cs="Times New Roman"/>
          <w:sz w:val="32"/>
          <w:szCs w:val="32"/>
        </w:rPr>
        <w:t>镇中心卫生院</w:t>
      </w:r>
      <w:r>
        <w:rPr>
          <w:rFonts w:hint="eastAsia" w:ascii="仿宋_GB2312" w:hAnsi="Times New Roman" w:eastAsia="仿宋_GB2312" w:cs="Times New Roman"/>
          <w:sz w:val="32"/>
          <w:szCs w:val="32"/>
          <w:lang w:eastAsia="zh-CN"/>
        </w:rPr>
        <w:t>的卫生工作</w:t>
      </w:r>
      <w:r>
        <w:rPr>
          <w:rFonts w:hint="eastAsia" w:ascii="仿宋_GB2312" w:hAnsi="Times New Roman" w:eastAsia="仿宋_GB2312" w:cs="Times New Roman"/>
          <w:sz w:val="32"/>
          <w:szCs w:val="32"/>
        </w:rPr>
        <w:t>在镇党委、政府</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区卫生</w:t>
      </w:r>
      <w:r>
        <w:rPr>
          <w:rFonts w:hint="eastAsia" w:ascii="仿宋_GB2312" w:hAnsi="Times New Roman" w:eastAsia="仿宋_GB2312" w:cs="Times New Roman"/>
          <w:sz w:val="32"/>
          <w:szCs w:val="32"/>
          <w:lang w:eastAsia="zh-CN"/>
        </w:rPr>
        <w:t>计生</w:t>
      </w:r>
      <w:r>
        <w:rPr>
          <w:rFonts w:hint="eastAsia" w:ascii="仿宋_GB2312" w:hAnsi="Times New Roman" w:eastAsia="仿宋_GB2312" w:cs="Times New Roman"/>
          <w:sz w:val="32"/>
          <w:szCs w:val="32"/>
        </w:rPr>
        <w:t>局领导下，</w:t>
      </w:r>
      <w:bookmarkStart w:id="17" w:name="OLE_LINK1"/>
      <w:r>
        <w:rPr>
          <w:rFonts w:hint="eastAsia" w:ascii="仿宋_GB2312" w:hAnsi="Times New Roman" w:eastAsia="仿宋_GB2312" w:cs="Times New Roman"/>
          <w:sz w:val="32"/>
          <w:szCs w:val="32"/>
        </w:rPr>
        <w:t>坚持以“三个代表”重要思想为指导，认真贯彻落实党的</w:t>
      </w:r>
      <w:r>
        <w:rPr>
          <w:rFonts w:hint="eastAsia" w:ascii="仿宋_GB2312" w:hAnsi="Times New Roman" w:eastAsia="仿宋_GB2312" w:cs="Times New Roman"/>
          <w:sz w:val="32"/>
          <w:szCs w:val="32"/>
          <w:lang w:eastAsia="zh-CN"/>
        </w:rPr>
        <w:t>十九</w:t>
      </w:r>
      <w:r>
        <w:rPr>
          <w:rFonts w:hint="eastAsia" w:ascii="仿宋_GB2312" w:hAnsi="Times New Roman" w:eastAsia="仿宋_GB2312" w:cs="Times New Roman"/>
          <w:sz w:val="32"/>
          <w:szCs w:val="32"/>
        </w:rPr>
        <w:t>大精神，强化“以病人为中心，以质量为核心”的服务理念，深入</w:t>
      </w:r>
      <w:r>
        <w:rPr>
          <w:rFonts w:hint="eastAsia" w:ascii="仿宋_GB2312" w:hAnsi="Times New Roman" w:eastAsia="仿宋_GB2312" w:cs="Times New Roman"/>
          <w:sz w:val="32"/>
          <w:szCs w:val="32"/>
          <w:lang w:eastAsia="zh-CN"/>
        </w:rPr>
        <w:t>全面</w:t>
      </w:r>
      <w:r>
        <w:rPr>
          <w:rFonts w:hint="eastAsia" w:ascii="仿宋_GB2312" w:hAnsi="Times New Roman" w:eastAsia="仿宋_GB2312" w:cs="Times New Roman"/>
          <w:sz w:val="32"/>
          <w:szCs w:val="32"/>
        </w:rPr>
        <w:t>贯彻党的</w:t>
      </w:r>
      <w:r>
        <w:rPr>
          <w:rFonts w:hint="eastAsia" w:ascii="仿宋_GB2312" w:hAnsi="Times New Roman" w:eastAsia="仿宋_GB2312" w:cs="Times New Roman"/>
          <w:sz w:val="32"/>
          <w:szCs w:val="32"/>
          <w:lang w:eastAsia="zh-CN"/>
        </w:rPr>
        <w:t>十九大</w:t>
      </w:r>
      <w:r>
        <w:rPr>
          <w:rFonts w:hint="eastAsia" w:ascii="仿宋_GB2312" w:hAnsi="Times New Roman" w:eastAsia="仿宋_GB2312" w:cs="Times New Roman"/>
          <w:sz w:val="32"/>
          <w:szCs w:val="32"/>
        </w:rPr>
        <w:t>精神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习近平新时代中国特色社会主义思想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习近平总书记对四川工作系列重要指示精神和省委十一届三次全会精神，落实市第四次党代会部署</w:t>
      </w:r>
      <w:r>
        <w:rPr>
          <w:rFonts w:hint="eastAsia" w:ascii="仿宋_GB2312" w:hAnsi="Times New Roman" w:eastAsia="仿宋_GB2312" w:cs="Times New Roman"/>
          <w:sz w:val="32"/>
          <w:szCs w:val="32"/>
          <w:lang w:eastAsia="zh-CN"/>
        </w:rPr>
        <w:t>。深入</w:t>
      </w:r>
      <w:r>
        <w:rPr>
          <w:rFonts w:hint="eastAsia" w:ascii="仿宋_GB2312" w:hAnsi="Times New Roman" w:eastAsia="仿宋_GB2312" w:cs="Times New Roman"/>
          <w:sz w:val="32"/>
          <w:szCs w:val="32"/>
        </w:rPr>
        <w:t>开展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六个年</w:t>
      </w:r>
      <w:r>
        <w:rPr>
          <w:rFonts w:hint="eastAsia" w:ascii="仿宋_GB2312" w:hAnsi="Times New Roman" w:eastAsia="仿宋_GB2312" w:cs="Times New Roman"/>
          <w:sz w:val="32"/>
          <w:szCs w:val="32"/>
          <w:lang w:eastAsia="zh-CN"/>
        </w:rPr>
        <w:t>”、“廉洁医院建设”</w:t>
      </w:r>
      <w:r>
        <w:rPr>
          <w:rFonts w:hint="eastAsia" w:ascii="仿宋_GB2312" w:hAnsi="Times New Roman" w:eastAsia="仿宋_GB2312" w:cs="Times New Roman"/>
          <w:sz w:val="32"/>
          <w:szCs w:val="32"/>
        </w:rPr>
        <w:t>活动。</w:t>
      </w:r>
      <w:bookmarkEnd w:id="17"/>
    </w:p>
    <w:p>
      <w:pPr>
        <w:pStyle w:val="4"/>
        <w:numPr>
          <w:ilvl w:val="0"/>
          <w:numId w:val="1"/>
        </w:numPr>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抓好医疗业务收入，强化医疗责任。</w:t>
      </w:r>
    </w:p>
    <w:p>
      <w:pPr>
        <w:pStyle w:val="4"/>
        <w:numPr>
          <w:ilvl w:val="0"/>
          <w:numId w:val="1"/>
        </w:numPr>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抓好医疗领域的脱贫攻坚工作，帮助贫困户医疗脱贫。</w:t>
      </w:r>
    </w:p>
    <w:p>
      <w:pPr>
        <w:pStyle w:val="4"/>
        <w:numPr>
          <w:ilvl w:val="0"/>
          <w:numId w:val="1"/>
        </w:numPr>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公共卫生服务全覆盖，对辖区内所有人群建档立卡；特别是重点人群实行跟踪服务。</w:t>
      </w:r>
    </w:p>
    <w:p>
      <w:pPr>
        <w:pStyle w:val="4"/>
        <w:numPr>
          <w:ilvl w:val="0"/>
          <w:numId w:val="1"/>
        </w:numPr>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加强干部职工思想教育，爱岗敬业。</w:t>
      </w:r>
    </w:p>
    <w:p>
      <w:pPr>
        <w:pStyle w:val="4"/>
        <w:numPr>
          <w:ilvl w:val="0"/>
          <w:numId w:val="0"/>
        </w:numPr>
        <w:adjustRightInd w:val="0"/>
        <w:snapToGrid w:val="0"/>
        <w:spacing w:before="93" w:line="600" w:lineRule="exact"/>
        <w:outlineLvl w:val="2"/>
        <w:rPr>
          <w:rFonts w:hint="default" w:ascii="仿宋" w:hAnsi="仿宋" w:eastAsia="仿宋"/>
          <w:bCs/>
          <w:color w:val="000000"/>
          <w:sz w:val="32"/>
          <w:szCs w:val="32"/>
          <w:lang w:val="en-US" w:eastAsia="zh-CN"/>
        </w:rPr>
      </w:pPr>
    </w:p>
    <w:p>
      <w:pPr>
        <w:pStyle w:val="3"/>
        <w:rPr>
          <w:rStyle w:val="14"/>
          <w:b w:val="0"/>
          <w:bCs w:val="0"/>
        </w:rPr>
      </w:pPr>
      <w:bookmarkStart w:id="18" w:name="_Toc15396601"/>
      <w:bookmarkStart w:id="19" w:name="_Toc15377200"/>
      <w:r>
        <w:rPr>
          <w:rFonts w:hint="eastAsia" w:ascii="黑体" w:eastAsia="黑体"/>
          <w:b w:val="0"/>
          <w:color w:val="000000"/>
        </w:rPr>
        <w:t>二、</w:t>
      </w:r>
      <w:r>
        <w:rPr>
          <w:rFonts w:hint="eastAsia" w:ascii="黑体" w:hAnsi="黑体" w:eastAsia="黑体"/>
          <w:b w:val="0"/>
          <w:color w:val="000000"/>
        </w:rPr>
        <w:t>机</w:t>
      </w:r>
      <w:r>
        <w:rPr>
          <w:rStyle w:val="14"/>
          <w:rFonts w:hint="eastAsia" w:ascii="黑体" w:hAnsi="黑体" w:eastAsia="黑体"/>
          <w:b w:val="0"/>
          <w:bCs w:val="0"/>
        </w:rPr>
        <w:t>构设置</w:t>
      </w:r>
      <w:bookmarkEnd w:id="18"/>
      <w:bookmarkEnd w:id="19"/>
    </w:p>
    <w:p>
      <w:pPr>
        <w:pStyle w:val="2"/>
        <w:ind w:right="440"/>
        <w:jc w:val="left"/>
        <w:rPr>
          <w:rFonts w:hint="default" w:ascii="仿宋_GB2312" w:hAnsi="仿宋" w:eastAsia="仿宋_GB2312"/>
          <w:sz w:val="32"/>
          <w:szCs w:val="32"/>
          <w:lang w:val="en-US" w:eastAsia="zh-CN"/>
        </w:rPr>
      </w:pPr>
      <w:bookmarkStart w:id="20" w:name="_Toc15377204"/>
      <w:bookmarkStart w:id="21" w:name="_Toc15396602"/>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达州市达川区</w:t>
      </w:r>
      <w:r>
        <w:rPr>
          <w:rFonts w:hint="eastAsia" w:ascii="仿宋_GB2312" w:hAnsi="仿宋_GB2312" w:eastAsia="仿宋_GB2312" w:cs="仿宋_GB2312"/>
          <w:b w:val="0"/>
          <w:bCs w:val="0"/>
          <w:color w:val="000000"/>
          <w:sz w:val="32"/>
          <w:szCs w:val="32"/>
          <w:lang w:eastAsia="zh-CN"/>
        </w:rPr>
        <w:t>亭子</w:t>
      </w:r>
      <w:r>
        <w:rPr>
          <w:rFonts w:hint="eastAsia" w:ascii="仿宋_GB2312" w:hAnsi="仿宋_GB2312" w:eastAsia="仿宋_GB2312" w:cs="仿宋_GB2312"/>
          <w:b w:val="0"/>
          <w:bCs w:val="0"/>
          <w:color w:val="000000"/>
          <w:sz w:val="32"/>
          <w:szCs w:val="32"/>
        </w:rPr>
        <w:t>镇中心卫生院</w:t>
      </w:r>
      <w:r>
        <w:rPr>
          <w:rFonts w:hint="eastAsia" w:ascii="仿宋_GB2312" w:hAnsi="仿宋_GB2312" w:eastAsia="仿宋_GB2312" w:cs="仿宋_GB2312"/>
          <w:b w:val="0"/>
          <w:bCs w:val="0"/>
          <w:color w:val="000000"/>
          <w:sz w:val="32"/>
          <w:szCs w:val="32"/>
          <w:lang w:eastAsia="zh-CN"/>
        </w:rPr>
        <w:t>为</w:t>
      </w:r>
      <w:r>
        <w:rPr>
          <w:rFonts w:hint="eastAsia" w:ascii="仿宋_GB2312" w:hAnsi="仿宋_GB2312" w:eastAsia="仿宋_GB2312" w:cs="仿宋_GB2312"/>
          <w:b w:val="0"/>
          <w:bCs w:val="0"/>
          <w:color w:val="000000"/>
          <w:sz w:val="32"/>
          <w:szCs w:val="32"/>
        </w:rPr>
        <w:t>事业单位1个。</w:t>
      </w:r>
      <w:r>
        <w:rPr>
          <w:rFonts w:hint="eastAsia" w:ascii="仿宋_GB2312" w:hAnsi="仿宋" w:eastAsia="仿宋_GB2312"/>
          <w:b w:val="0"/>
          <w:bCs w:val="0"/>
          <w:sz w:val="32"/>
          <w:szCs w:val="32"/>
        </w:rPr>
        <w:t>年末实有人数</w:t>
      </w:r>
      <w:r>
        <w:rPr>
          <w:rFonts w:hint="eastAsia" w:ascii="仿宋_GB2312" w:hAnsi="仿宋" w:eastAsia="仿宋_GB2312"/>
          <w:b w:val="0"/>
          <w:bCs w:val="0"/>
          <w:sz w:val="32"/>
          <w:szCs w:val="32"/>
          <w:lang w:val="en-US" w:eastAsia="zh-CN"/>
        </w:rPr>
        <w:t>90</w:t>
      </w:r>
      <w:r>
        <w:rPr>
          <w:rFonts w:hint="eastAsia" w:ascii="仿宋_GB2312" w:hAnsi="仿宋" w:eastAsia="仿宋_GB2312"/>
          <w:b w:val="0"/>
          <w:bCs w:val="0"/>
          <w:sz w:val="32"/>
          <w:szCs w:val="32"/>
        </w:rPr>
        <w:t>（含临聘</w:t>
      </w:r>
      <w:r>
        <w:rPr>
          <w:rFonts w:hint="eastAsia" w:ascii="仿宋_GB2312" w:hAnsi="仿宋" w:eastAsia="仿宋_GB2312"/>
          <w:b w:val="0"/>
          <w:bCs w:val="0"/>
          <w:sz w:val="32"/>
          <w:szCs w:val="32"/>
          <w:lang w:val="en-US" w:eastAsia="zh-CN"/>
        </w:rPr>
        <w:t>11</w:t>
      </w:r>
      <w:r>
        <w:rPr>
          <w:rFonts w:hint="eastAsia" w:ascii="仿宋_GB2312" w:hAnsi="仿宋" w:eastAsia="仿宋_GB2312"/>
          <w:b w:val="0"/>
          <w:bCs w:val="0"/>
          <w:sz w:val="32"/>
          <w:szCs w:val="32"/>
        </w:rPr>
        <w:t>人）人，其中事业专技人员</w:t>
      </w:r>
      <w:r>
        <w:rPr>
          <w:rFonts w:hint="eastAsia" w:ascii="仿宋_GB2312" w:hAnsi="仿宋" w:eastAsia="仿宋_GB2312"/>
          <w:b w:val="0"/>
          <w:bCs w:val="0"/>
          <w:sz w:val="32"/>
          <w:szCs w:val="32"/>
          <w:lang w:val="en-US" w:eastAsia="zh-CN"/>
        </w:rPr>
        <w:t>70</w:t>
      </w:r>
      <w:r>
        <w:rPr>
          <w:rFonts w:hint="eastAsia" w:ascii="仿宋_GB2312" w:hAnsi="仿宋" w:eastAsia="仿宋_GB2312"/>
          <w:b w:val="0"/>
          <w:bCs w:val="0"/>
          <w:sz w:val="32"/>
          <w:szCs w:val="32"/>
        </w:rPr>
        <w:t>人、事业工勤人员</w:t>
      </w:r>
      <w:r>
        <w:rPr>
          <w:rFonts w:hint="eastAsia" w:ascii="仿宋_GB2312" w:hAnsi="仿宋" w:eastAsia="仿宋_GB2312"/>
          <w:b w:val="0"/>
          <w:bCs w:val="0"/>
          <w:sz w:val="32"/>
          <w:szCs w:val="32"/>
          <w:lang w:val="en-US" w:eastAsia="zh-CN"/>
        </w:rPr>
        <w:t>10</w:t>
      </w:r>
      <w:r>
        <w:rPr>
          <w:rFonts w:hint="eastAsia" w:ascii="仿宋_GB2312" w:hAnsi="仿宋" w:eastAsia="仿宋_GB2312"/>
          <w:b w:val="0"/>
          <w:bCs w:val="0"/>
          <w:sz w:val="32"/>
          <w:szCs w:val="32"/>
        </w:rPr>
        <w:t>人、临聘人员1</w:t>
      </w:r>
      <w:r>
        <w:rPr>
          <w:rFonts w:hint="eastAsia" w:ascii="仿宋_GB2312" w:hAnsi="仿宋" w:eastAsia="仿宋_GB2312"/>
          <w:b w:val="0"/>
          <w:bCs w:val="0"/>
          <w:sz w:val="32"/>
          <w:szCs w:val="32"/>
          <w:lang w:val="en-US" w:eastAsia="zh-CN"/>
        </w:rPr>
        <w:t>1</w:t>
      </w:r>
      <w:r>
        <w:rPr>
          <w:rFonts w:hint="eastAsia" w:ascii="仿宋_GB2312" w:hAnsi="仿宋" w:eastAsia="仿宋_GB2312"/>
          <w:b w:val="0"/>
          <w:bCs w:val="0"/>
          <w:sz w:val="32"/>
          <w:szCs w:val="32"/>
        </w:rPr>
        <w:t>人；退休人员</w:t>
      </w:r>
      <w:r>
        <w:rPr>
          <w:rFonts w:hint="eastAsia" w:ascii="仿宋_GB2312" w:hAnsi="仿宋" w:eastAsia="仿宋_GB2312"/>
          <w:b w:val="0"/>
          <w:bCs w:val="0"/>
          <w:sz w:val="32"/>
          <w:szCs w:val="32"/>
          <w:lang w:val="en-US" w:eastAsia="zh-CN"/>
        </w:rPr>
        <w:t>14人。</w:t>
      </w:r>
    </w:p>
    <w:p>
      <w:pPr>
        <w:pStyle w:val="2"/>
        <w:ind w:right="440"/>
        <w:jc w:val="right"/>
        <w:rPr>
          <w:rFonts w:hint="eastAsia" w:ascii="黑体" w:hAnsi="黑体" w:eastAsia="黑体"/>
          <w:b w:val="0"/>
          <w:color w:val="000000"/>
        </w:rPr>
      </w:pPr>
    </w:p>
    <w:p>
      <w:pPr>
        <w:pStyle w:val="2"/>
        <w:ind w:right="440"/>
        <w:jc w:val="right"/>
        <w:rPr>
          <w:rFonts w:hint="eastAsia" w:ascii="黑体" w:hAnsi="黑体" w:eastAsia="黑体"/>
          <w:b w:val="0"/>
          <w:color w:val="000000"/>
        </w:rPr>
      </w:pPr>
    </w:p>
    <w:p>
      <w:pPr>
        <w:pStyle w:val="2"/>
        <w:ind w:right="440"/>
        <w:jc w:val="right"/>
        <w:rPr>
          <w:rFonts w:hint="eastAsia" w:ascii="黑体" w:hAnsi="黑体" w:eastAsia="黑体"/>
          <w:b w:val="0"/>
          <w:color w:val="000000"/>
        </w:rPr>
      </w:pPr>
    </w:p>
    <w:p>
      <w:pPr>
        <w:pStyle w:val="2"/>
        <w:ind w:right="440"/>
        <w:jc w:val="right"/>
        <w:rPr>
          <w:rFonts w:hint="eastAsia" w:ascii="黑体" w:hAnsi="黑体" w:eastAsia="黑体"/>
          <w:b w:val="0"/>
          <w:color w:val="000000"/>
        </w:rPr>
      </w:pPr>
    </w:p>
    <w:p>
      <w:pPr>
        <w:pStyle w:val="2"/>
        <w:ind w:right="440"/>
        <w:jc w:val="right"/>
        <w:rPr>
          <w:rFonts w:hint="eastAsia" w:ascii="黑体" w:hAnsi="黑体" w:eastAsia="黑体"/>
          <w:b w:val="0"/>
          <w:color w:val="000000"/>
        </w:rPr>
      </w:pPr>
    </w:p>
    <w:p>
      <w:pPr>
        <w:pStyle w:val="2"/>
        <w:ind w:right="440"/>
        <w:jc w:val="right"/>
        <w:rPr>
          <w:rFonts w:hint="eastAsia" w:ascii="黑体" w:hAnsi="黑体" w:eastAsia="黑体"/>
          <w:b w:val="0"/>
          <w:color w:val="000000"/>
        </w:rPr>
      </w:pPr>
    </w:p>
    <w:p>
      <w:pPr>
        <w:pStyle w:val="2"/>
        <w:ind w:right="440"/>
        <w:jc w:val="right"/>
        <w:rPr>
          <w:rFonts w:hint="eastAsia" w:ascii="黑体" w:hAnsi="黑体" w:eastAsia="黑体"/>
          <w:b w:val="0"/>
          <w:color w:val="000000"/>
        </w:rPr>
      </w:pPr>
    </w:p>
    <w:p>
      <w:pPr>
        <w:pStyle w:val="2"/>
        <w:ind w:right="440"/>
        <w:jc w:val="right"/>
        <w:rPr>
          <w:rFonts w:hint="eastAsia" w:ascii="黑体" w:hAnsi="黑体" w:eastAsia="黑体"/>
          <w:b w:val="0"/>
          <w:color w:val="000000"/>
        </w:rPr>
      </w:pPr>
    </w:p>
    <w:p>
      <w:pPr>
        <w:pStyle w:val="2"/>
        <w:ind w:right="440"/>
        <w:jc w:val="right"/>
        <w:rPr>
          <w:rFonts w:hint="eastAsia" w:ascii="黑体" w:hAnsi="黑体" w:eastAsia="黑体"/>
          <w:b w:val="0"/>
          <w:color w:val="000000"/>
        </w:rPr>
      </w:pPr>
    </w:p>
    <w:p>
      <w:pPr>
        <w:pStyle w:val="2"/>
        <w:ind w:right="440"/>
        <w:jc w:val="right"/>
        <w:rPr>
          <w:rFonts w:hint="eastAsia" w:ascii="黑体" w:hAnsi="黑体" w:eastAsia="黑体"/>
          <w:b w:val="0"/>
          <w:color w:val="000000"/>
        </w:rPr>
      </w:pPr>
    </w:p>
    <w:p>
      <w:pPr>
        <w:pStyle w:val="2"/>
        <w:ind w:right="440"/>
        <w:jc w:val="right"/>
        <w:rPr>
          <w:rStyle w:val="13"/>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13"/>
          <w:rFonts w:hint="eastAsia" w:ascii="黑体" w:hAnsi="黑体" w:eastAsia="黑体"/>
          <w:b w:val="0"/>
          <w:bCs w:val="0"/>
        </w:rPr>
        <w:t>2018年度部门决算情况说明</w:t>
      </w:r>
      <w:bookmarkEnd w:id="20"/>
      <w:bookmarkEnd w:id="21"/>
    </w:p>
    <w:p/>
    <w:p>
      <w:pPr>
        <w:pStyle w:val="15"/>
        <w:numPr>
          <w:ilvl w:val="0"/>
          <w:numId w:val="2"/>
        </w:numPr>
        <w:spacing w:line="600" w:lineRule="exact"/>
        <w:ind w:firstLineChars="0"/>
        <w:outlineLvl w:val="1"/>
        <w:rPr>
          <w:rStyle w:val="14"/>
          <w:rFonts w:ascii="黑体" w:hAnsi="黑体" w:eastAsia="黑体"/>
          <w:b/>
          <w:bCs/>
          <w:sz w:val="36"/>
          <w:szCs w:val="36"/>
        </w:rPr>
      </w:pPr>
      <w:bookmarkStart w:id="22" w:name="_Toc15377205"/>
      <w:bookmarkStart w:id="23" w:name="_Toc15396603"/>
      <w:r>
        <w:rPr>
          <w:rFonts w:hint="eastAsia" w:ascii="黑体" w:hAnsi="黑体" w:eastAsia="黑体"/>
          <w:b/>
          <w:bCs/>
          <w:color w:val="000000"/>
          <w:sz w:val="36"/>
          <w:szCs w:val="36"/>
        </w:rPr>
        <w:t>收</w:t>
      </w:r>
      <w:r>
        <w:rPr>
          <w:rStyle w:val="14"/>
          <w:rFonts w:hint="eastAsia" w:ascii="黑体" w:hAnsi="黑体" w:eastAsia="黑体"/>
          <w:b/>
          <w:bCs/>
          <w:sz w:val="36"/>
          <w:szCs w:val="36"/>
        </w:rPr>
        <w:t>入支出决算总体情况说明</w:t>
      </w:r>
      <w:bookmarkEnd w:id="22"/>
      <w:bookmarkEnd w:id="23"/>
    </w:p>
    <w:p>
      <w:pPr>
        <w:pStyle w:val="15"/>
        <w:numPr>
          <w:ilvl w:val="0"/>
          <w:numId w:val="0"/>
        </w:numPr>
        <w:spacing w:line="600" w:lineRule="exact"/>
        <w:ind w:firstLine="1280" w:firstLineChars="400"/>
        <w:outlineLvl w:val="1"/>
        <w:rPr>
          <w:rStyle w:val="14"/>
          <w:rFonts w:ascii="黑体" w:hAnsi="黑体" w:eastAsia="黑体"/>
          <w:b w:val="0"/>
        </w:rPr>
      </w:pPr>
      <w:r>
        <w:rPr>
          <w:rFonts w:hint="eastAsia" w:ascii="仿宋" w:hAnsi="仿宋" w:eastAsia="仿宋"/>
          <w:color w:val="000000"/>
          <w:sz w:val="32"/>
          <w:szCs w:val="32"/>
        </w:rPr>
        <w:t>2018年度收</w:t>
      </w:r>
      <w:r>
        <w:rPr>
          <w:rFonts w:hint="eastAsia" w:ascii="仿宋" w:hAnsi="仿宋" w:eastAsia="仿宋"/>
          <w:color w:val="000000"/>
          <w:sz w:val="32"/>
          <w:szCs w:val="32"/>
          <w:lang w:eastAsia="zh-CN"/>
        </w:rPr>
        <w:t>支总计</w:t>
      </w:r>
      <w:r>
        <w:rPr>
          <w:rFonts w:hint="eastAsia" w:ascii="仿宋" w:hAnsi="仿宋" w:eastAsia="仿宋"/>
          <w:color w:val="000000"/>
          <w:sz w:val="32"/>
          <w:szCs w:val="32"/>
          <w:lang w:val="en-US" w:eastAsia="zh-CN"/>
        </w:rPr>
        <w:t>1801.93万元</w:t>
      </w:r>
      <w:r>
        <w:rPr>
          <w:rFonts w:hint="eastAsia" w:ascii="仿宋" w:hAnsi="仿宋" w:eastAsia="仿宋"/>
          <w:color w:val="000000"/>
          <w:sz w:val="32"/>
          <w:szCs w:val="32"/>
        </w:rPr>
        <w:t>。与2017年相比，收</w:t>
      </w:r>
      <w:r>
        <w:rPr>
          <w:rFonts w:hint="eastAsia" w:ascii="仿宋" w:hAnsi="仿宋" w:eastAsia="仿宋"/>
          <w:color w:val="000000"/>
          <w:sz w:val="32"/>
          <w:szCs w:val="32"/>
          <w:lang w:eastAsia="zh-CN"/>
        </w:rPr>
        <w:t>支各减少</w:t>
      </w:r>
      <w:r>
        <w:rPr>
          <w:rFonts w:hint="eastAsia" w:ascii="仿宋" w:hAnsi="仿宋" w:eastAsia="仿宋"/>
          <w:color w:val="000000"/>
          <w:sz w:val="32"/>
          <w:szCs w:val="32"/>
          <w:lang w:val="en-US" w:eastAsia="zh-CN"/>
        </w:rPr>
        <w:t>123.55万元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减少率</w:t>
      </w:r>
      <w:r>
        <w:rPr>
          <w:rFonts w:hint="eastAsia" w:ascii="仿宋" w:hAnsi="仿宋" w:eastAsia="仿宋"/>
          <w:color w:val="000000"/>
          <w:sz w:val="32"/>
          <w:szCs w:val="32"/>
          <w:lang w:val="en-US" w:eastAsia="zh-CN"/>
        </w:rPr>
        <w:t>6%，主要原因是医疗控费导致收入</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bookmarkStart w:id="24" w:name="_Toc15377206"/>
      <w:bookmarkStart w:id="25" w:name="_Toc15396604"/>
      <w:r>
        <w:rPr>
          <w:rFonts w:hint="eastAsia" w:ascii="仿宋" w:hAnsi="仿宋" w:eastAsia="仿宋"/>
          <w:color w:val="000000"/>
          <w:sz w:val="32"/>
          <w:szCs w:val="32"/>
          <w:lang w:eastAsia="zh-CN"/>
        </w:rPr>
        <w:t>。</w:t>
      </w:r>
    </w:p>
    <w:p>
      <w:pPr>
        <w:pStyle w:val="15"/>
        <w:widowControl w:val="0"/>
        <w:numPr>
          <w:ilvl w:val="0"/>
          <w:numId w:val="0"/>
        </w:numPr>
        <w:spacing w:line="600" w:lineRule="exact"/>
        <w:jc w:val="both"/>
        <w:outlineLvl w:val="1"/>
        <w:rPr>
          <w:rFonts w:hint="eastAsia" w:ascii="仿宋" w:hAnsi="仿宋" w:eastAsia="仿宋"/>
          <w:color w:val="000000"/>
          <w:sz w:val="32"/>
          <w:szCs w:val="32"/>
          <w:lang w:eastAsia="zh-CN"/>
        </w:rPr>
      </w:pPr>
      <w:r>
        <w:drawing>
          <wp:anchor distT="0" distB="0" distL="114300" distR="114300" simplePos="0" relativeHeight="251663360" behindDoc="0" locked="0" layoutInCell="1" allowOverlap="1">
            <wp:simplePos x="0" y="0"/>
            <wp:positionH relativeFrom="column">
              <wp:posOffset>861695</wp:posOffset>
            </wp:positionH>
            <wp:positionV relativeFrom="paragraph">
              <wp:posOffset>328295</wp:posOffset>
            </wp:positionV>
            <wp:extent cx="3676650" cy="2743200"/>
            <wp:effectExtent l="4445" t="4445" r="14605" b="14605"/>
            <wp:wrapNone/>
            <wp:docPr id="116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15"/>
        <w:widowControl w:val="0"/>
        <w:numPr>
          <w:ilvl w:val="0"/>
          <w:numId w:val="0"/>
        </w:numPr>
        <w:spacing w:line="600" w:lineRule="exact"/>
        <w:jc w:val="both"/>
        <w:outlineLvl w:val="1"/>
        <w:rPr>
          <w:rFonts w:hint="eastAsia" w:eastAsiaTheme="minorEastAsia"/>
          <w:lang w:eastAsia="zh-CN"/>
        </w:rPr>
      </w:pPr>
    </w:p>
    <w:p>
      <w:pPr>
        <w:pStyle w:val="15"/>
        <w:widowControl w:val="0"/>
        <w:numPr>
          <w:ilvl w:val="0"/>
          <w:numId w:val="0"/>
        </w:numPr>
        <w:spacing w:line="600" w:lineRule="exact"/>
        <w:jc w:val="both"/>
        <w:outlineLvl w:val="1"/>
        <w:rPr>
          <w:rFonts w:hint="eastAsia" w:eastAsiaTheme="minorEastAsia"/>
          <w:lang w:eastAsia="zh-CN"/>
        </w:rPr>
      </w:pPr>
    </w:p>
    <w:p>
      <w:pPr>
        <w:pStyle w:val="15"/>
        <w:widowControl w:val="0"/>
        <w:numPr>
          <w:ilvl w:val="0"/>
          <w:numId w:val="0"/>
        </w:numPr>
        <w:spacing w:line="600" w:lineRule="exact"/>
        <w:jc w:val="both"/>
        <w:outlineLvl w:val="1"/>
        <w:rPr>
          <w:rFonts w:hint="eastAsia" w:eastAsiaTheme="minorEastAsia"/>
          <w:lang w:eastAsia="zh-CN"/>
        </w:rPr>
      </w:pPr>
    </w:p>
    <w:p>
      <w:pPr>
        <w:pStyle w:val="15"/>
        <w:widowControl w:val="0"/>
        <w:numPr>
          <w:ilvl w:val="0"/>
          <w:numId w:val="0"/>
        </w:numPr>
        <w:spacing w:line="600" w:lineRule="exact"/>
        <w:jc w:val="both"/>
        <w:outlineLvl w:val="1"/>
      </w:pPr>
    </w:p>
    <w:p>
      <w:pPr>
        <w:pStyle w:val="15"/>
        <w:widowControl w:val="0"/>
        <w:numPr>
          <w:ilvl w:val="0"/>
          <w:numId w:val="0"/>
        </w:numPr>
        <w:spacing w:line="600" w:lineRule="exact"/>
        <w:jc w:val="both"/>
        <w:outlineLvl w:val="1"/>
      </w:pPr>
    </w:p>
    <w:p>
      <w:pPr>
        <w:pStyle w:val="15"/>
        <w:widowControl w:val="0"/>
        <w:numPr>
          <w:ilvl w:val="0"/>
          <w:numId w:val="0"/>
        </w:numPr>
        <w:spacing w:line="600" w:lineRule="exact"/>
        <w:jc w:val="both"/>
        <w:outlineLvl w:val="1"/>
      </w:pPr>
    </w:p>
    <w:p>
      <w:pPr>
        <w:pStyle w:val="15"/>
        <w:numPr>
          <w:ilvl w:val="0"/>
          <w:numId w:val="0"/>
        </w:numPr>
        <w:spacing w:line="600" w:lineRule="exact"/>
        <w:ind w:firstLine="960" w:firstLineChars="300"/>
        <w:outlineLvl w:val="1"/>
        <w:rPr>
          <w:rFonts w:hint="eastAsia" w:ascii="黑体" w:hAnsi="黑体" w:eastAsia="黑体"/>
          <w:color w:val="000000"/>
          <w:sz w:val="32"/>
          <w:szCs w:val="32"/>
          <w:lang w:eastAsia="zh-CN"/>
        </w:rPr>
      </w:pPr>
    </w:p>
    <w:p>
      <w:pPr>
        <w:pStyle w:val="15"/>
        <w:numPr>
          <w:ilvl w:val="0"/>
          <w:numId w:val="0"/>
        </w:numPr>
        <w:spacing w:line="600" w:lineRule="exact"/>
        <w:ind w:firstLine="964" w:firstLineChars="300"/>
        <w:outlineLvl w:val="1"/>
        <w:rPr>
          <w:rStyle w:val="14"/>
          <w:rFonts w:ascii="黑体" w:hAnsi="黑体" w:eastAsia="黑体"/>
          <w:b/>
          <w:bCs/>
        </w:rPr>
      </w:pPr>
      <w:r>
        <w:rPr>
          <w:rFonts w:hint="eastAsia" w:ascii="黑体" w:hAnsi="黑体" w:eastAsia="黑体"/>
          <w:b/>
          <w:bCs/>
          <w:color w:val="000000"/>
          <w:sz w:val="32"/>
          <w:szCs w:val="32"/>
          <w:lang w:eastAsia="zh-CN"/>
        </w:rPr>
        <w:t>二、</w:t>
      </w:r>
      <w:r>
        <w:rPr>
          <w:rFonts w:hint="eastAsia" w:ascii="黑体" w:hAnsi="黑体" w:eastAsia="黑体"/>
          <w:b/>
          <w:bCs/>
          <w:color w:val="000000"/>
          <w:sz w:val="32"/>
          <w:szCs w:val="32"/>
        </w:rPr>
        <w:t>收</w:t>
      </w:r>
      <w:r>
        <w:rPr>
          <w:rStyle w:val="14"/>
          <w:rFonts w:hint="eastAsia" w:ascii="黑体" w:hAnsi="黑体" w:eastAsia="黑体"/>
          <w:b/>
          <w:bCs/>
        </w:rPr>
        <w:t>入决算情况说明</w:t>
      </w:r>
      <w:bookmarkEnd w:id="24"/>
      <w:bookmarkEnd w:id="25"/>
    </w:p>
    <w:p>
      <w:pPr>
        <w:spacing w:line="600" w:lineRule="exact"/>
        <w:ind w:firstLine="1600" w:firstLineChars="5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1511.49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695.08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45.98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816.41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54.02</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rPr>
          <w:rFonts w:hint="eastAsia"/>
          <w:sz w:val="32"/>
          <w:szCs w:val="32"/>
          <w:lang w:eastAsia="zh-CN"/>
        </w:rPr>
      </w:pPr>
      <w:r>
        <w:rPr>
          <w:rFonts w:hint="eastAsia" w:eastAsiaTheme="minorEastAsia"/>
          <w:lang w:val="en-US" w:eastAsia="zh-CN"/>
        </w:rPr>
        <w:t xml:space="preserve">               </w:t>
      </w:r>
      <w:r>
        <w:rPr>
          <w:rFonts w:hint="eastAsia" w:eastAsiaTheme="minorEastAsia"/>
          <w:lang w:eastAsia="zh-CN"/>
        </w:rPr>
        <w:drawing>
          <wp:inline distT="0" distB="0" distL="114300" distR="114300">
            <wp:extent cx="3479165" cy="2506980"/>
            <wp:effectExtent l="4445" t="4445" r="21590" b="222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5"/>
        <w:numPr>
          <w:ilvl w:val="0"/>
          <w:numId w:val="0"/>
        </w:numPr>
        <w:spacing w:line="600" w:lineRule="exact"/>
        <w:ind w:left="640" w:leftChars="0"/>
        <w:outlineLvl w:val="1"/>
        <w:rPr>
          <w:rStyle w:val="14"/>
          <w:rFonts w:ascii="黑体" w:hAnsi="黑体" w:eastAsia="黑体"/>
          <w:b/>
          <w:bCs/>
        </w:rPr>
      </w:pPr>
      <w:bookmarkStart w:id="26" w:name="_Toc15377207"/>
      <w:bookmarkStart w:id="27" w:name="_Toc15396605"/>
      <w:r>
        <w:rPr>
          <w:rFonts w:hint="eastAsia" w:ascii="黑体" w:hAnsi="黑体" w:eastAsia="黑体"/>
          <w:b/>
          <w:bCs/>
          <w:color w:val="000000"/>
          <w:sz w:val="32"/>
          <w:szCs w:val="32"/>
          <w:lang w:eastAsia="zh-CN"/>
        </w:rPr>
        <w:t>三、</w:t>
      </w:r>
      <w:r>
        <w:rPr>
          <w:rFonts w:hint="eastAsia" w:ascii="黑体" w:hAnsi="黑体" w:eastAsia="黑体"/>
          <w:b/>
          <w:bCs/>
          <w:color w:val="000000"/>
          <w:sz w:val="32"/>
          <w:szCs w:val="32"/>
        </w:rPr>
        <w:t>支</w:t>
      </w:r>
      <w:r>
        <w:rPr>
          <w:rStyle w:val="14"/>
          <w:rFonts w:hint="eastAsia" w:ascii="黑体" w:hAnsi="黑体" w:eastAsia="黑体"/>
          <w:b/>
          <w:bCs/>
        </w:rPr>
        <w:t>出决算情况说明</w:t>
      </w:r>
      <w:bookmarkEnd w:id="26"/>
      <w:bookmarkEnd w:id="27"/>
    </w:p>
    <w:p>
      <w:pPr>
        <w:spacing w:line="600" w:lineRule="exact"/>
        <w:ind w:firstLine="1292" w:firstLineChars="404"/>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1616.27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1411.85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204.42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585470</wp:posOffset>
            </wp:positionH>
            <wp:positionV relativeFrom="paragraph">
              <wp:posOffset>290195</wp:posOffset>
            </wp:positionV>
            <wp:extent cx="3943350" cy="2332355"/>
            <wp:effectExtent l="4445" t="4445" r="14605" b="6350"/>
            <wp:wrapNone/>
            <wp:docPr id="107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outlineLvl w:val="1"/>
        <w:rPr>
          <w:rFonts w:hint="eastAsia" w:ascii="黑体" w:hAnsi="黑体" w:eastAsia="黑体"/>
          <w:color w:val="000000"/>
          <w:sz w:val="32"/>
          <w:szCs w:val="32"/>
        </w:rPr>
      </w:pPr>
      <w:bookmarkStart w:id="28" w:name="_Toc15396606"/>
      <w:bookmarkStart w:id="29" w:name="_Toc15377208"/>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3" w:firstLineChars="200"/>
        <w:outlineLvl w:val="1"/>
        <w:rPr>
          <w:rStyle w:val="14"/>
          <w:rFonts w:ascii="黑体" w:hAnsi="黑体" w:eastAsia="黑体"/>
          <w:b w:val="0"/>
        </w:rPr>
      </w:pPr>
      <w:r>
        <w:rPr>
          <w:rFonts w:hint="eastAsia" w:ascii="黑体" w:hAnsi="黑体" w:eastAsia="黑体"/>
          <w:b/>
          <w:bCs/>
          <w:color w:val="000000"/>
          <w:sz w:val="32"/>
          <w:szCs w:val="32"/>
        </w:rPr>
        <w:t>四、财</w:t>
      </w:r>
      <w:r>
        <w:rPr>
          <w:rStyle w:val="14"/>
          <w:rFonts w:hint="eastAsia" w:ascii="黑体" w:hAnsi="黑体" w:eastAsia="黑体"/>
          <w:b/>
          <w:bCs/>
        </w:rPr>
        <w:t>政拨款收入支出决算总体情况说明</w:t>
      </w:r>
      <w:bookmarkEnd w:id="28"/>
      <w:bookmarkEnd w:id="29"/>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8年财政拨款收</w:t>
      </w:r>
      <w:r>
        <w:rPr>
          <w:rFonts w:hint="eastAsia" w:ascii="仿宋" w:hAnsi="仿宋" w:eastAsia="仿宋"/>
          <w:color w:val="000000"/>
          <w:sz w:val="32"/>
          <w:szCs w:val="32"/>
          <w:lang w:eastAsia="zh-CN"/>
        </w:rPr>
        <w:t>支总计</w:t>
      </w:r>
      <w:r>
        <w:rPr>
          <w:rFonts w:hint="eastAsia" w:ascii="仿宋" w:hAnsi="仿宋" w:eastAsia="仿宋"/>
          <w:color w:val="000000"/>
          <w:sz w:val="32"/>
          <w:szCs w:val="32"/>
          <w:lang w:val="en-US" w:eastAsia="zh-CN"/>
        </w:rPr>
        <w:t>868.83万元，</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w:t>
      </w:r>
      <w:r>
        <w:rPr>
          <w:rFonts w:hint="eastAsia" w:ascii="仿宋" w:hAnsi="仿宋" w:eastAsia="仿宋"/>
          <w:color w:val="000000"/>
          <w:sz w:val="32"/>
          <w:szCs w:val="32"/>
          <w:lang w:eastAsia="zh-CN"/>
        </w:rPr>
        <w:t>收支总计各减少</w:t>
      </w:r>
      <w:r>
        <w:rPr>
          <w:rFonts w:hint="eastAsia" w:ascii="仿宋" w:hAnsi="仿宋" w:eastAsia="仿宋"/>
          <w:color w:val="000000"/>
          <w:sz w:val="32"/>
          <w:szCs w:val="32"/>
          <w:lang w:val="en-US" w:eastAsia="zh-CN"/>
        </w:rPr>
        <w:t>121.07万元，下降12.2%</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主要是因为</w:t>
      </w:r>
      <w:r>
        <w:rPr>
          <w:rFonts w:hint="eastAsia" w:ascii="仿宋" w:hAnsi="仿宋" w:eastAsia="仿宋"/>
          <w:color w:val="000000"/>
          <w:sz w:val="32"/>
          <w:szCs w:val="32"/>
          <w:lang w:val="en-US" w:eastAsia="zh-CN"/>
        </w:rPr>
        <w:t>2018年年末财政结转结余数比2017年财政结转结余数减少了125.9万元。</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4384" behindDoc="0" locked="0" layoutInCell="1" allowOverlap="1">
            <wp:simplePos x="0" y="0"/>
            <wp:positionH relativeFrom="column">
              <wp:posOffset>642620</wp:posOffset>
            </wp:positionH>
            <wp:positionV relativeFrom="paragraph">
              <wp:posOffset>99695</wp:posOffset>
            </wp:positionV>
            <wp:extent cx="4285615" cy="3771265"/>
            <wp:effectExtent l="4445" t="4445" r="15240" b="15240"/>
            <wp:wrapNone/>
            <wp:docPr id="116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ascii="仿宋" w:hAnsi="仿宋" w:eastAsia="仿宋"/>
          <w:b/>
          <w:color w:val="00B050"/>
          <w:sz w:val="32"/>
          <w:szCs w:val="32"/>
        </w:rPr>
      </w:pPr>
    </w:p>
    <w:p>
      <w:pPr>
        <w:spacing w:line="600" w:lineRule="exact"/>
        <w:ind w:firstLine="643" w:firstLineChars="200"/>
        <w:outlineLvl w:val="1"/>
        <w:rPr>
          <w:rStyle w:val="14"/>
          <w:rFonts w:ascii="黑体" w:hAnsi="黑体" w:eastAsia="黑体"/>
          <w:b/>
          <w:bCs/>
        </w:rPr>
      </w:pPr>
      <w:bookmarkStart w:id="30" w:name="_Toc15377209"/>
      <w:bookmarkStart w:id="31" w:name="_Toc15396607"/>
      <w:r>
        <w:rPr>
          <w:rFonts w:hint="eastAsia" w:ascii="黑体" w:hAnsi="黑体" w:eastAsia="黑体"/>
          <w:b/>
          <w:bCs/>
          <w:color w:val="000000"/>
          <w:sz w:val="32"/>
          <w:szCs w:val="32"/>
        </w:rPr>
        <w:t>五、一</w:t>
      </w:r>
      <w:r>
        <w:rPr>
          <w:rStyle w:val="14"/>
          <w:rFonts w:hint="eastAsia" w:ascii="黑体" w:hAnsi="黑体" w:eastAsia="黑体"/>
          <w:b/>
          <w:bCs/>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683.17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7年相比，一般公共预算财政拨款减少</w:t>
      </w:r>
      <w:r>
        <w:rPr>
          <w:rFonts w:hint="eastAsia" w:ascii="仿宋" w:hAnsi="仿宋" w:eastAsia="仿宋"/>
          <w:color w:val="000000"/>
          <w:sz w:val="32"/>
          <w:szCs w:val="32"/>
          <w:lang w:val="en-US" w:eastAsia="zh-CN"/>
        </w:rPr>
        <w:t>133.71</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主要是变动原因是</w:t>
      </w:r>
      <w:r>
        <w:rPr>
          <w:rFonts w:hint="eastAsia" w:ascii="仿宋" w:hAnsi="仿宋" w:eastAsia="仿宋"/>
          <w:color w:val="000000"/>
          <w:sz w:val="32"/>
          <w:szCs w:val="32"/>
          <w:lang w:val="en-US" w:eastAsia="zh-CN"/>
        </w:rPr>
        <w:t>2018年年末财政结转结余数比2017年财政结转结余数减少。</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156845</wp:posOffset>
            </wp:positionH>
            <wp:positionV relativeFrom="paragraph">
              <wp:posOffset>99695</wp:posOffset>
            </wp:positionV>
            <wp:extent cx="4752975" cy="3599815"/>
            <wp:effectExtent l="4445" t="4445" r="5080" b="15240"/>
            <wp:wrapNone/>
            <wp:docPr id="107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hint="eastAsia" w:ascii="仿宋" w:hAnsi="仿宋" w:eastAsia="仿宋"/>
          <w:b/>
          <w:color w:val="000000"/>
          <w:sz w:val="32"/>
          <w:szCs w:val="32"/>
        </w:rPr>
      </w:pPr>
      <w:bookmarkStart w:id="33" w:name="_Toc15377211"/>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683.17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b/>
          <w:color w:val="000000" w:themeColor="text1"/>
          <w:sz w:val="32"/>
          <w:szCs w:val="32"/>
          <w:lang w:val="en-US"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6.63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b/>
          <w:color w:val="000000" w:themeColor="text1"/>
          <w:sz w:val="32"/>
          <w:szCs w:val="32"/>
          <w:lang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129.06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医疗卫生支出</w:t>
      </w:r>
      <w:r>
        <w:rPr>
          <w:rFonts w:hint="eastAsia" w:ascii="仿宋" w:hAnsi="仿宋" w:eastAsia="仿宋"/>
          <w:b/>
          <w:bCs/>
          <w:color w:val="000000" w:themeColor="text1"/>
          <w:sz w:val="32"/>
          <w:szCs w:val="32"/>
          <w:lang w:eastAsia="zh-CN"/>
          <w14:textFill>
            <w14:solidFill>
              <w14:schemeClr w14:val="tx1"/>
            </w14:solidFill>
          </w14:textFill>
        </w:rPr>
        <w:t>（类）基层医疗卫生机构（款）乡镇卫生院（项）</w:t>
      </w:r>
      <w:r>
        <w:rPr>
          <w:rFonts w:hint="eastAsia" w:ascii="仿宋" w:hAnsi="仿宋" w:eastAsia="仿宋"/>
          <w:color w:val="000000" w:themeColor="text1"/>
          <w:sz w:val="32"/>
          <w:szCs w:val="32"/>
          <w:lang w:val="en-US" w:eastAsia="zh-CN"/>
          <w14:textFill>
            <w14:solidFill>
              <w14:schemeClr w14:val="tx1"/>
            </w14:solidFill>
          </w14:textFill>
        </w:rPr>
        <w:t>493.39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54.09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280670</wp:posOffset>
            </wp:positionH>
            <wp:positionV relativeFrom="paragraph">
              <wp:posOffset>99695</wp:posOffset>
            </wp:positionV>
            <wp:extent cx="5057775" cy="2743200"/>
            <wp:effectExtent l="4445" t="4445" r="5080" b="14605"/>
            <wp:wrapNone/>
            <wp:docPr id="1077"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keepNext w:val="0"/>
        <w:keepLines w:val="0"/>
        <w:widowControl/>
        <w:suppressLineNumbers w:val="0"/>
        <w:ind w:firstLine="960" w:firstLineChars="300"/>
        <w:jc w:val="left"/>
      </w:pPr>
      <w:r>
        <w:rPr>
          <w:rFonts w:ascii="仿宋_GB2312" w:hAnsi="仿宋_GB2312" w:eastAsia="仿宋_GB2312" w:cs="仿宋_GB2312"/>
          <w:color w:val="000000"/>
          <w:kern w:val="0"/>
          <w:sz w:val="32"/>
          <w:szCs w:val="32"/>
          <w:lang w:val="en-US" w:eastAsia="zh-CN" w:bidi="ar"/>
        </w:rPr>
        <w:t>（图 6：一般公共预算财政拨款支出决算结构）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213"/>
      <w:bookmarkStart w:id="36" w:name="_Toc15378460"/>
      <w:bookmarkStart w:id="37" w:name="_Toc15377444"/>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683.17</w:t>
      </w:r>
      <w:r>
        <w:rPr>
          <w:rFonts w:hint="eastAsia" w:ascii="仿宋" w:hAnsi="仿宋" w:eastAsia="仿宋"/>
          <w:color w:val="000000" w:themeColor="text1"/>
          <w:sz w:val="32"/>
          <w:szCs w:val="32"/>
          <w14:textFill>
            <w14:solidFill>
              <w14:schemeClr w14:val="tx1"/>
            </w14:solidFill>
          </w14:textFill>
        </w:rPr>
        <w:t>，</w:t>
      </w:r>
      <w:r>
        <w:rPr>
          <w:rStyle w:val="11"/>
          <w:rFonts w:hint="eastAsia" w:ascii="仿宋" w:hAnsi="仿宋" w:eastAsia="仿宋"/>
          <w:bCs/>
          <w:color w:val="000000" w:themeColor="text1"/>
          <w:sz w:val="32"/>
          <w:szCs w:val="32"/>
          <w14:textFill>
            <w14:solidFill>
              <w14:schemeClr w14:val="tx1"/>
            </w14:solidFill>
          </w14:textFill>
        </w:rPr>
        <w:t>完成</w:t>
      </w:r>
      <w:r>
        <w:rPr>
          <w:rStyle w:val="11"/>
          <w:rFonts w:hint="eastAsia" w:ascii="仿宋" w:hAnsi="仿宋" w:eastAsia="仿宋"/>
          <w:bCs/>
          <w:color w:val="000000"/>
          <w:sz w:val="32"/>
          <w:szCs w:val="32"/>
        </w:rPr>
        <w:t>预算</w:t>
      </w:r>
      <w:r>
        <w:rPr>
          <w:rStyle w:val="11"/>
          <w:rFonts w:hint="eastAsia" w:ascii="仿宋" w:hAnsi="仿宋" w:eastAsia="仿宋"/>
          <w:bCs/>
          <w:color w:val="000000"/>
          <w:sz w:val="32"/>
          <w:szCs w:val="32"/>
          <w:lang w:val="en-US" w:eastAsia="zh-CN"/>
        </w:rPr>
        <w:t>78.6</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。其中：</w:t>
      </w:r>
      <w:bookmarkEnd w:id="35"/>
      <w:bookmarkEnd w:id="36"/>
      <w:bookmarkEnd w:id="37"/>
    </w:p>
    <w:p>
      <w:pPr>
        <w:spacing w:line="600" w:lineRule="exact"/>
        <w:ind w:firstLine="643" w:firstLineChars="200"/>
        <w:rPr>
          <w:rFonts w:ascii="仿宋" w:hAnsi="仿宋" w:eastAsia="仿宋"/>
          <w:b/>
          <w:color w:val="000000"/>
          <w:sz w:val="32"/>
          <w:szCs w:val="32"/>
        </w:rPr>
      </w:pPr>
      <w:r>
        <w:rPr>
          <w:rStyle w:val="11"/>
          <w:rFonts w:ascii="仿宋" w:hAnsi="仿宋" w:eastAsia="仿宋"/>
          <w:bCs/>
          <w:color w:val="000000"/>
          <w:sz w:val="32"/>
          <w:szCs w:val="32"/>
        </w:rPr>
        <w:t>1.</w:t>
      </w:r>
      <w:r>
        <w:rPr>
          <w:rStyle w:val="11"/>
          <w:rFonts w:hint="eastAsia" w:ascii="仿宋" w:hAnsi="仿宋" w:eastAsia="仿宋"/>
          <w:bCs/>
          <w:color w:val="000000"/>
          <w:sz w:val="32"/>
          <w:szCs w:val="32"/>
        </w:rPr>
        <w:t>一般公共服务（类）人力资源事务（款）  其他人力资源事务支出（项）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6.63</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spacing w:line="600" w:lineRule="exact"/>
        <w:ind w:firstLine="643" w:firstLineChars="200"/>
        <w:rPr>
          <w:rStyle w:val="11"/>
          <w:rFonts w:ascii="仿宋" w:hAnsi="仿宋" w:eastAsia="仿宋"/>
          <w:b w:val="0"/>
          <w:bCs/>
          <w:color w:val="000000"/>
          <w:sz w:val="32"/>
          <w:szCs w:val="32"/>
        </w:rPr>
      </w:pPr>
      <w:r>
        <w:rPr>
          <w:rStyle w:val="11"/>
          <w:rFonts w:ascii="仿宋" w:hAnsi="仿宋" w:eastAsia="仿宋"/>
          <w:bCs/>
          <w:color w:val="000000"/>
          <w:sz w:val="32"/>
          <w:szCs w:val="32"/>
        </w:rPr>
        <w:t>2.</w:t>
      </w:r>
      <w:r>
        <w:rPr>
          <w:rStyle w:val="11"/>
          <w:rFonts w:hint="eastAsia" w:ascii="仿宋" w:hAnsi="仿宋" w:eastAsia="仿宋"/>
          <w:bCs/>
          <w:color w:val="000000"/>
          <w:sz w:val="32"/>
          <w:szCs w:val="32"/>
        </w:rPr>
        <w:t>教育（类）</w:t>
      </w:r>
      <w:r>
        <w:rPr>
          <w:rStyle w:val="11"/>
          <w:rFonts w:hint="eastAsia" w:ascii="仿宋" w:hAnsi="仿宋" w:eastAsia="仿宋"/>
          <w:bCs/>
          <w:color w:val="000000"/>
          <w:sz w:val="32"/>
          <w:szCs w:val="32"/>
          <w:lang w:eastAsia="zh-CN"/>
        </w:rPr>
        <w:t>无</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p>
    <w:p>
      <w:pPr>
        <w:spacing w:line="600" w:lineRule="exact"/>
        <w:ind w:firstLine="643" w:firstLineChars="200"/>
        <w:rPr>
          <w:rStyle w:val="11"/>
          <w:rFonts w:hint="eastAsia" w:ascii="仿宋" w:hAnsi="仿宋" w:eastAsia="仿宋"/>
          <w:bCs/>
          <w:color w:val="000000"/>
          <w:sz w:val="32"/>
          <w:szCs w:val="32"/>
          <w:lang w:eastAsia="zh-CN"/>
        </w:rPr>
      </w:pPr>
      <w:r>
        <w:rPr>
          <w:rStyle w:val="11"/>
          <w:rFonts w:ascii="仿宋" w:hAnsi="仿宋" w:eastAsia="仿宋"/>
          <w:bCs/>
          <w:color w:val="000000"/>
          <w:sz w:val="32"/>
          <w:szCs w:val="32"/>
        </w:rPr>
        <w:t>3.</w:t>
      </w:r>
      <w:r>
        <w:rPr>
          <w:rStyle w:val="11"/>
          <w:rFonts w:hint="eastAsia" w:ascii="仿宋" w:hAnsi="仿宋" w:eastAsia="仿宋"/>
          <w:bCs/>
          <w:color w:val="000000"/>
          <w:sz w:val="32"/>
          <w:szCs w:val="32"/>
        </w:rPr>
        <w:t>科学技术（类）</w:t>
      </w:r>
      <w:r>
        <w:rPr>
          <w:rStyle w:val="11"/>
          <w:rFonts w:hint="eastAsia" w:ascii="仿宋" w:hAnsi="仿宋" w:eastAsia="仿宋"/>
          <w:bCs/>
          <w:color w:val="000000"/>
          <w:sz w:val="32"/>
          <w:szCs w:val="32"/>
          <w:lang w:eastAsia="zh-CN"/>
        </w:rPr>
        <w:t>无</w:t>
      </w:r>
    </w:p>
    <w:p>
      <w:pPr>
        <w:spacing w:line="600" w:lineRule="exact"/>
        <w:ind w:firstLine="643" w:firstLineChars="200"/>
        <w:rPr>
          <w:rFonts w:ascii="仿宋" w:hAnsi="仿宋" w:eastAsia="仿宋"/>
          <w:b/>
          <w:color w:val="000000"/>
          <w:sz w:val="32"/>
          <w:szCs w:val="32"/>
        </w:rPr>
      </w:pPr>
      <w:r>
        <w:rPr>
          <w:rStyle w:val="11"/>
          <w:rFonts w:ascii="仿宋" w:hAnsi="仿宋" w:eastAsia="仿宋"/>
          <w:bCs/>
          <w:color w:val="000000"/>
          <w:sz w:val="32"/>
          <w:szCs w:val="32"/>
        </w:rPr>
        <w:t>4.</w:t>
      </w:r>
      <w:r>
        <w:rPr>
          <w:rStyle w:val="11"/>
          <w:rFonts w:hint="eastAsia" w:ascii="仿宋" w:hAnsi="仿宋" w:eastAsia="仿宋"/>
          <w:bCs/>
          <w:color w:val="000000"/>
          <w:sz w:val="32"/>
          <w:szCs w:val="32"/>
        </w:rPr>
        <w:t>文化体育与传媒（类）</w:t>
      </w:r>
      <w:r>
        <w:rPr>
          <w:rStyle w:val="11"/>
          <w:rFonts w:hint="eastAsia" w:ascii="仿宋" w:hAnsi="仿宋" w:eastAsia="仿宋"/>
          <w:bCs/>
          <w:color w:val="000000"/>
          <w:sz w:val="32"/>
          <w:szCs w:val="32"/>
          <w:lang w:eastAsia="zh-CN"/>
        </w:rPr>
        <w:t>无</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p>
    <w:p>
      <w:pPr>
        <w:spacing w:line="600" w:lineRule="exact"/>
        <w:ind w:firstLine="643" w:firstLineChars="200"/>
        <w:rPr>
          <w:rStyle w:val="11"/>
          <w:rFonts w:hint="default" w:ascii="仿宋" w:hAnsi="仿宋" w:eastAsia="仿宋"/>
          <w:b w:val="0"/>
          <w:bCs w:val="0"/>
          <w:color w:val="000000"/>
          <w:sz w:val="32"/>
          <w:szCs w:val="32"/>
          <w:lang w:val="en-US" w:eastAsia="zh-CN"/>
        </w:rPr>
      </w:pPr>
      <w:r>
        <w:rPr>
          <w:rStyle w:val="11"/>
          <w:rFonts w:ascii="仿宋" w:hAnsi="仿宋" w:eastAsia="仿宋"/>
          <w:bCs/>
          <w:color w:val="000000"/>
          <w:sz w:val="32"/>
          <w:szCs w:val="32"/>
        </w:rPr>
        <w:t>5.</w:t>
      </w:r>
      <w:r>
        <w:rPr>
          <w:rStyle w:val="11"/>
          <w:rFonts w:hint="eastAsia" w:ascii="仿宋" w:hAnsi="仿宋" w:eastAsia="仿宋"/>
          <w:bCs/>
          <w:color w:val="000000"/>
          <w:sz w:val="32"/>
          <w:szCs w:val="32"/>
        </w:rPr>
        <w:t>社会保障和就业（类）行政事业单位离退休（款）  机关事业单位基本养老保险缴费</w:t>
      </w:r>
      <w:r>
        <w:rPr>
          <w:rStyle w:val="11"/>
          <w:rFonts w:hint="eastAsia" w:ascii="仿宋" w:hAnsi="仿宋" w:eastAsia="仿宋"/>
          <w:bCs/>
          <w:color w:val="000000"/>
          <w:sz w:val="32"/>
          <w:szCs w:val="32"/>
          <w:lang w:eastAsia="zh-CN"/>
        </w:rPr>
        <w:t>支出（项）：</w:t>
      </w:r>
      <w:r>
        <w:rPr>
          <w:rStyle w:val="11"/>
          <w:rFonts w:hint="eastAsia" w:ascii="仿宋" w:hAnsi="仿宋" w:eastAsia="仿宋"/>
          <w:b w:val="0"/>
          <w:bCs w:val="0"/>
          <w:color w:val="000000"/>
          <w:sz w:val="32"/>
          <w:szCs w:val="32"/>
        </w:rPr>
        <w:t>支出</w:t>
      </w:r>
      <w:r>
        <w:rPr>
          <w:rStyle w:val="11"/>
          <w:rFonts w:hint="eastAsia" w:ascii="仿宋" w:hAnsi="仿宋" w:eastAsia="仿宋"/>
          <w:b w:val="0"/>
          <w:bCs w:val="0"/>
          <w:color w:val="000000"/>
          <w:sz w:val="32"/>
          <w:szCs w:val="32"/>
          <w:lang w:eastAsia="zh-CN"/>
        </w:rPr>
        <w:t>决算为</w:t>
      </w:r>
      <w:r>
        <w:rPr>
          <w:rStyle w:val="11"/>
          <w:rFonts w:hint="eastAsia" w:ascii="仿宋" w:hAnsi="仿宋" w:eastAsia="仿宋"/>
          <w:b w:val="0"/>
          <w:bCs w:val="0"/>
          <w:color w:val="000000"/>
          <w:sz w:val="32"/>
          <w:szCs w:val="32"/>
          <w:lang w:val="en-US" w:eastAsia="zh-CN"/>
        </w:rPr>
        <w:t>125万元，完成预算48%，决算数小于预算数的主要原因是未缴纳基本养老保险费。</w:t>
      </w:r>
    </w:p>
    <w:p>
      <w:pPr>
        <w:spacing w:line="600" w:lineRule="exact"/>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7.</w:t>
      </w:r>
      <w:r>
        <w:rPr>
          <w:rStyle w:val="11"/>
          <w:rFonts w:hint="eastAsia" w:ascii="仿宋" w:hAnsi="仿宋" w:eastAsia="仿宋"/>
          <w:bCs/>
          <w:color w:val="000000"/>
          <w:sz w:val="32"/>
          <w:szCs w:val="32"/>
        </w:rPr>
        <w:t>社会保障和就业（类）行政事业单位离退休（款）机关事业单位职业年金缴费支出（项）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4.06</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spacing w:line="600" w:lineRule="exact"/>
        <w:ind w:firstLine="643" w:firstLineChars="200"/>
        <w:rPr>
          <w:rStyle w:val="11"/>
          <w:rFonts w:hint="eastAsia" w:ascii="仿宋" w:hAnsi="仿宋" w:eastAsia="仿宋"/>
          <w:b w:val="0"/>
          <w:bCs/>
          <w:color w:val="000000"/>
          <w:sz w:val="32"/>
          <w:szCs w:val="32"/>
          <w:lang w:eastAsia="zh-CN"/>
        </w:rPr>
      </w:pPr>
      <w:r>
        <w:rPr>
          <w:rStyle w:val="11"/>
          <w:rFonts w:hint="eastAsia" w:ascii="仿宋" w:hAnsi="仿宋" w:eastAsia="仿宋"/>
          <w:bCs/>
          <w:color w:val="000000"/>
          <w:sz w:val="32"/>
          <w:szCs w:val="32"/>
          <w:lang w:val="en-US" w:eastAsia="zh-CN"/>
        </w:rPr>
        <w:t>8</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医疗卫生与计划生育（类）基层医疗卫生机构（款）  乡镇卫生院（项）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288.97</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48</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lang w:eastAsia="zh-CN"/>
        </w:rPr>
        <w:t>，决算数小于预算数的主要原因是财政应返还额度增加。</w:t>
      </w:r>
    </w:p>
    <w:p>
      <w:pPr>
        <w:spacing w:line="600" w:lineRule="exact"/>
        <w:ind w:firstLine="643" w:firstLineChars="200"/>
        <w:rPr>
          <w:rStyle w:val="11"/>
          <w:rFonts w:hint="eastAsia" w:ascii="仿宋" w:hAnsi="仿宋" w:eastAsia="仿宋"/>
          <w:b w:val="0"/>
          <w:bCs/>
          <w:color w:val="000000"/>
          <w:sz w:val="32"/>
          <w:szCs w:val="32"/>
          <w:lang w:val="en-US" w:eastAsia="zh-CN"/>
        </w:rPr>
      </w:pPr>
      <w:r>
        <w:rPr>
          <w:rStyle w:val="11"/>
          <w:rFonts w:hint="eastAsia" w:ascii="仿宋" w:hAnsi="仿宋" w:eastAsia="仿宋"/>
          <w:b/>
          <w:bCs w:val="0"/>
          <w:color w:val="000000"/>
          <w:sz w:val="32"/>
          <w:szCs w:val="32"/>
          <w:lang w:val="en-US" w:eastAsia="zh-CN"/>
        </w:rPr>
        <w:t>9</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医疗卫生与计划生育（类）基层医疗卫生机构（款）    其他基层医疗卫生机构支出（项）</w:t>
      </w:r>
      <w:r>
        <w:rPr>
          <w:rStyle w:val="11"/>
          <w:rFonts w:hint="eastAsia" w:ascii="仿宋" w:hAnsi="仿宋" w:eastAsia="仿宋"/>
          <w:bCs/>
          <w:color w:val="000000"/>
          <w:sz w:val="32"/>
          <w:szCs w:val="32"/>
          <w:lang w:eastAsia="zh-CN"/>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40.31</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lang w:eastAsia="zh-CN"/>
        </w:rPr>
        <w:t>。</w:t>
      </w:r>
    </w:p>
    <w:p>
      <w:pPr>
        <w:spacing w:line="600" w:lineRule="exact"/>
        <w:ind w:firstLine="640" w:firstLineChars="200"/>
        <w:rPr>
          <w:rStyle w:val="11"/>
          <w:rFonts w:hint="eastAsia" w:ascii="仿宋" w:hAnsi="仿宋" w:eastAsia="仿宋"/>
          <w:b w:val="0"/>
          <w:bCs w:val="0"/>
          <w:color w:val="000000"/>
          <w:sz w:val="32"/>
          <w:szCs w:val="32"/>
          <w:lang w:val="en-US" w:eastAsia="zh-CN"/>
        </w:rPr>
      </w:pPr>
      <w:r>
        <w:rPr>
          <w:rStyle w:val="11"/>
          <w:rFonts w:hint="eastAsia" w:ascii="仿宋" w:hAnsi="仿宋" w:eastAsia="仿宋"/>
          <w:b w:val="0"/>
          <w:bCs/>
          <w:color w:val="000000"/>
          <w:sz w:val="32"/>
          <w:szCs w:val="32"/>
          <w:lang w:val="en-US" w:eastAsia="zh-CN"/>
        </w:rPr>
        <w:t>10.</w:t>
      </w:r>
      <w:r>
        <w:rPr>
          <w:rStyle w:val="11"/>
          <w:rFonts w:hint="eastAsia" w:ascii="仿宋" w:hAnsi="仿宋" w:eastAsia="仿宋"/>
          <w:bCs/>
          <w:color w:val="000000"/>
          <w:sz w:val="32"/>
          <w:szCs w:val="32"/>
        </w:rPr>
        <w:t>医疗卫生与计划生育（类）公共卫生</w:t>
      </w:r>
      <w:r>
        <w:rPr>
          <w:rStyle w:val="11"/>
          <w:rFonts w:hint="eastAsia" w:ascii="仿宋" w:hAnsi="仿宋" w:eastAsia="仿宋"/>
          <w:bCs/>
          <w:color w:val="000000"/>
          <w:sz w:val="32"/>
          <w:szCs w:val="32"/>
          <w:lang w:eastAsia="zh-CN"/>
        </w:rPr>
        <w:t>（款）  基本公共卫生服务（项）：</w:t>
      </w:r>
      <w:r>
        <w:rPr>
          <w:rStyle w:val="11"/>
          <w:rFonts w:hint="eastAsia" w:ascii="仿宋" w:hAnsi="仿宋" w:eastAsia="仿宋"/>
          <w:b w:val="0"/>
          <w:bCs w:val="0"/>
          <w:color w:val="000000"/>
          <w:sz w:val="32"/>
          <w:szCs w:val="32"/>
          <w:lang w:eastAsia="zh-CN"/>
        </w:rPr>
        <w:t>支出决算数为</w:t>
      </w:r>
      <w:r>
        <w:rPr>
          <w:rStyle w:val="11"/>
          <w:rFonts w:hint="eastAsia" w:ascii="仿宋" w:hAnsi="仿宋" w:eastAsia="仿宋"/>
          <w:b w:val="0"/>
          <w:bCs w:val="0"/>
          <w:color w:val="000000"/>
          <w:sz w:val="32"/>
          <w:szCs w:val="32"/>
          <w:lang w:val="en-US" w:eastAsia="zh-CN"/>
        </w:rPr>
        <w:t>164.11万元，完成预算100%。</w:t>
      </w:r>
    </w:p>
    <w:p>
      <w:pPr>
        <w:spacing w:line="600" w:lineRule="exact"/>
        <w:ind w:firstLine="640" w:firstLineChars="200"/>
        <w:rPr>
          <w:rStyle w:val="11"/>
          <w:rFonts w:hint="default" w:ascii="仿宋" w:hAnsi="仿宋" w:eastAsia="仿宋"/>
          <w:b w:val="0"/>
          <w:bCs w:val="0"/>
          <w:color w:val="000000"/>
          <w:sz w:val="32"/>
          <w:szCs w:val="32"/>
          <w:lang w:val="en-US" w:eastAsia="zh-CN"/>
        </w:rPr>
      </w:pPr>
      <w:r>
        <w:rPr>
          <w:rStyle w:val="11"/>
          <w:rFonts w:hint="eastAsia" w:ascii="仿宋" w:hAnsi="仿宋" w:eastAsia="仿宋"/>
          <w:b w:val="0"/>
          <w:bCs w:val="0"/>
          <w:color w:val="000000"/>
          <w:sz w:val="32"/>
          <w:szCs w:val="32"/>
          <w:lang w:val="en-US" w:eastAsia="zh-CN"/>
        </w:rPr>
        <w:t>11.</w:t>
      </w:r>
      <w:r>
        <w:rPr>
          <w:rStyle w:val="11"/>
          <w:rFonts w:hint="eastAsia" w:ascii="仿宋" w:hAnsi="仿宋" w:eastAsia="仿宋"/>
          <w:b/>
          <w:bCs/>
          <w:color w:val="000000"/>
          <w:sz w:val="32"/>
          <w:szCs w:val="32"/>
          <w:lang w:val="en-US" w:eastAsia="zh-CN"/>
        </w:rPr>
        <w:t>住房保障支出（类）住房改革支出（款）  住房公积金（项）：</w:t>
      </w:r>
      <w:r>
        <w:rPr>
          <w:rStyle w:val="11"/>
          <w:rFonts w:hint="eastAsia" w:ascii="仿宋" w:hAnsi="仿宋" w:eastAsia="仿宋"/>
          <w:b w:val="0"/>
          <w:bCs w:val="0"/>
          <w:color w:val="000000"/>
          <w:sz w:val="32"/>
          <w:szCs w:val="32"/>
          <w:lang w:val="en-US" w:eastAsia="zh-CN"/>
        </w:rPr>
        <w:t>支出决算数为54.09万元，完成预算100%。</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14"/>
        </w:rPr>
      </w:pPr>
      <w:bookmarkStart w:id="38" w:name="_Toc15396608"/>
      <w:bookmarkStart w:id="39" w:name="_Toc15377214"/>
      <w:r>
        <w:rPr>
          <w:rFonts w:hint="eastAsia" w:ascii="黑体" w:eastAsia="黑体"/>
          <w:b/>
          <w:bCs/>
          <w:color w:val="000000"/>
          <w:sz w:val="32"/>
          <w:szCs w:val="32"/>
        </w:rPr>
        <w:t>六、</w:t>
      </w:r>
      <w:r>
        <w:rPr>
          <w:rFonts w:hint="eastAsia" w:ascii="黑体" w:hAnsi="黑体" w:eastAsia="黑体"/>
          <w:b/>
          <w:bCs/>
          <w:color w:val="000000"/>
          <w:sz w:val="32"/>
          <w:szCs w:val="32"/>
        </w:rPr>
        <w:t>一</w:t>
      </w:r>
      <w:r>
        <w:rPr>
          <w:rStyle w:val="14"/>
          <w:rFonts w:hint="eastAsia" w:ascii="黑体" w:hAnsi="黑体" w:eastAsia="黑体"/>
          <w:b/>
          <w:bCs/>
        </w:rPr>
        <w:t>般公共预算财政拨款基本支出决算情况说明</w:t>
      </w:r>
      <w:bookmarkEnd w:id="38"/>
      <w:bookmarkEnd w:id="39"/>
      <w:r>
        <w:rPr>
          <w:rStyle w:val="1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478.75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468.75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FF0000"/>
          <w:sz w:val="32"/>
          <w:szCs w:val="32"/>
        </w:rPr>
      </w:pPr>
    </w:p>
    <w:p>
      <w:pPr>
        <w:spacing w:line="600" w:lineRule="exact"/>
        <w:ind w:firstLine="640"/>
        <w:outlineLvl w:val="1"/>
        <w:rPr>
          <w:rStyle w:val="14"/>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14"/>
          <w:rFonts w:hint="eastAsia" w:ascii="黑体" w:hAnsi="黑体" w:eastAsia="黑体"/>
        </w:rPr>
        <w:t>“</w:t>
      </w:r>
      <w:r>
        <w:rPr>
          <w:rStyle w:val="14"/>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hint="eastAsia" w:ascii="仿宋" w:hAnsi="仿宋" w:eastAsia="仿宋"/>
          <w:b/>
          <w:color w:val="000000" w:themeColor="text1"/>
          <w:sz w:val="32"/>
          <w:szCs w:val="32"/>
          <w:lang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w:t>
      </w:r>
      <w:r>
        <w:rPr>
          <w:rFonts w:hint="eastAsia" w:ascii="仿宋" w:hAnsi="仿宋" w:eastAsia="仿宋"/>
          <w:color w:val="000000"/>
          <w:sz w:val="32"/>
          <w:szCs w:val="32"/>
          <w:lang w:eastAsia="zh-CN"/>
        </w:rPr>
        <w:t>无</w:t>
      </w:r>
      <w:r>
        <w:rPr>
          <w:rFonts w:hint="eastAsia" w:ascii="仿宋" w:hAnsi="仿宋" w:eastAsia="仿宋"/>
          <w:color w:val="000000"/>
          <w:sz w:val="32"/>
          <w:szCs w:val="32"/>
        </w:rPr>
        <w:t>“三公”经费财政拨款支出</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outlineLvl w:val="1"/>
        <w:rPr>
          <w:rFonts w:hint="eastAsia" w:ascii="黑体" w:eastAsia="黑体"/>
          <w:color w:val="000000"/>
          <w:sz w:val="32"/>
          <w:szCs w:val="32"/>
        </w:rPr>
      </w:pPr>
      <w:bookmarkStart w:id="44" w:name="_Toc15377218"/>
      <w:bookmarkStart w:id="45" w:name="_Toc15396610"/>
    </w:p>
    <w:p>
      <w:pPr>
        <w:spacing w:line="600" w:lineRule="exact"/>
        <w:ind w:firstLine="640"/>
        <w:outlineLvl w:val="1"/>
        <w:rPr>
          <w:rStyle w:val="14"/>
          <w:rFonts w:ascii="黑体" w:hAnsi="黑体" w:eastAsia="黑体"/>
        </w:rPr>
      </w:pPr>
      <w:r>
        <w:rPr>
          <w:rFonts w:hint="eastAsia" w:ascii="黑体" w:eastAsia="黑体"/>
          <w:color w:val="000000"/>
          <w:sz w:val="32"/>
          <w:szCs w:val="32"/>
        </w:rPr>
        <w:t>八、</w:t>
      </w:r>
      <w:r>
        <w:rPr>
          <w:rStyle w:val="14"/>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14"/>
          <w:rFonts w:ascii="黑体" w:hAnsi="黑体" w:eastAsia="黑体"/>
          <w:b w:val="0"/>
        </w:rPr>
      </w:pPr>
      <w:bookmarkStart w:id="46" w:name="_Toc15377219"/>
      <w:bookmarkStart w:id="47" w:name="_Toc15396611"/>
      <w:r>
        <w:rPr>
          <w:rStyle w:val="14"/>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pStyle w:val="15"/>
        <w:numPr>
          <w:ilvl w:val="0"/>
          <w:numId w:val="4"/>
        </w:numPr>
        <w:spacing w:line="580" w:lineRule="exact"/>
        <w:ind w:firstLineChars="0"/>
        <w:rPr>
          <w:rStyle w:val="14"/>
          <w:rFonts w:ascii="黑体" w:hAnsi="黑体" w:eastAsia="黑体"/>
          <w:b w:val="0"/>
        </w:rPr>
      </w:pPr>
      <w:r>
        <w:rPr>
          <w:rStyle w:val="14"/>
          <w:rFonts w:hint="eastAsia" w:ascii="黑体" w:hAnsi="黑体" w:eastAsia="黑体"/>
          <w:b w:val="0"/>
        </w:rPr>
        <w:t>预算绩效情况说明</w:t>
      </w:r>
    </w:p>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本单位按要求对2018年部门整体支出开展绩效自评，从评价情况来看本单位按要求对 2018 年单位整体支出开展绩效自评，从评价情况来看，本单位 2018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本单位在2018年度部门决算中反映“基本公共卫生服务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w:t>
      </w:r>
      <w:r>
        <w:rPr>
          <w:rFonts w:hint="eastAsia" w:ascii="仿宋_GB2312" w:hAnsi="仿宋_GB2312" w:eastAsia="仿宋_GB2312" w:cs="仿宋_GB2312"/>
          <w:sz w:val="32"/>
          <w:szCs w:val="32"/>
          <w:lang w:val="en-US" w:eastAsia="zh-CN"/>
        </w:rPr>
        <w:t>40.31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40.31</w:t>
      </w:r>
      <w:r>
        <w:rPr>
          <w:rFonts w:hint="eastAsia" w:ascii="仿宋_GB2312" w:hAnsi="仿宋_GB2312" w:eastAsia="仿宋_GB2312" w:cs="仿宋_GB2312"/>
          <w:sz w:val="32"/>
          <w:szCs w:val="32"/>
        </w:rPr>
        <w:t>万元，完成预算的100%。通过项目实施，保障了2018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w:t>
      </w:r>
      <w:r>
        <w:rPr>
          <w:rFonts w:hint="eastAsia" w:ascii="仿宋_GB2312" w:hAnsi="仿宋_GB2312" w:eastAsia="仿宋_GB2312" w:cs="仿宋_GB2312"/>
          <w:sz w:val="32"/>
          <w:szCs w:val="32"/>
          <w:lang w:val="en-US" w:eastAsia="zh-CN"/>
        </w:rPr>
        <w:t>164.11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164.11</w:t>
      </w:r>
      <w:r>
        <w:rPr>
          <w:rFonts w:hint="eastAsia" w:ascii="仿宋_GB2312" w:hAnsi="仿宋_GB2312" w:eastAsia="仿宋_GB2312" w:cs="仿宋_GB2312"/>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5"/>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亭子</w:t>
            </w:r>
            <w:r>
              <w:rPr>
                <w:rFonts w:hint="eastAsia" w:ascii="宋体" w:hAnsi="宋体" w:cs="宋体"/>
                <w:color w:val="000000"/>
                <w:sz w:val="24"/>
              </w:rPr>
              <w:t>镇中心卫生院</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40.31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40.31</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40.31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40.31</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完成2018年基本药物资金补助</w:t>
            </w:r>
            <w:r>
              <w:rPr>
                <w:rFonts w:hint="eastAsia" w:ascii="宋体" w:hAnsi="宋体" w:cs="宋体"/>
                <w:color w:val="000000"/>
                <w:sz w:val="24"/>
                <w:lang w:val="en-US" w:eastAsia="zh-CN"/>
              </w:rPr>
              <w:t>40.31</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完成2018年基本药物资金补助</w:t>
            </w:r>
            <w:r>
              <w:rPr>
                <w:rFonts w:hint="eastAsia" w:ascii="宋体" w:hAnsi="宋体" w:cs="宋体"/>
                <w:color w:val="000000"/>
                <w:sz w:val="24"/>
                <w:lang w:val="en-US" w:eastAsia="zh-CN"/>
              </w:rPr>
              <w:t>40.31</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5"/>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亭子镇</w:t>
            </w:r>
            <w:r>
              <w:rPr>
                <w:rFonts w:hint="eastAsia" w:ascii="宋体" w:hAnsi="宋体" w:cs="宋体"/>
                <w:color w:val="000000"/>
                <w:sz w:val="24"/>
              </w:rPr>
              <w:t>中心卫生院</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164.11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164.11</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164.11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164.11</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完成2018年基本公共卫生服务</w:t>
            </w:r>
            <w:r>
              <w:rPr>
                <w:rFonts w:hint="eastAsia" w:ascii="宋体" w:hAnsi="宋体" w:cs="宋体"/>
                <w:color w:val="000000"/>
                <w:sz w:val="24"/>
                <w:lang w:val="en-US" w:eastAsia="zh-CN"/>
              </w:rPr>
              <w:t>164.11</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完成2018年基本公共卫生服务</w:t>
            </w:r>
            <w:r>
              <w:rPr>
                <w:rFonts w:hint="eastAsia" w:ascii="宋体" w:hAnsi="宋体" w:cs="宋体"/>
                <w:color w:val="000000"/>
                <w:sz w:val="24"/>
                <w:lang w:val="en-US" w:eastAsia="zh-CN"/>
              </w:rPr>
              <w:t>164.11</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完成2018年基本公共卫生服</w:t>
            </w:r>
            <w:r>
              <w:rPr>
                <w:rFonts w:hint="eastAsia" w:ascii="宋体" w:hAnsi="宋体" w:cs="宋体"/>
                <w:color w:val="000000"/>
                <w:sz w:val="24"/>
                <w:lang w:val="en-US" w:eastAsia="zh-CN"/>
              </w:rPr>
              <w:t>164.11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ind w:firstLine="640" w:firstLineChars="200"/>
        <w:rPr>
          <w:rFonts w:ascii="仿宋_GB2312" w:hAnsi="仿宋_GB2312" w:eastAsia="仿宋_GB2312" w:cs="仿宋_GB2312"/>
          <w:sz w:val="32"/>
          <w:szCs w:val="32"/>
        </w:rPr>
      </w:pPr>
    </w:p>
    <w:p>
      <w:pPr>
        <w:keepNext w:val="0"/>
        <w:keepLines w:val="0"/>
        <w:widowControl/>
        <w:suppressLineNumbers w:val="0"/>
        <w:jc w:val="left"/>
      </w:pPr>
      <w:r>
        <w:rPr>
          <w:rFonts w:hint="eastAsia" w:ascii="仿宋_GB2312" w:hAnsi="仿宋_GB2312" w:eastAsia="仿宋_GB2312" w:cs="仿宋_GB2312"/>
          <w:sz w:val="32"/>
          <w:szCs w:val="32"/>
        </w:rPr>
        <w:t xml:space="preserve">  </w:t>
      </w:r>
      <w:r>
        <w:rPr>
          <w:rFonts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color w:val="000000"/>
          <w:kern w:val="0"/>
          <w:sz w:val="32"/>
          <w:szCs w:val="32"/>
          <w:lang w:val="en-US" w:eastAsia="zh-CN" w:bidi="ar"/>
        </w:rPr>
        <w:t>二</w:t>
      </w:r>
      <w:r>
        <w:rPr>
          <w:rFonts w:ascii="楷体_GB2312" w:hAnsi="楷体_GB2312" w:eastAsia="楷体_GB2312" w:cs="楷体_GB2312"/>
          <w:color w:val="000000"/>
          <w:kern w:val="0"/>
          <w:sz w:val="32"/>
          <w:szCs w:val="32"/>
          <w:lang w:val="en-US" w:eastAsia="zh-CN" w:bidi="ar"/>
        </w:rPr>
        <w:t>）</w:t>
      </w:r>
      <w:r>
        <w:rPr>
          <w:rFonts w:ascii="楷体_GB2312" w:hAnsi="楷体_GB2312" w:eastAsia="楷体_GB2312" w:cs="楷体_GB2312"/>
          <w:b/>
          <w:bCs/>
          <w:color w:val="000000"/>
          <w:kern w:val="0"/>
          <w:sz w:val="32"/>
          <w:szCs w:val="32"/>
          <w:lang w:val="en-US" w:eastAsia="zh-CN" w:bidi="ar"/>
        </w:rPr>
        <w:t>部门开展绩效评价结果</w:t>
      </w:r>
      <w:r>
        <w:rPr>
          <w:rFonts w:ascii="楷体_GB2312" w:hAnsi="楷体_GB2312" w:eastAsia="楷体_GB2312" w:cs="楷体_GB2312"/>
          <w:color w:val="000000"/>
          <w:kern w:val="0"/>
          <w:sz w:val="32"/>
          <w:szCs w:val="32"/>
          <w:lang w:val="en-US" w:eastAsia="zh-CN" w:bidi="ar"/>
        </w:rPr>
        <w:t xml:space="preserve">。 </w:t>
      </w:r>
    </w:p>
    <w:p>
      <w:pPr>
        <w:keepNext w:val="0"/>
        <w:keepLines w:val="0"/>
        <w:widowControl/>
        <w:suppressLineNumbers w:val="0"/>
        <w:ind w:firstLine="320" w:firstLineChars="100"/>
        <w:jc w:val="left"/>
      </w:pPr>
      <w:r>
        <w:rPr>
          <w:rFonts w:ascii="仿宋_GB2312" w:hAnsi="仿宋_GB2312" w:eastAsia="仿宋_GB2312" w:cs="仿宋_GB2312"/>
          <w:color w:val="000000"/>
          <w:kern w:val="0"/>
          <w:sz w:val="32"/>
          <w:szCs w:val="32"/>
          <w:lang w:val="en-US" w:eastAsia="zh-CN" w:bidi="ar"/>
        </w:rPr>
        <w:t>本部门按要求对 2018 年部门整体支出绩效评价情况开展自评，《</w:t>
      </w:r>
      <w:r>
        <w:rPr>
          <w:rFonts w:hint="eastAsia" w:ascii="仿宋_GB2312" w:hAnsi="仿宋_GB2312" w:eastAsia="仿宋_GB2312" w:cs="仿宋_GB2312"/>
          <w:color w:val="000000"/>
          <w:kern w:val="0"/>
          <w:sz w:val="32"/>
          <w:szCs w:val="32"/>
          <w:lang w:val="en-US" w:eastAsia="zh-CN" w:bidi="ar"/>
        </w:rPr>
        <w:t>达州市达川区亭子镇中心卫生院</w:t>
      </w:r>
      <w:r>
        <w:rPr>
          <w:rFonts w:ascii="仿宋_GB2312" w:hAnsi="仿宋_GB2312" w:eastAsia="仿宋_GB2312" w:cs="仿宋_GB2312"/>
          <w:color w:val="000000"/>
          <w:kern w:val="0"/>
          <w:sz w:val="32"/>
          <w:szCs w:val="32"/>
          <w:lang w:val="en-US" w:eastAsia="zh-CN" w:bidi="ar"/>
        </w:rPr>
        <w:t xml:space="preserve">2018年部门整体支出绩效评价报告》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见附件，本部门未自行组织其他项目绩效评价。 </w:t>
      </w:r>
    </w:p>
    <w:p>
      <w:pPr>
        <w:spacing w:line="580" w:lineRule="exact"/>
        <w:ind w:firstLine="640" w:firstLineChars="200"/>
        <w:rPr>
          <w:rFonts w:ascii="仿宋_GB2312" w:hAnsi="仿宋_GB2312" w:eastAsia="仿宋_GB2312" w:cs="仿宋_GB2312"/>
          <w:sz w:val="32"/>
          <w:szCs w:val="32"/>
        </w:rPr>
      </w:pP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4"/>
          <w:rFonts w:ascii="黑体" w:hAnsi="黑体" w:eastAsia="黑体"/>
        </w:rPr>
      </w:pPr>
      <w:bookmarkStart w:id="48" w:name="_Toc15377221"/>
      <w:bookmarkStart w:id="49" w:name="_Toc15396612"/>
      <w:r>
        <w:rPr>
          <w:rFonts w:hint="eastAsia" w:ascii="黑体" w:hAnsi="黑体" w:eastAsia="黑体"/>
          <w:color w:val="000000"/>
          <w:sz w:val="32"/>
          <w:szCs w:val="32"/>
        </w:rPr>
        <w:t>十</w:t>
      </w:r>
      <w:r>
        <w:rPr>
          <w:rStyle w:val="14"/>
          <w:rFonts w:hint="eastAsia" w:ascii="黑体" w:hAnsi="黑体" w:eastAsia="黑体"/>
        </w:rPr>
        <w:t>一、</w:t>
      </w:r>
      <w:r>
        <w:rPr>
          <w:rStyle w:val="14"/>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rPr>
          <w:rFonts w:ascii="仿宋" w:hAnsi="仿宋" w:eastAsia="仿宋"/>
          <w:b/>
          <w:color w:val="000000"/>
          <w:sz w:val="32"/>
          <w:szCs w:val="32"/>
        </w:rPr>
      </w:pPr>
      <w:r>
        <w:rPr>
          <w:rFonts w:hint="eastAsia" w:ascii="仿宋_GB2312" w:eastAsia="仿宋_GB2312"/>
          <w:color w:val="000000"/>
          <w:sz w:val="32"/>
          <w:szCs w:val="32"/>
          <w:lang w:eastAsia="zh-CN"/>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8年，政府采购支出总额</w:t>
      </w:r>
      <w:r>
        <w:rPr>
          <w:rFonts w:hint="eastAsia" w:ascii="仿宋_GB2312" w:eastAsia="仿宋_GB2312"/>
          <w:color w:val="000000"/>
          <w:sz w:val="32"/>
          <w:szCs w:val="32"/>
          <w:lang w:val="en-US" w:eastAsia="zh-CN"/>
        </w:rPr>
        <w:t>2.92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2.92</w:t>
      </w:r>
      <w:r>
        <w:rPr>
          <w:rFonts w:hint="eastAsia" w:ascii="仿宋_GB2312" w:eastAsia="仿宋_GB2312"/>
          <w:color w:val="000000"/>
          <w:sz w:val="32"/>
          <w:szCs w:val="32"/>
        </w:rPr>
        <w:t>万元。主要</w:t>
      </w:r>
      <w:r>
        <w:rPr>
          <w:rFonts w:hint="eastAsia" w:ascii="仿宋_GB2312" w:eastAsia="仿宋_GB2312"/>
          <w:color w:val="000000"/>
          <w:sz w:val="32"/>
          <w:szCs w:val="32"/>
          <w:lang w:eastAsia="zh-CN"/>
        </w:rPr>
        <w:t>采购投影仪</w:t>
      </w:r>
      <w:r>
        <w:rPr>
          <w:rFonts w:hint="eastAsia" w:ascii="仿宋_GB2312" w:eastAsia="仿宋_GB2312"/>
          <w:color w:val="000000"/>
          <w:sz w:val="32"/>
          <w:szCs w:val="32"/>
          <w:lang w:val="en-US" w:eastAsia="zh-CN"/>
        </w:rPr>
        <w:t>0.75万元，用于</w:t>
      </w:r>
      <w:r>
        <w:rPr>
          <w:rFonts w:hint="eastAsia" w:ascii="仿宋_GB2312" w:eastAsia="仿宋_GB2312"/>
          <w:color w:val="000000"/>
          <w:sz w:val="32"/>
          <w:szCs w:val="32"/>
          <w:lang w:eastAsia="zh-CN"/>
        </w:rPr>
        <w:t>会议室；</w:t>
      </w:r>
      <w:r>
        <w:rPr>
          <w:rFonts w:hint="eastAsia" w:ascii="仿宋_GB2312" w:eastAsia="仿宋_GB2312"/>
          <w:color w:val="000000"/>
          <w:sz w:val="32"/>
          <w:szCs w:val="32"/>
          <w:lang w:val="en-US" w:eastAsia="zh-CN"/>
        </w:rPr>
        <w:t>空调3台1.75万元，用于会议室及病房；心电图机0.42万元，主要用于社会卫生科体检。</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日，特种专业技术用车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用于临床医疗急救。</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13"/>
          <w:rFonts w:ascii="黑体" w:hAnsi="黑体" w:eastAsia="黑体"/>
          <w:b w:val="0"/>
        </w:rPr>
      </w:pPr>
      <w:bookmarkStart w:id="53" w:name="_Toc15377225"/>
      <w:bookmarkStart w:id="54" w:name="_Toc15396613"/>
      <w:r>
        <w:rPr>
          <w:rFonts w:hint="eastAsia" w:ascii="黑体" w:hAnsi="黑体" w:eastAsia="黑体"/>
          <w:b/>
          <w:color w:val="000000"/>
          <w:sz w:val="44"/>
          <w:szCs w:val="44"/>
        </w:rPr>
        <w:t>名</w:t>
      </w:r>
      <w:r>
        <w:rPr>
          <w:rStyle w:val="13"/>
          <w:rFonts w:hint="eastAsia" w:ascii="黑体" w:hAnsi="黑体" w:eastAsia="黑体"/>
          <w:b w:val="0"/>
        </w:rPr>
        <w:t>词解释</w:t>
      </w:r>
    </w:p>
    <w:p>
      <w:pPr>
        <w:numPr>
          <w:ilvl w:val="0"/>
          <w:numId w:val="0"/>
        </w:numPr>
        <w:spacing w:line="600" w:lineRule="exact"/>
        <w:jc w:val="both"/>
        <w:outlineLvl w:val="0"/>
        <w:rPr>
          <w:rStyle w:val="13"/>
          <w:rFonts w:ascii="黑体" w:hAnsi="黑体" w:eastAsia="黑体"/>
          <w:b w:val="0"/>
        </w:rPr>
      </w:pPr>
    </w:p>
    <w:p>
      <w:pPr>
        <w:pStyle w:val="1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6"/>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16"/>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rPr>
          <w:rFonts w:hint="eastAsia" w:ascii="仿宋_GB2312" w:eastAsia="仿宋_GB2312" w:cs="Arial"/>
          <w:color w:val="000000"/>
          <w:sz w:val="32"/>
          <w:szCs w:val="32"/>
        </w:rPr>
      </w:pPr>
      <w:r>
        <w:rPr>
          <w:rFonts w:hint="eastAsia" w:ascii="仿宋_GB2312" w:eastAsia="仿宋_GB2312"/>
          <w:color w:val="000000"/>
          <w:sz w:val="32"/>
          <w:szCs w:val="32"/>
          <w:lang w:val="en-US" w:eastAsia="zh-CN"/>
        </w:rPr>
        <w:t xml:space="preserve">    9</w:t>
      </w:r>
      <w:r>
        <w:rPr>
          <w:rFonts w:hint="eastAsia" w:ascii="仿宋_GB2312" w:eastAsia="仿宋_GB2312"/>
          <w:color w:val="000000"/>
          <w:sz w:val="32"/>
          <w:szCs w:val="32"/>
        </w:rPr>
        <w:t>.社会保障和就业（208）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numPr>
          <w:ilvl w:val="0"/>
          <w:numId w:val="7"/>
        </w:numPr>
        <w:ind w:firstLine="784" w:firstLineChars="245"/>
        <w:rPr>
          <w:rStyle w:val="11"/>
          <w:rFonts w:hint="eastAsia" w:ascii="仿宋" w:hAnsi="仿宋" w:eastAsia="仿宋"/>
          <w:b w:val="0"/>
          <w:bCs w:val="0"/>
          <w:color w:val="000000"/>
          <w:sz w:val="32"/>
          <w:szCs w:val="32"/>
        </w:rPr>
      </w:pPr>
      <w:r>
        <w:rPr>
          <w:rStyle w:val="11"/>
          <w:rFonts w:hint="eastAsia" w:ascii="仿宋" w:hAnsi="仿宋" w:eastAsia="仿宋"/>
          <w:b w:val="0"/>
          <w:bCs w:val="0"/>
          <w:color w:val="000000"/>
          <w:sz w:val="32"/>
          <w:szCs w:val="32"/>
        </w:rPr>
        <w:t>一般公共服务（类）人力资源事务（款）  其他人力资源事务支出（项）</w:t>
      </w:r>
      <w:r>
        <w:rPr>
          <w:rStyle w:val="11"/>
          <w:rFonts w:hint="eastAsia" w:ascii="仿宋" w:hAnsi="仿宋" w:eastAsia="仿宋"/>
          <w:b w:val="0"/>
          <w:bCs w:val="0"/>
          <w:color w:val="000000"/>
          <w:sz w:val="32"/>
          <w:szCs w:val="32"/>
          <w:lang w:eastAsia="zh-CN"/>
        </w:rPr>
        <w:t>反应的是“三支一扶</w:t>
      </w:r>
      <w:r>
        <w:rPr>
          <w:rStyle w:val="11"/>
          <w:rFonts w:hint="default" w:ascii="仿宋" w:hAnsi="仿宋" w:eastAsia="仿宋"/>
          <w:b w:val="0"/>
          <w:bCs w:val="0"/>
          <w:color w:val="000000"/>
          <w:sz w:val="32"/>
          <w:szCs w:val="32"/>
          <w:lang w:val="en-US" w:eastAsia="zh-CN"/>
        </w:rPr>
        <w:t>”</w:t>
      </w:r>
      <w:r>
        <w:rPr>
          <w:rStyle w:val="11"/>
          <w:rFonts w:hint="eastAsia" w:ascii="仿宋" w:hAnsi="仿宋" w:eastAsia="仿宋"/>
          <w:b w:val="0"/>
          <w:bCs w:val="0"/>
          <w:color w:val="000000"/>
          <w:sz w:val="32"/>
          <w:szCs w:val="32"/>
          <w:lang w:eastAsia="zh-CN"/>
        </w:rPr>
        <w:t>经费</w:t>
      </w:r>
      <w:r>
        <w:rPr>
          <w:rStyle w:val="11"/>
          <w:rFonts w:hint="eastAsia" w:ascii="仿宋" w:hAnsi="仿宋" w:eastAsia="仿宋"/>
          <w:b w:val="0"/>
          <w:bCs w:val="0"/>
          <w:color w:val="000000"/>
          <w:sz w:val="32"/>
          <w:szCs w:val="32"/>
          <w:lang w:val="en-US" w:eastAsia="zh-CN"/>
        </w:rPr>
        <w:t>.</w:t>
      </w:r>
    </w:p>
    <w:p>
      <w:pPr>
        <w:numPr>
          <w:ilvl w:val="0"/>
          <w:numId w:val="0"/>
        </w:numPr>
        <w:rPr>
          <w:rFonts w:hint="eastAsia" w:ascii="仿宋_GB2312" w:eastAsia="仿宋_GB2312"/>
          <w:color w:val="000000"/>
          <w:sz w:val="32"/>
          <w:szCs w:val="32"/>
        </w:rPr>
      </w:pPr>
      <w:r>
        <w:rPr>
          <w:rStyle w:val="11"/>
          <w:rFonts w:hint="eastAsia" w:ascii="仿宋_GB2312" w:eastAsia="仿宋_GB2312"/>
          <w:b w:val="0"/>
          <w:color w:val="000000"/>
          <w:sz w:val="32"/>
          <w:szCs w:val="32"/>
          <w:lang w:val="en-US" w:eastAsia="zh-CN"/>
        </w:rPr>
        <w:t xml:space="preserve">     11</w:t>
      </w:r>
      <w:r>
        <w:rPr>
          <w:rStyle w:val="11"/>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乡镇卫生院</w:t>
      </w:r>
      <w:r>
        <w:rPr>
          <w:rStyle w:val="11"/>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1"/>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1"/>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1"/>
          <w:rFonts w:hint="eastAsia" w:ascii="仿宋_GB2312" w:eastAsia="仿宋_GB2312"/>
          <w:b w:val="0"/>
          <w:color w:val="000000"/>
          <w:sz w:val="32"/>
          <w:szCs w:val="32"/>
        </w:rPr>
        <w:t>（04）基本公共卫生服务（08）反映基本公共卫生服务支出。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.经营支出：指事业单位在专业业务活动及其辅助活动之外开展非独立核算经营活动发生的支出。</w:t>
      </w:r>
    </w:p>
    <w:p>
      <w:pPr>
        <w:pStyle w:val="1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53"/>
    <w:bookmarkEnd w:id="54"/>
    <w:p>
      <w:pPr>
        <w:numPr>
          <w:ilvl w:val="0"/>
          <w:numId w:val="0"/>
        </w:numPr>
        <w:spacing w:line="600" w:lineRule="exact"/>
        <w:jc w:val="both"/>
        <w:outlineLvl w:val="0"/>
        <w:rPr>
          <w:rStyle w:val="13"/>
          <w:rFonts w:ascii="黑体" w:hAnsi="黑体" w:eastAsia="黑体"/>
          <w:b w:val="0"/>
        </w:rPr>
      </w:pPr>
    </w:p>
    <w:p>
      <w:pPr>
        <w:spacing w:line="600" w:lineRule="exact"/>
        <w:jc w:val="left"/>
        <w:rPr>
          <w:rFonts w:ascii="宋体"/>
          <w:b/>
          <w:color w:val="000000"/>
          <w:sz w:val="44"/>
          <w:szCs w:val="44"/>
        </w:rPr>
      </w:pPr>
    </w:p>
    <w:p>
      <w:pPr>
        <w:ind w:firstLine="643" w:firstLineChars="200"/>
        <w:rPr>
          <w:rFonts w:ascii="仿宋" w:hAnsi="仿宋" w:eastAsia="仿宋"/>
          <w:b/>
          <w:color w:val="000000"/>
          <w:sz w:val="32"/>
          <w:szCs w:val="32"/>
        </w:rPr>
      </w:pPr>
    </w:p>
    <w:p>
      <w:pPr>
        <w:spacing w:line="600" w:lineRule="exact"/>
        <w:jc w:val="center"/>
        <w:outlineLvl w:val="0"/>
        <w:rPr>
          <w:rStyle w:val="13"/>
          <w:rFonts w:ascii="黑体" w:hAnsi="黑体" w:eastAsia="黑体"/>
          <w:b w:val="0"/>
        </w:rPr>
      </w:pPr>
      <w:bookmarkStart w:id="55" w:name="_Toc15377226"/>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13"/>
          <w:rFonts w:hint="eastAsia" w:ascii="黑体" w:hAnsi="黑体" w:eastAsia="黑体"/>
          <w:b w:val="0"/>
        </w:rPr>
        <w:t>四部分 附件</w:t>
      </w:r>
      <w:bookmarkEnd w:id="56"/>
    </w:p>
    <w:p>
      <w:pPr>
        <w:spacing w:line="600" w:lineRule="exact"/>
        <w:jc w:val="center"/>
        <w:outlineLvl w:val="0"/>
        <w:rPr>
          <w:rStyle w:val="13"/>
        </w:rPr>
      </w:pPr>
    </w:p>
    <w:p>
      <w:pPr>
        <w:pStyle w:val="3"/>
        <w:rPr>
          <w:rStyle w:val="13"/>
          <w:rFonts w:ascii="仿宋" w:hAnsi="仿宋" w:eastAsia="仿宋"/>
          <w:b w:val="0"/>
          <w:bCs w:val="0"/>
          <w:sz w:val="32"/>
          <w:szCs w:val="32"/>
        </w:rPr>
      </w:pPr>
      <w:bookmarkStart w:id="57" w:name="_Toc15396615"/>
      <w:r>
        <w:rPr>
          <w:rStyle w:val="13"/>
          <w:rFonts w:hint="eastAsia" w:ascii="仿宋" w:hAnsi="仿宋" w:eastAsia="仿宋"/>
          <w:b w:val="0"/>
          <w:bCs w:val="0"/>
          <w:sz w:val="32"/>
          <w:szCs w:val="32"/>
        </w:rPr>
        <w:t>附件1</w:t>
      </w:r>
      <w:bookmarkEnd w:id="57"/>
    </w:p>
    <w:p>
      <w:pPr>
        <w:spacing w:line="600" w:lineRule="exact"/>
        <w:jc w:val="center"/>
        <w:outlineLvl w:val="0"/>
        <w:rPr>
          <w:rFonts w:hint="eastAsia" w:ascii="黑体" w:hAnsi="黑体" w:eastAsia="黑体" w:cs="方正小标宋简体"/>
          <w:b/>
          <w:bCs/>
          <w:sz w:val="36"/>
          <w:szCs w:val="36"/>
          <w:lang w:eastAsia="zh-CN"/>
        </w:rPr>
      </w:pPr>
      <w:bookmarkStart w:id="58" w:name="_Toc15396616"/>
      <w:r>
        <w:rPr>
          <w:rFonts w:hint="eastAsia" w:ascii="黑体" w:hAnsi="黑体" w:eastAsia="黑体" w:cs="方正小标宋简体"/>
          <w:b/>
          <w:bCs/>
          <w:sz w:val="36"/>
          <w:szCs w:val="36"/>
          <w:lang w:eastAsia="zh-CN"/>
        </w:rPr>
        <w:t>达州市达川区亭子镇中心卫生院</w:t>
      </w:r>
    </w:p>
    <w:p>
      <w:pPr>
        <w:spacing w:line="600" w:lineRule="exact"/>
        <w:jc w:val="center"/>
        <w:outlineLvl w:val="0"/>
        <w:rPr>
          <w:rFonts w:ascii="黑体" w:hAnsi="黑体" w:eastAsia="黑体" w:cs="方正小标宋简体"/>
          <w:b/>
          <w:bCs/>
          <w:sz w:val="36"/>
          <w:szCs w:val="36"/>
        </w:rPr>
      </w:pPr>
      <w:r>
        <w:rPr>
          <w:rFonts w:hint="eastAsia" w:ascii="黑体" w:hAnsi="黑体" w:eastAsia="黑体" w:cs="方正小标宋简体"/>
          <w:b/>
          <w:bCs/>
          <w:sz w:val="36"/>
          <w:szCs w:val="36"/>
        </w:rPr>
        <w:t>2018年部门整体支出绩效评价报告</w:t>
      </w:r>
      <w:bookmarkEnd w:id="58"/>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亭子镇中心</w:t>
      </w:r>
      <w:r>
        <w:rPr>
          <w:rFonts w:hint="eastAsia" w:ascii="仿宋" w:hAnsi="仿宋" w:eastAsia="仿宋" w:cs="仿宋_GB2312"/>
          <w:sz w:val="32"/>
          <w:szCs w:val="32"/>
        </w:rPr>
        <w:t>卫生院是一家</w:t>
      </w:r>
      <w:r>
        <w:rPr>
          <w:rFonts w:hint="eastAsia" w:ascii="仿宋" w:hAnsi="仿宋" w:eastAsia="仿宋" w:cs="仿宋_GB2312"/>
          <w:sz w:val="32"/>
          <w:szCs w:val="32"/>
          <w:lang w:eastAsia="zh-CN"/>
        </w:rPr>
        <w:t>基层医疗卫生</w:t>
      </w:r>
      <w:r>
        <w:rPr>
          <w:rFonts w:hint="eastAsia" w:ascii="仿宋" w:hAnsi="仿宋" w:eastAsia="仿宋" w:cs="仿宋_GB2312"/>
          <w:sz w:val="32"/>
          <w:szCs w:val="32"/>
        </w:rPr>
        <w:t>单位，无其他下属单位。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亭子镇中心</w:t>
      </w:r>
      <w:r>
        <w:rPr>
          <w:rFonts w:hint="eastAsia" w:ascii="仿宋" w:hAnsi="仿宋" w:eastAsia="仿宋" w:cs="仿宋_GB2312"/>
          <w:sz w:val="32"/>
          <w:szCs w:val="32"/>
        </w:rPr>
        <w:t>卫生院是</w:t>
      </w:r>
      <w:r>
        <w:rPr>
          <w:rFonts w:hint="eastAsia" w:ascii="仿宋" w:hAnsi="仿宋" w:eastAsia="仿宋" w:cs="仿宋_GB2312"/>
          <w:sz w:val="32"/>
          <w:szCs w:val="32"/>
          <w:lang w:eastAsia="zh-CN"/>
        </w:rPr>
        <w:t>公立基层医疗单位</w:t>
      </w:r>
      <w:r>
        <w:rPr>
          <w:rFonts w:hint="eastAsia" w:ascii="仿宋" w:hAnsi="仿宋" w:eastAsia="仿宋" w:cs="仿宋_GB2312"/>
          <w:sz w:val="32"/>
          <w:szCs w:val="32"/>
        </w:rPr>
        <w:t>，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DR、B超、全自动生化分析仪、麻醉呼吸机等辅助设备，现设有内科、外科、妇产科、五官科、骨科、中医科、理疗科等科室。开展了中下腹部手术，剖宫产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达州市达川区</w:t>
      </w:r>
      <w:r>
        <w:rPr>
          <w:rFonts w:hint="eastAsia" w:ascii="仿宋" w:hAnsi="仿宋" w:eastAsia="仿宋" w:cs="仿宋_GB2312"/>
          <w:sz w:val="32"/>
          <w:szCs w:val="32"/>
          <w:lang w:eastAsia="zh-CN"/>
        </w:rPr>
        <w:t>亭子镇中心</w:t>
      </w:r>
      <w:r>
        <w:rPr>
          <w:rFonts w:hint="eastAsia" w:ascii="仿宋" w:hAnsi="仿宋" w:eastAsia="仿宋"/>
          <w:sz w:val="32"/>
          <w:szCs w:val="32"/>
        </w:rPr>
        <w:t>卫生院，在2018年年初有在编职工</w:t>
      </w:r>
      <w:r>
        <w:rPr>
          <w:rFonts w:hint="eastAsia" w:ascii="仿宋" w:hAnsi="仿宋" w:eastAsia="仿宋"/>
          <w:sz w:val="32"/>
          <w:szCs w:val="32"/>
          <w:lang w:val="en-US" w:eastAsia="zh-CN"/>
        </w:rPr>
        <w:t>76</w:t>
      </w:r>
      <w:r>
        <w:rPr>
          <w:rFonts w:hint="eastAsia" w:ascii="仿宋" w:hAnsi="仿宋" w:eastAsia="仿宋"/>
          <w:sz w:val="32"/>
          <w:szCs w:val="32"/>
        </w:rPr>
        <w:t>人，在2018年末在编职工</w:t>
      </w:r>
      <w:r>
        <w:rPr>
          <w:rFonts w:hint="eastAsia" w:ascii="仿宋" w:hAnsi="仿宋" w:eastAsia="仿宋"/>
          <w:sz w:val="32"/>
          <w:szCs w:val="32"/>
          <w:lang w:val="en-US" w:eastAsia="zh-CN"/>
        </w:rPr>
        <w:t>78</w:t>
      </w:r>
      <w:r>
        <w:rPr>
          <w:rFonts w:hint="eastAsia" w:ascii="仿宋" w:hAnsi="仿宋" w:eastAsia="仿宋"/>
          <w:sz w:val="32"/>
          <w:szCs w:val="32"/>
        </w:rPr>
        <w:t>人（其中：退休</w:t>
      </w:r>
      <w:r>
        <w:rPr>
          <w:rFonts w:hint="eastAsia" w:ascii="仿宋" w:hAnsi="仿宋" w:eastAsia="仿宋"/>
          <w:sz w:val="32"/>
          <w:szCs w:val="32"/>
          <w:lang w:val="en-US" w:eastAsia="zh-CN"/>
        </w:rPr>
        <w:t>15</w:t>
      </w:r>
      <w:r>
        <w:rPr>
          <w:rFonts w:hint="eastAsia" w:ascii="仿宋" w:hAnsi="仿宋" w:eastAsia="仿宋"/>
          <w:sz w:val="32"/>
          <w:szCs w:val="32"/>
        </w:rPr>
        <w:t>人，调</w:t>
      </w:r>
      <w:r>
        <w:rPr>
          <w:rFonts w:hint="eastAsia" w:ascii="仿宋" w:hAnsi="仿宋" w:eastAsia="仿宋"/>
          <w:sz w:val="32"/>
          <w:szCs w:val="32"/>
          <w:lang w:eastAsia="zh-CN"/>
        </w:rPr>
        <w:t>入</w:t>
      </w:r>
      <w:r>
        <w:rPr>
          <w:rFonts w:hint="eastAsia" w:ascii="仿宋" w:hAnsi="仿宋" w:eastAsia="仿宋"/>
          <w:sz w:val="32"/>
          <w:szCs w:val="32"/>
          <w:lang w:val="en-US" w:eastAsia="zh-CN"/>
        </w:rPr>
        <w:t>2</w:t>
      </w:r>
      <w:r>
        <w:rPr>
          <w:rFonts w:hint="eastAsia" w:ascii="仿宋" w:hAnsi="仿宋" w:eastAsia="仿宋"/>
          <w:sz w:val="32"/>
          <w:szCs w:val="32"/>
        </w:rPr>
        <w:t>人），2018年末我院有临聘人员</w:t>
      </w:r>
      <w:r>
        <w:rPr>
          <w:rFonts w:hint="eastAsia" w:ascii="仿宋" w:hAnsi="仿宋" w:eastAsia="仿宋"/>
          <w:sz w:val="32"/>
          <w:szCs w:val="32"/>
          <w:lang w:val="en-US" w:eastAsia="zh-CN"/>
        </w:rPr>
        <w:t>12</w:t>
      </w:r>
      <w:r>
        <w:rPr>
          <w:rFonts w:hint="eastAsia" w:ascii="仿宋" w:hAnsi="仿宋" w:eastAsia="仿宋"/>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2018年我院财政拨款收入总计</w:t>
      </w:r>
      <w:r>
        <w:rPr>
          <w:rFonts w:hint="eastAsia" w:ascii="仿宋" w:hAnsi="仿宋" w:eastAsia="仿宋" w:cs="仿宋_GB2312"/>
          <w:sz w:val="32"/>
          <w:szCs w:val="32"/>
          <w:lang w:val="en-US" w:eastAsia="zh-CN"/>
        </w:rPr>
        <w:t>868.63</w:t>
      </w:r>
      <w:r>
        <w:rPr>
          <w:rFonts w:hint="eastAsia" w:ascii="仿宋" w:hAnsi="仿宋" w:eastAsia="仿宋" w:cs="仿宋_GB2312"/>
          <w:sz w:val="32"/>
          <w:szCs w:val="32"/>
        </w:rPr>
        <w:t>万元，其中一般公共预算财政拨款收入</w:t>
      </w:r>
      <w:r>
        <w:rPr>
          <w:rFonts w:hint="eastAsia" w:ascii="仿宋" w:hAnsi="仿宋" w:eastAsia="仿宋" w:cs="仿宋_GB2312"/>
          <w:sz w:val="32"/>
          <w:szCs w:val="32"/>
          <w:lang w:val="en-US" w:eastAsia="zh-CN"/>
        </w:rPr>
        <w:t>695.08</w:t>
      </w:r>
      <w:r>
        <w:rPr>
          <w:rFonts w:hint="eastAsia" w:ascii="仿宋" w:hAnsi="仿宋" w:eastAsia="仿宋" w:cs="仿宋_GB2312"/>
          <w:sz w:val="32"/>
          <w:szCs w:val="32"/>
        </w:rPr>
        <w:t>万元，年初财政补助结转和结余</w:t>
      </w:r>
      <w:r>
        <w:rPr>
          <w:rFonts w:hint="eastAsia" w:ascii="仿宋" w:hAnsi="仿宋" w:eastAsia="仿宋" w:cs="仿宋_GB2312"/>
          <w:sz w:val="32"/>
          <w:szCs w:val="32"/>
          <w:lang w:val="en-US" w:eastAsia="zh-CN"/>
        </w:rPr>
        <w:t>173.74</w:t>
      </w:r>
      <w:r>
        <w:rPr>
          <w:rFonts w:hint="eastAsia" w:ascii="仿宋" w:hAnsi="仿宋" w:eastAsia="仿宋" w:cs="仿宋_GB2312"/>
          <w:sz w:val="32"/>
          <w:szCs w:val="32"/>
        </w:rPr>
        <w:t>万元。</w:t>
      </w:r>
    </w:p>
    <w:p>
      <w:pPr>
        <w:numPr>
          <w:ilvl w:val="0"/>
          <w:numId w:val="8"/>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2018年我院财政拨款支出总计</w:t>
      </w:r>
      <w:r>
        <w:rPr>
          <w:rFonts w:hint="eastAsia" w:ascii="仿宋" w:hAnsi="仿宋" w:eastAsia="仿宋" w:cs="仿宋_GB2312"/>
          <w:sz w:val="32"/>
          <w:szCs w:val="32"/>
          <w:lang w:val="en-US" w:eastAsia="zh-CN"/>
        </w:rPr>
        <w:t>868.63</w:t>
      </w:r>
      <w:r>
        <w:rPr>
          <w:rFonts w:hint="eastAsia" w:ascii="仿宋" w:hAnsi="仿宋" w:eastAsia="仿宋" w:cs="仿宋_GB2312"/>
          <w:sz w:val="32"/>
          <w:szCs w:val="32"/>
        </w:rPr>
        <w:t>万元，其中一般公共预算财政拨款支出</w:t>
      </w:r>
      <w:r>
        <w:rPr>
          <w:rFonts w:hint="eastAsia" w:ascii="仿宋" w:hAnsi="仿宋" w:eastAsia="仿宋" w:cs="仿宋_GB2312"/>
          <w:sz w:val="32"/>
          <w:szCs w:val="32"/>
          <w:lang w:val="en-US" w:eastAsia="zh-CN"/>
        </w:rPr>
        <w:t>683.17</w:t>
      </w:r>
      <w:r>
        <w:rPr>
          <w:rFonts w:hint="eastAsia" w:ascii="仿宋" w:hAnsi="仿宋" w:eastAsia="仿宋" w:cs="仿宋_GB2312"/>
          <w:sz w:val="32"/>
          <w:szCs w:val="32"/>
        </w:rPr>
        <w:t>万元，年末财政补助结转和结余</w:t>
      </w:r>
      <w:r>
        <w:rPr>
          <w:rFonts w:hint="eastAsia" w:ascii="仿宋" w:hAnsi="仿宋" w:eastAsia="仿宋" w:cs="仿宋_GB2312"/>
          <w:sz w:val="32"/>
          <w:szCs w:val="32"/>
          <w:lang w:val="en-US" w:eastAsia="zh-CN"/>
        </w:rPr>
        <w:t>185.66</w:t>
      </w:r>
      <w:r>
        <w:rPr>
          <w:rFonts w:hint="eastAsia" w:ascii="仿宋" w:hAnsi="仿宋" w:eastAsia="仿宋" w:cs="仿宋_GB2312"/>
          <w:sz w:val="32"/>
          <w:szCs w:val="32"/>
        </w:rPr>
        <w:t>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2018年预算编制工作，按时完成基础库、项目库报送工作，并按时提交部门预算草案。绩效目标是预算编制的前提和基础，按照“费随事定”的原则，2018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2018 年 12 月 31 日，我院 2018 年财政资金一般公共预算财政拨款执行进度为</w:t>
      </w:r>
      <w:r>
        <w:rPr>
          <w:rFonts w:hint="eastAsia" w:ascii="仿宋" w:hAnsi="仿宋" w:eastAsia="仿宋" w:cs="仿宋_GB2312"/>
          <w:sz w:val="32"/>
          <w:szCs w:val="32"/>
          <w:lang w:val="en-US" w:eastAsia="zh-CN"/>
        </w:rPr>
        <w:t>78.6</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 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spacing w:line="580" w:lineRule="exact"/>
        <w:ind w:firstLine="640" w:firstLineChars="200"/>
        <w:rPr>
          <w:rFonts w:ascii="黑体" w:hAnsi="黑体" w:eastAsia="黑体" w:cs="黑体"/>
          <w:sz w:val="32"/>
          <w:szCs w:val="32"/>
        </w:rPr>
      </w:pPr>
    </w:p>
    <w:p>
      <w:pPr>
        <w:widowControl/>
        <w:ind w:firstLine="3200" w:firstLineChars="10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13"/>
          <w:rFonts w:ascii="仿宋" w:hAnsi="仿宋" w:eastAsia="仿宋"/>
          <w:b w:val="0"/>
          <w:bCs w:val="0"/>
          <w:sz w:val="32"/>
          <w:szCs w:val="32"/>
        </w:rPr>
      </w:pPr>
      <w:bookmarkStart w:id="59" w:name="_Toc15396617"/>
      <w:r>
        <w:rPr>
          <w:rStyle w:val="13"/>
          <w:rFonts w:hint="eastAsia" w:ascii="仿宋" w:hAnsi="仿宋" w:eastAsia="仿宋"/>
          <w:b w:val="0"/>
          <w:bCs w:val="0"/>
          <w:sz w:val="32"/>
          <w:szCs w:val="32"/>
        </w:rPr>
        <w:t>附件2</w:t>
      </w:r>
      <w:bookmarkEnd w:id="59"/>
    </w:p>
    <w:p>
      <w:pPr>
        <w:spacing w:line="580" w:lineRule="exact"/>
        <w:jc w:val="center"/>
        <w:rPr>
          <w:rFonts w:hint="eastAsia" w:ascii="黑体" w:hAnsi="黑体" w:eastAsia="黑体" w:cs="方正小标宋简体"/>
          <w:sz w:val="44"/>
          <w:szCs w:val="44"/>
          <w:lang w:eastAsia="zh-CN"/>
        </w:rPr>
      </w:pPr>
      <w:r>
        <w:rPr>
          <w:rFonts w:hint="eastAsia" w:ascii="黑体" w:hAnsi="黑体" w:eastAsia="黑体" w:cs="方正小标宋简体"/>
          <w:sz w:val="44"/>
          <w:szCs w:val="44"/>
        </w:rPr>
        <w:t>2018年</w:t>
      </w:r>
      <w:r>
        <w:rPr>
          <w:rFonts w:hint="eastAsia" w:ascii="黑体" w:hAnsi="黑体" w:eastAsia="黑体" w:cs="方正小标宋简体"/>
          <w:sz w:val="44"/>
          <w:szCs w:val="44"/>
          <w:lang w:eastAsia="zh-CN"/>
        </w:rPr>
        <w:t>达州市达川亭子镇中心卫生院</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bookmarkStart w:id="60" w:name="_Toc15396618"/>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keepNext w:val="0"/>
        <w:keepLines w:val="0"/>
        <w:widowControl/>
        <w:suppressLineNumbers w:val="0"/>
        <w:ind w:firstLine="640" w:firstLineChars="200"/>
        <w:jc w:val="left"/>
      </w:pPr>
      <w:r>
        <w:rPr>
          <w:rFonts w:hint="eastAsia" w:ascii="仿宋" w:hAnsi="仿宋" w:eastAsia="仿宋" w:cs="仿宋_GB2312"/>
          <w:sz w:val="32"/>
          <w:szCs w:val="32"/>
          <w:lang w:val="en-US" w:eastAsia="zh-CN"/>
        </w:rPr>
        <w:t>2018年我院仅对基本公共卫生项目和基本药物补助两个项目进行了评价，分别从数量指标、时效指标、质量指标、成本指标、社会效益指标、群众满意度指标进行了考核。并对项目资金从预算到执行进行了全过程监督和评价。</w:t>
      </w:r>
      <w:r>
        <w:rPr>
          <w:rFonts w:ascii="仿宋_GB2312" w:hAnsi="仿宋_GB2312" w:eastAsia="仿宋_GB2312" w:cs="仿宋_GB2312"/>
          <w:color w:val="000000"/>
          <w:kern w:val="0"/>
          <w:sz w:val="32"/>
          <w:szCs w:val="32"/>
          <w:lang w:val="en-US" w:eastAsia="zh-CN" w:bidi="ar"/>
        </w:rPr>
        <w:t xml:space="preserve">同时设置了以项目完成数量为 核心的指标，用于评价绩效目标实际实现程度，反映与预期目标的偏离度。绩效目标编制要素完整，绩效指标设置做到了细化量化。 </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项目绩效评价总体</w:t>
      </w:r>
      <w:r>
        <w:rPr>
          <w:rFonts w:hint="eastAsia" w:ascii="仿宋" w:hAnsi="仿宋" w:eastAsia="仿宋" w:cs="仿宋_GB2312"/>
          <w:sz w:val="32"/>
          <w:szCs w:val="32"/>
          <w:lang w:eastAsia="zh-CN"/>
        </w:rPr>
        <w:t>为满意</w:t>
      </w:r>
      <w:r>
        <w:rPr>
          <w:rFonts w:ascii="仿宋" w:hAnsi="仿宋" w:eastAsia="仿宋" w:cs="仿宋_GB2312"/>
          <w:sz w:val="32"/>
          <w:szCs w:val="32"/>
        </w:rPr>
        <w:t>（包括项目评价得分表）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keepNext w:val="0"/>
        <w:keepLines w:val="0"/>
        <w:widowControl/>
        <w:suppressLineNumbers w:val="0"/>
        <w:ind w:firstLine="960" w:firstLineChars="300"/>
        <w:jc w:val="left"/>
        <w:rPr>
          <w:rFonts w:ascii="仿宋" w:hAnsi="仿宋" w:eastAsia="仿宋" w:cs="仿宋_GB2312"/>
          <w:sz w:val="32"/>
          <w:szCs w:val="32"/>
        </w:rPr>
      </w:pPr>
      <w:r>
        <w:rPr>
          <w:rFonts w:hint="eastAsia" w:ascii="仿宋" w:hAnsi="仿宋" w:eastAsia="仿宋" w:cs="仿宋_GB2312"/>
          <w:sz w:val="32"/>
          <w:szCs w:val="32"/>
          <w:lang w:eastAsia="zh-CN"/>
        </w:rPr>
        <w:t>项目资金属专项资金，根据</w:t>
      </w:r>
      <w:r>
        <w:rPr>
          <w:rFonts w:ascii="仿宋_GB2312" w:hAnsi="仿宋_GB2312" w:eastAsia="仿宋_GB2312" w:cs="仿宋_GB2312"/>
          <w:color w:val="000000"/>
          <w:kern w:val="0"/>
          <w:sz w:val="32"/>
          <w:szCs w:val="32"/>
          <w:lang w:val="en-US" w:eastAsia="zh-CN" w:bidi="ar"/>
        </w:rPr>
        <w:t>《四川省公共卫生服务补助资金管理办法》《四川省计划生育服务补助资金管理办法》《中央和省级财政医疗服务能力提升补助资金管理暂行法</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《中央和省级基层医疗卫生机构实施国家基本药物制度补助资金管理 办法》等，形成了健全完善的资金管理制度体系。 </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根据达川区财政局</w:t>
      </w:r>
      <w:r>
        <w:rPr>
          <w:rFonts w:hint="eastAsia" w:ascii="仿宋" w:hAnsi="仿宋" w:eastAsia="仿宋" w:cs="仿宋_GB2312"/>
          <w:sz w:val="32"/>
          <w:szCs w:val="32"/>
          <w:lang w:val="en-US" w:eastAsia="zh-CN"/>
        </w:rPr>
        <w:t>2018年年初预算，公共卫生补助资金按2017年辖区常住人口，补助标准为50.0元/人（按中央40.0元、省4.48元、市1.0元、区4.52元）；基本药物财政补助资金按辖区2017年常住人口，补助标准为13元/人/年，（中央7.1元，省1.9元，市1元，区本级3元）分别下达。既做到了资金规范预算，规范使用，规范管理，又体现了资金分配的科学合理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2018年我院对基本公共卫生资金和基本药物财政补助资金，预算数分别为164.11万元和40.31万元，2018年年底预算执行率100%。既保障了我院公共卫生项目的正常开展，又保障了我院医疗业务的正常开展，取得了良好的社会效益和经济效益，群众的认可度得以提升。我院对项目绩效情况从以下两个方面进行评价：一是</w:t>
      </w:r>
      <w:r>
        <w:rPr>
          <w:rFonts w:ascii="仿宋" w:hAnsi="仿宋" w:eastAsia="仿宋" w:cs="仿宋_GB2312"/>
          <w:sz w:val="32"/>
          <w:szCs w:val="32"/>
        </w:rPr>
        <w:t>项目目标完成情况</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分别从</w:t>
      </w:r>
      <w:r>
        <w:rPr>
          <w:rFonts w:ascii="仿宋" w:hAnsi="仿宋" w:eastAsia="仿宋" w:cs="仿宋_GB2312"/>
          <w:sz w:val="32"/>
          <w:szCs w:val="32"/>
        </w:rPr>
        <w:t>数量、质量、时效、成本</w:t>
      </w:r>
      <w:r>
        <w:rPr>
          <w:rFonts w:hint="eastAsia" w:ascii="仿宋" w:hAnsi="仿宋" w:eastAsia="仿宋" w:cs="仿宋_GB2312"/>
          <w:sz w:val="32"/>
          <w:szCs w:val="32"/>
          <w:lang w:eastAsia="zh-CN"/>
        </w:rPr>
        <w:t>几个方向进行了考核，均达到</w:t>
      </w:r>
      <w:r>
        <w:rPr>
          <w:rFonts w:hint="eastAsia" w:ascii="仿宋" w:hAnsi="仿宋" w:eastAsia="仿宋" w:cs="仿宋_GB2312"/>
          <w:sz w:val="32"/>
          <w:szCs w:val="32"/>
          <w:lang w:val="en-US" w:eastAsia="zh-CN"/>
        </w:rPr>
        <w:t>100%</w:t>
      </w:r>
      <w:r>
        <w:rPr>
          <w:rFonts w:hint="eastAsia" w:ascii="仿宋" w:hAnsi="仿宋" w:eastAsia="仿宋" w:cs="仿宋_GB2312"/>
          <w:sz w:val="32"/>
          <w:szCs w:val="32"/>
          <w:lang w:eastAsia="zh-CN"/>
        </w:rPr>
        <w:t>；二是</w:t>
      </w:r>
      <w:r>
        <w:rPr>
          <w:rFonts w:ascii="仿宋" w:hAnsi="仿宋" w:eastAsia="仿宋" w:cs="仿宋_GB2312"/>
          <w:sz w:val="32"/>
          <w:szCs w:val="32"/>
        </w:rPr>
        <w:t>项目效益情况</w:t>
      </w:r>
      <w:r>
        <w:rPr>
          <w:rFonts w:hint="eastAsia" w:ascii="仿宋" w:hAnsi="仿宋" w:eastAsia="仿宋" w:cs="仿宋_GB2312"/>
          <w:sz w:val="32"/>
          <w:szCs w:val="32"/>
          <w:lang w:eastAsia="zh-CN"/>
        </w:rPr>
        <w:t>：社会</w:t>
      </w:r>
      <w:r>
        <w:rPr>
          <w:rFonts w:ascii="仿宋" w:hAnsi="仿宋" w:eastAsia="仿宋" w:cs="仿宋_GB2312"/>
          <w:sz w:val="32"/>
          <w:szCs w:val="32"/>
        </w:rPr>
        <w:t>经济效益</w:t>
      </w:r>
      <w:r>
        <w:rPr>
          <w:rFonts w:hint="eastAsia" w:ascii="仿宋" w:hAnsi="仿宋" w:eastAsia="仿宋" w:cs="仿宋_GB2312"/>
          <w:sz w:val="32"/>
          <w:szCs w:val="32"/>
          <w:lang w:eastAsia="zh-CN"/>
        </w:rPr>
        <w:t>和</w:t>
      </w:r>
      <w:r>
        <w:rPr>
          <w:rFonts w:ascii="仿宋" w:hAnsi="仿宋" w:eastAsia="仿宋" w:cs="仿宋_GB2312"/>
          <w:sz w:val="32"/>
          <w:szCs w:val="32"/>
        </w:rPr>
        <w:t>受益群体满意度</w:t>
      </w:r>
      <w:r>
        <w:rPr>
          <w:rFonts w:hint="eastAsia" w:ascii="仿宋" w:hAnsi="仿宋" w:eastAsia="仿宋" w:cs="仿宋_GB2312"/>
          <w:sz w:val="32"/>
          <w:szCs w:val="32"/>
          <w:lang w:eastAsia="zh-CN"/>
        </w:rPr>
        <w:t>等方面进行了评价</w:t>
      </w:r>
      <w:r>
        <w:rPr>
          <w:rFonts w:ascii="仿宋" w:hAnsi="仿宋" w:eastAsia="仿宋" w:cs="仿宋_GB2312"/>
          <w:sz w:val="32"/>
          <w:szCs w:val="32"/>
        </w:rPr>
        <w:t>。</w:t>
      </w:r>
    </w:p>
    <w:p>
      <w:pPr>
        <w:numPr>
          <w:ilvl w:val="0"/>
          <w:numId w:val="2"/>
        </w:numPr>
        <w:spacing w:line="580" w:lineRule="exact"/>
        <w:ind w:left="1360" w:leftChars="0" w:hanging="720" w:firstLineChars="0"/>
        <w:rPr>
          <w:rFonts w:ascii="仿宋" w:hAnsi="仿宋" w:eastAsia="仿宋" w:cs="仿宋_GB2312"/>
          <w:sz w:val="32"/>
          <w:szCs w:val="32"/>
        </w:rPr>
      </w:pPr>
      <w:r>
        <w:rPr>
          <w:rFonts w:ascii="仿宋" w:hAnsi="仿宋" w:eastAsia="仿宋" w:cs="仿宋_GB2312"/>
          <w:sz w:val="32"/>
          <w:szCs w:val="32"/>
        </w:rPr>
        <w:t>存在主要问题</w:t>
      </w:r>
    </w:p>
    <w:p>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预算执行进度不够理想。</w:t>
      </w:r>
      <w:r>
        <w:rPr>
          <w:rFonts w:hint="eastAsia" w:ascii="仿宋_GB2312" w:hAnsi="仿宋_GB2312" w:eastAsia="仿宋_GB2312" w:cs="仿宋_GB2312"/>
          <w:color w:val="000000"/>
          <w:kern w:val="0"/>
          <w:sz w:val="32"/>
          <w:szCs w:val="32"/>
          <w:lang w:val="en-US" w:eastAsia="zh-CN" w:bidi="ar"/>
        </w:rPr>
        <w:t>主要原因是财政拨款不及时，造成工作进展缓慢</w:t>
      </w:r>
    </w:p>
    <w:p>
      <w:pPr>
        <w:numPr>
          <w:ilvl w:val="0"/>
          <w:numId w:val="0"/>
        </w:numPr>
        <w:spacing w:line="580" w:lineRule="exact"/>
        <w:ind w:left="640" w:leftChars="0"/>
        <w:rPr>
          <w:rFonts w:hint="eastAsia" w:ascii="仿宋" w:hAnsi="仿宋" w:eastAsia="仿宋" w:cs="仿宋_GB2312"/>
          <w:sz w:val="32"/>
          <w:szCs w:val="32"/>
          <w:lang w:val="en-US" w:eastAsia="zh-CN"/>
        </w:rPr>
      </w:pPr>
    </w:p>
    <w:p>
      <w:pPr>
        <w:numPr>
          <w:ilvl w:val="0"/>
          <w:numId w:val="2"/>
        </w:numPr>
        <w:spacing w:line="580" w:lineRule="exact"/>
        <w:ind w:left="1360" w:leftChars="0" w:hanging="720" w:firstLineChars="0"/>
        <w:rPr>
          <w:rFonts w:ascii="仿宋" w:hAnsi="仿宋" w:eastAsia="仿宋" w:cs="仿宋_GB2312"/>
          <w:sz w:val="32"/>
          <w:szCs w:val="32"/>
        </w:rPr>
      </w:pPr>
      <w:r>
        <w:rPr>
          <w:rFonts w:ascii="仿宋" w:hAnsi="仿宋" w:eastAsia="仿宋" w:cs="仿宋_GB2312"/>
          <w:sz w:val="32"/>
          <w:szCs w:val="32"/>
        </w:rPr>
        <w:t>相关措施建议</w:t>
      </w:r>
    </w:p>
    <w:p>
      <w:pPr>
        <w:numPr>
          <w:ilvl w:val="0"/>
          <w:numId w:val="9"/>
        </w:numPr>
        <w:spacing w:line="580" w:lineRule="exact"/>
        <w:ind w:left="640" w:leftChars="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加强沟通，特别是财政局和基层卫生院之间信息不对称，核定的医疗收入偏大，造成基层医院资金缺口大，无法正常运行。</w:t>
      </w:r>
    </w:p>
    <w:p>
      <w:pPr>
        <w:numPr>
          <w:ilvl w:val="0"/>
          <w:numId w:val="9"/>
        </w:numPr>
        <w:spacing w:line="580" w:lineRule="exact"/>
        <w:ind w:left="640" w:leftChars="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专项资金拨款及时。财政资金如果不及时拨款，可能造成医院专项资金不能专款专用，工作开展存在困难。</w:t>
      </w: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jc w:val="center"/>
        <w:outlineLvl w:val="0"/>
        <w:rPr>
          <w:rFonts w:hint="eastAsia" w:ascii="黑体" w:hAnsi="黑体" w:eastAsia="黑体"/>
          <w:color w:val="000000"/>
          <w:sz w:val="44"/>
          <w:szCs w:val="44"/>
          <w:lang w:eastAsia="zh-CN"/>
        </w:rPr>
      </w:pPr>
    </w:p>
    <w:p>
      <w:pPr>
        <w:spacing w:line="600" w:lineRule="exact"/>
        <w:ind w:firstLine="2640" w:firstLineChars="600"/>
        <w:jc w:val="both"/>
        <w:outlineLvl w:val="0"/>
        <w:rPr>
          <w:rStyle w:val="13"/>
          <w:rFonts w:ascii="黑体" w:hAnsi="黑体" w:eastAsia="黑体"/>
          <w:b w:val="0"/>
        </w:rPr>
      </w:pPr>
      <w:bookmarkStart w:id="74" w:name="_GoBack"/>
      <w:bookmarkEnd w:id="74"/>
      <w:r>
        <w:rPr>
          <w:rFonts w:hint="eastAsia" w:ascii="黑体" w:hAnsi="黑体" w:eastAsia="黑体"/>
          <w:color w:val="000000"/>
          <w:sz w:val="44"/>
          <w:szCs w:val="44"/>
        </w:rPr>
        <w:t>第</w:t>
      </w:r>
      <w:r>
        <w:rPr>
          <w:rStyle w:val="13"/>
          <w:rFonts w:hint="eastAsia" w:ascii="黑体" w:hAnsi="黑体" w:eastAsia="黑体"/>
          <w:b w:val="0"/>
        </w:rPr>
        <w:t>五部分 附表</w:t>
      </w:r>
      <w:bookmarkEnd w:id="55"/>
      <w:bookmarkEnd w:id="60"/>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14"/>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14"/>
          <w:rFonts w:hint="eastAsia" w:ascii="仿宋" w:hAnsi="仿宋" w:eastAsia="仿宋"/>
          <w:b w:val="0"/>
          <w:bCs w:val="0"/>
        </w:rPr>
        <w:t>入总表</w:t>
      </w:r>
      <w:bookmarkEnd w:id="62"/>
    </w:p>
    <w:p>
      <w:pPr>
        <w:pStyle w:val="3"/>
        <w:rPr>
          <w:rFonts w:ascii="仿宋" w:hAnsi="仿宋" w:eastAsia="仿宋"/>
          <w:color w:val="000000"/>
        </w:rPr>
      </w:pPr>
      <w:bookmarkStart w:id="63" w:name="_Toc15396621"/>
      <w:r>
        <w:rPr>
          <w:rStyle w:val="14"/>
          <w:rFonts w:hint="eastAsia" w:ascii="仿宋" w:hAnsi="仿宋" w:eastAsia="仿宋"/>
          <w:b w:val="0"/>
          <w:bCs w:val="0"/>
        </w:rPr>
        <w:t>三、</w:t>
      </w:r>
      <w:r>
        <w:rPr>
          <w:rFonts w:hint="eastAsia" w:ascii="仿宋" w:hAnsi="仿宋" w:eastAsia="仿宋"/>
          <w:b w:val="0"/>
          <w:color w:val="000000"/>
        </w:rPr>
        <w:t>支</w:t>
      </w:r>
      <w:r>
        <w:rPr>
          <w:rStyle w:val="14"/>
          <w:rFonts w:hint="eastAsia" w:ascii="仿宋" w:hAnsi="仿宋" w:eastAsia="仿宋"/>
          <w:b w:val="0"/>
          <w:bCs w:val="0"/>
        </w:rPr>
        <w:t>出总表</w:t>
      </w:r>
      <w:bookmarkEnd w:id="63"/>
    </w:p>
    <w:p>
      <w:pPr>
        <w:pStyle w:val="3"/>
        <w:rPr>
          <w:rFonts w:ascii="仿宋" w:hAnsi="仿宋" w:eastAsia="仿宋"/>
          <w:b w:val="0"/>
          <w:color w:val="000000"/>
        </w:rPr>
      </w:pPr>
      <w:bookmarkStart w:id="64" w:name="_Toc15396622"/>
      <w:r>
        <w:rPr>
          <w:rStyle w:val="14"/>
          <w:rFonts w:hint="eastAsia" w:ascii="仿宋" w:hAnsi="仿宋" w:eastAsia="仿宋"/>
          <w:b w:val="0"/>
          <w:bCs w:val="0"/>
        </w:rPr>
        <w:t>四、</w:t>
      </w:r>
      <w:r>
        <w:rPr>
          <w:rFonts w:hint="eastAsia" w:ascii="仿宋" w:hAnsi="仿宋" w:eastAsia="仿宋"/>
          <w:b w:val="0"/>
          <w:color w:val="000000"/>
        </w:rPr>
        <w:t>财</w:t>
      </w:r>
      <w:r>
        <w:rPr>
          <w:rStyle w:val="14"/>
          <w:rFonts w:hint="eastAsia" w:ascii="仿宋" w:hAnsi="仿宋" w:eastAsia="仿宋"/>
          <w:b w:val="0"/>
          <w:bCs w:val="0"/>
        </w:rPr>
        <w:t>政拨款收入支出决算总表</w:t>
      </w:r>
      <w:bookmarkEnd w:id="64"/>
    </w:p>
    <w:p>
      <w:pPr>
        <w:pStyle w:val="3"/>
        <w:rPr>
          <w:rFonts w:ascii="仿宋" w:hAnsi="仿宋" w:eastAsia="仿宋"/>
          <w:color w:val="000000"/>
        </w:rPr>
      </w:pPr>
      <w:bookmarkStart w:id="65" w:name="_Toc15396623"/>
      <w:r>
        <w:rPr>
          <w:rStyle w:val="14"/>
          <w:rFonts w:hint="eastAsia" w:ascii="仿宋" w:hAnsi="仿宋" w:eastAsia="仿宋"/>
          <w:b w:val="0"/>
          <w:bCs w:val="0"/>
        </w:rPr>
        <w:t>五、</w:t>
      </w:r>
      <w:r>
        <w:rPr>
          <w:rFonts w:hint="eastAsia" w:ascii="仿宋" w:hAnsi="仿宋" w:eastAsia="仿宋"/>
          <w:b w:val="0"/>
          <w:color w:val="000000"/>
        </w:rPr>
        <w:t>财</w:t>
      </w:r>
      <w:r>
        <w:rPr>
          <w:rStyle w:val="14"/>
          <w:rFonts w:hint="eastAsia" w:ascii="仿宋" w:hAnsi="仿宋" w:eastAsia="仿宋"/>
          <w:b w:val="0"/>
          <w:bCs w:val="0"/>
        </w:rPr>
        <w:t>政拨款支出决算明细表（政府经济分类科目）</w:t>
      </w:r>
      <w:bookmarkEnd w:id="65"/>
    </w:p>
    <w:p>
      <w:pPr>
        <w:pStyle w:val="3"/>
        <w:rPr>
          <w:rFonts w:ascii="仿宋" w:hAnsi="仿宋" w:eastAsia="仿宋"/>
          <w:color w:val="000000"/>
        </w:rPr>
      </w:pPr>
      <w:bookmarkStart w:id="66" w:name="_Toc15396624"/>
      <w:r>
        <w:rPr>
          <w:rStyle w:val="14"/>
          <w:rFonts w:hint="eastAsia" w:ascii="仿宋" w:hAnsi="仿宋" w:eastAsia="仿宋"/>
          <w:b w:val="0"/>
          <w:bCs w:val="0"/>
        </w:rPr>
        <w:t>六、</w:t>
      </w:r>
      <w:r>
        <w:rPr>
          <w:rFonts w:hint="eastAsia" w:ascii="仿宋" w:hAnsi="仿宋" w:eastAsia="仿宋"/>
          <w:b w:val="0"/>
          <w:color w:val="000000"/>
        </w:rPr>
        <w:t>一</w:t>
      </w:r>
      <w:r>
        <w:rPr>
          <w:rStyle w:val="14"/>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14"/>
          <w:rFonts w:hint="eastAsia" w:ascii="仿宋" w:hAnsi="仿宋" w:eastAsia="仿宋"/>
          <w:b w:val="0"/>
          <w:bCs w:val="0"/>
        </w:rPr>
        <w:t>七、</w:t>
      </w:r>
      <w:r>
        <w:rPr>
          <w:rFonts w:hint="eastAsia" w:ascii="仿宋" w:hAnsi="仿宋" w:eastAsia="仿宋"/>
          <w:b w:val="0"/>
          <w:color w:val="000000"/>
        </w:rPr>
        <w:t>一</w:t>
      </w:r>
      <w:r>
        <w:rPr>
          <w:rStyle w:val="14"/>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14"/>
          <w:rFonts w:hint="eastAsia" w:ascii="仿宋" w:hAnsi="仿宋" w:eastAsia="仿宋"/>
          <w:b w:val="0"/>
          <w:bCs w:val="0"/>
        </w:rPr>
        <w:t>八、</w:t>
      </w:r>
      <w:r>
        <w:rPr>
          <w:rFonts w:hint="eastAsia" w:ascii="仿宋" w:hAnsi="仿宋" w:eastAsia="仿宋"/>
          <w:b w:val="0"/>
          <w:color w:val="000000"/>
        </w:rPr>
        <w:t>一</w:t>
      </w:r>
      <w:r>
        <w:rPr>
          <w:rStyle w:val="14"/>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14"/>
          <w:rFonts w:hint="eastAsia" w:ascii="仿宋" w:hAnsi="仿宋" w:eastAsia="仿宋"/>
          <w:b w:val="0"/>
          <w:bCs w:val="0"/>
        </w:rPr>
        <w:t>九、</w:t>
      </w:r>
      <w:r>
        <w:rPr>
          <w:rFonts w:hint="eastAsia" w:ascii="仿宋" w:hAnsi="仿宋" w:eastAsia="仿宋"/>
          <w:b w:val="0"/>
          <w:color w:val="000000"/>
        </w:rPr>
        <w:t>一</w:t>
      </w:r>
      <w:r>
        <w:rPr>
          <w:rStyle w:val="14"/>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14"/>
          <w:rFonts w:hint="eastAsia" w:ascii="仿宋" w:hAnsi="仿宋" w:eastAsia="仿宋"/>
          <w:b w:val="0"/>
          <w:bCs w:val="0"/>
        </w:rPr>
        <w:t>十、</w:t>
      </w:r>
      <w:r>
        <w:rPr>
          <w:rFonts w:hint="eastAsia" w:ascii="仿宋" w:hAnsi="仿宋" w:eastAsia="仿宋"/>
          <w:b w:val="0"/>
          <w:color w:val="000000"/>
        </w:rPr>
        <w:t>一</w:t>
      </w:r>
      <w:r>
        <w:rPr>
          <w:rStyle w:val="14"/>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14"/>
          <w:rFonts w:hint="eastAsia" w:ascii="仿宋" w:hAnsi="仿宋" w:eastAsia="仿宋"/>
          <w:b w:val="0"/>
          <w:bCs w:val="0"/>
        </w:rPr>
        <w:t>十一、</w:t>
      </w:r>
      <w:r>
        <w:rPr>
          <w:rFonts w:hint="eastAsia" w:ascii="仿宋" w:hAnsi="仿宋" w:eastAsia="仿宋"/>
          <w:b w:val="0"/>
          <w:color w:val="000000"/>
        </w:rPr>
        <w:t>政</w:t>
      </w:r>
      <w:r>
        <w:rPr>
          <w:rStyle w:val="14"/>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14"/>
          <w:rFonts w:hint="eastAsia" w:ascii="仿宋" w:hAnsi="仿宋" w:eastAsia="仿宋"/>
          <w:b w:val="0"/>
          <w:bCs w:val="0"/>
        </w:rPr>
        <w:t>十二、</w:t>
      </w:r>
      <w:r>
        <w:rPr>
          <w:rFonts w:hint="eastAsia" w:ascii="仿宋" w:hAnsi="仿宋" w:eastAsia="仿宋"/>
          <w:b w:val="0"/>
          <w:color w:val="000000"/>
        </w:rPr>
        <w:t>政</w:t>
      </w:r>
      <w:r>
        <w:rPr>
          <w:rStyle w:val="14"/>
          <w:rFonts w:hint="eastAsia" w:ascii="仿宋" w:hAnsi="仿宋" w:eastAsia="仿宋"/>
          <w:b w:val="0"/>
          <w:bCs w:val="0"/>
        </w:rPr>
        <w:t>府性基金预算财政拨款“三公”经费支出决算表</w:t>
      </w:r>
      <w:bookmarkEnd w:id="72"/>
    </w:p>
    <w:p>
      <w:pPr>
        <w:pStyle w:val="3"/>
        <w:rPr>
          <w:rFonts w:ascii="仿宋" w:hAnsi="仿宋" w:eastAsia="仿宋"/>
          <w:color w:val="000000" w:themeColor="text1"/>
          <w14:textFill>
            <w14:solidFill>
              <w14:schemeClr w14:val="tx1"/>
            </w14:solidFill>
          </w14:textFill>
        </w:rPr>
      </w:pPr>
      <w:bookmarkStart w:id="73" w:name="_Toc15396631"/>
      <w:r>
        <w:rPr>
          <w:rStyle w:val="14"/>
          <w:rFonts w:hint="eastAsia" w:ascii="仿宋" w:hAnsi="仿宋" w:eastAsia="仿宋"/>
          <w:b w:val="0"/>
          <w:bCs w:val="0"/>
        </w:rPr>
        <w:t>十三、</w:t>
      </w:r>
      <w:r>
        <w:rPr>
          <w:rFonts w:hint="eastAsia" w:ascii="仿宋" w:hAnsi="仿宋" w:eastAsia="仿宋"/>
          <w:b w:val="0"/>
          <w:color w:val="000000"/>
        </w:rPr>
        <w:t>国</w:t>
      </w:r>
      <w:r>
        <w:rPr>
          <w:rStyle w:val="14"/>
          <w:rFonts w:hint="eastAsia" w:ascii="仿宋" w:hAnsi="仿宋" w:eastAsia="仿宋"/>
          <w:b w:val="0"/>
          <w:bCs w:val="0"/>
        </w:rPr>
        <w:t>有资本经营预算支出决算表</w:t>
      </w:r>
      <w:bookmarkEnd w:id="73"/>
    </w:p>
    <w:p>
      <w:pPr>
        <w:spacing w:line="600" w:lineRule="exact"/>
        <w:ind w:firstLine="640" w:firstLineChars="200"/>
        <w:outlineLvl w:val="1"/>
        <w:rPr>
          <w:rFonts w:hint="eastAsia" w:ascii="仿宋" w:hAnsi="仿宋" w:eastAsia="仿宋"/>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Tahoma">
    <w:panose1 w:val="020B0604030504040204"/>
    <w:charset w:val="86"/>
    <w:family w:val="auto"/>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aiTi_GB2312">
    <w:altName w:val="Segoe Print"/>
    <w:panose1 w:val="0201060906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5E6D32"/>
    <w:multiLevelType w:val="singleLevel"/>
    <w:tmpl w:val="965E6D32"/>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1BA8B6F6"/>
    <w:multiLevelType w:val="singleLevel"/>
    <w:tmpl w:val="1BA8B6F6"/>
    <w:lvl w:ilvl="0" w:tentative="0">
      <w:start w:val="2"/>
      <w:numFmt w:val="chineseCounting"/>
      <w:suff w:val="nothing"/>
      <w:lvlText w:val="（%1）"/>
      <w:lvlJc w:val="left"/>
      <w:rPr>
        <w:rFonts w:hint="eastAsia"/>
      </w:rPr>
    </w:lvl>
  </w:abstractNum>
  <w:abstractNum w:abstractNumId="7">
    <w:nsid w:val="4985C7BC"/>
    <w:multiLevelType w:val="singleLevel"/>
    <w:tmpl w:val="4985C7BC"/>
    <w:lvl w:ilvl="0" w:tentative="0">
      <w:start w:val="1"/>
      <w:numFmt w:val="decimal"/>
      <w:lvlText w:val="%1."/>
      <w:lvlJc w:val="left"/>
      <w:pPr>
        <w:tabs>
          <w:tab w:val="left" w:pos="312"/>
        </w:tabs>
      </w:pPr>
    </w:lvl>
  </w:abstractNum>
  <w:abstractNum w:abstractNumId="8">
    <w:nsid w:val="5D7EE9B8"/>
    <w:multiLevelType w:val="singleLevel"/>
    <w:tmpl w:val="5D7EE9B8"/>
    <w:lvl w:ilvl="0" w:tentative="0">
      <w:start w:val="10"/>
      <w:numFmt w:val="decimal"/>
      <w:suff w:val="nothing"/>
      <w:lvlText w:val="%1."/>
      <w:lvlJc w:val="left"/>
    </w:lvl>
  </w:abstractNum>
  <w:num w:numId="1">
    <w:abstractNumId w:val="7"/>
  </w:num>
  <w:num w:numId="2">
    <w:abstractNumId w:val="4"/>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50122"/>
    <w:rsid w:val="0D050122"/>
    <w:rsid w:val="113E0394"/>
    <w:rsid w:val="119E4E7C"/>
    <w:rsid w:val="16175A2C"/>
    <w:rsid w:val="32F31BFA"/>
    <w:rsid w:val="3BD76708"/>
    <w:rsid w:val="4DE829FC"/>
    <w:rsid w:val="64E213E0"/>
    <w:rsid w:val="67210CD0"/>
    <w:rsid w:val="69702B9C"/>
    <w:rsid w:val="69D54FF1"/>
    <w:rsid w:val="6B192615"/>
    <w:rsid w:val="6EBF57AB"/>
    <w:rsid w:val="74862F60"/>
    <w:rsid w:val="78A24EAA"/>
    <w:rsid w:val="7B4D1D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Char"/>
    <w:basedOn w:val="10"/>
    <w:link w:val="2"/>
    <w:qFormat/>
    <w:uiPriority w:val="9"/>
    <w:rPr>
      <w:b/>
      <w:bCs/>
      <w:kern w:val="44"/>
      <w:sz w:val="44"/>
      <w:szCs w:val="44"/>
    </w:rPr>
  </w:style>
  <w:style w:type="character" w:customStyle="1" w:styleId="14">
    <w:name w:val="标题 2 Char"/>
    <w:basedOn w:val="10"/>
    <w:link w:val="3"/>
    <w:qFormat/>
    <w:uiPriority w:val="9"/>
    <w:rPr>
      <w:rFonts w:asciiTheme="majorHAnsi" w:hAnsiTheme="majorHAnsi" w:eastAsiaTheme="majorEastAsia" w:cstheme="majorBidi"/>
      <w:b/>
      <w:bCs/>
      <w:sz w:val="32"/>
      <w:szCs w:val="32"/>
    </w:rPr>
  </w:style>
  <w:style w:type="paragraph" w:customStyle="1"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solidFill>
                  <a:srgbClr val="000000"/>
                </a:solidFill>
                <a:latin typeface="宋体" panose="02010600030101010101" charset="-122"/>
                <a:ea typeface="宋体" panose="02010600030101010101" charset="-122"/>
                <a:cs typeface="宋体" panose="02010600030101010101" charset="-122"/>
              </a:rPr>
              <a:t>收、支决算总计变动情况图</a:t>
            </a:r>
            <a:r>
              <a:rPr lang="zh-CN" altLang="en-US" sz="1800" b="1" i="0" u="none" strike="noStrike" baseline="0">
                <a:solidFill>
                  <a:srgbClr val="000000"/>
                </a:solidFill>
                <a:latin typeface="宋体" panose="02010600030101010101" charset="-122"/>
                <a:ea typeface="宋体" panose="02010600030101010101" charset="-122"/>
                <a:cs typeface="宋体" panose="02010600030101010101" charset="-122"/>
              </a:rPr>
              <a:t>（万元）</a:t>
            </a:r>
            <a:endParaRPr lang="zh-CN" altLang="en-US" sz="1100" b="0" i="0" u="none" strike="noStrike" baseline="0">
              <a:solidFill>
                <a:srgbClr val="000000"/>
              </a:solidFill>
              <a:latin typeface="Tahoma" panose="020B0604030504040204" charset="-122"/>
              <a:ea typeface="Tahoma" panose="020B0604030504040204" charset="-122"/>
              <a:cs typeface="Tahoma" panose="020B0604030504040204" charset="-122"/>
            </a:endParaRPr>
          </a:p>
        </c:rich>
      </c:tx>
      <c:layout>
        <c:manualLayout>
          <c:xMode val="edge"/>
          <c:yMode val="edge"/>
          <c:x val="0.181269556925079"/>
          <c:y val="0.0277777777777778"/>
        </c:manualLayout>
      </c:layout>
      <c:overlay val="0"/>
      <c:spPr>
        <a:noFill/>
        <a:ln>
          <a:noFill/>
        </a:ln>
        <a:effectLst/>
      </c:spPr>
    </c:title>
    <c:autoTitleDeleted val="0"/>
    <c:plotArea>
      <c:layout>
        <c:manualLayout>
          <c:layoutTarget val="inner"/>
          <c:xMode val="edge"/>
          <c:yMode val="edge"/>
          <c:x val="0.240587219343696"/>
          <c:y val="0.305787037037037"/>
          <c:w val="0.721416234887737"/>
          <c:h val="0.501851851851852"/>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[决算公开图表.xls]Sheet1!$F$10:$G$10</c:f>
              <c:strCache>
                <c:ptCount val="2"/>
                <c:pt idx="0">
                  <c:v>2017年收支合计</c:v>
                </c:pt>
                <c:pt idx="1">
                  <c:v>2018年收支合计</c:v>
                </c:pt>
              </c:strCache>
            </c:strRef>
          </c:cat>
          <c:val>
            <c:numRef>
              <c:f>[决算公开图表.xls]Sheet1!$F$11:$G$11</c:f>
              <c:numCache>
                <c:formatCode>General</c:formatCode>
                <c:ptCount val="2"/>
                <c:pt idx="0">
                  <c:v>1925.5</c:v>
                </c:pt>
                <c:pt idx="1">
                  <c:v>1801.94</c:v>
                </c:pt>
              </c:numCache>
            </c:numRef>
          </c:val>
        </c:ser>
        <c:dLbls>
          <c:showLegendKey val="0"/>
          <c:showVal val="1"/>
          <c:showCatName val="0"/>
          <c:showSerName val="0"/>
          <c:showPercent val="0"/>
          <c:showBubbleSize val="0"/>
        </c:dLbls>
        <c:gapWidth val="150"/>
        <c:overlap val="0"/>
        <c:axId val="425365529"/>
        <c:axId val="692045984"/>
      </c:barChart>
      <c:catAx>
        <c:axId val="425365529"/>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692045984"/>
        <c:crosses val="autoZero"/>
        <c:auto val="1"/>
        <c:lblAlgn val="ctr"/>
        <c:lblOffset val="100"/>
        <c:noMultiLvlLbl val="0"/>
      </c:catAx>
      <c:valAx>
        <c:axId val="692045984"/>
        <c:scaling>
          <c:orientation val="minMax"/>
        </c:scaling>
        <c:delete val="0"/>
        <c:axPos val="l"/>
        <c:majorGridlines>
          <c:spPr>
            <a:ln w="6350" cap="flat" cmpd="sng" algn="ctr">
              <a:solidFill>
                <a:schemeClr val="tx1">
                  <a:lumMod val="50000"/>
                  <a:lumOff val="50000"/>
                </a:schemeClr>
              </a:solidFill>
              <a:prstDash val="solid"/>
              <a:round/>
            </a:ln>
            <a:effectLst/>
          </c:spPr>
        </c:majorGridlines>
        <c:title>
          <c:layout/>
          <c:overlay val="0"/>
          <c:spPr>
            <a:noFill/>
            <a:ln>
              <a:noFill/>
            </a:ln>
            <a:effectLst/>
          </c:spPr>
          <c:txPr>
            <a:bodyPr rot="-5400000" spcFirstLastPara="0" vertOverflow="ellipsis" horzOverflow="overflow"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spPr>
          <a:noFill/>
          <a:ln w="6350"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425365529"/>
        <c:crosses val="autoZero"/>
        <c:crossBetween val="between"/>
      </c:valAx>
      <c:dTable>
        <c:showHorzBorder val="1"/>
        <c:showVertBorder val="1"/>
        <c:showOutline val="1"/>
        <c:showKeys val="1"/>
        <c:spPr>
          <a:no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收入构成图</c:v>
                </c:pt>
              </c:strCache>
            </c:strRef>
          </c:tx>
          <c:spPr>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财政收入</c:v>
                </c:pt>
                <c:pt idx="1">
                  <c:v>事业收入</c:v>
                </c:pt>
              </c:strCache>
            </c:strRef>
          </c:cat>
          <c:val>
            <c:numRef>
              <c:f>Sheet1!$B$2:$B$3</c:f>
              <c:numCache>
                <c:formatCode>0.00%</c:formatCode>
                <c:ptCount val="2"/>
                <c:pt idx="0">
                  <c:v>0.4598</c:v>
                </c:pt>
                <c:pt idx="1">
                  <c:v>0.5402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t>支出决算结构图</a:t>
            </a:r>
            <a:endParaRPr lang="zh-CN" altLang="en-US"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effectLst/>
          </c:spPr>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[决算公开图表.xls]Sheet1!$D$57:$E$57</c:f>
              <c:strCache>
                <c:ptCount val="2"/>
                <c:pt idx="0">
                  <c:v>基本支出</c:v>
                </c:pt>
                <c:pt idx="1">
                  <c:v>项目支出</c:v>
                </c:pt>
              </c:strCache>
            </c:strRef>
          </c:cat>
          <c:val>
            <c:numRef>
              <c:f>[决算公开图表.xls]Sheet1!$D$58:$E$58</c:f>
              <c:numCache>
                <c:formatCode>General</c:formatCode>
                <c:ptCount val="2"/>
                <c:pt idx="0">
                  <c:v>1411.85</c:v>
                </c:pt>
                <c:pt idx="1">
                  <c:v>204.42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380" b="1" i="0" u="none" strike="noStrike" baseline="0">
                <a:solidFill>
                  <a:srgbClr val="000000"/>
                </a:solidFill>
                <a:latin typeface="宋体" panose="02010600030101010101" charset="-122"/>
                <a:ea typeface="宋体" panose="02010600030101010101" charset="-122"/>
                <a:cs typeface="宋体" panose="02010600030101010101" charset="-122"/>
              </a:rPr>
              <a:t>财政拨款收、支决算总计变动情况</a:t>
            </a:r>
            <a:r>
              <a:rPr lang="zh-CN" altLang="en-US" sz="1380" b="1" i="0" u="none" strike="noStrike" baseline="0">
                <a:solidFill>
                  <a:srgbClr val="000000"/>
                </a:solidFill>
                <a:latin typeface="宋体" panose="02010600030101010101" charset="-122"/>
                <a:ea typeface="宋体" panose="02010600030101010101" charset="-122"/>
                <a:cs typeface="宋体" panose="02010600030101010101" charset="-122"/>
              </a:rPr>
              <a:t>表标题</a:t>
            </a:r>
            <a:endParaRPr lang="zh-CN" altLang="en-US" sz="1100" b="0" i="0" u="none" strike="noStrike" baseline="0">
              <a:solidFill>
                <a:srgbClr val="000000"/>
              </a:solidFill>
              <a:latin typeface="Tahoma" panose="020B0604030504040204" charset="-122"/>
              <a:ea typeface="Tahoma" panose="020B0604030504040204" charset="-122"/>
              <a:cs typeface="Tahoma" panose="020B0604030504040204" charset="-122"/>
            </a:endParaRPr>
          </a:p>
        </c:rich>
      </c:tx>
      <c:layout/>
      <c:overlay val="0"/>
      <c:spPr>
        <a:noFill/>
        <a:ln>
          <a:noFill/>
        </a:ln>
        <a:effectLst/>
      </c:spPr>
    </c:title>
    <c:autoTitleDeleted val="0"/>
    <c:plotArea>
      <c:layout>
        <c:manualLayout>
          <c:layoutTarget val="inner"/>
          <c:xMode val="edge"/>
          <c:yMode val="edge"/>
          <c:x val="0.139743827568599"/>
          <c:y val="0.0963855421686747"/>
          <c:w val="0.811748709744834"/>
          <c:h val="0.563654618473896"/>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[决算公开图表.xls]Sheet1!$D$83:$G$83</c:f>
              <c:strCache>
                <c:ptCount val="4"/>
                <c:pt idx="0">
                  <c:v>2018年</c:v>
                </c:pt>
                <c:pt idx="1">
                  <c:v>2017年</c:v>
                </c:pt>
              </c:strCache>
            </c:strRef>
          </c:cat>
          <c:val>
            <c:numRef>
              <c:f>[决算公开图表.xls]Sheet1!$D$84:$G$84</c:f>
              <c:numCache>
                <c:formatCode>General</c:formatCode>
                <c:ptCount val="4"/>
                <c:pt idx="0">
                  <c:v>868.83</c:v>
                </c:pt>
                <c:pt idx="1">
                  <c:v>989.9</c:v>
                </c:pt>
              </c:numCache>
            </c:numRef>
          </c:val>
        </c:ser>
        <c:dLbls>
          <c:showLegendKey val="0"/>
          <c:showVal val="0"/>
          <c:showCatName val="0"/>
          <c:showSerName val="0"/>
          <c:showPercent val="0"/>
          <c:showBubbleSize val="0"/>
        </c:dLbls>
        <c:gapWidth val="150"/>
        <c:overlap val="0"/>
        <c:axId val="739864401"/>
        <c:axId val="942171826"/>
      </c:barChart>
      <c:catAx>
        <c:axId val="739864401"/>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942171826"/>
        <c:crosses val="autoZero"/>
        <c:auto val="1"/>
        <c:lblAlgn val="ctr"/>
        <c:lblOffset val="100"/>
        <c:noMultiLvlLbl val="0"/>
      </c:catAx>
      <c:valAx>
        <c:axId val="942171826"/>
        <c:scaling>
          <c:orientation val="minMax"/>
        </c:scaling>
        <c:delete val="0"/>
        <c:axPos val="l"/>
        <c:majorGridlines>
          <c:spPr>
            <a:ln w="6350" cap="flat" cmpd="sng" algn="ctr">
              <a:solidFill>
                <a:schemeClr val="tx1">
                  <a:lumMod val="50000"/>
                  <a:lumOff val="50000"/>
                </a:schemeClr>
              </a:solidFill>
              <a:prstDash val="solid"/>
              <a:round/>
            </a:ln>
            <a:effectLst/>
          </c:spPr>
        </c:majorGridlines>
        <c:title>
          <c:layout/>
          <c:overlay val="0"/>
          <c:spPr>
            <a:noFill/>
            <a:ln>
              <a:noFill/>
            </a:ln>
            <a:effectLst/>
          </c:spPr>
          <c:txPr>
            <a:bodyPr rot="-5400000" spcFirstLastPara="0" vertOverflow="ellipsis" horzOverflow="overflow"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spPr>
          <a:noFill/>
          <a:ln w="6350"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739864401"/>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t>一般公共预算财政拨款支出决算变动情况</a:t>
            </a:r>
            <a:endParaRPr lang="zh-CN" altLang="en-US"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[决算公开图表.xls]Sheet1!$D$111:$E$111</c:f>
              <c:strCache>
                <c:ptCount val="2"/>
                <c:pt idx="0">
                  <c:v>2017年</c:v>
                </c:pt>
                <c:pt idx="1">
                  <c:v>2018年</c:v>
                </c:pt>
              </c:strCache>
            </c:strRef>
          </c:cat>
          <c:val>
            <c:numRef>
              <c:f>[决算公开图表.xls]Sheet1!$D$112:$E$112</c:f>
              <c:numCache>
                <c:formatCode>General</c:formatCode>
                <c:ptCount val="2"/>
                <c:pt idx="0">
                  <c:v>816.88</c:v>
                </c:pt>
                <c:pt idx="1">
                  <c:v>683.17</c:v>
                </c:pt>
              </c:numCache>
            </c:numRef>
          </c:val>
        </c:ser>
        <c:dLbls>
          <c:showLegendKey val="0"/>
          <c:showVal val="1"/>
          <c:showCatName val="0"/>
          <c:showSerName val="0"/>
          <c:showPercent val="0"/>
          <c:showBubbleSize val="0"/>
        </c:dLbls>
        <c:gapWidth val="150"/>
        <c:overlap val="0"/>
        <c:axId val="373694108"/>
        <c:axId val="569506747"/>
      </c:barChart>
      <c:catAx>
        <c:axId val="373694108"/>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569506747"/>
        <c:crosses val="autoZero"/>
        <c:auto val="1"/>
        <c:lblAlgn val="ctr"/>
        <c:lblOffset val="100"/>
        <c:noMultiLvlLbl val="0"/>
      </c:catAx>
      <c:valAx>
        <c:axId val="569506747"/>
        <c:scaling>
          <c:orientation val="minMax"/>
        </c:scaling>
        <c:delete val="0"/>
        <c:axPos val="l"/>
        <c:majorGridlines>
          <c:spPr>
            <a:ln w="6350" cap="flat" cmpd="sng" algn="ctr">
              <a:solidFill>
                <a:schemeClr val="tx1">
                  <a:lumMod val="50000"/>
                  <a:lumOff val="50000"/>
                </a:schemeClr>
              </a:solidFill>
              <a:prstDash val="solid"/>
              <a:round/>
            </a:ln>
            <a:effectLst/>
          </c:spPr>
        </c:majorGridlines>
        <c:title>
          <c:layout/>
          <c:overlay val="0"/>
          <c:spPr>
            <a:noFill/>
            <a:ln>
              <a:noFill/>
            </a:ln>
            <a:effectLst/>
          </c:spPr>
          <c:txPr>
            <a:bodyPr rot="-5400000" spcFirstLastPara="0" vertOverflow="ellipsis" horzOverflow="overflow"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spPr>
          <a:noFill/>
          <a:ln w="6350"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37369410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t>一般公共预算财政拨款支出决算结构</a:t>
            </a:r>
            <a:endParaRPr lang="zh-CN" altLang="en-US"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effectLst/>
          </c:spPr>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Pt>
            <c:idx val="3"/>
            <c:bubble3D val="0"/>
            <c:explosion val="0"/>
            <c:spPr>
              <a:solidFill>
                <a:schemeClr val="accent4"/>
              </a:solidFill>
              <a:ln>
                <a:no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[决算公开图表.xls]Sheet1!$C$139:$F$139</c:f>
              <c:strCache>
                <c:ptCount val="4"/>
                <c:pt idx="0">
                  <c:v>一般公共服务</c:v>
                </c:pt>
                <c:pt idx="1">
                  <c:v>社会保障和就业</c:v>
                </c:pt>
                <c:pt idx="2">
                  <c:v>医疗卫生</c:v>
                </c:pt>
                <c:pt idx="3">
                  <c:v>住房保障</c:v>
                </c:pt>
              </c:strCache>
            </c:strRef>
          </c:cat>
          <c:val>
            <c:numRef>
              <c:f>[决算公开图表.xls]Sheet1!$C$140:$F$140</c:f>
              <c:numCache>
                <c:formatCode>General</c:formatCode>
                <c:ptCount val="4"/>
                <c:pt idx="0">
                  <c:v>6.63</c:v>
                </c:pt>
                <c:pt idx="1">
                  <c:v>129.06</c:v>
                </c:pt>
                <c:pt idx="2">
                  <c:v>493.39</c:v>
                </c:pt>
                <c:pt idx="3">
                  <c:v>54.09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2019-09-10T05:21:00Z</dcterms:created>
  <dc:creator>平淡</dc:creator>
  <cp:lastModifiedBy>平淡</cp:lastModifiedBy>
  <dcterms:modified xsi:type="dcterms:W3CDTF">2019-09-18T05:49:16Z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