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drawings/drawing4.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8441"/>
      <w:bookmarkStart w:id="3" w:name="_Toc15377193"/>
      <w:bookmarkStart w:id="4" w:name="_Toc15396475"/>
      <w:bookmarkStart w:id="5" w:name="_Toc15377425"/>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8442"/>
      <w:bookmarkStart w:id="7" w:name="_Toc15396598"/>
      <w:bookmarkStart w:id="8" w:name="_Toc15396476"/>
      <w:bookmarkStart w:id="9" w:name="_Toc15377426"/>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达州市达川区</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赵固镇卫生院部门决算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公开时间：2019年9月8日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6</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13</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16</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18</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p>
    <w:p>
      <w:pPr>
        <w:adjustRightInd w:val="0"/>
        <w:snapToGrid w:val="0"/>
        <w:spacing w:line="600" w:lineRule="atLeast"/>
        <w:ind w:firstLine="704" w:firstLineChars="220"/>
        <w:rPr>
          <w:rFonts w:ascii="仿宋_GB2312" w:eastAsia="仿宋_GB2312"/>
          <w:sz w:val="32"/>
          <w:szCs w:val="32"/>
        </w:rPr>
      </w:pPr>
      <w:r>
        <w:rPr>
          <w:rFonts w:hint="eastAsia" w:ascii="仿宋_GB2312" w:eastAsia="仿宋_GB2312"/>
          <w:sz w:val="32"/>
          <w:szCs w:val="32"/>
        </w:rPr>
        <w:t>我院是一所一级乙等乡镇卫生院，提供以预防保健、基本医疗、健康教育、计划生育、康复为主要内容的综合性服务，全面实施国家基本公共卫生服务和重大公共卫生服务项目，提高农民保健意识。受区卫生局委托承担辖区内公共卫生管理，负责对村级卫生机构的技术指导和对乡村医生的培训。</w:t>
      </w:r>
    </w:p>
    <w:bookmarkEnd w:id="16"/>
    <w:bookmarkEnd w:id="17"/>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adjustRightInd w:val="0"/>
        <w:snapToGrid w:val="0"/>
        <w:spacing w:line="600" w:lineRule="atLeast"/>
        <w:ind w:firstLine="704" w:firstLineChars="220"/>
        <w:rPr>
          <w:rFonts w:ascii="仿宋_GB2312" w:eastAsia="仿宋_GB2312"/>
          <w:sz w:val="32"/>
          <w:szCs w:val="32"/>
        </w:rPr>
      </w:pPr>
      <w:r>
        <w:rPr>
          <w:rFonts w:hint="eastAsia" w:ascii="仿宋_GB2312" w:eastAsia="仿宋_GB2312"/>
          <w:sz w:val="32"/>
          <w:szCs w:val="32"/>
        </w:rPr>
        <w:t>2018年达川区赵固镇卫生院的卫生工作在镇党委、政府和区卫生计生局领导下，</w:t>
      </w:r>
      <w:bookmarkStart w:id="20" w:name="OLE_LINK1"/>
      <w:r>
        <w:rPr>
          <w:rFonts w:hint="eastAsia" w:ascii="仿宋_GB2312" w:eastAsia="仿宋_GB2312"/>
          <w:sz w:val="32"/>
          <w:szCs w:val="32"/>
        </w:rPr>
        <w:t>坚持以“三个代表”重要思想为指导，认真贯彻落实党的十九大精神，强化“以病人为中心，以质量为核心”的服务理念，深入全面贯彻党的十九大精神、习近平新时代中国特色社会主义思想、习近平总书记对四川工作系列重要指示精神和省委十一届三次全会精神，落实市第四次党代会部署。深入开展“六个年”、“廉洁医院建设”活动。</w:t>
      </w:r>
      <w:bookmarkEnd w:id="20"/>
      <w:r>
        <w:rPr>
          <w:rFonts w:hint="eastAsia" w:ascii="仿宋_GB2312" w:eastAsia="仿宋_GB2312"/>
          <w:sz w:val="32"/>
          <w:szCs w:val="32"/>
        </w:rPr>
        <w:t>加强政治思想和医德医风教育，抓好医疗核心制度落实，严格医疗保险制度和基本公共卫生项目实施，努力做好辖区内疾病预防控制工作，严格执行药品网上采购“阳光采购”方案及基本药物制度和抗菌药物应用管理的规定。</w:t>
      </w:r>
    </w:p>
    <w:p>
      <w:pPr>
        <w:pStyle w:val="3"/>
        <w:rPr>
          <w:rStyle w:val="25"/>
          <w:b w:val="0"/>
          <w:bCs w:val="0"/>
        </w:rPr>
      </w:pPr>
      <w:bookmarkStart w:id="21" w:name="_Toc15396601"/>
      <w:bookmarkStart w:id="22"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1"/>
      <w:bookmarkEnd w:id="22"/>
    </w:p>
    <w:p>
      <w:pPr>
        <w:spacing w:line="600" w:lineRule="exact"/>
        <w:ind w:firstLine="640" w:firstLineChars="200"/>
        <w:rPr>
          <w:rFonts w:ascii="仿宋_GB2312" w:hAnsi="仿宋" w:eastAsia="仿宋_GB2312"/>
          <w:sz w:val="32"/>
          <w:szCs w:val="32"/>
        </w:rPr>
      </w:pPr>
      <w:r>
        <w:rPr>
          <w:rFonts w:hint="eastAsia" w:ascii="仿宋_GB2312" w:hAnsi="仿宋_GB2312" w:eastAsia="仿宋_GB2312" w:cs="仿宋_GB2312"/>
          <w:color w:val="000000"/>
          <w:sz w:val="32"/>
          <w:szCs w:val="32"/>
        </w:rPr>
        <w:t>达州市达川区赵固镇卫生院为事业单位1个。</w:t>
      </w:r>
      <w:r>
        <w:rPr>
          <w:rFonts w:hint="eastAsia" w:ascii="仿宋_GB2312" w:hAnsi="仿宋" w:eastAsia="仿宋_GB2312"/>
          <w:sz w:val="32"/>
          <w:szCs w:val="32"/>
        </w:rPr>
        <w:t>年末实有人数16（含临聘4人）人，其中事业专技人员 10人、事业工勤人员 2人、临聘人员 4人；退休人员 4人。</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Fonts w:hint="eastAsia" w:ascii="黑体" w:hAnsi="黑体" w:eastAsia="黑体"/>
          <w:b w:val="0"/>
          <w:color w:val="000000"/>
        </w:rPr>
      </w:pPr>
      <w:bookmarkStart w:id="23" w:name="_Toc15377204"/>
      <w:bookmarkStart w:id="24" w:name="_Toc15396602"/>
    </w:p>
    <w:p>
      <w:pPr>
        <w:pStyle w:val="2"/>
        <w:ind w:right="440"/>
        <w:jc w:val="right"/>
        <w:rPr>
          <w:rStyle w:val="24"/>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3"/>
      <w:bookmarkEnd w:id="24"/>
    </w:p>
    <w:p/>
    <w:p>
      <w:pPr>
        <w:pStyle w:val="23"/>
        <w:numPr>
          <w:ilvl w:val="0"/>
          <w:numId w:val="1"/>
        </w:numPr>
        <w:spacing w:line="600" w:lineRule="exact"/>
        <w:ind w:firstLineChars="0"/>
        <w:outlineLvl w:val="1"/>
        <w:rPr>
          <w:rStyle w:val="25"/>
          <w:rFonts w:ascii="黑体" w:hAnsi="黑体" w:eastAsia="黑体"/>
          <w:b w:val="0"/>
        </w:rPr>
      </w:pPr>
      <w:bookmarkStart w:id="25" w:name="_Toc15396603"/>
      <w:bookmarkStart w:id="26"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5"/>
      <w:bookmarkEnd w:id="26"/>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2018年度收、支总计394.04万元。与2017年相比，收、支总计各增加134.42万元，上升51.78</w:t>
      </w:r>
      <w:r>
        <w:rPr>
          <w:rFonts w:ascii="仿宋" w:hAnsi="仿宋" w:eastAsia="仿宋"/>
          <w:color w:val="000000"/>
          <w:sz w:val="32"/>
          <w:szCs w:val="32"/>
        </w:rPr>
        <w:t>%</w:t>
      </w:r>
      <w:r>
        <w:rPr>
          <w:rFonts w:hint="eastAsia" w:ascii="仿宋" w:hAnsi="仿宋" w:eastAsia="仿宋"/>
          <w:color w:val="000000"/>
          <w:sz w:val="32"/>
          <w:szCs w:val="32"/>
        </w:rPr>
        <w:t>。主要变动原因是2017年事业收入仅含有以来纯收入不含有其他医疗收入。</w:t>
      </w:r>
    </w:p>
    <w:p>
      <w:pPr>
        <w:spacing w:line="600" w:lineRule="exact"/>
        <w:ind w:firstLine="640" w:firstLineChars="200"/>
        <w:rPr>
          <w:rFonts w:ascii="仿宋" w:hAnsi="仿宋" w:eastAsia="仿宋"/>
          <w:color w:val="000000"/>
          <w:sz w:val="32"/>
          <w:szCs w:val="32"/>
        </w:rPr>
      </w:pPr>
    </w:p>
    <w:p>
      <w:pPr>
        <w:ind w:firstLine="640" w:firstLineChars="200"/>
        <w:rPr>
          <w:rFonts w:ascii="仿宋" w:hAnsi="仿宋" w:eastAsia="仿宋"/>
          <w:color w:val="000000"/>
          <w:sz w:val="32"/>
          <w:szCs w:val="32"/>
        </w:rPr>
      </w:pPr>
      <w:r>
        <w:rPr>
          <w:rFonts w:ascii="仿宋" w:hAnsi="仿宋" w:eastAsia="仿宋"/>
          <w:color w:val="000000"/>
          <w:sz w:val="32"/>
          <w:szCs w:val="32"/>
        </w:rPr>
        <w:drawing>
          <wp:inline distT="0" distB="0" distL="0" distR="0">
            <wp:extent cx="4591050" cy="3644900"/>
            <wp:effectExtent l="0" t="0" r="19050" b="1270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rPr>
          <w:rFonts w:hint="eastAsia" w:ascii="仿宋" w:hAnsi="仿宋" w:eastAsia="仿宋"/>
          <w:color w:val="000000" w:themeColor="text1"/>
          <w:sz w:val="32"/>
          <w:szCs w:val="32"/>
          <w14:textFill>
            <w14:solidFill>
              <w14:schemeClr w14:val="tx1"/>
            </w14:solidFill>
          </w14:textFill>
        </w:rPr>
      </w:pPr>
    </w:p>
    <w:p>
      <w:pPr>
        <w:spacing w:line="600" w:lineRule="exact"/>
        <w:rPr>
          <w:rFonts w:hint="eastAsia" w:ascii="仿宋" w:hAnsi="仿宋" w:eastAsia="仿宋"/>
          <w:color w:val="000000" w:themeColor="text1"/>
          <w:sz w:val="32"/>
          <w:szCs w:val="32"/>
          <w14:textFill>
            <w14:solidFill>
              <w14:schemeClr w14:val="tx1"/>
            </w14:solidFill>
          </w14:textFill>
        </w:rPr>
      </w:pPr>
    </w:p>
    <w:p>
      <w:pPr>
        <w:spacing w:line="600" w:lineRule="exact"/>
        <w:rPr>
          <w:rFonts w:hint="eastAsia" w:ascii="仿宋" w:hAnsi="仿宋" w:eastAsia="仿宋"/>
          <w:color w:val="000000" w:themeColor="text1"/>
          <w:sz w:val="32"/>
          <w:szCs w:val="32"/>
          <w14:textFill>
            <w14:solidFill>
              <w14:schemeClr w14:val="tx1"/>
            </w14:solidFill>
          </w14:textFill>
        </w:rPr>
      </w:pPr>
    </w:p>
    <w:p>
      <w:pPr>
        <w:spacing w:line="600" w:lineRule="exact"/>
        <w:rPr>
          <w:rFonts w:hint="eastAsia" w:ascii="仿宋" w:hAnsi="仿宋" w:eastAsia="仿宋"/>
          <w:color w:val="000000" w:themeColor="text1"/>
          <w:sz w:val="32"/>
          <w:szCs w:val="32"/>
          <w14:textFill>
            <w14:solidFill>
              <w14:schemeClr w14:val="tx1"/>
            </w14:solidFill>
          </w14:textFill>
        </w:rPr>
      </w:pPr>
    </w:p>
    <w:p>
      <w:pPr>
        <w:spacing w:line="600" w:lineRule="exact"/>
        <w:rPr>
          <w:rFonts w:hint="eastAsia" w:ascii="仿宋" w:hAnsi="仿宋" w:eastAsia="仿宋"/>
          <w:color w:val="000000" w:themeColor="text1"/>
          <w:sz w:val="32"/>
          <w:szCs w:val="32"/>
          <w14:textFill>
            <w14:solidFill>
              <w14:schemeClr w14:val="tx1"/>
            </w14:solidFill>
          </w14:textFill>
        </w:rPr>
      </w:pPr>
    </w:p>
    <w:p>
      <w:pPr>
        <w:pStyle w:val="23"/>
        <w:numPr>
          <w:ilvl w:val="0"/>
          <w:numId w:val="1"/>
        </w:numPr>
        <w:spacing w:line="600" w:lineRule="exact"/>
        <w:ind w:firstLineChars="0"/>
        <w:outlineLvl w:val="1"/>
        <w:rPr>
          <w:rStyle w:val="25"/>
          <w:rFonts w:ascii="黑体" w:hAnsi="黑体" w:eastAsia="黑体"/>
          <w:b w:val="0"/>
        </w:rPr>
      </w:pPr>
      <w:bookmarkStart w:id="27" w:name="_Toc15377206"/>
      <w:bookmarkStart w:id="28"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7"/>
      <w:bookmarkEnd w:id="28"/>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8年本年收入合计334.08万元，其中：一般公共预算财政拨款收入169.31万元，占50.68</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；事业收入164.77万元，占49.32</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outlineLvl w:val="1"/>
        <w:rPr>
          <w:rFonts w:ascii="仿宋" w:hAnsi="仿宋" w:eastAsia="仿宋"/>
          <w:color w:val="000000"/>
          <w:sz w:val="32"/>
          <w:szCs w:val="32"/>
        </w:rPr>
      </w:pPr>
    </w:p>
    <w:p>
      <w:pPr>
        <w:ind w:firstLine="640" w:firstLineChars="200"/>
        <w:rPr>
          <w:rFonts w:ascii="仿宋" w:hAnsi="仿宋" w:eastAsia="仿宋"/>
          <w:color w:val="000000"/>
          <w:sz w:val="32"/>
          <w:szCs w:val="32"/>
        </w:rPr>
      </w:pPr>
      <w:r>
        <w:rPr>
          <w:rFonts w:ascii="仿宋" w:hAnsi="仿宋" w:eastAsia="仿宋"/>
          <w:color w:val="000000"/>
          <w:sz w:val="32"/>
          <w:szCs w:val="32"/>
        </w:rPr>
        <w:drawing>
          <wp:inline distT="0" distB="0" distL="0" distR="0">
            <wp:extent cx="4654550" cy="2895600"/>
            <wp:effectExtent l="0" t="0" r="12700" b="1905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ind w:firstLine="640" w:firstLineChars="200"/>
        <w:jc w:val="center"/>
        <w:rPr>
          <w:rFonts w:ascii="仿宋" w:hAnsi="仿宋" w:eastAsia="仿宋"/>
          <w:color w:val="000000"/>
          <w:sz w:val="32"/>
          <w:szCs w:val="32"/>
        </w:rPr>
      </w:pPr>
    </w:p>
    <w:p>
      <w:pPr>
        <w:spacing w:line="600" w:lineRule="exact"/>
        <w:ind w:firstLine="2240" w:firstLineChars="700"/>
        <w:rPr>
          <w:rFonts w:ascii="仿宋" w:hAnsi="仿宋" w:eastAsia="仿宋"/>
          <w:color w:val="000000" w:themeColor="text1"/>
          <w:sz w:val="32"/>
          <w:szCs w:val="32"/>
          <w14:textFill>
            <w14:solidFill>
              <w14:schemeClr w14:val="tx1"/>
            </w14:solidFill>
          </w14:textFill>
        </w:rPr>
      </w:pPr>
    </w:p>
    <w:p>
      <w:pPr>
        <w:spacing w:line="600" w:lineRule="exact"/>
        <w:ind w:firstLine="2240" w:firstLineChars="7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ind w:firstLine="640" w:firstLineChars="200"/>
        <w:rPr>
          <w:rFonts w:ascii="仿宋_GB2312" w:eastAsia="仿宋_GB2312"/>
          <w:color w:val="FF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9" w:name="_Toc15377207"/>
      <w:bookmarkStart w:id="30"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9"/>
      <w:bookmarkEnd w:id="30"/>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8年本年支出合计325.89万元，其中：基本支出231.74万元，占71.11</w:t>
      </w:r>
      <w:r>
        <w:rPr>
          <w:rFonts w:ascii="仿宋" w:hAnsi="仿宋" w:eastAsia="仿宋"/>
          <w:color w:val="000000"/>
          <w:sz w:val="32"/>
          <w:szCs w:val="32"/>
        </w:rPr>
        <w:t>%</w:t>
      </w:r>
      <w:r>
        <w:rPr>
          <w:rFonts w:hint="eastAsia" w:ascii="仿宋" w:hAnsi="仿宋" w:eastAsia="仿宋"/>
          <w:color w:val="000000"/>
          <w:sz w:val="32"/>
          <w:szCs w:val="32"/>
        </w:rPr>
        <w:t>；项目支出94.15万元，占28.89</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 w:hAnsi="仿宋" w:eastAsia="仿宋"/>
          <w:color w:val="000000"/>
          <w:sz w:val="32"/>
          <w:szCs w:val="32"/>
        </w:rPr>
      </w:pPr>
    </w:p>
    <w:p>
      <w:pPr>
        <w:rPr>
          <w:rFonts w:ascii="仿宋" w:hAnsi="仿宋" w:eastAsia="仿宋"/>
          <w:color w:val="000000"/>
          <w:sz w:val="32"/>
          <w:szCs w:val="32"/>
        </w:rPr>
      </w:pPr>
      <w:r>
        <w:rPr>
          <w:rFonts w:ascii="仿宋" w:hAnsi="仿宋" w:eastAsia="仿宋"/>
          <w:color w:val="000000"/>
          <w:sz w:val="32"/>
          <w:szCs w:val="32"/>
        </w:rPr>
        <w:drawing>
          <wp:inline distT="0" distB="0" distL="0" distR="0">
            <wp:extent cx="5274310" cy="3076575"/>
            <wp:effectExtent l="0" t="0" r="21590" b="952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rPr>
          <w:rFonts w:ascii="仿宋" w:hAnsi="仿宋" w:eastAsia="仿宋"/>
          <w:color w:val="000000"/>
          <w:sz w:val="32"/>
          <w:szCs w:val="32"/>
        </w:rPr>
      </w:pPr>
    </w:p>
    <w:p>
      <w:pPr>
        <w:rPr>
          <w:rFonts w:ascii="仿宋" w:hAnsi="仿宋" w:eastAsia="仿宋"/>
          <w:color w:val="000000"/>
          <w:sz w:val="32"/>
          <w:szCs w:val="32"/>
        </w:rPr>
      </w:pPr>
    </w:p>
    <w:p>
      <w:pPr>
        <w:ind w:firstLine="640"/>
        <w:rPr>
          <w:rFonts w:ascii="仿宋" w:hAnsi="仿宋" w:eastAsia="仿宋"/>
          <w:color w:val="000000"/>
          <w:sz w:val="32"/>
          <w:szCs w:val="32"/>
        </w:rPr>
      </w:pPr>
    </w:p>
    <w:p>
      <w:pPr>
        <w:ind w:firstLine="640" w:firstLineChars="200"/>
        <w:jc w:val="center"/>
        <w:rPr>
          <w:rFonts w:ascii="仿宋" w:hAnsi="仿宋" w:eastAsia="仿宋"/>
          <w:color w:val="000000" w:themeColor="text1"/>
          <w:sz w:val="32"/>
          <w:szCs w:val="32"/>
          <w14:textFill>
            <w14:solidFill>
              <w14:schemeClr w14:val="tx1"/>
            </w14:solidFill>
          </w14:textFill>
        </w:rPr>
      </w:pPr>
    </w:p>
    <w:p>
      <w:pPr>
        <w:spacing w:line="600" w:lineRule="exact"/>
        <w:ind w:firstLine="2240" w:firstLineChars="700"/>
        <w:rPr>
          <w:rFonts w:ascii="仿宋_GB2312" w:eastAsia="仿宋"/>
          <w:color w:val="FF0000"/>
          <w:sz w:val="32"/>
          <w:szCs w:val="32"/>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outlineLvl w:val="1"/>
        <w:rPr>
          <w:rStyle w:val="25"/>
          <w:rFonts w:ascii="黑体" w:hAnsi="黑体" w:eastAsia="黑体"/>
          <w:b w:val="0"/>
        </w:rPr>
      </w:pPr>
      <w:bookmarkStart w:id="31" w:name="_Toc15396606"/>
      <w:bookmarkStart w:id="32"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1"/>
      <w:bookmarkEnd w:id="32"/>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8年财政拨款收、支总计229.27万元。与</w:t>
      </w:r>
      <w:r>
        <w:rPr>
          <w:rFonts w:ascii="仿宋" w:hAnsi="仿宋" w:eastAsia="仿宋"/>
          <w:color w:val="000000"/>
          <w:sz w:val="32"/>
          <w:szCs w:val="32"/>
        </w:rPr>
        <w:t>201</w:t>
      </w:r>
      <w:r>
        <w:rPr>
          <w:rFonts w:hint="eastAsia" w:ascii="仿宋" w:hAnsi="仿宋" w:eastAsia="仿宋"/>
          <w:color w:val="000000"/>
          <w:sz w:val="32"/>
          <w:szCs w:val="32"/>
        </w:rPr>
        <w:t xml:space="preserve">7年相比，财政拨款收、支总计各减少30.35万元，下降11.69 </w:t>
      </w:r>
      <w:r>
        <w:rPr>
          <w:rFonts w:ascii="仿宋" w:hAnsi="仿宋" w:eastAsia="仿宋"/>
          <w:color w:val="000000"/>
          <w:sz w:val="32"/>
          <w:szCs w:val="32"/>
        </w:rPr>
        <w:t>%</w:t>
      </w:r>
      <w:r>
        <w:rPr>
          <w:rFonts w:hint="eastAsia" w:ascii="仿宋" w:hAnsi="仿宋" w:eastAsia="仿宋"/>
          <w:color w:val="000000"/>
          <w:sz w:val="32"/>
          <w:szCs w:val="32"/>
        </w:rPr>
        <w:t>。主要变动原因是财政预算和财政应返还额度增加以及财政补助预算减少。</w:t>
      </w:r>
    </w:p>
    <w:p>
      <w:pPr>
        <w:ind w:firstLine="640" w:firstLineChars="200"/>
        <w:rPr>
          <w:rFonts w:ascii="仿宋" w:hAnsi="仿宋" w:eastAsia="仿宋"/>
          <w:color w:val="000000"/>
          <w:sz w:val="32"/>
          <w:szCs w:val="32"/>
        </w:rPr>
      </w:pPr>
    </w:p>
    <w:p>
      <w:pPr>
        <w:rPr>
          <w:rFonts w:ascii="仿宋" w:hAnsi="仿宋" w:eastAsia="仿宋"/>
          <w:color w:val="000000"/>
          <w:sz w:val="32"/>
          <w:szCs w:val="32"/>
        </w:rPr>
      </w:pPr>
      <w:r>
        <w:rPr>
          <w:rFonts w:ascii="仿宋" w:hAnsi="仿宋" w:eastAsia="仿宋"/>
          <w:color w:val="000000"/>
          <w:sz w:val="32"/>
          <w:szCs w:val="32"/>
        </w:rPr>
        <w:drawing>
          <wp:inline distT="0" distB="0" distL="0" distR="0">
            <wp:extent cx="5274310" cy="3076575"/>
            <wp:effectExtent l="0" t="0" r="21590" b="952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ind w:firstLine="640" w:firstLineChars="200"/>
        <w:rPr>
          <w:rFonts w:ascii="仿宋" w:hAnsi="仿宋" w:eastAsia="仿宋"/>
          <w:color w:val="000000"/>
          <w:sz w:val="32"/>
          <w:szCs w:val="32"/>
        </w:rPr>
      </w:pPr>
    </w:p>
    <w:p>
      <w:pPr>
        <w:ind w:firstLine="640" w:firstLineChars="200"/>
        <w:rPr>
          <w:rFonts w:ascii="仿宋" w:hAnsi="仿宋" w:eastAsia="仿宋"/>
          <w:color w:val="000000"/>
          <w:sz w:val="32"/>
          <w:szCs w:val="32"/>
        </w:rPr>
      </w:pPr>
    </w:p>
    <w:p>
      <w:pPr>
        <w:rPr>
          <w:rFonts w:ascii="仿宋" w:hAnsi="仿宋" w:eastAsia="仿宋"/>
          <w:color w:val="000000"/>
          <w:sz w:val="32"/>
          <w:szCs w:val="32"/>
        </w:rPr>
      </w:pPr>
    </w:p>
    <w:p>
      <w:pPr>
        <w:jc w:val="center"/>
        <w:rPr>
          <w:rFonts w:ascii="仿宋" w:hAnsi="仿宋" w:eastAsia="仿宋"/>
          <w:color w:val="000000"/>
          <w:sz w:val="32"/>
          <w:szCs w:val="32"/>
        </w:rPr>
      </w:pPr>
    </w:p>
    <w:p>
      <w:pPr>
        <w:ind w:firstLine="640" w:firstLineChars="200"/>
        <w:jc w:val="center"/>
        <w:rPr>
          <w:rFonts w:ascii="仿宋" w:hAnsi="仿宋" w:eastAsia="仿宋"/>
          <w:color w:val="000000"/>
          <w:sz w:val="32"/>
          <w:szCs w:val="32"/>
        </w:rPr>
      </w:pPr>
    </w:p>
    <w:p>
      <w:pPr>
        <w:spacing w:line="600" w:lineRule="exact"/>
        <w:ind w:firstLine="600" w:firstLineChars="200"/>
        <w:rPr>
          <w:rFonts w:ascii="仿宋" w:hAnsi="仿宋" w:eastAsia="仿宋"/>
          <w:b/>
          <w:color w:val="00B050"/>
          <w:sz w:val="30"/>
          <w:szCs w:val="30"/>
        </w:rPr>
      </w:pPr>
      <w:r>
        <w:rPr>
          <w:rFonts w:hint="eastAsia" w:ascii="仿宋" w:hAnsi="仿宋" w:eastAsia="仿宋"/>
          <w:color w:val="000000" w:themeColor="text1"/>
          <w:sz w:val="30"/>
          <w:szCs w:val="30"/>
          <w14:textFill>
            <w14:solidFill>
              <w14:schemeClr w14:val="tx1"/>
            </w14:solidFill>
          </w14:textFill>
        </w:rPr>
        <w:t>（图4：财政拨款收、支决算总计变动情况）（柱状图）</w:t>
      </w:r>
    </w:p>
    <w:p>
      <w:pPr>
        <w:spacing w:line="600" w:lineRule="exact"/>
        <w:ind w:firstLine="640" w:firstLineChars="200"/>
        <w:outlineLvl w:val="1"/>
        <w:rPr>
          <w:rStyle w:val="25"/>
          <w:rFonts w:ascii="黑体" w:hAnsi="黑体" w:eastAsia="黑体"/>
          <w:b w:val="0"/>
        </w:rPr>
      </w:pPr>
      <w:bookmarkStart w:id="33" w:name="_Toc15377209"/>
      <w:bookmarkStart w:id="34"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3"/>
      <w:bookmarkEnd w:id="34"/>
    </w:p>
    <w:p>
      <w:pPr>
        <w:spacing w:line="600" w:lineRule="exact"/>
        <w:ind w:firstLine="643" w:firstLineChars="200"/>
        <w:outlineLvl w:val="2"/>
        <w:rPr>
          <w:rFonts w:ascii="仿宋" w:hAnsi="仿宋" w:eastAsia="仿宋"/>
          <w:b/>
          <w:color w:val="000000"/>
          <w:sz w:val="32"/>
          <w:szCs w:val="32"/>
        </w:rPr>
      </w:pPr>
      <w:bookmarkStart w:id="35" w:name="_Toc15377210"/>
      <w:r>
        <w:rPr>
          <w:rFonts w:hint="eastAsia" w:ascii="仿宋" w:hAnsi="仿宋" w:eastAsia="仿宋"/>
          <w:b/>
          <w:color w:val="000000"/>
          <w:sz w:val="32"/>
          <w:szCs w:val="32"/>
        </w:rPr>
        <w:t>（一）一般公共预算财政拨款支出决算总体情况</w:t>
      </w:r>
      <w:bookmarkEnd w:id="35"/>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8年一般公共预算财政拨款支出161.12万元，占本年支出合计的49.44</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 xml:space="preserve">7年相比，一般公共预算财政拨款减少14.54万元，下降8.28 </w:t>
      </w:r>
      <w:r>
        <w:rPr>
          <w:rFonts w:ascii="仿宋" w:hAnsi="仿宋" w:eastAsia="仿宋"/>
          <w:color w:val="000000"/>
          <w:sz w:val="32"/>
          <w:szCs w:val="32"/>
        </w:rPr>
        <w:t>%</w:t>
      </w:r>
      <w:r>
        <w:rPr>
          <w:rFonts w:hint="eastAsia" w:ascii="仿宋" w:hAnsi="仿宋" w:eastAsia="仿宋"/>
          <w:color w:val="000000"/>
          <w:sz w:val="32"/>
          <w:szCs w:val="32"/>
        </w:rPr>
        <w:t>。主要变动原因是人员及工资增加。</w:t>
      </w:r>
    </w:p>
    <w:p>
      <w:pPr>
        <w:spacing w:line="600" w:lineRule="exact"/>
        <w:rPr>
          <w:rFonts w:ascii="仿宋" w:hAnsi="仿宋" w:eastAsia="仿宋"/>
          <w:color w:val="000000" w:themeColor="text1"/>
          <w:sz w:val="32"/>
          <w:szCs w:val="32"/>
          <w14:textFill>
            <w14:solidFill>
              <w14:schemeClr w14:val="tx1"/>
            </w14:solidFill>
          </w14:textFill>
        </w:rPr>
      </w:pPr>
    </w:p>
    <w:p>
      <w:pPr>
        <w:spacing w:line="600" w:lineRule="exact"/>
        <w:rPr>
          <w:rFonts w:ascii="仿宋" w:hAnsi="仿宋" w:eastAsia="仿宋"/>
          <w:color w:val="000000" w:themeColor="text1"/>
          <w:sz w:val="32"/>
          <w:szCs w:val="32"/>
          <w14:textFill>
            <w14:solidFill>
              <w14:schemeClr w14:val="tx1"/>
            </w14:solidFill>
          </w14:textFill>
        </w:rPr>
      </w:pPr>
    </w:p>
    <w:p>
      <w:pPr>
        <w:spacing w:line="600" w:lineRule="exac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drawing>
          <wp:anchor distT="0" distB="0" distL="114300" distR="114300" simplePos="0" relativeHeight="251658240" behindDoc="0" locked="0" layoutInCell="1" allowOverlap="1">
            <wp:simplePos x="0" y="0"/>
            <wp:positionH relativeFrom="column">
              <wp:posOffset>142240</wp:posOffset>
            </wp:positionH>
            <wp:positionV relativeFrom="paragraph">
              <wp:posOffset>76200</wp:posOffset>
            </wp:positionV>
            <wp:extent cx="5274310" cy="3073400"/>
            <wp:effectExtent l="0" t="0" r="254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74310" cy="3073400"/>
                    </a:xfrm>
                    <a:prstGeom prst="rect">
                      <a:avLst/>
                    </a:prstGeom>
                  </pic:spPr>
                </pic:pic>
              </a:graphicData>
            </a:graphic>
          </wp:anchor>
        </w:drawing>
      </w:r>
    </w:p>
    <w:p>
      <w:pPr>
        <w:spacing w:line="600" w:lineRule="exact"/>
        <w:rPr>
          <w:rFonts w:ascii="仿宋" w:hAnsi="仿宋" w:eastAsia="仿宋"/>
          <w:color w:val="000000" w:themeColor="text1"/>
          <w:sz w:val="32"/>
          <w:szCs w:val="32"/>
          <w14:textFill>
            <w14:solidFill>
              <w14:schemeClr w14:val="tx1"/>
            </w14:solidFill>
          </w14:textFill>
        </w:rPr>
      </w:pPr>
    </w:p>
    <w:p>
      <w:pPr>
        <w:spacing w:line="600" w:lineRule="exact"/>
        <w:rPr>
          <w:rFonts w:ascii="仿宋" w:hAnsi="仿宋" w:eastAsia="仿宋"/>
          <w:color w:val="000000" w:themeColor="text1"/>
          <w:sz w:val="32"/>
          <w:szCs w:val="32"/>
          <w14:textFill>
            <w14:solidFill>
              <w14:schemeClr w14:val="tx1"/>
            </w14:solidFill>
          </w14:textFill>
        </w:rPr>
      </w:pPr>
    </w:p>
    <w:p>
      <w:pPr>
        <w:spacing w:line="600" w:lineRule="exact"/>
        <w:rPr>
          <w:rFonts w:ascii="仿宋" w:hAnsi="仿宋" w:eastAsia="仿宋"/>
          <w:color w:val="000000" w:themeColor="text1"/>
          <w:sz w:val="32"/>
          <w:szCs w:val="32"/>
          <w14:textFill>
            <w14:solidFill>
              <w14:schemeClr w14:val="tx1"/>
            </w14:solidFill>
          </w14:textFill>
        </w:rPr>
      </w:pPr>
    </w:p>
    <w:p>
      <w:pPr>
        <w:spacing w:line="600" w:lineRule="exact"/>
        <w:rPr>
          <w:rFonts w:ascii="仿宋" w:hAnsi="仿宋" w:eastAsia="仿宋"/>
          <w:color w:val="000000" w:themeColor="text1"/>
          <w:sz w:val="32"/>
          <w:szCs w:val="32"/>
          <w14:textFill>
            <w14:solidFill>
              <w14:schemeClr w14:val="tx1"/>
            </w14:solidFill>
          </w14:textFill>
        </w:rPr>
      </w:pPr>
    </w:p>
    <w:p>
      <w:pPr>
        <w:spacing w:line="600" w:lineRule="exact"/>
        <w:rPr>
          <w:rFonts w:ascii="仿宋" w:hAnsi="仿宋" w:eastAsia="仿宋"/>
          <w:color w:val="000000" w:themeColor="text1"/>
          <w:sz w:val="32"/>
          <w:szCs w:val="32"/>
          <w14:textFill>
            <w14:solidFill>
              <w14:schemeClr w14:val="tx1"/>
            </w14:solidFill>
          </w14:textFill>
        </w:rPr>
      </w:pPr>
    </w:p>
    <w:p>
      <w:pPr>
        <w:spacing w:line="600" w:lineRule="exact"/>
        <w:rPr>
          <w:rFonts w:ascii="仿宋" w:hAnsi="仿宋" w:eastAsia="仿宋"/>
          <w:color w:val="000000" w:themeColor="text1"/>
          <w:sz w:val="32"/>
          <w:szCs w:val="32"/>
          <w14:textFill>
            <w14:solidFill>
              <w14:schemeClr w14:val="tx1"/>
            </w14:solidFill>
          </w14:textFill>
        </w:rPr>
      </w:pPr>
    </w:p>
    <w:p>
      <w:pPr>
        <w:spacing w:line="600" w:lineRule="exact"/>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sz w:val="32"/>
          <w:szCs w:val="32"/>
        </w:rPr>
      </w:pPr>
    </w:p>
    <w:p>
      <w:pPr>
        <w:ind w:firstLine="640" w:firstLineChars="200"/>
        <w:jc w:val="center"/>
        <w:rPr>
          <w:rFonts w:ascii="仿宋" w:hAnsi="仿宋" w:eastAsia="仿宋"/>
          <w:color w:val="000000" w:themeColor="text1"/>
          <w:sz w:val="32"/>
          <w:szCs w:val="32"/>
          <w14:textFill>
            <w14:solidFill>
              <w14:schemeClr w14:val="tx1"/>
            </w14:solidFill>
          </w14:textFill>
        </w:rPr>
      </w:pPr>
    </w:p>
    <w:p>
      <w:pPr>
        <w:spacing w:line="60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（图5：一般公共预算财政拨款支出决算变动情况）（柱状图）</w:t>
      </w:r>
    </w:p>
    <w:p>
      <w:pPr>
        <w:spacing w:line="600" w:lineRule="exact"/>
        <w:ind w:firstLine="643" w:firstLineChars="200"/>
        <w:outlineLvl w:val="2"/>
        <w:rPr>
          <w:rFonts w:ascii="仿宋" w:hAnsi="仿宋" w:eastAsia="仿宋"/>
          <w:b/>
          <w:color w:val="000000"/>
          <w:sz w:val="32"/>
          <w:szCs w:val="32"/>
        </w:rPr>
      </w:pPr>
      <w:bookmarkStart w:id="36" w:name="_Toc15377211"/>
      <w:r>
        <w:rPr>
          <w:rFonts w:hint="eastAsia" w:ascii="仿宋" w:hAnsi="仿宋" w:eastAsia="仿宋"/>
          <w:b/>
          <w:color w:val="000000"/>
          <w:sz w:val="32"/>
          <w:szCs w:val="32"/>
        </w:rPr>
        <w:t>（二）一般公共预算财政拨款支出决算结构情况</w:t>
      </w:r>
      <w:bookmarkEnd w:id="36"/>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政拨款支出161.12万元，主要用于以下方面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支出4.55万元，占2.82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14:textFill>
            <w14:solidFill>
              <w14:schemeClr w14:val="tx1"/>
            </w14:solidFill>
          </w14:textFill>
        </w:rPr>
        <w:t>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支出12.58万元，占7.80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；医疗卫生与计划生育支出136.17万元，占84.51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；住房保障支出7.82万元，占4.85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ind w:firstLine="640"/>
        <w:rPr>
          <w:rFonts w:ascii="仿宋" w:hAnsi="仿宋" w:eastAsia="仿宋"/>
          <w:color w:val="000000" w:themeColor="text1"/>
          <w:sz w:val="32"/>
          <w:szCs w:val="32"/>
          <w14:textFill>
            <w14:solidFill>
              <w14:schemeClr w14:val="tx1"/>
            </w14:solidFill>
          </w14:textFill>
        </w:rPr>
      </w:pPr>
    </w:p>
    <w:p>
      <w:pPr>
        <w:ind w:firstLine="640"/>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drawing>
          <wp:inline distT="0" distB="0" distL="0" distR="0">
            <wp:extent cx="5274310" cy="3076575"/>
            <wp:effectExtent l="0" t="0" r="21590" b="9525"/>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ind w:firstLine="640" w:firstLineChars="200"/>
        <w:jc w:val="cente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spacing w:line="600" w:lineRule="exact"/>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7" w:name="_Toc15377212"/>
      <w:r>
        <w:rPr>
          <w:rFonts w:hint="eastAsia" w:ascii="仿宋" w:hAnsi="仿宋" w:eastAsia="仿宋"/>
          <w:b/>
          <w:color w:val="000000"/>
          <w:sz w:val="32"/>
          <w:szCs w:val="32"/>
        </w:rPr>
        <w:t>（三）一般公共预算财政拨款支出决算具体情况</w:t>
      </w:r>
      <w:bookmarkEnd w:id="37"/>
    </w:p>
    <w:p>
      <w:pPr>
        <w:spacing w:line="600" w:lineRule="exact"/>
        <w:ind w:firstLine="643" w:firstLineChars="200"/>
        <w:outlineLvl w:val="2"/>
        <w:rPr>
          <w:rFonts w:ascii="仿宋" w:hAnsi="仿宋" w:eastAsia="仿宋"/>
          <w:color w:val="FF0000"/>
          <w:sz w:val="32"/>
          <w:szCs w:val="32"/>
        </w:rPr>
      </w:pPr>
      <w:bookmarkStart w:id="38" w:name="_Toc15377213"/>
      <w:bookmarkStart w:id="39" w:name="_Toc15377444"/>
      <w:bookmarkStart w:id="40" w:name="_Toc15378460"/>
      <w:r>
        <w:rPr>
          <w:rFonts w:hint="eastAsia" w:ascii="仿宋" w:hAnsi="仿宋" w:eastAsia="仿宋"/>
          <w:b/>
          <w:color w:val="000000" w:themeColor="text1"/>
          <w:sz w:val="32"/>
          <w:szCs w:val="32"/>
          <w14:textFill>
            <w14:solidFill>
              <w14:schemeClr w14:val="tx1"/>
            </w14:solidFill>
          </w14:textFill>
        </w:rPr>
        <w:t>2018年般公共预算支出决算数为161.12万元</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预算70.28</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8"/>
      <w:bookmarkEnd w:id="39"/>
      <w:bookmarkEnd w:id="40"/>
    </w:p>
    <w:p>
      <w:pPr>
        <w:numPr>
          <w:ilvl w:val="0"/>
          <w:numId w:val="2"/>
        </w:num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一般公共服务支出（201）人力资源事务（20110）其他人力资源事务支出（2011099）：</w:t>
      </w:r>
      <w:r>
        <w:rPr>
          <w:rStyle w:val="14"/>
          <w:rFonts w:hint="eastAsia" w:ascii="仿宋" w:hAnsi="仿宋" w:eastAsia="仿宋"/>
          <w:b w:val="0"/>
          <w:bCs/>
          <w:color w:val="000000"/>
          <w:sz w:val="32"/>
          <w:szCs w:val="32"/>
        </w:rPr>
        <w:t>支出决算为4.55万元，完成预算100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numPr>
          <w:ilvl w:val="0"/>
          <w:numId w:val="2"/>
        </w:numPr>
        <w:spacing w:line="600" w:lineRule="exact"/>
        <w:ind w:firstLine="643" w:firstLineChars="200"/>
        <w:rPr>
          <w:rStyle w:val="14"/>
          <w:rFonts w:ascii="仿宋" w:hAnsi="仿宋" w:eastAsia="仿宋"/>
          <w:b w:val="0"/>
          <w:bCs/>
          <w:color w:val="000000"/>
          <w:sz w:val="32"/>
          <w:szCs w:val="32"/>
        </w:rPr>
      </w:pPr>
      <w:r>
        <w:rPr>
          <w:rStyle w:val="14"/>
          <w:rFonts w:hint="eastAsia" w:ascii="仿宋_GB2312" w:eastAsia="仿宋_GB2312"/>
          <w:color w:val="000000"/>
          <w:sz w:val="32"/>
          <w:szCs w:val="32"/>
        </w:rPr>
        <w:t>社会保障和就业（208）行政事业单位离退休（20805）机关事业单位基本养老保险缴费支出（2080505）</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支出决算为12.58万元，完成预算100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numPr>
          <w:ilvl w:val="0"/>
          <w:numId w:val="2"/>
        </w:numPr>
        <w:spacing w:line="600" w:lineRule="exact"/>
        <w:ind w:firstLine="643" w:firstLineChars="200"/>
        <w:rPr>
          <w:rStyle w:val="14"/>
          <w:rFonts w:ascii="仿宋" w:hAnsi="仿宋" w:eastAsia="仿宋"/>
          <w:b w:val="0"/>
          <w:bCs/>
          <w:color w:val="000000"/>
          <w:sz w:val="32"/>
          <w:szCs w:val="32"/>
        </w:rPr>
      </w:pPr>
      <w:r>
        <w:rPr>
          <w:rStyle w:val="14"/>
          <w:rFonts w:hint="eastAsia" w:ascii="仿宋_GB2312" w:eastAsia="仿宋_GB2312"/>
          <w:color w:val="000000"/>
          <w:sz w:val="32"/>
          <w:szCs w:val="32"/>
        </w:rPr>
        <w:t>医疗卫生与计划生育（210）基层医疗卫生机构（21003）乡镇卫生院（2100302）</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支出决算为37.64万元，完成预算38.57</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，决算数小于预算数的主要原因下差财政拨款等。</w:t>
      </w:r>
    </w:p>
    <w:p>
      <w:pPr>
        <w:numPr>
          <w:ilvl w:val="0"/>
          <w:numId w:val="2"/>
        </w:numPr>
        <w:spacing w:line="600" w:lineRule="exact"/>
        <w:ind w:firstLine="643" w:firstLineChars="200"/>
        <w:rPr>
          <w:rStyle w:val="14"/>
          <w:rFonts w:ascii="仿宋" w:hAnsi="仿宋" w:eastAsia="仿宋"/>
          <w:b w:val="0"/>
          <w:bCs/>
          <w:color w:val="000000"/>
          <w:sz w:val="32"/>
          <w:szCs w:val="32"/>
        </w:rPr>
      </w:pPr>
      <w:r>
        <w:rPr>
          <w:rStyle w:val="14"/>
          <w:rFonts w:hint="eastAsia" w:ascii="仿宋_GB2312" w:eastAsia="仿宋_GB2312"/>
          <w:color w:val="000000"/>
          <w:sz w:val="32"/>
          <w:szCs w:val="32"/>
        </w:rPr>
        <w:t>医疗卫生与计划生育（210）基层医疗卫生机构（21003）其他基层医疗卫生机构支出（2100399）</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支出决算为18.49万元，完成预算100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numPr>
          <w:ilvl w:val="0"/>
          <w:numId w:val="2"/>
        </w:numPr>
        <w:spacing w:line="600" w:lineRule="exact"/>
        <w:ind w:firstLine="643" w:firstLineChars="200"/>
        <w:rPr>
          <w:rStyle w:val="14"/>
          <w:rFonts w:ascii="仿宋" w:hAnsi="仿宋" w:eastAsia="仿宋"/>
          <w:b w:val="0"/>
          <w:bCs/>
          <w:color w:val="000000"/>
          <w:sz w:val="32"/>
          <w:szCs w:val="32"/>
        </w:rPr>
      </w:pPr>
      <w:r>
        <w:rPr>
          <w:rStyle w:val="14"/>
          <w:rFonts w:hint="eastAsia" w:ascii="仿宋_GB2312" w:eastAsia="仿宋_GB2312"/>
          <w:color w:val="000000"/>
          <w:sz w:val="32"/>
          <w:szCs w:val="32"/>
        </w:rPr>
        <w:t>医疗卫生与计划生育（210）公共卫生（21004）基本公共卫生服务（2100408）</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支出决算为75.66万元，完成预算100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numPr>
          <w:ilvl w:val="0"/>
          <w:numId w:val="2"/>
        </w:num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医疗卫生与计划生育（210）行政事业单位医疗（21011）事业单位医疗（2101102）</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支出决算为4.38万元，完成预算100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numPr>
          <w:ilvl w:val="0"/>
          <w:numId w:val="2"/>
        </w:numPr>
        <w:spacing w:line="600" w:lineRule="exact"/>
        <w:ind w:firstLine="643" w:firstLineChars="200"/>
        <w:rPr>
          <w:rFonts w:ascii="仿宋" w:hAnsi="仿宋" w:eastAsia="仿宋"/>
          <w:b/>
          <w:color w:val="000000"/>
          <w:sz w:val="32"/>
          <w:szCs w:val="32"/>
        </w:rPr>
      </w:pPr>
      <w:r>
        <w:rPr>
          <w:rStyle w:val="14"/>
          <w:rFonts w:hint="eastAsia" w:ascii="仿宋_GB2312" w:eastAsia="仿宋_GB2312"/>
          <w:color w:val="000000"/>
          <w:sz w:val="32"/>
          <w:szCs w:val="32"/>
        </w:rPr>
        <w:t>住房保障支出（221）住房保障改革（22102）住房公积金（2210201）</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支出决算为7.82万元，完成预算100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tabs>
          <w:tab w:val="right" w:pos="8306"/>
        </w:tabs>
        <w:spacing w:line="600" w:lineRule="exact"/>
        <w:ind w:firstLine="640"/>
        <w:outlineLvl w:val="1"/>
        <w:rPr>
          <w:rStyle w:val="25"/>
        </w:rPr>
      </w:pPr>
      <w:bookmarkStart w:id="41" w:name="_Toc15377214"/>
      <w:bookmarkStart w:id="42"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1"/>
      <w:bookmarkEnd w:id="42"/>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8年一般公共预算财政拨款基本支出66.97万元，其中：</w:t>
      </w:r>
    </w:p>
    <w:p>
      <w:pPr>
        <w:spacing w:line="600" w:lineRule="exact"/>
        <w:ind w:firstLine="645"/>
        <w:rPr>
          <w:rFonts w:ascii="仿宋" w:hAnsi="仿宋" w:eastAsia="仿宋"/>
          <w:b/>
          <w:color w:val="FF0000"/>
          <w:sz w:val="32"/>
          <w:szCs w:val="32"/>
        </w:rPr>
      </w:pPr>
      <w:r>
        <w:rPr>
          <w:rFonts w:hint="eastAsia" w:ascii="仿宋" w:hAnsi="仿宋" w:eastAsia="仿宋"/>
          <w:color w:val="000000"/>
          <w:sz w:val="32"/>
          <w:szCs w:val="32"/>
        </w:rPr>
        <w:t>人员经费66.97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0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3" w:name="_Toc15377215"/>
      <w:bookmarkStart w:id="44"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3"/>
      <w:bookmarkEnd w:id="44"/>
    </w:p>
    <w:p>
      <w:pPr>
        <w:spacing w:line="600" w:lineRule="exact"/>
        <w:ind w:firstLine="640"/>
        <w:outlineLvl w:val="2"/>
        <w:rPr>
          <w:rFonts w:ascii="仿宋" w:hAnsi="仿宋" w:eastAsia="仿宋"/>
          <w:b/>
          <w:color w:val="000000"/>
          <w:sz w:val="32"/>
          <w:szCs w:val="32"/>
        </w:rPr>
      </w:pPr>
      <w:bookmarkStart w:id="45" w:name="_Toc15377216"/>
      <w:r>
        <w:rPr>
          <w:rFonts w:hint="eastAsia" w:ascii="仿宋" w:hAnsi="仿宋" w:eastAsia="仿宋"/>
          <w:b/>
          <w:color w:val="000000"/>
          <w:sz w:val="32"/>
          <w:szCs w:val="32"/>
        </w:rPr>
        <w:t>（一）“三公”经费财政拨款支出决算总体情况说明</w:t>
      </w:r>
      <w:bookmarkEnd w:id="45"/>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sz w:val="32"/>
          <w:szCs w:val="32"/>
        </w:rPr>
        <w:t>无</w:t>
      </w:r>
    </w:p>
    <w:p>
      <w:pPr>
        <w:spacing w:line="600" w:lineRule="exact"/>
        <w:ind w:firstLine="640"/>
        <w:outlineLvl w:val="2"/>
        <w:rPr>
          <w:rFonts w:ascii="仿宋" w:hAnsi="仿宋" w:eastAsia="仿宋"/>
          <w:b/>
          <w:color w:val="000000"/>
          <w:sz w:val="32"/>
          <w:szCs w:val="32"/>
        </w:rPr>
      </w:pPr>
      <w:bookmarkStart w:id="46" w:name="_Toc15377217"/>
      <w:r>
        <w:rPr>
          <w:rFonts w:hint="eastAsia" w:ascii="仿宋" w:hAnsi="仿宋" w:eastAsia="仿宋"/>
          <w:b/>
          <w:color w:val="000000"/>
          <w:sz w:val="32"/>
          <w:szCs w:val="32"/>
        </w:rPr>
        <w:t>（二）“三公”经费财政拨款支出决算具体情况说明</w:t>
      </w:r>
      <w:bookmarkEnd w:id="46"/>
    </w:p>
    <w:p>
      <w:pPr>
        <w:spacing w:line="600" w:lineRule="exact"/>
        <w:ind w:firstLine="640"/>
        <w:outlineLvl w:val="1"/>
        <w:rPr>
          <w:rFonts w:ascii="仿宋" w:hAnsi="仿宋" w:eastAsia="仿宋"/>
          <w:color w:val="000000"/>
          <w:sz w:val="32"/>
          <w:szCs w:val="32"/>
        </w:rPr>
      </w:pPr>
      <w:r>
        <w:rPr>
          <w:rFonts w:hint="eastAsia" w:ascii="仿宋" w:hAnsi="仿宋" w:eastAsia="仿宋"/>
          <w:color w:val="000000"/>
          <w:sz w:val="32"/>
          <w:szCs w:val="32"/>
        </w:rPr>
        <w:t>无</w:t>
      </w:r>
      <w:bookmarkStart w:id="47" w:name="_Toc15377218"/>
      <w:bookmarkStart w:id="48" w:name="_Toc15396610"/>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7"/>
      <w:bookmarkEnd w:id="48"/>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无</w:t>
      </w:r>
    </w:p>
    <w:p>
      <w:pPr>
        <w:numPr>
          <w:ilvl w:val="0"/>
          <w:numId w:val="3"/>
        </w:numPr>
        <w:spacing w:line="600" w:lineRule="exact"/>
        <w:ind w:firstLine="640"/>
        <w:outlineLvl w:val="1"/>
        <w:rPr>
          <w:rStyle w:val="25"/>
          <w:rFonts w:ascii="黑体" w:hAnsi="黑体" w:eastAsia="黑体"/>
          <w:b w:val="0"/>
        </w:rPr>
      </w:pPr>
      <w:bookmarkStart w:id="49" w:name="_Toc15396611"/>
      <w:bookmarkStart w:id="50" w:name="_Toc15377219"/>
      <w:r>
        <w:rPr>
          <w:rStyle w:val="25"/>
          <w:rFonts w:hint="eastAsia" w:ascii="黑体" w:hAnsi="黑体" w:eastAsia="黑体"/>
          <w:b w:val="0"/>
        </w:rPr>
        <w:t>国有资本经营预算支出决算情况说明</w:t>
      </w:r>
      <w:bookmarkEnd w:id="49"/>
      <w:bookmarkEnd w:id="50"/>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无</w:t>
      </w:r>
    </w:p>
    <w:p>
      <w:pPr>
        <w:pStyle w:val="23"/>
        <w:numPr>
          <w:ilvl w:val="0"/>
          <w:numId w:val="4"/>
        </w:numPr>
        <w:spacing w:line="580" w:lineRule="exact"/>
        <w:ind w:firstLineChars="0"/>
        <w:rPr>
          <w:rFonts w:hint="eastAsia" w:ascii="黑体" w:hAnsi="黑体" w:eastAsia="黑体" w:cstheme="majorBidi"/>
          <w:bCs/>
          <w:sz w:val="32"/>
          <w:szCs w:val="32"/>
        </w:rPr>
      </w:pPr>
      <w:r>
        <w:rPr>
          <w:rStyle w:val="25"/>
          <w:rFonts w:hint="eastAsia" w:ascii="黑体" w:hAnsi="黑体" w:eastAsia="黑体"/>
          <w:b w:val="0"/>
        </w:rPr>
        <w:t>预算绩效情况说明</w:t>
      </w:r>
      <w:bookmarkStart w:id="76" w:name="_GoBack"/>
      <w:bookmarkEnd w:id="76"/>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2个项目开展了预算事前绩效评估，对2个项目编制了绩效目标，预算执行过程中，选取2项目开展绩效监控，年终执行完毕后，对2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本单位按要求对2018年部门整体支出开展绩效自评，从评价情况来看本单位按要求对 2018 年单位整体支出开展绩效自评，从评价情况来看，本单位 2018 年单位整体支出绩效评价自查自评结果良好。财务制度较健全，财务管理较规范，全年基本支出保障了单位的正常运行和日程工作的正常开展，项目支出保障了重点工作的开展，履职成效明显，达到了预期绩效目标和预期经济效果。</w:t>
      </w:r>
    </w:p>
    <w:p>
      <w:pPr>
        <w:numPr>
          <w:ilvl w:val="0"/>
          <w:numId w:val="5"/>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本单位在2018年度部门决算中反映“基本公共卫生服务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“基本药物补助</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等2个项目绩效目标实际完成情况。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1.基本药物补助项目绩效目标完成情况综述。项目全年预算数</w:t>
      </w:r>
      <w:r>
        <w:rPr>
          <w:rFonts w:hint="eastAsia" w:ascii="仿宋_GB2312" w:hAnsi="仿宋_GB2312" w:eastAsia="仿宋_GB2312" w:cs="仿宋_GB2312"/>
          <w:sz w:val="32"/>
          <w:szCs w:val="32"/>
          <w:lang w:val="en-US" w:eastAsia="zh-CN"/>
        </w:rPr>
        <w:t>18.49</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18.49</w:t>
      </w:r>
      <w:r>
        <w:rPr>
          <w:rFonts w:hint="eastAsia" w:ascii="仿宋_GB2312" w:hAnsi="仿宋_GB2312" w:eastAsia="仿宋_GB2312" w:cs="仿宋_GB2312"/>
          <w:sz w:val="32"/>
          <w:szCs w:val="32"/>
        </w:rPr>
        <w:t>万元，完成预算的100%。通过项目实施，保障了2018年我院基本药物采购资金的保障，发现的主要问题：对专项项目推进工作重视度有待加强，对。下一步改进措施：极与财政部门衔接，在单位预算编制中从细从严，切实推进预算。</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2.基本公共卫生服务项目绩效目标完成情况综述。项目年初预算数</w:t>
      </w:r>
      <w:r>
        <w:rPr>
          <w:rFonts w:hint="eastAsia" w:ascii="仿宋_GB2312" w:hAnsi="仿宋_GB2312" w:eastAsia="仿宋_GB2312" w:cs="仿宋_GB2312"/>
          <w:sz w:val="32"/>
          <w:szCs w:val="32"/>
          <w:lang w:val="en-US" w:eastAsia="zh-CN"/>
        </w:rPr>
        <w:t>66.97</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66.97</w:t>
      </w:r>
      <w:r>
        <w:rPr>
          <w:rFonts w:hint="eastAsia" w:ascii="仿宋_GB2312" w:hAnsi="仿宋_GB2312" w:eastAsia="仿宋_GB2312" w:cs="仿宋_GB2312"/>
          <w:sz w:val="32"/>
          <w:szCs w:val="32"/>
        </w:rPr>
        <w:t>万元，完成预算的100%。通过项目实施，保障了我院基本公共卫生服务的运行，发现的主要问题：基本公共卫生服务推进力度有待加强。下一步改进措施：积极与财政部门衔接，在单位部门预算编制中从细从严，切实推进预算。</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基本药物补助</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达州市达川区</w:t>
            </w:r>
            <w:r>
              <w:rPr>
                <w:rFonts w:hint="eastAsia" w:ascii="宋体" w:hAnsi="宋体" w:cs="宋体"/>
                <w:color w:val="000000"/>
                <w:sz w:val="24"/>
                <w:lang w:eastAsia="zh-CN"/>
              </w:rPr>
              <w:t>赵固镇</w:t>
            </w:r>
            <w:r>
              <w:rPr>
                <w:rFonts w:hint="eastAsia" w:ascii="宋体" w:hAnsi="宋体" w:cs="宋体"/>
                <w:color w:val="000000"/>
                <w:sz w:val="24"/>
              </w:rPr>
              <w:t>卫生院</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18.49</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18.49</w:t>
            </w:r>
            <w:r>
              <w:rPr>
                <w:rFonts w:hint="eastAsia" w:ascii="宋体" w:hAnsi="宋体" w:cs="宋体"/>
                <w:color w:val="000000"/>
                <w:sz w:val="24"/>
              </w:rPr>
              <w:t>万元</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18.49</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18.49</w:t>
            </w:r>
            <w:r>
              <w:rPr>
                <w:rFonts w:hint="eastAsia" w:ascii="宋体" w:hAnsi="宋体" w:cs="宋体"/>
                <w:color w:val="000000"/>
                <w:sz w:val="24"/>
              </w:rPr>
              <w:t>万元</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完成2018年基本药物资金补助</w:t>
            </w:r>
            <w:r>
              <w:rPr>
                <w:rFonts w:hint="eastAsia" w:ascii="宋体" w:hAnsi="宋体" w:cs="宋体"/>
                <w:color w:val="000000"/>
                <w:sz w:val="24"/>
                <w:lang w:val="en-US" w:eastAsia="zh-CN"/>
              </w:rPr>
              <w:t>18.49</w:t>
            </w:r>
            <w:r>
              <w:rPr>
                <w:rFonts w:hint="eastAsia" w:ascii="宋体" w:hAnsi="宋体" w:cs="宋体"/>
                <w:color w:val="000000"/>
                <w:sz w:val="24"/>
              </w:rPr>
              <w:t>万元</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完成2018年基本药物资金补助</w:t>
            </w:r>
            <w:r>
              <w:rPr>
                <w:rFonts w:hint="eastAsia" w:ascii="宋体" w:hAnsi="宋体" w:cs="宋体"/>
                <w:color w:val="000000"/>
                <w:sz w:val="24"/>
                <w:lang w:val="en-US" w:eastAsia="zh-CN"/>
              </w:rPr>
              <w:t>18.49</w:t>
            </w:r>
            <w:r>
              <w:rPr>
                <w:rFonts w:hint="eastAsia" w:ascii="宋体" w:hAnsi="宋体" w:cs="宋体"/>
                <w:color w:val="000000"/>
                <w:sz w:val="24"/>
              </w:rPr>
              <w:t>万元</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完成2018年基药采购数量任务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通过基药采购平台进行采购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每月按时完成采购计划</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在基药平台采购基药</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基药零差价进销让患者减轻负担</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患者对基药零差价进销满意度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达到85%以上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bl>
    <w:p>
      <w:pPr>
        <w:rPr>
          <w:rFonts w:ascii="Calibri" w:hAnsi="Calibri"/>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基本公共卫生服务</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达州市达川区</w:t>
            </w:r>
            <w:r>
              <w:rPr>
                <w:rFonts w:hint="eastAsia" w:ascii="宋体" w:hAnsi="宋体" w:cs="宋体"/>
                <w:color w:val="000000"/>
                <w:sz w:val="24"/>
                <w:lang w:eastAsia="zh-CN"/>
              </w:rPr>
              <w:t>赵固镇</w:t>
            </w:r>
            <w:r>
              <w:rPr>
                <w:rFonts w:hint="eastAsia" w:ascii="宋体" w:hAnsi="宋体" w:cs="宋体"/>
                <w:color w:val="000000"/>
                <w:sz w:val="24"/>
              </w:rPr>
              <w:t>卫生院</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66.97</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66.97</w:t>
            </w:r>
            <w:r>
              <w:rPr>
                <w:rFonts w:hint="eastAsia" w:ascii="宋体" w:hAnsi="宋体" w:cs="宋体"/>
                <w:color w:val="000000"/>
                <w:sz w:val="24"/>
              </w:rPr>
              <w:t>万元</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66.97</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66.97</w:t>
            </w:r>
            <w:r>
              <w:rPr>
                <w:rFonts w:hint="eastAsia" w:ascii="宋体" w:hAnsi="宋体" w:cs="宋体"/>
                <w:color w:val="000000"/>
                <w:sz w:val="24"/>
              </w:rPr>
              <w:t>万元</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完成2018年基本公共卫生服务XX万元</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完成2018年基本公共卫生服务XX万元</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完成2018年基本公共卫生服XX万元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通过基本公共卫生服务开展达到对辖区居民建档率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达到90%以上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按时完成公卫相关工作及相关报表的上报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严格控制基本公共卫生服务经费支出做到专款专用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通过基本公共卫生服务的开展让群众知道该项目的开展目的</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达到80%以上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通过基本公共卫生服务的开展使群众对改项目的认可度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达到85%以上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bl>
    <w:p>
      <w:pPr>
        <w:spacing w:line="580" w:lineRule="exact"/>
        <w:rPr>
          <w:rFonts w:ascii="仿宋_GB2312" w:hAnsi="仿宋_GB2312" w:eastAsia="仿宋_GB2312" w:cs="仿宋_GB2312"/>
          <w:sz w:val="32"/>
          <w:szCs w:val="32"/>
        </w:rPr>
      </w:pPr>
    </w:p>
    <w:p>
      <w:pPr>
        <w:numPr>
          <w:ilvl w:val="0"/>
          <w:numId w:val="5"/>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本部门按要求对2018年部门整体支出绩效评价情况开展自评，《四川省达州市达川区</w:t>
      </w:r>
      <w:r>
        <w:rPr>
          <w:rFonts w:hint="eastAsia" w:ascii="仿宋_GB2312" w:hAnsi="仿宋_GB2312" w:eastAsia="仿宋_GB2312" w:cs="仿宋_GB2312"/>
          <w:sz w:val="32"/>
          <w:szCs w:val="32"/>
          <w:lang w:eastAsia="zh-CN"/>
        </w:rPr>
        <w:t>赵固镇</w:t>
      </w:r>
      <w:r>
        <w:rPr>
          <w:rFonts w:hint="eastAsia" w:ascii="仿宋_GB2312" w:hAnsi="仿宋_GB2312" w:eastAsia="仿宋_GB2312" w:cs="仿宋_GB2312"/>
          <w:sz w:val="32"/>
          <w:szCs w:val="32"/>
        </w:rPr>
        <w:t>卫生院2018年部门整体支出绩效评价报告》见附件。本部门未自行组织其他项目绩效评价。</w:t>
      </w:r>
    </w:p>
    <w:p>
      <w:pPr>
        <w:spacing w:line="600" w:lineRule="exact"/>
        <w:ind w:firstLine="800" w:firstLineChars="250"/>
        <w:outlineLvl w:val="1"/>
        <w:rPr>
          <w:rStyle w:val="25"/>
          <w:rFonts w:ascii="黑体" w:hAnsi="黑体" w:eastAsia="黑体"/>
        </w:rPr>
      </w:pPr>
      <w:bookmarkStart w:id="51" w:name="_Toc15377221"/>
      <w:bookmarkStart w:id="52"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1"/>
      <w:bookmarkEnd w:id="52"/>
    </w:p>
    <w:p>
      <w:pPr>
        <w:spacing w:line="600" w:lineRule="exact"/>
        <w:ind w:firstLine="643" w:firstLineChars="200"/>
        <w:outlineLvl w:val="2"/>
        <w:rPr>
          <w:rFonts w:ascii="仿宋" w:hAnsi="仿宋" w:eastAsia="仿宋"/>
          <w:color w:val="000000"/>
          <w:sz w:val="32"/>
          <w:szCs w:val="32"/>
        </w:rPr>
      </w:pPr>
      <w:bookmarkStart w:id="53" w:name="_Toc15377222"/>
      <w:r>
        <w:rPr>
          <w:rFonts w:hint="eastAsia" w:ascii="仿宋" w:hAnsi="仿宋" w:eastAsia="仿宋"/>
          <w:b/>
          <w:color w:val="000000"/>
          <w:sz w:val="32"/>
          <w:szCs w:val="32"/>
        </w:rPr>
        <w:t>（一）机关运行经费支出情况</w:t>
      </w:r>
      <w:bookmarkEnd w:id="53"/>
    </w:p>
    <w:p>
      <w:pPr>
        <w:autoSpaceDE w:val="0"/>
        <w:autoSpaceDN w:val="0"/>
        <w:adjustRightInd w:val="0"/>
        <w:spacing w:line="600" w:lineRule="exact"/>
        <w:ind w:firstLine="640" w:firstLineChars="200"/>
        <w:jc w:val="left"/>
        <w:outlineLvl w:val="2"/>
        <w:rPr>
          <w:rFonts w:ascii="仿宋_GB2312" w:eastAsia="仿宋_GB2312"/>
          <w:color w:val="000000"/>
          <w:sz w:val="32"/>
          <w:szCs w:val="32"/>
        </w:rPr>
      </w:pPr>
      <w:bookmarkStart w:id="54" w:name="_Toc15377223"/>
      <w:r>
        <w:rPr>
          <w:rFonts w:hint="eastAsia" w:ascii="仿宋_GB2312" w:eastAsia="仿宋_GB2312"/>
          <w:color w:val="000000"/>
          <w:sz w:val="32"/>
          <w:szCs w:val="32"/>
        </w:rPr>
        <w:t>无</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（二）政府采购支出情况</w:t>
      </w:r>
      <w:bookmarkEnd w:id="54"/>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8年，达川区赵固镇卫生院政府采购支出总额0万元，其中：政府采购货物支出0万元、政府采购工程支出0万元、政府采购服务支出0万元。主要用于办公设备购置等。</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5" w:name="_Toc15377224"/>
      <w:r>
        <w:rPr>
          <w:rFonts w:hint="eastAsia" w:ascii="仿宋" w:hAnsi="仿宋" w:eastAsia="仿宋"/>
          <w:b/>
          <w:color w:val="000000"/>
          <w:sz w:val="32"/>
          <w:szCs w:val="32"/>
        </w:rPr>
        <w:t>（三）国有资产占有使用情况</w:t>
      </w:r>
      <w:bookmarkEnd w:id="55"/>
    </w:p>
    <w:p>
      <w:pPr>
        <w:autoSpaceDE w:val="0"/>
        <w:autoSpaceDN w:val="0"/>
        <w:adjustRightInd w:val="0"/>
        <w:spacing w:line="600" w:lineRule="exact"/>
        <w:ind w:firstLine="640" w:firstLineChars="200"/>
        <w:jc w:val="left"/>
        <w:rPr>
          <w:rFonts w:ascii="仿宋_GB2312" w:eastAsia="仿宋_GB2312"/>
          <w:b/>
          <w:color w:val="000000"/>
          <w:sz w:val="32"/>
          <w:szCs w:val="32"/>
        </w:rPr>
      </w:pPr>
      <w:r>
        <w:rPr>
          <w:rFonts w:hint="eastAsia" w:ascii="仿宋_GB2312" w:eastAsia="仿宋_GB2312"/>
          <w:color w:val="000000"/>
          <w:sz w:val="32"/>
          <w:szCs w:val="32"/>
        </w:rPr>
        <w:t>截至2018年12月31日，我院有救护车辆1辆。单价50万元以上通用设备无（套），单价100万元以上专用设备0台。</w:t>
      </w:r>
    </w:p>
    <w:p>
      <w:pPr>
        <w:numPr>
          <w:ilvl w:val="0"/>
          <w:numId w:val="6"/>
        </w:numPr>
        <w:spacing w:line="600" w:lineRule="exact"/>
        <w:ind w:firstLine="663" w:firstLineChars="150"/>
        <w:jc w:val="center"/>
        <w:outlineLvl w:val="0"/>
        <w:rPr>
          <w:rStyle w:val="24"/>
          <w:rFonts w:ascii="黑体" w:hAnsi="黑体" w:eastAsia="黑体"/>
          <w:b w:val="0"/>
        </w:rPr>
      </w:pPr>
      <w:bookmarkStart w:id="56" w:name="_Toc15377225"/>
      <w:bookmarkStart w:id="57"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56"/>
      <w:bookmarkEnd w:id="57"/>
    </w:p>
    <w:p>
      <w:pPr>
        <w:spacing w:line="600" w:lineRule="exact"/>
        <w:jc w:val="left"/>
        <w:rPr>
          <w:rFonts w:ascii="宋体"/>
          <w:b/>
          <w:color w:val="000000"/>
          <w:sz w:val="44"/>
          <w:szCs w:val="44"/>
        </w:rPr>
      </w:pPr>
    </w:p>
    <w:p>
      <w:pPr>
        <w:pStyle w:val="22"/>
        <w:numPr>
          <w:ilvl w:val="0"/>
          <w:numId w:val="7"/>
        </w:numPr>
        <w:spacing w:line="560" w:lineRule="exact"/>
        <w:ind w:firstLine="640" w:firstLineChars="200"/>
        <w:rPr>
          <w:rFonts w:ascii="仿宋_GB2312" w:eastAsia="仿宋_GB2312"/>
          <w:sz w:val="32"/>
          <w:szCs w:val="32"/>
        </w:rPr>
      </w:pPr>
      <w:r>
        <w:rPr>
          <w:rFonts w:hint="eastAsia" w:ascii="仿宋_GB2312" w:eastAsia="仿宋_GB2312"/>
          <w:sz w:val="32"/>
          <w:szCs w:val="32"/>
        </w:rPr>
        <w:t>财政拨款收入：指单位从同级财政部门取得的财政预算资金。</w:t>
      </w:r>
    </w:p>
    <w:p>
      <w:pPr>
        <w:pStyle w:val="22"/>
        <w:numPr>
          <w:ilvl w:val="0"/>
          <w:numId w:val="7"/>
        </w:numPr>
        <w:spacing w:line="560" w:lineRule="exact"/>
        <w:ind w:firstLine="640" w:firstLineChars="200"/>
        <w:rPr>
          <w:rFonts w:ascii="仿宋_GB2312" w:eastAsia="仿宋_GB2312"/>
          <w:sz w:val="32"/>
          <w:szCs w:val="32"/>
        </w:rPr>
      </w:pPr>
      <w:r>
        <w:rPr>
          <w:rFonts w:hint="eastAsia" w:ascii="仿宋_GB2312" w:eastAsia="仿宋_GB2312"/>
          <w:sz w:val="32"/>
          <w:szCs w:val="32"/>
        </w:rPr>
        <w:t>事业收入：指事业单位开展专业业务活动及辅助活动取得的收入。如：本单位开展的医疗业务收入等。</w:t>
      </w:r>
    </w:p>
    <w:p>
      <w:pPr>
        <w:pStyle w:val="22"/>
        <w:numPr>
          <w:ilvl w:val="0"/>
          <w:numId w:val="7"/>
        </w:numPr>
        <w:spacing w:line="560" w:lineRule="exact"/>
        <w:ind w:firstLine="640" w:firstLineChars="200"/>
        <w:rPr>
          <w:rFonts w:ascii="仿宋_GB2312" w:eastAsia="仿宋_GB2312"/>
          <w:sz w:val="32"/>
          <w:szCs w:val="32"/>
        </w:rPr>
      </w:pPr>
      <w:r>
        <w:rPr>
          <w:rFonts w:hint="eastAsia" w:ascii="仿宋_GB2312" w:eastAsia="仿宋_GB2312"/>
          <w:sz w:val="32"/>
          <w:szCs w:val="32"/>
        </w:rPr>
        <w:t>经营收入：指事业单位在专业业务活动及其辅助活动之外开展非独立核算经营活动取得的收入。</w:t>
      </w:r>
    </w:p>
    <w:p>
      <w:pPr>
        <w:pStyle w:val="22"/>
        <w:numPr>
          <w:ilvl w:val="0"/>
          <w:numId w:val="7"/>
        </w:numPr>
        <w:spacing w:line="560" w:lineRule="exact"/>
        <w:ind w:firstLine="640" w:firstLineChars="200"/>
        <w:rPr>
          <w:rFonts w:ascii="仿宋_GB2312" w:eastAsia="仿宋_GB2312"/>
          <w:sz w:val="32"/>
          <w:szCs w:val="32"/>
        </w:rPr>
      </w:pPr>
      <w:r>
        <w:rPr>
          <w:rFonts w:hint="eastAsia" w:ascii="仿宋_GB2312" w:eastAsia="仿宋_GB2312"/>
          <w:sz w:val="32"/>
          <w:szCs w:val="32"/>
        </w:rPr>
        <w:t>其他收入：指单位取得的除上述收入以外的各项收入。主要是利息收入等。</w:t>
      </w:r>
      <w:r>
        <w:rPr>
          <w:rFonts w:ascii="仿宋_GB2312" w:eastAsia="仿宋_GB2312"/>
          <w:sz w:val="32"/>
          <w:szCs w:val="32"/>
        </w:rPr>
        <w:t xml:space="preserve"> </w:t>
      </w:r>
    </w:p>
    <w:p>
      <w:pPr>
        <w:pStyle w:val="22"/>
        <w:numPr>
          <w:ilvl w:val="0"/>
          <w:numId w:val="7"/>
        </w:numPr>
        <w:spacing w:line="560" w:lineRule="exact"/>
        <w:ind w:firstLine="640" w:firstLineChars="200"/>
        <w:rPr>
          <w:rFonts w:ascii="仿宋_GB2312" w:eastAsia="仿宋_GB2312"/>
          <w:sz w:val="32"/>
          <w:szCs w:val="32"/>
        </w:rPr>
      </w:pP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numPr>
          <w:ilvl w:val="0"/>
          <w:numId w:val="7"/>
        </w:numPr>
        <w:spacing w:line="560" w:lineRule="exact"/>
        <w:ind w:firstLine="640" w:firstLineChars="200"/>
        <w:rPr>
          <w:rFonts w:ascii="仿宋_GB2312" w:eastAsia="仿宋_GB2312"/>
          <w:sz w:val="32"/>
          <w:szCs w:val="32"/>
        </w:rPr>
      </w:pP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numPr>
          <w:ilvl w:val="0"/>
          <w:numId w:val="7"/>
        </w:numPr>
        <w:spacing w:line="560" w:lineRule="exact"/>
        <w:ind w:firstLine="640" w:firstLineChars="200"/>
        <w:rPr>
          <w:rFonts w:ascii="仿宋_GB2312" w:eastAsia="仿宋_GB2312"/>
          <w:sz w:val="32"/>
          <w:szCs w:val="32"/>
        </w:rPr>
      </w:pPr>
      <w:r>
        <w:rPr>
          <w:rFonts w:hint="eastAsia" w:ascii="仿宋_GB2312" w:eastAsia="仿宋_GB2312"/>
          <w:sz w:val="32"/>
          <w:szCs w:val="32"/>
        </w:rPr>
        <w:t>结余分配：指事业单位按照事业单位会计制度的规定从非财政补助结余中分配的事业基金和职工福利基金等。</w:t>
      </w:r>
    </w:p>
    <w:p>
      <w:pPr>
        <w:pStyle w:val="22"/>
        <w:numPr>
          <w:ilvl w:val="0"/>
          <w:numId w:val="7"/>
        </w:numPr>
        <w:spacing w:line="560" w:lineRule="exact"/>
        <w:ind w:firstLine="640" w:firstLineChars="200"/>
        <w:rPr>
          <w:rFonts w:ascii="仿宋_GB2312" w:eastAsia="仿宋_GB2312"/>
          <w:sz w:val="32"/>
          <w:szCs w:val="32"/>
        </w:rPr>
      </w:pPr>
      <w:r>
        <w:rPr>
          <w:rFonts w:hint="eastAsia" w:ascii="仿宋_GB2312" w:eastAsia="仿宋_GB2312"/>
          <w:sz w:val="32"/>
          <w:szCs w:val="32"/>
        </w:rPr>
        <w:t>年末结转和结余：指单位按有关规定结转到下年或以后年度继续使用的资金。</w:t>
      </w:r>
    </w:p>
    <w:p>
      <w:pPr>
        <w:pStyle w:val="22"/>
        <w:numPr>
          <w:ilvl w:val="0"/>
          <w:numId w:val="7"/>
        </w:numPr>
        <w:spacing w:line="560" w:lineRule="exact"/>
        <w:ind w:firstLine="640" w:firstLineChars="200"/>
        <w:rPr>
          <w:rFonts w:ascii="仿宋_GB2312" w:eastAsia="仿宋_GB2312"/>
          <w:sz w:val="32"/>
          <w:szCs w:val="32"/>
        </w:rPr>
      </w:pPr>
      <w:r>
        <w:rPr>
          <w:rFonts w:hint="eastAsia" w:ascii="仿宋_GB2312" w:eastAsia="仿宋_GB2312"/>
          <w:sz w:val="32"/>
          <w:szCs w:val="32"/>
        </w:rPr>
        <w:t>一般公共服务支出（201）-人力资源事务（20110）-其他人力资源事务支出（2011099）：指反映我单位三支一扶人员经费支出。</w:t>
      </w:r>
    </w:p>
    <w:p>
      <w:pPr>
        <w:pStyle w:val="22"/>
        <w:numPr>
          <w:ilvl w:val="0"/>
          <w:numId w:val="7"/>
        </w:numPr>
        <w:spacing w:line="560" w:lineRule="exact"/>
        <w:ind w:firstLine="640" w:firstLineChars="200"/>
        <w:rPr>
          <w:rFonts w:ascii="仿宋_GB2312" w:eastAsia="仿宋_GB2312"/>
          <w:sz w:val="32"/>
          <w:szCs w:val="32"/>
        </w:rPr>
      </w:pPr>
      <w:r>
        <w:rPr>
          <w:rFonts w:hint="eastAsia" w:ascii="仿宋_GB2312" w:eastAsia="仿宋_GB2312"/>
          <w:sz w:val="32"/>
          <w:szCs w:val="32"/>
        </w:rPr>
        <w:t>社会保障和就业（208）-行政事业单位离退休（20805）-机关事业单位基本养老保险缴费支出（2080505）：指反映机关事业单位实施养老保险制度由单位缴费的基本养老保险费支出。</w:t>
      </w:r>
    </w:p>
    <w:p>
      <w:pPr>
        <w:pStyle w:val="22"/>
        <w:numPr>
          <w:ilvl w:val="0"/>
          <w:numId w:val="7"/>
        </w:numPr>
        <w:spacing w:line="560" w:lineRule="exact"/>
        <w:ind w:firstLine="640" w:firstLineChars="200"/>
        <w:rPr>
          <w:rFonts w:ascii="仿宋_GB2312" w:eastAsia="仿宋_GB2312"/>
          <w:sz w:val="32"/>
          <w:szCs w:val="32"/>
        </w:rPr>
      </w:pPr>
      <w:r>
        <w:rPr>
          <w:rFonts w:hint="eastAsia" w:ascii="仿宋_GB2312" w:eastAsia="仿宋_GB2312"/>
          <w:sz w:val="32"/>
          <w:szCs w:val="32"/>
        </w:rPr>
        <w:t>医疗卫生与计划生育支出(210)-基层医疗卫生机构(21003)-乡镇卫生院(2100302):指用于乡镇卫生院的基本支出。</w:t>
      </w:r>
    </w:p>
    <w:p>
      <w:pPr>
        <w:pStyle w:val="22"/>
        <w:numPr>
          <w:ilvl w:val="0"/>
          <w:numId w:val="7"/>
        </w:numPr>
        <w:spacing w:line="560" w:lineRule="exact"/>
        <w:ind w:firstLine="640" w:firstLineChars="200"/>
        <w:rPr>
          <w:rFonts w:ascii="仿宋_GB2312" w:eastAsia="仿宋_GB2312"/>
          <w:sz w:val="32"/>
          <w:szCs w:val="32"/>
        </w:rPr>
      </w:pPr>
      <w:r>
        <w:rPr>
          <w:rFonts w:hint="eastAsia" w:ascii="仿宋_GB2312" w:eastAsia="仿宋_GB2312"/>
          <w:sz w:val="32"/>
          <w:szCs w:val="32"/>
        </w:rPr>
        <w:t>医疗卫生与计划生育支出(210) -基层医疗卫生机构(21003)-其他基层医疗卫生机构支出（2100399):指用于基层医疗卫生机构基药零差价的补助支出。</w:t>
      </w:r>
    </w:p>
    <w:p>
      <w:pPr>
        <w:pStyle w:val="22"/>
        <w:numPr>
          <w:ilvl w:val="0"/>
          <w:numId w:val="7"/>
        </w:numPr>
        <w:spacing w:line="560" w:lineRule="exact"/>
        <w:ind w:firstLine="640" w:firstLineChars="200"/>
        <w:rPr>
          <w:rFonts w:ascii="仿宋_GB2312" w:eastAsia="仿宋_GB2312"/>
          <w:sz w:val="32"/>
          <w:szCs w:val="32"/>
        </w:rPr>
      </w:pPr>
      <w:r>
        <w:rPr>
          <w:rFonts w:hint="eastAsia" w:ascii="仿宋_GB2312" w:eastAsia="仿宋_GB2312"/>
          <w:sz w:val="32"/>
          <w:szCs w:val="32"/>
        </w:rPr>
        <w:t>医疗卫生与计划生育支出(210) -公共卫生（21004）-基本公共卫生服务（2100408）:指用于基本公共卫生服务的支出。</w:t>
      </w:r>
    </w:p>
    <w:p>
      <w:pPr>
        <w:pStyle w:val="22"/>
        <w:numPr>
          <w:ilvl w:val="0"/>
          <w:numId w:val="7"/>
        </w:numPr>
        <w:spacing w:line="560" w:lineRule="exact"/>
        <w:ind w:firstLine="640" w:firstLineChars="200"/>
        <w:rPr>
          <w:rFonts w:ascii="仿宋_GB2312" w:eastAsia="仿宋_GB2312"/>
          <w:sz w:val="32"/>
          <w:szCs w:val="32"/>
        </w:rPr>
      </w:pPr>
      <w:r>
        <w:rPr>
          <w:rFonts w:hint="eastAsia" w:ascii="仿宋_GB2312" w:eastAsia="仿宋_GB2312"/>
          <w:sz w:val="32"/>
          <w:szCs w:val="32"/>
        </w:rPr>
        <w:t>医疗卫生与计划生育支出(210)-医疗保障（21005）- 事业单位医疗（2100502）:指反映行政事业单位按人力资源和社会保障部、财政部等规定的基本工资和津补贴以及规定比例为职工缴纳的职工医疗保险金。</w:t>
      </w:r>
    </w:p>
    <w:p>
      <w:pPr>
        <w:pStyle w:val="22"/>
        <w:numPr>
          <w:ilvl w:val="0"/>
          <w:numId w:val="7"/>
        </w:numPr>
        <w:spacing w:line="560" w:lineRule="exact"/>
        <w:ind w:firstLine="640" w:firstLineChars="200"/>
        <w:rPr>
          <w:rFonts w:ascii="仿宋_GB2312" w:eastAsia="仿宋_GB2312"/>
          <w:sz w:val="32"/>
          <w:szCs w:val="32"/>
        </w:rPr>
      </w:pPr>
      <w:r>
        <w:rPr>
          <w:rFonts w:hint="eastAsia" w:ascii="仿宋_GB2312" w:eastAsia="仿宋_GB2312"/>
          <w:sz w:val="32"/>
          <w:szCs w:val="32"/>
        </w:rPr>
        <w:t>住房保障支出(221)-住房改革支出(22102)-住房公积金(2210201):指反映行政事业单位按人力资源和社会保障部、财政部规定的基本工资和津补贴以及规定比例为职工缴纳的住房公积金。</w:t>
      </w:r>
    </w:p>
    <w:p>
      <w:pPr>
        <w:pStyle w:val="22"/>
        <w:numPr>
          <w:ilvl w:val="0"/>
          <w:numId w:val="7"/>
        </w:numPr>
        <w:spacing w:line="560" w:lineRule="exact"/>
        <w:ind w:firstLine="640" w:firstLineChars="200"/>
        <w:rPr>
          <w:rFonts w:ascii="仿宋_GB2312" w:eastAsia="仿宋_GB2312"/>
          <w:sz w:val="32"/>
          <w:szCs w:val="32"/>
        </w:rPr>
      </w:pPr>
      <w:r>
        <w:rPr>
          <w:rFonts w:hint="eastAsia" w:ascii="仿宋_GB2312" w:eastAsia="仿宋_GB2312"/>
          <w:sz w:val="32"/>
          <w:szCs w:val="32"/>
        </w:rPr>
        <w:t>基本支出：指为保障机构正常运转、完成日常工作任务而发生的人员支出和公用支出。</w:t>
      </w:r>
    </w:p>
    <w:p>
      <w:pPr>
        <w:pStyle w:val="22"/>
        <w:numPr>
          <w:ilvl w:val="0"/>
          <w:numId w:val="7"/>
        </w:numPr>
        <w:spacing w:line="560" w:lineRule="exact"/>
        <w:ind w:firstLine="640" w:firstLineChars="200"/>
        <w:rPr>
          <w:rFonts w:ascii="仿宋_GB2312" w:eastAsia="仿宋_GB2312"/>
          <w:sz w:val="32"/>
          <w:szCs w:val="32"/>
        </w:rPr>
      </w:pP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2"/>
        <w:numPr>
          <w:ilvl w:val="0"/>
          <w:numId w:val="7"/>
        </w:numPr>
        <w:spacing w:line="560" w:lineRule="exact"/>
        <w:ind w:firstLine="640" w:firstLineChars="200"/>
        <w:rPr>
          <w:rFonts w:ascii="仿宋_GB2312" w:eastAsia="仿宋_GB2312"/>
          <w:sz w:val="32"/>
          <w:szCs w:val="32"/>
        </w:rPr>
      </w:pPr>
      <w:r>
        <w:rPr>
          <w:rFonts w:hint="eastAsia" w:ascii="仿宋_GB2312" w:eastAsia="仿宋_GB2312"/>
          <w:sz w:val="32"/>
          <w:szCs w:val="32"/>
        </w:rPr>
        <w:t>经营支出：指事业单位在专业业务活动及其辅助活动之外开展非独立核算经营活动发生的支出。</w:t>
      </w:r>
    </w:p>
    <w:p>
      <w:pPr>
        <w:pStyle w:val="22"/>
        <w:numPr>
          <w:ilvl w:val="0"/>
          <w:numId w:val="7"/>
        </w:numPr>
        <w:spacing w:line="560" w:lineRule="exact"/>
        <w:ind w:firstLine="640" w:firstLineChars="200"/>
        <w:rPr>
          <w:rFonts w:ascii="仿宋_GB2312" w:eastAsia="仿宋_GB2312"/>
          <w:sz w:val="32"/>
          <w:szCs w:val="32"/>
        </w:rPr>
      </w:pP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numPr>
          <w:ilvl w:val="0"/>
          <w:numId w:val="7"/>
        </w:numPr>
        <w:spacing w:line="560" w:lineRule="exact"/>
        <w:ind w:firstLine="640" w:firstLineChars="200"/>
        <w:rPr>
          <w:rFonts w:ascii="仿宋_GB2312" w:eastAsia="仿宋_GB2312"/>
          <w:sz w:val="32"/>
          <w:szCs w:val="32"/>
        </w:rPr>
      </w:pP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cs="黑体"/>
          <w:sz w:val="32"/>
          <w:szCs w:val="32"/>
        </w:rPr>
      </w:pPr>
    </w:p>
    <w:p>
      <w:pPr>
        <w:spacing w:line="600" w:lineRule="exact"/>
        <w:jc w:val="center"/>
        <w:outlineLvl w:val="0"/>
        <w:rPr>
          <w:rFonts w:ascii="黑体" w:hAnsi="黑体" w:eastAsia="黑体"/>
          <w:color w:val="000000"/>
          <w:sz w:val="44"/>
          <w:szCs w:val="44"/>
        </w:rPr>
      </w:pPr>
      <w:bookmarkStart w:id="58" w:name="_Toc15396614"/>
      <w:bookmarkStart w:id="59" w:name="_Toc15377226"/>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center"/>
        <w:outlineLvl w:val="0"/>
        <w:rPr>
          <w:rStyle w:val="24"/>
        </w:rPr>
      </w:pPr>
    </w:p>
    <w:p>
      <w:pPr>
        <w:pStyle w:val="3"/>
        <w:rPr>
          <w:rStyle w:val="24"/>
          <w:rFonts w:ascii="仿宋" w:hAnsi="仿宋" w:eastAsia="仿宋"/>
          <w:b w:val="0"/>
          <w:bCs w:val="0"/>
          <w:sz w:val="32"/>
          <w:szCs w:val="32"/>
        </w:rPr>
      </w:pPr>
      <w:bookmarkStart w:id="60" w:name="_Toc15396615"/>
      <w:r>
        <w:rPr>
          <w:rStyle w:val="24"/>
          <w:rFonts w:hint="eastAsia" w:ascii="仿宋" w:hAnsi="仿宋" w:eastAsia="仿宋"/>
          <w:b w:val="0"/>
          <w:bCs w:val="0"/>
          <w:sz w:val="32"/>
          <w:szCs w:val="32"/>
        </w:rPr>
        <w:t>附件1</w:t>
      </w:r>
      <w:bookmarkEnd w:id="60"/>
    </w:p>
    <w:p>
      <w:pPr>
        <w:spacing w:line="600" w:lineRule="exact"/>
        <w:jc w:val="both"/>
        <w:outlineLvl w:val="0"/>
        <w:rPr>
          <w:rStyle w:val="24"/>
          <w:rFonts w:ascii="仿宋" w:hAnsi="仿宋" w:eastAsia="仿宋"/>
          <w:b w:val="0"/>
          <w:bCs w:val="0"/>
        </w:rPr>
      </w:pP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达州市达川区</w:t>
      </w:r>
      <w:r>
        <w:rPr>
          <w:rFonts w:hint="eastAsia" w:ascii="黑体" w:hAnsi="黑体" w:eastAsia="黑体" w:cs="方正小标宋简体"/>
          <w:sz w:val="36"/>
          <w:szCs w:val="36"/>
          <w:lang w:eastAsia="zh-CN"/>
        </w:rPr>
        <w:t>赵固镇</w:t>
      </w:r>
      <w:r>
        <w:rPr>
          <w:rFonts w:hint="eastAsia" w:ascii="黑体" w:hAnsi="黑体" w:eastAsia="黑体" w:cs="方正小标宋简体"/>
          <w:sz w:val="36"/>
          <w:szCs w:val="36"/>
        </w:rPr>
        <w:t>卫生院</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2018年部门整体支出绩效评价报告</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楷体" w:hAnsi="楷体" w:eastAsia="楷体" w:cs="仿宋_GB2312"/>
          <w:sz w:val="32"/>
          <w:szCs w:val="32"/>
        </w:rPr>
      </w:pPr>
      <w:r>
        <w:rPr>
          <w:rFonts w:ascii="楷体" w:hAnsi="楷体" w:eastAsia="楷体" w:cs="仿宋_GB2312"/>
          <w:sz w:val="32"/>
          <w:szCs w:val="32"/>
        </w:rPr>
        <w:t>（一）机构组成。</w:t>
      </w:r>
    </w:p>
    <w:p>
      <w:pPr>
        <w:spacing w:line="580" w:lineRule="exact"/>
        <w:rPr>
          <w:rFonts w:ascii="仿宋" w:hAnsi="仿宋" w:eastAsia="仿宋" w:cs="仿宋_GB2312"/>
          <w:sz w:val="32"/>
          <w:szCs w:val="32"/>
        </w:rPr>
      </w:pPr>
      <w:r>
        <w:rPr>
          <w:rFonts w:hint="eastAsia" w:ascii="仿宋" w:hAnsi="仿宋" w:eastAsia="仿宋" w:cs="仿宋_GB2312"/>
          <w:sz w:val="32"/>
          <w:szCs w:val="32"/>
        </w:rPr>
        <w:t>达州市达川区</w:t>
      </w:r>
      <w:r>
        <w:rPr>
          <w:rFonts w:hint="eastAsia" w:ascii="仿宋" w:hAnsi="仿宋" w:eastAsia="仿宋" w:cs="仿宋_GB2312"/>
          <w:sz w:val="32"/>
          <w:szCs w:val="32"/>
          <w:lang w:eastAsia="zh-CN"/>
        </w:rPr>
        <w:t>赵固镇</w:t>
      </w:r>
      <w:r>
        <w:rPr>
          <w:rFonts w:hint="eastAsia" w:ascii="仿宋" w:hAnsi="仿宋" w:eastAsia="仿宋" w:cs="仿宋_GB2312"/>
          <w:sz w:val="32"/>
          <w:szCs w:val="32"/>
        </w:rPr>
        <w:t>卫生院</w:t>
      </w:r>
      <w:r>
        <w:rPr>
          <w:rFonts w:hint="eastAsia" w:ascii="仿宋" w:hAnsi="仿宋" w:eastAsia="仿宋" w:cs="仿宋_GB2312"/>
          <w:sz w:val="32"/>
          <w:szCs w:val="32"/>
          <w:lang w:eastAsia="zh-CN"/>
        </w:rPr>
        <w:t>是一级乙等乡镇卫生院</w:t>
      </w:r>
      <w:r>
        <w:rPr>
          <w:rFonts w:hint="eastAsia" w:ascii="仿宋" w:hAnsi="仿宋" w:eastAsia="仿宋" w:cs="仿宋_GB2312"/>
          <w:sz w:val="32"/>
          <w:szCs w:val="32"/>
        </w:rPr>
        <w:t>，无其他下属单位。</w:t>
      </w:r>
    </w:p>
    <w:p>
      <w:pPr>
        <w:spacing w:line="58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（二）</w:t>
      </w:r>
      <w:r>
        <w:rPr>
          <w:rFonts w:ascii="楷体" w:hAnsi="楷体" w:eastAsia="楷体" w:cs="仿宋_GB2312"/>
          <w:sz w:val="32"/>
          <w:szCs w:val="32"/>
        </w:rPr>
        <w:t>机构职能。</w:t>
      </w:r>
    </w:p>
    <w:p>
      <w:pPr>
        <w:adjustRightInd w:val="0"/>
        <w:snapToGrid w:val="0"/>
        <w:spacing w:line="600" w:lineRule="atLeast"/>
        <w:ind w:firstLine="640" w:firstLineChars="200"/>
        <w:rPr>
          <w:rFonts w:ascii="仿宋" w:hAnsi="仿宋" w:eastAsia="仿宋" w:cs="仿宋_GB2312"/>
          <w:sz w:val="32"/>
          <w:szCs w:val="32"/>
        </w:rPr>
      </w:pPr>
      <w:r>
        <w:rPr>
          <w:rFonts w:hint="eastAsia" w:ascii="仿宋" w:hAnsi="仿宋" w:eastAsia="仿宋" w:cs="仿宋_GB2312"/>
          <w:sz w:val="32"/>
          <w:szCs w:val="32"/>
        </w:rPr>
        <w:t>达州市达川区</w:t>
      </w:r>
      <w:r>
        <w:rPr>
          <w:rFonts w:hint="eastAsia" w:ascii="仿宋" w:hAnsi="仿宋" w:eastAsia="仿宋" w:cs="仿宋_GB2312"/>
          <w:sz w:val="32"/>
          <w:szCs w:val="32"/>
          <w:lang w:eastAsia="zh-CN"/>
        </w:rPr>
        <w:t>赵固镇</w:t>
      </w:r>
      <w:r>
        <w:rPr>
          <w:rFonts w:hint="eastAsia" w:ascii="仿宋" w:hAnsi="仿宋" w:eastAsia="仿宋" w:cs="仿宋_GB2312"/>
          <w:sz w:val="32"/>
          <w:szCs w:val="32"/>
        </w:rPr>
        <w:t>卫生院是</w:t>
      </w:r>
      <w:r>
        <w:rPr>
          <w:rFonts w:hint="eastAsia" w:ascii="仿宋" w:hAnsi="仿宋" w:eastAsia="仿宋" w:cs="仿宋_GB2312"/>
          <w:sz w:val="32"/>
          <w:szCs w:val="32"/>
          <w:lang w:eastAsia="zh-CN"/>
        </w:rPr>
        <w:t>一级乙等乡镇卫生院</w:t>
      </w:r>
      <w:r>
        <w:rPr>
          <w:rFonts w:hint="eastAsia" w:ascii="仿宋" w:hAnsi="仿宋" w:eastAsia="仿宋" w:cs="仿宋_GB2312"/>
          <w:sz w:val="32"/>
          <w:szCs w:val="32"/>
        </w:rPr>
        <w:t>，为辖区居民提供以预防保健、基本医疗、健康教育、康复为主要内容的综合性服务，全面实施国家基本公共卫生服务和重大公共卫生服务项目，提高全民健康意识。负责对村级卫生机构的技术指导和对乡村医生的培训。</w:t>
      </w:r>
    </w:p>
    <w:p>
      <w:pPr>
        <w:spacing w:line="578"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我院拥有DR、B超、全自动生化分析仪等辅助设备，现设有内科、外科、中医科、理疗科等科室</w:t>
      </w:r>
      <w:r>
        <w:rPr>
          <w:rFonts w:hint="eastAsia" w:ascii="仿宋" w:hAnsi="仿宋" w:eastAsia="仿宋" w:cs="仿宋_GB2312"/>
          <w:sz w:val="32"/>
          <w:szCs w:val="32"/>
          <w:lang w:eastAsia="zh-CN"/>
        </w:rPr>
        <w:t>。</w:t>
      </w:r>
      <w:r>
        <w:rPr>
          <w:rFonts w:hint="eastAsia" w:ascii="仿宋" w:hAnsi="仿宋" w:eastAsia="仿宋" w:cs="仿宋_GB2312"/>
          <w:sz w:val="32"/>
          <w:szCs w:val="32"/>
        </w:rPr>
        <w:t>能对常见病，多发病做出准确的诊断和治疗。</w:t>
      </w:r>
    </w:p>
    <w:p>
      <w:pPr>
        <w:spacing w:line="58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（三）</w:t>
      </w:r>
      <w:r>
        <w:rPr>
          <w:rFonts w:ascii="楷体" w:hAnsi="楷体" w:eastAsia="楷体" w:cs="仿宋_GB2312"/>
          <w:sz w:val="32"/>
          <w:szCs w:val="32"/>
        </w:rPr>
        <w:t>人员概况。</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达州市达川区</w:t>
      </w:r>
      <w:r>
        <w:rPr>
          <w:rFonts w:hint="eastAsia" w:ascii="仿宋" w:hAnsi="仿宋" w:eastAsia="仿宋"/>
          <w:sz w:val="32"/>
          <w:szCs w:val="32"/>
          <w:lang w:eastAsia="zh-CN"/>
        </w:rPr>
        <w:t>赵固镇</w:t>
      </w:r>
      <w:r>
        <w:rPr>
          <w:rFonts w:hint="eastAsia" w:ascii="仿宋" w:hAnsi="仿宋" w:eastAsia="仿宋"/>
          <w:sz w:val="32"/>
          <w:szCs w:val="32"/>
        </w:rPr>
        <w:t>卫生院，在2018年年初有在编职工</w:t>
      </w:r>
      <w:r>
        <w:rPr>
          <w:rFonts w:hint="eastAsia" w:ascii="仿宋" w:hAnsi="仿宋" w:eastAsia="仿宋"/>
          <w:sz w:val="32"/>
          <w:szCs w:val="32"/>
          <w:lang w:val="en-US" w:eastAsia="zh-CN"/>
        </w:rPr>
        <w:t>12</w:t>
      </w:r>
      <w:r>
        <w:rPr>
          <w:rFonts w:hint="eastAsia" w:ascii="仿宋" w:hAnsi="仿宋" w:eastAsia="仿宋"/>
          <w:sz w:val="32"/>
          <w:szCs w:val="32"/>
        </w:rPr>
        <w:t>人，在2018年末在编职工</w:t>
      </w:r>
      <w:r>
        <w:rPr>
          <w:rFonts w:hint="eastAsia" w:ascii="仿宋" w:hAnsi="仿宋" w:eastAsia="仿宋"/>
          <w:sz w:val="32"/>
          <w:szCs w:val="32"/>
          <w:lang w:val="en-US" w:eastAsia="zh-CN"/>
        </w:rPr>
        <w:t>12</w:t>
      </w:r>
      <w:r>
        <w:rPr>
          <w:rFonts w:hint="eastAsia" w:ascii="仿宋" w:hAnsi="仿宋" w:eastAsia="仿宋"/>
          <w:sz w:val="32"/>
          <w:szCs w:val="32"/>
        </w:rPr>
        <w:t>人（其中：退休</w:t>
      </w:r>
      <w:r>
        <w:rPr>
          <w:rFonts w:hint="eastAsia" w:ascii="仿宋" w:hAnsi="仿宋" w:eastAsia="仿宋"/>
          <w:sz w:val="32"/>
          <w:szCs w:val="32"/>
          <w:lang w:val="en-US" w:eastAsia="zh-CN"/>
        </w:rPr>
        <w:t>4</w:t>
      </w:r>
      <w:r>
        <w:rPr>
          <w:rFonts w:hint="eastAsia" w:ascii="仿宋" w:hAnsi="仿宋" w:eastAsia="仿宋"/>
          <w:sz w:val="32"/>
          <w:szCs w:val="32"/>
        </w:rPr>
        <w:t>人，调出人），2018年末我院有临聘人员</w:t>
      </w:r>
      <w:r>
        <w:rPr>
          <w:rFonts w:hint="eastAsia" w:ascii="仿宋" w:hAnsi="仿宋" w:eastAsia="仿宋"/>
          <w:sz w:val="32"/>
          <w:szCs w:val="32"/>
          <w:lang w:val="en-US" w:eastAsia="zh-CN"/>
        </w:rPr>
        <w:t>4</w:t>
      </w:r>
      <w:r>
        <w:rPr>
          <w:rFonts w:hint="eastAsia" w:ascii="仿宋" w:hAnsi="仿宋" w:eastAsia="仿宋"/>
          <w:sz w:val="32"/>
          <w:szCs w:val="32"/>
        </w:rPr>
        <w:t>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2018年我院财政拨款收入总计</w:t>
      </w:r>
      <w:r>
        <w:rPr>
          <w:rFonts w:hint="eastAsia" w:ascii="仿宋" w:hAnsi="仿宋" w:eastAsia="仿宋" w:cs="仿宋_GB2312"/>
          <w:sz w:val="32"/>
          <w:szCs w:val="32"/>
          <w:lang w:val="en-US" w:eastAsia="zh-CN"/>
        </w:rPr>
        <w:t>229.27</w:t>
      </w:r>
      <w:r>
        <w:rPr>
          <w:rFonts w:hint="eastAsia" w:ascii="仿宋" w:hAnsi="仿宋" w:eastAsia="仿宋" w:cs="仿宋_GB2312"/>
          <w:sz w:val="32"/>
          <w:szCs w:val="32"/>
        </w:rPr>
        <w:t>万元，其中一般公共预算财政拨款收入</w:t>
      </w:r>
      <w:r>
        <w:rPr>
          <w:rFonts w:hint="eastAsia" w:ascii="仿宋" w:hAnsi="仿宋" w:eastAsia="仿宋" w:cs="仿宋_GB2312"/>
          <w:sz w:val="32"/>
          <w:szCs w:val="32"/>
          <w:lang w:val="en-US" w:eastAsia="zh-CN"/>
        </w:rPr>
        <w:t>169.31</w:t>
      </w:r>
      <w:r>
        <w:rPr>
          <w:rFonts w:hint="eastAsia" w:ascii="仿宋" w:hAnsi="仿宋" w:eastAsia="仿宋" w:cs="仿宋_GB2312"/>
          <w:sz w:val="32"/>
          <w:szCs w:val="32"/>
        </w:rPr>
        <w:t>万元，年初财政补助结转和结余</w:t>
      </w:r>
      <w:r>
        <w:rPr>
          <w:rFonts w:hint="eastAsia" w:ascii="仿宋" w:hAnsi="仿宋" w:eastAsia="仿宋" w:cs="仿宋_GB2312"/>
          <w:sz w:val="32"/>
          <w:szCs w:val="32"/>
          <w:lang w:val="en-US" w:eastAsia="zh-CN"/>
        </w:rPr>
        <w:t>59.96</w:t>
      </w:r>
      <w:r>
        <w:rPr>
          <w:rFonts w:hint="eastAsia" w:ascii="仿宋" w:hAnsi="仿宋" w:eastAsia="仿宋" w:cs="仿宋_GB2312"/>
          <w:sz w:val="32"/>
          <w:szCs w:val="32"/>
        </w:rPr>
        <w:t>万元。</w:t>
      </w:r>
    </w:p>
    <w:p>
      <w:pPr>
        <w:numPr>
          <w:ilvl w:val="0"/>
          <w:numId w:val="8"/>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部门财政资金支出情况。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2018年我院财政拨款支出总计</w:t>
      </w:r>
      <w:r>
        <w:rPr>
          <w:rFonts w:hint="eastAsia" w:ascii="仿宋" w:hAnsi="仿宋" w:eastAsia="仿宋" w:cs="仿宋_GB2312"/>
          <w:sz w:val="32"/>
          <w:szCs w:val="32"/>
          <w:lang w:val="en-US" w:eastAsia="zh-CN"/>
        </w:rPr>
        <w:t>161.12</w:t>
      </w:r>
      <w:r>
        <w:rPr>
          <w:rFonts w:hint="eastAsia" w:ascii="仿宋" w:hAnsi="仿宋" w:eastAsia="仿宋" w:cs="仿宋_GB2312"/>
          <w:sz w:val="32"/>
          <w:szCs w:val="32"/>
        </w:rPr>
        <w:t>万元，其中一般公共预算财政拨款支出</w:t>
      </w:r>
      <w:r>
        <w:rPr>
          <w:rFonts w:hint="eastAsia" w:ascii="仿宋" w:hAnsi="仿宋" w:eastAsia="仿宋" w:cs="仿宋_GB2312"/>
          <w:sz w:val="32"/>
          <w:szCs w:val="32"/>
          <w:lang w:val="en-US" w:eastAsia="zh-CN"/>
        </w:rPr>
        <w:t>161.12</w:t>
      </w:r>
      <w:r>
        <w:rPr>
          <w:rFonts w:hint="eastAsia" w:ascii="仿宋" w:hAnsi="仿宋" w:eastAsia="仿宋" w:cs="仿宋_GB2312"/>
          <w:sz w:val="32"/>
          <w:szCs w:val="32"/>
        </w:rPr>
        <w:t>万元，年末财政补助结转和结余</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院认真落实全面预算管理方针政策，基本支出强化预算统筹，项目支出强化专款专用，切实加强经费管理和预算管理。严格按照区财政局部门预算编制通知及有关要求，充分调查了解，做好前期准备工作，始终遵循部门预算编制的基本要求、程序要求及编制口径，紧紧围绕整体绩效目标，科学量化重点项目绩效目标，确保预算编制的准确性，按照科学的测算依据按时完成 2018年预算编制工作，按时完成基础库、项目库报送工作，并按时提交部门预算草案。绩效目标是预算编制的前提和基础，按照“费随事定”的原则，2018 年我院对项目按要求编制了部门预算项目绩效目标。从项目完成、项目效益、满意度等方面设置了绩效指标，综合反映项目预期完成的数量、成本、时效、质量，预期达到的社会效益、经济效益、生态效益、可持续影响以及服务对象满意度等情况。同时设置了以项目完成数量为核心的指标，用于评价绩效目标实际实现程度，反映与预期目标的偏离度。绩效目标编制要素完整，绩效指标设置做到了细化量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预算执行过程中，我院严格控制公用经费及非定额公用支出，认真开展绩效运行监控，积极推进预算执行进度，提高整体预算执行率。一是坚持将预算执行纳入单位目标考核，强化目标责任，树立预算管理的主体责任意识。二是开展预算执行中期评估调整工作。按照区财政局县级预算调整的要求，对照项目执行进度，及时做好沟通衔接，对经确认的暂不支出、执行留有结余的项目予以合理统筹调整，盘活资金，提高使用效率。三是积极开展绩效评价工作。严格落实基本公共卫生服务项目、基本药物资金补助等项目的绩效评价。</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截止 2018 年 12 月 31 日，我院 2018 年财政资金一般公共预算财政拨款执行进度为</w:t>
      </w:r>
      <w:r>
        <w:rPr>
          <w:rFonts w:hint="eastAsia" w:ascii="仿宋" w:hAnsi="仿宋" w:eastAsia="仿宋" w:cs="仿宋_GB2312"/>
          <w:sz w:val="32"/>
          <w:szCs w:val="32"/>
          <w:lang w:val="en-US" w:eastAsia="zh-CN"/>
        </w:rPr>
        <w:t>100</w:t>
      </w:r>
      <w:r>
        <w:rPr>
          <w:rFonts w:hint="eastAsia" w:ascii="仿宋" w:hAnsi="仿宋" w:eastAsia="仿宋" w:cs="仿宋_GB2312"/>
          <w:sz w:val="32"/>
          <w:szCs w:val="32"/>
        </w:rPr>
        <w:t>%。</w:t>
      </w:r>
    </w:p>
    <w:p>
      <w:pPr>
        <w:spacing w:before="270" w:line="33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专项项目设立实行项目储备制。除按明确的数量、标准、比例等进行据实计算的实施基本药物制度、基本公共卫生服务包括专项预算项目程序严密、规划合理、结果符合、分配科学、分配及时、专项预算绩效目标完成、实施绩效、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我</w:t>
      </w:r>
      <w:r>
        <w:rPr>
          <w:rFonts w:hint="eastAsia" w:ascii="仿宋" w:hAnsi="仿宋" w:eastAsia="仿宋" w:cs="仿宋_GB2312"/>
          <w:sz w:val="32"/>
          <w:szCs w:val="32"/>
        </w:rPr>
        <w:t>单位</w:t>
      </w:r>
      <w:r>
        <w:rPr>
          <w:rFonts w:ascii="仿宋" w:hAnsi="仿宋" w:eastAsia="仿宋" w:cs="仿宋_GB2312"/>
          <w:sz w:val="32"/>
          <w:szCs w:val="32"/>
        </w:rPr>
        <w:t>严格遵循《预算法》等相关法律法规和财政</w:t>
      </w:r>
      <w:r>
        <w:rPr>
          <w:rFonts w:hint="eastAsia" w:ascii="仿宋" w:hAnsi="仿宋" w:eastAsia="仿宋" w:cs="仿宋_GB2312"/>
          <w:sz w:val="32"/>
          <w:szCs w:val="32"/>
        </w:rPr>
        <w:t>局</w:t>
      </w:r>
      <w:r>
        <w:rPr>
          <w:rFonts w:ascii="仿宋" w:hAnsi="仿宋" w:eastAsia="仿宋" w:cs="仿宋_GB2312"/>
          <w:sz w:val="32"/>
          <w:szCs w:val="32"/>
        </w:rPr>
        <w:t>相关要求，在规定时间内随同预决算向社会公开部门绩效目标和部门整体绩效自评情况。针对各单位绩效评价发现的问题，要求各单位建立台账，逐一整改。并根据绩效评价和日常管理中，存在的共性问题，通过完善制度加以改进管理</w:t>
      </w:r>
      <w:r>
        <w:rPr>
          <w:rFonts w:hint="eastAsia" w:ascii="仿宋" w:hAnsi="仿宋" w:eastAsia="仿宋" w:cs="仿宋_GB2312"/>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KaiTi_GB2312" w:hAnsi="KaiTi_GB2312" w:eastAsia="Times New Roman" w:cs="KaiTi_GB2312"/>
          <w:color w:val="000000"/>
          <w:sz w:val="32"/>
          <w:szCs w:val="22"/>
        </w:rPr>
      </w:pPr>
      <w:r>
        <w:rPr>
          <w:rFonts w:ascii="KaiTi_GB2312" w:hAnsi="KaiTi_GB2312" w:eastAsia="Times New Roman" w:cs="KaiTi_GB2312"/>
          <w:color w:val="000000"/>
          <w:sz w:val="32"/>
          <w:szCs w:val="2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2018 年我</w:t>
      </w:r>
      <w:r>
        <w:rPr>
          <w:rFonts w:hint="eastAsia" w:ascii="仿宋" w:hAnsi="仿宋" w:eastAsia="仿宋" w:cs="仿宋_GB2312"/>
          <w:sz w:val="32"/>
          <w:szCs w:val="32"/>
        </w:rPr>
        <w:t>单位</w:t>
      </w:r>
      <w:r>
        <w:rPr>
          <w:rFonts w:ascii="仿宋" w:hAnsi="仿宋" w:eastAsia="仿宋" w:cs="仿宋_GB2312"/>
          <w:sz w:val="32"/>
          <w:szCs w:val="32"/>
        </w:rPr>
        <w:t>整体支出绩效评价自查自评结果良好。财务制度较健全，财务管理较规范，全年基本支出保障了部门的正常运行和日程工作的正常开展，</w:t>
      </w:r>
      <w:r>
        <w:rPr>
          <w:rFonts w:hint="eastAsia" w:ascii="仿宋" w:hAnsi="仿宋" w:eastAsia="仿宋" w:cs="仿宋_GB2312"/>
          <w:sz w:val="32"/>
          <w:szCs w:val="32"/>
        </w:rPr>
        <w:t>全额保障了</w:t>
      </w:r>
      <w:r>
        <w:rPr>
          <w:rFonts w:ascii="仿宋" w:hAnsi="仿宋" w:eastAsia="仿宋" w:cs="仿宋_GB2312"/>
          <w:sz w:val="32"/>
          <w:szCs w:val="32"/>
        </w:rPr>
        <w:t>项目支出工作的开展，履职成效明显，达到了预期绩效目标和预期经济效果。</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信息化建设不够完善。预算管理绩效监控的动态调整能力有待进一步提高，把绩效监控结果有效应用到预算执行和调整上。</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建议</w:t>
      </w:r>
      <w:r>
        <w:rPr>
          <w:rFonts w:hint="eastAsia" w:ascii="仿宋" w:hAnsi="仿宋" w:eastAsia="仿宋" w:cs="仿宋_GB2312"/>
          <w:sz w:val="32"/>
          <w:szCs w:val="32"/>
        </w:rPr>
        <w:t>区财政局</w:t>
      </w:r>
      <w:r>
        <w:rPr>
          <w:rFonts w:ascii="仿宋" w:hAnsi="仿宋" w:eastAsia="仿宋" w:cs="仿宋_GB2312"/>
          <w:sz w:val="32"/>
          <w:szCs w:val="32"/>
        </w:rPr>
        <w:t>根据实际需求，重新核定</w:t>
      </w:r>
      <w:r>
        <w:rPr>
          <w:rFonts w:hint="eastAsia" w:ascii="仿宋" w:hAnsi="仿宋" w:eastAsia="仿宋" w:cs="仿宋_GB2312"/>
          <w:sz w:val="32"/>
          <w:szCs w:val="32"/>
        </w:rPr>
        <w:t>我</w:t>
      </w:r>
      <w:r>
        <w:rPr>
          <w:rFonts w:ascii="仿宋" w:hAnsi="仿宋" w:eastAsia="仿宋" w:cs="仿宋_GB2312"/>
          <w:sz w:val="32"/>
          <w:szCs w:val="32"/>
        </w:rPr>
        <w:t>单位</w:t>
      </w:r>
      <w:r>
        <w:rPr>
          <w:rFonts w:hint="eastAsia" w:ascii="仿宋" w:hAnsi="仿宋" w:eastAsia="仿宋" w:cs="仿宋_GB2312"/>
          <w:sz w:val="32"/>
          <w:szCs w:val="32"/>
        </w:rPr>
        <w:t>医疗收入和</w:t>
      </w:r>
      <w:r>
        <w:rPr>
          <w:rFonts w:ascii="仿宋" w:hAnsi="仿宋" w:eastAsia="仿宋" w:cs="仿宋_GB2312"/>
          <w:sz w:val="32"/>
          <w:szCs w:val="32"/>
        </w:rPr>
        <w:t>基本支出控制数，提高</w:t>
      </w:r>
      <w:r>
        <w:rPr>
          <w:rFonts w:hint="eastAsia" w:ascii="仿宋" w:hAnsi="仿宋" w:eastAsia="仿宋" w:cs="仿宋_GB2312"/>
          <w:sz w:val="32"/>
          <w:szCs w:val="32"/>
        </w:rPr>
        <w:t>财政补助</w:t>
      </w:r>
      <w:r>
        <w:rPr>
          <w:rFonts w:ascii="仿宋" w:hAnsi="仿宋" w:eastAsia="仿宋" w:cs="仿宋_GB2312"/>
          <w:sz w:val="32"/>
          <w:szCs w:val="32"/>
        </w:rPr>
        <w:t>经费定额标准，保证正常工作运转。</w:t>
      </w:r>
    </w:p>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4"/>
          <w:rFonts w:ascii="仿宋" w:hAnsi="仿宋" w:eastAsia="仿宋"/>
          <w:b w:val="0"/>
          <w:bCs w:val="0"/>
          <w:sz w:val="32"/>
          <w:szCs w:val="32"/>
        </w:rPr>
      </w:pPr>
      <w:bookmarkStart w:id="61" w:name="_Toc15396617"/>
      <w:r>
        <w:rPr>
          <w:rStyle w:val="24"/>
          <w:rFonts w:hint="eastAsia" w:ascii="仿宋" w:hAnsi="仿宋" w:eastAsia="仿宋"/>
          <w:b w:val="0"/>
          <w:bCs w:val="0"/>
          <w:sz w:val="32"/>
          <w:szCs w:val="32"/>
        </w:rPr>
        <w:t>附件2</w:t>
      </w:r>
      <w:bookmarkEnd w:id="61"/>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2018年达川区赵固镇卫生院</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Style w:val="24"/>
          <w:rFonts w:ascii="仿宋" w:hAnsi="仿宋" w:eastAsia="仿宋" w:cs="仿宋_GB2312"/>
          <w:b w:val="0"/>
          <w:bCs w:val="0"/>
          <w:kern w:val="2"/>
          <w:sz w:val="32"/>
          <w:szCs w:val="32"/>
        </w:rPr>
      </w:pPr>
      <w:r>
        <w:rPr>
          <w:rFonts w:hint="eastAsia" w:ascii="仿宋" w:hAnsi="仿宋" w:eastAsia="仿宋" w:cs="仿宋_GB2312"/>
          <w:sz w:val="32"/>
          <w:szCs w:val="32"/>
        </w:rPr>
        <w:t>无</w:t>
      </w:r>
    </w:p>
    <w:p>
      <w:pPr>
        <w:spacing w:line="600" w:lineRule="exact"/>
        <w:jc w:val="center"/>
        <w:outlineLvl w:val="0"/>
        <w:rPr>
          <w:rFonts w:ascii="黑体" w:hAnsi="黑体" w:eastAsia="黑体"/>
          <w:color w:val="000000"/>
          <w:sz w:val="44"/>
          <w:szCs w:val="44"/>
        </w:rPr>
      </w:pPr>
      <w:bookmarkStart w:id="62" w:name="_Toc15396618"/>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五部分 附表</w:t>
      </w:r>
      <w:bookmarkEnd w:id="59"/>
      <w:bookmarkEnd w:id="62"/>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3"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3"/>
    </w:p>
    <w:p>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4"/>
    </w:p>
    <w:p>
      <w:pPr>
        <w:pStyle w:val="3"/>
        <w:rPr>
          <w:rFonts w:ascii="仿宋" w:hAnsi="仿宋" w:eastAsia="仿宋"/>
          <w:color w:val="000000"/>
        </w:rPr>
      </w:pPr>
      <w:bookmarkStart w:id="65"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5"/>
    </w:p>
    <w:p>
      <w:pPr>
        <w:pStyle w:val="3"/>
        <w:rPr>
          <w:rFonts w:ascii="仿宋" w:hAnsi="仿宋" w:eastAsia="仿宋"/>
          <w:b w:val="0"/>
          <w:color w:val="000000"/>
        </w:rPr>
      </w:pPr>
      <w:bookmarkStart w:id="66"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6"/>
    </w:p>
    <w:p>
      <w:pPr>
        <w:pStyle w:val="3"/>
        <w:rPr>
          <w:rFonts w:ascii="仿宋" w:hAnsi="仿宋" w:eastAsia="仿宋"/>
          <w:color w:val="000000"/>
        </w:rPr>
      </w:pPr>
      <w:bookmarkStart w:id="67"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7"/>
    </w:p>
    <w:p>
      <w:pPr>
        <w:pStyle w:val="3"/>
        <w:rPr>
          <w:rFonts w:ascii="仿宋" w:hAnsi="仿宋" w:eastAsia="仿宋"/>
          <w:color w:val="000000"/>
        </w:rPr>
      </w:pPr>
      <w:bookmarkStart w:id="68"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8"/>
    </w:p>
    <w:p>
      <w:pPr>
        <w:pStyle w:val="3"/>
        <w:rPr>
          <w:rFonts w:ascii="仿宋" w:hAnsi="仿宋" w:eastAsia="仿宋"/>
          <w:color w:val="000000"/>
        </w:rPr>
      </w:pPr>
      <w:bookmarkStart w:id="69"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9"/>
    </w:p>
    <w:p>
      <w:pPr>
        <w:pStyle w:val="3"/>
        <w:rPr>
          <w:rFonts w:ascii="仿宋" w:hAnsi="仿宋" w:eastAsia="仿宋"/>
          <w:color w:val="000000"/>
        </w:rPr>
      </w:pPr>
      <w:bookmarkStart w:id="70"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70"/>
    </w:p>
    <w:p>
      <w:pPr>
        <w:pStyle w:val="3"/>
        <w:rPr>
          <w:rFonts w:ascii="仿宋" w:hAnsi="仿宋" w:eastAsia="仿宋"/>
          <w:color w:val="000000"/>
        </w:rPr>
      </w:pPr>
      <w:bookmarkStart w:id="71"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1"/>
    </w:p>
    <w:p>
      <w:pPr>
        <w:pStyle w:val="3"/>
        <w:rPr>
          <w:rFonts w:ascii="仿宋" w:hAnsi="仿宋" w:eastAsia="仿宋"/>
          <w:color w:val="000000"/>
        </w:rPr>
      </w:pPr>
      <w:bookmarkStart w:id="72"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2"/>
    </w:p>
    <w:p>
      <w:pPr>
        <w:pStyle w:val="3"/>
        <w:rPr>
          <w:rFonts w:ascii="仿宋" w:hAnsi="仿宋" w:eastAsia="仿宋"/>
          <w:color w:val="000000"/>
        </w:rPr>
      </w:pPr>
      <w:bookmarkStart w:id="73"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3"/>
    </w:p>
    <w:p>
      <w:pPr>
        <w:pStyle w:val="3"/>
        <w:rPr>
          <w:rFonts w:ascii="仿宋" w:hAnsi="仿宋" w:eastAsia="仿宋"/>
          <w:color w:val="000000"/>
        </w:rPr>
      </w:pPr>
      <w:bookmarkStart w:id="74"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4"/>
    </w:p>
    <w:p>
      <w:pPr>
        <w:pStyle w:val="3"/>
        <w:rPr>
          <w:rFonts w:ascii="仿宋" w:hAnsi="仿宋" w:eastAsia="仿宋"/>
          <w:color w:val="000000" w:themeColor="text1"/>
          <w14:textFill>
            <w14:solidFill>
              <w14:schemeClr w14:val="tx1"/>
            </w14:solidFill>
          </w14:textFill>
        </w:rPr>
      </w:pPr>
      <w:bookmarkStart w:id="75"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KaiTi_GB2312">
    <w:altName w:val="Segoe Print"/>
    <w:panose1 w:val="02010609060101010101"/>
    <w:charset w:val="01"/>
    <w:family w:val="auto"/>
    <w:pitch w:val="default"/>
    <w:sig w:usb0="00000000" w:usb1="00000000" w:usb2="01010101" w:usb3="01010101" w:csb0="01010101" w:csb1="01010101"/>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1"/>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5">
    <w:nsid w:val="1BA8B6F6"/>
    <w:multiLevelType w:val="singleLevel"/>
    <w:tmpl w:val="1BA8B6F6"/>
    <w:lvl w:ilvl="0" w:tentative="0">
      <w:start w:val="2"/>
      <w:numFmt w:val="chineseCounting"/>
      <w:suff w:val="nothing"/>
      <w:lvlText w:val="（%1）"/>
      <w:lvlJc w:val="left"/>
      <w:rPr>
        <w:rFonts w:hint="eastAsia"/>
      </w:rPr>
    </w:lvl>
  </w:abstractNum>
  <w:abstractNum w:abstractNumId="6">
    <w:nsid w:val="3B655C1D"/>
    <w:multiLevelType w:val="singleLevel"/>
    <w:tmpl w:val="3B655C1D"/>
    <w:lvl w:ilvl="0" w:tentative="0">
      <w:start w:val="1"/>
      <w:numFmt w:val="decimal"/>
      <w:suff w:val="nothing"/>
      <w:lvlText w:val="%1、"/>
      <w:lvlJc w:val="left"/>
    </w:lvl>
  </w:abstractNum>
  <w:abstractNum w:abstractNumId="7">
    <w:nsid w:val="50BB89FE"/>
    <w:multiLevelType w:val="singleLevel"/>
    <w:tmpl w:val="50BB89FE"/>
    <w:lvl w:ilvl="0" w:tentative="0">
      <w:start w:val="1"/>
      <w:numFmt w:val="decimal"/>
      <w:suff w:val="nothing"/>
      <w:lvlText w:val="%1、"/>
      <w:lvlJc w:val="left"/>
    </w:lvl>
  </w:abstractNum>
  <w:num w:numId="1">
    <w:abstractNumId w:val="3"/>
  </w:num>
  <w:num w:numId="2">
    <w:abstractNumId w:val="7"/>
  </w:num>
  <w:num w:numId="3">
    <w:abstractNumId w:val="0"/>
  </w:num>
  <w:num w:numId="4">
    <w:abstractNumId w:val="4"/>
  </w:num>
  <w:num w:numId="5">
    <w:abstractNumId w:val="2"/>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C270A"/>
    <w:rsid w:val="001D7531"/>
    <w:rsid w:val="001E737D"/>
    <w:rsid w:val="001F0592"/>
    <w:rsid w:val="001F7506"/>
    <w:rsid w:val="002006CD"/>
    <w:rsid w:val="00202B36"/>
    <w:rsid w:val="00204B7A"/>
    <w:rsid w:val="0021101A"/>
    <w:rsid w:val="00220536"/>
    <w:rsid w:val="00235629"/>
    <w:rsid w:val="00260293"/>
    <w:rsid w:val="00260C38"/>
    <w:rsid w:val="002616C0"/>
    <w:rsid w:val="002662AA"/>
    <w:rsid w:val="00280496"/>
    <w:rsid w:val="002913F9"/>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17EB2"/>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0C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D788E"/>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4697B"/>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165A"/>
    <w:rsid w:val="00946945"/>
    <w:rsid w:val="00951248"/>
    <w:rsid w:val="009512B6"/>
    <w:rsid w:val="0095152F"/>
    <w:rsid w:val="00954C49"/>
    <w:rsid w:val="0097099F"/>
    <w:rsid w:val="00971997"/>
    <w:rsid w:val="00971FFC"/>
    <w:rsid w:val="0098660A"/>
    <w:rsid w:val="009931C3"/>
    <w:rsid w:val="00994F8D"/>
    <w:rsid w:val="009B2C43"/>
    <w:rsid w:val="009B4EAE"/>
    <w:rsid w:val="009B5924"/>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84CDF"/>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13C8A"/>
    <w:rsid w:val="00D20620"/>
    <w:rsid w:val="00D26091"/>
    <w:rsid w:val="00D34E7C"/>
    <w:rsid w:val="00D35489"/>
    <w:rsid w:val="00D51276"/>
    <w:rsid w:val="00D7035F"/>
    <w:rsid w:val="00DA65AC"/>
    <w:rsid w:val="00DB1913"/>
    <w:rsid w:val="00DB4C7C"/>
    <w:rsid w:val="00DC410D"/>
    <w:rsid w:val="00DC68CA"/>
    <w:rsid w:val="00DC7CBA"/>
    <w:rsid w:val="00DD73B7"/>
    <w:rsid w:val="00DF28BC"/>
    <w:rsid w:val="00DF34B9"/>
    <w:rsid w:val="00E01053"/>
    <w:rsid w:val="00E07ACF"/>
    <w:rsid w:val="00E331A1"/>
    <w:rsid w:val="00E33202"/>
    <w:rsid w:val="00E336A9"/>
    <w:rsid w:val="00E47155"/>
    <w:rsid w:val="00E50624"/>
    <w:rsid w:val="00E568DF"/>
    <w:rsid w:val="00E64269"/>
    <w:rsid w:val="00E82267"/>
    <w:rsid w:val="00EA010F"/>
    <w:rsid w:val="00EA692F"/>
    <w:rsid w:val="00ED1B63"/>
    <w:rsid w:val="00ED3C1F"/>
    <w:rsid w:val="00ED4085"/>
    <w:rsid w:val="00ED420E"/>
    <w:rsid w:val="00EE2F57"/>
    <w:rsid w:val="00EF4C34"/>
    <w:rsid w:val="00EF77C6"/>
    <w:rsid w:val="00F05438"/>
    <w:rsid w:val="00F1361C"/>
    <w:rsid w:val="00F160C7"/>
    <w:rsid w:val="00F36D8F"/>
    <w:rsid w:val="00F417B1"/>
    <w:rsid w:val="00F602DF"/>
    <w:rsid w:val="00F72DB4"/>
    <w:rsid w:val="00F81FD9"/>
    <w:rsid w:val="00F841AA"/>
    <w:rsid w:val="00FA23E8"/>
    <w:rsid w:val="00FD3CC1"/>
    <w:rsid w:val="00FF1E02"/>
    <w:rsid w:val="00FF30B4"/>
    <w:rsid w:val="06245911"/>
    <w:rsid w:val="0914014D"/>
    <w:rsid w:val="0B3D6E35"/>
    <w:rsid w:val="0B8E42E0"/>
    <w:rsid w:val="0F203250"/>
    <w:rsid w:val="10C055FF"/>
    <w:rsid w:val="129475B5"/>
    <w:rsid w:val="161E1756"/>
    <w:rsid w:val="16BB723D"/>
    <w:rsid w:val="18C87E33"/>
    <w:rsid w:val="193767E0"/>
    <w:rsid w:val="1F674249"/>
    <w:rsid w:val="2001501C"/>
    <w:rsid w:val="240371BF"/>
    <w:rsid w:val="27652490"/>
    <w:rsid w:val="28497FE7"/>
    <w:rsid w:val="28BE32A8"/>
    <w:rsid w:val="29FD04D3"/>
    <w:rsid w:val="301A00AB"/>
    <w:rsid w:val="319F7F4E"/>
    <w:rsid w:val="33DF1A10"/>
    <w:rsid w:val="348A17C2"/>
    <w:rsid w:val="355D4258"/>
    <w:rsid w:val="3DA239B2"/>
    <w:rsid w:val="3F7C2752"/>
    <w:rsid w:val="40AF62EF"/>
    <w:rsid w:val="442A5266"/>
    <w:rsid w:val="46665BB7"/>
    <w:rsid w:val="47392CF0"/>
    <w:rsid w:val="51EE7E1D"/>
    <w:rsid w:val="541911E3"/>
    <w:rsid w:val="54886475"/>
    <w:rsid w:val="58322352"/>
    <w:rsid w:val="59965262"/>
    <w:rsid w:val="59F862DC"/>
    <w:rsid w:val="5AB256F4"/>
    <w:rsid w:val="5B057A6F"/>
    <w:rsid w:val="5E07021D"/>
    <w:rsid w:val="630764DC"/>
    <w:rsid w:val="63C0418D"/>
    <w:rsid w:val="65D90754"/>
    <w:rsid w:val="67F6275F"/>
    <w:rsid w:val="68050993"/>
    <w:rsid w:val="68F610D9"/>
    <w:rsid w:val="696E3F81"/>
    <w:rsid w:val="6CD977E3"/>
    <w:rsid w:val="6E584175"/>
    <w:rsid w:val="776968E5"/>
    <w:rsid w:val="797B21F1"/>
    <w:rsid w:val="7E9E42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5.xml"/><Relationship Id="rId10" Type="http://schemas.openxmlformats.org/officeDocument/2006/relationships/image" Target="media/image1.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t>收支</a:t>
            </a:r>
            <a:r>
              <a:rPr lang="zh-CN" altLang="en-US"/>
              <a:t>、</a:t>
            </a:r>
            <a:r>
              <a:rPr lang="zh-CN"/>
              <a:t>决算总计变动情况图</a:t>
            </a:r>
            <a:endParaRPr lang="en-US"/>
          </a:p>
        </c:rich>
      </c:tx>
      <c:layout/>
      <c:overlay val="0"/>
    </c:title>
    <c:autoTitleDeleted val="0"/>
    <c:plotArea>
      <c:layout>
        <c:manualLayout>
          <c:layoutTarget val="inner"/>
          <c:xMode val="edge"/>
          <c:yMode val="edge"/>
          <c:x val="0.101048921231416"/>
          <c:y val="0.158545364756235"/>
          <c:w val="0.898951078768583"/>
          <c:h val="0.758365387253423"/>
        </c:manualLayout>
      </c:layout>
      <c:barChart>
        <c:barDir val="col"/>
        <c:grouping val="clustered"/>
        <c:varyColors val="0"/>
        <c:ser>
          <c:idx val="0"/>
          <c:order val="0"/>
          <c:tx>
            <c:strRef>
              <c:f>Sheet1!$B$1</c:f>
              <c:strCache>
                <c:ptCount val="1"/>
                <c:pt idx="0">
                  <c:v>系列 3</c:v>
                </c:pt>
              </c:strCache>
            </c:strRef>
          </c:tx>
          <c:invertIfNegative val="0"/>
          <c:dPt>
            <c:idx val="1"/>
            <c:invertIfNegative val="0"/>
            <c:bubble3D val="0"/>
            <c:spPr>
              <a:solidFill>
                <a:schemeClr val="accent6"/>
              </a:solidFill>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2"/>
                <c:pt idx="0">
                  <c:v>2017年</c:v>
                </c:pt>
                <c:pt idx="1">
                  <c:v>2018年</c:v>
                </c:pt>
              </c:strCache>
            </c:strRef>
          </c:cat>
          <c:val>
            <c:numRef>
              <c:f>Sheet1!$B$2:$B$5</c:f>
              <c:numCache>
                <c:formatCode>General</c:formatCode>
                <c:ptCount val="4"/>
                <c:pt idx="0">
                  <c:v>259.62</c:v>
                </c:pt>
                <c:pt idx="1">
                  <c:v>394.04</c:v>
                </c:pt>
              </c:numCache>
            </c:numRef>
          </c:val>
        </c:ser>
        <c:dLbls>
          <c:showLegendKey val="0"/>
          <c:showVal val="1"/>
          <c:showCatName val="0"/>
          <c:showSerName val="0"/>
          <c:showPercent val="0"/>
          <c:showBubbleSize val="0"/>
        </c:dLbls>
        <c:gapWidth val="150"/>
        <c:axId val="169616384"/>
        <c:axId val="129783424"/>
      </c:barChart>
      <c:catAx>
        <c:axId val="16961638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9783424"/>
        <c:crosses val="autoZero"/>
        <c:auto val="1"/>
        <c:lblAlgn val="ctr"/>
        <c:lblOffset val="100"/>
        <c:noMultiLvlLbl val="0"/>
      </c:catAx>
      <c:valAx>
        <c:axId val="12978342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9616384"/>
        <c:crosses val="autoZero"/>
        <c:crossBetween val="between"/>
      </c:valAx>
    </c:plotArea>
    <c:plotVisOnly val="1"/>
    <c:dispBlanksAs val="gap"/>
    <c:showDLblsOverMax val="0"/>
  </c:chart>
  <c:txPr>
    <a:bodyPr/>
    <a:lstStyle/>
    <a:p>
      <a:pPr>
        <a:defRPr lang="zh-CN"/>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收入决算结构图</a:t>
            </a:r>
            <a:endParaRPr lang="zh-CN" altLang="en-US"/>
          </a:p>
        </c:rich>
      </c:tx>
      <c:layout/>
      <c:overlay val="0"/>
    </c:title>
    <c:autoTitleDeleted val="0"/>
    <c:plotArea>
      <c:layout/>
      <c:pieChart>
        <c:varyColors val="1"/>
        <c:ser>
          <c:idx val="0"/>
          <c:order val="0"/>
          <c:tx>
            <c:strRef>
              <c:f>Sheet1!$B$1</c:f>
              <c:strCache>
                <c:ptCount val="1"/>
                <c:pt idx="0">
                  <c:v>销售额</c:v>
                </c:pt>
              </c:strCache>
            </c:strRef>
          </c:tx>
          <c:explosion val="0"/>
          <c:dPt>
            <c:idx val="0"/>
            <c:bubble3D val="0"/>
          </c:dPt>
          <c:dPt>
            <c:idx val="1"/>
            <c:bubble3D val="0"/>
          </c:dPt>
          <c:dPt>
            <c:idx val="2"/>
            <c:bubble3D val="0"/>
          </c:dPt>
          <c:dLbls>
            <c:dLbl>
              <c:idx val="0"/>
              <c:layout>
                <c:manualLayout>
                  <c:x val="-0.178035470668486"/>
                  <c:y val="-0.00657894736842105"/>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一般公共预算财政拨款收入</a:t>
                    </a:r>
                    <a:endParaRPr lang="en-US" altLang="zh-CN"/>
                  </a:p>
                  <a:p>
                    <a:pPr>
                      <a:defRPr lang="zh-CN" sz="1000" b="0" i="0" u="none" strike="noStrike" kern="1200" baseline="0">
                        <a:solidFill>
                          <a:schemeClr val="tx1"/>
                        </a:solidFill>
                        <a:latin typeface="+mn-lt"/>
                        <a:ea typeface="+mn-ea"/>
                        <a:cs typeface="+mn-cs"/>
                      </a:defRPr>
                    </a:pPr>
                    <a:r>
                      <a:rPr lang="en-US" altLang="en-US"/>
                      <a:t>50.68%</a:t>
                    </a:r>
                    <a:endParaRPr lang="en-US" altLang="en-US"/>
                  </a:p>
                </c:rich>
              </c:tx>
              <c:dLblPos val="bestFit"/>
              <c:showLegendKey val="0"/>
              <c:showVal val="0"/>
              <c:showCatName val="0"/>
              <c:showSerName val="0"/>
              <c:showPercent val="1"/>
              <c:showBubbleSize val="0"/>
              <c:extLst>
                <c:ext xmlns:c15="http://schemas.microsoft.com/office/drawing/2012/chart" uri="{CE6537A1-D6FC-4f65-9D91-7224C49458BB}">
                  <c15:layout>
                    <c:manualLayout>
                      <c:w val="0.250341064120055"/>
                      <c:h val="0.174122807017544"/>
                    </c:manualLayout>
                  </c15:layout>
                </c:ext>
              </c:extLst>
            </c:dLbl>
            <c:dLbl>
              <c:idx val="1"/>
              <c:layout>
                <c:manualLayout>
                  <c:x val="0.156395008385685"/>
                  <c:y val="0.0227067742565237"/>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事业收入</a:t>
                    </a:r>
                    <a:endParaRPr lang="en-US" altLang="zh-CN"/>
                  </a:p>
                  <a:p>
                    <a:pPr>
                      <a:defRPr lang="zh-CN" sz="1000" b="0" i="0" u="none" strike="noStrike" kern="1200" baseline="0">
                        <a:solidFill>
                          <a:schemeClr val="tx1"/>
                        </a:solidFill>
                        <a:latin typeface="+mn-lt"/>
                        <a:ea typeface="+mn-ea"/>
                        <a:cs typeface="+mn-cs"/>
                      </a:defRPr>
                    </a:pPr>
                    <a:r>
                      <a:rPr lang="en-US" altLang="en-US"/>
                      <a:t>49.</a:t>
                    </a:r>
                    <a:r>
                      <a:rPr lang="en-US" altLang="zh-CN"/>
                      <a:t>32</a:t>
                    </a:r>
                    <a:r>
                      <a:rPr lang="en-US" altLang="en-US"/>
                      <a:t>%</a:t>
                    </a:r>
                    <a:endParaRPr lang="en-US" altLang="en-US"/>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340146109895108"/>
                  <c:y val="0.03278095919828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其他收入</a:t>
                    </a:r>
                    <a:endParaRPr lang="en-US" altLang="zh-CN"/>
                  </a:p>
                  <a:p>
                    <a:pPr>
                      <a:defRPr lang="zh-CN" sz="1000" b="0" i="0" u="none" strike="noStrike" kern="1200" baseline="0">
                        <a:solidFill>
                          <a:schemeClr val="tx1"/>
                        </a:solidFill>
                        <a:latin typeface="+mn-lt"/>
                        <a:ea typeface="+mn-ea"/>
                        <a:cs typeface="+mn-cs"/>
                      </a:defRPr>
                    </a:pPr>
                    <a:r>
                      <a:rPr lang="en-US" altLang="en-US"/>
                      <a:t>0%</a:t>
                    </a:r>
                    <a:endParaRPr lang="en-US" altLang="en-US"/>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一般公共预算财政拨款收入</c:v>
                </c:pt>
                <c:pt idx="1">
                  <c:v>事业收入</c:v>
                </c:pt>
                <c:pt idx="2">
                  <c:v>其他收入</c:v>
                </c:pt>
              </c:strCache>
            </c:strRef>
          </c:cat>
          <c:val>
            <c:numRef>
              <c:f>Sheet1!$B$2:$B$4</c:f>
              <c:numCache>
                <c:formatCode>General</c:formatCode>
                <c:ptCount val="3"/>
                <c:pt idx="0">
                  <c:v>169.31</c:v>
                </c:pt>
                <c:pt idx="1">
                  <c:v>164.77</c:v>
                </c:pt>
                <c:pt idx="2">
                  <c:v>0</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支出决算结构图</a:t>
            </a:r>
            <a:endParaRPr lang="zh-CN" altLang="en-US"/>
          </a:p>
        </c:rich>
      </c:tx>
      <c:layout/>
      <c:overlay val="0"/>
    </c:title>
    <c:autoTitleDeleted val="0"/>
    <c:plotArea>
      <c:layout/>
      <c:pieChart>
        <c:varyColors val="1"/>
        <c:ser>
          <c:idx val="0"/>
          <c:order val="0"/>
          <c:tx>
            <c:strRef>
              <c:f>Sheet1!$B$1</c:f>
              <c:strCache>
                <c:ptCount val="1"/>
                <c:pt idx="0">
                  <c:v>销售额</c:v>
                </c:pt>
              </c:strCache>
            </c:strRef>
          </c:tx>
          <c:explosion val="0"/>
          <c:dPt>
            <c:idx val="0"/>
            <c:bubble3D val="0"/>
          </c:dPt>
          <c:dPt>
            <c:idx val="1"/>
            <c:bubble3D val="0"/>
          </c:dPt>
          <c:dPt>
            <c:idx val="2"/>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项目支出</a:t>
                    </a:r>
                    <a:endParaRPr lang="en-US" altLang="zh-CN"/>
                  </a:p>
                  <a:p>
                    <a:pPr>
                      <a:defRPr lang="zh-CN" sz="1000" b="0" i="0" u="none" strike="noStrike" kern="1200" baseline="0">
                        <a:solidFill>
                          <a:schemeClr val="tx1"/>
                        </a:solidFill>
                        <a:latin typeface="+mn-lt"/>
                        <a:ea typeface="+mn-ea"/>
                        <a:cs typeface="+mn-cs"/>
                      </a:defRPr>
                    </a:pPr>
                    <a:r>
                      <a:rPr lang="en-US" altLang="zh-CN"/>
                      <a:t>28.89%</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基本支出</a:t>
                    </a:r>
                    <a:endParaRPr lang="en-US" altLang="zh-CN"/>
                  </a:p>
                  <a:p>
                    <a:pPr>
                      <a:defRPr lang="zh-CN" sz="1000" b="0" i="0" u="none" strike="noStrike" kern="1200" baseline="0">
                        <a:solidFill>
                          <a:schemeClr val="tx1"/>
                        </a:solidFill>
                        <a:latin typeface="+mn-lt"/>
                        <a:ea typeface="+mn-ea"/>
                        <a:cs typeface="+mn-cs"/>
                      </a:defRPr>
                    </a:pPr>
                    <a:r>
                      <a:rPr lang="en-US" altLang="zh-CN"/>
                      <a:t>71.11%</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其他支出</a:t>
                    </a:r>
                    <a:endParaRPr lang="en-US" altLang="zh-CN"/>
                  </a:p>
                  <a:p>
                    <a:pPr>
                      <a:defRPr lang="zh-CN" sz="1000" b="0" i="0" u="none" strike="noStrike" kern="1200" baseline="0">
                        <a:solidFill>
                          <a:schemeClr val="tx1"/>
                        </a:solidFill>
                        <a:latin typeface="+mn-lt"/>
                        <a:ea typeface="+mn-ea"/>
                        <a:cs typeface="+mn-cs"/>
                      </a:defRPr>
                    </a:pPr>
                    <a:r>
                      <a:rPr lang="en-US" altLang="zh-CN"/>
                      <a:t>0%</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项目支出</c:v>
                </c:pt>
                <c:pt idx="1">
                  <c:v>基本支出</c:v>
                </c:pt>
                <c:pt idx="2">
                  <c:v>其他支出</c:v>
                </c:pt>
              </c:strCache>
            </c:strRef>
          </c:cat>
          <c:val>
            <c:numRef>
              <c:f>Sheet1!$B$2:$B$4</c:f>
              <c:numCache>
                <c:formatCode>General</c:formatCode>
                <c:ptCount val="3"/>
                <c:pt idx="0">
                  <c:v>94.15</c:v>
                </c:pt>
                <c:pt idx="1">
                  <c:v>231.74</c:v>
                </c:pt>
                <c:pt idx="2">
                  <c:v>0</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财政拨款收支、决算总计变动情况</a:t>
            </a:r>
            <a:endParaRPr lang="en-US" altLang="zh-CN"/>
          </a:p>
        </c:rich>
      </c:tx>
      <c:layout/>
      <c:overlay val="0"/>
    </c:title>
    <c:autoTitleDeleted val="0"/>
    <c:plotArea>
      <c:layout>
        <c:manualLayout>
          <c:layoutTarget val="inner"/>
          <c:xMode val="edge"/>
          <c:yMode val="edge"/>
          <c:x val="0.077018605277278"/>
          <c:y val="0.179576964644125"/>
          <c:w val="0.898902415671434"/>
          <c:h val="0.713729065600546"/>
        </c:manualLayout>
      </c:layout>
      <c:barChart>
        <c:barDir val="col"/>
        <c:grouping val="clustered"/>
        <c:varyColors val="0"/>
        <c:ser>
          <c:idx val="0"/>
          <c:order val="0"/>
          <c:tx>
            <c:strRef>
              <c:f>Sheet1!$B$1</c:f>
              <c:strCache>
                <c:ptCount val="1"/>
                <c:pt idx="0">
                  <c:v>系列 1</c:v>
                </c:pt>
              </c:strCache>
            </c:strRef>
          </c:tx>
          <c:invertIfNegative val="0"/>
          <c:dPt>
            <c:idx val="1"/>
            <c:invertIfNegative val="0"/>
            <c:bubble3D val="0"/>
            <c:spPr>
              <a:solidFill>
                <a:schemeClr val="accent6"/>
              </a:solidFill>
            </c:spPr>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259.62</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2017年</c:v>
                </c:pt>
                <c:pt idx="1">
                  <c:v>2018年</c:v>
                </c:pt>
              </c:strCache>
            </c:strRef>
          </c:cat>
          <c:val>
            <c:numRef>
              <c:f>Sheet1!$B$2:$B$3</c:f>
              <c:numCache>
                <c:formatCode>General</c:formatCode>
                <c:ptCount val="2"/>
                <c:pt idx="0">
                  <c:v>259.62</c:v>
                </c:pt>
                <c:pt idx="1">
                  <c:v>229.27</c:v>
                </c:pt>
              </c:numCache>
            </c:numRef>
          </c:val>
        </c:ser>
        <c:dLbls>
          <c:showLegendKey val="0"/>
          <c:showVal val="1"/>
          <c:showCatName val="0"/>
          <c:showSerName val="0"/>
          <c:showPercent val="0"/>
          <c:showBubbleSize val="0"/>
        </c:dLbls>
        <c:gapWidth val="150"/>
        <c:axId val="169616896"/>
        <c:axId val="349717632"/>
      </c:barChart>
      <c:catAx>
        <c:axId val="16961689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49717632"/>
        <c:crosses val="autoZero"/>
        <c:auto val="1"/>
        <c:lblAlgn val="ctr"/>
        <c:lblOffset val="100"/>
        <c:noMultiLvlLbl val="0"/>
      </c:catAx>
      <c:valAx>
        <c:axId val="349717632"/>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9616896"/>
        <c:crosses val="autoZero"/>
        <c:crossBetween val="between"/>
      </c:valAx>
    </c:plotArea>
    <c:plotVisOnly val="1"/>
    <c:dispBlanksAs val="gap"/>
    <c:showDLblsOverMax val="0"/>
  </c:chart>
  <c:txPr>
    <a:bodyPr/>
    <a:lstStyle/>
    <a:p>
      <a:pPr>
        <a:defRPr lang="zh-CN"/>
      </a:pPr>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一般公共预算财政拨款支出决算结构图</c:v>
                </c:pt>
              </c:strCache>
            </c:strRef>
          </c:tx>
          <c:explosion val="0"/>
          <c:dPt>
            <c:idx val="0"/>
            <c:bubble3D val="0"/>
          </c:dPt>
          <c:dPt>
            <c:idx val="1"/>
            <c:bubble3D val="0"/>
          </c:dPt>
          <c:dPt>
            <c:idx val="2"/>
            <c:bubble3D val="0"/>
            <c:spPr>
              <a:solidFill>
                <a:schemeClr val="accent6"/>
              </a:solidFill>
            </c:spPr>
          </c:dPt>
          <c:dPt>
            <c:idx val="3"/>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一般公共服务</a:t>
                    </a:r>
                    <a:endParaRPr lang="en-US" altLang="zh-CN"/>
                  </a:p>
                  <a:p>
                    <a:pPr>
                      <a:defRPr lang="zh-CN" sz="1000" b="0" i="0" u="none" strike="noStrike" kern="1200" baseline="0">
                        <a:solidFill>
                          <a:schemeClr val="tx1"/>
                        </a:solidFill>
                        <a:latin typeface="+mn-lt"/>
                        <a:ea typeface="+mn-ea"/>
                        <a:cs typeface="+mn-cs"/>
                      </a:defRPr>
                    </a:pPr>
                    <a:r>
                      <a:rPr lang="en-US" altLang="zh-CN"/>
                      <a:t>2.82%</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社会保障和就业</a:t>
                    </a:r>
                    <a:endParaRPr lang="en-US" altLang="zh-CN"/>
                  </a:p>
                  <a:p>
                    <a:pPr>
                      <a:defRPr lang="zh-CN" sz="1000" b="0" i="0" u="none" strike="noStrike" kern="1200" baseline="0">
                        <a:solidFill>
                          <a:schemeClr val="tx1"/>
                        </a:solidFill>
                        <a:latin typeface="+mn-lt"/>
                        <a:ea typeface="+mn-ea"/>
                        <a:cs typeface="+mn-cs"/>
                      </a:defRPr>
                    </a:pPr>
                    <a:r>
                      <a:rPr lang="en-US" altLang="zh-CN"/>
                      <a:t>7.80%</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医疗卫生与计划生育支出</a:t>
                    </a:r>
                    <a:endParaRPr lang="en-US" altLang="zh-CN"/>
                  </a:p>
                  <a:p>
                    <a:pPr>
                      <a:defRPr lang="zh-CN" sz="1000" b="0" i="0" u="none" strike="noStrike" kern="1200" baseline="0">
                        <a:solidFill>
                          <a:schemeClr val="tx1"/>
                        </a:solidFill>
                        <a:latin typeface="+mn-lt"/>
                        <a:ea typeface="+mn-ea"/>
                        <a:cs typeface="+mn-cs"/>
                      </a:defRPr>
                    </a:pPr>
                    <a:r>
                      <a:rPr lang="en-US" altLang="zh-CN"/>
                      <a:t>84.51%</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0.243307465628168"/>
                  <c:y val="0.087641374373657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住房保障支出</a:t>
                    </a:r>
                    <a:endParaRPr lang="en-US" altLang="zh-CN"/>
                  </a:p>
                  <a:p>
                    <a:pPr>
                      <a:defRPr lang="zh-CN" sz="1000" b="0" i="0" u="none" strike="noStrike" kern="1200" baseline="0">
                        <a:solidFill>
                          <a:schemeClr val="tx1"/>
                        </a:solidFill>
                        <a:latin typeface="+mn-lt"/>
                        <a:ea typeface="+mn-ea"/>
                        <a:cs typeface="+mn-cs"/>
                      </a:defRPr>
                    </a:pPr>
                    <a:r>
                      <a:rPr lang="en-US" altLang="zh-CN"/>
                      <a:t>4.85%</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一般公共服务</c:v>
                </c:pt>
                <c:pt idx="1">
                  <c:v>社会保障和就业</c:v>
                </c:pt>
                <c:pt idx="2">
                  <c:v>医疗卫生与计划生育支出</c:v>
                </c:pt>
                <c:pt idx="3">
                  <c:v>住房保障支出</c:v>
                </c:pt>
              </c:strCache>
            </c:strRef>
          </c:cat>
          <c:val>
            <c:numRef>
              <c:f>Sheet1!$B$2:$B$5</c:f>
              <c:numCache>
                <c:formatCode>General</c:formatCode>
                <c:ptCount val="4"/>
                <c:pt idx="0">
                  <c:v>4.55</c:v>
                </c:pt>
                <c:pt idx="1">
                  <c:v>12.58</c:v>
                </c:pt>
                <c:pt idx="2">
                  <c:v>136.17</c:v>
                </c:pt>
                <c:pt idx="3">
                  <c:v>7.82</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0.6903</cdr:x>
      <cdr:y>0.33275</cdr:y>
    </cdr:from>
    <cdr:to>
      <cdr:x>1</cdr:x>
      <cdr:y>0.42334</cdr:y>
    </cdr:to>
    <cdr:sp>
      <cdr:nvSpPr>
        <cdr:cNvPr id="2" name="矩形 1"/>
        <cdr:cNvSpPr/>
      </cdr:nvSpPr>
      <cdr:spPr xmlns:a="http://schemas.openxmlformats.org/drawingml/2006/main">
        <a:xfrm xmlns:a="http://schemas.openxmlformats.org/drawingml/2006/main">
          <a:off x="3169223" y="1212850"/>
          <a:ext cx="1421827" cy="330200"/>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zh-CN" altLang="en-US" sz="1200" b="0"/>
            <a:t>单位：万元</a:t>
          </a:r>
          <a:endParaRPr lang="zh-CN" altLang="en-US" sz="1200" b="0"/>
        </a:p>
      </cdr:txBody>
    </cdr:sp>
  </cdr:relSizeAnchor>
</c:userShapes>
</file>

<file path=word/drawings/drawing2.xml><?xml version="1.0" encoding="utf-8"?>
<c:userShapes xmlns:c="http://schemas.openxmlformats.org/drawingml/2006/chart">
  <cdr:relSizeAnchor xmlns:cdr="http://schemas.openxmlformats.org/drawingml/2006/chartDrawing">
    <cdr:from>
      <cdr:x>0.69433</cdr:x>
      <cdr:y>0.20188</cdr:y>
    </cdr:from>
    <cdr:to>
      <cdr:x>0.89903</cdr:x>
      <cdr:y>0.27934</cdr:y>
    </cdr:to>
    <cdr:sp>
      <cdr:nvSpPr>
        <cdr:cNvPr id="2" name="矩形 1"/>
        <cdr:cNvSpPr/>
      </cdr:nvSpPr>
      <cdr:spPr xmlns:a="http://schemas.openxmlformats.org/drawingml/2006/main">
        <a:xfrm xmlns:a="http://schemas.openxmlformats.org/drawingml/2006/main">
          <a:off x="3187700" y="546100"/>
          <a:ext cx="939800" cy="209550"/>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zh-CN" altLang="en-US" sz="1100"/>
            <a:t>单位：万元</a:t>
          </a:r>
          <a:endParaRPr lang="zh-CN" altLang="en-US" sz="1100"/>
        </a:p>
      </cdr:txBody>
    </cdr:sp>
  </cdr:relSizeAnchor>
</c:userShapes>
</file>

<file path=word/drawings/drawing3.xml><?xml version="1.0" encoding="utf-8"?>
<c:userShapes xmlns:c="http://schemas.openxmlformats.org/drawingml/2006/chart">
  <cdr:relSizeAnchor xmlns:cdr="http://schemas.openxmlformats.org/drawingml/2006/chartDrawing">
    <cdr:from>
      <cdr:x>0.75439</cdr:x>
      <cdr:y>0.30134</cdr:y>
    </cdr:from>
    <cdr:to>
      <cdr:x>0.9386</cdr:x>
      <cdr:y>0.39835</cdr:y>
    </cdr:to>
    <cdr:sp>
      <cdr:nvSpPr>
        <cdr:cNvPr id="2" name="矩形 1"/>
        <cdr:cNvSpPr/>
      </cdr:nvSpPr>
      <cdr:spPr xmlns:a="http://schemas.openxmlformats.org/drawingml/2006/main">
        <a:xfrm xmlns:a="http://schemas.openxmlformats.org/drawingml/2006/main">
          <a:off x="3978910" y="927100"/>
          <a:ext cx="971550" cy="298450"/>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zh-CN" altLang="en-US" sz="1200" b="0"/>
            <a:t>单位：万元</a:t>
          </a:r>
          <a:endParaRPr lang="zh-CN" altLang="en-US" sz="1200" b="0"/>
        </a:p>
      </cdr:txBody>
    </cdr:sp>
  </cdr:relSizeAnchor>
</c:userShapes>
</file>

<file path=word/drawings/drawing4.xml><?xml version="1.0" encoding="utf-8"?>
<c:userShapes xmlns:c="http://schemas.openxmlformats.org/drawingml/2006/chart">
  <cdr:relSizeAnchor xmlns:cdr="http://schemas.openxmlformats.org/drawingml/2006/chartDrawing">
    <cdr:from>
      <cdr:x>0.7609</cdr:x>
      <cdr:y>0.17544</cdr:y>
    </cdr:from>
    <cdr:to>
      <cdr:x>0.96797</cdr:x>
      <cdr:y>0.27038</cdr:y>
    </cdr:to>
    <cdr:sp>
      <cdr:nvSpPr>
        <cdr:cNvPr id="2" name="矩形 1"/>
        <cdr:cNvSpPr/>
      </cdr:nvSpPr>
      <cdr:spPr xmlns:a="http://schemas.openxmlformats.org/drawingml/2006/main">
        <a:xfrm xmlns:a="http://schemas.openxmlformats.org/drawingml/2006/main">
          <a:off x="4013200" y="539750"/>
          <a:ext cx="1092200" cy="292100"/>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zh-CN" altLang="en-US" sz="1100"/>
            <a:t>单位：万元</a:t>
          </a:r>
          <a:endParaRPr lang="zh-CN" alt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A7A05C-FB60-48A2-8F57-4469C86D0788}">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20</Pages>
  <Words>1079</Words>
  <Characters>6151</Characters>
  <Lines>51</Lines>
  <Paragraphs>14</Paragraphs>
  <TotalTime>3</TotalTime>
  <ScaleCrop>false</ScaleCrop>
  <LinksUpToDate>false</LinksUpToDate>
  <CharactersWithSpaces>7216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2019-09-15T12:53:00Z</dcterms:created>
  <dc:creator>张彬茜</dc:creator>
  <cp:lastModifiedBy>Administrator</cp:lastModifiedBy>
  <cp:lastPrinted>2019-09-10T06:03:00Z</cp:lastPrinted>
  <dcterms:modified xsi:type="dcterms:W3CDTF">2019-09-18T03:48:34Z</dcterms:modified>
  <dc:title>四川省***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