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29" w:rsidRPr="00E37503" w:rsidRDefault="00560C29" w:rsidP="00560C29">
      <w:pPr>
        <w:tabs>
          <w:tab w:val="left" w:pos="1470"/>
          <w:tab w:val="center" w:pos="6979"/>
        </w:tabs>
        <w:snapToGrid w:val="0"/>
        <w:spacing w:line="600" w:lineRule="atLeast"/>
        <w:jc w:val="center"/>
        <w:rPr>
          <w:rFonts w:eastAsia="方正仿宋_GBK"/>
          <w:b/>
          <w:szCs w:val="32"/>
        </w:rPr>
      </w:pPr>
      <w:r w:rsidRPr="00E37503">
        <w:rPr>
          <w:rFonts w:eastAsia="方正仿宋_GBK"/>
          <w:b/>
          <w:szCs w:val="32"/>
        </w:rPr>
        <w:t>附表</w:t>
      </w:r>
      <w:r w:rsidRPr="00E37503">
        <w:rPr>
          <w:rFonts w:eastAsia="方正仿宋_GBK"/>
          <w:b/>
          <w:szCs w:val="32"/>
        </w:rPr>
        <w:t>1</w:t>
      </w:r>
      <w:r w:rsidRPr="00E37503">
        <w:rPr>
          <w:rFonts w:eastAsia="方正仿宋_GBK"/>
          <w:b/>
          <w:szCs w:val="32"/>
        </w:rPr>
        <w:t>达川区畜禽养殖禁养区划定范围总表</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1907"/>
      </w:tblGrid>
      <w:tr w:rsidR="00560C29" w:rsidRPr="005A3551" w:rsidTr="0092755B">
        <w:trPr>
          <w:trHeight w:val="330"/>
        </w:trPr>
        <w:tc>
          <w:tcPr>
            <w:tcW w:w="1951" w:type="dxa"/>
            <w:vAlign w:val="center"/>
          </w:tcPr>
          <w:p w:rsidR="00560C29" w:rsidRPr="005A3551" w:rsidRDefault="00560C29" w:rsidP="0092755B">
            <w:pPr>
              <w:jc w:val="center"/>
              <w:rPr>
                <w:rFonts w:ascii="方正黑体_GBK" w:eastAsia="方正黑体_GBK" w:hint="eastAsia"/>
                <w:sz w:val="21"/>
                <w:szCs w:val="21"/>
              </w:rPr>
            </w:pPr>
            <w:r w:rsidRPr="005A3551">
              <w:rPr>
                <w:rFonts w:ascii="方正黑体_GBK" w:eastAsia="方正黑体_GBK" w:hint="eastAsia"/>
                <w:sz w:val="21"/>
                <w:szCs w:val="21"/>
              </w:rPr>
              <w:t>划定类型</w:t>
            </w:r>
          </w:p>
        </w:tc>
        <w:tc>
          <w:tcPr>
            <w:tcW w:w="11907" w:type="dxa"/>
            <w:vAlign w:val="center"/>
          </w:tcPr>
          <w:p w:rsidR="00560C29" w:rsidRPr="005A3551" w:rsidRDefault="00560C29" w:rsidP="0092755B">
            <w:pPr>
              <w:jc w:val="center"/>
              <w:rPr>
                <w:rFonts w:ascii="方正黑体_GBK" w:eastAsia="方正黑体_GBK" w:hint="eastAsia"/>
                <w:sz w:val="21"/>
                <w:szCs w:val="21"/>
              </w:rPr>
            </w:pPr>
            <w:r w:rsidRPr="005A3551">
              <w:rPr>
                <w:rFonts w:ascii="方正黑体_GBK" w:eastAsia="方正黑体_GBK" w:hint="eastAsia"/>
                <w:sz w:val="21"/>
                <w:szCs w:val="21"/>
              </w:rPr>
              <w:t>划定范围</w:t>
            </w:r>
          </w:p>
        </w:tc>
      </w:tr>
      <w:tr w:rsidR="00560C29" w:rsidRPr="005A3551" w:rsidTr="0092755B">
        <w:trPr>
          <w:trHeight w:val="603"/>
        </w:trPr>
        <w:tc>
          <w:tcPr>
            <w:tcW w:w="1951" w:type="dxa"/>
            <w:vMerge w:val="restart"/>
            <w:vAlign w:val="center"/>
          </w:tcPr>
          <w:p w:rsidR="00560C29" w:rsidRPr="005A3551" w:rsidRDefault="00560C29" w:rsidP="0092755B">
            <w:pPr>
              <w:snapToGrid w:val="0"/>
              <w:jc w:val="center"/>
              <w:rPr>
                <w:rFonts w:eastAsia="方正仿宋_GBK"/>
                <w:sz w:val="21"/>
                <w:szCs w:val="21"/>
                <w:highlight w:val="yellow"/>
              </w:rPr>
            </w:pPr>
            <w:r w:rsidRPr="005A3551">
              <w:rPr>
                <w:rFonts w:eastAsia="方正仿宋_GBK"/>
                <w:sz w:val="21"/>
                <w:szCs w:val="21"/>
              </w:rPr>
              <w:t>禁养区</w:t>
            </w:r>
          </w:p>
        </w:tc>
        <w:tc>
          <w:tcPr>
            <w:tcW w:w="11907" w:type="dxa"/>
            <w:vAlign w:val="center"/>
          </w:tcPr>
          <w:p w:rsidR="00560C29" w:rsidRPr="005A3551" w:rsidRDefault="00560C29" w:rsidP="0092755B">
            <w:pPr>
              <w:snapToGrid w:val="0"/>
              <w:jc w:val="left"/>
              <w:rPr>
                <w:rFonts w:eastAsia="方正仿宋_GBK"/>
                <w:sz w:val="21"/>
                <w:szCs w:val="21"/>
              </w:rPr>
            </w:pPr>
            <w:r w:rsidRPr="005A3551">
              <w:rPr>
                <w:rFonts w:eastAsia="方正仿宋_GBK"/>
                <w:sz w:val="21"/>
                <w:szCs w:val="21"/>
              </w:rPr>
              <w:t>饮用水水源一级保护区禁止建设养殖场；</w:t>
            </w:r>
          </w:p>
          <w:p w:rsidR="00560C29" w:rsidRPr="005A3551" w:rsidRDefault="00560C29" w:rsidP="0092755B">
            <w:pPr>
              <w:snapToGrid w:val="0"/>
              <w:jc w:val="left"/>
              <w:rPr>
                <w:rFonts w:eastAsia="方正仿宋_GBK"/>
                <w:sz w:val="21"/>
                <w:szCs w:val="21"/>
                <w:highlight w:val="yellow"/>
              </w:rPr>
            </w:pPr>
            <w:r w:rsidRPr="005A3551">
              <w:rPr>
                <w:rFonts w:eastAsia="方正仿宋_GBK"/>
                <w:sz w:val="21"/>
                <w:szCs w:val="21"/>
              </w:rPr>
              <w:t>饮用水水源二级保护区禁止建设有污染物排放的养殖场。</w:t>
            </w:r>
          </w:p>
        </w:tc>
      </w:tr>
      <w:tr w:rsidR="00560C29" w:rsidRPr="005A3551" w:rsidTr="0092755B">
        <w:trPr>
          <w:trHeight w:val="611"/>
        </w:trPr>
        <w:tc>
          <w:tcPr>
            <w:tcW w:w="1951" w:type="dxa"/>
            <w:vMerge/>
            <w:vAlign w:val="center"/>
          </w:tcPr>
          <w:p w:rsidR="00560C29" w:rsidRPr="005A3551" w:rsidRDefault="00560C29" w:rsidP="0092755B">
            <w:pPr>
              <w:snapToGrid w:val="0"/>
              <w:jc w:val="center"/>
              <w:rPr>
                <w:rFonts w:eastAsia="方正仿宋_GBK"/>
                <w:sz w:val="21"/>
                <w:szCs w:val="21"/>
                <w:highlight w:val="yellow"/>
              </w:rPr>
            </w:pPr>
          </w:p>
        </w:tc>
        <w:tc>
          <w:tcPr>
            <w:tcW w:w="11907" w:type="dxa"/>
            <w:vAlign w:val="center"/>
          </w:tcPr>
          <w:p w:rsidR="00560C29" w:rsidRPr="005A3551" w:rsidRDefault="00560C29" w:rsidP="0092755B">
            <w:pPr>
              <w:jc w:val="left"/>
              <w:rPr>
                <w:rFonts w:eastAsia="方正仿宋_GBK"/>
                <w:sz w:val="21"/>
                <w:szCs w:val="21"/>
              </w:rPr>
            </w:pPr>
            <w:r w:rsidRPr="005A3551">
              <w:rPr>
                <w:rFonts w:eastAsia="方正仿宋_GBK"/>
                <w:sz w:val="21"/>
                <w:szCs w:val="21"/>
              </w:rPr>
              <w:t>真佛山风景名胜区的核心景区禁止建设养殖场；</w:t>
            </w:r>
          </w:p>
          <w:p w:rsidR="00560C29" w:rsidRPr="005A3551" w:rsidRDefault="00560C29" w:rsidP="0092755B">
            <w:pPr>
              <w:jc w:val="left"/>
              <w:rPr>
                <w:rFonts w:eastAsia="方正仿宋_GBK"/>
                <w:sz w:val="21"/>
                <w:szCs w:val="21"/>
                <w:highlight w:val="yellow"/>
              </w:rPr>
            </w:pPr>
            <w:r w:rsidRPr="005A3551">
              <w:rPr>
                <w:rFonts w:eastAsia="方正仿宋_GBK"/>
                <w:sz w:val="21"/>
                <w:szCs w:val="21"/>
              </w:rPr>
              <w:t>非核心景区禁止建设有污染物排放的养殖场。</w:t>
            </w:r>
          </w:p>
        </w:tc>
      </w:tr>
      <w:tr w:rsidR="00560C29" w:rsidRPr="005A3551" w:rsidTr="0092755B">
        <w:trPr>
          <w:trHeight w:val="449"/>
        </w:trPr>
        <w:tc>
          <w:tcPr>
            <w:tcW w:w="1951" w:type="dxa"/>
            <w:vMerge/>
            <w:vAlign w:val="center"/>
          </w:tcPr>
          <w:p w:rsidR="00560C29" w:rsidRPr="005A3551" w:rsidRDefault="00560C29" w:rsidP="0092755B">
            <w:pPr>
              <w:snapToGrid w:val="0"/>
              <w:jc w:val="center"/>
              <w:rPr>
                <w:rFonts w:eastAsia="方正仿宋_GBK"/>
                <w:sz w:val="21"/>
                <w:szCs w:val="21"/>
                <w:highlight w:val="yellow"/>
              </w:rPr>
            </w:pPr>
          </w:p>
        </w:tc>
        <w:tc>
          <w:tcPr>
            <w:tcW w:w="11907" w:type="dxa"/>
            <w:vAlign w:val="center"/>
          </w:tcPr>
          <w:p w:rsidR="00560C29" w:rsidRPr="005A3551" w:rsidRDefault="00560C29" w:rsidP="0092755B">
            <w:pPr>
              <w:jc w:val="left"/>
              <w:rPr>
                <w:rFonts w:eastAsia="方正仿宋_GBK"/>
                <w:sz w:val="21"/>
                <w:szCs w:val="21"/>
              </w:rPr>
            </w:pPr>
            <w:r w:rsidRPr="005A3551">
              <w:rPr>
                <w:rFonts w:eastAsia="方正仿宋_GBK"/>
                <w:sz w:val="21"/>
                <w:szCs w:val="21"/>
              </w:rPr>
              <w:t>四川铁山国家森林公园和四川省雷音铺森林公园的核心景观区和生态保育区禁止建设养殖场；</w:t>
            </w:r>
          </w:p>
          <w:p w:rsidR="00560C29" w:rsidRPr="005A3551" w:rsidRDefault="00560C29" w:rsidP="0092755B">
            <w:pPr>
              <w:jc w:val="left"/>
              <w:rPr>
                <w:rFonts w:eastAsia="方正仿宋_GBK"/>
                <w:sz w:val="21"/>
                <w:szCs w:val="21"/>
                <w:highlight w:val="yellow"/>
              </w:rPr>
            </w:pPr>
            <w:r w:rsidRPr="005A3551">
              <w:rPr>
                <w:rFonts w:eastAsia="方正仿宋_GBK"/>
                <w:sz w:val="21"/>
                <w:szCs w:val="21"/>
              </w:rPr>
              <w:t>一般休憩区和管理服务区禁止建设有污染物排放的养殖场。</w:t>
            </w:r>
          </w:p>
        </w:tc>
      </w:tr>
      <w:tr w:rsidR="00560C29" w:rsidRPr="005A3551" w:rsidTr="0092755B">
        <w:trPr>
          <w:trHeight w:val="768"/>
        </w:trPr>
        <w:tc>
          <w:tcPr>
            <w:tcW w:w="1951" w:type="dxa"/>
            <w:vMerge/>
            <w:vAlign w:val="center"/>
          </w:tcPr>
          <w:p w:rsidR="00560C29" w:rsidRPr="005A3551" w:rsidRDefault="00560C29" w:rsidP="0092755B">
            <w:pPr>
              <w:snapToGrid w:val="0"/>
              <w:jc w:val="center"/>
              <w:rPr>
                <w:rFonts w:eastAsia="方正仿宋_GBK"/>
                <w:sz w:val="21"/>
                <w:szCs w:val="21"/>
                <w:highlight w:val="yellow"/>
              </w:rPr>
            </w:pPr>
          </w:p>
        </w:tc>
        <w:tc>
          <w:tcPr>
            <w:tcW w:w="11907" w:type="dxa"/>
            <w:vAlign w:val="center"/>
          </w:tcPr>
          <w:p w:rsidR="00560C29" w:rsidRPr="005A3551" w:rsidRDefault="00560C29" w:rsidP="0092755B">
            <w:pPr>
              <w:jc w:val="left"/>
              <w:rPr>
                <w:rFonts w:eastAsia="方正仿宋_GBK"/>
                <w:sz w:val="21"/>
                <w:szCs w:val="21"/>
                <w:highlight w:val="yellow"/>
              </w:rPr>
            </w:pPr>
            <w:r w:rsidRPr="005A3551">
              <w:rPr>
                <w:rFonts w:eastAsia="方正仿宋_GBK"/>
                <w:sz w:val="21"/>
                <w:szCs w:val="21"/>
              </w:rPr>
              <w:t>巴河、州河、明月江、铜钵河</w:t>
            </w:r>
            <w:r w:rsidRPr="005A3551">
              <w:rPr>
                <w:rFonts w:eastAsia="方正仿宋_GBK"/>
                <w:sz w:val="21"/>
                <w:szCs w:val="21"/>
              </w:rPr>
              <w:t>4</w:t>
            </w:r>
            <w:r w:rsidRPr="005A3551">
              <w:rPr>
                <w:rFonts w:eastAsia="方正仿宋_GBK"/>
                <w:sz w:val="21"/>
                <w:szCs w:val="21"/>
              </w:rPr>
              <w:t>条市级河流干流沿岸两侧陆域纵深各</w:t>
            </w:r>
            <w:r w:rsidRPr="005A3551">
              <w:rPr>
                <w:rFonts w:eastAsia="方正仿宋_GBK"/>
                <w:sz w:val="21"/>
                <w:szCs w:val="21"/>
              </w:rPr>
              <w:t>200</w:t>
            </w:r>
            <w:r w:rsidRPr="005A3551">
              <w:rPr>
                <w:rFonts w:eastAsia="方正仿宋_GBK"/>
                <w:sz w:val="21"/>
                <w:szCs w:val="21"/>
              </w:rPr>
              <w:t>米以内区域，其余</w:t>
            </w:r>
            <w:r w:rsidRPr="005A3551">
              <w:rPr>
                <w:rFonts w:eastAsia="方正仿宋_GBK"/>
                <w:sz w:val="21"/>
                <w:szCs w:val="21"/>
              </w:rPr>
              <w:t>18</w:t>
            </w:r>
            <w:r w:rsidRPr="005A3551">
              <w:rPr>
                <w:rFonts w:eastAsia="方正仿宋_GBK"/>
                <w:sz w:val="21"/>
                <w:szCs w:val="21"/>
              </w:rPr>
              <w:t>条区级河流（鲤鱼河、施家河、联家小河、景市河、四溪河、大堰河、龙滩小河、墩子河、响滩子河、固家河、新宁河、东柳河、涵水溪河、柳城河、双映河、沿河坝河、碑沙河、长滩河）干流沿岸两侧陆域纵深各</w:t>
            </w:r>
            <w:r w:rsidRPr="005A3551">
              <w:rPr>
                <w:rFonts w:eastAsia="方正仿宋_GBK"/>
                <w:sz w:val="21"/>
                <w:szCs w:val="21"/>
              </w:rPr>
              <w:t>100</w:t>
            </w:r>
            <w:r w:rsidRPr="005A3551">
              <w:rPr>
                <w:rFonts w:eastAsia="方正仿宋_GBK"/>
                <w:sz w:val="21"/>
                <w:szCs w:val="21"/>
              </w:rPr>
              <w:t>米以内区域禁止建设养殖场。</w:t>
            </w:r>
          </w:p>
        </w:tc>
      </w:tr>
      <w:tr w:rsidR="00560C29" w:rsidRPr="005A3551" w:rsidTr="0092755B">
        <w:trPr>
          <w:trHeight w:val="487"/>
        </w:trPr>
        <w:tc>
          <w:tcPr>
            <w:tcW w:w="1951" w:type="dxa"/>
            <w:vMerge/>
            <w:vAlign w:val="center"/>
          </w:tcPr>
          <w:p w:rsidR="00560C29" w:rsidRPr="005A3551" w:rsidRDefault="00560C29" w:rsidP="0092755B">
            <w:pPr>
              <w:snapToGrid w:val="0"/>
              <w:jc w:val="center"/>
              <w:rPr>
                <w:rFonts w:eastAsia="方正仿宋_GBK"/>
                <w:sz w:val="21"/>
                <w:szCs w:val="21"/>
                <w:highlight w:val="yellow"/>
              </w:rPr>
            </w:pPr>
          </w:p>
        </w:tc>
        <w:tc>
          <w:tcPr>
            <w:tcW w:w="11907" w:type="dxa"/>
            <w:vAlign w:val="center"/>
          </w:tcPr>
          <w:p w:rsidR="00560C29" w:rsidRPr="005A3551" w:rsidRDefault="00560C29" w:rsidP="0092755B">
            <w:pPr>
              <w:snapToGrid w:val="0"/>
              <w:rPr>
                <w:rFonts w:eastAsia="方正仿宋_GBK"/>
                <w:sz w:val="21"/>
                <w:szCs w:val="21"/>
                <w:highlight w:val="yellow"/>
              </w:rPr>
            </w:pPr>
            <w:r w:rsidRPr="005A3551">
              <w:rPr>
                <w:rFonts w:eastAsia="方正仿宋_GBK"/>
                <w:sz w:val="21"/>
                <w:szCs w:val="21"/>
              </w:rPr>
              <w:t>明星水库、石峡子水库的校核洪水位线以上陆域纵深</w:t>
            </w:r>
            <w:r w:rsidRPr="005A3551">
              <w:rPr>
                <w:rFonts w:eastAsia="方正仿宋_GBK"/>
                <w:sz w:val="21"/>
                <w:szCs w:val="21"/>
              </w:rPr>
              <w:t>200</w:t>
            </w:r>
            <w:r w:rsidRPr="005A3551">
              <w:rPr>
                <w:rFonts w:eastAsia="方正仿宋_GBK"/>
                <w:sz w:val="21"/>
                <w:szCs w:val="21"/>
              </w:rPr>
              <w:t>米范围内禁止建设养殖场。</w:t>
            </w:r>
          </w:p>
        </w:tc>
      </w:tr>
      <w:tr w:rsidR="00560C29" w:rsidRPr="005A3551" w:rsidTr="0092755B">
        <w:trPr>
          <w:trHeight w:val="588"/>
        </w:trPr>
        <w:tc>
          <w:tcPr>
            <w:tcW w:w="1951" w:type="dxa"/>
            <w:vMerge/>
            <w:vAlign w:val="center"/>
          </w:tcPr>
          <w:p w:rsidR="00560C29" w:rsidRPr="005A3551" w:rsidRDefault="00560C29" w:rsidP="0092755B">
            <w:pPr>
              <w:snapToGrid w:val="0"/>
              <w:jc w:val="center"/>
              <w:rPr>
                <w:rFonts w:eastAsia="方正仿宋_GBK"/>
                <w:sz w:val="21"/>
                <w:szCs w:val="21"/>
                <w:highlight w:val="yellow"/>
              </w:rPr>
            </w:pPr>
          </w:p>
        </w:tc>
        <w:tc>
          <w:tcPr>
            <w:tcW w:w="11907" w:type="dxa"/>
            <w:vAlign w:val="center"/>
          </w:tcPr>
          <w:p w:rsidR="00560C29" w:rsidRPr="005A3551" w:rsidRDefault="00560C29" w:rsidP="0092755B">
            <w:pPr>
              <w:snapToGrid w:val="0"/>
              <w:rPr>
                <w:rFonts w:eastAsia="方正仿宋_GBK"/>
                <w:sz w:val="21"/>
                <w:szCs w:val="21"/>
              </w:rPr>
            </w:pPr>
            <w:r w:rsidRPr="005A3551">
              <w:rPr>
                <w:rFonts w:eastAsia="方正仿宋_GBK"/>
                <w:sz w:val="21"/>
                <w:szCs w:val="21"/>
              </w:rPr>
              <w:t>达川区中心城区规划建设用地范围内</w:t>
            </w:r>
            <w:r>
              <w:rPr>
                <w:rFonts w:eastAsia="方正仿宋_GBK" w:hint="eastAsia"/>
                <w:sz w:val="21"/>
                <w:szCs w:val="21"/>
              </w:rPr>
              <w:t>；</w:t>
            </w:r>
            <w:r w:rsidRPr="00D706D2">
              <w:rPr>
                <w:rFonts w:eastAsia="方正仿宋_GBK"/>
                <w:sz w:val="21"/>
                <w:szCs w:val="21"/>
              </w:rPr>
              <w:t>石桥镇、</w:t>
            </w:r>
            <w:r w:rsidRPr="00D706D2">
              <w:rPr>
                <w:rFonts w:eastAsia="方正仿宋_GBK" w:hint="eastAsia"/>
                <w:sz w:val="21"/>
                <w:szCs w:val="21"/>
              </w:rPr>
              <w:t>石梯镇、桥湾镇、五四镇、马家镇、百节镇、石板镇、赵家镇、</w:t>
            </w:r>
            <w:r w:rsidRPr="00D706D2">
              <w:rPr>
                <w:rFonts w:eastAsia="方正仿宋_GBK"/>
                <w:sz w:val="21"/>
                <w:szCs w:val="21"/>
              </w:rPr>
              <w:t>亭子镇</w:t>
            </w:r>
            <w:r w:rsidRPr="00D706D2">
              <w:rPr>
                <w:rFonts w:eastAsia="方正仿宋_GBK" w:hint="eastAsia"/>
                <w:sz w:val="21"/>
                <w:szCs w:val="21"/>
              </w:rPr>
              <w:t>、</w:t>
            </w:r>
            <w:r w:rsidRPr="00D706D2">
              <w:rPr>
                <w:rFonts w:eastAsia="方正仿宋_GBK"/>
                <w:sz w:val="21"/>
                <w:szCs w:val="21"/>
              </w:rPr>
              <w:t>麻柳镇、</w:t>
            </w:r>
            <w:r w:rsidRPr="00D706D2">
              <w:rPr>
                <w:rFonts w:eastAsia="方正仿宋_GBK" w:hint="eastAsia"/>
                <w:sz w:val="21"/>
                <w:szCs w:val="21"/>
              </w:rPr>
              <w:t>万家镇、</w:t>
            </w:r>
            <w:r w:rsidRPr="00D706D2">
              <w:rPr>
                <w:rFonts w:eastAsia="方正仿宋_GBK"/>
                <w:sz w:val="21"/>
                <w:szCs w:val="21"/>
              </w:rPr>
              <w:t>河市镇、管村镇</w:t>
            </w:r>
            <w:r w:rsidRPr="005A3551">
              <w:rPr>
                <w:rFonts w:eastAsia="方正仿宋_GBK"/>
                <w:sz w:val="21"/>
                <w:szCs w:val="21"/>
              </w:rPr>
              <w:t>近期规划建设用地范围内，其他乡镇场镇建成区外延</w:t>
            </w:r>
            <w:r w:rsidRPr="005A3551">
              <w:rPr>
                <w:rFonts w:eastAsia="方正仿宋_GBK"/>
                <w:sz w:val="21"/>
                <w:szCs w:val="21"/>
              </w:rPr>
              <w:t>500</w:t>
            </w:r>
            <w:r w:rsidRPr="005A3551">
              <w:rPr>
                <w:rFonts w:eastAsia="方正仿宋_GBK"/>
                <w:sz w:val="21"/>
                <w:szCs w:val="21"/>
              </w:rPr>
              <w:t>米范围内</w:t>
            </w:r>
            <w:r>
              <w:rPr>
                <w:rFonts w:eastAsia="方正仿宋_GBK" w:hint="eastAsia"/>
                <w:sz w:val="21"/>
                <w:szCs w:val="21"/>
              </w:rPr>
              <w:t>；</w:t>
            </w:r>
            <w:r w:rsidRPr="005A3551">
              <w:rPr>
                <w:rFonts w:eastAsia="方正仿宋_GBK"/>
                <w:sz w:val="21"/>
                <w:szCs w:val="21"/>
              </w:rPr>
              <w:t>以及由政府统一规划建设的新村聚居点内禁止建设养殖场。</w:t>
            </w:r>
          </w:p>
        </w:tc>
      </w:tr>
      <w:tr w:rsidR="00560C29" w:rsidRPr="005A3551" w:rsidTr="0092755B">
        <w:trPr>
          <w:trHeight w:val="426"/>
        </w:trPr>
        <w:tc>
          <w:tcPr>
            <w:tcW w:w="1951" w:type="dxa"/>
            <w:vMerge/>
            <w:vAlign w:val="center"/>
          </w:tcPr>
          <w:p w:rsidR="00560C29" w:rsidRPr="005A3551" w:rsidRDefault="00560C29" w:rsidP="0092755B">
            <w:pPr>
              <w:snapToGrid w:val="0"/>
              <w:jc w:val="center"/>
              <w:rPr>
                <w:rFonts w:eastAsia="方正仿宋_GBK"/>
                <w:sz w:val="21"/>
                <w:szCs w:val="21"/>
                <w:highlight w:val="yellow"/>
              </w:rPr>
            </w:pPr>
          </w:p>
        </w:tc>
        <w:tc>
          <w:tcPr>
            <w:tcW w:w="11907" w:type="dxa"/>
            <w:vAlign w:val="center"/>
          </w:tcPr>
          <w:p w:rsidR="00560C29" w:rsidRPr="005A3551" w:rsidRDefault="00560C29" w:rsidP="0092755B">
            <w:pPr>
              <w:snapToGrid w:val="0"/>
              <w:rPr>
                <w:rFonts w:eastAsia="方正仿宋_GBK"/>
                <w:sz w:val="21"/>
                <w:szCs w:val="21"/>
              </w:rPr>
            </w:pPr>
            <w:r w:rsidRPr="005A3551">
              <w:rPr>
                <w:rFonts w:eastAsia="方正仿宋_GBK"/>
                <w:sz w:val="21"/>
                <w:szCs w:val="21"/>
              </w:rPr>
              <w:t>境内</w:t>
            </w:r>
            <w:r w:rsidRPr="005A3551">
              <w:rPr>
                <w:rFonts w:eastAsia="方正仿宋_GBK"/>
                <w:sz w:val="21"/>
                <w:szCs w:val="21"/>
              </w:rPr>
              <w:t>40</w:t>
            </w:r>
            <w:r w:rsidRPr="005A3551">
              <w:rPr>
                <w:rFonts w:eastAsia="方正仿宋_GBK"/>
                <w:sz w:val="21"/>
                <w:szCs w:val="21"/>
              </w:rPr>
              <w:t>处文物保护单位的保护范围和建设控制地带内禁止建设养殖场。</w:t>
            </w:r>
          </w:p>
        </w:tc>
      </w:tr>
      <w:tr w:rsidR="00560C29" w:rsidRPr="005A3551" w:rsidTr="0092755B">
        <w:trPr>
          <w:trHeight w:val="420"/>
        </w:trPr>
        <w:tc>
          <w:tcPr>
            <w:tcW w:w="1951" w:type="dxa"/>
            <w:vMerge/>
            <w:vAlign w:val="center"/>
          </w:tcPr>
          <w:p w:rsidR="00560C29" w:rsidRPr="005A3551" w:rsidRDefault="00560C29" w:rsidP="0092755B">
            <w:pPr>
              <w:snapToGrid w:val="0"/>
              <w:jc w:val="center"/>
              <w:rPr>
                <w:rFonts w:eastAsia="方正仿宋_GBK"/>
                <w:sz w:val="21"/>
                <w:szCs w:val="21"/>
                <w:highlight w:val="yellow"/>
              </w:rPr>
            </w:pPr>
          </w:p>
        </w:tc>
        <w:tc>
          <w:tcPr>
            <w:tcW w:w="11907" w:type="dxa"/>
            <w:vAlign w:val="center"/>
          </w:tcPr>
          <w:p w:rsidR="00560C29" w:rsidRPr="005A3551" w:rsidRDefault="00560C29" w:rsidP="0092755B">
            <w:pPr>
              <w:snapToGrid w:val="0"/>
              <w:jc w:val="left"/>
              <w:rPr>
                <w:rFonts w:eastAsia="方正仿宋_GBK"/>
                <w:sz w:val="21"/>
                <w:szCs w:val="21"/>
              </w:rPr>
            </w:pPr>
            <w:r w:rsidRPr="00277500">
              <w:rPr>
                <w:rFonts w:eastAsia="方正仿宋_GBK" w:hint="eastAsia"/>
                <w:sz w:val="21"/>
                <w:szCs w:val="21"/>
              </w:rPr>
              <w:t>达州市第二工业园区</w:t>
            </w:r>
            <w:r>
              <w:rPr>
                <w:rFonts w:eastAsia="方正仿宋_GBK" w:hint="eastAsia"/>
                <w:sz w:val="21"/>
                <w:szCs w:val="21"/>
              </w:rPr>
              <w:t>、</w:t>
            </w:r>
            <w:r w:rsidRPr="005A3551">
              <w:rPr>
                <w:rFonts w:eastAsia="方正仿宋_GBK"/>
                <w:sz w:val="21"/>
                <w:szCs w:val="21"/>
              </w:rPr>
              <w:t>达川工业园区、空港新区、秦巴物流园区、商贸物流园区的建成区内禁止建设养殖场；</w:t>
            </w:r>
          </w:p>
          <w:p w:rsidR="00560C29" w:rsidRPr="005A3551" w:rsidRDefault="00560C29" w:rsidP="0092755B">
            <w:pPr>
              <w:snapToGrid w:val="0"/>
              <w:jc w:val="left"/>
              <w:rPr>
                <w:rFonts w:eastAsia="方正仿宋_GBK"/>
                <w:sz w:val="21"/>
                <w:szCs w:val="21"/>
              </w:rPr>
            </w:pPr>
            <w:r w:rsidRPr="005A3551">
              <w:rPr>
                <w:rFonts w:eastAsia="方正仿宋_GBK"/>
                <w:sz w:val="21"/>
                <w:szCs w:val="21"/>
              </w:rPr>
              <w:t>除建成区外的园区规划用地范围内禁止建设有污染物排放的养殖场。</w:t>
            </w:r>
          </w:p>
        </w:tc>
      </w:tr>
      <w:tr w:rsidR="00560C29" w:rsidRPr="005A3551" w:rsidTr="0092755B">
        <w:trPr>
          <w:trHeight w:val="479"/>
        </w:trPr>
        <w:tc>
          <w:tcPr>
            <w:tcW w:w="1951" w:type="dxa"/>
            <w:vMerge/>
            <w:vAlign w:val="center"/>
          </w:tcPr>
          <w:p w:rsidR="00560C29" w:rsidRPr="005A3551" w:rsidRDefault="00560C29" w:rsidP="0092755B">
            <w:pPr>
              <w:snapToGrid w:val="0"/>
              <w:jc w:val="center"/>
              <w:rPr>
                <w:rFonts w:eastAsia="方正仿宋_GBK"/>
                <w:sz w:val="21"/>
                <w:szCs w:val="21"/>
                <w:highlight w:val="yellow"/>
              </w:rPr>
            </w:pPr>
          </w:p>
        </w:tc>
        <w:tc>
          <w:tcPr>
            <w:tcW w:w="11907" w:type="dxa"/>
            <w:vAlign w:val="center"/>
          </w:tcPr>
          <w:p w:rsidR="00560C29" w:rsidRPr="005A3551" w:rsidRDefault="00560C29" w:rsidP="0092755B">
            <w:pPr>
              <w:snapToGrid w:val="0"/>
              <w:jc w:val="left"/>
              <w:rPr>
                <w:rFonts w:eastAsia="方正仿宋_GBK"/>
                <w:sz w:val="21"/>
                <w:szCs w:val="21"/>
              </w:rPr>
            </w:pPr>
            <w:r w:rsidRPr="005A3551">
              <w:rPr>
                <w:rFonts w:eastAsia="方正仿宋_GBK"/>
                <w:sz w:val="21"/>
                <w:szCs w:val="21"/>
              </w:rPr>
              <w:t>依照法律法规规定应当划定的其他区域。</w:t>
            </w:r>
          </w:p>
        </w:tc>
      </w:tr>
    </w:tbl>
    <w:p w:rsidR="00D630AC" w:rsidRPr="00560C29" w:rsidRDefault="00D630AC"/>
    <w:sectPr w:rsidR="00D630AC" w:rsidRPr="00560C29" w:rsidSect="00560C29">
      <w:pgSz w:w="16838" w:h="11906" w:orient="landscape"/>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0AC" w:rsidRDefault="00D630AC" w:rsidP="00560C29">
      <w:r>
        <w:separator/>
      </w:r>
    </w:p>
  </w:endnote>
  <w:endnote w:type="continuationSeparator" w:id="1">
    <w:p w:rsidR="00D630AC" w:rsidRDefault="00D630AC" w:rsidP="00560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0AC" w:rsidRDefault="00D630AC" w:rsidP="00560C29">
      <w:r>
        <w:separator/>
      </w:r>
    </w:p>
  </w:footnote>
  <w:footnote w:type="continuationSeparator" w:id="1">
    <w:p w:rsidR="00D630AC" w:rsidRDefault="00D630AC" w:rsidP="00560C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C29"/>
    <w:rsid w:val="00560C29"/>
    <w:rsid w:val="00D63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C29"/>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0C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60C29"/>
    <w:rPr>
      <w:sz w:val="18"/>
      <w:szCs w:val="18"/>
    </w:rPr>
  </w:style>
  <w:style w:type="paragraph" w:styleId="a4">
    <w:name w:val="footer"/>
    <w:basedOn w:val="a"/>
    <w:link w:val="Char0"/>
    <w:uiPriority w:val="99"/>
    <w:semiHidden/>
    <w:unhideWhenUsed/>
    <w:rsid w:val="00560C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60C29"/>
    <w:rPr>
      <w:sz w:val="18"/>
      <w:szCs w:val="18"/>
    </w:rPr>
  </w:style>
  <w:style w:type="paragraph" w:customStyle="1" w:styleId="CharCharCharChar">
    <w:name w:val=" Char Char Char Char"/>
    <w:basedOn w:val="a"/>
    <w:rsid w:val="00560C29"/>
    <w:rPr>
      <w:rFonts w:ascii="Tahoma" w:eastAsia="宋体"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Company>微软中国</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2019-07-12T07:08:00Z</dcterms:created>
  <dcterms:modified xsi:type="dcterms:W3CDTF">2019-07-12T07:09:00Z</dcterms:modified>
</cp:coreProperties>
</file>