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rPr>
          <w:rFonts w:hint="eastAsia"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>
      <w:pPr>
        <w:ind w:left="1280" w:hanging="1280" w:hangingChars="400"/>
        <w:rPr>
          <w:rFonts w:hint="eastAsia" w:eastAsia="方正黑体_GBK"/>
          <w:szCs w:val="32"/>
        </w:rPr>
      </w:pPr>
    </w:p>
    <w:p>
      <w:pPr>
        <w:spacing w:line="578" w:lineRule="exact"/>
        <w:ind w:left="1853" w:leftChars="304" w:hanging="880" w:hangingChars="200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达州市达川区第三期学前教育行动计划实施方案责任清单</w:t>
      </w:r>
    </w:p>
    <w:p>
      <w:pPr>
        <w:spacing w:line="578" w:lineRule="exact"/>
        <w:ind w:left="1853" w:leftChars="304" w:hanging="880" w:hangingChars="200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4"/>
        <w:tblW w:w="13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118"/>
        <w:gridCol w:w="2545"/>
        <w:gridCol w:w="2495"/>
        <w:gridCol w:w="16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  <w:t>具体改革事项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  <w:t>此事项完成时限</w:t>
            </w:r>
          </w:p>
        </w:tc>
        <w:tc>
          <w:tcPr>
            <w:tcW w:w="2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主城区规划建设公办幼儿园10所。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2020年12月31日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区住建局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区自然资源局      区财政局   </w:t>
            </w:r>
            <w:r>
              <w:rPr>
                <w:rFonts w:eastAsia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制定小区配套幼儿园建设及产权移交办法。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区住建局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区自然资源局    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规范城镇小区配套幼儿园建设。城镇小区应根据居住区规划和居住人口规模，按照国家有关规定，采取小区同步规划、同步建设、同步交付使用的方式配套建设幼儿园。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2020年12月31日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区住建局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区自然资源局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spacing w:val="-12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12"/>
                <w:kern w:val="0"/>
                <w:sz w:val="28"/>
                <w:szCs w:val="28"/>
              </w:rPr>
              <w:t>开展小区配套幼儿园专项治理工作。城镇小区没有规划配套幼儿园或规划不足，或者有完整规划但建设不到位的，要依据国家和地方配建标准，通过补建、改建或就近新建、置换、购置等方式予以解决。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2020年12月31日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区住建局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区自然资源局         </w:t>
            </w:r>
            <w:r>
              <w:rPr>
                <w:rFonts w:eastAsia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对符合条件的幼儿园，按照《事业单位登记管理暂行条例》完成事业单位登记。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2020年12月31日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区人社局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区委编办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区财政局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区教科局     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建立学前教育经费投入保障机制，出台相关文件。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2019年12月31日前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区财政局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及时足额核定公办幼儿园教师编制，通过统一招考方式，每年招聘一定数量的幼儿教师，力争逐步配齐幼儿教师。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2020年12月31日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区人社局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区委编办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开展新一轮幼儿园园长和教师全员培训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2020年12月31日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6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幼儿园教职工依法全员纳入社保体系。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2019年12月31日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区人社局</w:t>
            </w:r>
          </w:p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区教科局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360" w:lineRule="auto"/>
        <w:rPr>
          <w:rFonts w:hint="eastAsia" w:eastAsia="仿宋_GB2312"/>
          <w:sz w:val="21"/>
          <w:szCs w:val="21"/>
        </w:rPr>
      </w:pPr>
    </w:p>
    <w:p>
      <w:pPr>
        <w:spacing w:line="360" w:lineRule="auto"/>
        <w:rPr>
          <w:rFonts w:hint="eastAsia" w:eastAsia="仿宋_GB2312"/>
          <w:sz w:val="21"/>
          <w:szCs w:val="21"/>
        </w:rPr>
      </w:pPr>
    </w:p>
    <w:p>
      <w:pPr>
        <w:spacing w:line="360" w:lineRule="auto"/>
        <w:rPr>
          <w:rFonts w:hint="eastAsia" w:eastAsia="仿宋_GB2312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2098" w:right="1474" w:bottom="1985" w:left="1588" w:header="397" w:footer="1588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color w:val="FFFFFF"/>
        <w:sz w:val="28"/>
        <w:szCs w:val="28"/>
      </w:rPr>
      <w:t>1</w:t>
    </w:r>
    <w:r>
      <w:rPr>
        <w:rStyle w:val="7"/>
        <w:rFonts w:hint="eastAsia"/>
        <w:sz w:val="28"/>
        <w:szCs w:val="28"/>
      </w:rPr>
      <w:t xml:space="preserve">－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13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－</w:t>
    </w:r>
    <w:r>
      <w:rPr>
        <w:rStyle w:val="7"/>
        <w:rFonts w:hint="eastAsia"/>
        <w:color w:val="FFFFFF"/>
        <w:sz w:val="28"/>
        <w:szCs w:val="28"/>
      </w:rPr>
      <w:t>1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354E7"/>
    <w:rsid w:val="7D1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 w:eastAsia="宋体"/>
      <w:sz w:val="24"/>
      <w:szCs w:val="20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uiPriority w:val="0"/>
    <w:rPr>
      <w:rFonts w:ascii="Tahoma" w:hAnsi="Tahoma" w:eastAsia="宋体"/>
      <w:sz w:val="24"/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2019-05-13T08:55:00Z</dcterms:created>
  <dc:creator>Administrator</dc:creator>
  <cp:lastModifiedBy>Administrator</cp:lastModifiedBy>
  <dcterms:modified xsi:type="dcterms:W3CDTF">2019-05-13T08:55:44Z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