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6" w:name="_GoBack"/>
      <w:bookmarkEnd w:id="76"/>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Theme="majorEastAsia" w:hAnsiTheme="majorEastAsia" w:eastAsiaTheme="majorEastAsia"/>
          <w:color w:val="000000"/>
          <w:sz w:val="72"/>
          <w:szCs w:val="72"/>
        </w:rPr>
      </w:pPr>
      <w:bookmarkStart w:id="1" w:name="_Toc15396597"/>
      <w:bookmarkStart w:id="2" w:name="_Toc15378441"/>
      <w:bookmarkStart w:id="3" w:name="_Toc15377425"/>
      <w:bookmarkStart w:id="4" w:name="_Toc15396475"/>
      <w:bookmarkStart w:id="5" w:name="_Toc15377193"/>
      <w:r>
        <w:rPr>
          <w:rFonts w:asciiTheme="majorEastAsia" w:hAnsiTheme="majorEastAsia" w:eastAsiaTheme="majorEastAsia"/>
          <w:color w:val="000000"/>
          <w:sz w:val="72"/>
          <w:szCs w:val="72"/>
        </w:rPr>
        <w:t>201</w:t>
      </w:r>
      <w:r>
        <w:rPr>
          <w:rFonts w:hint="eastAsia" w:asciiTheme="majorEastAsia" w:hAnsiTheme="majorEastAsia" w:eastAsiaTheme="majorEastAsia"/>
          <w:color w:val="000000"/>
          <w:sz w:val="72"/>
          <w:szCs w:val="72"/>
        </w:rPr>
        <w:t>8年度</w:t>
      </w:r>
      <w:bookmarkEnd w:id="1"/>
      <w:bookmarkEnd w:id="2"/>
      <w:bookmarkEnd w:id="3"/>
      <w:bookmarkEnd w:id="4"/>
      <w:bookmarkEnd w:id="5"/>
    </w:p>
    <w:p>
      <w:pPr>
        <w:adjustRightInd w:val="0"/>
        <w:snapToGrid w:val="0"/>
        <w:spacing w:line="360" w:lineRule="auto"/>
        <w:jc w:val="center"/>
        <w:outlineLvl w:val="0"/>
        <w:rPr>
          <w:rFonts w:asciiTheme="majorEastAsia" w:hAnsiTheme="majorEastAsia" w:eastAsiaTheme="majorEastAsia"/>
          <w:color w:val="000000"/>
          <w:sz w:val="72"/>
          <w:szCs w:val="72"/>
        </w:rPr>
      </w:pPr>
      <w:bookmarkStart w:id="6" w:name="_Toc15396476"/>
      <w:bookmarkStart w:id="7" w:name="_Toc15378442"/>
      <w:bookmarkStart w:id="8" w:name="_Toc15377194"/>
      <w:bookmarkStart w:id="9" w:name="_Toc15377426"/>
      <w:bookmarkStart w:id="10" w:name="_Toc15396598"/>
      <w:r>
        <w:rPr>
          <w:rFonts w:hint="eastAsia" w:asciiTheme="majorEastAsia" w:hAnsiTheme="majorEastAsia" w:eastAsiaTheme="majorEastAsia"/>
          <w:color w:val="000000"/>
          <w:sz w:val="72"/>
          <w:szCs w:val="72"/>
        </w:rPr>
        <w:t>四川省</w:t>
      </w:r>
      <w:bookmarkEnd w:id="0"/>
      <w:bookmarkStart w:id="11" w:name="_Toc15306268"/>
      <w:r>
        <w:rPr>
          <w:rFonts w:hint="eastAsia" w:asciiTheme="majorEastAsia" w:hAnsiTheme="majorEastAsia" w:eastAsiaTheme="majorEastAsia"/>
          <w:color w:val="000000"/>
          <w:sz w:val="72"/>
          <w:szCs w:val="72"/>
        </w:rPr>
        <w:t>达州市达川区堡子镇中心卫生院部门决算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w:t>
      </w:r>
      <w:r>
        <w:rPr>
          <w:rFonts w:hint="eastAsia"/>
          <w:lang w:val="en-US" w:eastAsia="zh-CN"/>
        </w:rPr>
        <w:t>9</w:t>
      </w:r>
      <w:r>
        <w:rPr>
          <w:rFonts w:hint="eastAsia"/>
        </w:rPr>
        <w:t>月</w:t>
      </w:r>
      <w:r>
        <w:rPr>
          <w:rFonts w:hint="eastAsia"/>
          <w:lang w:val="en-US" w:eastAsia="zh-CN"/>
        </w:rPr>
        <w:t>10</w:t>
      </w:r>
      <w:r>
        <w:rPr>
          <w:rFonts w:hint="eastAsia"/>
        </w:rPr>
        <w:t>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rPr>
          <w:rFonts w:hint="eastAsia"/>
          <w:lang w:val="en-US" w:eastAsia="zh-CN"/>
        </w:rPr>
        <w:t>5</w:t>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pPr>
        <w:pStyle w:val="11"/>
        <w:rPr>
          <w:rFonts w:hint="eastAsia" w:ascii="仿宋" w:hAnsi="仿宋" w:eastAsia="仿宋"/>
          <w:sz w:val="28"/>
          <w:szCs w:val="28"/>
          <w:lang w:val="en-US" w:eastAsia="zh-CN"/>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pPr>
        <w:pStyle w:val="11"/>
        <w:rPr>
          <w:rFonts w:hint="eastAsia" w:eastAsia="仿宋"/>
          <w:lang w:val="en-US" w:eastAsia="zh-CN"/>
        </w:rPr>
      </w:pPr>
      <w:r>
        <w:fldChar w:fldCharType="begin"/>
      </w:r>
      <w:r>
        <w:instrText xml:space="preserve"> HYPERLINK \l "_Toc15396615" </w:instrText>
      </w:r>
      <w:r>
        <w:fldChar w:fldCharType="separate"/>
      </w:r>
      <w:r>
        <w:rPr>
          <w:rStyle w:val="15"/>
          <w:rFonts w:hint="eastAsia" w:ascii="仿宋" w:hAnsi="仿宋" w:eastAsia="仿宋"/>
          <w:sz w:val="28"/>
          <w:szCs w:val="28"/>
          <w:lang w:eastAsia="zh-CN"/>
        </w:rPr>
        <w:t>十、预算绩效情况说明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1"/>
        <w:ind w:left="0" w:leftChars="0" w:firstLine="420" w:firstLineChars="200"/>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0"/>
        <w:rPr>
          <w:rFonts w:hint="eastAsia" w:eastAsia="仿宋" w:cstheme="minorBidi"/>
          <w:lang w:val="en-US" w:eastAsia="zh-CN"/>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lang w:val="en-US" w:eastAsia="zh-CN"/>
        </w:rPr>
        <w:t>1</w:t>
      </w:r>
      <w:r>
        <w:fldChar w:fldCharType="end"/>
      </w:r>
      <w:r>
        <w:rPr>
          <w:rFonts w:hint="eastAsia"/>
          <w:lang w:val="en-US" w:eastAsia="zh-CN"/>
        </w:rPr>
        <w:t>7</w:t>
      </w:r>
    </w:p>
    <w:p>
      <w:pPr>
        <w:pStyle w:val="10"/>
        <w:rPr>
          <w:rFonts w:hint="eastAsia" w:eastAsia="仿宋" w:cstheme="minorBidi"/>
          <w:lang w:val="en-US" w:eastAsia="zh-CN"/>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rPr>
          <w:rFonts w:hint="eastAsia"/>
          <w:lang w:val="en-US" w:eastAsia="zh-CN"/>
        </w:rPr>
        <w:t>1</w:t>
      </w:r>
      <w:r>
        <w:fldChar w:fldCharType="end"/>
      </w:r>
      <w:r>
        <w:rPr>
          <w:rFonts w:hint="eastAsia"/>
          <w:lang w:val="en-US" w:eastAsia="zh-CN"/>
        </w:rPr>
        <w:t>9</w:t>
      </w:r>
    </w:p>
    <w:p>
      <w:pPr>
        <w:pStyle w:val="11"/>
        <w:rPr>
          <w:rFonts w:hint="eastAsia" w:ascii="仿宋" w:hAnsi="仿宋" w:eastAsia="仿宋" w:cstheme="minorBidi"/>
          <w:sz w:val="28"/>
          <w:szCs w:val="28"/>
          <w:lang w:val="en-US" w:eastAsia="zh-CN"/>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9</w:t>
      </w:r>
    </w:p>
    <w:p>
      <w:pPr>
        <w:pStyle w:val="11"/>
        <w:rPr>
          <w:rFonts w:hint="eastAsia" w:ascii="仿宋" w:hAnsi="仿宋" w:eastAsia="仿宋" w:cstheme="minorBidi"/>
          <w:sz w:val="28"/>
          <w:szCs w:val="28"/>
          <w:lang w:val="en-US" w:eastAsia="zh-CN"/>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0"/>
        <w:rPr>
          <w:rFonts w:hint="eastAsia" w:eastAsia="仿宋" w:cstheme="minorBidi"/>
          <w:lang w:val="en-US" w:eastAsia="zh-CN"/>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rPr>
          <w:rFonts w:hint="eastAsia"/>
          <w:lang w:val="en-US" w:eastAsia="zh-CN"/>
        </w:rPr>
        <w:t>2</w:t>
      </w:r>
      <w:r>
        <w:fldChar w:fldCharType="end"/>
      </w:r>
      <w:r>
        <w:rPr>
          <w:rFonts w:hint="eastAsia"/>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r>
        <w:rPr>
          <w:rFonts w:ascii="黑体" w:hAnsi="黑体" w:eastAsia="黑体"/>
          <w:b/>
        </w:rPr>
        <w:br w:type="page"/>
      </w:r>
    </w:p>
    <w:p>
      <w:pPr>
        <w:widowControl/>
        <w:jc w:val="left"/>
        <w:rPr>
          <w:rFonts w:ascii="仿宋" w:hAnsi="仿宋" w:eastAsia="仿宋"/>
          <w:color w:val="000000"/>
          <w:sz w:val="24"/>
        </w:rPr>
      </w:pPr>
    </w:p>
    <w:p>
      <w:pPr>
        <w:widowControl/>
        <w:jc w:val="center"/>
        <w:rPr>
          <w:rStyle w:val="24"/>
          <w:rFonts w:hint="eastAsia" w:ascii="黑体" w:hAnsi="黑体" w:eastAsia="黑体"/>
          <w:b w:val="0"/>
          <w:bCs w:val="0"/>
        </w:rPr>
      </w:pPr>
      <w:bookmarkStart w:id="12" w:name="_Toc15377196"/>
      <w:bookmarkStart w:id="13" w:name="_Toc15396599"/>
      <w:r>
        <w:rPr>
          <w:rStyle w:val="24"/>
          <w:rFonts w:hint="eastAsia" w:ascii="黑体" w:hAnsi="黑体" w:eastAsia="黑体"/>
          <w:b w:val="0"/>
          <w:bCs w:val="0"/>
        </w:rPr>
        <w:t>第一部分 部门概况</w:t>
      </w:r>
      <w:bookmarkEnd w:id="12"/>
      <w:bookmarkEnd w:id="13"/>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spacing w:line="440" w:lineRule="exact"/>
        <w:ind w:firstLine="640" w:firstLineChars="200"/>
        <w:rPr>
          <w:rFonts w:ascii="仿宋_GB2312" w:hAnsi="宋体" w:eastAsia="仿宋_GB2312"/>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r>
        <w:rPr>
          <w:rFonts w:hint="eastAsia" w:ascii="仿宋_GB2312" w:hAnsi="宋体" w:eastAsia="仿宋_GB2312"/>
          <w:sz w:val="32"/>
          <w:szCs w:val="32"/>
        </w:rPr>
        <w:t>在地方政府和卫生行政部门领导下，根据党的方针、政策及市、区卫生局对社区卫生服务工作的总体要求、做好社区卫生服务行政业务工作，积极开展以保护、促进人民健康，不断提高居民生活质量为目的的卫生保健，认真落实各项卫生工作指标。开展以社区为范围，家庭为单位，健康为中心，人的生命为过程的以老年、妇女、儿童和慢性病人为重点的集预防、医疗、保健、康复、健康教育、计划生育指导为一体的综合性社区卫生服务。</w:t>
      </w:r>
    </w:p>
    <w:p>
      <w:pPr>
        <w:pStyle w:val="5"/>
        <w:adjustRightInd w:val="0"/>
        <w:snapToGrid w:val="0"/>
        <w:spacing w:before="93" w:line="600" w:lineRule="exact"/>
        <w:ind w:firstLine="672" w:firstLineChars="210"/>
        <w:rPr>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r>
        <w:rPr>
          <w:rFonts w:hint="eastAsia"/>
          <w:bCs/>
          <w:color w:val="000000"/>
          <w:sz w:val="32"/>
          <w:szCs w:val="32"/>
        </w:rPr>
        <w:t>2018年在区卫计局和局党组的正确领导下，我院坚持以</w:t>
      </w:r>
      <w:r>
        <w:rPr>
          <w:rFonts w:hint="eastAsia"/>
          <w:bCs/>
          <w:color w:val="000000"/>
          <w:sz w:val="32"/>
          <w:szCs w:val="32"/>
          <w:lang w:eastAsia="zh-CN"/>
        </w:rPr>
        <w:t>党的十九大精神</w:t>
      </w:r>
      <w:r>
        <w:rPr>
          <w:rFonts w:hint="eastAsia"/>
          <w:bCs/>
          <w:color w:val="000000"/>
          <w:sz w:val="32"/>
          <w:szCs w:val="32"/>
        </w:rPr>
        <w:t>为指引，全面贯彻落实科学发展观，深入学习贯彻习近平总书记系列重要讲话精神，以深化医疗卫生体制改革为契机，积极进取，勇于创新，思想稳定，团结一致，按照年初制定的工作计划，扎实开展各项工作，顺利完成本年度业务、综合管理、公共卫生服务、党风廉政建设等工作目标，社会效益不断提高。</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snapToGrid w:val="0"/>
        <w:spacing w:line="588" w:lineRule="exact"/>
        <w:ind w:firstLine="640" w:firstLineChars="200"/>
        <w:rPr>
          <w:rFonts w:ascii="仿宋_GB2312" w:hAnsi="仿宋" w:eastAsia="仿宋_GB2312"/>
          <w:sz w:val="32"/>
          <w:szCs w:val="32"/>
        </w:rPr>
      </w:pPr>
      <w:bookmarkStart w:id="22" w:name="_Toc15377204"/>
      <w:bookmarkStart w:id="23" w:name="_Toc15396602"/>
      <w:r>
        <w:rPr>
          <w:rFonts w:hint="eastAsia" w:ascii="仿宋_GB2312" w:hAnsi="仿宋" w:eastAsia="仿宋_GB2312"/>
          <w:sz w:val="32"/>
          <w:szCs w:val="32"/>
        </w:rPr>
        <w:t>1、人员情况</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达川区堡子镇中心卫生院年末实有人数56人，其中事业专技人员42人、事业工勤人员3人、临聘人员11人（其中三支一扶2人）；退休人员23人。</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2．机构人员当年变动情况及原因。</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2018年我中心属区财政局预算单位。2018年年末实有在职在编人数比上年减少1人，减少原因2018年公招1人、调入1 人；调离2人、退休1人。</w:t>
      </w:r>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2018年度部门决算情况说明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_GB2312" w:hAnsi="仿宋" w:eastAsia="仿宋_GB2312"/>
          <w:sz w:val="32"/>
          <w:szCs w:val="32"/>
        </w:rPr>
        <w:t>2018年收入共713.74万元，支出共649.06万元</w:t>
      </w:r>
      <w:r>
        <w:rPr>
          <w:rFonts w:hint="eastAsia" w:ascii="仿宋" w:hAnsi="仿宋" w:eastAsia="仿宋"/>
          <w:color w:val="000000"/>
          <w:sz w:val="32"/>
          <w:szCs w:val="32"/>
        </w:rPr>
        <w:t>。与2017年收入</w:t>
      </w:r>
      <w:r>
        <w:rPr>
          <w:rFonts w:hint="eastAsia" w:ascii="仿宋_GB2312" w:eastAsia="仿宋_GB2312"/>
          <w:color w:val="000000"/>
          <w:sz w:val="32"/>
          <w:szCs w:val="32"/>
        </w:rPr>
        <w:t>678.37万元</w:t>
      </w:r>
      <w:r>
        <w:rPr>
          <w:rFonts w:hint="eastAsia" w:ascii="仿宋" w:hAnsi="仿宋" w:eastAsia="仿宋"/>
          <w:color w:val="000000"/>
          <w:sz w:val="32"/>
          <w:szCs w:val="32"/>
        </w:rPr>
        <w:t>相比，收入增加35.37万元，增长5.2%，支出总计增加</w:t>
      </w:r>
      <w:r>
        <w:rPr>
          <w:rFonts w:hint="eastAsia" w:ascii="仿宋_GB2312" w:eastAsia="仿宋_GB2312"/>
          <w:color w:val="000000"/>
          <w:sz w:val="32"/>
          <w:szCs w:val="32"/>
        </w:rPr>
        <w:t>86.52</w:t>
      </w:r>
      <w:r>
        <w:rPr>
          <w:rFonts w:hint="eastAsia" w:ascii="仿宋" w:hAnsi="仿宋" w:eastAsia="仿宋"/>
          <w:color w:val="000000"/>
          <w:sz w:val="32"/>
          <w:szCs w:val="32"/>
        </w:rPr>
        <w:t>万元，增长13.3</w:t>
      </w:r>
      <w:r>
        <w:rPr>
          <w:rFonts w:ascii="仿宋" w:hAnsi="仿宋" w:eastAsia="仿宋"/>
          <w:color w:val="000000"/>
          <w:sz w:val="32"/>
          <w:szCs w:val="32"/>
        </w:rPr>
        <w:t>%</w:t>
      </w:r>
      <w:r>
        <w:rPr>
          <w:rFonts w:hint="eastAsia" w:ascii="仿宋" w:hAnsi="仿宋" w:eastAsia="仿宋"/>
          <w:color w:val="000000"/>
          <w:sz w:val="32"/>
          <w:szCs w:val="32"/>
        </w:rPr>
        <w:t>。主要变动原因是业务收入增加，以及职工工资增加所致。</w:t>
      </w:r>
    </w:p>
    <w:p>
      <w:pPr>
        <w:spacing w:line="600" w:lineRule="exact"/>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64384" behindDoc="0" locked="0" layoutInCell="1" allowOverlap="1">
            <wp:simplePos x="0" y="0"/>
            <wp:positionH relativeFrom="column">
              <wp:posOffset>85725</wp:posOffset>
            </wp:positionH>
            <wp:positionV relativeFrom="paragraph">
              <wp:posOffset>206375</wp:posOffset>
            </wp:positionV>
            <wp:extent cx="5629275" cy="2762250"/>
            <wp:effectExtent l="19050" t="0" r="9525" b="0"/>
            <wp:wrapNone/>
            <wp:docPr id="8" name="图片 1" descr="C:\Users\Administrator\AppData\Roaming\Tencent\Users\156191528\QQ\WinTemp\RichOle\16495_SYLUBZC$ORT)GYY@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AppData\Roaming\Tencent\Users\156191528\QQ\WinTemp\RichOle\16495_SYLUBZC$ORT)GYY@V.png"/>
                    <pic:cNvPicPr>
                      <a:picLocks noChangeAspect="1" noChangeArrowheads="1"/>
                    </pic:cNvPicPr>
                  </pic:nvPicPr>
                  <pic:blipFill>
                    <a:blip r:embed="rId6"/>
                    <a:srcRect/>
                    <a:stretch>
                      <a:fillRect/>
                    </a:stretch>
                  </pic:blipFill>
                  <pic:spPr>
                    <a:xfrm>
                      <a:off x="0" y="0"/>
                      <a:ext cx="5629275" cy="2762250"/>
                    </a:xfrm>
                    <a:prstGeom prst="rect">
                      <a:avLst/>
                    </a:prstGeom>
                    <a:noFill/>
                    <a:ln w="9525">
                      <a:noFill/>
                      <a:miter lim="800000"/>
                      <a:headEnd/>
                      <a:tailEnd/>
                    </a:ln>
                  </pic:spPr>
                </pic:pic>
              </a:graphicData>
            </a:graphic>
          </wp:anchor>
        </w:drawing>
      </w: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8年本年收入合计713.74万元，其中：一般公共预算财政拨款收入507.66万元，占71</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_GB2312" w:hAnsi="仿宋" w:eastAsia="仿宋_GB2312"/>
          <w:sz w:val="32"/>
          <w:szCs w:val="32"/>
        </w:rPr>
        <w:t>206.08</w:t>
      </w:r>
      <w:r>
        <w:rPr>
          <w:rFonts w:hint="eastAsia" w:ascii="仿宋" w:hAnsi="仿宋" w:eastAsia="仿宋"/>
          <w:color w:val="000000"/>
          <w:sz w:val="32"/>
          <w:szCs w:val="32"/>
        </w:rPr>
        <w:t>万元，占29</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0288" behindDoc="0" locked="0" layoutInCell="1" allowOverlap="1">
            <wp:simplePos x="0" y="0"/>
            <wp:positionH relativeFrom="column">
              <wp:posOffset>361950</wp:posOffset>
            </wp:positionH>
            <wp:positionV relativeFrom="paragraph">
              <wp:posOffset>238125</wp:posOffset>
            </wp:positionV>
            <wp:extent cx="5248275" cy="3162300"/>
            <wp:effectExtent l="19050" t="0" r="9525" b="0"/>
            <wp:wrapNone/>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noChangeArrowheads="1"/>
                    </pic:cNvPicPr>
                  </pic:nvPicPr>
                  <pic:blipFill>
                    <a:blip r:embed="rId7"/>
                    <a:srcRect/>
                    <a:stretch>
                      <a:fillRect/>
                    </a:stretch>
                  </pic:blipFill>
                  <pic:spPr>
                    <a:xfrm>
                      <a:off x="0" y="0"/>
                      <a:ext cx="5248275" cy="3162300"/>
                    </a:xfrm>
                    <a:prstGeom prst="rect">
                      <a:avLst/>
                    </a:prstGeom>
                    <a:noFill/>
                  </pic:spPr>
                </pic:pic>
              </a:graphicData>
            </a:graphic>
          </wp:anchor>
        </w:drawing>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_GB2312" w:hAnsi="仿宋" w:eastAsia="仿宋_GB2312"/>
          <w:sz w:val="32"/>
          <w:szCs w:val="32"/>
        </w:rPr>
        <w:t>649.06</w:t>
      </w:r>
      <w:r>
        <w:rPr>
          <w:rFonts w:hint="eastAsia" w:ascii="仿宋" w:hAnsi="仿宋" w:eastAsia="仿宋"/>
          <w:color w:val="000000"/>
          <w:sz w:val="32"/>
          <w:szCs w:val="32"/>
        </w:rPr>
        <w:t>万元，其中：基本支出525.54万元，占80.9</w:t>
      </w:r>
      <w:r>
        <w:rPr>
          <w:rFonts w:ascii="仿宋" w:hAnsi="仿宋" w:eastAsia="仿宋"/>
          <w:color w:val="000000"/>
          <w:sz w:val="32"/>
          <w:szCs w:val="32"/>
        </w:rPr>
        <w:t>%</w:t>
      </w:r>
      <w:r>
        <w:rPr>
          <w:rFonts w:hint="eastAsia" w:ascii="仿宋" w:hAnsi="仿宋" w:eastAsia="仿宋"/>
          <w:color w:val="000000"/>
          <w:sz w:val="32"/>
          <w:szCs w:val="32"/>
        </w:rPr>
        <w:t>；项目支出123.52万元，占19.1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66675</wp:posOffset>
            </wp:positionV>
            <wp:extent cx="4838065" cy="2905125"/>
            <wp:effectExtent l="19050" t="0" r="635" b="0"/>
            <wp:wrapNone/>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noChangeArrowheads="1"/>
                    </pic:cNvPicPr>
                  </pic:nvPicPr>
                  <pic:blipFill>
                    <a:blip r:embed="rId8"/>
                    <a:srcRect/>
                    <a:stretch>
                      <a:fillRect/>
                    </a:stretch>
                  </pic:blipFill>
                  <pic:spPr>
                    <a:xfrm>
                      <a:off x="0" y="0"/>
                      <a:ext cx="4838065" cy="2905125"/>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8年财政拨款收入507.66万元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7年财政拨款收入</w:t>
      </w:r>
      <w:r>
        <w:rPr>
          <w:rFonts w:hint="eastAsia" w:ascii="仿宋_GB2312" w:eastAsia="仿宋_GB2312"/>
          <w:color w:val="000000"/>
          <w:sz w:val="32"/>
          <w:szCs w:val="32"/>
        </w:rPr>
        <w:t>465.01</w:t>
      </w:r>
      <w:r>
        <w:rPr>
          <w:rFonts w:hint="eastAsia" w:ascii="仿宋" w:hAnsi="仿宋" w:eastAsia="仿宋"/>
          <w:color w:val="000000"/>
          <w:sz w:val="32"/>
          <w:szCs w:val="32"/>
        </w:rPr>
        <w:t>万元年相比，财政拨款收入增加42.65万元，增长9</w:t>
      </w:r>
      <w:r>
        <w:rPr>
          <w:rFonts w:ascii="仿宋" w:hAnsi="仿宋" w:eastAsia="仿宋"/>
          <w:color w:val="000000"/>
          <w:sz w:val="32"/>
          <w:szCs w:val="32"/>
        </w:rPr>
        <w:t>%</w:t>
      </w:r>
      <w:r>
        <w:rPr>
          <w:rFonts w:hint="eastAsia" w:ascii="仿宋" w:hAnsi="仿宋" w:eastAsia="仿宋"/>
          <w:color w:val="000000"/>
          <w:sz w:val="32"/>
          <w:szCs w:val="32"/>
        </w:rPr>
        <w:t>;2018年财政拨款支出442.98万元，与</w:t>
      </w:r>
      <w:r>
        <w:rPr>
          <w:rFonts w:ascii="仿宋" w:hAnsi="仿宋" w:eastAsia="仿宋"/>
          <w:color w:val="000000"/>
          <w:sz w:val="32"/>
          <w:szCs w:val="32"/>
        </w:rPr>
        <w:t>201</w:t>
      </w:r>
      <w:r>
        <w:rPr>
          <w:rFonts w:hint="eastAsia" w:ascii="仿宋" w:hAnsi="仿宋" w:eastAsia="仿宋"/>
          <w:color w:val="000000"/>
          <w:sz w:val="32"/>
          <w:szCs w:val="32"/>
        </w:rPr>
        <w:t>7年财政拨款支出562.52减少119.54万元，下降21</w:t>
      </w:r>
      <w:r>
        <w:rPr>
          <w:rFonts w:ascii="仿宋" w:hAnsi="仿宋" w:eastAsia="仿宋"/>
          <w:color w:val="000000"/>
          <w:sz w:val="32"/>
          <w:szCs w:val="32"/>
        </w:rPr>
        <w:t>%</w:t>
      </w:r>
      <w:r>
        <w:rPr>
          <w:rFonts w:hint="eastAsia" w:ascii="仿宋" w:hAnsi="仿宋" w:eastAsia="仿宋"/>
          <w:color w:val="000000"/>
          <w:sz w:val="32"/>
          <w:szCs w:val="32"/>
        </w:rPr>
        <w:t>。主要变动原因是财政补助增加，人员工资增加，支出减少原因是财政应返还额度增加所致。</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38100</wp:posOffset>
            </wp:positionH>
            <wp:positionV relativeFrom="paragraph">
              <wp:posOffset>228600</wp:posOffset>
            </wp:positionV>
            <wp:extent cx="5293360" cy="3401695"/>
            <wp:effectExtent l="19050" t="0" r="2540" b="0"/>
            <wp:wrapNone/>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noChangeArrowheads="1"/>
                    </pic:cNvPicPr>
                  </pic:nvPicPr>
                  <pic:blipFill>
                    <a:blip r:embed="rId9"/>
                    <a:srcRect/>
                    <a:stretch>
                      <a:fillRect/>
                    </a:stretch>
                  </pic:blipFill>
                  <pic:spPr>
                    <a:xfrm>
                      <a:off x="0" y="0"/>
                      <a:ext cx="5293360" cy="3401710"/>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8年一般公共预算财政拨款支出442.98万元，占本年支出合计的68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7年相比，一般公共预算财政拨款减少119.54万元，下降21</w:t>
      </w:r>
      <w:r>
        <w:rPr>
          <w:rFonts w:ascii="仿宋" w:hAnsi="仿宋" w:eastAsia="仿宋"/>
          <w:color w:val="000000"/>
          <w:sz w:val="32"/>
          <w:szCs w:val="32"/>
        </w:rPr>
        <w:t>%</w:t>
      </w:r>
      <w:r>
        <w:rPr>
          <w:rFonts w:hint="eastAsia" w:ascii="仿宋" w:hAnsi="仿宋" w:eastAsia="仿宋"/>
          <w:color w:val="000000"/>
          <w:sz w:val="32"/>
          <w:szCs w:val="32"/>
        </w:rPr>
        <w:t>。主要变动原因是财政2018年应返还额度增加。</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-47625</wp:posOffset>
            </wp:positionH>
            <wp:positionV relativeFrom="paragraph">
              <wp:posOffset>151765</wp:posOffset>
            </wp:positionV>
            <wp:extent cx="5314950" cy="4192270"/>
            <wp:effectExtent l="19050" t="0" r="0" b="0"/>
            <wp:wrapNone/>
            <wp:docPr id="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pic:cNvPicPr>
                      <a:picLocks noChangeAspect="1" noChangeArrowheads="1"/>
                    </pic:cNvPicPr>
                  </pic:nvPicPr>
                  <pic:blipFill>
                    <a:blip r:embed="rId10"/>
                    <a:srcRect/>
                    <a:stretch>
                      <a:fillRect/>
                    </a:stretch>
                  </pic:blipFill>
                  <pic:spPr>
                    <a:xfrm>
                      <a:off x="0" y="0"/>
                      <a:ext cx="5320012" cy="4196122"/>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政拨款支出442.98万元，主要用于以下方面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支出4.54万元，占1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支出56.45万元，占13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；医疗卫生支出325.1万元，占73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；住房保障支出56.89万元，占13</w:t>
      </w:r>
      <w:r>
        <w:rPr>
          <w:rFonts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66675</wp:posOffset>
            </wp:positionH>
            <wp:positionV relativeFrom="paragraph">
              <wp:posOffset>190500</wp:posOffset>
            </wp:positionV>
            <wp:extent cx="5343525" cy="3114675"/>
            <wp:effectExtent l="19050" t="0" r="9525" b="0"/>
            <wp:wrapNone/>
            <wp:docPr id="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pic:cNvPicPr>
                      <a:picLocks noChangeAspect="1" noChangeArrowheads="1"/>
                    </pic:cNvPicPr>
                  </pic:nvPicPr>
                  <pic:blipFill>
                    <a:blip r:embed="rId11"/>
                    <a:srcRect/>
                    <a:stretch>
                      <a:fillRect/>
                    </a:stretch>
                  </pic:blipFill>
                  <pic:spPr>
                    <a:xfrm>
                      <a:off x="0" y="0"/>
                      <a:ext cx="5343525" cy="3114675"/>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14:textFill>
            <w14:solidFill>
              <w14:schemeClr w14:val="tx1"/>
            </w14:solidFill>
          </w14:textFill>
        </w:rPr>
        <w:t>2018年一般公共预算支出决算数为442.98万元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预算87.25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一般公共服务（201）人力资源事务（20110）其它人力资源事务支出（2011099）</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社会保障和就业（208）行政事业单位离退休（20805）机关事业单位基本养老保险缴费支出（2080505）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支出决算为56.45万元，完成预算100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_GB2312" w:eastAsia="仿宋_GB2312"/>
          <w:color w:val="000000"/>
          <w:sz w:val="32"/>
          <w:szCs w:val="32"/>
        </w:rPr>
      </w:pPr>
      <w:r>
        <w:rPr>
          <w:rStyle w:val="14"/>
          <w:rFonts w:hint="eastAsia" w:ascii="仿宋_GB2312" w:eastAsia="仿宋_GB2312"/>
          <w:color w:val="000000"/>
          <w:sz w:val="32"/>
          <w:szCs w:val="32"/>
        </w:rPr>
        <w:t>3.医疗卫生与计划生育（210）基层医疗卫生机构（21003）</w:t>
      </w:r>
      <w:r>
        <w:rPr>
          <w:rFonts w:hint="eastAsia" w:ascii="仿宋_GB2312" w:eastAsia="仿宋_GB2312"/>
          <w:b/>
          <w:color w:val="000000"/>
          <w:sz w:val="32"/>
          <w:szCs w:val="32"/>
        </w:rPr>
        <w:t>乡镇卫生院（2100302）</w:t>
      </w:r>
      <w:r>
        <w:rPr>
          <w:rStyle w:val="14"/>
          <w:rFonts w:hint="eastAsia" w:ascii="仿宋_GB2312" w:eastAsia="仿宋_GB2312"/>
          <w:color w:val="000000"/>
          <w:sz w:val="32"/>
          <w:szCs w:val="32"/>
        </w:rPr>
        <w:t>:</w:t>
      </w:r>
      <w:r>
        <w:rPr>
          <w:rFonts w:hint="eastAsia" w:ascii="仿宋_GB2312" w:eastAsia="仿宋_GB2312"/>
          <w:color w:val="000000"/>
          <w:sz w:val="32"/>
          <w:szCs w:val="32"/>
        </w:rPr>
        <w:t>2018年决算数为194.3万元，完成预算数75%，决算数小于预算数的主要原因为存在年初、年末财政结转资金，</w:t>
      </w:r>
      <w:r>
        <w:rPr>
          <w:rFonts w:hint="eastAsia" w:ascii="仿宋_GB2312" w:eastAsia="仿宋_GB2312"/>
          <w:color w:val="000000"/>
          <w:sz w:val="32"/>
          <w:szCs w:val="32"/>
          <w:lang w:eastAsia="zh-CN"/>
        </w:rPr>
        <w:t>其中</w:t>
      </w:r>
      <w:r>
        <w:rPr>
          <w:rFonts w:hint="eastAsia" w:ascii="仿宋_GB2312" w:eastAsia="仿宋_GB2312"/>
          <w:color w:val="000000"/>
          <w:sz w:val="32"/>
          <w:szCs w:val="32"/>
        </w:rPr>
        <w:t>：年初结转67.76万元，年末结转132.4万元。主要为乡镇卫生院差额补助经费。</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医疗卫生与计划生育（210）基层医疗卫生机构（21003）</w:t>
      </w:r>
      <w:r>
        <w:rPr>
          <w:rStyle w:val="14"/>
          <w:rFonts w:hint="eastAsia" w:ascii="仿宋" w:hAnsi="仿宋" w:eastAsia="仿宋"/>
          <w:bCs/>
          <w:color w:val="000000"/>
          <w:sz w:val="32"/>
          <w:szCs w:val="32"/>
          <w:lang w:eastAsia="zh-CN"/>
        </w:rPr>
        <w:t>其他</w:t>
      </w:r>
      <w:r>
        <w:rPr>
          <w:rStyle w:val="14"/>
          <w:rFonts w:hint="eastAsia" w:ascii="仿宋" w:hAnsi="仿宋" w:eastAsia="仿宋"/>
          <w:bCs/>
          <w:color w:val="000000"/>
          <w:sz w:val="32"/>
          <w:szCs w:val="32"/>
        </w:rPr>
        <w:t>基层医疗卫生机构支出（2100399）</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支出决算为24.33万元，完成预算100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5、</w:t>
      </w:r>
      <w:r>
        <w:rPr>
          <w:rStyle w:val="14"/>
          <w:rFonts w:hint="eastAsia" w:ascii="仿宋" w:hAnsi="仿宋" w:eastAsia="仿宋"/>
          <w:bCs/>
          <w:color w:val="000000"/>
          <w:sz w:val="32"/>
          <w:szCs w:val="32"/>
        </w:rPr>
        <w:t>医疗卫生与计划生育（210）公共卫生（21004）基本公共卫生服务（2100408）</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支出决算为99.19万元，完成预算100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6、</w:t>
      </w:r>
      <w:r>
        <w:rPr>
          <w:rStyle w:val="14"/>
          <w:rFonts w:hint="eastAsia" w:ascii="仿宋" w:hAnsi="仿宋" w:eastAsia="仿宋"/>
          <w:bCs/>
          <w:color w:val="000000"/>
          <w:sz w:val="32"/>
          <w:szCs w:val="32"/>
        </w:rPr>
        <w:t>医疗卫生与计划生育（210）行政事业单位医疗（21011）事业单位医疗（2101102）</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支出决算为7.32万元，完成预算100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7、住房保障支出</w:t>
      </w:r>
      <w:r>
        <w:rPr>
          <w:rStyle w:val="14"/>
          <w:rFonts w:hint="eastAsia" w:ascii="仿宋" w:hAnsi="仿宋" w:eastAsia="仿宋"/>
          <w:bCs/>
          <w:color w:val="000000"/>
          <w:sz w:val="32"/>
          <w:szCs w:val="32"/>
        </w:rPr>
        <w:t>（221）住房改革支出（22102）住房公积金（2210201）</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支出决算为56.89万元，完成预算100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8年一般公共预算财政拨款基本支出319.46万元，其中：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249.99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69.47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无</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无</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p>
    <w:p>
      <w:pPr>
        <w:spacing w:line="60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无</w:t>
      </w:r>
      <w:bookmarkStart w:id="46" w:name="_Toc15377218"/>
      <w:bookmarkStart w:id="47" w:name="_Toc15396610"/>
    </w:p>
    <w:p>
      <w:pPr>
        <w:spacing w:line="600" w:lineRule="exact"/>
        <w:ind w:firstLine="640"/>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bookmarkStart w:id="50" w:name="_Toc15396612"/>
      <w:bookmarkStart w:id="51" w:name="_Toc15377221"/>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本单位按要求对2018年部门整体支出开展绩效自评，从评价情况来看本单位按要求对 2018 年单位整体支出开展绩效自评，从评价情况来看，本单位 2018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本单位在2018年度部门决算中反映“基本公共卫生服务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24.33万元，执行数为24.33万元，完成预算的100%。通过项目实施，保障了2018年我院基本药物采购资金的保障，发现的主要问题：对专项项目推进工作重视度有待加强，对。下一步改进措施：</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rPr>
        <w:t>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99.19万元，执行数为99.19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达州市达川区堡子镇中心卫生院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预算执行情况</w:t>
            </w: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rPr>
              <w:t>万元</w:t>
            </w:r>
            <w:r>
              <w:rPr>
                <w:rFonts w:hint="eastAsia" w:cs="宋体" w:asciiTheme="minorEastAsia" w:hAnsiTheme="minorEastAsia" w:eastAsiaTheme="minorEastAsia"/>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预算数</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24.33</w:t>
            </w:r>
            <w:r>
              <w:rPr>
                <w:rFonts w:hint="eastAsia" w:cs="宋体" w:asciiTheme="minorEastAsia" w:hAnsiTheme="minorEastAsia" w:eastAsiaTheme="minorEastAsia"/>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执行数</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24.33</w:t>
            </w:r>
            <w:r>
              <w:rPr>
                <w:rFonts w:hint="eastAsia" w:cs="宋体" w:asciiTheme="minorEastAsia" w:hAnsiTheme="minorEastAsia" w:eastAsiaTheme="minorEastAsia"/>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其中</w:t>
            </w: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rPr>
              <w:t>财政拨款</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24.33</w:t>
            </w:r>
            <w:r>
              <w:rPr>
                <w:rFonts w:hint="eastAsia" w:cs="宋体" w:asciiTheme="minorEastAsia" w:hAnsiTheme="minorEastAsia" w:eastAsiaTheme="minorEastAsia"/>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其中</w:t>
            </w: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rPr>
              <w:t>财政拨款</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24.33</w:t>
            </w:r>
            <w:r>
              <w:rPr>
                <w:rFonts w:hint="eastAsia" w:cs="宋体" w:asciiTheme="minorEastAsia" w:hAnsiTheme="minorEastAsia" w:eastAsiaTheme="minorEastAsia"/>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lang w:eastAsia="zh-CN"/>
              </w:rPr>
              <w:t>其他</w:t>
            </w:r>
            <w:r>
              <w:rPr>
                <w:rFonts w:hint="eastAsia" w:cs="宋体" w:asciiTheme="minorEastAsia" w:hAnsiTheme="minorEastAsia" w:eastAsiaTheme="minorEastAsia"/>
                <w:color w:val="000000"/>
                <w:kern w:val="0"/>
                <w:sz w:val="24"/>
              </w:rPr>
              <w:t>资金</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lang w:eastAsia="zh-CN"/>
              </w:rPr>
              <w:t>其他</w:t>
            </w:r>
            <w:r>
              <w:rPr>
                <w:rFonts w:hint="eastAsia" w:cs="宋体" w:asciiTheme="minorEastAsia" w:hAnsiTheme="minorEastAsia" w:eastAsiaTheme="minorEastAsia"/>
                <w:color w:val="000000"/>
                <w:kern w:val="0"/>
                <w:sz w:val="24"/>
              </w:rPr>
              <w:t>资金</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完成2018年基本药物资金补助</w:t>
            </w:r>
            <w:r>
              <w:rPr>
                <w:rFonts w:hint="eastAsia" w:cs="仿宋_GB2312" w:asciiTheme="minorEastAsia" w:hAnsiTheme="minorEastAsia" w:eastAsiaTheme="minorEastAsia"/>
                <w:sz w:val="24"/>
              </w:rPr>
              <w:t>24.33</w:t>
            </w:r>
            <w:r>
              <w:rPr>
                <w:rFonts w:hint="eastAsia" w:cs="宋体" w:asciiTheme="minorEastAsia" w:hAnsiTheme="minorEastAsia" w:eastAsiaTheme="minorEastAsia"/>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完成2018年基本药物资金补助</w:t>
            </w:r>
            <w:r>
              <w:rPr>
                <w:rFonts w:hint="eastAsia" w:cs="仿宋_GB2312" w:asciiTheme="minorEastAsia" w:hAnsiTheme="minorEastAsia" w:eastAsiaTheme="minorEastAsia"/>
                <w:sz w:val="24"/>
              </w:rPr>
              <w:t>24.33</w:t>
            </w:r>
            <w:r>
              <w:rPr>
                <w:rFonts w:hint="eastAsia" w:cs="宋体" w:asciiTheme="minorEastAsia" w:hAnsiTheme="minorEastAsia" w:eastAsiaTheme="minorEastAsia"/>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达州市达川区堡子镇中心卫生院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99.19万元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99.19万元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99.19万元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99.19万元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完成2018年基本公共卫生服务99.19万元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完成2018年基本公共卫生服务99.19万元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完成2018年基本公共卫生服99.19万元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w:t>
            </w:r>
            <w:r>
              <w:rPr>
                <w:rFonts w:hint="eastAsia" w:ascii="宋体" w:hAnsi="宋体" w:cs="宋体"/>
                <w:color w:val="000000"/>
                <w:sz w:val="24"/>
                <w:lang w:eastAsia="zh-CN"/>
              </w:rPr>
              <w:t>该项</w:t>
            </w:r>
            <w:r>
              <w:rPr>
                <w:rFonts w:hint="eastAsia" w:ascii="宋体" w:hAnsi="宋体" w:cs="宋体"/>
                <w:color w:val="000000"/>
                <w:sz w:val="24"/>
              </w:rPr>
              <w:t>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本部门按要求对2018年部门整体支出绩效评价情况开展自评，《四川省达州市达川区堡子镇中心卫生院2018年部门整体支出绩效评价报告》见附件。本部门未自行组织其他项目绩效评价。</w:t>
      </w:r>
    </w:p>
    <w:p/>
    <w:p/>
    <w:p>
      <w:pPr>
        <w:spacing w:line="600" w:lineRule="exact"/>
        <w:ind w:firstLine="800" w:firstLineChars="250"/>
        <w:outlineLvl w:val="1"/>
        <w:rPr>
          <w:rStyle w:val="25"/>
          <w:rFonts w:ascii="黑体" w:hAnsi="黑体" w:eastAsia="黑体"/>
        </w:rPr>
      </w:pPr>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8年，达州市达川区堡子镇中心卫生院政府采购支出总额0.3万元，其中：政府采购货物支出0.3万元、主要用于单位日常办公用。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日，达州市达川区堡子镇中心卫生院共有车辆1辆，其中：特种专业技术用车1辆，特种专业技术用</w:t>
      </w:r>
      <w:r>
        <w:rPr>
          <w:rFonts w:hint="eastAsia" w:ascii="仿宋_GB2312" w:eastAsia="仿宋_GB2312"/>
          <w:color w:val="000000" w:themeColor="text1"/>
          <w:sz w:val="32"/>
          <w:szCs w:val="32"/>
          <w14:textFill>
            <w14:solidFill>
              <w14:schemeClr w14:val="tx1"/>
            </w14:solidFill>
          </w14:textFill>
        </w:rPr>
        <w:t>车主要是用于单位急救病人使用。</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其他收入：指单位取得的除上述收入以外的各项收入。主要是利息等。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ascii="仿宋" w:hAnsi="仿宋" w:eastAsia="仿宋"/>
          <w:color w:val="000000"/>
          <w:sz w:val="32"/>
          <w:szCs w:val="32"/>
        </w:rPr>
      </w:pPr>
      <w:r>
        <w:rPr>
          <w:rStyle w:val="14"/>
          <w:rFonts w:hint="eastAsia" w:ascii="仿宋" w:hAnsi="仿宋" w:eastAsia="仿宋"/>
          <w:b w:val="0"/>
          <w:color w:val="000000"/>
          <w:sz w:val="32"/>
          <w:szCs w:val="32"/>
        </w:rPr>
        <w:t>9</w:t>
      </w:r>
      <w:r>
        <w:rPr>
          <w:rStyle w:val="14"/>
          <w:rFonts w:ascii="仿宋" w:hAnsi="仿宋" w:eastAsia="仿宋"/>
          <w:b w:val="0"/>
          <w:color w:val="000000"/>
          <w:sz w:val="32"/>
          <w:szCs w:val="32"/>
        </w:rPr>
        <w:t>.</w:t>
      </w:r>
      <w:r>
        <w:rPr>
          <w:rStyle w:val="14"/>
          <w:rFonts w:hint="eastAsia" w:ascii="仿宋" w:hAnsi="仿宋" w:eastAsia="仿宋"/>
          <w:b w:val="0"/>
          <w:color w:val="000000"/>
          <w:sz w:val="32"/>
          <w:szCs w:val="32"/>
        </w:rPr>
        <w:t>一般公共服务（201）人力资源事务（20110）其它人力资源事务支出（2011099）</w:t>
      </w:r>
      <w:r>
        <w:rPr>
          <w:rStyle w:val="14"/>
          <w:rFonts w:ascii="仿宋" w:hAnsi="仿宋" w:eastAsia="仿宋"/>
          <w:b w:val="0"/>
          <w:color w:val="000000"/>
          <w:sz w:val="32"/>
          <w:szCs w:val="32"/>
        </w:rPr>
        <w:t xml:space="preserve">: </w:t>
      </w:r>
      <w:r>
        <w:rPr>
          <w:rStyle w:val="14"/>
          <w:rFonts w:hint="eastAsia" w:ascii="仿宋" w:hAnsi="仿宋" w:eastAsia="仿宋"/>
          <w:b w:val="0"/>
          <w:color w:val="000000"/>
          <w:sz w:val="32"/>
          <w:szCs w:val="32"/>
        </w:rPr>
        <w:t>是指三支一扶人员一般性支出。</w:t>
      </w:r>
    </w:p>
    <w:p>
      <w:pPr>
        <w:spacing w:line="600" w:lineRule="exact"/>
        <w:ind w:firstLine="640" w:firstLineChars="200"/>
        <w:rPr>
          <w:rFonts w:ascii="仿宋" w:hAnsi="仿宋" w:eastAsia="仿宋"/>
          <w:color w:val="000000"/>
          <w:sz w:val="32"/>
          <w:szCs w:val="32"/>
        </w:rPr>
      </w:pPr>
      <w:r>
        <w:rPr>
          <w:rStyle w:val="14"/>
          <w:rFonts w:hint="eastAsia" w:ascii="仿宋" w:hAnsi="仿宋" w:eastAsia="仿宋"/>
          <w:b w:val="0"/>
          <w:color w:val="000000"/>
          <w:sz w:val="32"/>
          <w:szCs w:val="32"/>
        </w:rPr>
        <w:t>10</w:t>
      </w:r>
      <w:r>
        <w:rPr>
          <w:rStyle w:val="14"/>
          <w:rFonts w:ascii="仿宋" w:hAnsi="仿宋" w:eastAsia="仿宋"/>
          <w:b w:val="0"/>
          <w:color w:val="000000"/>
          <w:sz w:val="32"/>
          <w:szCs w:val="32"/>
        </w:rPr>
        <w:t>.</w:t>
      </w:r>
      <w:r>
        <w:rPr>
          <w:rStyle w:val="14"/>
          <w:rFonts w:hint="eastAsia" w:ascii="仿宋" w:hAnsi="仿宋" w:eastAsia="仿宋"/>
          <w:b w:val="0"/>
          <w:color w:val="000000"/>
          <w:sz w:val="32"/>
          <w:szCs w:val="32"/>
        </w:rPr>
        <w:t>社会保障和就业（208）行政事业单位离退休（20805）机关事业单位基本养老保险缴费支出（2080505）</w:t>
      </w:r>
      <w:r>
        <w:rPr>
          <w:rStyle w:val="14"/>
          <w:rFonts w:ascii="仿宋" w:hAnsi="仿宋" w:eastAsia="仿宋"/>
          <w:b w:val="0"/>
          <w:color w:val="000000"/>
          <w:sz w:val="32"/>
          <w:szCs w:val="32"/>
        </w:rPr>
        <w:t xml:space="preserve">: </w:t>
      </w:r>
      <w:r>
        <w:rPr>
          <w:rStyle w:val="14"/>
          <w:rFonts w:hint="eastAsia" w:ascii="仿宋" w:hAnsi="仿宋" w:eastAsia="仿宋"/>
          <w:b w:val="0"/>
          <w:color w:val="000000"/>
          <w:sz w:val="32"/>
          <w:szCs w:val="32"/>
        </w:rPr>
        <w:t>指单位职工养老保险缴费支出。</w:t>
      </w:r>
    </w:p>
    <w:p>
      <w:pPr>
        <w:spacing w:line="600" w:lineRule="exact"/>
        <w:ind w:firstLine="640"/>
        <w:rPr>
          <w:rFonts w:ascii="仿宋_GB2312" w:eastAsia="仿宋_GB2312"/>
          <w:color w:val="000000"/>
          <w:sz w:val="32"/>
          <w:szCs w:val="32"/>
        </w:rPr>
      </w:pPr>
      <w:r>
        <w:rPr>
          <w:rStyle w:val="14"/>
          <w:rFonts w:hint="eastAsia" w:ascii="仿宋_GB2312" w:eastAsia="仿宋_GB2312"/>
          <w:b w:val="0"/>
          <w:color w:val="000000"/>
          <w:sz w:val="32"/>
          <w:szCs w:val="32"/>
        </w:rPr>
        <w:t>11.医疗卫生与计划生育（210）基层医疗卫生机构（21003）</w:t>
      </w:r>
      <w:r>
        <w:rPr>
          <w:rFonts w:hint="eastAsia" w:ascii="仿宋_GB2312" w:eastAsia="仿宋_GB2312"/>
          <w:color w:val="000000"/>
          <w:sz w:val="32"/>
          <w:szCs w:val="32"/>
        </w:rPr>
        <w:t>乡镇卫生院（2100302）</w:t>
      </w:r>
      <w:r>
        <w:rPr>
          <w:rFonts w:hint="eastAsia" w:ascii="仿宋_GB2312" w:eastAsia="仿宋_GB2312"/>
          <w:color w:val="000000"/>
          <w:sz w:val="32"/>
          <w:szCs w:val="32"/>
          <w:lang w:eastAsia="zh-CN"/>
        </w:rPr>
        <w:t>：</w:t>
      </w:r>
      <w:r>
        <w:rPr>
          <w:rFonts w:hint="eastAsia" w:ascii="仿宋_GB2312" w:eastAsia="仿宋_GB2312"/>
          <w:color w:val="000000"/>
          <w:sz w:val="32"/>
          <w:szCs w:val="32"/>
        </w:rPr>
        <w:t>指为保障机构正常运转、完成日常工作任务而发生的人员支出和公用支出。</w:t>
      </w:r>
    </w:p>
    <w:p>
      <w:pPr>
        <w:spacing w:line="600" w:lineRule="exact"/>
        <w:ind w:firstLine="640" w:firstLineChars="200"/>
        <w:rPr>
          <w:rStyle w:val="14"/>
          <w:rFonts w:ascii="仿宋" w:hAnsi="仿宋" w:eastAsia="仿宋"/>
          <w:b w:val="0"/>
          <w:color w:val="000000"/>
          <w:sz w:val="32"/>
          <w:szCs w:val="32"/>
        </w:rPr>
      </w:pPr>
      <w:r>
        <w:rPr>
          <w:rStyle w:val="14"/>
          <w:rFonts w:hint="eastAsia" w:ascii="仿宋" w:hAnsi="仿宋" w:eastAsia="仿宋"/>
          <w:b w:val="0"/>
          <w:color w:val="000000"/>
          <w:sz w:val="32"/>
          <w:szCs w:val="32"/>
        </w:rPr>
        <w:t>12</w:t>
      </w:r>
      <w:r>
        <w:rPr>
          <w:rStyle w:val="14"/>
          <w:rFonts w:ascii="仿宋" w:hAnsi="仿宋" w:eastAsia="仿宋"/>
          <w:b w:val="0"/>
          <w:color w:val="000000"/>
          <w:sz w:val="32"/>
          <w:szCs w:val="32"/>
        </w:rPr>
        <w:t>.</w:t>
      </w:r>
      <w:r>
        <w:rPr>
          <w:rStyle w:val="14"/>
          <w:rFonts w:hint="eastAsia" w:ascii="仿宋" w:hAnsi="仿宋" w:eastAsia="仿宋"/>
          <w:b w:val="0"/>
          <w:color w:val="000000"/>
          <w:sz w:val="32"/>
          <w:szCs w:val="32"/>
        </w:rPr>
        <w:t>医疗卫生与计划生育（210）基层医疗卫生机构（21003）</w:t>
      </w:r>
      <w:r>
        <w:rPr>
          <w:rStyle w:val="14"/>
          <w:rFonts w:hint="eastAsia" w:ascii="仿宋" w:hAnsi="仿宋" w:eastAsia="仿宋"/>
          <w:b w:val="0"/>
          <w:color w:val="000000"/>
          <w:sz w:val="32"/>
          <w:szCs w:val="32"/>
          <w:lang w:eastAsia="zh-CN"/>
        </w:rPr>
        <w:t>其他</w:t>
      </w:r>
      <w:r>
        <w:rPr>
          <w:rStyle w:val="14"/>
          <w:rFonts w:hint="eastAsia" w:ascii="仿宋" w:hAnsi="仿宋" w:eastAsia="仿宋"/>
          <w:b w:val="0"/>
          <w:color w:val="000000"/>
          <w:sz w:val="32"/>
          <w:szCs w:val="32"/>
        </w:rPr>
        <w:t>基层医疗卫生机构支出（2100399）</w:t>
      </w:r>
      <w:r>
        <w:rPr>
          <w:rStyle w:val="14"/>
          <w:rFonts w:hint="eastAsia" w:ascii="仿宋" w:hAnsi="仿宋" w:eastAsia="仿宋"/>
          <w:b w:val="0"/>
          <w:color w:val="000000"/>
          <w:sz w:val="32"/>
          <w:szCs w:val="32"/>
          <w:lang w:eastAsia="zh-CN"/>
        </w:rPr>
        <w:t>：</w:t>
      </w:r>
      <w:r>
        <w:rPr>
          <w:rStyle w:val="14"/>
          <w:rFonts w:hint="eastAsia" w:ascii="仿宋" w:hAnsi="仿宋" w:eastAsia="仿宋"/>
          <w:b w:val="0"/>
          <w:color w:val="000000"/>
          <w:sz w:val="32"/>
          <w:szCs w:val="32"/>
        </w:rPr>
        <w:t>指单位实施国家基本药物制度支出。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w:t>
      </w:r>
      <w:r>
        <w:rPr>
          <w:rStyle w:val="14"/>
          <w:rFonts w:hint="eastAsia" w:ascii="仿宋" w:hAnsi="仿宋" w:eastAsia="仿宋"/>
          <w:b w:val="0"/>
          <w:color w:val="000000"/>
          <w:sz w:val="32"/>
          <w:szCs w:val="32"/>
        </w:rPr>
        <w:t>医疗卫生与计划生育（210）公共卫生（21004）基本公共卫生服务（2100408）</w:t>
      </w:r>
      <w:r>
        <w:rPr>
          <w:rStyle w:val="14"/>
          <w:rFonts w:hint="eastAsia" w:ascii="仿宋" w:hAnsi="仿宋" w:eastAsia="仿宋"/>
          <w:b w:val="0"/>
          <w:color w:val="000000"/>
          <w:sz w:val="32"/>
          <w:szCs w:val="32"/>
          <w:lang w:eastAsia="zh-CN"/>
        </w:rPr>
        <w:t>：</w:t>
      </w:r>
      <w:r>
        <w:rPr>
          <w:rStyle w:val="14"/>
          <w:rFonts w:hint="eastAsia" w:ascii="仿宋" w:hAnsi="仿宋" w:eastAsia="仿宋"/>
          <w:b w:val="0"/>
          <w:color w:val="000000"/>
          <w:sz w:val="32"/>
          <w:szCs w:val="32"/>
        </w:rPr>
        <w:t>指单位实施基本公共卫生服务支出。</w:t>
      </w:r>
    </w:p>
    <w:p>
      <w:pPr>
        <w:spacing w:line="600" w:lineRule="exact"/>
        <w:ind w:firstLine="640"/>
        <w:rPr>
          <w:rStyle w:val="14"/>
          <w:rFonts w:ascii="仿宋" w:hAnsi="仿宋" w:eastAsia="仿宋"/>
          <w:b w:val="0"/>
          <w:color w:val="000000"/>
          <w:sz w:val="32"/>
          <w:szCs w:val="32"/>
        </w:rPr>
      </w:pPr>
      <w:r>
        <w:rPr>
          <w:rFonts w:hint="eastAsia" w:ascii="仿宋" w:hAnsi="仿宋" w:eastAsia="仿宋"/>
          <w:color w:val="000000"/>
          <w:sz w:val="32"/>
          <w:szCs w:val="32"/>
        </w:rPr>
        <w:t>14、</w:t>
      </w:r>
      <w:r>
        <w:rPr>
          <w:rStyle w:val="14"/>
          <w:rFonts w:hint="eastAsia" w:ascii="仿宋" w:hAnsi="仿宋" w:eastAsia="仿宋"/>
          <w:b w:val="0"/>
          <w:color w:val="000000"/>
          <w:sz w:val="32"/>
          <w:szCs w:val="32"/>
        </w:rPr>
        <w:t>医疗卫生与计划生育（210）行政事业单位医疗（21011）事业单位医疗（2101102）</w:t>
      </w:r>
      <w:r>
        <w:rPr>
          <w:rStyle w:val="14"/>
          <w:rFonts w:hint="eastAsia" w:ascii="仿宋" w:hAnsi="仿宋" w:eastAsia="仿宋"/>
          <w:b w:val="0"/>
          <w:color w:val="000000"/>
          <w:sz w:val="32"/>
          <w:szCs w:val="32"/>
          <w:lang w:eastAsia="zh-CN"/>
        </w:rPr>
        <w:t>：</w:t>
      </w:r>
      <w:r>
        <w:rPr>
          <w:rStyle w:val="14"/>
          <w:rFonts w:hint="eastAsia" w:ascii="仿宋" w:hAnsi="仿宋" w:eastAsia="仿宋"/>
          <w:b w:val="0"/>
          <w:color w:val="000000"/>
          <w:sz w:val="32"/>
          <w:szCs w:val="32"/>
        </w:rPr>
        <w:t>指单位基本医疗保险服务支出。</w:t>
      </w:r>
    </w:p>
    <w:p>
      <w:pPr>
        <w:ind w:firstLine="640" w:firstLineChars="200"/>
        <w:rPr>
          <w:rStyle w:val="14"/>
          <w:rFonts w:ascii="仿宋" w:hAnsi="仿宋" w:eastAsia="仿宋"/>
          <w:b w:val="0"/>
          <w:color w:val="000000"/>
          <w:sz w:val="32"/>
          <w:szCs w:val="32"/>
        </w:rPr>
      </w:pPr>
      <w:r>
        <w:rPr>
          <w:rFonts w:hint="eastAsia" w:ascii="仿宋" w:hAnsi="仿宋" w:eastAsia="仿宋"/>
          <w:color w:val="000000"/>
          <w:sz w:val="32"/>
          <w:szCs w:val="32"/>
        </w:rPr>
        <w:t>15、住房保障支出</w:t>
      </w:r>
      <w:r>
        <w:rPr>
          <w:rStyle w:val="14"/>
          <w:rFonts w:hint="eastAsia" w:ascii="仿宋" w:hAnsi="仿宋" w:eastAsia="仿宋"/>
          <w:b w:val="0"/>
          <w:color w:val="000000"/>
          <w:sz w:val="32"/>
          <w:szCs w:val="32"/>
        </w:rPr>
        <w:t>（221）住房改革支出（22102）住房公积金（2210201）</w:t>
      </w:r>
      <w:r>
        <w:rPr>
          <w:rStyle w:val="14"/>
          <w:rFonts w:hint="eastAsia" w:ascii="仿宋" w:hAnsi="仿宋" w:eastAsia="仿宋"/>
          <w:b w:val="0"/>
          <w:color w:val="000000"/>
          <w:sz w:val="32"/>
          <w:szCs w:val="32"/>
          <w:lang w:eastAsia="zh-CN"/>
        </w:rPr>
        <w:t>：</w:t>
      </w:r>
      <w:r>
        <w:rPr>
          <w:rStyle w:val="14"/>
          <w:rFonts w:hint="eastAsia" w:ascii="仿宋" w:hAnsi="仿宋" w:eastAsia="仿宋"/>
          <w:b w:val="0"/>
          <w:color w:val="000000"/>
          <w:sz w:val="32"/>
          <w:szCs w:val="32"/>
        </w:rPr>
        <w:t>指单位保障住房性支出。</w:t>
      </w:r>
    </w:p>
    <w:p>
      <w:pPr>
        <w:spacing w:line="600" w:lineRule="exact"/>
        <w:jc w:val="center"/>
        <w:outlineLvl w:val="0"/>
        <w:rPr>
          <w:rFonts w:ascii="黑体" w:hAnsi="黑体" w:eastAsia="黑体"/>
          <w:color w:val="000000"/>
          <w:sz w:val="44"/>
          <w:szCs w:val="44"/>
        </w:rPr>
      </w:pPr>
      <w:bookmarkStart w:id="57" w:name="_Toc15396614"/>
      <w:bookmarkStart w:id="58"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center"/>
        <w:outlineLvl w:val="0"/>
        <w:rPr>
          <w:rStyle w:val="24"/>
        </w:rPr>
      </w:pPr>
    </w:p>
    <w:p>
      <w:pPr>
        <w:pStyle w:val="3"/>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rPr>
        <w:t>达州市达川区堡子镇中心卫生院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ind w:firstLine="320" w:firstLineChars="100"/>
        <w:rPr>
          <w:rFonts w:ascii="仿宋" w:hAnsi="仿宋" w:eastAsia="仿宋" w:cs="仿宋_GB2312"/>
          <w:sz w:val="32"/>
          <w:szCs w:val="32"/>
        </w:rPr>
      </w:pPr>
      <w:r>
        <w:rPr>
          <w:rFonts w:hint="eastAsia" w:ascii="仿宋" w:hAnsi="仿宋" w:eastAsia="仿宋" w:cs="仿宋_GB2312"/>
          <w:sz w:val="32"/>
          <w:szCs w:val="32"/>
        </w:rPr>
        <w:t>达州市达川区堡子镇中心卫生院是一家财政补助事业单位，无其他下属单位。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堡子镇中心卫生院是一所综合性事业医院，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DR、B（彩）超、全自动生化分析仪、麻醉呼吸机等辅助设备，现设有内科、外科、妇产科、五官科、骨科、中医科、理疗科等科室。开展了中下腹部手术，剖宫产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napToGrid w:val="0"/>
        <w:spacing w:line="58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达川区堡子镇中心卫生院年末实有人数56人，其中事业专技人员42人、事业工勤人员3人、临聘人员11人（其中三支一扶2人）；退休人员23人。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本单位2018年财政资金收入</w:t>
      </w:r>
      <w:r>
        <w:rPr>
          <w:rFonts w:hint="eastAsia" w:ascii="仿宋" w:hAnsi="仿宋" w:eastAsia="仿宋"/>
          <w:color w:val="000000"/>
          <w:sz w:val="32"/>
          <w:szCs w:val="32"/>
          <w:lang w:val="en-US" w:eastAsia="zh-CN"/>
        </w:rPr>
        <w:t>507.66</w:t>
      </w:r>
      <w:r>
        <w:rPr>
          <w:rFonts w:hint="eastAsia" w:ascii="仿宋" w:hAnsi="仿宋" w:eastAsia="仿宋" w:cs="仿宋_GB2312"/>
          <w:sz w:val="32"/>
          <w:szCs w:val="32"/>
        </w:rPr>
        <w:t>万元，其中：一般公共预算财政拨款</w:t>
      </w:r>
      <w:r>
        <w:rPr>
          <w:rFonts w:hint="eastAsia" w:ascii="仿宋" w:hAnsi="仿宋" w:eastAsia="仿宋"/>
          <w:color w:val="000000"/>
          <w:sz w:val="32"/>
          <w:szCs w:val="32"/>
          <w:lang w:val="en-US" w:eastAsia="zh-CN"/>
        </w:rPr>
        <w:t>507.66</w:t>
      </w:r>
      <w:r>
        <w:rPr>
          <w:rFonts w:hint="eastAsia" w:ascii="仿宋" w:hAnsi="仿宋" w:eastAsia="仿宋" w:cs="仿宋_GB2312"/>
          <w:sz w:val="32"/>
          <w:szCs w:val="32"/>
        </w:rPr>
        <w:t>万元，政府性基金预算财政拨款</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numPr>
          <w:ilvl w:val="0"/>
          <w:numId w:val="6"/>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部门财政资金支出情况。</w:t>
      </w:r>
    </w:p>
    <w:p>
      <w:pPr>
        <w:spacing w:line="580" w:lineRule="exact"/>
        <w:rPr>
          <w:rFonts w:hint="eastAsia" w:ascii="仿宋" w:hAnsi="仿宋" w:eastAsia="仿宋" w:cs="仿宋_GB2312"/>
          <w:sz w:val="32"/>
          <w:szCs w:val="32"/>
        </w:rPr>
      </w:pPr>
      <w:r>
        <w:rPr>
          <w:rFonts w:hint="eastAsia" w:ascii="仿宋" w:hAnsi="仿宋" w:eastAsia="仿宋" w:cs="仿宋_GB2312"/>
          <w:sz w:val="32"/>
          <w:szCs w:val="32"/>
        </w:rPr>
        <w:t xml:space="preserve">   本单位2018年财政资金支出</w:t>
      </w:r>
      <w:r>
        <w:rPr>
          <w:rFonts w:hint="eastAsia" w:ascii="仿宋" w:hAnsi="仿宋" w:eastAsia="仿宋"/>
          <w:color w:val="000000"/>
          <w:sz w:val="32"/>
          <w:szCs w:val="32"/>
          <w:lang w:val="en-US" w:eastAsia="zh-CN"/>
        </w:rPr>
        <w:t>442.98</w:t>
      </w:r>
      <w:r>
        <w:rPr>
          <w:rFonts w:hint="eastAsia" w:ascii="仿宋" w:hAnsi="仿宋" w:eastAsia="仿宋" w:cs="仿宋_GB2312"/>
          <w:sz w:val="32"/>
          <w:szCs w:val="32"/>
        </w:rPr>
        <w:t>万元，其中：一般公共预算财政拨款</w:t>
      </w:r>
      <w:r>
        <w:rPr>
          <w:rFonts w:hint="eastAsia" w:ascii="仿宋" w:hAnsi="仿宋" w:eastAsia="仿宋"/>
          <w:color w:val="000000"/>
          <w:sz w:val="32"/>
          <w:szCs w:val="32"/>
          <w:lang w:val="en-US" w:eastAsia="zh-CN"/>
        </w:rPr>
        <w:t>442.98</w:t>
      </w:r>
      <w:r>
        <w:rPr>
          <w:rFonts w:hint="eastAsia" w:ascii="仿宋" w:hAnsi="仿宋" w:eastAsia="仿宋" w:cs="仿宋_GB2312"/>
          <w:sz w:val="32"/>
          <w:szCs w:val="32"/>
        </w:rPr>
        <w:t>万元，政府性基金预算财政拨款</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2018年预算编制工作，按时完成基础库、项目库报送工作，并按时提交部门预算草案。绩效目标是预算编制的前提和基础，按照“费随事定”的原则，2018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截至</w:t>
      </w:r>
      <w:r>
        <w:rPr>
          <w:rFonts w:hint="eastAsia" w:ascii="仿宋" w:hAnsi="仿宋" w:eastAsia="仿宋" w:cs="仿宋_GB2312"/>
          <w:sz w:val="32"/>
          <w:szCs w:val="32"/>
        </w:rPr>
        <w:t xml:space="preserve"> 2018 年 12 月 31 日，我院 2018 年财政资金一般公共预算财政拨款执行进度为87.25%。</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楷体_GB2312" w:hAnsi="楷体_GB2312" w:eastAsia="Times New Roman" w:cs="楷体_GB2312"/>
          <w:color w:val="000000"/>
          <w:sz w:val="32"/>
          <w:szCs w:val="22"/>
        </w:rPr>
      </w:pPr>
      <w:r>
        <w:rPr>
          <w:rFonts w:ascii="楷体_GB2312" w:hAnsi="楷体_GB2312" w:eastAsia="Times New Roman" w:cs="楷体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pStyle w:val="3"/>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2018年堡子镇中心卫生院项目支出绩效评价报告</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w:t>
      </w:r>
      <w:r>
        <w:rPr>
          <w:rFonts w:hint="eastAsia" w:ascii="仿宋" w:hAnsi="仿宋" w:eastAsia="仿宋"/>
          <w:sz w:val="32"/>
          <w:szCs w:val="32"/>
          <w:lang w:eastAsia="zh-CN"/>
        </w:rPr>
        <w:t>公共卫生</w:t>
      </w:r>
      <w:r>
        <w:rPr>
          <w:rFonts w:hint="eastAsia" w:ascii="仿宋" w:hAnsi="仿宋" w:eastAsia="仿宋"/>
          <w:sz w:val="32"/>
          <w:szCs w:val="32"/>
        </w:rPr>
        <w:t>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w:t>
      </w:r>
      <w:r>
        <w:rPr>
          <w:rFonts w:hint="eastAsia" w:ascii="仿宋" w:hAnsi="仿宋" w:eastAsia="仿宋"/>
          <w:sz w:val="32"/>
          <w:szCs w:val="32"/>
          <w:lang w:eastAsia="zh-CN"/>
        </w:rPr>
        <w:t>决策</w:t>
      </w:r>
      <w:r>
        <w:rPr>
          <w:rFonts w:hint="eastAsia" w:ascii="仿宋" w:hAnsi="仿宋" w:eastAsia="仿宋"/>
          <w:sz w:val="32"/>
          <w:szCs w:val="32"/>
        </w:rPr>
        <w:t>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99.19万元、基层医疗机构基本药物制度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24.33万元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各单位根据业务需要购买货物及工作运行开支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w:t>
      </w:r>
      <w:r>
        <w:rPr>
          <w:rFonts w:hint="eastAsia" w:ascii="仿宋" w:hAnsi="仿宋" w:eastAsia="仿宋" w:cs="仿宋_GB2312"/>
          <w:sz w:val="32"/>
          <w:szCs w:val="32"/>
          <w:lang w:eastAsia="zh-CN"/>
        </w:rPr>
        <w:t>公共卫生</w:t>
      </w:r>
      <w:r>
        <w:rPr>
          <w:rFonts w:hint="eastAsia" w:ascii="仿宋" w:hAnsi="仿宋" w:eastAsia="仿宋" w:cs="仿宋_GB2312"/>
          <w:sz w:val="32"/>
          <w:szCs w:val="32"/>
        </w:rPr>
        <w:t>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w:t>
      </w:r>
      <w:r>
        <w:rPr>
          <w:rFonts w:hint="eastAsia" w:ascii="仿宋" w:hAnsi="仿宋" w:eastAsia="仿宋"/>
          <w:sz w:val="32"/>
          <w:szCs w:val="32"/>
          <w:lang w:val="en-US" w:eastAsia="zh-CN"/>
        </w:rPr>
        <w:t>100</w:t>
      </w:r>
      <w:r>
        <w:rPr>
          <w:rFonts w:hint="eastAsia" w:ascii="仿宋" w:hAnsi="仿宋" w:eastAsia="仿宋"/>
          <w:sz w:val="32"/>
          <w:szCs w:val="32"/>
          <w:lang w:eastAsia="zh-CN"/>
        </w:rPr>
        <w:t>%；基本药物零差率销售率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3、进一步完善和落实相关管理制度，加强内部控制管理制度学习，严格遵照相关制度贯彻落实到位，做到精细化管理。</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600" w:lineRule="exact"/>
        <w:jc w:val="center"/>
        <w:outlineLvl w:val="0"/>
        <w:rPr>
          <w:rFonts w:ascii="黑体" w:hAnsi="黑体" w:eastAsia="黑体"/>
          <w:color w:val="000000"/>
          <w:sz w:val="44"/>
          <w:szCs w:val="44"/>
        </w:rPr>
      </w:pPr>
      <w:bookmarkStart w:id="62" w:name="_Toc15396618"/>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6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14:textFill>
            <w14:solidFill>
              <w14:schemeClr w14:val="tx1"/>
            </w14:solidFill>
          </w14:textFill>
        </w:rPr>
      </w:pPr>
      <w:bookmarkStart w:id="7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6DEA2601"/>
    <w:multiLevelType w:val="singleLevel"/>
    <w:tmpl w:val="6DEA2601"/>
    <w:lvl w:ilvl="0" w:tentative="0">
      <w:start w:val="2"/>
      <w:numFmt w:val="chineseCounting"/>
      <w:suff w:val="nothing"/>
      <w:lvlText w:val="（%1）"/>
      <w:lvlJc w:val="left"/>
      <w:pPr>
        <w:ind w:left="0" w:firstLine="0"/>
      </w:pPr>
    </w:lvl>
  </w:abstractNum>
  <w:num w:numId="1">
    <w:abstractNumId w:val="3"/>
  </w:num>
  <w:num w:numId="2">
    <w:abstractNumId w:val="0"/>
  </w:num>
  <w:num w:numId="3">
    <w:abstractNumId w:val="4"/>
  </w:num>
  <w:num w:numId="4">
    <w:abstractNumId w:val="2"/>
  </w:num>
  <w:num w:numId="5">
    <w:abstractNumId w:val="1"/>
  </w:num>
  <w:num w:numId="6">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YjRjMzY4Y2EyMDI4MzcwODVjNmZjZTYyZTdiNzAifQ=="/>
  </w:docVars>
  <w:rsids>
    <w:rsidRoot w:val="00F1361C"/>
    <w:rsid w:val="000222C6"/>
    <w:rsid w:val="0002549F"/>
    <w:rsid w:val="0002716C"/>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47D9"/>
    <w:rsid w:val="00196687"/>
    <w:rsid w:val="001C0962"/>
    <w:rsid w:val="001D7531"/>
    <w:rsid w:val="001E737D"/>
    <w:rsid w:val="001F0592"/>
    <w:rsid w:val="001F7506"/>
    <w:rsid w:val="002006CD"/>
    <w:rsid w:val="00202B36"/>
    <w:rsid w:val="00204B7A"/>
    <w:rsid w:val="0021101A"/>
    <w:rsid w:val="00220536"/>
    <w:rsid w:val="00235629"/>
    <w:rsid w:val="002566DE"/>
    <w:rsid w:val="00260C38"/>
    <w:rsid w:val="002616C0"/>
    <w:rsid w:val="002662AA"/>
    <w:rsid w:val="002707AA"/>
    <w:rsid w:val="00280496"/>
    <w:rsid w:val="00281677"/>
    <w:rsid w:val="00295495"/>
    <w:rsid w:val="002B2613"/>
    <w:rsid w:val="002F1818"/>
    <w:rsid w:val="002F567B"/>
    <w:rsid w:val="003216A9"/>
    <w:rsid w:val="00333E12"/>
    <w:rsid w:val="003451C3"/>
    <w:rsid w:val="00366006"/>
    <w:rsid w:val="0037013F"/>
    <w:rsid w:val="00380C92"/>
    <w:rsid w:val="003A484F"/>
    <w:rsid w:val="003B0BE0"/>
    <w:rsid w:val="003B0C1B"/>
    <w:rsid w:val="003B688C"/>
    <w:rsid w:val="003C0291"/>
    <w:rsid w:val="003C39AE"/>
    <w:rsid w:val="003C7B60"/>
    <w:rsid w:val="003D1FB2"/>
    <w:rsid w:val="003D66DA"/>
    <w:rsid w:val="003E1310"/>
    <w:rsid w:val="003E6F55"/>
    <w:rsid w:val="003F1C7F"/>
    <w:rsid w:val="00406254"/>
    <w:rsid w:val="004223DE"/>
    <w:rsid w:val="00434489"/>
    <w:rsid w:val="00437085"/>
    <w:rsid w:val="00443880"/>
    <w:rsid w:val="004464F4"/>
    <w:rsid w:val="00455DFC"/>
    <w:rsid w:val="00471401"/>
    <w:rsid w:val="00473F31"/>
    <w:rsid w:val="0048263A"/>
    <w:rsid w:val="00487E5D"/>
    <w:rsid w:val="004A46EC"/>
    <w:rsid w:val="004A711F"/>
    <w:rsid w:val="004B199D"/>
    <w:rsid w:val="004B4690"/>
    <w:rsid w:val="004E0A2D"/>
    <w:rsid w:val="004E206B"/>
    <w:rsid w:val="004E6DF7"/>
    <w:rsid w:val="004F0FBD"/>
    <w:rsid w:val="00505A47"/>
    <w:rsid w:val="00512FDA"/>
    <w:rsid w:val="0051630B"/>
    <w:rsid w:val="00520DA0"/>
    <w:rsid w:val="005664BB"/>
    <w:rsid w:val="0057481D"/>
    <w:rsid w:val="0058486E"/>
    <w:rsid w:val="005D1C8B"/>
    <w:rsid w:val="005D5CED"/>
    <w:rsid w:val="005F1A4C"/>
    <w:rsid w:val="00605688"/>
    <w:rsid w:val="00605D5B"/>
    <w:rsid w:val="006070AF"/>
    <w:rsid w:val="00607E6C"/>
    <w:rsid w:val="006101B1"/>
    <w:rsid w:val="00614E44"/>
    <w:rsid w:val="00622830"/>
    <w:rsid w:val="00630AEF"/>
    <w:rsid w:val="006325F8"/>
    <w:rsid w:val="00634C9A"/>
    <w:rsid w:val="006440E4"/>
    <w:rsid w:val="0065103B"/>
    <w:rsid w:val="0066343B"/>
    <w:rsid w:val="00664777"/>
    <w:rsid w:val="006748A4"/>
    <w:rsid w:val="00683E73"/>
    <w:rsid w:val="006A3141"/>
    <w:rsid w:val="006A5E34"/>
    <w:rsid w:val="006B2422"/>
    <w:rsid w:val="006B2B9A"/>
    <w:rsid w:val="006C1937"/>
    <w:rsid w:val="006C2645"/>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E31C0"/>
    <w:rsid w:val="007F1991"/>
    <w:rsid w:val="007F2C2F"/>
    <w:rsid w:val="007F55FC"/>
    <w:rsid w:val="007F5665"/>
    <w:rsid w:val="00800112"/>
    <w:rsid w:val="008253BB"/>
    <w:rsid w:val="0083706E"/>
    <w:rsid w:val="008423A5"/>
    <w:rsid w:val="00850625"/>
    <w:rsid w:val="00851229"/>
    <w:rsid w:val="00853718"/>
    <w:rsid w:val="00855221"/>
    <w:rsid w:val="00860645"/>
    <w:rsid w:val="00871F71"/>
    <w:rsid w:val="00885AF4"/>
    <w:rsid w:val="008939CD"/>
    <w:rsid w:val="008B768C"/>
    <w:rsid w:val="008C4DB1"/>
    <w:rsid w:val="008C4EAF"/>
    <w:rsid w:val="008C5176"/>
    <w:rsid w:val="008C7FD0"/>
    <w:rsid w:val="008D2D2F"/>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7D0"/>
    <w:rsid w:val="009B4EAE"/>
    <w:rsid w:val="009B7573"/>
    <w:rsid w:val="009C22F4"/>
    <w:rsid w:val="009C2E98"/>
    <w:rsid w:val="009D3447"/>
    <w:rsid w:val="009D4711"/>
    <w:rsid w:val="009F1185"/>
    <w:rsid w:val="009F18CD"/>
    <w:rsid w:val="009F2A13"/>
    <w:rsid w:val="00A04EB0"/>
    <w:rsid w:val="00A13CC1"/>
    <w:rsid w:val="00A16847"/>
    <w:rsid w:val="00A17F9D"/>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0482"/>
    <w:rsid w:val="00B310B9"/>
    <w:rsid w:val="00B35E56"/>
    <w:rsid w:val="00B35F3F"/>
    <w:rsid w:val="00B36CBB"/>
    <w:rsid w:val="00B425E0"/>
    <w:rsid w:val="00B440AA"/>
    <w:rsid w:val="00B44B70"/>
    <w:rsid w:val="00B53C56"/>
    <w:rsid w:val="00B72B57"/>
    <w:rsid w:val="00B77EA6"/>
    <w:rsid w:val="00B81598"/>
    <w:rsid w:val="00B841F1"/>
    <w:rsid w:val="00B944D6"/>
    <w:rsid w:val="00BB4DF0"/>
    <w:rsid w:val="00BB634C"/>
    <w:rsid w:val="00BC289F"/>
    <w:rsid w:val="00BC5361"/>
    <w:rsid w:val="00BC5460"/>
    <w:rsid w:val="00BC6B50"/>
    <w:rsid w:val="00BD0E25"/>
    <w:rsid w:val="00BF5BD6"/>
    <w:rsid w:val="00C03E31"/>
    <w:rsid w:val="00C33E72"/>
    <w:rsid w:val="00C354B2"/>
    <w:rsid w:val="00C35554"/>
    <w:rsid w:val="00C42709"/>
    <w:rsid w:val="00C533CC"/>
    <w:rsid w:val="00C5751C"/>
    <w:rsid w:val="00C612AD"/>
    <w:rsid w:val="00C61BFC"/>
    <w:rsid w:val="00C62B85"/>
    <w:rsid w:val="00C65438"/>
    <w:rsid w:val="00C91CBB"/>
    <w:rsid w:val="00C95058"/>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3ACF"/>
    <w:rsid w:val="00DD73B7"/>
    <w:rsid w:val="00DE0A7C"/>
    <w:rsid w:val="00DF28BC"/>
    <w:rsid w:val="00DF34B9"/>
    <w:rsid w:val="00E01053"/>
    <w:rsid w:val="00E07ACF"/>
    <w:rsid w:val="00E228DC"/>
    <w:rsid w:val="00E331A1"/>
    <w:rsid w:val="00E33202"/>
    <w:rsid w:val="00E336A9"/>
    <w:rsid w:val="00E47A61"/>
    <w:rsid w:val="00E50624"/>
    <w:rsid w:val="00E568DF"/>
    <w:rsid w:val="00E61807"/>
    <w:rsid w:val="00E64269"/>
    <w:rsid w:val="00E82267"/>
    <w:rsid w:val="00E8411A"/>
    <w:rsid w:val="00E92390"/>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C2F87"/>
    <w:rsid w:val="00FD3CC1"/>
    <w:rsid w:val="00FF1E02"/>
    <w:rsid w:val="00FF268B"/>
    <w:rsid w:val="00FF30B4"/>
    <w:rsid w:val="0CE915BB"/>
    <w:rsid w:val="10952CA1"/>
    <w:rsid w:val="10C055FF"/>
    <w:rsid w:val="16BB723D"/>
    <w:rsid w:val="240371BF"/>
    <w:rsid w:val="243A67F3"/>
    <w:rsid w:val="24D26195"/>
    <w:rsid w:val="24F24D32"/>
    <w:rsid w:val="29FD04D3"/>
    <w:rsid w:val="319F7F4E"/>
    <w:rsid w:val="38EF191A"/>
    <w:rsid w:val="458178B3"/>
    <w:rsid w:val="57EC2217"/>
    <w:rsid w:val="61747FF1"/>
    <w:rsid w:val="633D59CD"/>
    <w:rsid w:val="6CD9402B"/>
    <w:rsid w:val="75227D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CA78-037D-4BF5-A210-F19434AD24C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7806</Words>
  <Characters>8602</Characters>
  <Lines>26</Lines>
  <Paragraphs>20</Paragraphs>
  <TotalTime>9</TotalTime>
  <ScaleCrop>false</ScaleCrop>
  <LinksUpToDate>false</LinksUpToDate>
  <CharactersWithSpaces>8680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2019-09-05T01:10:00Z</dcterms:created>
  <dc:creator>张彬茜</dc:creator>
  <cp:lastModifiedBy>Hakuna matata</cp:lastModifiedBy>
  <cp:lastPrinted>2019-09-18T08:29:00Z</cp:lastPrinted>
  <dcterms:modified xsi:type="dcterms:W3CDTF">2022-12-21T01:16:34Z</dcterms:modified>
  <dc:title>四川省***</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DA57AF55ABE74D48BD21B7FB0C917427</vt:lpwstr>
  </property>
</Properties>
</file>