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imes New Roman" w:hAnsi="Times New Roman" w:eastAsia="宋体" w:cs="Times New Roman"/>
          <w:sz w:val="20"/>
          <w:szCs w:val="20"/>
        </w:rPr>
      </w:pPr>
    </w:p>
    <w:p>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达州市达川区</w:t>
      </w:r>
      <w:r>
        <w:rPr>
          <w:rFonts w:hint="eastAsia" w:ascii="宋体" w:hAnsi="宋体" w:eastAsia="宋体" w:cs="宋体"/>
          <w:sz w:val="44"/>
          <w:szCs w:val="44"/>
        </w:rPr>
        <w:t>“</w:t>
      </w:r>
      <w:r>
        <w:rPr>
          <w:rFonts w:hint="eastAsia" w:ascii="方正小标宋_GBK" w:hAnsi="Times New Roman" w:eastAsia="方正小标宋_GBK" w:cs="方正小标宋_GBK"/>
          <w:sz w:val="44"/>
          <w:szCs w:val="44"/>
        </w:rPr>
        <w:t>十四五</w:t>
      </w:r>
      <w:r>
        <w:rPr>
          <w:rFonts w:hint="eastAsia" w:ascii="宋体" w:hAnsi="宋体" w:eastAsia="宋体" w:cs="宋体"/>
          <w:sz w:val="44"/>
          <w:szCs w:val="44"/>
        </w:rPr>
        <w:t>”</w:t>
      </w:r>
    </w:p>
    <w:p>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文化体育旅游和广播电视发展规划</w:t>
      </w:r>
    </w:p>
    <w:p>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w:t>
      </w:r>
      <w:r>
        <w:rPr>
          <w:rFonts w:ascii="方正小标宋_GBK" w:hAnsi="Times New Roman" w:eastAsia="方正小标宋_GBK" w:cs="方正小标宋_GBK"/>
          <w:sz w:val="44"/>
          <w:szCs w:val="44"/>
        </w:rPr>
        <w:t>2021-2025</w:t>
      </w:r>
      <w:r>
        <w:rPr>
          <w:rFonts w:hint="eastAsia" w:ascii="方正小标宋_GBK" w:hAnsi="Times New Roman" w:eastAsia="方正小标宋_GBK" w:cs="方正小标宋_GBK"/>
          <w:sz w:val="44"/>
          <w:szCs w:val="44"/>
        </w:rPr>
        <w:t>年）</w:t>
      </w:r>
    </w:p>
    <w:p>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（征求意见稿）</w:t>
      </w:r>
    </w:p>
    <w:p>
      <w:pPr>
        <w:spacing w:line="640" w:lineRule="exact"/>
        <w:jc w:val="center"/>
        <w:rPr>
          <w:rFonts w:ascii="Times New Roman" w:hAnsi="Times New Roman" w:eastAsia="方正仿宋_GBK" w:cs="Times New Roman"/>
          <w:b/>
          <w:bCs/>
          <w:sz w:val="44"/>
          <w:szCs w:val="44"/>
        </w:rPr>
      </w:pPr>
    </w:p>
    <w:p>
      <w:pPr>
        <w:adjustRightInd w:val="0"/>
        <w:snapToGrid w:val="0"/>
        <w:spacing w:line="578" w:lineRule="exact"/>
        <w:jc w:val="center"/>
        <w:outlineLvl w:val="0"/>
        <w:rPr>
          <w:rFonts w:ascii="方正黑体_GBK" w:hAnsi="Times New Roman" w:eastAsia="方正黑体_GBK" w:cs="Times New Roman"/>
          <w:spacing w:val="-25"/>
          <w:sz w:val="42"/>
          <w:szCs w:val="42"/>
        </w:rPr>
      </w:pPr>
      <w:r>
        <w:rPr>
          <w:rFonts w:hint="eastAsia" w:ascii="方正黑体_GBK" w:hAnsi="Times New Roman" w:eastAsia="方正黑体_GBK" w:cs="方正黑体_GBK"/>
          <w:spacing w:val="-25"/>
          <w:sz w:val="42"/>
          <w:szCs w:val="42"/>
        </w:rPr>
        <w:t>目</w:t>
      </w:r>
      <w:r>
        <w:rPr>
          <w:rFonts w:ascii="方正黑体_GBK" w:hAnsi="Times New Roman" w:eastAsia="方正黑体_GBK" w:cs="方正黑体_GBK"/>
          <w:spacing w:val="-25"/>
          <w:sz w:val="42"/>
          <w:szCs w:val="42"/>
        </w:rPr>
        <w:t xml:space="preserve">      </w:t>
      </w:r>
      <w:r>
        <w:rPr>
          <w:rFonts w:hint="eastAsia" w:ascii="方正黑体_GBK" w:hAnsi="Times New Roman" w:eastAsia="方正黑体_GBK" w:cs="方正黑体_GBK"/>
          <w:spacing w:val="-25"/>
          <w:sz w:val="42"/>
          <w:szCs w:val="42"/>
        </w:rPr>
        <w:t>录</w:t>
      </w:r>
    </w:p>
    <w:p>
      <w:pPr>
        <w:tabs>
          <w:tab w:val="center" w:pos="8789"/>
          <w:tab w:val="right" w:leader="hyphen" w:pos="9450"/>
        </w:tabs>
        <w:adjustRightInd w:val="0"/>
        <w:snapToGrid w:val="0"/>
        <w:spacing w:line="578" w:lineRule="exact"/>
        <w:jc w:val="left"/>
        <w:outlineLvl w:val="1"/>
        <w:rPr>
          <w:rFonts w:ascii="Times New Roman" w:hAnsi="Times New Roman" w:eastAsia="方正仿宋_GBK" w:cs="Times New Roman"/>
          <w:spacing w:val="-25"/>
          <w:sz w:val="32"/>
          <w:szCs w:val="32"/>
        </w:rPr>
      </w:pPr>
      <w:r>
        <w:rPr>
          <w:rFonts w:hint="eastAsia" w:ascii="方正黑体_GBK" w:hAnsi="Times New Roman" w:eastAsia="方正黑体_GBK" w:cs="方正黑体_GBK"/>
          <w:spacing w:val="-25"/>
          <w:sz w:val="32"/>
          <w:szCs w:val="32"/>
        </w:rPr>
        <w:t>前</w:t>
      </w:r>
      <w:r>
        <w:rPr>
          <w:rFonts w:ascii="方正黑体_GBK" w:hAnsi="Times New Roman" w:eastAsia="方正黑体_GBK" w:cs="方正黑体_GBK"/>
          <w:spacing w:val="-25"/>
          <w:sz w:val="32"/>
          <w:szCs w:val="32"/>
        </w:rPr>
        <w:t xml:space="preserve">  </w:t>
      </w:r>
      <w:r>
        <w:rPr>
          <w:rFonts w:hint="eastAsia" w:ascii="方正黑体_GBK" w:hAnsi="Times New Roman" w:eastAsia="方正黑体_GBK" w:cs="方正黑体_GBK"/>
          <w:spacing w:val="-25"/>
          <w:sz w:val="32"/>
          <w:szCs w:val="32"/>
        </w:rPr>
        <w:t>言</w:t>
      </w:r>
      <w:r>
        <w:rPr>
          <w:rFonts w:ascii="Times New Roman" w:hAnsi="Times New Roman" w:eastAsia="方正仿宋_GBK" w:cs="Times New Roman"/>
          <w:snapToGrid w:val="0"/>
          <w:sz w:val="32"/>
          <w:szCs w:val="32"/>
        </w:rPr>
        <w:tab/>
      </w:r>
      <w:r>
        <w:rPr>
          <w:rFonts w:ascii="Times New Roman" w:hAnsi="Times New Roman" w:eastAsia="方正仿宋_GBK" w:cs="Times New Roman"/>
          <w:spacing w:val="-25"/>
          <w:sz w:val="32"/>
          <w:szCs w:val="32"/>
        </w:rPr>
        <w:t>- 3 -</w:t>
      </w:r>
    </w:p>
    <w:p>
      <w:pPr>
        <w:tabs>
          <w:tab w:val="center" w:pos="8789"/>
          <w:tab w:val="right" w:leader="hyphen" w:pos="9450"/>
        </w:tabs>
        <w:adjustRightInd w:val="0"/>
        <w:snapToGrid w:val="0"/>
        <w:spacing w:line="578" w:lineRule="exact"/>
        <w:jc w:val="left"/>
        <w:outlineLvl w:val="1"/>
        <w:rPr>
          <w:rFonts w:ascii="Times New Roman" w:hAnsi="Times New Roman" w:eastAsia="方正仿宋_GBK" w:cs="Times New Roman"/>
          <w:spacing w:val="-25"/>
          <w:sz w:val="32"/>
          <w:szCs w:val="32"/>
        </w:rPr>
      </w:pPr>
      <w:r>
        <w:rPr>
          <w:rFonts w:hint="eastAsia" w:ascii="方正黑体_GBK" w:hAnsi="Times New Roman" w:eastAsia="方正黑体_GBK" w:cs="方正黑体_GBK"/>
          <w:spacing w:val="-25"/>
          <w:sz w:val="32"/>
          <w:szCs w:val="32"/>
        </w:rPr>
        <w:t>第一章</w:t>
      </w:r>
      <w:r>
        <w:rPr>
          <w:rFonts w:ascii="方正黑体_GBK" w:hAnsi="Times New Roman" w:eastAsia="方正黑体_GBK" w:cs="方正黑体_GBK"/>
          <w:spacing w:val="-25"/>
          <w:sz w:val="32"/>
          <w:szCs w:val="32"/>
        </w:rPr>
        <w:t xml:space="preserve">  </w:t>
      </w:r>
      <w:r>
        <w:rPr>
          <w:rFonts w:hint="eastAsia" w:ascii="方正黑体_GBK" w:hAnsi="Times New Roman" w:eastAsia="方正黑体_GBK" w:cs="方正黑体_GBK"/>
          <w:spacing w:val="-25"/>
          <w:sz w:val="32"/>
          <w:szCs w:val="32"/>
        </w:rPr>
        <w:t>规划背景</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- 4 -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第一节</w:t>
      </w:r>
      <w:r>
        <w:rPr>
          <w:rFonts w:ascii="Times New Roman" w:hAnsi="Times New Roman" w:eastAsia="方正仿宋_GBK" w:cs="Times New Roman"/>
          <w:spacing w:val="-25"/>
          <w:sz w:val="32"/>
          <w:szCs w:val="32"/>
        </w:rPr>
        <w:t xml:space="preserve">  </w:t>
      </w:r>
      <w:r>
        <w:rPr>
          <w:rFonts w:hint="eastAsia" w:ascii="宋体" w:hAnsi="宋体" w:eastAsia="宋体" w:cs="宋体"/>
          <w:spacing w:val="-25"/>
          <w:sz w:val="32"/>
          <w:szCs w:val="32"/>
        </w:rPr>
        <w:t>“</w:t>
      </w:r>
      <w:r>
        <w:rPr>
          <w:rFonts w:hint="eastAsia" w:ascii="Times New Roman" w:hAnsi="Times New Roman" w:eastAsia="方正仿宋_GBK" w:cs="方正仿宋_GBK"/>
          <w:spacing w:val="-25"/>
          <w:sz w:val="32"/>
          <w:szCs w:val="32"/>
        </w:rPr>
        <w:t>十三五</w:t>
      </w:r>
      <w:r>
        <w:rPr>
          <w:rFonts w:hint="eastAsia" w:ascii="宋体" w:hAnsi="宋体" w:eastAsia="宋体" w:cs="宋体"/>
          <w:spacing w:val="-25"/>
          <w:sz w:val="32"/>
          <w:szCs w:val="32"/>
        </w:rPr>
        <w:t>”</w:t>
      </w:r>
      <w:r>
        <w:rPr>
          <w:rFonts w:hint="eastAsia" w:ascii="Times New Roman" w:hAnsi="Times New Roman" w:eastAsia="方正仿宋_GBK" w:cs="方正仿宋_GBK"/>
          <w:spacing w:val="-25"/>
          <w:sz w:val="32"/>
          <w:szCs w:val="32"/>
        </w:rPr>
        <w:t>主要发展成就</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- 4 -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第二节</w:t>
      </w:r>
      <w:r>
        <w:rPr>
          <w:rFonts w:ascii="Times New Roman" w:hAnsi="Times New Roman" w:eastAsia="方正仿宋_GBK" w:cs="Times New Roman"/>
          <w:spacing w:val="-25"/>
          <w:sz w:val="32"/>
          <w:szCs w:val="32"/>
        </w:rPr>
        <w:t xml:space="preserve">  </w:t>
      </w:r>
      <w:r>
        <w:rPr>
          <w:rFonts w:hint="eastAsia" w:ascii="宋体" w:hAnsi="宋体" w:eastAsia="宋体" w:cs="宋体"/>
          <w:spacing w:val="-25"/>
          <w:sz w:val="32"/>
          <w:szCs w:val="32"/>
        </w:rPr>
        <w:t>“</w:t>
      </w:r>
      <w:r>
        <w:rPr>
          <w:rFonts w:hint="eastAsia" w:ascii="Times New Roman" w:hAnsi="Times New Roman" w:eastAsia="方正仿宋_GBK" w:cs="方正仿宋_GBK"/>
          <w:spacing w:val="-25"/>
          <w:sz w:val="32"/>
          <w:szCs w:val="32"/>
        </w:rPr>
        <w:t>十四五</w:t>
      </w:r>
      <w:r>
        <w:rPr>
          <w:rFonts w:hint="eastAsia" w:ascii="宋体" w:hAnsi="宋体" w:eastAsia="宋体" w:cs="宋体"/>
          <w:spacing w:val="-25"/>
          <w:sz w:val="32"/>
          <w:szCs w:val="32"/>
        </w:rPr>
        <w:t>”</w:t>
      </w:r>
      <w:r>
        <w:rPr>
          <w:rFonts w:hint="eastAsia" w:ascii="Times New Roman" w:hAnsi="Times New Roman" w:eastAsia="方正仿宋_GBK" w:cs="方正仿宋_GBK"/>
          <w:spacing w:val="-25"/>
          <w:sz w:val="32"/>
          <w:szCs w:val="32"/>
        </w:rPr>
        <w:t>发展形势</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- 10 -</w:t>
      </w:r>
    </w:p>
    <w:p>
      <w:pPr>
        <w:tabs>
          <w:tab w:val="center" w:pos="8789"/>
          <w:tab w:val="right" w:leader="hyphen" w:pos="9450"/>
        </w:tabs>
        <w:adjustRightInd w:val="0"/>
        <w:snapToGrid w:val="0"/>
        <w:spacing w:line="578" w:lineRule="exact"/>
        <w:jc w:val="left"/>
        <w:outlineLvl w:val="1"/>
        <w:rPr>
          <w:rFonts w:ascii="Times New Roman" w:hAnsi="Times New Roman" w:eastAsia="方正仿宋_GBK" w:cs="Times New Roman"/>
          <w:spacing w:val="-25"/>
          <w:sz w:val="32"/>
          <w:szCs w:val="32"/>
        </w:rPr>
      </w:pPr>
      <w:r>
        <w:rPr>
          <w:rFonts w:hint="eastAsia" w:ascii="方正黑体_GBK" w:hAnsi="Times New Roman" w:eastAsia="方正黑体_GBK" w:cs="方正黑体_GBK"/>
          <w:spacing w:val="-25"/>
          <w:sz w:val="32"/>
          <w:szCs w:val="32"/>
        </w:rPr>
        <w:t>第二章</w:t>
      </w:r>
      <w:r>
        <w:rPr>
          <w:rFonts w:ascii="方正黑体_GBK" w:hAnsi="Times New Roman" w:eastAsia="方正黑体_GBK" w:cs="方正黑体_GBK"/>
          <w:spacing w:val="-25"/>
          <w:sz w:val="32"/>
          <w:szCs w:val="32"/>
        </w:rPr>
        <w:t xml:space="preserve">  </w:t>
      </w:r>
      <w:r>
        <w:rPr>
          <w:rFonts w:hint="eastAsia" w:ascii="方正黑体_GBK" w:hAnsi="Times New Roman" w:eastAsia="方正黑体_GBK" w:cs="方正黑体_GBK"/>
          <w:spacing w:val="-25"/>
          <w:sz w:val="32"/>
          <w:szCs w:val="32"/>
        </w:rPr>
        <w:t>总体思路</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- 18 -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第一节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指导思想</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- 18 -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第二节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基本原则</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-19 -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第三节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发展思路</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- 21 -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第四节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发展目标</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- 22 -</w:t>
      </w:r>
    </w:p>
    <w:p>
      <w:pPr>
        <w:tabs>
          <w:tab w:val="center" w:pos="8789"/>
          <w:tab w:val="right" w:leader="hyphen" w:pos="9450"/>
        </w:tabs>
        <w:adjustRightInd w:val="0"/>
        <w:snapToGrid w:val="0"/>
        <w:spacing w:line="578" w:lineRule="exact"/>
        <w:jc w:val="left"/>
        <w:outlineLvl w:val="1"/>
        <w:rPr>
          <w:rFonts w:ascii="Times New Roman" w:hAnsi="Times New Roman" w:eastAsia="方正仿宋_GBK" w:cs="Times New Roman"/>
          <w:spacing w:val="-25"/>
          <w:sz w:val="32"/>
          <w:szCs w:val="32"/>
        </w:rPr>
      </w:pPr>
      <w:r>
        <w:rPr>
          <w:rFonts w:hint="eastAsia" w:ascii="方正黑体_GBK" w:hAnsi="Times New Roman" w:eastAsia="方正黑体_GBK" w:cs="方正黑体_GBK"/>
          <w:spacing w:val="-25"/>
          <w:sz w:val="32"/>
          <w:szCs w:val="32"/>
        </w:rPr>
        <w:t>第三章</w:t>
      </w:r>
      <w:r>
        <w:rPr>
          <w:rFonts w:ascii="方正黑体_GBK" w:hAnsi="Times New Roman" w:eastAsia="方正黑体_GBK" w:cs="方正黑体_GBK"/>
          <w:spacing w:val="-25"/>
          <w:sz w:val="32"/>
          <w:szCs w:val="32"/>
        </w:rPr>
        <w:t xml:space="preserve">  </w:t>
      </w:r>
      <w:r>
        <w:rPr>
          <w:rFonts w:hint="eastAsia" w:ascii="方正黑体_GBK" w:hAnsi="Times New Roman" w:eastAsia="方正黑体_GBK" w:cs="方正黑体_GBK"/>
          <w:spacing w:val="-25"/>
          <w:sz w:val="32"/>
          <w:szCs w:val="32"/>
        </w:rPr>
        <w:t>空间布局</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- 27 -</w:t>
      </w:r>
    </w:p>
    <w:p>
      <w:pPr>
        <w:tabs>
          <w:tab w:val="center" w:pos="8789"/>
          <w:tab w:val="right" w:leader="hyphen" w:pos="9450"/>
        </w:tabs>
        <w:adjustRightInd w:val="0"/>
        <w:snapToGrid w:val="0"/>
        <w:spacing w:line="578" w:lineRule="exact"/>
        <w:jc w:val="left"/>
        <w:outlineLvl w:val="1"/>
        <w:rPr>
          <w:rFonts w:ascii="Times New Roman" w:hAnsi="Times New Roman" w:eastAsia="方正仿宋_GBK" w:cs="Times New Roman"/>
          <w:spacing w:val="-25"/>
          <w:sz w:val="32"/>
          <w:szCs w:val="32"/>
        </w:rPr>
      </w:pPr>
      <w:r>
        <w:rPr>
          <w:rFonts w:hint="eastAsia" w:ascii="方正黑体_GBK" w:hAnsi="Times New Roman" w:eastAsia="方正黑体_GBK" w:cs="方正黑体_GBK"/>
          <w:spacing w:val="-25"/>
          <w:sz w:val="32"/>
          <w:szCs w:val="32"/>
        </w:rPr>
        <w:t>第四章</w:t>
      </w:r>
      <w:r>
        <w:rPr>
          <w:rFonts w:ascii="方正黑体_GBK" w:hAnsi="Times New Roman" w:eastAsia="方正黑体_GBK" w:cs="方正黑体_GBK"/>
          <w:spacing w:val="-25"/>
          <w:sz w:val="32"/>
          <w:szCs w:val="32"/>
        </w:rPr>
        <w:t xml:space="preserve">  </w:t>
      </w:r>
      <w:r>
        <w:rPr>
          <w:rFonts w:hint="eastAsia" w:ascii="方正黑体_GBK" w:hAnsi="Times New Roman" w:eastAsia="方正黑体_GBK" w:cs="方正黑体_GBK"/>
          <w:spacing w:val="-25"/>
          <w:sz w:val="32"/>
          <w:szCs w:val="32"/>
        </w:rPr>
        <w:t>主要任务</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- 30 -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第一节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推进重点景区建设</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- 30 -</w:t>
      </w:r>
    </w:p>
    <w:p>
      <w:pPr>
        <w:tabs>
          <w:tab w:val="center" w:pos="8647"/>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第二节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推进文旅资源协同发展</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- 34 -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第三节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推进公共文化服务发展</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- 35 -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第四节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推进优秀传统文化发展</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- 38 -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第五节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推进体育事业繁荣发展</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- 39 -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第六节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推进文化创意产业发展</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- 41 -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第七节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推进文旅产业跨界融合发展</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- 44 -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第八节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推进文旅服务功能提升</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- 45 -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第九节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推进文旅市场主体发展</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- 48 -</w:t>
      </w:r>
    </w:p>
    <w:p>
      <w:pPr>
        <w:tabs>
          <w:tab w:val="center" w:pos="8789"/>
          <w:tab w:val="right" w:leader="hyphen" w:pos="9450"/>
        </w:tabs>
        <w:adjustRightInd w:val="0"/>
        <w:snapToGrid w:val="0"/>
        <w:spacing w:line="578" w:lineRule="exact"/>
        <w:jc w:val="left"/>
        <w:outlineLvl w:val="1"/>
        <w:rPr>
          <w:rFonts w:ascii="Times New Roman" w:hAnsi="Times New Roman" w:eastAsia="方正仿宋_GBK" w:cs="Times New Roman"/>
          <w:spacing w:val="-25"/>
          <w:sz w:val="32"/>
          <w:szCs w:val="32"/>
        </w:rPr>
      </w:pPr>
      <w:r>
        <w:rPr>
          <w:rFonts w:hint="eastAsia" w:ascii="方正黑体_GBK" w:hAnsi="Times New Roman" w:eastAsia="方正黑体_GBK" w:cs="方正黑体_GBK"/>
          <w:spacing w:val="-25"/>
          <w:sz w:val="32"/>
          <w:szCs w:val="32"/>
        </w:rPr>
        <w:t>第五章</w:t>
      </w:r>
      <w:r>
        <w:rPr>
          <w:rFonts w:ascii="方正黑体_GBK" w:hAnsi="Times New Roman" w:eastAsia="方正黑体_GBK" w:cs="方正黑体_GBK"/>
          <w:spacing w:val="-25"/>
          <w:sz w:val="32"/>
          <w:szCs w:val="32"/>
        </w:rPr>
        <w:t xml:space="preserve">  </w:t>
      </w:r>
      <w:r>
        <w:rPr>
          <w:rFonts w:hint="eastAsia" w:ascii="方正黑体_GBK" w:hAnsi="Times New Roman" w:eastAsia="方正黑体_GBK" w:cs="方正黑体_GBK"/>
          <w:spacing w:val="-25"/>
          <w:sz w:val="32"/>
          <w:szCs w:val="32"/>
        </w:rPr>
        <w:t>保障措施</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- 49 -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第一节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组织保障</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- 49 -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第二节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政策保障</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- 50 -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第三节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要素保障</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- 50 -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第四节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政务保障</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- 52 -</w:t>
      </w:r>
    </w:p>
    <w:p>
      <w:pPr>
        <w:tabs>
          <w:tab w:val="center" w:pos="8789"/>
          <w:tab w:val="right" w:leader="hyphen" w:pos="9450"/>
        </w:tabs>
        <w:adjustRightInd w:val="0"/>
        <w:snapToGrid w:val="0"/>
        <w:spacing w:line="578" w:lineRule="exact"/>
        <w:ind w:firstLine="405" w:firstLineChars="150"/>
        <w:jc w:val="left"/>
        <w:outlineLvl w:val="2"/>
        <w:rPr>
          <w:rFonts w:ascii="Times New Roman" w:hAnsi="Times New Roman" w:eastAsia="方正仿宋_GBK" w:cs="Times New Roman"/>
          <w:spacing w:val="-25"/>
          <w:sz w:val="32"/>
          <w:szCs w:val="32"/>
        </w:rPr>
      </w:pPr>
      <w:r>
        <w:rPr>
          <w:rFonts w:hint="eastAsia" w:ascii="Times New Roman" w:hAnsi="Times New Roman" w:eastAsia="方正仿宋_GBK" w:cs="方正仿宋_GBK"/>
          <w:spacing w:val="-25"/>
          <w:sz w:val="32"/>
          <w:szCs w:val="32"/>
        </w:rPr>
        <w:t>第五节</w:t>
      </w:r>
      <w:r>
        <w:rPr>
          <w:rFonts w:ascii="Times New Roman" w:hAnsi="Times New Roman" w:eastAsia="方正仿宋_GBK" w:cs="Times New Roman"/>
          <w:spacing w:val="-25"/>
          <w:sz w:val="32"/>
          <w:szCs w:val="32"/>
        </w:rPr>
        <w:t xml:space="preserve">  </w:t>
      </w:r>
      <w:r>
        <w:rPr>
          <w:rFonts w:hint="eastAsia" w:ascii="Times New Roman" w:hAnsi="Times New Roman" w:eastAsia="方正仿宋_GBK" w:cs="方正仿宋_GBK"/>
          <w:spacing w:val="-25"/>
          <w:sz w:val="32"/>
          <w:szCs w:val="32"/>
        </w:rPr>
        <w:t>安全保障</w:t>
      </w:r>
      <w:r>
        <w:rPr>
          <w:rFonts w:ascii="Times New Roman" w:hAnsi="Times New Roman" w:eastAsia="方正仿宋_GBK" w:cs="Times New Roman"/>
          <w:spacing w:val="-25"/>
          <w:sz w:val="32"/>
          <w:szCs w:val="32"/>
        </w:rPr>
        <w:tab/>
      </w:r>
      <w:r>
        <w:rPr>
          <w:rFonts w:ascii="Times New Roman" w:hAnsi="Times New Roman" w:eastAsia="方正仿宋_GBK" w:cs="Times New Roman"/>
          <w:spacing w:val="-25"/>
          <w:sz w:val="32"/>
          <w:szCs w:val="32"/>
        </w:rPr>
        <w:t>- 53 -</w:t>
      </w:r>
    </w:p>
    <w:p>
      <w:pPr>
        <w:tabs>
          <w:tab w:val="center" w:pos="8190"/>
          <w:tab w:val="right" w:leader="hyphen" w:pos="9450"/>
        </w:tabs>
        <w:adjustRightInd w:val="0"/>
        <w:snapToGrid w:val="0"/>
        <w:spacing w:line="578" w:lineRule="exact"/>
        <w:jc w:val="left"/>
        <w:rPr>
          <w:rFonts w:ascii="Times New Roman" w:hAnsi="Times New Roman" w:eastAsia="方正仿宋_GBK" w:cs="Times New Roman"/>
          <w:spacing w:val="-25"/>
          <w:sz w:val="32"/>
          <w:szCs w:val="32"/>
        </w:rPr>
      </w:pPr>
    </w:p>
    <w:p>
      <w:pPr>
        <w:tabs>
          <w:tab w:val="center" w:pos="8190"/>
          <w:tab w:val="right" w:leader="hyphen" w:pos="9450"/>
        </w:tabs>
        <w:adjustRightInd w:val="0"/>
        <w:snapToGrid w:val="0"/>
        <w:spacing w:line="578" w:lineRule="exact"/>
        <w:outlineLvl w:val="1"/>
        <w:rPr>
          <w:rFonts w:ascii="Times New Roman" w:hAnsi="Times New Roman" w:eastAsia="方正仿宋_GBK" w:cs="Times New Roman"/>
          <w:spacing w:val="-25"/>
          <w:sz w:val="32"/>
          <w:szCs w:val="32"/>
        </w:rPr>
      </w:pPr>
      <w:r>
        <w:rPr>
          <w:rFonts w:hint="eastAsia" w:ascii="方正黑体_GBK" w:hAnsi="Times New Roman" w:eastAsia="方正黑体_GBK" w:cs="方正黑体_GBK"/>
          <w:spacing w:val="-25"/>
          <w:sz w:val="32"/>
          <w:szCs w:val="32"/>
        </w:rPr>
        <w:t>附表：</w:t>
      </w:r>
      <w:r>
        <w:rPr>
          <w:rFonts w:hint="eastAsia" w:ascii="宋体" w:hAnsi="宋体" w:eastAsia="宋体" w:cs="宋体"/>
          <w:spacing w:val="-25"/>
          <w:sz w:val="32"/>
          <w:szCs w:val="32"/>
        </w:rPr>
        <w:t>“</w:t>
      </w:r>
      <w:r>
        <w:rPr>
          <w:rFonts w:hint="eastAsia" w:ascii="Times New Roman" w:hAnsi="Times New Roman" w:eastAsia="方正仿宋_GBK" w:cs="方正仿宋_GBK"/>
          <w:spacing w:val="-25"/>
          <w:sz w:val="32"/>
          <w:szCs w:val="32"/>
        </w:rPr>
        <w:t>十四五</w:t>
      </w:r>
      <w:r>
        <w:rPr>
          <w:rFonts w:hint="eastAsia" w:ascii="宋体" w:hAnsi="宋体" w:eastAsia="宋体" w:cs="宋体"/>
          <w:spacing w:val="-25"/>
          <w:sz w:val="32"/>
          <w:szCs w:val="32"/>
        </w:rPr>
        <w:t>”</w:t>
      </w:r>
      <w:r>
        <w:rPr>
          <w:rFonts w:hint="eastAsia" w:ascii="Times New Roman" w:hAnsi="Times New Roman" w:eastAsia="方正仿宋_GBK" w:cs="方正仿宋_GBK"/>
          <w:spacing w:val="-25"/>
          <w:sz w:val="32"/>
          <w:szCs w:val="32"/>
        </w:rPr>
        <w:t>文化体育旅游和广播电视发展规划项目表</w:t>
      </w:r>
    </w:p>
    <w:p>
      <w:pPr>
        <w:pStyle w:val="9"/>
        <w:ind w:firstLine="0" w:firstLineChars="0"/>
        <w:jc w:val="left"/>
        <w:outlineLvl w:val="1"/>
        <w:rPr>
          <w:rFonts w:ascii="Times New Roman" w:hAnsi="Times New Roman" w:eastAsia="方正仿宋_GBK" w:cs="Times New Roman"/>
          <w:lang w:eastAsia="zh-CN"/>
        </w:rPr>
      </w:pPr>
      <w:r>
        <w:rPr>
          <w:rFonts w:hint="eastAsia" w:ascii="方正黑体_GBK" w:hAnsi="Times New Roman" w:eastAsia="方正黑体_GBK" w:cs="方正黑体_GBK"/>
          <w:spacing w:val="-25"/>
          <w:kern w:val="2"/>
          <w:lang w:eastAsia="zh-CN"/>
        </w:rPr>
        <w:t>附图：</w:t>
      </w:r>
      <w:r>
        <w:rPr>
          <w:rFonts w:ascii="Times New Roman" w:hAnsi="Times New Roman" w:eastAsia="方正仿宋_GBK" w:cs="Times New Roman"/>
          <w:lang w:eastAsia="zh-CN"/>
        </w:rPr>
        <w:t xml:space="preserve">1. </w:t>
      </w:r>
      <w:r>
        <w:rPr>
          <w:rFonts w:hint="eastAsia" w:ascii="宋体" w:hAnsi="宋体" w:eastAsia="宋体" w:cs="宋体"/>
          <w:lang w:eastAsia="zh-CN"/>
        </w:rPr>
        <w:t>“</w:t>
      </w:r>
      <w:r>
        <w:rPr>
          <w:rFonts w:hint="eastAsia" w:ascii="Times New Roman" w:hAnsi="Times New Roman" w:eastAsia="方正仿宋_GBK" w:cs="方正仿宋_GBK"/>
          <w:lang w:eastAsia="zh-CN"/>
        </w:rPr>
        <w:t>一核三带多点</w:t>
      </w:r>
      <w:r>
        <w:rPr>
          <w:rFonts w:hint="eastAsia" w:ascii="宋体" w:hAnsi="宋体" w:eastAsia="宋体" w:cs="宋体"/>
          <w:lang w:eastAsia="zh-CN"/>
        </w:rPr>
        <w:t>”</w:t>
      </w:r>
      <w:r>
        <w:rPr>
          <w:rFonts w:hint="eastAsia" w:ascii="Times New Roman" w:hAnsi="Times New Roman" w:eastAsia="方正仿宋_GBK" w:cs="方正仿宋_GBK"/>
          <w:lang w:eastAsia="zh-CN"/>
        </w:rPr>
        <w:t>空间布局图</w:t>
      </w:r>
    </w:p>
    <w:p>
      <w:pPr>
        <w:pStyle w:val="9"/>
        <w:ind w:firstLine="800" w:firstLineChars="250"/>
        <w:rPr>
          <w:rFonts w:ascii="Times New Roman" w:hAnsi="Times New Roman" w:eastAsia="方正仿宋_GBK" w:cs="Times New Roman"/>
          <w:lang w:eastAsia="zh-CN"/>
        </w:rPr>
      </w:pPr>
      <w:r>
        <w:rPr>
          <w:rFonts w:ascii="Times New Roman" w:hAnsi="Times New Roman" w:eastAsia="方正仿宋_GBK" w:cs="Times New Roman"/>
          <w:lang w:eastAsia="zh-CN"/>
        </w:rPr>
        <w:t xml:space="preserve">2. </w:t>
      </w:r>
      <w:r>
        <w:rPr>
          <w:rFonts w:hint="eastAsia" w:ascii="Times New Roman" w:hAnsi="Times New Roman" w:eastAsia="方正仿宋_GBK" w:cs="方正仿宋_GBK"/>
          <w:lang w:eastAsia="zh-CN"/>
        </w:rPr>
        <w:t>文化和旅游资料分布图</w:t>
      </w:r>
      <w:bookmarkStart w:id="0" w:name="_Toc32160"/>
      <w:bookmarkStart w:id="226" w:name="_GoBack"/>
      <w:bookmarkEnd w:id="226"/>
      <w:r>
        <w:rPr>
          <w:rFonts w:ascii="Times New Roman" w:hAnsi="Times New Roman" w:eastAsia="方正仿宋_GBK" w:cs="Times New Roman"/>
          <w:b/>
          <w:bCs/>
          <w:sz w:val="44"/>
          <w:szCs w:val="44"/>
          <w:lang w:eastAsia="zh-CN"/>
        </w:rPr>
        <w:br w:type="page"/>
      </w:r>
    </w:p>
    <w:bookmarkEnd w:id="0"/>
    <w:p>
      <w:pPr>
        <w:snapToGrid w:val="0"/>
        <w:spacing w:line="578" w:lineRule="exact"/>
        <w:jc w:val="center"/>
        <w:outlineLvl w:val="0"/>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前</w:t>
      </w:r>
      <w:r>
        <w:rPr>
          <w:rFonts w:ascii="方正小标宋_GBK" w:hAnsi="Times New Roman" w:eastAsia="方正小标宋_GBK" w:cs="方正小标宋_GBK"/>
          <w:sz w:val="44"/>
          <w:szCs w:val="44"/>
        </w:rPr>
        <w:t xml:space="preserve">  </w:t>
      </w:r>
      <w:r>
        <w:rPr>
          <w:rFonts w:hint="eastAsia" w:ascii="方正小标宋_GBK" w:hAnsi="Times New Roman" w:eastAsia="方正小标宋_GBK" w:cs="方正小标宋_GBK"/>
          <w:sz w:val="44"/>
          <w:szCs w:val="44"/>
        </w:rPr>
        <w:t>言</w:t>
      </w:r>
    </w:p>
    <w:p>
      <w:pPr>
        <w:snapToGrid w:val="0"/>
        <w:spacing w:line="578" w:lineRule="exact"/>
        <w:jc w:val="center"/>
        <w:rPr>
          <w:rFonts w:ascii="Times New Roman" w:hAnsi="Times New Roman" w:eastAsia="方正仿宋_GBK" w:cs="Times New Roman"/>
          <w:b/>
          <w:bCs/>
          <w:sz w:val="44"/>
          <w:szCs w:val="44"/>
        </w:rPr>
      </w:pPr>
    </w:p>
    <w:p>
      <w:pPr>
        <w:snapToGrid w:val="0"/>
        <w:spacing w:line="578" w:lineRule="exact"/>
        <w:ind w:firstLine="640" w:firstLineChars="200"/>
        <w:rPr>
          <w:rFonts w:ascii="Times New Roman" w:hAnsi="Times New Roman" w:eastAsia="方正仿宋_GBK" w:cs="Times New Roman"/>
          <w:sz w:val="32"/>
          <w:szCs w:val="32"/>
        </w:rPr>
      </w:pPr>
      <w:bookmarkStart w:id="1" w:name="_Toc11221945"/>
      <w:bookmarkStart w:id="2" w:name="_Toc10470067"/>
      <w:r>
        <w:rPr>
          <w:rFonts w:hint="eastAsia" w:ascii="Times New Roman" w:hAnsi="Times New Roman" w:eastAsia="方正仿宋_GBK" w:cs="方正仿宋_GBK"/>
          <w:sz w:val="32"/>
          <w:szCs w:val="32"/>
        </w:rPr>
        <w:t>党的十九届五中全会明确提出，要准确把握新发展阶段，深入贯彻新发展理念，加快构建新发展格局，推动</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时期高质量发展，确保全面建设社会主义现代化国家开好局、起好步。强调繁荣发展文化事业和文化产业，提高国家文化软实力，到</w:t>
      </w:r>
      <w:r>
        <w:rPr>
          <w:rFonts w:ascii="Times New Roman" w:hAnsi="Times New Roman" w:eastAsia="方正仿宋_GBK" w:cs="Times New Roman"/>
          <w:sz w:val="32"/>
          <w:szCs w:val="32"/>
        </w:rPr>
        <w:t>2035</w:t>
      </w:r>
      <w:r>
        <w:rPr>
          <w:rFonts w:hint="eastAsia" w:ascii="Times New Roman" w:hAnsi="Times New Roman" w:eastAsia="方正仿宋_GBK" w:cs="方正仿宋_GBK"/>
          <w:sz w:val="32"/>
          <w:szCs w:val="32"/>
        </w:rPr>
        <w:t>年建成文化强国。中共四川省委十一届八次全会制定</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时期经济社会发展主要目标，要求用五年的时间</w:t>
      </w:r>
      <w:r>
        <w:rPr>
          <w:rFonts w:hint="eastAsia" w:ascii="宋体" w:hAnsi="宋体" w:eastAsia="宋体" w:cs="宋体"/>
          <w:sz w:val="32"/>
          <w:szCs w:val="32"/>
        </w:rPr>
        <w:t>“</w:t>
      </w:r>
      <w:r>
        <w:rPr>
          <w:rFonts w:hint="eastAsia" w:ascii="Times New Roman" w:hAnsi="Times New Roman" w:eastAsia="方正仿宋_GBK" w:cs="方正仿宋_GBK"/>
          <w:sz w:val="32"/>
          <w:szCs w:val="32"/>
        </w:rPr>
        <w:t>基本建成文化强省旅游强省</w:t>
      </w:r>
      <w:r>
        <w:rPr>
          <w:rFonts w:hint="eastAsia" w:ascii="宋体" w:hAnsi="宋体" w:eastAsia="宋体" w:cs="宋体"/>
          <w:sz w:val="32"/>
          <w:szCs w:val="32"/>
        </w:rPr>
        <w:t>”</w:t>
      </w:r>
      <w:r>
        <w:rPr>
          <w:rFonts w:hint="eastAsia" w:ascii="Times New Roman" w:hAnsi="Times New Roman" w:eastAsia="方正仿宋_GBK" w:cs="方正仿宋_GBK"/>
          <w:sz w:val="32"/>
          <w:szCs w:val="32"/>
        </w:rPr>
        <w:t>，比国家规划目标提前十年。中共达州市委四届十次全会提出，</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时期，社会主义核心价值观深入人心，人民思想道德素质、科学文化素质和身心健康素质明显提高，向上向善、诚信互助的社会文明风尚更加浓厚。公共文化服务体系和文化产业体系更加健全，人民群众精神文化生活更加丰富，文化与旅游融合发展更加深入。中共达州市达川区三届一次大会提出，实施公共文化服务提升</w:t>
      </w:r>
      <w:r>
        <w:rPr>
          <w:rFonts w:hint="eastAsia" w:ascii="宋体" w:hAnsi="宋体" w:eastAsia="宋体" w:cs="宋体"/>
          <w:sz w:val="32"/>
          <w:szCs w:val="32"/>
        </w:rPr>
        <w:t>“</w:t>
      </w:r>
      <w:r>
        <w:rPr>
          <w:rFonts w:hint="eastAsia" w:ascii="Times New Roman" w:hAnsi="Times New Roman" w:eastAsia="方正仿宋_GBK" w:cs="方正仿宋_GBK"/>
          <w:sz w:val="32"/>
          <w:szCs w:val="32"/>
        </w:rPr>
        <w:t>三大行动</w:t>
      </w:r>
      <w:r>
        <w:rPr>
          <w:rFonts w:hint="eastAsia" w:ascii="宋体" w:hAnsi="宋体" w:eastAsia="宋体" w:cs="宋体"/>
          <w:sz w:val="32"/>
          <w:szCs w:val="32"/>
        </w:rPr>
        <w:t>”</w:t>
      </w:r>
      <w:r>
        <w:rPr>
          <w:rFonts w:hint="eastAsia" w:ascii="Times New Roman" w:hAnsi="Times New Roman" w:eastAsia="方正仿宋_GBK" w:cs="方正仿宋_GBK"/>
          <w:sz w:val="32"/>
          <w:szCs w:val="32"/>
        </w:rPr>
        <w:t>（文化体育基础设施提升行动、公共文化服务品牌提升行动、文化艺术创作提升行动），争创国家现代公共文化服务体系示范区。推动景区提质升级，增强乌梅山景区吸引力，积极推进中华银杏谷、石桥古镇创国家</w:t>
      </w:r>
      <w:r>
        <w:rPr>
          <w:rFonts w:ascii="Times New Roman" w:hAnsi="Times New Roman" w:eastAsia="方正仿宋_GBK" w:cs="Times New Roman"/>
          <w:sz w:val="32"/>
          <w:szCs w:val="32"/>
        </w:rPr>
        <w:t xml:space="preserve"> AAAA </w:t>
      </w:r>
      <w:r>
        <w:rPr>
          <w:rFonts w:hint="eastAsia" w:ascii="Times New Roman" w:hAnsi="Times New Roman" w:eastAsia="方正仿宋_GBK" w:cs="方正仿宋_GBK"/>
          <w:sz w:val="32"/>
          <w:szCs w:val="32"/>
        </w:rPr>
        <w:t>级景区，打造仙女山、九龙湖等景区景点，构建乡村旅游环线，创建一批天府旅游名牌，建设</w:t>
      </w:r>
      <w:r>
        <w:rPr>
          <w:rFonts w:hint="eastAsia" w:ascii="宋体" w:hAnsi="宋体" w:eastAsia="宋体" w:cs="宋体"/>
          <w:sz w:val="32"/>
          <w:szCs w:val="32"/>
        </w:rPr>
        <w:t>“</w:t>
      </w:r>
      <w:r>
        <w:rPr>
          <w:rFonts w:hint="eastAsia" w:ascii="Times New Roman" w:hAnsi="Times New Roman" w:eastAsia="方正仿宋_GBK" w:cs="方正仿宋_GBK"/>
          <w:sz w:val="32"/>
          <w:szCs w:val="32"/>
        </w:rPr>
        <w:t>城郊休闲体验打卡地</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乡村旅游首选地</w:t>
      </w:r>
      <w:r>
        <w:rPr>
          <w:rFonts w:hint="eastAsia" w:ascii="宋体" w:hAnsi="宋体" w:eastAsia="宋体" w:cs="宋体"/>
          <w:sz w:val="32"/>
          <w:szCs w:val="32"/>
        </w:rPr>
        <w:t>”</w:t>
      </w:r>
      <w:r>
        <w:rPr>
          <w:rFonts w:hint="eastAsia" w:ascii="Times New Roman" w:hAnsi="Times New Roman" w:eastAsia="方正仿宋_GBK" w:cs="方正仿宋_GBK"/>
          <w:sz w:val="32"/>
          <w:szCs w:val="32"/>
        </w:rPr>
        <w:t>。</w:t>
      </w:r>
      <w:r>
        <w:rPr>
          <w:rFonts w:ascii="Times New Roman" w:hAnsi="Times New Roman" w:eastAsia="方正仿宋_GBK" w:cs="Times New Roman"/>
        </w:rPr>
        <w:t xml:space="preserve"> </w:t>
      </w:r>
      <w:r>
        <w:rPr>
          <w:rFonts w:hint="eastAsia" w:ascii="Times New Roman" w:hAnsi="Times New Roman" w:eastAsia="方正仿宋_GBK" w:cs="方正仿宋_GBK"/>
          <w:sz w:val="32"/>
          <w:szCs w:val="32"/>
        </w:rPr>
        <w:t>大力发展乡村旅游、</w:t>
      </w:r>
      <w:r>
        <w:rPr>
          <w:rFonts w:ascii="Times New Roman" w:hAnsi="Times New Roman" w:eastAsia="方正仿宋_GBK" w:cs="Times New Roman"/>
          <w:sz w:val="32"/>
          <w:szCs w:val="32"/>
        </w:rPr>
        <w:t xml:space="preserve"> </w:t>
      </w:r>
      <w:r>
        <w:rPr>
          <w:rFonts w:hint="eastAsia" w:ascii="Times New Roman" w:hAnsi="Times New Roman" w:eastAsia="方正仿宋_GBK" w:cs="方正仿宋_GBK"/>
          <w:sz w:val="32"/>
          <w:szCs w:val="32"/>
        </w:rPr>
        <w:t>观光农业、森林康养等新业态，将生态优势转化为发展优势。</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《达州市达川区</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文化体育旅游和广播电视发展规划》（以下简称《规划》）是《达州市达川区国民经济和社会发展第十四个五年规划和二〇三五年远景目标纲要》在文化体育旅游领域的细化和落实，是统筹和指导</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期间我区文化事业和文旅产业发展的纲领性文件，是加快我区文化体育和旅游业高质量发展的行动指南。《规划》编制充分衔接国家、省、市</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专项规划主要思路和《成渝地区双城经济圈建设规划纲要》《全国巴文化高地建设展示利用总体规划》《大蜀道文旅品牌建设方案（征求意见稿）》《四川省达州市达川区旅游发展总体规划（修编）》《达州市达川区全域旅游发展规划》《共建明月山绿色发展示范带规划纲要（征求意见稿）》等相关指导意见和规划方案，在准确把握文化体育旅游和广播电视发展阶段性特征的基础上，统筹文化、体育、旅游、广播电视事业产业协调发展。</w:t>
      </w:r>
    </w:p>
    <w:p>
      <w:pPr>
        <w:snapToGrid w:val="0"/>
        <w:spacing w:line="578" w:lineRule="exact"/>
        <w:rPr>
          <w:rFonts w:ascii="Times New Roman" w:hAnsi="Times New Roman" w:eastAsia="方正仿宋_GBK" w:cs="Times New Roman"/>
          <w:sz w:val="44"/>
          <w:szCs w:val="44"/>
        </w:rPr>
      </w:pPr>
    </w:p>
    <w:p>
      <w:pPr>
        <w:snapToGrid w:val="0"/>
        <w:spacing w:line="578" w:lineRule="exact"/>
        <w:jc w:val="center"/>
        <w:outlineLvl w:val="0"/>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第一章</w:t>
      </w:r>
      <w:r>
        <w:rPr>
          <w:rFonts w:ascii="方正小标宋_GBK" w:hAnsi="Times New Roman" w:eastAsia="方正小标宋_GBK" w:cs="方正小标宋_GBK"/>
          <w:sz w:val="44"/>
          <w:szCs w:val="44"/>
        </w:rPr>
        <w:t xml:space="preserve">  </w:t>
      </w:r>
      <w:r>
        <w:rPr>
          <w:rFonts w:hint="eastAsia" w:ascii="方正小标宋_GBK" w:hAnsi="Times New Roman" w:eastAsia="方正小标宋_GBK" w:cs="方正小标宋_GBK"/>
          <w:sz w:val="44"/>
          <w:szCs w:val="44"/>
        </w:rPr>
        <w:t>规划背景</w:t>
      </w:r>
      <w:bookmarkEnd w:id="1"/>
      <w:bookmarkEnd w:id="2"/>
    </w:p>
    <w:p>
      <w:pPr>
        <w:adjustRightInd w:val="0"/>
        <w:snapToGrid w:val="0"/>
        <w:spacing w:line="578" w:lineRule="exact"/>
        <w:ind w:firstLine="640" w:firstLineChars="200"/>
        <w:rPr>
          <w:rFonts w:ascii="Times New Roman" w:hAnsi="Times New Roman" w:eastAsia="方正仿宋_GBK" w:cs="Times New Roman"/>
          <w:sz w:val="32"/>
          <w:szCs w:val="32"/>
        </w:rPr>
      </w:pPr>
      <w:bookmarkStart w:id="3" w:name="_Toc11221946"/>
      <w:bookmarkStart w:id="4" w:name="_Toc10453737"/>
      <w:bookmarkStart w:id="5" w:name="_Toc10012328"/>
      <w:bookmarkStart w:id="6" w:name="_Toc10470068"/>
    </w:p>
    <w:bookmarkEnd w:id="3"/>
    <w:bookmarkEnd w:id="4"/>
    <w:bookmarkEnd w:id="5"/>
    <w:bookmarkEnd w:id="6"/>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第一节</w:t>
      </w:r>
      <w:r>
        <w:rPr>
          <w:rFonts w:ascii="方正黑体_GBK" w:hAnsi="Times New Roman" w:eastAsia="方正黑体_GBK" w:cs="方正黑体_GBK"/>
          <w:sz w:val="32"/>
          <w:szCs w:val="32"/>
        </w:rPr>
        <w:t xml:space="preserve">  </w:t>
      </w:r>
      <w:r>
        <w:rPr>
          <w:rFonts w:hint="eastAsia" w:ascii="宋体" w:hAnsi="宋体" w:eastAsia="宋体" w:cs="宋体"/>
          <w:sz w:val="32"/>
          <w:szCs w:val="32"/>
        </w:rPr>
        <w:t>“</w:t>
      </w:r>
      <w:r>
        <w:rPr>
          <w:rFonts w:hint="eastAsia" w:ascii="方正黑体_GBK" w:hAnsi="Times New Roman" w:eastAsia="方正黑体_GBK" w:cs="方正黑体_GBK"/>
          <w:sz w:val="32"/>
          <w:szCs w:val="32"/>
        </w:rPr>
        <w:t>十三五</w:t>
      </w:r>
      <w:r>
        <w:rPr>
          <w:rFonts w:hint="eastAsia" w:ascii="宋体" w:hAnsi="宋体" w:eastAsia="宋体" w:cs="宋体"/>
          <w:sz w:val="32"/>
          <w:szCs w:val="32"/>
        </w:rPr>
        <w:t>”</w:t>
      </w:r>
      <w:r>
        <w:rPr>
          <w:rFonts w:hint="eastAsia" w:ascii="方正黑体_GBK" w:hAnsi="Times New Roman" w:eastAsia="方正黑体_GBK" w:cs="方正黑体_GBK"/>
          <w:sz w:val="32"/>
          <w:szCs w:val="32"/>
        </w:rPr>
        <w:t>主要发展成就</w:t>
      </w:r>
    </w:p>
    <w:p>
      <w:pPr>
        <w:adjustRightInd w:val="0"/>
        <w:snapToGrid w:val="0"/>
        <w:spacing w:line="578" w:lineRule="exact"/>
        <w:ind w:firstLine="640" w:firstLineChars="200"/>
        <w:textAlignment w:val="baseline"/>
        <w:rPr>
          <w:rFonts w:ascii="Times New Roman" w:hAnsi="Times New Roman" w:eastAsia="方正仿宋_GBK" w:cs="Times New Roman"/>
          <w:snapToGrid w:val="0"/>
          <w:kern w:val="0"/>
          <w:sz w:val="32"/>
          <w:szCs w:val="32"/>
          <w:u w:color="000000"/>
        </w:rPr>
      </w:pPr>
      <w:bookmarkStart w:id="7" w:name="_Toc10205"/>
      <w:bookmarkStart w:id="8" w:name="_Toc1978"/>
      <w:bookmarkStart w:id="9" w:name="_Toc2776"/>
      <w:bookmarkStart w:id="10" w:name="_Toc15126"/>
      <w:bookmarkStart w:id="11" w:name="_Toc3407"/>
      <w:bookmarkStart w:id="12" w:name="_Toc13243"/>
      <w:bookmarkStart w:id="13" w:name="_Toc8041"/>
      <w:bookmarkStart w:id="14" w:name="_Toc29753"/>
      <w:bookmarkStart w:id="15" w:name="_Toc30515"/>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十三五</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期间，全区在区委、区政府的领导下，在省、市文化体育旅游和广播电视行政主管部门的精心指导和大力支持下，深入贯彻落实党的十九大、习近平总书记对四川工作系列重要指示，省委、市委、区委全会精神，省、市文化体育和旅游发展大会精神，紧扣达川</w:t>
      </w:r>
      <w:r>
        <w:rPr>
          <w:rFonts w:hint="eastAsia" w:ascii="宋体" w:hAnsi="宋体" w:eastAsia="宋体" w:cs="宋体"/>
          <w:snapToGrid w:val="0"/>
          <w:kern w:val="0"/>
          <w:sz w:val="32"/>
          <w:szCs w:val="32"/>
          <w:u w:color="000000"/>
        </w:rPr>
        <w:t>“</w:t>
      </w:r>
      <w:r>
        <w:rPr>
          <w:rFonts w:ascii="Times New Roman" w:hAnsi="Times New Roman" w:eastAsia="方正仿宋_GBK" w:cs="Times New Roman"/>
          <w:snapToGrid w:val="0"/>
          <w:kern w:val="0"/>
          <w:sz w:val="32"/>
          <w:szCs w:val="32"/>
          <w:u w:color="000000"/>
        </w:rPr>
        <w:t>12235</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总体部署和</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文旅靓区</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发展目标，坚持政府主导，推动文化体育和旅游产业做大做强，突出城市个性，完善服务功能，以良好自然资源和人文资源为载体，以开发观光休闲产品为重点，积极引导各类投资者参与文化体育和旅游开发建设和经营，提高了文化体育和旅游基础设施和配套设施建设水平，提升了文化体育和旅游业发展规模、经济效益和市场竞争力。我区文化体育和旅游业在经济和社会发展中的作用日益明显，已呈现出快速、持续发展的态势。</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公共文化事业繁荣发展。</w:t>
      </w:r>
      <w:bookmarkEnd w:id="7"/>
      <w:bookmarkEnd w:id="8"/>
      <w:bookmarkEnd w:id="9"/>
      <w:bookmarkEnd w:id="10"/>
      <w:bookmarkEnd w:id="11"/>
      <w:bookmarkEnd w:id="12"/>
      <w:bookmarkEnd w:id="13"/>
      <w:bookmarkEnd w:id="14"/>
      <w:bookmarkEnd w:id="15"/>
      <w:bookmarkStart w:id="16" w:name="_Toc14263"/>
      <w:bookmarkStart w:id="17" w:name="_Toc15297"/>
      <w:bookmarkStart w:id="18" w:name="_Toc27772"/>
      <w:bookmarkStart w:id="19" w:name="_Toc5232"/>
      <w:bookmarkStart w:id="20" w:name="_Toc23486"/>
      <w:bookmarkStart w:id="21" w:name="_Toc13740"/>
      <w:bookmarkStart w:id="22" w:name="_Toc5350"/>
      <w:r>
        <w:rPr>
          <w:rFonts w:hint="eastAsia" w:ascii="Times New Roman" w:hAnsi="Times New Roman" w:eastAsia="方正仿宋_GBK" w:cs="方正仿宋_GBK"/>
          <w:snapToGrid w:val="0"/>
          <w:kern w:val="0"/>
          <w:sz w:val="32"/>
          <w:szCs w:val="32"/>
          <w:u w:color="000000"/>
        </w:rPr>
        <w:t>全国巴文化高地建设加快推进，巴人历史文化馆、后照馆、巴人街主体工程全面建成，泛巴区域巴文化展陈项目呼之欲出。建成全国最大、省内唯一的达州钢琴博物馆，带动建成音乐公园，城市品位大幅提升。公共文化服务成效显著，区</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四馆</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文化馆、图书馆、巴人历史文化馆、达州钢琴博物馆）、乡镇（街道）和村（社区）综合性文化服务中心基本建成，建成首批省级现代公共文化服务体系示范县，图书馆、文化馆评定为国家一级馆、达川区荣获中国图书馆学会</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书香城市</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称号。成功举办</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西部公共图书馆</w:t>
      </w:r>
      <w:r>
        <w:rPr>
          <w:rFonts w:ascii="Times New Roman" w:hAnsi="Times New Roman" w:eastAsia="方正仿宋_GBK" w:cs="Times New Roman"/>
          <w:snapToGrid w:val="0"/>
          <w:kern w:val="0"/>
          <w:sz w:val="32"/>
          <w:szCs w:val="32"/>
          <w:u w:color="000000"/>
        </w:rPr>
        <w:t>2018</w:t>
      </w:r>
      <w:r>
        <w:rPr>
          <w:rFonts w:hint="eastAsia" w:ascii="Times New Roman" w:hAnsi="Times New Roman" w:eastAsia="方正仿宋_GBK" w:cs="方正仿宋_GBK"/>
          <w:snapToGrid w:val="0"/>
          <w:kern w:val="0"/>
          <w:sz w:val="32"/>
          <w:szCs w:val="32"/>
          <w:u w:color="000000"/>
        </w:rPr>
        <w:t>年学术研讨会</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w:t>
      </w:r>
      <w:r>
        <w:rPr>
          <w:rFonts w:ascii="Times New Roman" w:hAnsi="Times New Roman" w:eastAsia="方正仿宋_GBK" w:cs="Times New Roman"/>
          <w:snapToGrid w:val="0"/>
          <w:kern w:val="0"/>
          <w:sz w:val="32"/>
          <w:szCs w:val="32"/>
          <w:u w:color="000000"/>
        </w:rPr>
        <w:t>2020</w:t>
      </w:r>
      <w:r>
        <w:rPr>
          <w:rFonts w:hint="eastAsia" w:ascii="Times New Roman" w:hAnsi="Times New Roman" w:eastAsia="方正仿宋_GBK" w:cs="方正仿宋_GBK"/>
          <w:snapToGrid w:val="0"/>
          <w:kern w:val="0"/>
          <w:sz w:val="32"/>
          <w:szCs w:val="32"/>
          <w:u w:color="000000"/>
        </w:rPr>
        <w:t>年首届音乐艺术节、庆祝中国共产党成立一百周年</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百台钢琴奏响新时代</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大型音乐会，成功引进</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威尔第之声</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钢琴音乐大赛。红色文化、乌梅文化、蚕桑文化、银杏文化、孝善文化等地方特色文化资源进一步开发利用，建成了石桥红军文化陈列馆、乌梅山乌梅文化陈列馆、瑞福蚕桑文化体验中心、真佛山孝善文化体验基地。非遗保护工作扎实推进，推出石桥非遗月月演活动，安仁板凳龙获第五批国家级非物质文化遗产代表性扩展项目名录。</w:t>
      </w:r>
      <w:r>
        <w:rPr>
          <w:rFonts w:ascii="Times New Roman" w:hAnsi="Times New Roman" w:eastAsia="方正仿宋_GBK" w:cs="Times New Roman"/>
          <w:snapToGrid w:val="0"/>
          <w:kern w:val="0"/>
          <w:sz w:val="32"/>
          <w:szCs w:val="32"/>
          <w:u w:color="000000"/>
        </w:rPr>
        <w:t>7</w:t>
      </w:r>
      <w:r>
        <w:rPr>
          <w:rFonts w:hint="eastAsia" w:ascii="Times New Roman" w:hAnsi="Times New Roman" w:eastAsia="方正仿宋_GBK" w:cs="方正仿宋_GBK"/>
          <w:snapToGrid w:val="0"/>
          <w:kern w:val="0"/>
          <w:sz w:val="32"/>
          <w:szCs w:val="32"/>
          <w:u w:color="000000"/>
        </w:rPr>
        <w:t>个贫困村被命名为</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全省文化扶贫示范村</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文化惠民在身边</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艺术有约</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巴山文艺帐篷轻骑队</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川阅之声，州河听涛</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系列活动常年不衰。达川区图书馆被中图图书馆学会评为</w:t>
      </w:r>
      <w:r>
        <w:rPr>
          <w:rFonts w:hint="eastAsia" w:ascii="宋体" w:hAnsi="宋体" w:eastAsia="宋体" w:cs="宋体"/>
          <w:snapToGrid w:val="0"/>
          <w:kern w:val="0"/>
          <w:sz w:val="32"/>
          <w:szCs w:val="32"/>
          <w:u w:color="000000"/>
        </w:rPr>
        <w:t>“</w:t>
      </w:r>
      <w:r>
        <w:rPr>
          <w:rFonts w:ascii="Times New Roman" w:hAnsi="Times New Roman" w:eastAsia="方正仿宋_GBK" w:cs="Times New Roman"/>
          <w:snapToGrid w:val="0"/>
          <w:kern w:val="0"/>
          <w:sz w:val="32"/>
          <w:szCs w:val="32"/>
          <w:u w:color="000000"/>
        </w:rPr>
        <w:t>2019</w:t>
      </w:r>
      <w:r>
        <w:rPr>
          <w:rFonts w:hint="eastAsia" w:ascii="Times New Roman" w:hAnsi="Times New Roman" w:eastAsia="方正仿宋_GBK" w:cs="方正仿宋_GBK"/>
          <w:snapToGrid w:val="0"/>
          <w:kern w:val="0"/>
          <w:sz w:val="32"/>
          <w:szCs w:val="32"/>
          <w:u w:color="000000"/>
        </w:rPr>
        <w:t>年阅读推广星级单位</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、被四川省图书馆学会评为</w:t>
      </w:r>
      <w:r>
        <w:rPr>
          <w:rFonts w:ascii="Times New Roman" w:hAnsi="Times New Roman" w:eastAsia="方正仿宋_GBK" w:cs="Times New Roman"/>
          <w:snapToGrid w:val="0"/>
          <w:kern w:val="0"/>
          <w:sz w:val="32"/>
          <w:szCs w:val="32"/>
          <w:u w:color="000000"/>
        </w:rPr>
        <w:t>2019</w:t>
      </w:r>
      <w:r>
        <w:rPr>
          <w:rFonts w:hint="eastAsia" w:ascii="Times New Roman" w:hAnsi="Times New Roman" w:eastAsia="方正仿宋_GBK" w:cs="方正仿宋_GBK"/>
          <w:snapToGrid w:val="0"/>
          <w:kern w:val="0"/>
          <w:sz w:val="32"/>
          <w:szCs w:val="32"/>
          <w:u w:color="000000"/>
        </w:rPr>
        <w:t>年度四川省全民阅读示范单位，</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指尖上的图书馆</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荣获四川省文旅厅公共服务高质量发展</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四个一批</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优秀案例，荣获</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信仰的力量</w:t>
      </w:r>
      <w:r>
        <w:rPr>
          <w:rFonts w:ascii="Times New Roman" w:hAnsi="Times New Roman" w:eastAsia="方正仿宋_GBK" w:cs="Times New Roman"/>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川渝地区</w:t>
      </w:r>
      <w:r>
        <w:rPr>
          <w:rFonts w:hint="eastAsia" w:ascii="Times New Roman" w:hAnsi="Times New Roman" w:eastAsia="方正仿宋_GBK" w:cs="方正仿宋_GBK"/>
          <w:snapToGrid w:val="0"/>
          <w:kern w:val="0"/>
          <w:sz w:val="32"/>
          <w:szCs w:val="32"/>
          <w:u w:color="000000"/>
          <w:lang w:eastAsia="zh-CN"/>
        </w:rPr>
        <w:t>庆祝建党</w:t>
      </w:r>
      <w:r>
        <w:rPr>
          <w:rFonts w:ascii="Times New Roman" w:hAnsi="Times New Roman" w:eastAsia="方正仿宋_GBK" w:cs="Times New Roman"/>
          <w:snapToGrid w:val="0"/>
          <w:kern w:val="0"/>
          <w:sz w:val="32"/>
          <w:szCs w:val="32"/>
          <w:u w:color="000000"/>
        </w:rPr>
        <w:t>100</w:t>
      </w:r>
      <w:r>
        <w:rPr>
          <w:rFonts w:hint="eastAsia" w:ascii="Times New Roman" w:hAnsi="Times New Roman" w:eastAsia="方正仿宋_GBK" w:cs="方正仿宋_GBK"/>
          <w:snapToGrid w:val="0"/>
          <w:kern w:val="0"/>
          <w:sz w:val="32"/>
          <w:szCs w:val="32"/>
          <w:u w:color="000000"/>
        </w:rPr>
        <w:t>周年阅读之星</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诵读活动组织奖、选送作品荣获达州分会场中一等奖，荣获</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融入双城圈·讴歌新时代</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百年经典诵读大赛铜奖；文学艺术创作成果丰硕。《秋漫巴山》获得</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欢跃四季，舞动天府</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四川省第二届百姓广场舞大赛决赛优秀奖。戏曲小品《郭一刀》获得</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中华颂</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第七届全国小戏小品曲艺大赛优秀组织奖、优秀剧目奖、优秀编剧奖、优秀导演奖、优秀演员奖。小品《一刀准》和《感恩》进入</w:t>
      </w:r>
      <w:r>
        <w:rPr>
          <w:rFonts w:ascii="Times New Roman" w:hAnsi="Times New Roman" w:eastAsia="方正仿宋_GBK" w:cs="Times New Roman"/>
          <w:snapToGrid w:val="0"/>
          <w:kern w:val="0"/>
          <w:sz w:val="32"/>
          <w:szCs w:val="32"/>
          <w:u w:color="000000"/>
        </w:rPr>
        <w:t>CCTV-11</w:t>
      </w:r>
      <w:r>
        <w:rPr>
          <w:rFonts w:hint="eastAsia" w:ascii="Times New Roman" w:hAnsi="Times New Roman" w:eastAsia="方正仿宋_GBK" w:cs="方正仿宋_GBK"/>
          <w:snapToGrid w:val="0"/>
          <w:kern w:val="0"/>
          <w:sz w:val="32"/>
          <w:szCs w:val="32"/>
          <w:u w:color="000000"/>
        </w:rPr>
        <w:t>频道</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一鸣惊人</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栏目和第二季</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梦想微剧场</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。音乐作品《大美四川我的家》获得国际丝路艺术节暨音乐中国国际艺术博览会</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故乡类</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十佳歌曲作词奖。抗疫音乐作品《我们在一起》、《致敬平凡》在中宣部</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学习强国</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平台发布。作品《我们在一起》荣获全国优秀战役音乐原创作品。原创音乐作品《中华颂》荣获</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感动中国，辉煌百年</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全国大型原创词曲大赛二等奖。长篇小说《巴山红云》、《碧血黄花》、音乐作品《大美四川我的家》、《风景这边独好》、美术作品《情系乡村，精准扶贫》、小品《养儿防老》、少儿音舞剧《热血江魂》均获得</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达州市文艺精品项目扶持</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奖。摄影作品《渔》荣获四川省</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星光璀璨</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第二届群文美术书法摄影展二等奖。</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体育事业发展成效显著。</w:t>
      </w:r>
      <w:r>
        <w:rPr>
          <w:rFonts w:hint="eastAsia" w:ascii="Times New Roman" w:hAnsi="Times New Roman" w:eastAsia="方正仿宋_GBK" w:cs="方正仿宋_GBK"/>
          <w:snapToGrid w:val="0"/>
          <w:kern w:val="0"/>
          <w:sz w:val="32"/>
          <w:szCs w:val="32"/>
          <w:u w:color="000000"/>
        </w:rPr>
        <w:t>被国家体育总局表彰为</w:t>
      </w:r>
      <w:r>
        <w:rPr>
          <w:rFonts w:hint="eastAsia" w:ascii="宋体" w:hAnsi="宋体" w:eastAsia="宋体" w:cs="宋体"/>
          <w:snapToGrid w:val="0"/>
          <w:kern w:val="0"/>
          <w:sz w:val="32"/>
          <w:szCs w:val="32"/>
          <w:u w:color="000000"/>
        </w:rPr>
        <w:t>“</w:t>
      </w:r>
      <w:r>
        <w:rPr>
          <w:rFonts w:ascii="Times New Roman" w:hAnsi="Times New Roman" w:eastAsia="方正仿宋_GBK" w:cs="Times New Roman"/>
          <w:snapToGrid w:val="0"/>
          <w:kern w:val="0"/>
          <w:sz w:val="32"/>
          <w:szCs w:val="32"/>
          <w:u w:color="000000"/>
        </w:rPr>
        <w:t>2017</w:t>
      </w:r>
      <w:r>
        <w:rPr>
          <w:rFonts w:hint="eastAsia" w:ascii="Times New Roman" w:hAnsi="Times New Roman" w:eastAsia="方正仿宋_GBK" w:cs="方正仿宋_GBK"/>
          <w:snapToGrid w:val="0"/>
          <w:kern w:val="0"/>
          <w:sz w:val="32"/>
          <w:szCs w:val="32"/>
          <w:u w:color="000000"/>
        </w:rPr>
        <w:t>年</w:t>
      </w:r>
      <w:r>
        <w:rPr>
          <w:rFonts w:ascii="Times New Roman" w:hAnsi="Times New Roman" w:eastAsia="方正仿宋_GBK" w:cs="Times New Roman"/>
          <w:snapToGrid w:val="0"/>
          <w:kern w:val="0"/>
          <w:sz w:val="32"/>
          <w:szCs w:val="32"/>
          <w:u w:color="000000"/>
        </w:rPr>
        <w:t>—2020</w:t>
      </w:r>
      <w:r>
        <w:rPr>
          <w:rFonts w:hint="eastAsia" w:ascii="Times New Roman" w:hAnsi="Times New Roman" w:eastAsia="方正仿宋_GBK" w:cs="方正仿宋_GBK"/>
          <w:snapToGrid w:val="0"/>
          <w:kern w:val="0"/>
          <w:sz w:val="32"/>
          <w:szCs w:val="32"/>
          <w:u w:color="000000"/>
        </w:rPr>
        <w:t>年度全国群众体育先进单位</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。体育设施不断完善，建成</w:t>
      </w:r>
      <w:r>
        <w:rPr>
          <w:rFonts w:ascii="Times New Roman" w:hAnsi="Times New Roman" w:eastAsia="方正仿宋_GBK" w:cs="Times New Roman"/>
          <w:snapToGrid w:val="0"/>
          <w:kern w:val="0"/>
          <w:sz w:val="32"/>
          <w:szCs w:val="32"/>
          <w:u w:color="000000"/>
        </w:rPr>
        <w:t>380</w:t>
      </w:r>
      <w:r>
        <w:rPr>
          <w:rFonts w:hint="eastAsia" w:ascii="Times New Roman" w:hAnsi="Times New Roman" w:eastAsia="方正仿宋_GBK" w:cs="方正仿宋_GBK"/>
          <w:snapToGrid w:val="0"/>
          <w:kern w:val="0"/>
          <w:sz w:val="32"/>
          <w:szCs w:val="32"/>
          <w:u w:color="000000"/>
        </w:rPr>
        <w:t>余亩的文化体育休闲公园，公共体育田径跑道和足球场、全民健身活动中心等重大体育民生工程，渡市、石梯、福善、赵家、陈家、石桥、万家、大树等</w:t>
      </w:r>
      <w:r>
        <w:rPr>
          <w:rFonts w:ascii="Times New Roman" w:hAnsi="Times New Roman" w:eastAsia="方正仿宋_GBK" w:cs="Times New Roman"/>
          <w:snapToGrid w:val="0"/>
          <w:kern w:val="0"/>
          <w:sz w:val="32"/>
          <w:szCs w:val="32"/>
          <w:u w:color="000000"/>
        </w:rPr>
        <w:t>8</w:t>
      </w:r>
      <w:r>
        <w:rPr>
          <w:rFonts w:hint="eastAsia" w:ascii="Times New Roman" w:hAnsi="Times New Roman" w:eastAsia="方正仿宋_GBK" w:cs="方正仿宋_GBK"/>
          <w:snapToGrid w:val="0"/>
          <w:kern w:val="0"/>
          <w:sz w:val="32"/>
          <w:szCs w:val="32"/>
          <w:u w:color="000000"/>
        </w:rPr>
        <w:t>个乡镇文体活动广场（社区多功能运动场），全民健身器材实现了社区和行政村全覆盖，人均体育场地面积</w:t>
      </w:r>
      <w:r>
        <w:rPr>
          <w:rFonts w:ascii="Times New Roman" w:hAnsi="Times New Roman" w:eastAsia="方正仿宋_GBK" w:cs="Times New Roman"/>
          <w:snapToGrid w:val="0"/>
          <w:kern w:val="0"/>
          <w:sz w:val="32"/>
          <w:szCs w:val="32"/>
          <w:u w:color="000000"/>
        </w:rPr>
        <w:t>1.83</w:t>
      </w:r>
      <w:r>
        <w:rPr>
          <w:rFonts w:hint="eastAsia" w:ascii="Times New Roman" w:hAnsi="Times New Roman" w:eastAsia="方正仿宋_GBK" w:cs="方正仿宋_GBK"/>
          <w:snapToGrid w:val="0"/>
          <w:kern w:val="0"/>
          <w:sz w:val="32"/>
          <w:szCs w:val="32"/>
          <w:u w:color="000000"/>
        </w:rPr>
        <w:t>平方米。成功举办全国少儿毽球锦标赛、全国青少年女子足球邀请赛、中国·达川国际标准舞（体育舞蹈）全国公开赛等国家级赛事</w:t>
      </w:r>
      <w:r>
        <w:rPr>
          <w:rFonts w:ascii="Times New Roman" w:hAnsi="Times New Roman" w:eastAsia="方正仿宋_GBK" w:cs="Times New Roman"/>
          <w:snapToGrid w:val="0"/>
          <w:kern w:val="0"/>
          <w:sz w:val="32"/>
          <w:szCs w:val="32"/>
          <w:u w:color="000000"/>
        </w:rPr>
        <w:t>3</w:t>
      </w:r>
      <w:r>
        <w:rPr>
          <w:rFonts w:hint="eastAsia" w:ascii="Times New Roman" w:hAnsi="Times New Roman" w:eastAsia="方正仿宋_GBK" w:cs="方正仿宋_GBK"/>
          <w:snapToGrid w:val="0"/>
          <w:kern w:val="0"/>
          <w:sz w:val="32"/>
          <w:szCs w:val="32"/>
          <w:u w:color="000000"/>
        </w:rPr>
        <w:t>项（次）。竞技体育获得新突破，四川省第十三届运动会足球、田径、跆拳道、女子沙滩排球和摔跤等项目的比赛获得</w:t>
      </w:r>
      <w:r>
        <w:rPr>
          <w:rFonts w:ascii="Times New Roman" w:hAnsi="Times New Roman" w:eastAsia="方正仿宋_GBK" w:cs="Times New Roman"/>
          <w:snapToGrid w:val="0"/>
          <w:kern w:val="0"/>
          <w:sz w:val="32"/>
          <w:szCs w:val="32"/>
          <w:u w:color="000000"/>
        </w:rPr>
        <w:t>4</w:t>
      </w:r>
      <w:r>
        <w:rPr>
          <w:rFonts w:hint="eastAsia" w:ascii="Times New Roman" w:hAnsi="Times New Roman" w:eastAsia="方正仿宋_GBK" w:cs="方正仿宋_GBK"/>
          <w:snapToGrid w:val="0"/>
          <w:kern w:val="0"/>
          <w:sz w:val="32"/>
          <w:szCs w:val="32"/>
          <w:u w:color="000000"/>
        </w:rPr>
        <w:t>金</w:t>
      </w:r>
      <w:r>
        <w:rPr>
          <w:rFonts w:ascii="Times New Roman" w:hAnsi="Times New Roman" w:eastAsia="方正仿宋_GBK" w:cs="Times New Roman"/>
          <w:snapToGrid w:val="0"/>
          <w:kern w:val="0"/>
          <w:sz w:val="32"/>
          <w:szCs w:val="32"/>
          <w:u w:color="000000"/>
        </w:rPr>
        <w:t>3</w:t>
      </w:r>
      <w:r>
        <w:rPr>
          <w:rFonts w:hint="eastAsia" w:ascii="Times New Roman" w:hAnsi="Times New Roman" w:eastAsia="方正仿宋_GBK" w:cs="方正仿宋_GBK"/>
          <w:snapToGrid w:val="0"/>
          <w:kern w:val="0"/>
          <w:sz w:val="32"/>
          <w:szCs w:val="32"/>
          <w:u w:color="000000"/>
        </w:rPr>
        <w:t>银</w:t>
      </w:r>
      <w:r>
        <w:rPr>
          <w:rFonts w:ascii="Times New Roman" w:hAnsi="Times New Roman" w:eastAsia="方正仿宋_GBK" w:cs="Times New Roman"/>
          <w:snapToGrid w:val="0"/>
          <w:kern w:val="0"/>
          <w:sz w:val="32"/>
          <w:szCs w:val="32"/>
          <w:u w:color="000000"/>
        </w:rPr>
        <w:t>4</w:t>
      </w:r>
      <w:r>
        <w:rPr>
          <w:rFonts w:hint="eastAsia" w:ascii="Times New Roman" w:hAnsi="Times New Roman" w:eastAsia="方正仿宋_GBK" w:cs="方正仿宋_GBK"/>
          <w:snapToGrid w:val="0"/>
          <w:kern w:val="0"/>
          <w:sz w:val="32"/>
          <w:szCs w:val="32"/>
          <w:u w:color="000000"/>
        </w:rPr>
        <w:t>铜。坚持全民健身和竞技体育协调发展，以</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元九登高节</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全民健身日</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等重大节日为主线常态化开展体育健身系列活动，先后成立足协、羽毛球协会等</w:t>
      </w:r>
      <w:r>
        <w:rPr>
          <w:rFonts w:ascii="Times New Roman" w:hAnsi="Times New Roman" w:eastAsia="方正仿宋_GBK" w:cs="Times New Roman"/>
          <w:snapToGrid w:val="0"/>
          <w:kern w:val="0"/>
          <w:sz w:val="32"/>
          <w:szCs w:val="32"/>
          <w:u w:color="000000"/>
        </w:rPr>
        <w:t>11</w:t>
      </w:r>
      <w:r>
        <w:rPr>
          <w:rFonts w:hint="eastAsia" w:ascii="Times New Roman" w:hAnsi="Times New Roman" w:eastAsia="方正仿宋_GBK" w:cs="方正仿宋_GBK"/>
          <w:snapToGrid w:val="0"/>
          <w:kern w:val="0"/>
          <w:sz w:val="32"/>
          <w:szCs w:val="32"/>
          <w:u w:color="000000"/>
        </w:rPr>
        <w:t>个单项体育协会。</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旅游产业全面提质增效。</w:t>
      </w:r>
      <w:r>
        <w:rPr>
          <w:rFonts w:hint="eastAsia" w:ascii="Times New Roman" w:hAnsi="Times New Roman" w:eastAsia="方正仿宋_GBK" w:cs="方正仿宋_GBK"/>
          <w:snapToGrid w:val="0"/>
          <w:kern w:val="0"/>
          <w:sz w:val="32"/>
          <w:szCs w:val="32"/>
          <w:u w:color="000000"/>
        </w:rPr>
        <w:t>旅游景区大幅增加，投资</w:t>
      </w:r>
      <w:r>
        <w:rPr>
          <w:rFonts w:ascii="Times New Roman" w:hAnsi="Times New Roman" w:eastAsia="方正仿宋_GBK" w:cs="Times New Roman"/>
          <w:snapToGrid w:val="0"/>
          <w:kern w:val="0"/>
          <w:sz w:val="32"/>
          <w:szCs w:val="32"/>
          <w:u w:color="000000"/>
        </w:rPr>
        <w:t>50</w:t>
      </w:r>
      <w:r>
        <w:rPr>
          <w:rFonts w:hint="eastAsia" w:ascii="Times New Roman" w:hAnsi="Times New Roman" w:eastAsia="方正仿宋_GBK" w:cs="方正仿宋_GBK"/>
          <w:snapToGrid w:val="0"/>
          <w:kern w:val="0"/>
          <w:sz w:val="32"/>
          <w:szCs w:val="32"/>
          <w:u w:color="000000"/>
        </w:rPr>
        <w:t>余亿元建设了乌梅山、中华银杏谷、石桥列宁街、巴人历史文化博物馆、后照馆、钢琴博物馆、三里古街等一批特色景区景点，建成国家</w:t>
      </w:r>
      <w:r>
        <w:rPr>
          <w:rFonts w:ascii="Times New Roman" w:hAnsi="Times New Roman" w:eastAsia="方正仿宋_GBK" w:cs="Times New Roman"/>
          <w:snapToGrid w:val="0"/>
          <w:kern w:val="0"/>
          <w:sz w:val="32"/>
          <w:szCs w:val="32"/>
          <w:u w:color="000000"/>
        </w:rPr>
        <w:t>AAAA</w:t>
      </w:r>
      <w:r>
        <w:rPr>
          <w:rFonts w:hint="eastAsia" w:ascii="Times New Roman" w:hAnsi="Times New Roman" w:eastAsia="方正仿宋_GBK" w:cs="方正仿宋_GBK"/>
          <w:snapToGrid w:val="0"/>
          <w:kern w:val="0"/>
          <w:sz w:val="32"/>
          <w:szCs w:val="32"/>
          <w:u w:color="000000"/>
        </w:rPr>
        <w:t>级旅游景区</w:t>
      </w:r>
      <w:r>
        <w:rPr>
          <w:rFonts w:ascii="Times New Roman" w:hAnsi="Times New Roman" w:eastAsia="方正仿宋_GBK" w:cs="Times New Roman"/>
          <w:snapToGrid w:val="0"/>
          <w:kern w:val="0"/>
          <w:sz w:val="32"/>
          <w:szCs w:val="32"/>
          <w:u w:color="000000"/>
        </w:rPr>
        <w:t>1</w:t>
      </w:r>
      <w:r>
        <w:rPr>
          <w:rFonts w:hint="eastAsia" w:ascii="Times New Roman" w:hAnsi="Times New Roman" w:eastAsia="方正仿宋_GBK" w:cs="方正仿宋_GBK"/>
          <w:snapToGrid w:val="0"/>
          <w:kern w:val="0"/>
          <w:sz w:val="32"/>
          <w:szCs w:val="32"/>
          <w:u w:color="000000"/>
        </w:rPr>
        <w:t>个、国家</w:t>
      </w:r>
      <w:r>
        <w:rPr>
          <w:rFonts w:ascii="Times New Roman" w:hAnsi="Times New Roman" w:eastAsia="方正仿宋_GBK" w:cs="Times New Roman"/>
          <w:snapToGrid w:val="0"/>
          <w:kern w:val="0"/>
          <w:sz w:val="32"/>
          <w:szCs w:val="32"/>
          <w:u w:color="000000"/>
        </w:rPr>
        <w:t>AAA</w:t>
      </w:r>
      <w:r>
        <w:rPr>
          <w:rFonts w:hint="eastAsia" w:ascii="Times New Roman" w:hAnsi="Times New Roman" w:eastAsia="方正仿宋_GBK" w:cs="方正仿宋_GBK"/>
          <w:snapToGrid w:val="0"/>
          <w:kern w:val="0"/>
          <w:sz w:val="32"/>
          <w:szCs w:val="32"/>
          <w:u w:color="000000"/>
        </w:rPr>
        <w:t>级旅游景区</w:t>
      </w:r>
      <w:r>
        <w:rPr>
          <w:rFonts w:ascii="Times New Roman" w:hAnsi="Times New Roman" w:eastAsia="方正仿宋_GBK" w:cs="Times New Roman"/>
          <w:snapToGrid w:val="0"/>
          <w:kern w:val="0"/>
          <w:sz w:val="32"/>
          <w:szCs w:val="32"/>
          <w:u w:color="000000"/>
        </w:rPr>
        <w:t>3</w:t>
      </w:r>
      <w:r>
        <w:rPr>
          <w:rFonts w:hint="eastAsia" w:ascii="Times New Roman" w:hAnsi="Times New Roman" w:eastAsia="方正仿宋_GBK" w:cs="方正仿宋_GBK"/>
          <w:snapToGrid w:val="0"/>
          <w:kern w:val="0"/>
          <w:sz w:val="32"/>
          <w:szCs w:val="32"/>
          <w:u w:color="000000"/>
        </w:rPr>
        <w:t>个、星级旅游饭店</w:t>
      </w:r>
      <w:r>
        <w:rPr>
          <w:rFonts w:ascii="Times New Roman" w:hAnsi="Times New Roman" w:eastAsia="方正仿宋_GBK" w:cs="Times New Roman"/>
          <w:snapToGrid w:val="0"/>
          <w:kern w:val="0"/>
          <w:sz w:val="32"/>
          <w:szCs w:val="32"/>
          <w:u w:color="000000"/>
        </w:rPr>
        <w:t>2</w:t>
      </w:r>
      <w:r>
        <w:rPr>
          <w:rFonts w:hint="eastAsia" w:ascii="Times New Roman" w:hAnsi="Times New Roman" w:eastAsia="方正仿宋_GBK" w:cs="方正仿宋_GBK"/>
          <w:snapToGrid w:val="0"/>
          <w:kern w:val="0"/>
          <w:sz w:val="32"/>
          <w:szCs w:val="32"/>
          <w:u w:color="000000"/>
        </w:rPr>
        <w:t>家。创建省级乡村旅游示范乡镇</w:t>
      </w:r>
      <w:r>
        <w:rPr>
          <w:rFonts w:ascii="Times New Roman" w:hAnsi="Times New Roman" w:eastAsia="方正仿宋_GBK" w:cs="Times New Roman"/>
          <w:snapToGrid w:val="0"/>
          <w:kern w:val="0"/>
          <w:sz w:val="32"/>
          <w:szCs w:val="32"/>
          <w:u w:color="000000"/>
        </w:rPr>
        <w:t>5</w:t>
      </w:r>
      <w:r>
        <w:rPr>
          <w:rFonts w:hint="eastAsia" w:ascii="Times New Roman" w:hAnsi="Times New Roman" w:eastAsia="方正仿宋_GBK" w:cs="方正仿宋_GBK"/>
          <w:snapToGrid w:val="0"/>
          <w:kern w:val="0"/>
          <w:sz w:val="32"/>
          <w:szCs w:val="32"/>
          <w:u w:color="000000"/>
        </w:rPr>
        <w:t>个（南外镇、赵家镇、百节镇、石桥镇、福善镇）、旅游扶贫示范村</w:t>
      </w:r>
      <w:r>
        <w:rPr>
          <w:rFonts w:ascii="Times New Roman" w:hAnsi="Times New Roman" w:eastAsia="方正仿宋_GBK" w:cs="Times New Roman"/>
          <w:snapToGrid w:val="0"/>
          <w:kern w:val="0"/>
          <w:sz w:val="32"/>
          <w:szCs w:val="32"/>
          <w:u w:color="000000"/>
        </w:rPr>
        <w:t>3</w:t>
      </w:r>
      <w:r>
        <w:rPr>
          <w:rFonts w:hint="eastAsia" w:ascii="Times New Roman" w:hAnsi="Times New Roman" w:eastAsia="方正仿宋_GBK" w:cs="方正仿宋_GBK"/>
          <w:snapToGrid w:val="0"/>
          <w:kern w:val="0"/>
          <w:sz w:val="32"/>
          <w:szCs w:val="32"/>
          <w:u w:color="000000"/>
        </w:rPr>
        <w:t>个、特色业态经营户</w:t>
      </w:r>
      <w:r>
        <w:rPr>
          <w:rFonts w:ascii="Times New Roman" w:hAnsi="Times New Roman" w:eastAsia="方正仿宋_GBK" w:cs="Times New Roman"/>
          <w:snapToGrid w:val="0"/>
          <w:kern w:val="0"/>
          <w:sz w:val="32"/>
          <w:szCs w:val="32"/>
          <w:u w:color="000000"/>
        </w:rPr>
        <w:t>8</w:t>
      </w:r>
      <w:r>
        <w:rPr>
          <w:rFonts w:hint="eastAsia" w:ascii="Times New Roman" w:hAnsi="Times New Roman" w:eastAsia="方正仿宋_GBK" w:cs="方正仿宋_GBK"/>
          <w:snapToGrid w:val="0"/>
          <w:kern w:val="0"/>
          <w:sz w:val="32"/>
          <w:szCs w:val="32"/>
          <w:u w:color="000000"/>
        </w:rPr>
        <w:t>家、民宿旅游达标户</w:t>
      </w:r>
      <w:r>
        <w:rPr>
          <w:rFonts w:ascii="Times New Roman" w:hAnsi="Times New Roman" w:eastAsia="方正仿宋_GBK" w:cs="Times New Roman"/>
          <w:snapToGrid w:val="0"/>
          <w:kern w:val="0"/>
          <w:sz w:val="32"/>
          <w:szCs w:val="32"/>
          <w:u w:color="000000"/>
        </w:rPr>
        <w:t>11</w:t>
      </w:r>
      <w:r>
        <w:rPr>
          <w:rFonts w:hint="eastAsia" w:ascii="Times New Roman" w:hAnsi="Times New Roman" w:eastAsia="方正仿宋_GBK" w:cs="方正仿宋_GBK"/>
          <w:snapToGrid w:val="0"/>
          <w:kern w:val="0"/>
          <w:sz w:val="32"/>
          <w:szCs w:val="32"/>
          <w:u w:color="000000"/>
        </w:rPr>
        <w:t>家、星级农家乐（乡村酒店）</w:t>
      </w:r>
      <w:r>
        <w:rPr>
          <w:rFonts w:ascii="Times New Roman" w:hAnsi="Times New Roman" w:eastAsia="方正仿宋_GBK" w:cs="Times New Roman"/>
          <w:snapToGrid w:val="0"/>
          <w:kern w:val="0"/>
          <w:sz w:val="32"/>
          <w:szCs w:val="32"/>
          <w:u w:color="000000"/>
        </w:rPr>
        <w:t>16</w:t>
      </w:r>
      <w:r>
        <w:rPr>
          <w:rFonts w:hint="eastAsia" w:ascii="Times New Roman" w:hAnsi="Times New Roman" w:eastAsia="方正仿宋_GBK" w:cs="方正仿宋_GBK"/>
          <w:snapToGrid w:val="0"/>
          <w:kern w:val="0"/>
          <w:sz w:val="32"/>
          <w:szCs w:val="32"/>
          <w:u w:color="000000"/>
        </w:rPr>
        <w:t>家，培育旅游商品</w:t>
      </w:r>
      <w:r>
        <w:rPr>
          <w:rFonts w:ascii="Times New Roman" w:hAnsi="Times New Roman" w:eastAsia="方正仿宋_GBK" w:cs="Times New Roman"/>
          <w:snapToGrid w:val="0"/>
          <w:kern w:val="0"/>
          <w:sz w:val="32"/>
          <w:szCs w:val="32"/>
          <w:u w:color="000000"/>
        </w:rPr>
        <w:t>5</w:t>
      </w:r>
      <w:r>
        <w:rPr>
          <w:rFonts w:hint="eastAsia" w:ascii="Times New Roman" w:hAnsi="Times New Roman" w:eastAsia="方正仿宋_GBK" w:cs="方正仿宋_GBK"/>
          <w:snapToGrid w:val="0"/>
          <w:kern w:val="0"/>
          <w:sz w:val="32"/>
          <w:szCs w:val="32"/>
          <w:u w:color="000000"/>
        </w:rPr>
        <w:t>个。旅游影响力扩大，成功举办龙会天禾茶叶采茶节、木子蓝莓采摘节、安仁柚子采摘节、赵家帝源农场葡萄采摘节等旅游节会活动。</w:t>
      </w:r>
      <w:bookmarkEnd w:id="16"/>
      <w:bookmarkStart w:id="23" w:name="_Toc22666"/>
      <w:r>
        <w:rPr>
          <w:rFonts w:hint="eastAsia" w:ascii="Times New Roman" w:hAnsi="Times New Roman" w:eastAsia="方正仿宋_GBK" w:cs="方正仿宋_GBK"/>
          <w:snapToGrid w:val="0"/>
          <w:kern w:val="0"/>
          <w:sz w:val="32"/>
          <w:szCs w:val="32"/>
          <w:u w:color="000000"/>
        </w:rPr>
        <w:t>通过《人民日报》（海外版）、中央电视台《乡村大世界·走进达川》、《达川区首届乌梅旅游文化节》、达州电视台《到达川去看看》等传统媒体栏目宣传报道，达川文化和旅游知名度和影响力不断提升。</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文旅融合发展不断深化。</w:t>
      </w:r>
      <w:r>
        <w:rPr>
          <w:rFonts w:hint="eastAsia" w:ascii="Times New Roman" w:hAnsi="Times New Roman" w:eastAsia="方正仿宋_GBK" w:cs="方正仿宋_GBK"/>
          <w:snapToGrid w:val="0"/>
          <w:kern w:val="0"/>
          <w:sz w:val="32"/>
          <w:szCs w:val="32"/>
          <w:u w:color="000000"/>
        </w:rPr>
        <w:t>我区不断推进文化和旅游融合发展，以文化和旅游跨界融合的方式，推出了一批特色鲜明的产品，形成了以石桥古镇列宁街为代表的红色文化、传统村落与旅游融合项目，以《传说中的</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春申君故里</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》《火龙传奇》为代表的历史与旅游融合项目。</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十三五</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期间，注重以文化和旅游景区为抓手推动区域发展，按照特色化、差异化思路，培育发展了三里坪和小河嘴两大文旅产业园等一批优秀文化和旅游项目，较好地推动了文化与旅游资源的深度融合。乌梅山成功创建国家</w:t>
      </w:r>
      <w:r>
        <w:rPr>
          <w:rFonts w:ascii="Times New Roman" w:hAnsi="Times New Roman" w:eastAsia="方正仿宋_GBK" w:cs="Times New Roman"/>
          <w:snapToGrid w:val="0"/>
          <w:kern w:val="0"/>
          <w:sz w:val="32"/>
          <w:szCs w:val="32"/>
          <w:u w:color="000000"/>
        </w:rPr>
        <w:t>AAAA</w:t>
      </w:r>
      <w:r>
        <w:rPr>
          <w:rFonts w:hint="eastAsia" w:ascii="Times New Roman" w:hAnsi="Times New Roman" w:eastAsia="方正仿宋_GBK" w:cs="方正仿宋_GBK"/>
          <w:snapToGrid w:val="0"/>
          <w:kern w:val="0"/>
          <w:sz w:val="32"/>
          <w:szCs w:val="32"/>
          <w:u w:color="000000"/>
        </w:rPr>
        <w:t>级旅游景区，成都山玫瑰谷、瑞福蚕桑乐园、帝源生态农场成功创建国家</w:t>
      </w:r>
      <w:r>
        <w:rPr>
          <w:rFonts w:ascii="Times New Roman" w:hAnsi="Times New Roman" w:eastAsia="方正仿宋_GBK" w:cs="Times New Roman"/>
          <w:snapToGrid w:val="0"/>
          <w:kern w:val="0"/>
          <w:sz w:val="32"/>
          <w:szCs w:val="32"/>
          <w:u w:color="000000"/>
        </w:rPr>
        <w:t>AAA</w:t>
      </w:r>
      <w:r>
        <w:rPr>
          <w:rFonts w:hint="eastAsia" w:ascii="Times New Roman" w:hAnsi="Times New Roman" w:eastAsia="方正仿宋_GBK" w:cs="方正仿宋_GBK"/>
          <w:snapToGrid w:val="0"/>
          <w:kern w:val="0"/>
          <w:sz w:val="32"/>
          <w:szCs w:val="32"/>
          <w:u w:color="000000"/>
        </w:rPr>
        <w:t>级旅游景区，石桥古镇、</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中华银杏谷</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正在按照国家</w:t>
      </w:r>
      <w:r>
        <w:rPr>
          <w:rFonts w:ascii="Times New Roman" w:hAnsi="Times New Roman" w:eastAsia="方正仿宋_GBK" w:cs="Times New Roman"/>
          <w:snapToGrid w:val="0"/>
          <w:kern w:val="0"/>
          <w:sz w:val="32"/>
          <w:szCs w:val="32"/>
          <w:u w:color="000000"/>
        </w:rPr>
        <w:t>AAAA</w:t>
      </w:r>
      <w:r>
        <w:rPr>
          <w:rFonts w:hint="eastAsia" w:ascii="Times New Roman" w:hAnsi="Times New Roman" w:eastAsia="方正仿宋_GBK" w:cs="方正仿宋_GBK"/>
          <w:snapToGrid w:val="0"/>
          <w:kern w:val="0"/>
          <w:sz w:val="32"/>
          <w:szCs w:val="32"/>
          <w:u w:color="000000"/>
        </w:rPr>
        <w:t>级旅游景区标准加快建设，龙会花石岩景区也正在规划建设中。</w:t>
      </w:r>
    </w:p>
    <w:bookmarkEnd w:id="17"/>
    <w:bookmarkEnd w:id="18"/>
    <w:bookmarkEnd w:id="19"/>
    <w:bookmarkEnd w:id="20"/>
    <w:bookmarkEnd w:id="21"/>
    <w:bookmarkEnd w:id="22"/>
    <w:bookmarkEnd w:id="23"/>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24" w:name="_Toc11277"/>
      <w:bookmarkStart w:id="25" w:name="_Toc17275"/>
      <w:bookmarkStart w:id="26" w:name="_Toc2508"/>
      <w:bookmarkStart w:id="27" w:name="_Toc12613"/>
      <w:bookmarkStart w:id="28" w:name="_Toc9369"/>
      <w:bookmarkStart w:id="29" w:name="_Toc24831"/>
      <w:bookmarkStart w:id="30" w:name="_Toc15841"/>
      <w:bookmarkStart w:id="31" w:name="_Toc7434"/>
      <w:r>
        <w:rPr>
          <w:rFonts w:hint="eastAsia" w:ascii="Times New Roman" w:hAnsi="Times New Roman" w:eastAsia="方正仿宋_GBK" w:cs="方正仿宋_GBK"/>
          <w:b/>
          <w:bCs/>
          <w:snapToGrid w:val="0"/>
          <w:kern w:val="0"/>
          <w:sz w:val="32"/>
          <w:szCs w:val="32"/>
          <w:u w:color="000000"/>
        </w:rPr>
        <w:t>广播电视服务惠及民生</w:t>
      </w:r>
      <w:bookmarkEnd w:id="24"/>
      <w:bookmarkEnd w:id="25"/>
      <w:r>
        <w:rPr>
          <w:rFonts w:hint="eastAsia" w:ascii="Times New Roman" w:hAnsi="Times New Roman" w:eastAsia="方正仿宋_GBK" w:cs="方正仿宋_GBK"/>
          <w:b/>
          <w:bCs/>
          <w:snapToGrid w:val="0"/>
          <w:kern w:val="0"/>
          <w:sz w:val="32"/>
          <w:szCs w:val="32"/>
          <w:u w:color="000000"/>
        </w:rPr>
        <w:t>。</w:t>
      </w:r>
      <w:bookmarkEnd w:id="26"/>
      <w:bookmarkEnd w:id="27"/>
      <w:bookmarkEnd w:id="28"/>
      <w:bookmarkEnd w:id="29"/>
      <w:bookmarkEnd w:id="30"/>
      <w:bookmarkEnd w:id="31"/>
      <w:r>
        <w:rPr>
          <w:rFonts w:hint="eastAsia" w:ascii="Times New Roman" w:hAnsi="Times New Roman" w:eastAsia="方正仿宋_GBK" w:cs="方正仿宋_GBK"/>
          <w:snapToGrid w:val="0"/>
          <w:kern w:val="0"/>
          <w:sz w:val="32"/>
          <w:szCs w:val="32"/>
          <w:u w:color="000000"/>
        </w:rPr>
        <w:t>广播电视传输覆盖体系基本形成，基本实现电视户户通、行政村广播全覆盖。完成</w:t>
      </w:r>
      <w:r>
        <w:rPr>
          <w:rFonts w:ascii="Times New Roman" w:hAnsi="Times New Roman" w:eastAsia="方正仿宋_GBK" w:cs="Times New Roman"/>
          <w:snapToGrid w:val="0"/>
          <w:kern w:val="0"/>
          <w:sz w:val="32"/>
          <w:szCs w:val="32"/>
          <w:u w:color="000000"/>
        </w:rPr>
        <w:t>142</w:t>
      </w:r>
      <w:r>
        <w:rPr>
          <w:rFonts w:hint="eastAsia" w:ascii="Times New Roman" w:hAnsi="Times New Roman" w:eastAsia="方正仿宋_GBK" w:cs="方正仿宋_GBK"/>
          <w:snapToGrid w:val="0"/>
          <w:kern w:val="0"/>
          <w:sz w:val="32"/>
          <w:szCs w:val="32"/>
          <w:u w:color="000000"/>
        </w:rPr>
        <w:t>个退出贫困村广播村村响工程、</w:t>
      </w:r>
      <w:r>
        <w:rPr>
          <w:rFonts w:ascii="Times New Roman" w:hAnsi="Times New Roman" w:eastAsia="方正仿宋_GBK" w:cs="Times New Roman"/>
          <w:snapToGrid w:val="0"/>
          <w:kern w:val="0"/>
          <w:sz w:val="32"/>
          <w:szCs w:val="32"/>
          <w:u w:color="000000"/>
        </w:rPr>
        <w:t>1</w:t>
      </w:r>
      <w:r>
        <w:rPr>
          <w:rFonts w:hint="eastAsia" w:ascii="Times New Roman" w:hAnsi="Times New Roman" w:eastAsia="方正仿宋_GBK" w:cs="方正仿宋_GBK"/>
          <w:snapToGrid w:val="0"/>
          <w:kern w:val="0"/>
          <w:sz w:val="32"/>
          <w:szCs w:val="32"/>
          <w:u w:color="000000"/>
        </w:rPr>
        <w:t>个县级应急广播平台建设。持续推进</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高清达川·智慧广电</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建设，扎实开展</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广播</w:t>
      </w:r>
      <w:r>
        <w:rPr>
          <w:rFonts w:ascii="Times New Roman" w:hAnsi="Times New Roman" w:eastAsia="方正仿宋_GBK" w:cs="Times New Roman"/>
          <w:snapToGrid w:val="0"/>
          <w:kern w:val="0"/>
          <w:sz w:val="32"/>
          <w:szCs w:val="32"/>
          <w:u w:color="000000"/>
        </w:rPr>
        <w:t>330</w:t>
      </w:r>
      <w:r>
        <w:rPr>
          <w:rFonts w:hint="eastAsia" w:ascii="Times New Roman" w:hAnsi="Times New Roman" w:eastAsia="方正仿宋_GBK" w:cs="方正仿宋_GBK"/>
          <w:snapToGrid w:val="0"/>
          <w:kern w:val="0"/>
          <w:sz w:val="32"/>
          <w:szCs w:val="32"/>
          <w:u w:color="000000"/>
        </w:rPr>
        <w:t>春风工程</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把党和政府的声音传到千家万户。先后荣获四川省首届</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广电惠民服务月</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活动先进集体、</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十三五</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全省广播电视脱贫攻坚优秀集体，成功创建</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四川省智慧广电示范区</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w:t>
      </w:r>
    </w:p>
    <w:p>
      <w:pPr>
        <w:adjustRightInd w:val="0"/>
        <w:snapToGrid w:val="0"/>
        <w:spacing w:line="578" w:lineRule="exact"/>
        <w:jc w:val="center"/>
        <w:textAlignment w:val="baseline"/>
        <w:rPr>
          <w:rFonts w:ascii="Times New Roman" w:hAnsi="Times New Roman" w:eastAsia="方正仿宋_GBK" w:cs="Times New Roman"/>
          <w:b/>
          <w:bCs/>
          <w:snapToGrid w:val="0"/>
          <w:kern w:val="0"/>
          <w:sz w:val="28"/>
          <w:szCs w:val="28"/>
          <w:u w:color="000000"/>
        </w:rPr>
      </w:pPr>
      <w:r>
        <w:rPr>
          <w:rFonts w:hint="eastAsia" w:ascii="Times New Roman" w:hAnsi="Times New Roman" w:eastAsia="方正仿宋_GBK" w:cs="方正仿宋_GBK"/>
          <w:b/>
          <w:bCs/>
          <w:snapToGrid w:val="0"/>
          <w:kern w:val="0"/>
          <w:sz w:val="28"/>
          <w:szCs w:val="28"/>
          <w:u w:color="000000"/>
        </w:rPr>
        <w:t>专栏</w:t>
      </w:r>
      <w:r>
        <w:rPr>
          <w:rFonts w:ascii="Times New Roman" w:hAnsi="Times New Roman" w:eastAsia="方正仿宋_GBK" w:cs="Times New Roman"/>
          <w:b/>
          <w:bCs/>
          <w:snapToGrid w:val="0"/>
          <w:kern w:val="0"/>
          <w:sz w:val="28"/>
          <w:szCs w:val="28"/>
          <w:u w:color="000000"/>
        </w:rPr>
        <w:t>1</w:t>
      </w:r>
      <w:r>
        <w:rPr>
          <w:rFonts w:hint="eastAsia" w:ascii="Times New Roman" w:hAnsi="Times New Roman" w:eastAsia="方正仿宋_GBK" w:cs="方正仿宋_GBK"/>
          <w:b/>
          <w:bCs/>
          <w:snapToGrid w:val="0"/>
          <w:kern w:val="0"/>
          <w:sz w:val="28"/>
          <w:szCs w:val="28"/>
          <w:u w:color="000000"/>
        </w:rPr>
        <w:t>：</w:t>
      </w:r>
      <w:r>
        <w:rPr>
          <w:rFonts w:ascii="Times New Roman" w:hAnsi="Times New Roman" w:eastAsia="方正仿宋_GBK" w:cs="Times New Roman"/>
          <w:b/>
          <w:bCs/>
          <w:snapToGrid w:val="0"/>
          <w:kern w:val="0"/>
          <w:sz w:val="28"/>
          <w:szCs w:val="28"/>
          <w:u w:color="000000"/>
        </w:rPr>
        <w:t>“</w:t>
      </w:r>
      <w:r>
        <w:rPr>
          <w:rFonts w:hint="eastAsia" w:ascii="Times New Roman" w:hAnsi="Times New Roman" w:eastAsia="方正仿宋_GBK" w:cs="方正仿宋_GBK"/>
          <w:b/>
          <w:bCs/>
          <w:snapToGrid w:val="0"/>
          <w:kern w:val="0"/>
          <w:sz w:val="28"/>
          <w:szCs w:val="28"/>
          <w:u w:color="000000"/>
        </w:rPr>
        <w:t>十三五</w:t>
      </w:r>
      <w:r>
        <w:rPr>
          <w:rFonts w:ascii="Times New Roman" w:hAnsi="Times New Roman" w:eastAsia="方正仿宋_GBK" w:cs="Times New Roman"/>
          <w:b/>
          <w:bCs/>
          <w:snapToGrid w:val="0"/>
          <w:kern w:val="0"/>
          <w:sz w:val="28"/>
          <w:szCs w:val="28"/>
          <w:u w:color="000000"/>
        </w:rPr>
        <w:t>”</w:t>
      </w:r>
      <w:r>
        <w:rPr>
          <w:rFonts w:hint="eastAsia" w:ascii="Times New Roman" w:hAnsi="Times New Roman" w:eastAsia="方正仿宋_GBK" w:cs="方正仿宋_GBK"/>
          <w:b/>
          <w:bCs/>
          <w:snapToGrid w:val="0"/>
          <w:kern w:val="0"/>
          <w:sz w:val="28"/>
          <w:szCs w:val="28"/>
          <w:u w:color="000000"/>
        </w:rPr>
        <w:t>期间文化体育和旅游业发展目标完成情况</w:t>
      </w:r>
    </w:p>
    <w:tbl>
      <w:tblPr>
        <w:tblStyle w:val="25"/>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6"/>
        <w:gridCol w:w="975"/>
        <w:gridCol w:w="1701"/>
        <w:gridCol w:w="1090"/>
        <w:gridCol w:w="1202"/>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2606" w:type="dxa"/>
            <w:vMerge w:val="restart"/>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指</w:t>
            </w:r>
            <w:r>
              <w:rPr>
                <w:rFonts w:ascii="Times New Roman" w:hAnsi="Times New Roman" w:eastAsia="方正仿宋_GBK" w:cs="Times New Roman"/>
                <w:snapToGrid w:val="0"/>
                <w:kern w:val="0"/>
                <w:sz w:val="24"/>
                <w:szCs w:val="24"/>
                <w:u w:color="000000"/>
              </w:rPr>
              <w:t xml:space="preserve">  </w:t>
            </w:r>
            <w:r>
              <w:rPr>
                <w:rFonts w:hint="eastAsia" w:ascii="Times New Roman" w:hAnsi="Times New Roman" w:eastAsia="方正仿宋_GBK" w:cs="方正仿宋_GBK"/>
                <w:snapToGrid w:val="0"/>
                <w:kern w:val="0"/>
                <w:sz w:val="24"/>
                <w:szCs w:val="24"/>
                <w:u w:color="000000"/>
              </w:rPr>
              <w:t>标</w:t>
            </w:r>
          </w:p>
        </w:tc>
        <w:tc>
          <w:tcPr>
            <w:tcW w:w="2676" w:type="dxa"/>
            <w:gridSpan w:val="2"/>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规划目标</w:t>
            </w:r>
          </w:p>
        </w:tc>
        <w:tc>
          <w:tcPr>
            <w:tcW w:w="2292" w:type="dxa"/>
            <w:gridSpan w:val="2"/>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完成情况</w:t>
            </w: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2606" w:type="dxa"/>
            <w:vMerge w:val="continue"/>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2020</w:t>
            </w:r>
            <w:r>
              <w:rPr>
                <w:rFonts w:hint="eastAsia" w:ascii="Times New Roman" w:hAnsi="Times New Roman" w:eastAsia="方正仿宋_GBK" w:cs="方正仿宋_GBK"/>
                <w:snapToGrid w:val="0"/>
                <w:kern w:val="0"/>
                <w:sz w:val="24"/>
                <w:szCs w:val="24"/>
                <w:u w:color="000000"/>
              </w:rPr>
              <w:t>年</w:t>
            </w: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年均增长（</w:t>
            </w:r>
            <w:r>
              <w:rPr>
                <w:rFonts w:ascii="Times New Roman" w:hAnsi="Times New Roman" w:eastAsia="方正仿宋_GBK" w:cs="Times New Roman"/>
                <w:snapToGrid w:val="0"/>
                <w:kern w:val="0"/>
                <w:sz w:val="24"/>
                <w:szCs w:val="24"/>
                <w:u w:color="000000"/>
              </w:rPr>
              <w:t>%</w:t>
            </w:r>
            <w:r>
              <w:rPr>
                <w:rFonts w:hint="eastAsia" w:ascii="Times New Roman" w:hAnsi="Times New Roman" w:eastAsia="方正仿宋_GBK" w:cs="方正仿宋_GBK"/>
                <w:snapToGrid w:val="0"/>
                <w:kern w:val="0"/>
                <w:sz w:val="24"/>
                <w:szCs w:val="24"/>
                <w:u w:color="000000"/>
              </w:rPr>
              <w:t>）</w:t>
            </w: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2020</w:t>
            </w:r>
            <w:r>
              <w:rPr>
                <w:rFonts w:hint="eastAsia" w:ascii="Times New Roman" w:hAnsi="Times New Roman" w:eastAsia="方正仿宋_GBK" w:cs="方正仿宋_GBK"/>
                <w:snapToGrid w:val="0"/>
                <w:kern w:val="0"/>
                <w:sz w:val="24"/>
                <w:szCs w:val="24"/>
                <w:u w:color="000000"/>
              </w:rPr>
              <w:t>年</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增长（</w:t>
            </w:r>
            <w:r>
              <w:rPr>
                <w:rFonts w:ascii="Times New Roman" w:hAnsi="Times New Roman" w:eastAsia="方正仿宋_GBK" w:cs="Times New Roman"/>
                <w:snapToGrid w:val="0"/>
                <w:kern w:val="0"/>
                <w:sz w:val="24"/>
                <w:szCs w:val="24"/>
                <w:u w:color="000000"/>
              </w:rPr>
              <w:t>%</w:t>
            </w:r>
            <w:r>
              <w:rPr>
                <w:rFonts w:hint="eastAsia" w:ascii="Times New Roman" w:hAnsi="Times New Roman" w:eastAsia="方正仿宋_GBK" w:cs="方正仿宋_GBK"/>
                <w:snapToGrid w:val="0"/>
                <w:kern w:val="0"/>
                <w:sz w:val="24"/>
                <w:szCs w:val="24"/>
                <w:u w:color="000000"/>
              </w:rPr>
              <w:t>）</w:t>
            </w: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文化营业收入（亿元）</w:t>
            </w: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2020</w:t>
            </w:r>
            <w:r>
              <w:rPr>
                <w:rFonts w:hint="eastAsia" w:ascii="Times New Roman" w:hAnsi="Times New Roman" w:eastAsia="方正仿宋_GBK" w:cs="方正仿宋_GBK"/>
                <w:snapToGrid w:val="0"/>
                <w:kern w:val="0"/>
                <w:sz w:val="24"/>
                <w:szCs w:val="24"/>
                <w:u w:color="000000"/>
              </w:rPr>
              <w:t>年受新冠肺炎疫情影响大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旅游总收入（亿元）</w:t>
            </w: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34</w:t>
            </w: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26.7</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-5.9</w:t>
            </w: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2020</w:t>
            </w:r>
            <w:r>
              <w:rPr>
                <w:rFonts w:hint="eastAsia" w:ascii="Times New Roman" w:hAnsi="Times New Roman" w:eastAsia="方正仿宋_GBK" w:cs="方正仿宋_GBK"/>
                <w:snapToGrid w:val="0"/>
                <w:kern w:val="0"/>
                <w:sz w:val="24"/>
                <w:szCs w:val="24"/>
                <w:u w:color="000000"/>
              </w:rPr>
              <w:t>年受新冠肺炎疫情影响大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接待游客（万人次）</w:t>
            </w: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573</w:t>
            </w: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511.32</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-2.8</w:t>
            </w: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2020</w:t>
            </w:r>
            <w:r>
              <w:rPr>
                <w:rFonts w:hint="eastAsia" w:ascii="Times New Roman" w:hAnsi="Times New Roman" w:eastAsia="方正仿宋_GBK" w:cs="方正仿宋_GBK"/>
                <w:snapToGrid w:val="0"/>
                <w:kern w:val="0"/>
                <w:sz w:val="24"/>
                <w:szCs w:val="24"/>
                <w:u w:color="000000"/>
              </w:rPr>
              <w:t>年受新冠肺炎疫情影响大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国家</w:t>
            </w:r>
            <w:r>
              <w:rPr>
                <w:rFonts w:ascii="Times New Roman" w:hAnsi="Times New Roman" w:eastAsia="方正仿宋_GBK" w:cs="Times New Roman"/>
                <w:snapToGrid w:val="0"/>
                <w:kern w:val="0"/>
                <w:sz w:val="24"/>
                <w:szCs w:val="24"/>
                <w:u w:color="000000"/>
              </w:rPr>
              <w:t>AAA</w:t>
            </w:r>
            <w:r>
              <w:rPr>
                <w:rFonts w:hint="eastAsia" w:ascii="Times New Roman" w:hAnsi="Times New Roman" w:eastAsia="方正仿宋_GBK" w:cs="方正仿宋_GBK"/>
                <w:snapToGrid w:val="0"/>
                <w:kern w:val="0"/>
                <w:sz w:val="24"/>
                <w:szCs w:val="24"/>
                <w:u w:color="000000"/>
              </w:rPr>
              <w:t>级景区旅游（个）</w:t>
            </w: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3</w:t>
            </w: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3</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成都山玫瑰谷、帝源生态农场、瑞福蚕桑乐园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文化馆年服务人次</w:t>
            </w:r>
          </w:p>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（万人次）</w:t>
            </w: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12</w:t>
            </w: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5</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-19.7</w:t>
            </w: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2020</w:t>
            </w:r>
            <w:r>
              <w:rPr>
                <w:rFonts w:hint="eastAsia" w:ascii="Times New Roman" w:hAnsi="Times New Roman" w:eastAsia="方正仿宋_GBK" w:cs="方正仿宋_GBK"/>
                <w:snapToGrid w:val="0"/>
                <w:kern w:val="0"/>
                <w:sz w:val="24"/>
                <w:szCs w:val="24"/>
                <w:u w:color="000000"/>
              </w:rPr>
              <w:t>年受新冠肺炎疫情影响大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图书馆年服务人次</w:t>
            </w:r>
          </w:p>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（万人次）</w:t>
            </w: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19</w:t>
            </w: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9</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-17</w:t>
            </w: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2020</w:t>
            </w:r>
            <w:r>
              <w:rPr>
                <w:rFonts w:hint="eastAsia" w:ascii="Times New Roman" w:hAnsi="Times New Roman" w:eastAsia="方正仿宋_GBK" w:cs="方正仿宋_GBK"/>
                <w:snapToGrid w:val="0"/>
                <w:kern w:val="0"/>
                <w:sz w:val="24"/>
                <w:szCs w:val="24"/>
                <w:u w:color="000000"/>
              </w:rPr>
              <w:t>年受新冠肺炎疫情影响大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人均体育场地面积达</w:t>
            </w:r>
            <w:r>
              <w:rPr>
                <w:rFonts w:ascii="Times New Roman" w:hAnsi="Times New Roman" w:eastAsia="方正仿宋_GBK" w:cs="Times New Roman"/>
                <w:snapToGrid w:val="0"/>
                <w:kern w:val="0"/>
                <w:sz w:val="24"/>
                <w:szCs w:val="24"/>
                <w:u w:color="000000"/>
              </w:rPr>
              <w:t>1.8</w:t>
            </w:r>
            <w:r>
              <w:rPr>
                <w:rFonts w:hint="eastAsia" w:ascii="Times New Roman" w:hAnsi="Times New Roman" w:eastAsia="方正仿宋_GBK" w:cs="方正仿宋_GBK"/>
                <w:snapToGrid w:val="0"/>
                <w:kern w:val="0"/>
                <w:sz w:val="24"/>
                <w:szCs w:val="24"/>
                <w:u w:color="000000"/>
              </w:rPr>
              <w:t>（平方米）</w:t>
            </w: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1.8</w:t>
            </w: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27.2</w:t>
            </w: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1.83</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2.3</w:t>
            </w: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村级农民体育健身工程（个）</w:t>
            </w: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639</w:t>
            </w: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100</w:t>
            </w: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639</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广播电视覆盖率（</w:t>
            </w:r>
            <w:r>
              <w:rPr>
                <w:rFonts w:ascii="Times New Roman" w:hAnsi="Times New Roman" w:eastAsia="方正仿宋_GBK" w:cs="Times New Roman"/>
                <w:snapToGrid w:val="0"/>
                <w:kern w:val="0"/>
                <w:sz w:val="24"/>
                <w:szCs w:val="24"/>
                <w:u w:color="000000"/>
              </w:rPr>
              <w:t>%</w:t>
            </w:r>
            <w:r>
              <w:rPr>
                <w:rFonts w:hint="eastAsia" w:ascii="Times New Roman" w:hAnsi="Times New Roman" w:eastAsia="方正仿宋_GBK" w:cs="方正仿宋_GBK"/>
                <w:snapToGrid w:val="0"/>
                <w:kern w:val="0"/>
                <w:sz w:val="24"/>
                <w:szCs w:val="24"/>
                <w:u w:color="000000"/>
              </w:rPr>
              <w:t>）</w:t>
            </w:r>
          </w:p>
        </w:tc>
        <w:tc>
          <w:tcPr>
            <w:tcW w:w="975"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99</w:t>
            </w:r>
          </w:p>
        </w:tc>
        <w:tc>
          <w:tcPr>
            <w:tcW w:w="1701"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0.89</w:t>
            </w:r>
          </w:p>
        </w:tc>
        <w:tc>
          <w:tcPr>
            <w:tcW w:w="109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99.89</w:t>
            </w:r>
          </w:p>
        </w:tc>
        <w:tc>
          <w:tcPr>
            <w:tcW w:w="1202"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0.90</w:t>
            </w:r>
          </w:p>
        </w:tc>
        <w:tc>
          <w:tcPr>
            <w:tcW w:w="1946"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p>
        </w:tc>
      </w:tr>
    </w:tbl>
    <w:p>
      <w:pPr>
        <w:adjustRightInd w:val="0"/>
        <w:snapToGrid w:val="0"/>
        <w:spacing w:line="578" w:lineRule="exact"/>
        <w:ind w:firstLine="640" w:firstLineChars="200"/>
        <w:rPr>
          <w:rFonts w:ascii="Times New Roman" w:hAnsi="Times New Roman" w:eastAsia="方正仿宋_GBK" w:cs="Times New Roman"/>
          <w:sz w:val="32"/>
          <w:szCs w:val="32"/>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第二节</w:t>
      </w:r>
      <w:r>
        <w:rPr>
          <w:rFonts w:ascii="方正黑体_GBK" w:hAnsi="Times New Roman" w:eastAsia="方正黑体_GBK" w:cs="方正黑体_GBK"/>
          <w:sz w:val="32"/>
          <w:szCs w:val="32"/>
        </w:rPr>
        <w:t xml:space="preserve">  </w:t>
      </w:r>
      <w:r>
        <w:rPr>
          <w:rFonts w:hint="eastAsia" w:ascii="宋体" w:hAnsi="宋体" w:eastAsia="宋体" w:cs="宋体"/>
          <w:sz w:val="32"/>
          <w:szCs w:val="32"/>
        </w:rPr>
        <w:t>“</w:t>
      </w:r>
      <w:r>
        <w:rPr>
          <w:rFonts w:hint="eastAsia" w:ascii="方正黑体_GBK" w:hAnsi="Times New Roman" w:eastAsia="方正黑体_GBK" w:cs="方正黑体_GBK"/>
          <w:sz w:val="32"/>
          <w:szCs w:val="32"/>
        </w:rPr>
        <w:t>十四五</w:t>
      </w:r>
      <w:r>
        <w:rPr>
          <w:rFonts w:hint="eastAsia" w:ascii="宋体" w:hAnsi="宋体" w:eastAsia="宋体" w:cs="宋体"/>
          <w:sz w:val="32"/>
          <w:szCs w:val="32"/>
        </w:rPr>
        <w:t>”</w:t>
      </w:r>
      <w:r>
        <w:rPr>
          <w:rFonts w:hint="eastAsia" w:ascii="方正黑体_GBK" w:hAnsi="Times New Roman" w:eastAsia="方正黑体_GBK" w:cs="方正黑体_GBK"/>
          <w:sz w:val="32"/>
          <w:szCs w:val="32"/>
        </w:rPr>
        <w:t>发展形势</w:t>
      </w:r>
    </w:p>
    <w:p>
      <w:pPr>
        <w:adjustRightInd w:val="0"/>
        <w:snapToGrid w:val="0"/>
        <w:spacing w:line="578" w:lineRule="exact"/>
        <w:ind w:firstLine="640" w:firstLineChars="200"/>
        <w:rPr>
          <w:rFonts w:ascii="Times New Roman" w:hAnsi="Times New Roman" w:eastAsia="方正仿宋_GBK" w:cs="Times New Roman"/>
          <w:snapToGrid w:val="0"/>
          <w:sz w:val="32"/>
          <w:szCs w:val="32"/>
        </w:rPr>
      </w:pPr>
      <w:r>
        <w:rPr>
          <w:rFonts w:hint="eastAsia" w:ascii="宋体" w:hAnsi="宋体" w:eastAsia="宋体" w:cs="宋体"/>
          <w:snapToGrid w:val="0"/>
          <w:sz w:val="32"/>
          <w:szCs w:val="32"/>
        </w:rPr>
        <w:t>“</w:t>
      </w:r>
      <w:r>
        <w:rPr>
          <w:rFonts w:hint="eastAsia" w:ascii="Times New Roman" w:hAnsi="Times New Roman" w:eastAsia="方正仿宋_GBK" w:cs="方正仿宋_GBK"/>
          <w:snapToGrid w:val="0"/>
          <w:sz w:val="32"/>
          <w:szCs w:val="32"/>
        </w:rPr>
        <w:t>十四五</w:t>
      </w:r>
      <w:r>
        <w:rPr>
          <w:rFonts w:hint="eastAsia" w:ascii="宋体" w:hAnsi="宋体" w:eastAsia="宋体" w:cs="宋体"/>
          <w:snapToGrid w:val="0"/>
          <w:sz w:val="32"/>
          <w:szCs w:val="32"/>
        </w:rPr>
        <w:t>”</w:t>
      </w:r>
      <w:r>
        <w:rPr>
          <w:rFonts w:hint="eastAsia" w:ascii="Times New Roman" w:hAnsi="Times New Roman" w:eastAsia="方正仿宋_GBK" w:cs="方正仿宋_GBK"/>
          <w:snapToGrid w:val="0"/>
          <w:sz w:val="32"/>
          <w:szCs w:val="32"/>
        </w:rPr>
        <w:t>时期，我区文化建设和文旅融合发展在</w:t>
      </w:r>
      <w:r>
        <w:rPr>
          <w:rFonts w:hint="eastAsia" w:ascii="宋体" w:hAnsi="宋体" w:eastAsia="宋体" w:cs="宋体"/>
          <w:snapToGrid w:val="0"/>
          <w:sz w:val="32"/>
          <w:szCs w:val="32"/>
        </w:rPr>
        <w:t>“</w:t>
      </w:r>
      <w:r>
        <w:rPr>
          <w:rFonts w:hint="eastAsia" w:ascii="Times New Roman" w:hAnsi="Times New Roman" w:eastAsia="方正仿宋_GBK" w:cs="方正仿宋_GBK"/>
          <w:snapToGrid w:val="0"/>
          <w:sz w:val="32"/>
          <w:szCs w:val="32"/>
        </w:rPr>
        <w:t>十三五</w:t>
      </w:r>
      <w:r>
        <w:rPr>
          <w:rFonts w:hint="eastAsia" w:ascii="宋体" w:hAnsi="宋体" w:eastAsia="宋体" w:cs="宋体"/>
          <w:snapToGrid w:val="0"/>
          <w:sz w:val="32"/>
          <w:szCs w:val="32"/>
        </w:rPr>
        <w:t>”</w:t>
      </w:r>
      <w:r>
        <w:rPr>
          <w:rFonts w:hint="eastAsia" w:ascii="Times New Roman" w:hAnsi="Times New Roman" w:eastAsia="方正仿宋_GBK" w:cs="方正仿宋_GBK"/>
          <w:snapToGrid w:val="0"/>
          <w:sz w:val="32"/>
          <w:szCs w:val="32"/>
        </w:rPr>
        <w:t>发展基础上既需要解决遗留问题，又需要抓住新阶段高质量发展机遇，辩证看待新发展阶段面临的新机遇新挑战，深刻认识建设社会主义现代化强国新征程的新要求，把握发展规律，保持战略定力，固本强基、守正创新，努力在危机中育先机、于变局中开新局。</w:t>
      </w:r>
    </w:p>
    <w:p>
      <w:pPr>
        <w:adjustRightInd w:val="0"/>
        <w:snapToGrid w:val="0"/>
        <w:spacing w:line="578" w:lineRule="exact"/>
        <w:ind w:firstLine="640" w:firstLineChars="200"/>
        <w:outlineLvl w:val="2"/>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一、存在的主要问题</w:t>
      </w:r>
    </w:p>
    <w:p>
      <w:pPr>
        <w:adjustRightInd w:val="0"/>
        <w:snapToGrid w:val="0"/>
        <w:spacing w:line="578" w:lineRule="exact"/>
        <w:ind w:firstLine="643" w:firstLineChars="200"/>
        <w:outlineLvl w:val="3"/>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基础设施建设有待完善。</w:t>
      </w:r>
      <w:r>
        <w:rPr>
          <w:rFonts w:hint="eastAsia" w:ascii="Times New Roman" w:hAnsi="Times New Roman" w:eastAsia="方正仿宋_GBK" w:cs="方正仿宋_GBK"/>
          <w:sz w:val="32"/>
          <w:szCs w:val="32"/>
        </w:rPr>
        <w:t>乡村文化展示场所欠缺，乡土文化、特色文化挖掘不力，部分乡镇文化活动场所和综合文化站设施设备更新不够，体育基础设施薄弱。数字文化服务管理平台有待加强。基本建设资金投入不足。</w:t>
      </w:r>
    </w:p>
    <w:p>
      <w:pPr>
        <w:adjustRightInd w:val="0"/>
        <w:snapToGrid w:val="0"/>
        <w:spacing w:line="578" w:lineRule="exact"/>
        <w:ind w:firstLine="643" w:firstLineChars="200"/>
        <w:outlineLvl w:val="3"/>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公共文化服务效能有待提升。</w:t>
      </w:r>
      <w:r>
        <w:rPr>
          <w:rFonts w:hint="eastAsia" w:ascii="Times New Roman" w:hAnsi="Times New Roman" w:eastAsia="方正仿宋_GBK" w:cs="方正仿宋_GBK"/>
          <w:sz w:val="32"/>
          <w:szCs w:val="32"/>
        </w:rPr>
        <w:t>公共文化服务的针对性、有效性不够，文化设施设备利用率低。乡村两级文化活动群众参与度不高，一些地方存在场地闲置、挪用现象。历史、考古等专业文化服务人才匮乏。</w:t>
      </w:r>
    </w:p>
    <w:p>
      <w:pPr>
        <w:adjustRightInd w:val="0"/>
        <w:snapToGrid w:val="0"/>
        <w:spacing w:line="578" w:lineRule="exact"/>
        <w:ind w:firstLine="602" w:firstLineChars="200"/>
        <w:outlineLvl w:val="3"/>
        <w:rPr>
          <w:rFonts w:ascii="Times New Roman" w:hAnsi="Times New Roman" w:eastAsia="方正仿宋_GBK" w:cs="Times New Roman"/>
          <w:sz w:val="32"/>
          <w:szCs w:val="32"/>
        </w:rPr>
      </w:pPr>
      <w:r>
        <w:rPr>
          <w:rFonts w:hint="eastAsia" w:ascii="Times New Roman" w:hAnsi="Times New Roman" w:eastAsia="方正仿宋_GBK" w:cs="方正仿宋_GBK"/>
          <w:b/>
          <w:bCs/>
          <w:sz w:val="30"/>
          <w:szCs w:val="30"/>
        </w:rPr>
        <w:t>文旅融合发展水平有待提高。</w:t>
      </w:r>
      <w:r>
        <w:rPr>
          <w:rFonts w:hint="eastAsia" w:ascii="Times New Roman" w:hAnsi="Times New Roman" w:eastAsia="方正仿宋_GBK" w:cs="方正仿宋_GBK"/>
          <w:sz w:val="32"/>
          <w:szCs w:val="32"/>
        </w:rPr>
        <w:t>旅游经济指标在全省全市排名靠后。缺乏龙头、骨干文化体育和旅游企业，大多景区经营比较单一，业态不丰富，缺乏高品质旅游景区，尚未有旅游度假区、乡村运动休闲、生态旅游示范区品牌。利用大数据发展智慧旅游尚需加强。</w:t>
      </w:r>
    </w:p>
    <w:p>
      <w:pPr>
        <w:adjustRightInd w:val="0"/>
        <w:snapToGrid w:val="0"/>
        <w:spacing w:line="578" w:lineRule="exact"/>
        <w:ind w:firstLine="643" w:firstLineChars="200"/>
        <w:outlineLvl w:val="3"/>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文体产业发展有待提速增值。</w:t>
      </w:r>
      <w:r>
        <w:rPr>
          <w:rFonts w:hint="eastAsia" w:ascii="Times New Roman" w:hAnsi="Times New Roman" w:eastAsia="方正仿宋_GBK" w:cs="方正仿宋_GBK"/>
          <w:sz w:val="32"/>
          <w:szCs w:val="32"/>
        </w:rPr>
        <w:t>文化资源开发利用不够，文化创客较少，文创产品单一，缺乏文化创意企业，尚无文化产业示范园区（基地），中高端文化品牌少。文化产业链延伸度较短，科技含量不高，溢出效应不明显。体育产业总量较小、层次较低，体育服务业发展水平不高。高水平运动员和教练员欠缺，优势项目、基础项目后备人才储备不足，全民健身氛围不够浓厚，经常参加体育锻炼人数和次数不够，体育事业发展信息化、智慧化水平不高。文体旅融合发展尚待加强。</w:t>
      </w:r>
    </w:p>
    <w:p>
      <w:pPr>
        <w:adjustRightInd w:val="0"/>
        <w:snapToGrid w:val="0"/>
        <w:spacing w:line="578" w:lineRule="exact"/>
        <w:ind w:firstLine="640" w:firstLineChars="200"/>
        <w:outlineLvl w:val="2"/>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二、面临的机遇</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我国社会主义现代化建设开启新征程，文化成为建设现代化强国的思想引领、智力支持和内生动力。新一轮科技革命和产业变革深入推进，对文化体育和旅游发展提出了新要求，文化体育和旅游发展呈现从</w:t>
      </w:r>
      <w:r>
        <w:rPr>
          <w:rFonts w:hint="eastAsia" w:ascii="宋体" w:hAnsi="宋体" w:eastAsia="宋体" w:cs="宋体"/>
          <w:sz w:val="32"/>
          <w:szCs w:val="32"/>
        </w:rPr>
        <w:t>“</w:t>
      </w:r>
      <w:r>
        <w:rPr>
          <w:rFonts w:hint="eastAsia" w:ascii="Times New Roman" w:hAnsi="Times New Roman" w:eastAsia="方正仿宋_GBK" w:cs="方正仿宋_GBK"/>
          <w:sz w:val="32"/>
          <w:szCs w:val="32"/>
        </w:rPr>
        <w:t>有没有、缺不缺</w:t>
      </w:r>
      <w:r>
        <w:rPr>
          <w:rFonts w:hint="eastAsia" w:ascii="宋体" w:hAnsi="宋体" w:eastAsia="宋体" w:cs="宋体"/>
          <w:sz w:val="32"/>
          <w:szCs w:val="32"/>
        </w:rPr>
        <w:t>”</w:t>
      </w:r>
      <w:r>
        <w:rPr>
          <w:rFonts w:hint="eastAsia" w:ascii="Times New Roman" w:hAnsi="Times New Roman" w:eastAsia="方正仿宋_GBK" w:cs="方正仿宋_GBK"/>
          <w:sz w:val="32"/>
          <w:szCs w:val="32"/>
        </w:rPr>
        <w:t>到</w:t>
      </w:r>
      <w:r>
        <w:rPr>
          <w:rFonts w:hint="eastAsia" w:ascii="宋体" w:hAnsi="宋体" w:eastAsia="宋体" w:cs="宋体"/>
          <w:sz w:val="32"/>
          <w:szCs w:val="32"/>
        </w:rPr>
        <w:t>“</w:t>
      </w:r>
      <w:r>
        <w:rPr>
          <w:rFonts w:hint="eastAsia" w:ascii="Times New Roman" w:hAnsi="Times New Roman" w:eastAsia="方正仿宋_GBK" w:cs="方正仿宋_GBK"/>
          <w:sz w:val="32"/>
          <w:szCs w:val="32"/>
        </w:rPr>
        <w:t>好不好、精不精、美不美、强不强</w:t>
      </w:r>
      <w:r>
        <w:rPr>
          <w:rFonts w:hint="eastAsia" w:ascii="宋体" w:hAnsi="宋体" w:eastAsia="宋体" w:cs="宋体"/>
          <w:sz w:val="32"/>
          <w:szCs w:val="32"/>
        </w:rPr>
        <w:t>”</w:t>
      </w:r>
      <w:r>
        <w:rPr>
          <w:rFonts w:hint="eastAsia" w:ascii="Times New Roman" w:hAnsi="Times New Roman" w:eastAsia="方正仿宋_GBK" w:cs="方正仿宋_GBK"/>
          <w:sz w:val="32"/>
          <w:szCs w:val="32"/>
        </w:rPr>
        <w:t>的新走势。通过质量变革、效率变革、动力变革推动高质量发展将是</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期间文化体育和旅游发展的根本途径。</w:t>
      </w:r>
    </w:p>
    <w:p>
      <w:pPr>
        <w:pStyle w:val="9"/>
        <w:spacing w:line="578" w:lineRule="exact"/>
        <w:ind w:left="840" w:firstLine="640"/>
        <w:outlineLvl w:val="3"/>
        <w:rPr>
          <w:rFonts w:ascii="方正楷体_GBK" w:hAnsi="Times New Roman" w:eastAsia="方正楷体_GBK" w:cs="Times New Roman"/>
          <w:lang w:eastAsia="zh-CN"/>
        </w:rPr>
      </w:pPr>
      <w:r>
        <w:rPr>
          <w:rFonts w:hint="eastAsia" w:ascii="方正楷体_GBK" w:hAnsi="Times New Roman" w:eastAsia="方正楷体_GBK" w:cs="方正楷体_GBK"/>
          <w:lang w:eastAsia="zh-CN"/>
        </w:rPr>
        <w:t>（一）文化体育和旅游政策强扶持。</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《十九大报告》：</w:t>
      </w:r>
      <w:r>
        <w:rPr>
          <w:rFonts w:hint="eastAsia" w:ascii="Times New Roman" w:hAnsi="Times New Roman" w:eastAsia="方正仿宋_GBK" w:cs="方正仿宋_GBK"/>
          <w:lang w:eastAsia="zh-CN"/>
        </w:rPr>
        <w:t>文化是一个国家、一个民族的灵魂。文化兴国运兴，文化强民族强。没有高度的文化自信，没有文化的繁荣兴盛，就没有中华民族伟大复兴。要坚持中国特色社会主义文化发展道路，激发全民族文化创新创造活力，建设社会主义文化强国；</w:t>
      </w:r>
    </w:p>
    <w:p>
      <w:pPr>
        <w:pStyle w:val="9"/>
        <w:spacing w:line="578" w:lineRule="exact"/>
        <w:ind w:left="840" w:firstLine="640"/>
        <w:rPr>
          <w:rFonts w:ascii="Times New Roman" w:hAnsi="Times New Roman" w:eastAsia="方正仿宋_GBK" w:cs="Times New Roman"/>
          <w:lang w:eastAsia="zh-CN"/>
        </w:rPr>
      </w:pPr>
      <w:r>
        <w:rPr>
          <w:rFonts w:hint="eastAsia" w:ascii="Times New Roman" w:hAnsi="Times New Roman" w:eastAsia="方正仿宋_GBK" w:cs="方正仿宋_GBK"/>
          <w:lang w:eastAsia="zh-CN"/>
        </w:rPr>
        <w:t>推动文化事业和文化产业发展。满足人民过上美好生活的新期待，必须提供丰富的精神食粮。要深化文化体制改革，完善文化管理体制，加快构建把社会效益放在首位、社会效益和经济效益相统一的体制机制。完善公共文化服务体系，深入实施文化惠民工程，丰富群众性文化活动。加强文物保护利用和文化遗产保护传承。健全现代文化产业体系和市场体系，创新生产经营机制，完善文化经济政策，培育新型文化业态。广泛开展全民健身活动，加快推进体育强国建设，筹办好北京冬奥会、冬残奥会。</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十四五</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文化和旅游发展规划》：</w:t>
      </w:r>
      <w:r>
        <w:rPr>
          <w:rFonts w:hint="eastAsia" w:ascii="Times New Roman" w:hAnsi="Times New Roman" w:eastAsia="方正仿宋_GBK" w:cs="方正仿宋_GBK"/>
          <w:lang w:eastAsia="zh-CN"/>
        </w:rPr>
        <w:t>明确文旅在国家形象、对外交往、增进合作方面的重要作用，在坚持正确方向、以人民为中心、创新驱动、深化改革开放、融合发展的原则下，全面推进</w:t>
      </w:r>
      <w:r>
        <w:rPr>
          <w:rFonts w:hint="eastAsia" w:ascii="宋体" w:hAnsi="宋体" w:eastAsia="宋体" w:cs="宋体"/>
          <w:lang w:eastAsia="zh-CN"/>
        </w:rPr>
        <w:t>“</w:t>
      </w:r>
      <w:r>
        <w:rPr>
          <w:rFonts w:hint="eastAsia" w:ascii="Times New Roman" w:hAnsi="Times New Roman" w:eastAsia="方正仿宋_GBK" w:cs="方正仿宋_GBK"/>
          <w:lang w:eastAsia="zh-CN"/>
        </w:rPr>
        <w:t>一个工程、七大体系</w:t>
      </w:r>
      <w:r>
        <w:rPr>
          <w:rFonts w:hint="eastAsia" w:ascii="宋体" w:hAnsi="宋体" w:eastAsia="宋体" w:cs="宋体"/>
          <w:lang w:eastAsia="zh-CN"/>
        </w:rPr>
        <w:t>”</w:t>
      </w:r>
      <w:r>
        <w:rPr>
          <w:rFonts w:hint="eastAsia" w:ascii="Times New Roman" w:hAnsi="Times New Roman" w:eastAsia="方正仿宋_GBK" w:cs="方正仿宋_GBK"/>
          <w:lang w:eastAsia="zh-CN"/>
        </w:rPr>
        <w:t>，使文旅业成为经济发展和综合国力竞争的强大动力和重要支撑。</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十四五</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体育发展规划》：</w:t>
      </w:r>
      <w:r>
        <w:rPr>
          <w:rFonts w:hint="eastAsia" w:ascii="Times New Roman" w:hAnsi="Times New Roman" w:eastAsia="方正仿宋_GBK" w:cs="方正仿宋_GBK"/>
          <w:lang w:eastAsia="zh-CN"/>
        </w:rPr>
        <w:t>党的十九届五中全会确定</w:t>
      </w:r>
      <w:r>
        <w:rPr>
          <w:rFonts w:ascii="Times New Roman" w:hAnsi="Times New Roman" w:eastAsia="方正仿宋_GBK" w:cs="Times New Roman"/>
          <w:lang w:eastAsia="zh-CN"/>
        </w:rPr>
        <w:t>2035</w:t>
      </w:r>
      <w:r>
        <w:rPr>
          <w:rFonts w:hint="eastAsia" w:ascii="Times New Roman" w:hAnsi="Times New Roman" w:eastAsia="方正仿宋_GBK" w:cs="方正仿宋_GBK"/>
          <w:lang w:eastAsia="zh-CN"/>
        </w:rPr>
        <w:t>年建成体育强国的远景目标鼓舞人心，体育在迈向全面建成社会主义现代化强国新征程中的地位更加凸显。构建以国内大循环为主体、国内国际双循环相互促进的新发展格局以及对高质量发展和高品质生活的追求，将为体育事业提供更有利的发展环境；全面建设文化强国、教育强国、人才强国、体育强国和健康中国，将为体育发展提供更有力的政策支持；创新驱动战略引领的科技革命，</w:t>
      </w:r>
      <w:r>
        <w:rPr>
          <w:rFonts w:ascii="Times New Roman" w:hAnsi="Times New Roman" w:eastAsia="方正仿宋_GBK" w:cs="Times New Roman"/>
          <w:lang w:eastAsia="zh-CN"/>
        </w:rPr>
        <w:t xml:space="preserve"> </w:t>
      </w:r>
      <w:r>
        <w:rPr>
          <w:rFonts w:hint="eastAsia" w:ascii="Times New Roman" w:hAnsi="Times New Roman" w:eastAsia="方正仿宋_GBK" w:cs="方正仿宋_GBK"/>
          <w:lang w:eastAsia="zh-CN"/>
        </w:rPr>
        <w:t>将为体育发展提供更强大的科技支撑；新的生活理念、教育观念、消费模式、技术应用、传播方式以及乡村振兴、新型城镇化战略的实施，将为体育事业拓展更广阔的发展空间。</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《四川省</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十四五</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文化和旅游发展规划》：</w:t>
      </w:r>
      <w:r>
        <w:rPr>
          <w:rFonts w:hint="eastAsia" w:ascii="Times New Roman" w:hAnsi="Times New Roman" w:eastAsia="方正仿宋_GBK" w:cs="方正仿宋_GBK"/>
          <w:lang w:eastAsia="zh-CN"/>
        </w:rPr>
        <w:t>坚定文化自信，增强文化自觉，立足新发展阶段，贯彻新发展理念，构建新发展格局，深入实施</w:t>
      </w:r>
      <w:r>
        <w:rPr>
          <w:rFonts w:hint="eastAsia" w:ascii="宋体" w:hAnsi="宋体" w:eastAsia="宋体" w:cs="宋体"/>
          <w:lang w:eastAsia="zh-CN"/>
        </w:rPr>
        <w:t>“</w:t>
      </w:r>
      <w:r>
        <w:rPr>
          <w:rFonts w:hint="eastAsia" w:ascii="Times New Roman" w:hAnsi="Times New Roman" w:eastAsia="方正仿宋_GBK" w:cs="方正仿宋_GBK"/>
          <w:lang w:eastAsia="zh-CN"/>
        </w:rPr>
        <w:t>一干多支、五区协同</w:t>
      </w:r>
      <w:r>
        <w:rPr>
          <w:rFonts w:hint="eastAsia" w:ascii="宋体" w:hAnsi="宋体" w:eastAsia="宋体" w:cs="宋体"/>
          <w:lang w:eastAsia="zh-CN"/>
        </w:rPr>
        <w:t>”“</w:t>
      </w:r>
      <w:r>
        <w:rPr>
          <w:rFonts w:hint="eastAsia" w:ascii="Times New Roman" w:hAnsi="Times New Roman" w:eastAsia="方正仿宋_GBK" w:cs="方正仿宋_GBK"/>
          <w:lang w:eastAsia="zh-CN"/>
        </w:rPr>
        <w:t>四向拓展、全域开放</w:t>
      </w:r>
      <w:r>
        <w:rPr>
          <w:rFonts w:hint="eastAsia" w:ascii="宋体" w:hAnsi="宋体" w:eastAsia="宋体" w:cs="宋体"/>
          <w:lang w:eastAsia="zh-CN"/>
        </w:rPr>
        <w:t>”</w:t>
      </w:r>
      <w:r>
        <w:rPr>
          <w:rFonts w:hint="eastAsia" w:ascii="Times New Roman" w:hAnsi="Times New Roman" w:eastAsia="方正仿宋_GBK" w:cs="方正仿宋_GBK"/>
          <w:lang w:eastAsia="zh-CN"/>
        </w:rPr>
        <w:t>战略部署，以供给侧结构性改革为主线，以推动文化和旅游高质量发展为主题，以改革创新为根本动力，以满足人民日益增长的美好生活需要为根本目的，深入推进全链条转型升级，有效扩大优质产品供给，提升公共服务水平，加快建设巴蜀文化旅游走廊，将文化和旅游业培育成为高质量发展的支柱产业，大力推进文化和旅游业质量变革、效率变革、动力变革，为全面建设社会主义现代化四川作出新的更大贡献。</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《四川省体育发展</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十四五</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规划》：</w:t>
      </w:r>
      <w:r>
        <w:rPr>
          <w:rFonts w:hint="eastAsia" w:ascii="Times New Roman" w:hAnsi="Times New Roman" w:eastAsia="方正仿宋_GBK" w:cs="方正仿宋_GBK"/>
          <w:lang w:eastAsia="zh-CN"/>
        </w:rPr>
        <w:t>大力实施体育场地补短板工程，构建覆盖城乡、普惠均衡的全民健身公共服务体系，经常参加体育锻炼人数比例、人均体育场地面积、城乡居民达到《国民体质测定标准》合格以上的人数比例达到更高水平，健身设施广泛普及，健身环境更加舒适，人民体质显著增强。青少年体育服务体系、身体素养、运动技能、健康水平普遍提升，巩固</w:t>
      </w:r>
      <w:r>
        <w:rPr>
          <w:rFonts w:hint="eastAsia" w:ascii="宋体" w:hAnsi="宋体" w:eastAsia="宋体" w:cs="宋体"/>
          <w:lang w:eastAsia="zh-CN"/>
        </w:rPr>
        <w:t>“</w:t>
      </w:r>
      <w:r>
        <w:rPr>
          <w:rFonts w:hint="eastAsia" w:ascii="Times New Roman" w:hAnsi="Times New Roman" w:eastAsia="方正仿宋_GBK" w:cs="方正仿宋_GBK"/>
          <w:lang w:eastAsia="zh-CN"/>
        </w:rPr>
        <w:t>三大阵地</w:t>
      </w:r>
      <w:r>
        <w:rPr>
          <w:rFonts w:hint="eastAsia" w:ascii="宋体" w:hAnsi="宋体" w:eastAsia="宋体" w:cs="宋体"/>
          <w:lang w:eastAsia="zh-CN"/>
        </w:rPr>
        <w:t>”</w:t>
      </w:r>
      <w:r>
        <w:rPr>
          <w:rFonts w:hint="eastAsia" w:ascii="Times New Roman" w:hAnsi="Times New Roman" w:eastAsia="方正仿宋_GBK" w:cs="方正仿宋_GBK"/>
          <w:lang w:eastAsia="zh-CN"/>
        </w:rPr>
        <w:t>，构建</w:t>
      </w:r>
      <w:r>
        <w:rPr>
          <w:rFonts w:hint="eastAsia" w:ascii="宋体" w:hAnsi="宋体" w:eastAsia="宋体" w:cs="宋体"/>
          <w:lang w:eastAsia="zh-CN"/>
        </w:rPr>
        <w:t>“</w:t>
      </w:r>
      <w:r>
        <w:rPr>
          <w:rFonts w:hint="eastAsia" w:ascii="Times New Roman" w:hAnsi="Times New Roman" w:eastAsia="方正仿宋_GBK" w:cs="方正仿宋_GBK"/>
          <w:lang w:eastAsia="zh-CN"/>
        </w:rPr>
        <w:t>三大体系</w:t>
      </w:r>
      <w:r>
        <w:rPr>
          <w:rFonts w:hint="eastAsia" w:ascii="宋体" w:hAnsi="宋体" w:eastAsia="宋体" w:cs="宋体"/>
          <w:lang w:eastAsia="zh-CN"/>
        </w:rPr>
        <w:t>”</w:t>
      </w:r>
      <w:r>
        <w:rPr>
          <w:rFonts w:hint="eastAsia" w:ascii="Times New Roman" w:hAnsi="Times New Roman" w:eastAsia="方正仿宋_GBK" w:cs="方正仿宋_GBK"/>
          <w:lang w:eastAsia="zh-CN"/>
        </w:rPr>
        <w:t>，竞技体育后备人才队伍不断壮大。建成布局合理、功能完善、门类齐全的现代体育产业体系。</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《达州市</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十四五</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文化体育旅游和广播电视发展规划（</w:t>
      </w:r>
      <w:r>
        <w:rPr>
          <w:rFonts w:ascii="Times New Roman" w:hAnsi="Times New Roman" w:eastAsia="方正仿宋_GBK" w:cs="Times New Roman"/>
          <w:b/>
          <w:bCs/>
          <w:lang w:eastAsia="zh-CN"/>
        </w:rPr>
        <w:t>2021—2025</w:t>
      </w:r>
      <w:r>
        <w:rPr>
          <w:rFonts w:hint="eastAsia" w:ascii="Times New Roman" w:hAnsi="Times New Roman" w:eastAsia="方正仿宋_GBK" w:cs="方正仿宋_GBK"/>
          <w:b/>
          <w:bCs/>
          <w:lang w:eastAsia="zh-CN"/>
        </w:rPr>
        <w:t>年）》：</w:t>
      </w:r>
      <w:r>
        <w:rPr>
          <w:rFonts w:hint="eastAsia" w:ascii="宋体" w:hAnsi="宋体" w:eastAsia="宋体" w:cs="宋体"/>
          <w:lang w:eastAsia="zh-CN"/>
        </w:rPr>
        <w:t>“</w:t>
      </w:r>
      <w:r>
        <w:rPr>
          <w:rFonts w:hint="eastAsia" w:ascii="Times New Roman" w:hAnsi="Times New Roman" w:eastAsia="方正仿宋_GBK" w:cs="方正仿宋_GBK"/>
          <w:lang w:eastAsia="zh-CN"/>
        </w:rPr>
        <w:t>十四五</w:t>
      </w:r>
      <w:r>
        <w:rPr>
          <w:rFonts w:hint="eastAsia" w:ascii="宋体" w:hAnsi="宋体" w:eastAsia="宋体" w:cs="宋体"/>
          <w:lang w:eastAsia="zh-CN"/>
        </w:rPr>
        <w:t>”</w:t>
      </w:r>
      <w:r>
        <w:rPr>
          <w:rFonts w:hint="eastAsia" w:ascii="Times New Roman" w:hAnsi="Times New Roman" w:eastAsia="方正仿宋_GBK" w:cs="方正仿宋_GBK"/>
          <w:lang w:eastAsia="zh-CN"/>
        </w:rPr>
        <w:t>时期，根据四川文化强省旅游强省发展规划和达州市委的战略部署，围绕把达州建设成为</w:t>
      </w:r>
      <w:r>
        <w:rPr>
          <w:rFonts w:hint="eastAsia" w:ascii="宋体" w:hAnsi="宋体" w:eastAsia="宋体" w:cs="宋体"/>
          <w:lang w:eastAsia="zh-CN"/>
        </w:rPr>
        <w:t>“</w:t>
      </w:r>
      <w:r>
        <w:rPr>
          <w:rFonts w:hint="eastAsia" w:ascii="Times New Roman" w:hAnsi="Times New Roman" w:eastAsia="方正仿宋_GBK" w:cs="方正仿宋_GBK"/>
          <w:lang w:eastAsia="zh-CN"/>
        </w:rPr>
        <w:t>巴文化传承创新和旅游发展高地</w:t>
      </w:r>
      <w:r>
        <w:rPr>
          <w:rFonts w:hint="eastAsia" w:ascii="宋体" w:hAnsi="宋体" w:eastAsia="宋体" w:cs="宋体"/>
          <w:lang w:eastAsia="zh-CN"/>
        </w:rPr>
        <w:t>”</w:t>
      </w:r>
      <w:r>
        <w:rPr>
          <w:rFonts w:hint="eastAsia" w:ascii="Times New Roman" w:hAnsi="Times New Roman" w:eastAsia="方正仿宋_GBK" w:cs="方正仿宋_GBK"/>
          <w:lang w:eastAsia="zh-CN"/>
        </w:rPr>
        <w:t>这一总体定位，努力建设</w:t>
      </w:r>
      <w:r>
        <w:rPr>
          <w:rFonts w:hint="eastAsia" w:ascii="宋体" w:hAnsi="宋体" w:eastAsia="宋体" w:cs="宋体"/>
          <w:lang w:eastAsia="zh-CN"/>
        </w:rPr>
        <w:t>“</w:t>
      </w:r>
      <w:r>
        <w:rPr>
          <w:rFonts w:hint="eastAsia" w:ascii="Times New Roman" w:hAnsi="Times New Roman" w:eastAsia="方正仿宋_GBK" w:cs="方正仿宋_GBK"/>
          <w:lang w:eastAsia="zh-CN"/>
        </w:rPr>
        <w:t>三地两区</w:t>
      </w:r>
      <w:r>
        <w:rPr>
          <w:rFonts w:hint="eastAsia" w:ascii="宋体" w:hAnsi="宋体" w:eastAsia="宋体" w:cs="宋体"/>
          <w:lang w:eastAsia="zh-CN"/>
        </w:rPr>
        <w:t>”</w:t>
      </w:r>
      <w:r>
        <w:rPr>
          <w:rFonts w:hint="eastAsia" w:ascii="Times New Roman" w:hAnsi="Times New Roman" w:eastAsia="方正仿宋_GBK" w:cs="方正仿宋_GBK"/>
          <w:lang w:eastAsia="zh-CN"/>
        </w:rPr>
        <w:t>，加快建成文化强市旅游强市，提升我市在全国全省文化旅游发展布局中的战略位势。</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《成渝地区双城经济圈建设规划纲要》：</w:t>
      </w:r>
      <w:r>
        <w:rPr>
          <w:rFonts w:hint="eastAsia" w:ascii="Times New Roman" w:hAnsi="Times New Roman" w:eastAsia="方正仿宋_GBK" w:cs="方正仿宋_GBK"/>
          <w:lang w:eastAsia="zh-CN"/>
        </w:rPr>
        <w:t>党中央、国务院高度重视成渝地区发展。</w:t>
      </w:r>
      <w:r>
        <w:rPr>
          <w:rFonts w:ascii="Times New Roman" w:hAnsi="Times New Roman" w:eastAsia="方正仿宋_GBK" w:cs="Times New Roman"/>
          <w:lang w:eastAsia="zh-CN"/>
        </w:rPr>
        <w:t>2020</w:t>
      </w:r>
      <w:r>
        <w:rPr>
          <w:rFonts w:hint="eastAsia" w:ascii="Times New Roman" w:hAnsi="Times New Roman" w:eastAsia="方正仿宋_GBK" w:cs="方正仿宋_GBK"/>
          <w:lang w:eastAsia="zh-CN"/>
        </w:rPr>
        <w:t>年</w:t>
      </w:r>
      <w:r>
        <w:rPr>
          <w:rFonts w:ascii="Times New Roman" w:hAnsi="Times New Roman" w:eastAsia="方正仿宋_GBK" w:cs="Times New Roman"/>
          <w:lang w:eastAsia="zh-CN"/>
        </w:rPr>
        <w:t>1</w:t>
      </w:r>
      <w:r>
        <w:rPr>
          <w:rFonts w:hint="eastAsia" w:ascii="Times New Roman" w:hAnsi="Times New Roman" w:eastAsia="方正仿宋_GBK" w:cs="方正仿宋_GBK"/>
          <w:lang w:eastAsia="zh-CN"/>
        </w:rPr>
        <w:t>月</w:t>
      </w:r>
      <w:r>
        <w:rPr>
          <w:rFonts w:ascii="Times New Roman" w:hAnsi="Times New Roman" w:eastAsia="方正仿宋_GBK" w:cs="Times New Roman"/>
          <w:lang w:eastAsia="zh-CN"/>
        </w:rPr>
        <w:t>3</w:t>
      </w:r>
      <w:r>
        <w:rPr>
          <w:rFonts w:hint="eastAsia" w:ascii="Times New Roman" w:hAnsi="Times New Roman" w:eastAsia="方正仿宋_GBK" w:cs="方正仿宋_GBK"/>
          <w:lang w:eastAsia="zh-CN"/>
        </w:rPr>
        <w:t>日，习近平总书记主持召开中央财经委员会第六次会议，作出推动成渝地区双城经济圈建设、打造高质量发展重要增长极的重大决策部署，为未来一段时期成渝地区发展提供了根本遵循和重要指引。加强顶层设计和统筹协调，加快推动成渝地区形成有实力、有特色的双城经济圈，为达川未来发展带来了历史性的大机遇。</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区域协同战略为达川文化和旅游发展打开新空间：</w:t>
      </w:r>
      <w:r>
        <w:rPr>
          <w:rFonts w:hint="eastAsia" w:ascii="Times New Roman" w:hAnsi="Times New Roman" w:eastAsia="方正仿宋_GBK" w:cs="方正仿宋_GBK"/>
          <w:lang w:eastAsia="zh-CN"/>
        </w:rPr>
        <w:t>省委十一届三次全会围绕全面推动四川高质量发展，提出实施</w:t>
      </w:r>
      <w:r>
        <w:rPr>
          <w:rFonts w:hint="eastAsia" w:ascii="宋体" w:hAnsi="宋体" w:eastAsia="宋体" w:cs="宋体"/>
          <w:lang w:eastAsia="zh-CN"/>
        </w:rPr>
        <w:t>“</w:t>
      </w:r>
      <w:r>
        <w:rPr>
          <w:rFonts w:hint="eastAsia" w:ascii="Times New Roman" w:hAnsi="Times New Roman" w:eastAsia="方正仿宋_GBK" w:cs="方正仿宋_GBK"/>
          <w:lang w:eastAsia="zh-CN"/>
        </w:rPr>
        <w:t>一干多支、五区协同；四向拓展、全域开放</w:t>
      </w:r>
      <w:r>
        <w:rPr>
          <w:rFonts w:hint="eastAsia" w:ascii="宋体" w:hAnsi="宋体" w:eastAsia="宋体" w:cs="宋体"/>
          <w:lang w:eastAsia="zh-CN"/>
        </w:rPr>
        <w:t>”</w:t>
      </w:r>
      <w:r>
        <w:rPr>
          <w:rFonts w:hint="eastAsia" w:ascii="Times New Roman" w:hAnsi="Times New Roman" w:eastAsia="方正仿宋_GBK" w:cs="方正仿宋_GBK"/>
          <w:lang w:eastAsia="zh-CN"/>
        </w:rPr>
        <w:t>发展战略，正式确定达州为全省</w:t>
      </w:r>
      <w:r>
        <w:rPr>
          <w:rFonts w:ascii="Times New Roman" w:hAnsi="Times New Roman" w:eastAsia="方正仿宋_GBK" w:cs="Times New Roman"/>
          <w:lang w:eastAsia="zh-CN"/>
        </w:rPr>
        <w:t>7</w:t>
      </w:r>
      <w:r>
        <w:rPr>
          <w:rFonts w:hint="eastAsia" w:ascii="Times New Roman" w:hAnsi="Times New Roman" w:eastAsia="方正仿宋_GBK" w:cs="方正仿宋_GBK"/>
          <w:lang w:eastAsia="zh-CN"/>
        </w:rPr>
        <w:t>个区域中心城市之一。</w:t>
      </w:r>
      <w:r>
        <w:rPr>
          <w:rFonts w:hint="eastAsia" w:ascii="宋体" w:hAnsi="宋体" w:eastAsia="宋体" w:cs="宋体"/>
          <w:lang w:eastAsia="zh-CN"/>
        </w:rPr>
        <w:t>“</w:t>
      </w:r>
      <w:r>
        <w:rPr>
          <w:rFonts w:hint="eastAsia" w:ascii="Times New Roman" w:hAnsi="Times New Roman" w:eastAsia="方正仿宋_GBK" w:cs="方正仿宋_GBK"/>
          <w:lang w:eastAsia="zh-CN"/>
        </w:rPr>
        <w:t>十四五</w:t>
      </w:r>
      <w:r>
        <w:rPr>
          <w:rFonts w:hint="eastAsia" w:ascii="宋体" w:hAnsi="宋体" w:eastAsia="宋体" w:cs="宋体"/>
          <w:lang w:eastAsia="zh-CN"/>
        </w:rPr>
        <w:t>”</w:t>
      </w:r>
      <w:r>
        <w:rPr>
          <w:rFonts w:hint="eastAsia" w:ascii="Times New Roman" w:hAnsi="Times New Roman" w:eastAsia="方正仿宋_GBK" w:cs="方正仿宋_GBK"/>
          <w:lang w:eastAsia="zh-CN"/>
        </w:rPr>
        <w:t>时期加快构建以国内大循环为主体、国内国际双循环相互促进的新发展格局，推进国家治理体系和治理能力现代化，实施成渝地区双城经济圈的国家战略和巴蜀文化旅游走廊的协同推进，为达川文化建设和文旅融合发展打开了广阔的发展空间，出现前所未有的发展契机。</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西部大开发战略：</w:t>
      </w:r>
      <w:r>
        <w:rPr>
          <w:rFonts w:ascii="Times New Roman" w:hAnsi="Times New Roman" w:eastAsia="方正仿宋_GBK" w:cs="Times New Roman"/>
          <w:lang w:eastAsia="zh-CN"/>
        </w:rPr>
        <w:t>2020</w:t>
      </w:r>
      <w:r>
        <w:rPr>
          <w:rFonts w:hint="eastAsia" w:ascii="Times New Roman" w:hAnsi="Times New Roman" w:eastAsia="方正仿宋_GBK" w:cs="方正仿宋_GBK"/>
          <w:lang w:eastAsia="zh-CN"/>
        </w:rPr>
        <w:t>年</w:t>
      </w:r>
      <w:r>
        <w:rPr>
          <w:rFonts w:ascii="Times New Roman" w:hAnsi="Times New Roman" w:eastAsia="方正仿宋_GBK" w:cs="Times New Roman"/>
          <w:lang w:eastAsia="zh-CN"/>
        </w:rPr>
        <w:t>5</w:t>
      </w:r>
      <w:r>
        <w:rPr>
          <w:rFonts w:hint="eastAsia" w:ascii="Times New Roman" w:hAnsi="Times New Roman" w:eastAsia="方正仿宋_GBK" w:cs="方正仿宋_GBK"/>
          <w:lang w:eastAsia="zh-CN"/>
        </w:rPr>
        <w:t>月，中共中央国务院关于新时代推进西部大开发形成新格局的指导意见，意见指出：支持重庆、四川、陕西发挥综合优势，打造内陆开放高地和开放枢纽。鼓励重庆、成都、西安等加快建设国际门户枢纽城市。</w:t>
      </w:r>
      <w:r>
        <w:rPr>
          <w:rFonts w:ascii="Times New Roman" w:hAnsi="Times New Roman" w:eastAsia="方正仿宋_GBK" w:cs="Times New Roman"/>
          <w:lang w:eastAsia="zh-CN"/>
        </w:rPr>
        <w:t>2020</w:t>
      </w:r>
      <w:r>
        <w:rPr>
          <w:rFonts w:hint="eastAsia" w:ascii="Times New Roman" w:hAnsi="Times New Roman" w:eastAsia="方正仿宋_GBK" w:cs="方正仿宋_GBK"/>
          <w:lang w:eastAsia="zh-CN"/>
        </w:rPr>
        <w:t>年</w:t>
      </w:r>
      <w:r>
        <w:rPr>
          <w:rFonts w:ascii="Times New Roman" w:hAnsi="Times New Roman" w:eastAsia="方正仿宋_GBK" w:cs="Times New Roman"/>
          <w:lang w:eastAsia="zh-CN"/>
        </w:rPr>
        <w:t>5</w:t>
      </w:r>
      <w:r>
        <w:rPr>
          <w:rFonts w:hint="eastAsia" w:ascii="Times New Roman" w:hAnsi="Times New Roman" w:eastAsia="方正仿宋_GBK" w:cs="方正仿宋_GBK"/>
          <w:lang w:eastAsia="zh-CN"/>
        </w:rPr>
        <w:t>月，关于新时代推进西部大开发形成新格局的《指导意见》提出</w:t>
      </w:r>
      <w:r>
        <w:rPr>
          <w:rFonts w:hint="eastAsia" w:ascii="宋体" w:hAnsi="宋体" w:eastAsia="宋体" w:cs="宋体"/>
          <w:lang w:eastAsia="zh-CN"/>
        </w:rPr>
        <w:t>“</w:t>
      </w:r>
      <w:r>
        <w:rPr>
          <w:rFonts w:hint="eastAsia" w:ascii="Times New Roman" w:hAnsi="Times New Roman" w:eastAsia="方正仿宋_GBK" w:cs="方正仿宋_GBK"/>
          <w:lang w:eastAsia="zh-CN"/>
        </w:rPr>
        <w:t>支持西部地区发挥生态、民族民俗、边境风光等优势，深化旅游资源开放、信息共享、行业监管、公共服务、旅游安全、标准化服务等方面国际合作，提升旅游服务水平。</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《国务院关于促进乡村产业振兴的指导意见》：</w:t>
      </w:r>
      <w:r>
        <w:rPr>
          <w:rFonts w:ascii="Times New Roman" w:hAnsi="Times New Roman" w:eastAsia="方正仿宋_GBK" w:cs="Times New Roman"/>
          <w:lang w:eastAsia="zh-CN"/>
        </w:rPr>
        <w:t>2017</w:t>
      </w:r>
      <w:r>
        <w:rPr>
          <w:rFonts w:hint="eastAsia" w:ascii="Times New Roman" w:hAnsi="Times New Roman" w:eastAsia="方正仿宋_GBK" w:cs="方正仿宋_GBK"/>
          <w:lang w:eastAsia="zh-CN"/>
        </w:rPr>
        <w:t>年</w:t>
      </w:r>
      <w:r>
        <w:rPr>
          <w:rFonts w:ascii="Times New Roman" w:hAnsi="Times New Roman" w:eastAsia="方正仿宋_GBK" w:cs="Times New Roman"/>
          <w:lang w:eastAsia="zh-CN"/>
        </w:rPr>
        <w:t>10</w:t>
      </w:r>
      <w:r>
        <w:rPr>
          <w:rFonts w:hint="eastAsia" w:ascii="Times New Roman" w:hAnsi="Times New Roman" w:eastAsia="方正仿宋_GBK" w:cs="方正仿宋_GBK"/>
          <w:lang w:eastAsia="zh-CN"/>
        </w:rPr>
        <w:t>月，十九大报告首次提出</w:t>
      </w:r>
      <w:r>
        <w:rPr>
          <w:rFonts w:hint="eastAsia" w:ascii="宋体" w:hAnsi="宋体" w:eastAsia="宋体" w:cs="宋体"/>
          <w:lang w:eastAsia="zh-CN"/>
        </w:rPr>
        <w:t>“</w:t>
      </w:r>
      <w:r>
        <w:rPr>
          <w:rFonts w:hint="eastAsia" w:ascii="Times New Roman" w:hAnsi="Times New Roman" w:eastAsia="方正仿宋_GBK" w:cs="方正仿宋_GBK"/>
          <w:lang w:eastAsia="zh-CN"/>
        </w:rPr>
        <w:t>乡村振兴</w:t>
      </w:r>
      <w:r>
        <w:rPr>
          <w:rFonts w:hint="eastAsia" w:ascii="宋体" w:hAnsi="宋体" w:eastAsia="宋体" w:cs="宋体"/>
          <w:lang w:eastAsia="zh-CN"/>
        </w:rPr>
        <w:t>”</w:t>
      </w:r>
      <w:r>
        <w:rPr>
          <w:rFonts w:hint="eastAsia" w:ascii="Times New Roman" w:hAnsi="Times New Roman" w:eastAsia="方正仿宋_GBK" w:cs="方正仿宋_GBK"/>
          <w:lang w:eastAsia="zh-CN"/>
        </w:rPr>
        <w:t>战略，并提出</w:t>
      </w:r>
      <w:r>
        <w:rPr>
          <w:rFonts w:hint="eastAsia" w:ascii="宋体" w:hAnsi="宋体" w:eastAsia="宋体" w:cs="宋体"/>
          <w:lang w:eastAsia="zh-CN"/>
        </w:rPr>
        <w:t>“</w:t>
      </w:r>
      <w:r>
        <w:rPr>
          <w:rFonts w:hint="eastAsia" w:ascii="Times New Roman" w:hAnsi="Times New Roman" w:eastAsia="方正仿宋_GBK" w:cs="方正仿宋_GBK"/>
          <w:lang w:eastAsia="zh-CN"/>
        </w:rPr>
        <w:t>产业兴旺、生态宜居、乡风文明、治理有效、生活富裕</w:t>
      </w:r>
      <w:r>
        <w:rPr>
          <w:rFonts w:hint="eastAsia" w:ascii="宋体" w:hAnsi="宋体" w:eastAsia="宋体" w:cs="宋体"/>
          <w:lang w:eastAsia="zh-CN"/>
        </w:rPr>
        <w:t>”</w:t>
      </w:r>
      <w:r>
        <w:rPr>
          <w:rFonts w:hint="eastAsia" w:ascii="Times New Roman" w:hAnsi="Times New Roman" w:eastAsia="方正仿宋_GBK" w:cs="方正仿宋_GBK"/>
          <w:lang w:eastAsia="zh-CN"/>
        </w:rPr>
        <w:t>的总要求，其中</w:t>
      </w:r>
      <w:r>
        <w:rPr>
          <w:rFonts w:hint="eastAsia" w:ascii="宋体" w:hAnsi="宋体" w:eastAsia="宋体" w:cs="宋体"/>
          <w:lang w:eastAsia="zh-CN"/>
        </w:rPr>
        <w:t>“</w:t>
      </w:r>
      <w:r>
        <w:rPr>
          <w:rFonts w:hint="eastAsia" w:ascii="Times New Roman" w:hAnsi="Times New Roman" w:eastAsia="方正仿宋_GBK" w:cs="方正仿宋_GBK"/>
          <w:lang w:eastAsia="zh-CN"/>
        </w:rPr>
        <w:t>产业兴旺</w:t>
      </w:r>
      <w:r>
        <w:rPr>
          <w:rFonts w:hint="eastAsia" w:ascii="宋体" w:hAnsi="宋体" w:eastAsia="宋体" w:cs="宋体"/>
          <w:lang w:eastAsia="zh-CN"/>
        </w:rPr>
        <w:t>”</w:t>
      </w:r>
      <w:r>
        <w:rPr>
          <w:rFonts w:hint="eastAsia" w:ascii="Times New Roman" w:hAnsi="Times New Roman" w:eastAsia="方正仿宋_GBK" w:cs="方正仿宋_GBK"/>
          <w:lang w:eastAsia="zh-CN"/>
        </w:rPr>
        <w:t>是重点。</w:t>
      </w:r>
      <w:r>
        <w:rPr>
          <w:rFonts w:ascii="Times New Roman" w:hAnsi="Times New Roman" w:eastAsia="方正仿宋_GBK" w:cs="Times New Roman"/>
          <w:lang w:eastAsia="zh-CN"/>
        </w:rPr>
        <w:t>2018</w:t>
      </w:r>
      <w:r>
        <w:rPr>
          <w:rFonts w:hint="eastAsia" w:ascii="Times New Roman" w:hAnsi="Times New Roman" w:eastAsia="方正仿宋_GBK" w:cs="方正仿宋_GBK"/>
          <w:lang w:eastAsia="zh-CN"/>
        </w:rPr>
        <w:t>年</w:t>
      </w:r>
      <w:r>
        <w:rPr>
          <w:rFonts w:ascii="Times New Roman" w:hAnsi="Times New Roman" w:eastAsia="方正仿宋_GBK" w:cs="Times New Roman"/>
          <w:lang w:eastAsia="zh-CN"/>
        </w:rPr>
        <w:t>9</w:t>
      </w:r>
      <w:r>
        <w:rPr>
          <w:rFonts w:hint="eastAsia" w:ascii="Times New Roman" w:hAnsi="Times New Roman" w:eastAsia="方正仿宋_GBK" w:cs="方正仿宋_GBK"/>
          <w:lang w:eastAsia="zh-CN"/>
        </w:rPr>
        <w:t>月，中共中央、国务院正式印发《乡村振兴战略规划（</w:t>
      </w:r>
      <w:r>
        <w:rPr>
          <w:rFonts w:ascii="Times New Roman" w:hAnsi="Times New Roman" w:eastAsia="方正仿宋_GBK" w:cs="Times New Roman"/>
          <w:lang w:eastAsia="zh-CN"/>
        </w:rPr>
        <w:t>2018</w:t>
      </w:r>
      <w:r>
        <w:rPr>
          <w:rFonts w:hint="eastAsia" w:ascii="Times New Roman" w:hAnsi="Times New Roman" w:eastAsia="方正仿宋_GBK" w:cs="方正仿宋_GBK"/>
          <w:lang w:eastAsia="zh-CN"/>
        </w:rPr>
        <w:t>－</w:t>
      </w:r>
      <w:r>
        <w:rPr>
          <w:rFonts w:ascii="Times New Roman" w:hAnsi="Times New Roman" w:eastAsia="方正仿宋_GBK" w:cs="Times New Roman"/>
          <w:lang w:eastAsia="zh-CN"/>
        </w:rPr>
        <w:t>2022</w:t>
      </w:r>
      <w:r>
        <w:rPr>
          <w:rFonts w:hint="eastAsia" w:ascii="Times New Roman" w:hAnsi="Times New Roman" w:eastAsia="方正仿宋_GBK" w:cs="方正仿宋_GBK"/>
          <w:lang w:eastAsia="zh-CN"/>
        </w:rPr>
        <w:t>年）》，明确提出</w:t>
      </w:r>
      <w:r>
        <w:rPr>
          <w:rFonts w:hint="eastAsia" w:ascii="宋体" w:hAnsi="宋体" w:eastAsia="宋体" w:cs="宋体"/>
          <w:lang w:eastAsia="zh-CN"/>
        </w:rPr>
        <w:t>“</w:t>
      </w:r>
      <w:r>
        <w:rPr>
          <w:rFonts w:hint="eastAsia" w:ascii="Times New Roman" w:hAnsi="Times New Roman" w:eastAsia="方正仿宋_GBK" w:cs="方正仿宋_GBK"/>
          <w:lang w:eastAsia="zh-CN"/>
        </w:rPr>
        <w:t>以各地资源禀赋和独特的历史文化为基础，有序开发优势特色资源，做大做强优势特色产业</w:t>
      </w:r>
      <w:r>
        <w:rPr>
          <w:rFonts w:hint="eastAsia" w:ascii="宋体" w:hAnsi="宋体" w:eastAsia="宋体" w:cs="宋体"/>
          <w:lang w:eastAsia="zh-CN"/>
        </w:rPr>
        <w:t>”</w:t>
      </w:r>
      <w:r>
        <w:rPr>
          <w:rFonts w:hint="eastAsia" w:ascii="Times New Roman" w:hAnsi="Times New Roman" w:eastAsia="方正仿宋_GBK" w:cs="方正仿宋_GBK"/>
          <w:lang w:eastAsia="zh-CN"/>
        </w:rPr>
        <w:t>。</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夜间文旅消费集聚区成为开发热点：</w:t>
      </w:r>
      <w:r>
        <w:rPr>
          <w:rFonts w:ascii="Times New Roman" w:hAnsi="Times New Roman" w:eastAsia="方正仿宋_GBK" w:cs="Times New Roman"/>
          <w:lang w:eastAsia="zh-CN"/>
        </w:rPr>
        <w:t>2019</w:t>
      </w:r>
      <w:r>
        <w:rPr>
          <w:rFonts w:hint="eastAsia" w:ascii="Times New Roman" w:hAnsi="Times New Roman" w:eastAsia="方正仿宋_GBK" w:cs="方正仿宋_GBK"/>
          <w:lang w:eastAsia="zh-CN"/>
        </w:rPr>
        <w:t>年</w:t>
      </w:r>
      <w:r>
        <w:rPr>
          <w:rFonts w:ascii="Times New Roman" w:hAnsi="Times New Roman" w:eastAsia="方正仿宋_GBK" w:cs="Times New Roman"/>
          <w:lang w:eastAsia="zh-CN"/>
        </w:rPr>
        <w:t>8</w:t>
      </w:r>
      <w:r>
        <w:rPr>
          <w:rFonts w:hint="eastAsia" w:ascii="Times New Roman" w:hAnsi="Times New Roman" w:eastAsia="方正仿宋_GBK" w:cs="方正仿宋_GBK"/>
          <w:lang w:eastAsia="zh-CN"/>
        </w:rPr>
        <w:t>月，国务院办公厅发布《关于加快发展流通促进商业消费的意见》，将</w:t>
      </w:r>
      <w:r>
        <w:rPr>
          <w:rFonts w:hint="eastAsia" w:ascii="宋体" w:hAnsi="宋体" w:eastAsia="宋体" w:cs="宋体"/>
          <w:lang w:eastAsia="zh-CN"/>
        </w:rPr>
        <w:t>“</w:t>
      </w:r>
      <w:r>
        <w:rPr>
          <w:rFonts w:hint="eastAsia" w:ascii="Times New Roman" w:hAnsi="Times New Roman" w:eastAsia="方正仿宋_GBK" w:cs="方正仿宋_GBK"/>
          <w:lang w:eastAsia="zh-CN"/>
        </w:rPr>
        <w:t>夜经济</w:t>
      </w:r>
      <w:r>
        <w:rPr>
          <w:rFonts w:hint="eastAsia" w:ascii="宋体" w:hAnsi="宋体" w:eastAsia="宋体" w:cs="宋体"/>
          <w:lang w:eastAsia="zh-CN"/>
        </w:rPr>
        <w:t>”</w:t>
      </w:r>
      <w:r>
        <w:rPr>
          <w:rFonts w:hint="eastAsia" w:ascii="Times New Roman" w:hAnsi="Times New Roman" w:eastAsia="方正仿宋_GBK" w:cs="方正仿宋_GBK"/>
          <w:lang w:eastAsia="zh-CN"/>
        </w:rPr>
        <w:t>列为从国家层面促进消费的二十条意见之一。随后，各地陆续推出配套政策，我国夜间经济迎来一波发展红利。</w:t>
      </w:r>
      <w:r>
        <w:rPr>
          <w:rFonts w:ascii="Times New Roman" w:hAnsi="Times New Roman" w:eastAsia="方正仿宋_GBK" w:cs="Times New Roman"/>
          <w:lang w:eastAsia="zh-CN"/>
        </w:rPr>
        <w:t>2019</w:t>
      </w:r>
      <w:r>
        <w:rPr>
          <w:rFonts w:hint="eastAsia" w:ascii="Times New Roman" w:hAnsi="Times New Roman" w:eastAsia="方正仿宋_GBK" w:cs="方正仿宋_GBK"/>
          <w:lang w:eastAsia="zh-CN"/>
        </w:rPr>
        <w:t>年</w:t>
      </w:r>
      <w:r>
        <w:rPr>
          <w:rFonts w:ascii="Times New Roman" w:hAnsi="Times New Roman" w:eastAsia="方正仿宋_GBK" w:cs="Times New Roman"/>
          <w:lang w:eastAsia="zh-CN"/>
        </w:rPr>
        <w:t>11</w:t>
      </w:r>
      <w:r>
        <w:rPr>
          <w:rFonts w:hint="eastAsia" w:ascii="Times New Roman" w:hAnsi="Times New Roman" w:eastAsia="方正仿宋_GBK" w:cs="方正仿宋_GBK"/>
          <w:lang w:eastAsia="zh-CN"/>
        </w:rPr>
        <w:t>月，国务院办公厅发布《关于进一步激发文化和旅游消费潜力的意见》，《意见》指出，要大力发展夜间文旅经济，并明确提出</w:t>
      </w:r>
      <w:r>
        <w:rPr>
          <w:rFonts w:hint="eastAsia" w:ascii="宋体" w:hAnsi="宋体" w:eastAsia="宋体" w:cs="宋体"/>
          <w:lang w:eastAsia="zh-CN"/>
        </w:rPr>
        <w:t>“</w:t>
      </w:r>
      <w:r>
        <w:rPr>
          <w:rFonts w:hint="eastAsia" w:ascii="Times New Roman" w:hAnsi="Times New Roman" w:eastAsia="方正仿宋_GBK" w:cs="方正仿宋_GBK"/>
          <w:lang w:eastAsia="zh-CN"/>
        </w:rPr>
        <w:t>到</w:t>
      </w:r>
      <w:r>
        <w:rPr>
          <w:rFonts w:ascii="Times New Roman" w:hAnsi="Times New Roman" w:eastAsia="方正仿宋_GBK" w:cs="Times New Roman"/>
          <w:lang w:eastAsia="zh-CN"/>
        </w:rPr>
        <w:t>2022</w:t>
      </w:r>
      <w:r>
        <w:rPr>
          <w:rFonts w:hint="eastAsia" w:ascii="Times New Roman" w:hAnsi="Times New Roman" w:eastAsia="方正仿宋_GBK" w:cs="方正仿宋_GBK"/>
          <w:lang w:eastAsia="zh-CN"/>
        </w:rPr>
        <w:t>年，建设</w:t>
      </w:r>
      <w:r>
        <w:rPr>
          <w:rFonts w:ascii="Times New Roman" w:hAnsi="Times New Roman" w:eastAsia="方正仿宋_GBK" w:cs="Times New Roman"/>
          <w:lang w:eastAsia="zh-CN"/>
        </w:rPr>
        <w:t>200</w:t>
      </w:r>
      <w:r>
        <w:rPr>
          <w:rFonts w:hint="eastAsia" w:ascii="Times New Roman" w:hAnsi="Times New Roman" w:eastAsia="方正仿宋_GBK" w:cs="方正仿宋_GBK"/>
          <w:lang w:eastAsia="zh-CN"/>
        </w:rPr>
        <w:t>个以上国家级夜间文旅消费集聚区</w:t>
      </w:r>
      <w:r>
        <w:rPr>
          <w:rFonts w:hint="eastAsia" w:ascii="宋体" w:hAnsi="宋体" w:eastAsia="宋体" w:cs="宋体"/>
          <w:lang w:eastAsia="zh-CN"/>
        </w:rPr>
        <w:t>”</w:t>
      </w:r>
      <w:r>
        <w:rPr>
          <w:rFonts w:hint="eastAsia" w:ascii="Times New Roman" w:hAnsi="Times New Roman" w:eastAsia="方正仿宋_GBK" w:cs="方正仿宋_GBK"/>
          <w:lang w:eastAsia="zh-CN"/>
        </w:rPr>
        <w:t>的任务。文旅消费集聚区将成为各地整合夜经济资源、丰富夜间消费供给、释放文旅经济活力的开发热点。</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《关于促进旅游演艺发展的指导意见》：</w:t>
      </w:r>
      <w:r>
        <w:rPr>
          <w:rFonts w:hint="eastAsia" w:ascii="Times New Roman" w:hAnsi="Times New Roman" w:eastAsia="方正仿宋_GBK" w:cs="方正仿宋_GBK"/>
          <w:lang w:eastAsia="zh-CN"/>
        </w:rPr>
        <w:t>为着力推进旅游演艺转型升级、提质增效，充分发挥旅游演艺作为文化和旅游融合发展重要载体的作用，文化和旅游部关于印发《关于促进旅游演艺发展的指导意见》的通知，《意见》提出，推进业态模式创新。鼓励发展中小型、主题性、特色类、定制类旅游演艺项目，形成多层次、多元化供给体系。到</w:t>
      </w:r>
      <w:r>
        <w:rPr>
          <w:rFonts w:ascii="Times New Roman" w:hAnsi="Times New Roman" w:eastAsia="方正仿宋_GBK" w:cs="Times New Roman"/>
          <w:lang w:eastAsia="zh-CN"/>
        </w:rPr>
        <w:t>2025</w:t>
      </w:r>
      <w:r>
        <w:rPr>
          <w:rFonts w:hint="eastAsia" w:ascii="Times New Roman" w:hAnsi="Times New Roman" w:eastAsia="方正仿宋_GBK" w:cs="方正仿宋_GBK"/>
          <w:lang w:eastAsia="zh-CN"/>
        </w:rPr>
        <w:t>年，旅游演艺市场繁荣有序，发展布局更为优化，涌现一批有示范价值的旅游演艺品牌，形成一批运营规范、信誉度高、竞争力强的经营主体。</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全域旅游引领旅游供给侧改革：</w:t>
      </w:r>
      <w:r>
        <w:rPr>
          <w:rFonts w:hint="eastAsia" w:ascii="Times New Roman" w:hAnsi="Times New Roman" w:eastAsia="方正仿宋_GBK" w:cs="方正仿宋_GBK"/>
          <w:lang w:eastAsia="zh-CN"/>
        </w:rPr>
        <w:t>人们对旅游品质的需求将不断提高，传统的以展示自然资源为主的观光旅游已经远不能满足人们日益增长的旅游需求，文化旅游日受青睐。在全域旅游引领下，深化旅游供给侧改革，优化旅游供给体系，完善产业结构、产品结构，努力实现由旅游供给不足向供需基本平衡转变，成为新的发展趋势。</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文旅融合发展是经济高质量发展的新引擎：</w:t>
      </w:r>
      <w:r>
        <w:rPr>
          <w:rFonts w:hint="eastAsia" w:ascii="Times New Roman" w:hAnsi="Times New Roman" w:eastAsia="方正仿宋_GBK" w:cs="方正仿宋_GBK"/>
          <w:lang w:eastAsia="zh-CN"/>
        </w:rPr>
        <w:t>文旅融合发展是国家总体战略部署，是拉动经济发展的重要动力，是推动文旅经济高质量发展的引擎。《国务院办公厅关于进一步激发文化和旅游消费潜力的意见》是党中央、国务院着眼新时期我国经济社会发展全局做出的一项重要战略决策。《意见》指出，顺应文化和旅游消费提质转型升级新趋势，深化文化和旅游领域供给侧结构性改革，从供需两端发力，不断激发文化和旅游消费潜力，推动全国居民文化和旅游消费规模保持快速增长态势，对经济增长的带动作用持续增强。</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snapToGrid w:val="0"/>
          <w:lang w:eastAsia="zh-CN"/>
        </w:rPr>
        <w:t>新技术新基建为文化体育和旅游发展提供新动能。</w:t>
      </w:r>
      <w:r>
        <w:rPr>
          <w:rFonts w:hint="eastAsia" w:ascii="Times New Roman" w:hAnsi="Times New Roman" w:eastAsia="方正仿宋_GBK" w:cs="方正仿宋_GBK"/>
          <w:snapToGrid w:val="0"/>
          <w:lang w:eastAsia="zh-CN"/>
        </w:rPr>
        <w:t>党的十九届五中全会提出系统布局新型基础设施，加快第五代移动通信（</w:t>
      </w:r>
      <w:r>
        <w:rPr>
          <w:rFonts w:ascii="Times New Roman" w:hAnsi="Times New Roman" w:eastAsia="方正仿宋_GBK" w:cs="Times New Roman"/>
          <w:snapToGrid w:val="0"/>
          <w:lang w:eastAsia="zh-CN"/>
        </w:rPr>
        <w:t>5G</w:t>
      </w:r>
      <w:r>
        <w:rPr>
          <w:rFonts w:hint="eastAsia" w:ascii="Times New Roman" w:hAnsi="Times New Roman" w:eastAsia="方正仿宋_GBK" w:cs="方正仿宋_GBK"/>
          <w:snapToGrid w:val="0"/>
          <w:lang w:eastAsia="zh-CN"/>
        </w:rPr>
        <w:t>）、工业互联网、大数据中心等建设。大数据、云计算、虚拟现实（</w:t>
      </w:r>
      <w:r>
        <w:rPr>
          <w:rFonts w:ascii="Times New Roman" w:hAnsi="Times New Roman" w:eastAsia="方正仿宋_GBK" w:cs="Times New Roman"/>
          <w:snapToGrid w:val="0"/>
          <w:lang w:eastAsia="zh-CN"/>
        </w:rPr>
        <w:t>VR</w:t>
      </w:r>
      <w:r>
        <w:rPr>
          <w:rFonts w:hint="eastAsia" w:ascii="Times New Roman" w:hAnsi="Times New Roman" w:eastAsia="方正仿宋_GBK" w:cs="方正仿宋_GBK"/>
          <w:snapToGrid w:val="0"/>
          <w:lang w:eastAsia="zh-CN"/>
        </w:rPr>
        <w:t>）、</w:t>
      </w:r>
      <w:r>
        <w:rPr>
          <w:rFonts w:ascii="Times New Roman" w:hAnsi="Times New Roman" w:eastAsia="方正仿宋_GBK" w:cs="Times New Roman"/>
          <w:snapToGrid w:val="0"/>
          <w:lang w:eastAsia="zh-CN"/>
        </w:rPr>
        <w:t>5G</w:t>
      </w:r>
      <w:r>
        <w:rPr>
          <w:rFonts w:hint="eastAsia" w:ascii="Times New Roman" w:hAnsi="Times New Roman" w:eastAsia="方正仿宋_GBK" w:cs="方正仿宋_GBK"/>
          <w:snapToGrid w:val="0"/>
          <w:lang w:eastAsia="zh-CN"/>
        </w:rPr>
        <w:t>等新兴科技，将推动文体旅产业要素创新、内容呈现、盈利模式等发生革命性变化，逐步形成以应用新科技、构建新场景、产生新业态为主要特征的文旅新经济。</w:t>
      </w:r>
      <w:r>
        <w:rPr>
          <w:rFonts w:hint="eastAsia" w:ascii="宋体" w:hAnsi="宋体" w:eastAsia="宋体" w:cs="宋体"/>
          <w:snapToGrid w:val="0"/>
          <w:lang w:eastAsia="zh-CN"/>
        </w:rPr>
        <w:t>“</w:t>
      </w:r>
      <w:r>
        <w:rPr>
          <w:rFonts w:hint="eastAsia" w:ascii="Times New Roman" w:hAnsi="Times New Roman" w:eastAsia="方正仿宋_GBK" w:cs="方正仿宋_GBK"/>
          <w:snapToGrid w:val="0"/>
          <w:lang w:eastAsia="zh-CN"/>
        </w:rPr>
        <w:t>十四五</w:t>
      </w:r>
      <w:r>
        <w:rPr>
          <w:rFonts w:hint="eastAsia" w:ascii="宋体" w:hAnsi="宋体" w:eastAsia="宋体" w:cs="宋体"/>
          <w:snapToGrid w:val="0"/>
          <w:lang w:eastAsia="zh-CN"/>
        </w:rPr>
        <w:t>”</w:t>
      </w:r>
      <w:r>
        <w:rPr>
          <w:rFonts w:hint="eastAsia" w:ascii="Times New Roman" w:hAnsi="Times New Roman" w:eastAsia="方正仿宋_GBK" w:cs="方正仿宋_GBK"/>
          <w:snapToGrid w:val="0"/>
          <w:lang w:eastAsia="zh-CN"/>
        </w:rPr>
        <w:t>期间，达川聚焦成渝地区双城经济圈等国家战略，围绕达州市建设以高铁、机场为重点的全国综合交通枢纽，加快布局旅游新基建，持续推进智慧旅游建设，为文体旅产业发展提供强大的内生增长新动能。</w:t>
      </w:r>
    </w:p>
    <w:p>
      <w:pPr>
        <w:pStyle w:val="9"/>
        <w:spacing w:line="578" w:lineRule="exact"/>
        <w:ind w:left="840" w:firstLine="640"/>
        <w:outlineLvl w:val="3"/>
        <w:rPr>
          <w:rFonts w:ascii="方正楷体_GBK" w:hAnsi="Times New Roman" w:eastAsia="方正楷体_GBK" w:cs="Times New Roman"/>
          <w:lang w:eastAsia="zh-CN"/>
        </w:rPr>
      </w:pPr>
      <w:r>
        <w:rPr>
          <w:rFonts w:hint="eastAsia" w:ascii="方正楷体_GBK" w:hAnsi="Times New Roman" w:eastAsia="方正楷体_GBK" w:cs="方正楷体_GBK"/>
          <w:lang w:eastAsia="zh-CN"/>
        </w:rPr>
        <w:t>（二）国民生活新需求。</w:t>
      </w:r>
    </w:p>
    <w:p>
      <w:pPr>
        <w:pStyle w:val="9"/>
        <w:spacing w:line="578" w:lineRule="exact"/>
        <w:ind w:left="842" w:firstLine="643"/>
        <w:outlineLvl w:val="4"/>
        <w:rPr>
          <w:rFonts w:ascii="Times New Roman" w:hAnsi="Times New Roman" w:eastAsia="方正仿宋_GBK" w:cs="Times New Roman"/>
          <w:lang w:eastAsia="zh-CN"/>
        </w:rPr>
      </w:pPr>
      <w:r>
        <w:rPr>
          <w:rFonts w:hint="eastAsia" w:ascii="Times New Roman" w:hAnsi="Times New Roman" w:eastAsia="方正仿宋_GBK" w:cs="方正仿宋_GBK"/>
          <w:b/>
          <w:bCs/>
          <w:lang w:eastAsia="zh-CN"/>
        </w:rPr>
        <w:t>中国已步入大众旅游时代：</w:t>
      </w:r>
      <w:r>
        <w:rPr>
          <w:rFonts w:hint="eastAsia" w:ascii="Times New Roman" w:hAnsi="Times New Roman" w:eastAsia="方正仿宋_GBK" w:cs="方正仿宋_GBK"/>
          <w:lang w:eastAsia="zh-CN"/>
        </w:rPr>
        <w:t>根据文化和旅游部发布的数据显示，</w:t>
      </w:r>
      <w:r>
        <w:rPr>
          <w:rFonts w:ascii="Times New Roman" w:hAnsi="Times New Roman" w:eastAsia="方正仿宋_GBK" w:cs="Times New Roman"/>
          <w:lang w:eastAsia="zh-CN"/>
        </w:rPr>
        <w:t>2019</w:t>
      </w:r>
      <w:r>
        <w:rPr>
          <w:rFonts w:hint="eastAsia" w:ascii="Times New Roman" w:hAnsi="Times New Roman" w:eastAsia="方正仿宋_GBK" w:cs="方正仿宋_GBK"/>
          <w:lang w:eastAsia="zh-CN"/>
        </w:rPr>
        <w:t>年我国旅游国内旅游人次和旅游收入再创新高，分别达到了</w:t>
      </w:r>
      <w:r>
        <w:rPr>
          <w:rFonts w:ascii="Times New Roman" w:hAnsi="Times New Roman" w:eastAsia="方正仿宋_GBK" w:cs="Times New Roman"/>
          <w:lang w:eastAsia="zh-CN"/>
        </w:rPr>
        <w:t>60.1</w:t>
      </w:r>
      <w:r>
        <w:rPr>
          <w:rFonts w:hint="eastAsia" w:ascii="Times New Roman" w:hAnsi="Times New Roman" w:eastAsia="方正仿宋_GBK" w:cs="方正仿宋_GBK"/>
          <w:lang w:eastAsia="zh-CN"/>
        </w:rPr>
        <w:t>亿人次和</w:t>
      </w:r>
      <w:r>
        <w:rPr>
          <w:rFonts w:ascii="Times New Roman" w:hAnsi="Times New Roman" w:eastAsia="方正仿宋_GBK" w:cs="Times New Roman"/>
          <w:lang w:eastAsia="zh-CN"/>
        </w:rPr>
        <w:t>5.7</w:t>
      </w:r>
      <w:r>
        <w:rPr>
          <w:rFonts w:hint="eastAsia" w:ascii="Times New Roman" w:hAnsi="Times New Roman" w:eastAsia="方正仿宋_GBK" w:cs="方正仿宋_GBK"/>
          <w:lang w:eastAsia="zh-CN"/>
        </w:rPr>
        <w:t>万亿元，同比增长</w:t>
      </w:r>
      <w:r>
        <w:rPr>
          <w:rFonts w:ascii="Times New Roman" w:hAnsi="Times New Roman" w:eastAsia="方正仿宋_GBK" w:cs="Times New Roman"/>
          <w:lang w:eastAsia="zh-CN"/>
        </w:rPr>
        <w:t>8.4%</w:t>
      </w:r>
      <w:r>
        <w:rPr>
          <w:rFonts w:hint="eastAsia" w:ascii="Times New Roman" w:hAnsi="Times New Roman" w:eastAsia="方正仿宋_GBK" w:cs="方正仿宋_GBK"/>
          <w:lang w:eastAsia="zh-CN"/>
        </w:rPr>
        <w:t>和</w:t>
      </w:r>
      <w:r>
        <w:rPr>
          <w:rFonts w:ascii="Times New Roman" w:hAnsi="Times New Roman" w:eastAsia="方正仿宋_GBK" w:cs="Times New Roman"/>
          <w:lang w:eastAsia="zh-CN"/>
        </w:rPr>
        <w:t>11.7%</w:t>
      </w:r>
      <w:r>
        <w:rPr>
          <w:rFonts w:hint="eastAsia" w:ascii="Times New Roman" w:hAnsi="Times New Roman" w:eastAsia="方正仿宋_GBK" w:cs="方正仿宋_GBK"/>
          <w:lang w:eastAsia="zh-CN"/>
        </w:rPr>
        <w:t>。受疫情影响，</w:t>
      </w:r>
      <w:r>
        <w:rPr>
          <w:rFonts w:ascii="Times New Roman" w:hAnsi="Times New Roman" w:eastAsia="方正仿宋_GBK" w:cs="Times New Roman"/>
          <w:lang w:eastAsia="zh-CN"/>
        </w:rPr>
        <w:t>2020</w:t>
      </w:r>
      <w:r>
        <w:rPr>
          <w:rFonts w:hint="eastAsia" w:ascii="Times New Roman" w:hAnsi="Times New Roman" w:eastAsia="方正仿宋_GBK" w:cs="方正仿宋_GBK"/>
          <w:lang w:eastAsia="zh-CN"/>
        </w:rPr>
        <w:t>年我国旅游国内旅游人次和旅游收入分别为</w:t>
      </w:r>
      <w:r>
        <w:rPr>
          <w:rFonts w:ascii="Times New Roman" w:hAnsi="Times New Roman" w:eastAsia="方正仿宋_GBK" w:cs="Times New Roman"/>
          <w:lang w:eastAsia="zh-CN"/>
        </w:rPr>
        <w:t>28.79</w:t>
      </w:r>
      <w:r>
        <w:rPr>
          <w:rFonts w:hint="eastAsia" w:ascii="Times New Roman" w:hAnsi="Times New Roman" w:eastAsia="方正仿宋_GBK" w:cs="方正仿宋_GBK"/>
          <w:lang w:eastAsia="zh-CN"/>
        </w:rPr>
        <w:t>亿人次和</w:t>
      </w:r>
      <w:r>
        <w:rPr>
          <w:rFonts w:ascii="Times New Roman" w:hAnsi="Times New Roman" w:eastAsia="方正仿宋_GBK" w:cs="Times New Roman"/>
          <w:lang w:eastAsia="zh-CN"/>
        </w:rPr>
        <w:t>2.23</w:t>
      </w:r>
      <w:r>
        <w:rPr>
          <w:rFonts w:hint="eastAsia" w:ascii="Times New Roman" w:hAnsi="Times New Roman" w:eastAsia="方正仿宋_GBK" w:cs="方正仿宋_GBK"/>
          <w:lang w:eastAsia="zh-CN"/>
        </w:rPr>
        <w:t>万亿元，同比下降</w:t>
      </w:r>
      <w:r>
        <w:rPr>
          <w:rFonts w:ascii="Times New Roman" w:hAnsi="Times New Roman" w:eastAsia="方正仿宋_GBK" w:cs="Times New Roman"/>
          <w:lang w:eastAsia="zh-CN"/>
        </w:rPr>
        <w:t>52.1%</w:t>
      </w:r>
      <w:r>
        <w:rPr>
          <w:rFonts w:hint="eastAsia" w:ascii="Times New Roman" w:hAnsi="Times New Roman" w:eastAsia="方正仿宋_GBK" w:cs="方正仿宋_GBK"/>
          <w:lang w:eastAsia="zh-CN"/>
        </w:rPr>
        <w:t>和</w:t>
      </w:r>
      <w:r>
        <w:rPr>
          <w:rFonts w:ascii="Times New Roman" w:hAnsi="Times New Roman" w:eastAsia="方正仿宋_GBK" w:cs="Times New Roman"/>
          <w:lang w:eastAsia="zh-CN"/>
        </w:rPr>
        <w:t>61.1%</w:t>
      </w:r>
      <w:r>
        <w:rPr>
          <w:rFonts w:hint="eastAsia" w:ascii="Times New Roman" w:hAnsi="Times New Roman" w:eastAsia="方正仿宋_GBK" w:cs="方正仿宋_GBK"/>
          <w:lang w:eastAsia="zh-CN"/>
        </w:rPr>
        <w:t>，但</w:t>
      </w:r>
      <w:r>
        <w:rPr>
          <w:rFonts w:ascii="Times New Roman" w:hAnsi="Times New Roman" w:eastAsia="方正仿宋_GBK" w:cs="Times New Roman"/>
          <w:lang w:eastAsia="zh-CN"/>
        </w:rPr>
        <w:t>2021</w:t>
      </w:r>
      <w:r>
        <w:rPr>
          <w:rFonts w:hint="eastAsia" w:ascii="Times New Roman" w:hAnsi="Times New Roman" w:eastAsia="方正仿宋_GBK" w:cs="方正仿宋_GBK"/>
          <w:lang w:eastAsia="zh-CN"/>
        </w:rPr>
        <w:t>年随着疫情有效防控，旅游已逐步恢复。近</w:t>
      </w:r>
      <w:r>
        <w:rPr>
          <w:rFonts w:ascii="Times New Roman" w:hAnsi="Times New Roman" w:eastAsia="方正仿宋_GBK" w:cs="Times New Roman"/>
          <w:lang w:eastAsia="zh-CN"/>
        </w:rPr>
        <w:t>10</w:t>
      </w:r>
      <w:r>
        <w:rPr>
          <w:rFonts w:hint="eastAsia" w:ascii="Times New Roman" w:hAnsi="Times New Roman" w:eastAsia="方正仿宋_GBK" w:cs="方正仿宋_GBK"/>
          <w:lang w:eastAsia="zh-CN"/>
        </w:rPr>
        <w:t>年来，国内旅游人次保持着快速且相对稳定的发展速度。随着全面建成小康社会持续推进，旅游已经成为人民群众日常生活的重要组成部分，我国文化和旅游业进入大众旅游时代。</w:t>
      </w:r>
    </w:p>
    <w:p>
      <w:pPr>
        <w:pStyle w:val="9"/>
        <w:spacing w:line="578" w:lineRule="exact"/>
        <w:ind w:left="842" w:firstLine="643"/>
        <w:outlineLvl w:val="4"/>
        <w:rPr>
          <w:rFonts w:ascii="Times New Roman" w:hAnsi="Times New Roman" w:eastAsia="方正仿宋_GBK" w:cs="Times New Roman"/>
          <w:lang w:eastAsia="zh-CN"/>
        </w:rPr>
      </w:pP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后疫情</w:t>
      </w:r>
      <w:r>
        <w:rPr>
          <w:rFonts w:hint="eastAsia" w:ascii="宋体" w:hAnsi="宋体" w:eastAsia="宋体" w:cs="宋体"/>
          <w:b/>
          <w:bCs/>
          <w:lang w:eastAsia="zh-CN"/>
        </w:rPr>
        <w:t>”</w:t>
      </w:r>
      <w:r>
        <w:rPr>
          <w:rFonts w:hint="eastAsia" w:ascii="Times New Roman" w:hAnsi="Times New Roman" w:eastAsia="方正仿宋_GBK" w:cs="方正仿宋_GBK"/>
          <w:b/>
          <w:bCs/>
          <w:lang w:eastAsia="zh-CN"/>
        </w:rPr>
        <w:t>时代的旅游恢复：</w:t>
      </w:r>
      <w:r>
        <w:rPr>
          <w:rFonts w:hint="eastAsia" w:ascii="Times New Roman" w:hAnsi="Times New Roman" w:eastAsia="方正仿宋_GBK" w:cs="方正仿宋_GBK"/>
          <w:lang w:eastAsia="zh-CN"/>
        </w:rPr>
        <w:t>考虑到疫情影响面较大、时间较长，就目前国际疫情情况看，疫情将成为常态，对国际旅游影响较大，我国将以国内旅游为重，同时，强大的出境旅游客流将部分转化为国内旅游，估计国内旅游总量在未来几年很大程度上能够快速恢复并超出疫情发生前的水平。</w:t>
      </w:r>
    </w:p>
    <w:p>
      <w:pPr>
        <w:pStyle w:val="9"/>
        <w:spacing w:line="578" w:lineRule="exact"/>
        <w:ind w:left="840" w:firstLine="640"/>
        <w:rPr>
          <w:rFonts w:ascii="Times New Roman" w:hAnsi="Times New Roman" w:eastAsia="方正仿宋_GBK" w:cs="Times New Roman"/>
          <w:lang w:eastAsia="zh-CN"/>
        </w:rPr>
      </w:pPr>
    </w:p>
    <w:p>
      <w:pPr>
        <w:snapToGrid w:val="0"/>
        <w:spacing w:line="578" w:lineRule="exact"/>
        <w:jc w:val="center"/>
        <w:outlineLvl w:val="0"/>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第二章</w:t>
      </w:r>
      <w:r>
        <w:rPr>
          <w:rFonts w:ascii="方正小标宋_GBK" w:hAnsi="Times New Roman" w:eastAsia="方正小标宋_GBK" w:cs="方正小标宋_GBK"/>
          <w:sz w:val="44"/>
          <w:szCs w:val="44"/>
        </w:rPr>
        <w:t xml:space="preserve">  </w:t>
      </w:r>
      <w:r>
        <w:rPr>
          <w:rFonts w:hint="eastAsia" w:ascii="方正小标宋_GBK" w:hAnsi="Times New Roman" w:eastAsia="方正小标宋_GBK" w:cs="方正小标宋_GBK"/>
          <w:sz w:val="44"/>
          <w:szCs w:val="44"/>
        </w:rPr>
        <w:t>总体思路</w:t>
      </w:r>
    </w:p>
    <w:p>
      <w:pPr>
        <w:spacing w:line="578" w:lineRule="exact"/>
        <w:rPr>
          <w:rFonts w:ascii="Times New Roman" w:hAnsi="Times New Roman" w:eastAsia="方正仿宋_GBK" w:cs="Times New Roma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第一节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指导思想</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高举习近平新时代中国特色社会主义思想伟大旗帜，深入贯彻落实党中央及省委、市委决策部署，把握新发展阶段、贯彻新发展理念、融入新发展格局，紧扣</w:t>
      </w:r>
      <w:r>
        <w:rPr>
          <w:rFonts w:hint="eastAsia" w:ascii="宋体" w:hAnsi="宋体" w:eastAsia="宋体" w:cs="宋体"/>
          <w:sz w:val="32"/>
          <w:szCs w:val="32"/>
        </w:rPr>
        <w:t>“</w:t>
      </w:r>
      <w:r>
        <w:rPr>
          <w:rFonts w:hint="eastAsia" w:ascii="Times New Roman" w:hAnsi="Times New Roman" w:eastAsia="方正仿宋_GBK" w:cs="方正仿宋_GBK"/>
          <w:sz w:val="32"/>
          <w:szCs w:val="32"/>
        </w:rPr>
        <w:t>新阶段七问</w:t>
      </w:r>
      <w:r>
        <w:rPr>
          <w:rFonts w:hint="eastAsia" w:ascii="宋体" w:hAnsi="宋体" w:eastAsia="宋体" w:cs="宋体"/>
          <w:sz w:val="32"/>
          <w:szCs w:val="32"/>
        </w:rPr>
        <w:t>”</w:t>
      </w:r>
      <w:r>
        <w:rPr>
          <w:rFonts w:hint="eastAsia" w:ascii="Times New Roman" w:hAnsi="Times New Roman" w:eastAsia="方正仿宋_GBK" w:cs="方正仿宋_GBK"/>
          <w:sz w:val="32"/>
          <w:szCs w:val="32"/>
        </w:rPr>
        <w:t>，聚焦</w:t>
      </w:r>
      <w:r>
        <w:rPr>
          <w:rFonts w:hint="eastAsia" w:ascii="宋体" w:hAnsi="宋体" w:eastAsia="宋体" w:cs="宋体"/>
          <w:sz w:val="32"/>
          <w:szCs w:val="32"/>
        </w:rPr>
        <w:t>“</w:t>
      </w:r>
      <w:r>
        <w:rPr>
          <w:rFonts w:hint="eastAsia" w:ascii="Times New Roman" w:hAnsi="Times New Roman" w:eastAsia="方正仿宋_GBK" w:cs="方正仿宋_GBK"/>
          <w:sz w:val="32"/>
          <w:szCs w:val="32"/>
        </w:rPr>
        <w:t>成渝地区双城经济圈北翼高质量发展先行示范区</w:t>
      </w:r>
      <w:r>
        <w:rPr>
          <w:rFonts w:hint="eastAsia" w:ascii="宋体" w:hAnsi="宋体" w:eastAsia="宋体" w:cs="宋体"/>
          <w:sz w:val="32"/>
          <w:szCs w:val="32"/>
        </w:rPr>
        <w:t>”</w:t>
      </w:r>
      <w:r>
        <w:rPr>
          <w:rFonts w:hint="eastAsia" w:ascii="Times New Roman" w:hAnsi="Times New Roman" w:eastAsia="方正仿宋_GBK" w:cs="方正仿宋_GBK"/>
          <w:sz w:val="32"/>
          <w:szCs w:val="32"/>
        </w:rPr>
        <w:t>发展定位，坚持</w:t>
      </w:r>
      <w:r>
        <w:rPr>
          <w:rFonts w:hint="eastAsia" w:ascii="宋体" w:hAnsi="宋体" w:eastAsia="宋体" w:cs="宋体"/>
          <w:sz w:val="32"/>
          <w:szCs w:val="32"/>
        </w:rPr>
        <w:t>“</w:t>
      </w:r>
      <w:r>
        <w:rPr>
          <w:rFonts w:hint="eastAsia" w:ascii="Times New Roman" w:hAnsi="Times New Roman" w:eastAsia="方正仿宋_GBK" w:cs="方正仿宋_GBK"/>
          <w:sz w:val="32"/>
          <w:szCs w:val="32"/>
        </w:rPr>
        <w:t>奋进达川、先行示范</w:t>
      </w:r>
      <w:r>
        <w:rPr>
          <w:rFonts w:hint="eastAsia" w:ascii="宋体" w:hAnsi="宋体" w:eastAsia="宋体" w:cs="宋体"/>
          <w:sz w:val="32"/>
          <w:szCs w:val="32"/>
        </w:rPr>
        <w:t>”</w:t>
      </w:r>
      <w:r>
        <w:rPr>
          <w:rFonts w:hint="eastAsia" w:ascii="Times New Roman" w:hAnsi="Times New Roman" w:eastAsia="方正仿宋_GBK" w:cs="方正仿宋_GBK"/>
          <w:sz w:val="32"/>
          <w:szCs w:val="32"/>
        </w:rPr>
        <w:t>工作基调，突出</w:t>
      </w:r>
      <w:r>
        <w:rPr>
          <w:rFonts w:hint="eastAsia" w:ascii="宋体" w:hAnsi="宋体" w:eastAsia="宋体" w:cs="宋体"/>
          <w:sz w:val="32"/>
          <w:szCs w:val="32"/>
        </w:rPr>
        <w:t>“</w:t>
      </w:r>
      <w:r>
        <w:rPr>
          <w:rFonts w:hint="eastAsia" w:ascii="Times New Roman" w:hAnsi="Times New Roman" w:eastAsia="方正仿宋_GBK" w:cs="方正仿宋_GBK"/>
          <w:sz w:val="32"/>
          <w:szCs w:val="32"/>
        </w:rPr>
        <w:t>重塑产业、更新城市</w:t>
      </w:r>
      <w:r>
        <w:rPr>
          <w:rFonts w:hint="eastAsia" w:ascii="宋体" w:hAnsi="宋体" w:eastAsia="宋体" w:cs="宋体"/>
          <w:sz w:val="32"/>
          <w:szCs w:val="32"/>
        </w:rPr>
        <w:t>”</w:t>
      </w:r>
      <w:r>
        <w:rPr>
          <w:rFonts w:hint="eastAsia" w:ascii="Times New Roman" w:hAnsi="Times New Roman" w:eastAsia="方正仿宋_GBK" w:cs="方正仿宋_GBK"/>
          <w:sz w:val="32"/>
          <w:szCs w:val="32"/>
        </w:rPr>
        <w:t>首要任务，构建</w:t>
      </w:r>
      <w:r>
        <w:rPr>
          <w:rFonts w:hint="eastAsia" w:ascii="宋体" w:hAnsi="宋体" w:eastAsia="宋体" w:cs="宋体"/>
          <w:sz w:val="32"/>
          <w:szCs w:val="32"/>
        </w:rPr>
        <w:t>“</w:t>
      </w:r>
      <w:r>
        <w:rPr>
          <w:rFonts w:hint="eastAsia" w:ascii="Times New Roman" w:hAnsi="Times New Roman" w:eastAsia="方正仿宋_GBK" w:cs="方正仿宋_GBK"/>
          <w:sz w:val="32"/>
          <w:szCs w:val="32"/>
        </w:rPr>
        <w:t>一核两区六组团</w:t>
      </w:r>
      <w:r>
        <w:rPr>
          <w:rFonts w:hint="eastAsia" w:ascii="宋体" w:hAnsi="宋体" w:eastAsia="宋体" w:cs="宋体"/>
          <w:sz w:val="32"/>
          <w:szCs w:val="32"/>
        </w:rPr>
        <w:t>”</w:t>
      </w:r>
      <w:r>
        <w:rPr>
          <w:rFonts w:hint="eastAsia" w:ascii="Times New Roman" w:hAnsi="Times New Roman" w:eastAsia="方正仿宋_GBK" w:cs="方正仿宋_GBK"/>
          <w:sz w:val="32"/>
          <w:szCs w:val="32"/>
        </w:rPr>
        <w:t>战略布局，以全面深化供给侧改革为动力，坚持事业与产业相统筹、保护与开发相协调、融合与创新相结合、质量与效益相统一的原则，主动适应经济发展新常态，加快推进文化、体育、旅游、广播电视建设，促进文化体育旅游产业融合发展，提升人民群众的幸福生活指数。始终坚持</w:t>
      </w:r>
      <w:r>
        <w:rPr>
          <w:rFonts w:hint="eastAsia" w:ascii="宋体" w:hAnsi="宋体" w:eastAsia="宋体" w:cs="宋体"/>
          <w:sz w:val="32"/>
          <w:szCs w:val="32"/>
        </w:rPr>
        <w:t>“</w:t>
      </w:r>
      <w:r>
        <w:rPr>
          <w:rFonts w:hint="eastAsia" w:ascii="Times New Roman" w:hAnsi="Times New Roman" w:eastAsia="方正仿宋_GBK" w:cs="方正仿宋_GBK"/>
          <w:sz w:val="32"/>
          <w:szCs w:val="32"/>
        </w:rPr>
        <w:t>依法治旅、依法兴旅</w:t>
      </w:r>
      <w:r>
        <w:rPr>
          <w:rFonts w:hint="eastAsia" w:ascii="宋体" w:hAnsi="宋体" w:eastAsia="宋体" w:cs="宋体"/>
          <w:sz w:val="32"/>
          <w:szCs w:val="32"/>
        </w:rPr>
        <w:t>”“</w:t>
      </w:r>
      <w:r>
        <w:rPr>
          <w:rFonts w:hint="eastAsia" w:ascii="Times New Roman" w:hAnsi="Times New Roman" w:eastAsia="方正仿宋_GBK" w:cs="方正仿宋_GBK"/>
          <w:sz w:val="32"/>
          <w:szCs w:val="32"/>
        </w:rPr>
        <w:t>以文促旅、以旅彰文</w:t>
      </w:r>
      <w:r>
        <w:rPr>
          <w:rFonts w:hint="eastAsia" w:ascii="宋体" w:hAnsi="宋体" w:eastAsia="宋体" w:cs="宋体"/>
          <w:sz w:val="32"/>
          <w:szCs w:val="32"/>
        </w:rPr>
        <w:t>”</w:t>
      </w:r>
      <w:r>
        <w:rPr>
          <w:rFonts w:hint="eastAsia" w:ascii="Times New Roman" w:hAnsi="Times New Roman" w:eastAsia="方正仿宋_GBK" w:cs="方正仿宋_GBK"/>
          <w:sz w:val="32"/>
          <w:szCs w:val="32"/>
        </w:rPr>
        <w:t>，充分释放文旅经济活力，把达川文化体育旅游和广播电视资源优势转化为发展优势，形成以文化和旅游业为龙头、以全民阅读、全民健身、全民艺普为补充的文旅供给体系，为人民美好生活提供丰润文化滋养，为经济社会发展夯实强大产业基础，为建设川东北经济强区，争创全省经济副中心排头兵贡献力量。</w:t>
      </w:r>
    </w:p>
    <w:p>
      <w:pPr>
        <w:adjustRightInd w:val="0"/>
        <w:snapToGrid w:val="0"/>
        <w:spacing w:line="578" w:lineRule="exact"/>
        <w:rPr>
          <w:rFonts w:ascii="Times New Roman" w:hAnsi="Times New Roman" w:eastAsia="方正仿宋_GBK" w:cs="Times New Roman"/>
          <w:sz w:val="32"/>
          <w:szCs w:val="32"/>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第二节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基本原则</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坚持先进文化方向。</w:t>
      </w:r>
      <w:r>
        <w:rPr>
          <w:rFonts w:hint="eastAsia" w:ascii="Times New Roman" w:hAnsi="Times New Roman" w:eastAsia="方正仿宋_GBK" w:cs="方正仿宋_GBK"/>
          <w:sz w:val="32"/>
          <w:szCs w:val="32"/>
        </w:rPr>
        <w:t>坚持社会主义核心价值观引领文化建设和文体旅融合发展，夯实文化自信的思想根基，增强文化前进的内在动力，体现文化发展的价值追求，激发市民文化创新创造活力，厚植我区发展的历史文化底蕴，全面提高我区文化软实力辐射力影响力。</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坚持以人民为中心。</w:t>
      </w:r>
      <w:r>
        <w:rPr>
          <w:rFonts w:hint="eastAsia" w:ascii="Times New Roman" w:hAnsi="Times New Roman" w:eastAsia="方正仿宋_GBK" w:cs="方正仿宋_GBK"/>
          <w:sz w:val="32"/>
          <w:szCs w:val="32"/>
        </w:rPr>
        <w:t>坚持文化发展为了人民、文化发展依靠人民、文化发展成果由人民共享，坚持社会效益优先、社会效益和经济效益相统一，确保文化建设和文体旅融合持续健康发展。深入推进文旅惠民、文旅乐民、文旅利民、文旅强民、文旅富民，着力增强人民文化获得感幸福感。</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坚持生态绿色发展。</w:t>
      </w:r>
      <w:r>
        <w:rPr>
          <w:rFonts w:hint="eastAsia" w:ascii="Times New Roman" w:hAnsi="Times New Roman" w:eastAsia="方正仿宋_GBK" w:cs="方正仿宋_GBK"/>
          <w:sz w:val="32"/>
          <w:szCs w:val="32"/>
        </w:rPr>
        <w:t>深入践行</w:t>
      </w:r>
      <w:r>
        <w:rPr>
          <w:rFonts w:hint="eastAsia" w:ascii="宋体" w:hAnsi="宋体" w:eastAsia="宋体" w:cs="宋体"/>
          <w:sz w:val="32"/>
          <w:szCs w:val="32"/>
        </w:rPr>
        <w:t>“</w:t>
      </w:r>
      <w:r>
        <w:rPr>
          <w:rFonts w:hint="eastAsia" w:ascii="Times New Roman" w:hAnsi="Times New Roman" w:eastAsia="方正仿宋_GBK" w:cs="方正仿宋_GBK"/>
          <w:sz w:val="32"/>
          <w:szCs w:val="32"/>
        </w:rPr>
        <w:t>绿水青山就是金山银山</w:t>
      </w:r>
      <w:r>
        <w:rPr>
          <w:rFonts w:hint="eastAsia" w:ascii="宋体" w:hAnsi="宋体" w:eastAsia="宋体" w:cs="宋体"/>
          <w:sz w:val="32"/>
          <w:szCs w:val="32"/>
        </w:rPr>
        <w:t>”</w:t>
      </w:r>
      <w:r>
        <w:rPr>
          <w:rFonts w:hint="eastAsia" w:ascii="Times New Roman" w:hAnsi="Times New Roman" w:eastAsia="方正仿宋_GBK" w:cs="方正仿宋_GBK"/>
          <w:sz w:val="32"/>
          <w:szCs w:val="32"/>
        </w:rPr>
        <w:t>，推动文旅产业变生态优势为产业优势、经济优势、竞争优势，让良好生态环境成为人民生活水平的增长点、经济社会持续健康发展的支撑点、展现我区良好形象的发力点，共同建设美丽达川，走向生态文明新时代。</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坚持践行系统观念。</w:t>
      </w:r>
      <w:r>
        <w:rPr>
          <w:rFonts w:hint="eastAsia" w:ascii="Times New Roman" w:hAnsi="Times New Roman" w:eastAsia="方正仿宋_GBK" w:cs="方正仿宋_GBK"/>
          <w:sz w:val="32"/>
          <w:szCs w:val="32"/>
        </w:rPr>
        <w:t>始终把握</w:t>
      </w:r>
      <w:r>
        <w:rPr>
          <w:rFonts w:hint="eastAsia" w:ascii="宋体" w:hAnsi="宋体" w:eastAsia="宋体" w:cs="宋体"/>
          <w:sz w:val="32"/>
          <w:szCs w:val="32"/>
        </w:rPr>
        <w:t>“</w:t>
      </w:r>
      <w:r>
        <w:rPr>
          <w:rFonts w:hint="eastAsia" w:ascii="Times New Roman" w:hAnsi="Times New Roman" w:eastAsia="方正仿宋_GBK" w:cs="方正仿宋_GBK"/>
          <w:sz w:val="32"/>
          <w:szCs w:val="32"/>
        </w:rPr>
        <w:t>五位一体</w:t>
      </w:r>
      <w:r>
        <w:rPr>
          <w:rFonts w:hint="eastAsia" w:ascii="宋体" w:hAnsi="宋体" w:eastAsia="宋体" w:cs="宋体"/>
          <w:sz w:val="32"/>
          <w:szCs w:val="32"/>
        </w:rPr>
        <w:t>”“</w:t>
      </w:r>
      <w:r>
        <w:rPr>
          <w:rFonts w:hint="eastAsia" w:ascii="Times New Roman" w:hAnsi="Times New Roman" w:eastAsia="方正仿宋_GBK" w:cs="方正仿宋_GBK"/>
          <w:sz w:val="32"/>
          <w:szCs w:val="32"/>
        </w:rPr>
        <w:t>四个全面</w:t>
      </w:r>
      <w:r>
        <w:rPr>
          <w:rFonts w:hint="eastAsia" w:ascii="宋体" w:hAnsi="宋体" w:eastAsia="宋体" w:cs="宋体"/>
          <w:sz w:val="32"/>
          <w:szCs w:val="32"/>
        </w:rPr>
        <w:t>”</w:t>
      </w:r>
      <w:r>
        <w:rPr>
          <w:rFonts w:hint="eastAsia" w:ascii="Times New Roman" w:hAnsi="Times New Roman" w:eastAsia="方正仿宋_GBK" w:cs="方正仿宋_GBK"/>
          <w:sz w:val="32"/>
          <w:szCs w:val="32"/>
        </w:rPr>
        <w:t>的整体思维系统方法，统筹国内国际两个大局，办好发展和安全两件大事，在多重目标中寻求动态平衡，促进物质文明和精神文明全面发展、文化事业与文化产业协调发展、文化和旅游融合发展。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坚持融合创新驱动。</w:t>
      </w:r>
      <w:r>
        <w:rPr>
          <w:rFonts w:hint="eastAsia" w:ascii="Times New Roman" w:hAnsi="Times New Roman" w:eastAsia="方正仿宋_GBK" w:cs="方正仿宋_GBK"/>
          <w:sz w:val="32"/>
          <w:szCs w:val="32"/>
        </w:rPr>
        <w:t>创新驱动是引领发展的第一动力，科技创新与制度创新、管理创新、商业模式创新、业态创新和文化创新相结合，实施</w:t>
      </w:r>
      <w:r>
        <w:rPr>
          <w:rFonts w:hint="eastAsia" w:ascii="宋体" w:hAnsi="宋体" w:eastAsia="宋体" w:cs="宋体"/>
          <w:sz w:val="32"/>
          <w:szCs w:val="32"/>
        </w:rPr>
        <w:t>“</w:t>
      </w:r>
      <w:r>
        <w:rPr>
          <w:rFonts w:hint="eastAsia" w:ascii="Times New Roman" w:hAnsi="Times New Roman" w:eastAsia="方正仿宋_GBK" w:cs="方正仿宋_GBK"/>
          <w:sz w:val="32"/>
          <w:szCs w:val="32"/>
        </w:rPr>
        <w:t>文化</w:t>
      </w:r>
      <w:r>
        <w:rPr>
          <w:rFonts w:ascii="Times New Roman" w:hAnsi="Times New Roman" w:eastAsia="方正仿宋_GBK" w:cs="Times New Roman"/>
          <w:sz w:val="32"/>
          <w:szCs w:val="32"/>
        </w:rPr>
        <w:t>+</w:t>
      </w:r>
      <w:r>
        <w:rPr>
          <w:rFonts w:hint="eastAsia" w:ascii="宋体" w:hAnsi="宋体" w:eastAsia="宋体" w:cs="宋体"/>
          <w:sz w:val="32"/>
          <w:szCs w:val="32"/>
        </w:rPr>
        <w:t>”“</w:t>
      </w:r>
      <w:r>
        <w:rPr>
          <w:rFonts w:hint="eastAsia" w:ascii="Times New Roman" w:hAnsi="Times New Roman" w:eastAsia="方正仿宋_GBK" w:cs="方正仿宋_GBK"/>
          <w:sz w:val="32"/>
          <w:szCs w:val="32"/>
        </w:rPr>
        <w:t>体育</w:t>
      </w:r>
      <w:r>
        <w:rPr>
          <w:rFonts w:ascii="Times New Roman" w:hAnsi="Times New Roman" w:eastAsia="方正仿宋_GBK" w:cs="Times New Roman"/>
          <w:sz w:val="32"/>
          <w:szCs w:val="32"/>
        </w:rPr>
        <w:t>+</w:t>
      </w:r>
      <w:r>
        <w:rPr>
          <w:rFonts w:hint="eastAsia" w:ascii="宋体" w:hAnsi="宋体" w:eastAsia="宋体" w:cs="宋体"/>
          <w:sz w:val="32"/>
          <w:szCs w:val="32"/>
        </w:rPr>
        <w:t>”“</w:t>
      </w:r>
      <w:r>
        <w:rPr>
          <w:rFonts w:hint="eastAsia" w:ascii="Times New Roman" w:hAnsi="Times New Roman" w:eastAsia="方正仿宋_GBK" w:cs="方正仿宋_GBK"/>
          <w:sz w:val="32"/>
          <w:szCs w:val="32"/>
        </w:rPr>
        <w:t>旅游</w:t>
      </w:r>
      <w:r>
        <w:rPr>
          <w:rFonts w:ascii="Times New Roman" w:hAnsi="Times New Roman" w:eastAsia="方正仿宋_GBK" w:cs="Times New Roman"/>
          <w:sz w:val="32"/>
          <w:szCs w:val="32"/>
        </w:rPr>
        <w:t>+</w:t>
      </w:r>
      <w:r>
        <w:rPr>
          <w:rFonts w:hint="eastAsia" w:ascii="宋体" w:hAnsi="宋体" w:eastAsia="宋体" w:cs="宋体"/>
          <w:sz w:val="32"/>
          <w:szCs w:val="32"/>
        </w:rPr>
        <w:t>”</w:t>
      </w:r>
      <w:r>
        <w:rPr>
          <w:rFonts w:hint="eastAsia" w:ascii="Times New Roman" w:hAnsi="Times New Roman" w:eastAsia="方正仿宋_GBK" w:cs="方正仿宋_GBK"/>
          <w:sz w:val="32"/>
          <w:szCs w:val="32"/>
        </w:rPr>
        <w:t>战略，转变文化发展方式，促进各类资源要素相互赋能，实现文体旅向新型城市化、乡村振兴、现代工业和服务业等领域延伸，使融合创新成为文化体育和旅游高质量发展的重要引擎。</w:t>
      </w:r>
    </w:p>
    <w:p>
      <w:pPr>
        <w:adjustRightInd w:val="0"/>
        <w:snapToGrid w:val="0"/>
        <w:spacing w:line="578" w:lineRule="exact"/>
        <w:ind w:firstLine="643" w:firstLineChars="200"/>
        <w:outlineLvl w:val="2"/>
        <w:rPr>
          <w:rFonts w:ascii="Times New Roman" w:hAnsi="Times New Roman" w:eastAsia="方正仿宋_GBK" w:cs="Times New Roman"/>
          <w:spacing w:val="-6"/>
          <w:sz w:val="32"/>
          <w:szCs w:val="32"/>
        </w:rPr>
      </w:pPr>
      <w:r>
        <w:rPr>
          <w:rFonts w:hint="eastAsia" w:ascii="Times New Roman" w:hAnsi="Times New Roman" w:eastAsia="方正仿宋_GBK" w:cs="方正仿宋_GBK"/>
          <w:b/>
          <w:bCs/>
          <w:sz w:val="32"/>
          <w:szCs w:val="32"/>
        </w:rPr>
        <w:t>坚持区域协同发展。</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时期，加快构建以国内大循环为主体、国内国际双循环相互促进的新发展格局，实施成渝地区双城经济圈的国家战略和四川省</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文化和旅游发展</w:t>
      </w:r>
      <w:r>
        <w:rPr>
          <w:rFonts w:hint="eastAsia" w:ascii="宋体" w:hAnsi="宋体" w:eastAsia="宋体" w:cs="宋体"/>
          <w:sz w:val="32"/>
          <w:szCs w:val="32"/>
        </w:rPr>
        <w:t>“</w:t>
      </w:r>
      <w:r>
        <w:rPr>
          <w:rFonts w:hint="eastAsia" w:ascii="Times New Roman" w:hAnsi="Times New Roman" w:eastAsia="方正仿宋_GBK" w:cs="方正仿宋_GBK"/>
          <w:sz w:val="32"/>
          <w:szCs w:val="32"/>
        </w:rPr>
        <w:t>一核、五带、十大、四廊</w:t>
      </w:r>
      <w:r>
        <w:rPr>
          <w:rFonts w:hint="eastAsia" w:ascii="宋体" w:hAnsi="宋体" w:eastAsia="宋体" w:cs="宋体"/>
          <w:sz w:val="32"/>
          <w:szCs w:val="32"/>
        </w:rPr>
        <w:t>”</w:t>
      </w:r>
      <w:r>
        <w:rPr>
          <w:rFonts w:hint="eastAsia" w:ascii="Times New Roman" w:hAnsi="Times New Roman" w:eastAsia="方正仿宋_GBK" w:cs="方正仿宋_GBK"/>
          <w:sz w:val="32"/>
          <w:szCs w:val="32"/>
        </w:rPr>
        <w:t>布局、巴蜀文化旅游走廊、大蜀道文旅品牌建设的协同推进，积极为我区文化建设和文旅融合发展打开了广阔的发展空间，带来了前所未有的发展契机</w:t>
      </w:r>
      <w:r>
        <w:rPr>
          <w:rFonts w:hint="eastAsia" w:ascii="Times New Roman" w:hAnsi="Times New Roman" w:eastAsia="方正仿宋_GBK" w:cs="方正仿宋_GBK"/>
          <w:b/>
          <w:bCs/>
          <w:sz w:val="32"/>
          <w:szCs w:val="32"/>
        </w:rPr>
        <w:t>。</w:t>
      </w:r>
    </w:p>
    <w:p>
      <w:pPr>
        <w:pStyle w:val="9"/>
        <w:ind w:left="840" w:firstLine="640"/>
        <w:rPr>
          <w:rFonts w:ascii="Times New Roman" w:hAnsi="Times New Roman" w:eastAsia="方正仿宋_GBK" w:cs="Times New Roman"/>
          <w:lang w:eastAsia="zh-C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第三节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发展思路</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围绕全市建设巴文化传承创新和旅游发展高地目标，紧抓万达开统筹发展示范区和明月山绿色发展示范带建设契机，树立全域旅游发展观，深度挖掘历史人文、自然生态和红色基因等特色文化资源，实施全民健身国家战略，以成功创建</w:t>
      </w:r>
      <w:r>
        <w:rPr>
          <w:rFonts w:hint="eastAsia" w:ascii="宋体" w:hAnsi="宋体" w:eastAsia="宋体" w:cs="宋体"/>
          <w:sz w:val="32"/>
          <w:szCs w:val="32"/>
        </w:rPr>
        <w:t>“</w:t>
      </w:r>
      <w:r>
        <w:rPr>
          <w:rFonts w:hint="eastAsia" w:ascii="Times New Roman" w:hAnsi="Times New Roman" w:eastAsia="方正仿宋_GBK" w:cs="方正仿宋_GBK"/>
          <w:sz w:val="32"/>
          <w:szCs w:val="32"/>
        </w:rPr>
        <w:t>全国群众体育先进单位</w:t>
      </w:r>
      <w:r>
        <w:rPr>
          <w:rFonts w:hint="eastAsia" w:ascii="宋体" w:hAnsi="宋体" w:eastAsia="宋体" w:cs="宋体"/>
          <w:sz w:val="32"/>
          <w:szCs w:val="32"/>
        </w:rPr>
        <w:t>”“</w:t>
      </w:r>
      <w:r>
        <w:rPr>
          <w:rFonts w:hint="eastAsia" w:ascii="Times New Roman" w:hAnsi="Times New Roman" w:eastAsia="方正仿宋_GBK" w:cs="方正仿宋_GBK"/>
          <w:sz w:val="32"/>
          <w:szCs w:val="32"/>
        </w:rPr>
        <w:t>四川省首批现代公共文化服务体系示范县</w:t>
      </w:r>
      <w:r>
        <w:rPr>
          <w:rFonts w:hint="eastAsia" w:ascii="宋体" w:hAnsi="宋体" w:eastAsia="宋体" w:cs="宋体"/>
          <w:sz w:val="32"/>
          <w:szCs w:val="32"/>
        </w:rPr>
        <w:t>”“</w:t>
      </w:r>
      <w:r>
        <w:rPr>
          <w:rFonts w:hint="eastAsia" w:ascii="Times New Roman" w:hAnsi="Times New Roman" w:eastAsia="方正仿宋_GBK" w:cs="方正仿宋_GBK"/>
          <w:sz w:val="32"/>
          <w:szCs w:val="32"/>
        </w:rPr>
        <w:t>四川省智慧广电示范区</w:t>
      </w:r>
      <w:r>
        <w:rPr>
          <w:rFonts w:hint="eastAsia" w:ascii="宋体" w:hAnsi="宋体" w:eastAsia="宋体" w:cs="宋体"/>
          <w:sz w:val="32"/>
          <w:szCs w:val="32"/>
        </w:rPr>
        <w:t>”“</w:t>
      </w:r>
      <w:r>
        <w:rPr>
          <w:rFonts w:hint="eastAsia" w:ascii="Times New Roman" w:hAnsi="Times New Roman" w:eastAsia="方正仿宋_GBK" w:cs="方正仿宋_GBK"/>
          <w:sz w:val="32"/>
          <w:szCs w:val="32"/>
        </w:rPr>
        <w:t>‘十三五’全省广播电视脱贫攻坚优秀集体</w:t>
      </w:r>
      <w:r>
        <w:rPr>
          <w:rFonts w:hint="eastAsia" w:ascii="宋体" w:hAnsi="宋体" w:eastAsia="宋体" w:cs="宋体"/>
          <w:sz w:val="32"/>
          <w:szCs w:val="32"/>
        </w:rPr>
        <w:t>”“</w:t>
      </w:r>
      <w:r>
        <w:rPr>
          <w:rFonts w:hint="eastAsia" w:ascii="Times New Roman" w:hAnsi="Times New Roman" w:eastAsia="方正仿宋_GBK" w:cs="方正仿宋_GBK"/>
          <w:sz w:val="32"/>
          <w:szCs w:val="32"/>
        </w:rPr>
        <w:t>国家</w:t>
      </w:r>
      <w:r>
        <w:rPr>
          <w:rFonts w:ascii="Times New Roman" w:hAnsi="Times New Roman" w:eastAsia="方正仿宋_GBK" w:cs="Times New Roman"/>
          <w:sz w:val="32"/>
          <w:szCs w:val="32"/>
        </w:rPr>
        <w:t>AAAA</w:t>
      </w:r>
      <w:r>
        <w:rPr>
          <w:rFonts w:hint="eastAsia" w:ascii="Times New Roman" w:hAnsi="Times New Roman" w:eastAsia="方正仿宋_GBK" w:cs="方正仿宋_GBK"/>
          <w:sz w:val="32"/>
          <w:szCs w:val="32"/>
        </w:rPr>
        <w:t>级旅游景区</w:t>
      </w: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个、国家</w:t>
      </w:r>
      <w:r>
        <w:rPr>
          <w:rFonts w:ascii="Times New Roman" w:hAnsi="Times New Roman" w:eastAsia="方正仿宋_GBK" w:cs="Times New Roman"/>
          <w:sz w:val="32"/>
          <w:szCs w:val="32"/>
        </w:rPr>
        <w:t>AAA</w:t>
      </w:r>
      <w:r>
        <w:rPr>
          <w:rFonts w:hint="eastAsia" w:ascii="Times New Roman" w:hAnsi="Times New Roman" w:eastAsia="方正仿宋_GBK" w:cs="方正仿宋_GBK"/>
          <w:sz w:val="32"/>
          <w:szCs w:val="32"/>
        </w:rPr>
        <w:t>级旅游景区</w:t>
      </w: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个、星级酒店</w:t>
      </w: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个、星级农家乐（乡村酒店）</w:t>
      </w:r>
      <w:r>
        <w:rPr>
          <w:rFonts w:ascii="Times New Roman" w:hAnsi="Times New Roman" w:eastAsia="方正仿宋_GBK" w:cs="Times New Roman"/>
          <w:sz w:val="32"/>
          <w:szCs w:val="32"/>
        </w:rPr>
        <w:t>13</w:t>
      </w:r>
      <w:r>
        <w:rPr>
          <w:rFonts w:hint="eastAsia" w:ascii="Times New Roman" w:hAnsi="Times New Roman" w:eastAsia="方正仿宋_GBK" w:cs="方正仿宋_GBK"/>
          <w:sz w:val="32"/>
          <w:szCs w:val="32"/>
        </w:rPr>
        <w:t>个</w:t>
      </w:r>
      <w:r>
        <w:rPr>
          <w:rFonts w:hint="eastAsia" w:ascii="宋体" w:hAnsi="宋体" w:eastAsia="宋体" w:cs="宋体"/>
          <w:sz w:val="32"/>
          <w:szCs w:val="32"/>
        </w:rPr>
        <w:t>”</w:t>
      </w:r>
      <w:r>
        <w:rPr>
          <w:rFonts w:hint="eastAsia" w:ascii="Times New Roman" w:hAnsi="Times New Roman" w:eastAsia="方正仿宋_GBK" w:cs="方正仿宋_GBK"/>
          <w:sz w:val="32"/>
          <w:szCs w:val="32"/>
        </w:rPr>
        <w:t>为发展动力，大力推进文化体育和旅游深度融合发展，聚焦建设</w:t>
      </w:r>
      <w:r>
        <w:rPr>
          <w:rFonts w:hint="eastAsia" w:ascii="宋体" w:hAnsi="宋体" w:eastAsia="宋体" w:cs="宋体"/>
          <w:sz w:val="32"/>
          <w:szCs w:val="32"/>
        </w:rPr>
        <w:t>“</w:t>
      </w:r>
      <w:r>
        <w:rPr>
          <w:rFonts w:hint="eastAsia" w:ascii="Times New Roman" w:hAnsi="Times New Roman" w:eastAsia="方正仿宋_GBK" w:cs="方正仿宋_GBK"/>
          <w:sz w:val="32"/>
          <w:szCs w:val="32"/>
        </w:rPr>
        <w:t>城郊休闲体验打卡地</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乡村旅游首选地</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乡村运动休闲体验地</w:t>
      </w:r>
      <w:r>
        <w:rPr>
          <w:rFonts w:hint="eastAsia" w:ascii="宋体" w:hAnsi="宋体" w:eastAsia="宋体" w:cs="宋体"/>
          <w:sz w:val="32"/>
          <w:szCs w:val="32"/>
        </w:rPr>
        <w:t>”</w:t>
      </w:r>
      <w:r>
        <w:rPr>
          <w:rFonts w:hint="eastAsia" w:ascii="Times New Roman" w:hAnsi="Times New Roman" w:eastAsia="方正仿宋_GBK" w:cs="方正仿宋_GBK"/>
          <w:sz w:val="32"/>
          <w:szCs w:val="32"/>
        </w:rPr>
        <w:t>，突出抓好核心景点打造、文化底蕴塑造、关联产业培育、品牌赛事植入，发挥巴人历史文化旅游产业园、中华银杏谷、石桥古镇等文旅项目龙头带动作用，打造全域化旅游产品、构建文化体育和旅游产业大格局、促进</w:t>
      </w:r>
      <w:r>
        <w:rPr>
          <w:rFonts w:hint="eastAsia" w:ascii="宋体" w:hAnsi="宋体" w:eastAsia="宋体" w:cs="宋体"/>
          <w:sz w:val="32"/>
          <w:szCs w:val="32"/>
        </w:rPr>
        <w:t>“</w:t>
      </w:r>
      <w:r>
        <w:rPr>
          <w:rFonts w:hint="eastAsia" w:ascii="Times New Roman" w:hAnsi="Times New Roman" w:eastAsia="方正仿宋_GBK" w:cs="方正仿宋_GBK"/>
          <w:sz w:val="32"/>
          <w:szCs w:val="32"/>
        </w:rPr>
        <w:t>文化旅游</w:t>
      </w:r>
      <w:r>
        <w:rPr>
          <w:rFonts w:ascii="Times New Roman" w:hAnsi="Times New Roman" w:eastAsia="方正仿宋_GBK" w:cs="Times New Roman"/>
          <w:sz w:val="32"/>
          <w:szCs w:val="32"/>
        </w:rPr>
        <w:t>+</w:t>
      </w:r>
      <w:r>
        <w:rPr>
          <w:rFonts w:hint="eastAsia" w:ascii="宋体" w:hAnsi="宋体" w:eastAsia="宋体" w:cs="宋体"/>
          <w:sz w:val="32"/>
          <w:szCs w:val="32"/>
        </w:rPr>
        <w:t>”“</w:t>
      </w:r>
      <w:r>
        <w:rPr>
          <w:rFonts w:hint="eastAsia" w:ascii="Times New Roman" w:hAnsi="Times New Roman" w:eastAsia="方正仿宋_GBK" w:cs="方正仿宋_GBK"/>
          <w:sz w:val="32"/>
          <w:szCs w:val="32"/>
        </w:rPr>
        <w:t>体育旅游</w:t>
      </w:r>
      <w:r>
        <w:rPr>
          <w:rFonts w:ascii="Times New Roman" w:hAnsi="Times New Roman" w:eastAsia="方正仿宋_GBK" w:cs="Times New Roman"/>
          <w:sz w:val="32"/>
          <w:szCs w:val="32"/>
        </w:rPr>
        <w:t>+</w:t>
      </w:r>
      <w:r>
        <w:rPr>
          <w:rFonts w:hint="eastAsia" w:ascii="宋体" w:hAnsi="宋体" w:eastAsia="宋体" w:cs="宋体"/>
          <w:sz w:val="32"/>
          <w:szCs w:val="32"/>
        </w:rPr>
        <w:t>”</w:t>
      </w:r>
      <w:r>
        <w:rPr>
          <w:rFonts w:hint="eastAsia" w:ascii="Times New Roman" w:hAnsi="Times New Roman" w:eastAsia="方正仿宋_GBK" w:cs="方正仿宋_GBK"/>
          <w:sz w:val="32"/>
          <w:szCs w:val="32"/>
        </w:rPr>
        <w:t>产业融合、推动文化体育和旅游产业向纵深发展和广度拓展，全面提升文化体育和旅游竞争力，实现达川文化体育和旅游的全面升级和可持续发展。</w:t>
      </w:r>
    </w:p>
    <w:p>
      <w:pPr>
        <w:pStyle w:val="9"/>
        <w:ind w:left="840" w:firstLine="640"/>
        <w:rPr>
          <w:rFonts w:ascii="Times New Roman" w:hAnsi="Times New Roman" w:eastAsia="方正仿宋_GBK" w:cs="Times New Roman"/>
          <w:lang w:eastAsia="zh-C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第四节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发展目标</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到</w:t>
      </w:r>
      <w:r>
        <w:rPr>
          <w:rFonts w:ascii="Times New Roman" w:hAnsi="Times New Roman" w:eastAsia="方正仿宋_GBK" w:cs="Times New Roman"/>
          <w:sz w:val="32"/>
          <w:szCs w:val="32"/>
        </w:rPr>
        <w:t>2025</w:t>
      </w:r>
      <w:r>
        <w:rPr>
          <w:rFonts w:hint="eastAsia" w:ascii="Times New Roman" w:hAnsi="Times New Roman" w:eastAsia="方正仿宋_GBK" w:cs="方正仿宋_GBK"/>
          <w:sz w:val="32"/>
          <w:szCs w:val="32"/>
        </w:rPr>
        <w:t>年，社会主义核心价值观深入人心，人民思想道德素质、科学文化素质和身心健康素质明显提高，社会文明程度得到新提高，巴文化影响力进一步提升，高质量公共文化服务体系和现代化文化产业体系基本形成，文化体育和旅游深度融合，人民群众精神文化生活日益丰富，人民群众体育健身更加便利，全国巴文化传承创新和旅游发展高地的地位基本确立，文化强区、健康达川、旅游强区基本建成。具体目标如下：</w:t>
      </w:r>
    </w:p>
    <w:p>
      <w:pPr>
        <w:adjustRightInd w:val="0"/>
        <w:snapToGrid w:val="0"/>
        <w:spacing w:line="578" w:lineRule="exact"/>
        <w:ind w:firstLine="640" w:firstLineChars="200"/>
        <w:outlineLvl w:val="2"/>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一、推动文旅融合高质量发展</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到</w:t>
      </w:r>
      <w:r>
        <w:rPr>
          <w:rFonts w:ascii="Times New Roman" w:hAnsi="Times New Roman" w:eastAsia="方正仿宋_GBK" w:cs="Times New Roman"/>
          <w:sz w:val="32"/>
          <w:szCs w:val="32"/>
        </w:rPr>
        <w:t>2025</w:t>
      </w:r>
      <w:r>
        <w:rPr>
          <w:rFonts w:hint="eastAsia" w:ascii="Times New Roman" w:hAnsi="Times New Roman" w:eastAsia="方正仿宋_GBK" w:cs="方正仿宋_GBK"/>
          <w:sz w:val="32"/>
          <w:szCs w:val="32"/>
        </w:rPr>
        <w:t>年，把达川区成为社会主义核心价值观广泛践行、文化事业繁荣发展、文旅产业深度融合的</w:t>
      </w:r>
      <w:r>
        <w:rPr>
          <w:rFonts w:hint="eastAsia" w:ascii="宋体" w:hAnsi="宋体" w:eastAsia="宋体" w:cs="宋体"/>
          <w:sz w:val="32"/>
          <w:szCs w:val="32"/>
        </w:rPr>
        <w:t>“</w:t>
      </w:r>
      <w:r>
        <w:rPr>
          <w:rFonts w:hint="eastAsia" w:ascii="Times New Roman" w:hAnsi="Times New Roman" w:eastAsia="方正仿宋_GBK" w:cs="方正仿宋_GBK"/>
          <w:sz w:val="32"/>
          <w:szCs w:val="32"/>
        </w:rPr>
        <w:t>城郊休闲体验打卡地</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乡村旅游首选地</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乡村运动休闲体验地</w:t>
      </w:r>
      <w:r>
        <w:rPr>
          <w:rFonts w:hint="eastAsia" w:ascii="宋体" w:hAnsi="宋体" w:eastAsia="宋体" w:cs="宋体"/>
          <w:sz w:val="32"/>
          <w:szCs w:val="32"/>
        </w:rPr>
        <w:t>”</w:t>
      </w:r>
      <w:r>
        <w:rPr>
          <w:rFonts w:hint="eastAsia" w:ascii="Times New Roman" w:hAnsi="Times New Roman" w:eastAsia="方正仿宋_GBK" w:cs="方正仿宋_GBK"/>
          <w:sz w:val="32"/>
          <w:szCs w:val="32"/>
        </w:rPr>
        <w:t>，成为全国知名的巴文化体验和乡村休闲旅游打卡地。</w:t>
      </w:r>
    </w:p>
    <w:p>
      <w:pPr>
        <w:adjustRightInd w:val="0"/>
        <w:snapToGrid w:val="0"/>
        <w:spacing w:line="578" w:lineRule="exact"/>
        <w:ind w:firstLine="643" w:firstLineChars="200"/>
        <w:outlineLvl w:val="3"/>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一是致力提升巴文化影响力。</w:t>
      </w:r>
      <w:r>
        <w:rPr>
          <w:rFonts w:hint="eastAsia" w:ascii="Times New Roman" w:hAnsi="Times New Roman" w:eastAsia="方正仿宋_GBK" w:cs="方正仿宋_GBK"/>
          <w:sz w:val="32"/>
          <w:szCs w:val="32"/>
        </w:rPr>
        <w:t>持续推进巴文化传承创新高地建设，切实抓好巴文化产业园重点项目建设，围绕巴蜀文化繁荣，协力促进巴文化和蜀文化</w:t>
      </w:r>
      <w:r>
        <w:rPr>
          <w:rFonts w:hint="eastAsia" w:ascii="宋体" w:hAnsi="宋体" w:eastAsia="宋体" w:cs="宋体"/>
          <w:sz w:val="32"/>
          <w:szCs w:val="32"/>
        </w:rPr>
        <w:t>“</w:t>
      </w:r>
      <w:r>
        <w:rPr>
          <w:rFonts w:hint="eastAsia" w:ascii="Times New Roman" w:hAnsi="Times New Roman" w:eastAsia="方正仿宋_GBK" w:cs="方正仿宋_GBK"/>
          <w:sz w:val="32"/>
          <w:szCs w:val="32"/>
        </w:rPr>
        <w:t>两朵金花</w:t>
      </w:r>
      <w:r>
        <w:rPr>
          <w:rFonts w:hint="eastAsia" w:ascii="宋体" w:hAnsi="宋体" w:eastAsia="宋体" w:cs="宋体"/>
          <w:sz w:val="32"/>
          <w:szCs w:val="32"/>
        </w:rPr>
        <w:t>”</w:t>
      </w:r>
      <w:r>
        <w:rPr>
          <w:rFonts w:hint="eastAsia" w:ascii="Times New Roman" w:hAnsi="Times New Roman" w:eastAsia="方正仿宋_GBK" w:cs="方正仿宋_GBK"/>
          <w:sz w:val="32"/>
          <w:szCs w:val="32"/>
        </w:rPr>
        <w:t>共融发展，打造</w:t>
      </w:r>
      <w:r>
        <w:rPr>
          <w:rFonts w:hint="eastAsia" w:ascii="宋体" w:hAnsi="宋体" w:eastAsia="宋体" w:cs="宋体"/>
          <w:sz w:val="32"/>
          <w:szCs w:val="32"/>
        </w:rPr>
        <w:t>“</w:t>
      </w:r>
      <w:r>
        <w:rPr>
          <w:rFonts w:hint="eastAsia" w:ascii="Times New Roman" w:hAnsi="Times New Roman" w:eastAsia="方正仿宋_GBK" w:cs="方正仿宋_GBK"/>
          <w:sz w:val="32"/>
          <w:szCs w:val="32"/>
        </w:rPr>
        <w:t>达天下</w:t>
      </w:r>
      <w:r>
        <w:rPr>
          <w:rFonts w:hint="eastAsia" w:ascii="Times New Roman" w:hAnsi="Times New Roman" w:eastAsia="方正仿宋_GBK" w:cs="方正仿宋_GBK"/>
          <w:snapToGrid w:val="0"/>
          <w:kern w:val="0"/>
          <w:sz w:val="32"/>
          <w:szCs w:val="32"/>
          <w:u w:color="000000"/>
        </w:rPr>
        <w:t>·</w:t>
      </w:r>
      <w:r>
        <w:rPr>
          <w:rFonts w:hint="eastAsia" w:ascii="Times New Roman" w:hAnsi="Times New Roman" w:eastAsia="方正仿宋_GBK" w:cs="方正仿宋_GBK"/>
          <w:sz w:val="32"/>
          <w:szCs w:val="32"/>
        </w:rPr>
        <w:t>纳百川</w:t>
      </w:r>
      <w:r>
        <w:rPr>
          <w:rFonts w:hint="eastAsia" w:ascii="宋体" w:hAnsi="宋体" w:eastAsia="宋体" w:cs="宋体"/>
          <w:sz w:val="32"/>
          <w:szCs w:val="32"/>
        </w:rPr>
        <w:t>”</w:t>
      </w:r>
      <w:r>
        <w:rPr>
          <w:rFonts w:hint="eastAsia" w:ascii="Times New Roman" w:hAnsi="Times New Roman" w:eastAsia="方正仿宋_GBK" w:cs="方正仿宋_GBK"/>
          <w:sz w:val="32"/>
          <w:szCs w:val="32"/>
        </w:rPr>
        <w:t>的品牌形象。巴文化保护发掘、学术研究、成果展示取得阶段性成效。建设全国巴文化研究中心、展示中心和旅游中心。</w:t>
      </w:r>
    </w:p>
    <w:p>
      <w:pPr>
        <w:adjustRightInd w:val="0"/>
        <w:snapToGrid w:val="0"/>
        <w:spacing w:line="578" w:lineRule="exact"/>
        <w:ind w:firstLine="643" w:firstLineChars="200"/>
        <w:outlineLvl w:val="3"/>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二是致力提升达川文化和旅游吸引力。</w:t>
      </w:r>
      <w:r>
        <w:rPr>
          <w:rFonts w:hint="eastAsia" w:ascii="Times New Roman" w:hAnsi="Times New Roman" w:eastAsia="方正仿宋_GBK" w:cs="方正仿宋_GBK"/>
          <w:sz w:val="32"/>
          <w:szCs w:val="32"/>
        </w:rPr>
        <w:t>围绕</w:t>
      </w:r>
      <w:r>
        <w:rPr>
          <w:rFonts w:hint="eastAsia" w:ascii="宋体" w:hAnsi="宋体" w:eastAsia="宋体" w:cs="宋体"/>
          <w:sz w:val="32"/>
          <w:szCs w:val="32"/>
        </w:rPr>
        <w:t>“</w:t>
      </w:r>
      <w:r>
        <w:rPr>
          <w:rFonts w:hint="eastAsia" w:ascii="Times New Roman" w:hAnsi="Times New Roman" w:eastAsia="方正仿宋_GBK" w:cs="方正仿宋_GBK"/>
          <w:sz w:val="32"/>
          <w:szCs w:val="32"/>
        </w:rPr>
        <w:t>城郊休闲体验打卡地</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乡村旅游首选地</w:t>
      </w:r>
      <w:r>
        <w:rPr>
          <w:rFonts w:hint="eastAsia" w:ascii="宋体" w:hAnsi="宋体" w:eastAsia="宋体" w:cs="宋体"/>
          <w:sz w:val="32"/>
          <w:szCs w:val="32"/>
        </w:rPr>
        <w:t>”</w:t>
      </w:r>
      <w:r>
        <w:rPr>
          <w:rFonts w:hint="eastAsia" w:ascii="Times New Roman" w:hAnsi="Times New Roman" w:eastAsia="方正仿宋_GBK" w:cs="方正仿宋_GBK"/>
          <w:sz w:val="32"/>
          <w:szCs w:val="32"/>
        </w:rPr>
        <w:t>建设，积极培育文旅经济新增长点，推动创建国家</w:t>
      </w:r>
      <w:r>
        <w:rPr>
          <w:rFonts w:ascii="Times New Roman" w:hAnsi="Times New Roman" w:eastAsia="方正仿宋_GBK" w:cs="Times New Roman"/>
          <w:sz w:val="32"/>
          <w:szCs w:val="32"/>
        </w:rPr>
        <w:t>A</w:t>
      </w:r>
      <w:r>
        <w:rPr>
          <w:rFonts w:hint="eastAsia" w:ascii="Times New Roman" w:hAnsi="Times New Roman" w:eastAsia="方正仿宋_GBK" w:cs="方正仿宋_GBK"/>
          <w:sz w:val="32"/>
          <w:szCs w:val="32"/>
        </w:rPr>
        <w:t>级旅游景区、省级全域旅游示范区和天府旅游名牌，</w:t>
      </w:r>
      <w:r>
        <w:rPr>
          <w:rFonts w:hint="eastAsia" w:ascii="宋体" w:hAnsi="宋体" w:eastAsia="宋体" w:cs="宋体"/>
          <w:sz w:val="32"/>
          <w:szCs w:val="32"/>
        </w:rPr>
        <w:t>“</w:t>
      </w:r>
      <w:r>
        <w:rPr>
          <w:rFonts w:hint="eastAsia" w:ascii="Times New Roman" w:hAnsi="Times New Roman" w:eastAsia="方正仿宋_GBK" w:cs="方正仿宋_GBK"/>
          <w:sz w:val="32"/>
          <w:szCs w:val="32"/>
        </w:rPr>
        <w:t>达天下</w:t>
      </w:r>
      <w:r>
        <w:rPr>
          <w:rFonts w:hint="eastAsia" w:ascii="Times New Roman" w:hAnsi="Times New Roman" w:eastAsia="方正仿宋_GBK" w:cs="方正仿宋_GBK"/>
          <w:snapToGrid w:val="0"/>
          <w:kern w:val="0"/>
          <w:sz w:val="32"/>
          <w:szCs w:val="32"/>
          <w:u w:color="000000"/>
        </w:rPr>
        <w:t>·</w:t>
      </w:r>
      <w:r>
        <w:rPr>
          <w:rFonts w:hint="eastAsia" w:ascii="Times New Roman" w:hAnsi="Times New Roman" w:eastAsia="方正仿宋_GBK" w:cs="方正仿宋_GBK"/>
          <w:sz w:val="32"/>
          <w:szCs w:val="32"/>
        </w:rPr>
        <w:t>纳百川</w:t>
      </w:r>
      <w:r>
        <w:rPr>
          <w:rFonts w:hint="eastAsia" w:ascii="宋体" w:hAnsi="宋体" w:eastAsia="宋体" w:cs="宋体"/>
          <w:sz w:val="32"/>
          <w:szCs w:val="32"/>
        </w:rPr>
        <w:t>”</w:t>
      </w:r>
      <w:r>
        <w:rPr>
          <w:rFonts w:hint="eastAsia" w:ascii="Times New Roman" w:hAnsi="Times New Roman" w:eastAsia="方正仿宋_GBK" w:cs="方正仿宋_GBK"/>
          <w:sz w:val="32"/>
          <w:szCs w:val="32"/>
        </w:rPr>
        <w:t>知名度、美誉度、开放度显著提升。</w:t>
      </w:r>
    </w:p>
    <w:p>
      <w:pPr>
        <w:adjustRightInd w:val="0"/>
        <w:snapToGrid w:val="0"/>
        <w:spacing w:line="578" w:lineRule="exact"/>
        <w:ind w:firstLine="643" w:firstLineChars="200"/>
        <w:outlineLvl w:val="3"/>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三是致力扩大文旅产业规模。</w:t>
      </w:r>
      <w:r>
        <w:rPr>
          <w:rFonts w:hint="eastAsia" w:ascii="Times New Roman" w:hAnsi="Times New Roman" w:eastAsia="方正仿宋_GBK" w:cs="方正仿宋_GBK"/>
          <w:sz w:val="32"/>
          <w:szCs w:val="32"/>
        </w:rPr>
        <w:t>文化和旅游产业规模不断扩大，到</w:t>
      </w:r>
      <w:r>
        <w:rPr>
          <w:rFonts w:ascii="Times New Roman" w:hAnsi="Times New Roman" w:eastAsia="方正仿宋_GBK" w:cs="Times New Roman"/>
          <w:sz w:val="32"/>
          <w:szCs w:val="32"/>
        </w:rPr>
        <w:t>2025</w:t>
      </w:r>
      <w:r>
        <w:rPr>
          <w:rFonts w:hint="eastAsia" w:ascii="Times New Roman" w:hAnsi="Times New Roman" w:eastAsia="方正仿宋_GBK" w:cs="方正仿宋_GBK"/>
          <w:sz w:val="32"/>
          <w:szCs w:val="32"/>
        </w:rPr>
        <w:t>年，实现文化产业增加值</w:t>
      </w: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亿元，接待游客</w:t>
      </w:r>
      <w:r>
        <w:rPr>
          <w:rFonts w:ascii="Times New Roman" w:hAnsi="Times New Roman" w:eastAsia="方正仿宋_GBK" w:cs="Times New Roman"/>
          <w:sz w:val="32"/>
          <w:szCs w:val="32"/>
        </w:rPr>
        <w:t>800</w:t>
      </w:r>
      <w:r>
        <w:rPr>
          <w:rFonts w:hint="eastAsia" w:ascii="Times New Roman" w:hAnsi="Times New Roman" w:eastAsia="方正仿宋_GBK" w:cs="方正仿宋_GBK"/>
          <w:sz w:val="32"/>
          <w:szCs w:val="32"/>
        </w:rPr>
        <w:t>万人次以上，旅游总收入</w:t>
      </w:r>
      <w:r>
        <w:rPr>
          <w:rFonts w:ascii="Times New Roman" w:hAnsi="Times New Roman" w:eastAsia="方正仿宋_GBK" w:cs="Times New Roman"/>
          <w:sz w:val="32"/>
          <w:szCs w:val="32"/>
        </w:rPr>
        <w:t>100</w:t>
      </w:r>
      <w:r>
        <w:rPr>
          <w:rFonts w:hint="eastAsia" w:ascii="Times New Roman" w:hAnsi="Times New Roman" w:eastAsia="方正仿宋_GBK" w:cs="方正仿宋_GBK"/>
          <w:sz w:val="32"/>
          <w:szCs w:val="32"/>
        </w:rPr>
        <w:t>亿元以上，创建国家</w:t>
      </w:r>
      <w:r>
        <w:rPr>
          <w:rFonts w:ascii="Times New Roman" w:hAnsi="Times New Roman" w:eastAsia="方正仿宋_GBK" w:cs="Times New Roman"/>
          <w:sz w:val="32"/>
          <w:szCs w:val="32"/>
        </w:rPr>
        <w:t>AAAA</w:t>
      </w:r>
      <w:r>
        <w:rPr>
          <w:rFonts w:hint="eastAsia" w:ascii="Times New Roman" w:hAnsi="Times New Roman" w:eastAsia="方正仿宋_GBK" w:cs="方正仿宋_GBK"/>
          <w:sz w:val="32"/>
          <w:szCs w:val="32"/>
        </w:rPr>
        <w:t>级旅游景区</w:t>
      </w: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个、国家</w:t>
      </w:r>
      <w:r>
        <w:rPr>
          <w:rFonts w:ascii="Times New Roman" w:hAnsi="Times New Roman" w:eastAsia="方正仿宋_GBK" w:cs="Times New Roman"/>
          <w:sz w:val="32"/>
          <w:szCs w:val="32"/>
        </w:rPr>
        <w:t>AAA</w:t>
      </w:r>
      <w:r>
        <w:rPr>
          <w:rFonts w:hint="eastAsia" w:ascii="Times New Roman" w:hAnsi="Times New Roman" w:eastAsia="方正仿宋_GBK" w:cs="方正仿宋_GBK"/>
          <w:sz w:val="32"/>
          <w:szCs w:val="32"/>
        </w:rPr>
        <w:t>级旅游景区</w:t>
      </w:r>
      <w:r>
        <w:rPr>
          <w:rFonts w:ascii="Times New Roman" w:hAnsi="Times New Roman" w:eastAsia="方正仿宋_GBK" w:cs="Times New Roman"/>
          <w:sz w:val="32"/>
          <w:szCs w:val="32"/>
        </w:rPr>
        <w:t>4</w:t>
      </w:r>
      <w:r>
        <w:rPr>
          <w:rFonts w:hint="eastAsia" w:ascii="Times New Roman" w:hAnsi="Times New Roman" w:eastAsia="方正仿宋_GBK" w:cs="方正仿宋_GBK"/>
          <w:sz w:val="32"/>
          <w:szCs w:val="32"/>
        </w:rPr>
        <w:t>个、争创省级全域旅游示范区，创建一批</w:t>
      </w:r>
      <w:r>
        <w:rPr>
          <w:rFonts w:hint="eastAsia" w:ascii="宋体" w:hAnsi="宋体" w:eastAsia="宋体" w:cs="宋体"/>
          <w:sz w:val="32"/>
          <w:szCs w:val="32"/>
        </w:rPr>
        <w:t>“</w:t>
      </w:r>
      <w:r>
        <w:rPr>
          <w:rFonts w:hint="eastAsia" w:ascii="Times New Roman" w:hAnsi="Times New Roman" w:eastAsia="方正仿宋_GBK" w:cs="方正仿宋_GBK"/>
          <w:sz w:val="32"/>
          <w:szCs w:val="32"/>
        </w:rPr>
        <w:t>天府旅游名牌</w:t>
      </w:r>
      <w:r>
        <w:rPr>
          <w:rFonts w:hint="eastAsia" w:ascii="宋体" w:hAnsi="宋体" w:eastAsia="宋体" w:cs="宋体"/>
          <w:sz w:val="32"/>
          <w:szCs w:val="32"/>
        </w:rPr>
        <w:t>”</w:t>
      </w:r>
      <w:r>
        <w:rPr>
          <w:rFonts w:hint="eastAsia" w:ascii="Times New Roman" w:hAnsi="Times New Roman" w:eastAsia="方正仿宋_GBK" w:cs="方正仿宋_GBK"/>
          <w:sz w:val="32"/>
          <w:szCs w:val="32"/>
        </w:rPr>
        <w:t>（名镇、名村、名宿（旅游民宿）、名导（导游、讲解员）、名品（文创产品、旅游商品）和美食）。力争到</w:t>
      </w:r>
      <w:r>
        <w:rPr>
          <w:rFonts w:ascii="Times New Roman" w:hAnsi="Times New Roman" w:eastAsia="方正仿宋_GBK" w:cs="Times New Roman"/>
          <w:sz w:val="32"/>
          <w:szCs w:val="32"/>
        </w:rPr>
        <w:t>2025</w:t>
      </w:r>
      <w:r>
        <w:rPr>
          <w:rFonts w:hint="eastAsia" w:ascii="Times New Roman" w:hAnsi="Times New Roman" w:eastAsia="方正仿宋_GBK" w:cs="方正仿宋_GBK"/>
          <w:sz w:val="32"/>
          <w:szCs w:val="32"/>
        </w:rPr>
        <w:t>年项目投资总额超过</w:t>
      </w:r>
      <w:r>
        <w:rPr>
          <w:rFonts w:ascii="Times New Roman" w:hAnsi="Times New Roman" w:eastAsia="方正仿宋_GBK" w:cs="Times New Roman"/>
          <w:sz w:val="32"/>
          <w:szCs w:val="32"/>
        </w:rPr>
        <w:t>100</w:t>
      </w:r>
      <w:r>
        <w:rPr>
          <w:rFonts w:hint="eastAsia" w:ascii="Times New Roman" w:hAnsi="Times New Roman" w:eastAsia="方正仿宋_GBK" w:cs="方正仿宋_GBK"/>
          <w:sz w:val="32"/>
          <w:szCs w:val="32"/>
        </w:rPr>
        <w:t>亿元，逐步成为达川的支柱产业。总资产和总收入实现</w:t>
      </w:r>
      <w:r>
        <w:rPr>
          <w:rFonts w:hint="eastAsia" w:ascii="宋体" w:hAnsi="宋体" w:eastAsia="宋体" w:cs="宋体"/>
          <w:sz w:val="32"/>
          <w:szCs w:val="32"/>
        </w:rPr>
        <w:t>“</w:t>
      </w:r>
      <w:r>
        <w:rPr>
          <w:rFonts w:hint="eastAsia" w:ascii="Times New Roman" w:hAnsi="Times New Roman" w:eastAsia="方正仿宋_GBK" w:cs="方正仿宋_GBK"/>
          <w:sz w:val="32"/>
          <w:szCs w:val="32"/>
        </w:rPr>
        <w:t>双亿</w:t>
      </w:r>
      <w:r>
        <w:rPr>
          <w:rFonts w:hint="eastAsia" w:ascii="宋体" w:hAnsi="宋体" w:eastAsia="宋体" w:cs="宋体"/>
          <w:sz w:val="32"/>
          <w:szCs w:val="32"/>
        </w:rPr>
        <w:t>”</w:t>
      </w:r>
      <w:r>
        <w:rPr>
          <w:rFonts w:hint="eastAsia" w:ascii="Times New Roman" w:hAnsi="Times New Roman" w:eastAsia="方正仿宋_GBK" w:cs="方正仿宋_GBK"/>
          <w:sz w:val="32"/>
          <w:szCs w:val="32"/>
        </w:rPr>
        <w:t>的企业达到</w:t>
      </w: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户，文旅融合发展示范园区达到</w:t>
      </w: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个。</w:t>
      </w:r>
    </w:p>
    <w:p>
      <w:pPr>
        <w:adjustRightInd w:val="0"/>
        <w:snapToGrid w:val="0"/>
        <w:spacing w:line="578" w:lineRule="exact"/>
        <w:ind w:firstLine="640" w:firstLineChars="200"/>
        <w:outlineLvl w:val="2"/>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二、健全完善公共文化服务体系</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着力抓好全国巴文化高地重点项目等公共文化服务体系建设，不断健全完善区、乡（镇）、村（社区）三级公共文化服务网络。扩大公共服务供给，持续利用钢琴博物馆、巴文化博物馆开展公共文化服务活动；充实图书馆馆藏面积、提高藏书量，突出智慧图书馆建设，完善数字资源容量，实现总分馆通借通还，力争在</w:t>
      </w:r>
      <w:r>
        <w:rPr>
          <w:rFonts w:ascii="Times New Roman" w:hAnsi="Times New Roman" w:eastAsia="方正仿宋_GBK" w:cs="Times New Roman"/>
          <w:sz w:val="32"/>
          <w:szCs w:val="32"/>
        </w:rPr>
        <w:t>2024</w:t>
      </w:r>
      <w:r>
        <w:rPr>
          <w:rFonts w:hint="eastAsia" w:ascii="Times New Roman" w:hAnsi="Times New Roman" w:eastAsia="方正仿宋_GBK" w:cs="方正仿宋_GBK"/>
          <w:sz w:val="32"/>
          <w:szCs w:val="32"/>
        </w:rPr>
        <w:t>年底实现</w:t>
      </w:r>
      <w:r>
        <w:rPr>
          <w:rFonts w:hint="eastAsia" w:ascii="宋体" w:hAnsi="宋体" w:eastAsia="宋体" w:cs="宋体"/>
          <w:sz w:val="32"/>
          <w:szCs w:val="32"/>
        </w:rPr>
        <w:t>“</w:t>
      </w:r>
      <w:r>
        <w:rPr>
          <w:rFonts w:hint="eastAsia" w:ascii="Times New Roman" w:hAnsi="Times New Roman" w:eastAsia="方正仿宋_GBK" w:cs="方正仿宋_GBK"/>
          <w:sz w:val="32"/>
          <w:szCs w:val="32"/>
        </w:rPr>
        <w:t>一卡通办</w:t>
      </w:r>
      <w:r>
        <w:rPr>
          <w:rFonts w:hint="eastAsia" w:ascii="宋体" w:hAnsi="宋体" w:eastAsia="宋体" w:cs="宋体"/>
          <w:sz w:val="32"/>
          <w:szCs w:val="32"/>
        </w:rPr>
        <w:t>”</w:t>
      </w:r>
      <w:r>
        <w:rPr>
          <w:rFonts w:hint="eastAsia" w:ascii="Times New Roman" w:hAnsi="Times New Roman" w:eastAsia="方正仿宋_GBK" w:cs="方正仿宋_GBK"/>
          <w:sz w:val="32"/>
          <w:szCs w:val="32"/>
        </w:rPr>
        <w:t>，达到与社保卡有效衔接；着力抓好</w:t>
      </w: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公里阅读圈网络体系工程，加大总分馆建设力度，打破条块分割，覆盖</w:t>
      </w:r>
      <w:r>
        <w:rPr>
          <w:rFonts w:ascii="Times New Roman" w:hAnsi="Times New Roman" w:eastAsia="方正仿宋_GBK" w:cs="Times New Roman"/>
          <w:sz w:val="32"/>
          <w:szCs w:val="32"/>
        </w:rPr>
        <w:t>24</w:t>
      </w:r>
      <w:r>
        <w:rPr>
          <w:rFonts w:hint="eastAsia" w:ascii="Times New Roman" w:hAnsi="Times New Roman" w:eastAsia="方正仿宋_GBK" w:cs="方正仿宋_GBK"/>
          <w:sz w:val="32"/>
          <w:szCs w:val="32"/>
        </w:rPr>
        <w:t>小时城市阅读驿站，力争在十四五期间人均藏书量增至</w:t>
      </w:r>
      <w:r>
        <w:rPr>
          <w:rFonts w:ascii="Times New Roman" w:hAnsi="Times New Roman" w:eastAsia="方正仿宋_GBK" w:cs="Times New Roman"/>
          <w:sz w:val="32"/>
          <w:szCs w:val="32"/>
        </w:rPr>
        <w:t>0.9</w:t>
      </w:r>
      <w:r>
        <w:rPr>
          <w:rFonts w:hint="eastAsia" w:ascii="Times New Roman" w:hAnsi="Times New Roman" w:eastAsia="方正仿宋_GBK" w:cs="方正仿宋_GBK"/>
          <w:sz w:val="32"/>
          <w:szCs w:val="32"/>
        </w:rPr>
        <w:t>册，服务人次超过</w:t>
      </w:r>
      <w:r>
        <w:rPr>
          <w:rFonts w:ascii="Times New Roman" w:hAnsi="Times New Roman" w:eastAsia="方正仿宋_GBK" w:cs="Times New Roman"/>
          <w:sz w:val="32"/>
          <w:szCs w:val="32"/>
        </w:rPr>
        <w:t>15</w:t>
      </w:r>
      <w:r>
        <w:rPr>
          <w:rFonts w:hint="eastAsia" w:ascii="Times New Roman" w:hAnsi="Times New Roman" w:eastAsia="方正仿宋_GBK" w:cs="方正仿宋_GBK"/>
          <w:sz w:val="32"/>
          <w:szCs w:val="32"/>
        </w:rPr>
        <w:t>万次</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年，并逐年递增</w:t>
      </w: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以上，以满足人民群众的阅读需求。</w:t>
      </w:r>
    </w:p>
    <w:p>
      <w:pPr>
        <w:adjustRightInd w:val="0"/>
        <w:snapToGrid w:val="0"/>
        <w:spacing w:line="578" w:lineRule="exact"/>
        <w:ind w:firstLine="640" w:firstLineChars="200"/>
        <w:outlineLvl w:val="3"/>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扎实推进</w:t>
      </w:r>
      <w:r>
        <w:rPr>
          <w:rFonts w:hint="eastAsia" w:ascii="宋体" w:hAnsi="宋体" w:eastAsia="宋体" w:cs="宋体"/>
          <w:sz w:val="32"/>
          <w:szCs w:val="32"/>
        </w:rPr>
        <w:t>“</w:t>
      </w:r>
      <w:r>
        <w:rPr>
          <w:rFonts w:hint="eastAsia" w:ascii="Times New Roman" w:hAnsi="Times New Roman" w:eastAsia="方正仿宋_GBK" w:cs="方正仿宋_GBK"/>
          <w:sz w:val="32"/>
          <w:szCs w:val="32"/>
        </w:rPr>
        <w:t>文化惠民在身边</w:t>
      </w:r>
      <w:r>
        <w:rPr>
          <w:rFonts w:hint="eastAsia" w:ascii="宋体" w:hAnsi="宋体" w:eastAsia="宋体" w:cs="宋体"/>
          <w:sz w:val="32"/>
          <w:szCs w:val="32"/>
        </w:rPr>
        <w:t>”</w:t>
      </w:r>
      <w:r>
        <w:rPr>
          <w:rFonts w:hint="eastAsia" w:ascii="Times New Roman" w:hAnsi="Times New Roman" w:eastAsia="方正仿宋_GBK" w:cs="方正仿宋_GBK"/>
          <w:sz w:val="32"/>
          <w:szCs w:val="32"/>
        </w:rPr>
        <w:t>系列活动和</w:t>
      </w:r>
      <w:r>
        <w:rPr>
          <w:rFonts w:hint="eastAsia" w:ascii="宋体" w:hAnsi="宋体" w:eastAsia="宋体" w:cs="宋体"/>
          <w:sz w:val="32"/>
          <w:szCs w:val="32"/>
        </w:rPr>
        <w:t>“</w:t>
      </w:r>
      <w:r>
        <w:rPr>
          <w:rFonts w:hint="eastAsia" w:ascii="Times New Roman" w:hAnsi="Times New Roman" w:eastAsia="方正仿宋_GBK" w:cs="方正仿宋_GBK"/>
          <w:sz w:val="32"/>
          <w:szCs w:val="32"/>
        </w:rPr>
        <w:t>培根铸魂</w:t>
      </w:r>
      <w:r>
        <w:rPr>
          <w:rFonts w:hint="eastAsia" w:ascii="宋体" w:hAnsi="宋体" w:eastAsia="宋体" w:cs="宋体"/>
          <w:sz w:val="32"/>
          <w:szCs w:val="32"/>
        </w:rPr>
        <w:t>”</w:t>
      </w:r>
      <w:r>
        <w:rPr>
          <w:rFonts w:hint="eastAsia" w:ascii="Times New Roman" w:hAnsi="Times New Roman" w:eastAsia="方正仿宋_GBK" w:cs="方正仿宋_GBK"/>
          <w:sz w:val="32"/>
          <w:szCs w:val="32"/>
        </w:rPr>
        <w:t>工程。集中打造</w:t>
      </w:r>
      <w:r>
        <w:rPr>
          <w:rFonts w:ascii="Times New Roman" w:hAnsi="Times New Roman" w:eastAsia="方正仿宋_GBK" w:cs="Times New Roman"/>
          <w:sz w:val="32"/>
          <w:szCs w:val="32"/>
        </w:rPr>
        <w:t>10-15</w:t>
      </w:r>
      <w:r>
        <w:rPr>
          <w:rFonts w:hint="eastAsia" w:ascii="Times New Roman" w:hAnsi="Times New Roman" w:eastAsia="方正仿宋_GBK" w:cs="方正仿宋_GBK"/>
          <w:sz w:val="32"/>
          <w:szCs w:val="32"/>
        </w:rPr>
        <w:t>个特色亮点村镇文化活动阵地，每年对</w:t>
      </w:r>
      <w:r>
        <w:rPr>
          <w:rFonts w:ascii="Times New Roman" w:hAnsi="Times New Roman" w:eastAsia="方正仿宋_GBK" w:cs="Times New Roman"/>
          <w:sz w:val="32"/>
          <w:szCs w:val="32"/>
        </w:rPr>
        <w:t>3-5</w:t>
      </w:r>
      <w:r>
        <w:rPr>
          <w:rFonts w:hint="eastAsia" w:ascii="Times New Roman" w:hAnsi="Times New Roman" w:eastAsia="方正仿宋_GBK" w:cs="方正仿宋_GBK"/>
          <w:sz w:val="32"/>
          <w:szCs w:val="32"/>
        </w:rPr>
        <w:t>个乡镇修建中心场镇文化活动广场、每年重点对</w:t>
      </w:r>
      <w:r>
        <w:rPr>
          <w:rFonts w:ascii="Times New Roman" w:hAnsi="Times New Roman" w:eastAsia="方正仿宋_GBK" w:cs="Times New Roman"/>
          <w:sz w:val="32"/>
          <w:szCs w:val="32"/>
        </w:rPr>
        <w:t>2-3</w:t>
      </w:r>
      <w:r>
        <w:rPr>
          <w:rFonts w:hint="eastAsia" w:ascii="Times New Roman" w:hAnsi="Times New Roman" w:eastAsia="方正仿宋_GBK" w:cs="方正仿宋_GBK"/>
          <w:sz w:val="32"/>
          <w:szCs w:val="32"/>
        </w:rPr>
        <w:t>个乡（镇）或村（社区）公共文化阵地薄弱环节补短板建设，不断提升基层公共文化服务水平和能力；深度挖掘利用红色文化、巴人文化、民俗文化三大资源，推出更多精品力作，力争</w:t>
      </w:r>
      <w:r>
        <w:rPr>
          <w:rFonts w:ascii="Times New Roman" w:hAnsi="Times New Roman" w:eastAsia="方正仿宋_GBK" w:cs="Times New Roman"/>
          <w:sz w:val="32"/>
          <w:szCs w:val="32"/>
        </w:rPr>
        <w:t>1-2</w:t>
      </w:r>
      <w:r>
        <w:rPr>
          <w:rFonts w:hint="eastAsia" w:ascii="Times New Roman" w:hAnsi="Times New Roman" w:eastAsia="方正仿宋_GBK" w:cs="方正仿宋_GBK"/>
          <w:sz w:val="32"/>
          <w:szCs w:val="32"/>
        </w:rPr>
        <w:t>个创作作品在省级以上得奖。突出文化软实力建设，每年举办一次</w:t>
      </w:r>
      <w:r>
        <w:rPr>
          <w:rFonts w:hint="eastAsia" w:ascii="宋体" w:hAnsi="宋体" w:eastAsia="宋体" w:cs="宋体"/>
          <w:sz w:val="32"/>
          <w:szCs w:val="32"/>
        </w:rPr>
        <w:t>“</w:t>
      </w:r>
      <w:r>
        <w:rPr>
          <w:rFonts w:hint="eastAsia" w:ascii="Times New Roman" w:hAnsi="Times New Roman" w:eastAsia="方正仿宋_GBK" w:cs="方正仿宋_GBK"/>
          <w:sz w:val="32"/>
          <w:szCs w:val="32"/>
        </w:rPr>
        <w:t>万人赏月诵中秋</w:t>
      </w:r>
      <w:r>
        <w:rPr>
          <w:rFonts w:hint="eastAsia" w:ascii="宋体" w:hAnsi="宋体" w:eastAsia="宋体" w:cs="宋体"/>
          <w:sz w:val="32"/>
          <w:szCs w:val="32"/>
        </w:rPr>
        <w:t>”</w:t>
      </w:r>
      <w:r>
        <w:rPr>
          <w:rFonts w:hint="eastAsia" w:ascii="Times New Roman" w:hAnsi="Times New Roman" w:eastAsia="方正仿宋_GBK" w:cs="方正仿宋_GBK"/>
          <w:sz w:val="32"/>
          <w:szCs w:val="32"/>
        </w:rPr>
        <w:t>文化活动、每年举办一次</w:t>
      </w:r>
      <w:r>
        <w:rPr>
          <w:rFonts w:hint="eastAsia" w:ascii="宋体" w:hAnsi="宋体" w:eastAsia="宋体" w:cs="宋体"/>
          <w:sz w:val="32"/>
          <w:szCs w:val="32"/>
        </w:rPr>
        <w:t>“</w:t>
      </w:r>
      <w:r>
        <w:rPr>
          <w:rFonts w:hint="eastAsia" w:ascii="Times New Roman" w:hAnsi="Times New Roman" w:eastAsia="方正仿宋_GBK" w:cs="方正仿宋_GBK"/>
          <w:sz w:val="32"/>
          <w:szCs w:val="32"/>
        </w:rPr>
        <w:t>威尔第之声</w:t>
      </w:r>
      <w:r>
        <w:rPr>
          <w:rFonts w:hint="eastAsia" w:ascii="宋体" w:hAnsi="宋体" w:eastAsia="宋体" w:cs="宋体"/>
          <w:sz w:val="32"/>
          <w:szCs w:val="32"/>
        </w:rPr>
        <w:t>”</w:t>
      </w:r>
      <w:r>
        <w:rPr>
          <w:rFonts w:hint="eastAsia" w:ascii="Times New Roman" w:hAnsi="Times New Roman" w:eastAsia="方正仿宋_GBK" w:cs="方正仿宋_GBK"/>
          <w:sz w:val="32"/>
          <w:szCs w:val="32"/>
        </w:rPr>
        <w:t>声乐大赛和</w:t>
      </w:r>
      <w:r>
        <w:rPr>
          <w:rFonts w:hint="eastAsia" w:ascii="宋体" w:hAnsi="宋体" w:eastAsia="宋体" w:cs="宋体"/>
          <w:sz w:val="32"/>
          <w:szCs w:val="32"/>
        </w:rPr>
        <w:t>“</w:t>
      </w:r>
      <w:r>
        <w:rPr>
          <w:rFonts w:hint="eastAsia" w:ascii="Times New Roman" w:hAnsi="Times New Roman" w:eastAsia="方正仿宋_GBK" w:cs="方正仿宋_GBK"/>
          <w:sz w:val="32"/>
          <w:szCs w:val="32"/>
        </w:rPr>
        <w:t>中新音乐</w:t>
      </w:r>
      <w:r>
        <w:rPr>
          <w:rFonts w:hint="eastAsia" w:ascii="宋体" w:hAnsi="宋体" w:eastAsia="宋体" w:cs="宋体"/>
          <w:sz w:val="32"/>
          <w:szCs w:val="32"/>
        </w:rPr>
        <w:t>”</w:t>
      </w:r>
      <w:r>
        <w:rPr>
          <w:rFonts w:hint="eastAsia" w:ascii="Times New Roman" w:hAnsi="Times New Roman" w:eastAsia="方正仿宋_GBK" w:cs="方正仿宋_GBK"/>
          <w:sz w:val="32"/>
          <w:szCs w:val="32"/>
        </w:rPr>
        <w:t>比赛活动、每两年举办一次</w:t>
      </w:r>
      <w:r>
        <w:rPr>
          <w:rFonts w:hint="eastAsia" w:ascii="宋体" w:hAnsi="宋体" w:eastAsia="宋体" w:cs="宋体"/>
          <w:sz w:val="32"/>
          <w:szCs w:val="32"/>
        </w:rPr>
        <w:t>“</w:t>
      </w:r>
      <w:r>
        <w:rPr>
          <w:rFonts w:hint="eastAsia" w:ascii="Times New Roman" w:hAnsi="Times New Roman" w:eastAsia="方正仿宋_GBK" w:cs="方正仿宋_GBK"/>
          <w:sz w:val="32"/>
          <w:szCs w:val="32"/>
        </w:rPr>
        <w:t>巴文化艺术节</w:t>
      </w:r>
      <w:r>
        <w:rPr>
          <w:rFonts w:hint="eastAsia" w:ascii="宋体" w:hAnsi="宋体" w:eastAsia="宋体" w:cs="宋体"/>
          <w:sz w:val="32"/>
          <w:szCs w:val="32"/>
        </w:rPr>
        <w:t>”</w:t>
      </w:r>
      <w:r>
        <w:rPr>
          <w:rFonts w:hint="eastAsia" w:ascii="Times New Roman" w:hAnsi="Times New Roman" w:eastAsia="方正仿宋_GBK" w:cs="方正仿宋_GBK"/>
          <w:sz w:val="32"/>
          <w:szCs w:val="32"/>
        </w:rPr>
        <w:t>交流和展演活动、每年举行各类展览、讲座、培训、全民阅读和文艺演出等活动不少于</w:t>
      </w:r>
      <w:r>
        <w:rPr>
          <w:rFonts w:ascii="Times New Roman" w:hAnsi="Times New Roman" w:eastAsia="方正仿宋_GBK" w:cs="Times New Roman"/>
          <w:sz w:val="32"/>
          <w:szCs w:val="32"/>
        </w:rPr>
        <w:t>150</w:t>
      </w:r>
      <w:r>
        <w:rPr>
          <w:rFonts w:hint="eastAsia" w:ascii="Times New Roman" w:hAnsi="Times New Roman" w:eastAsia="方正仿宋_GBK" w:cs="方正仿宋_GBK"/>
          <w:sz w:val="32"/>
          <w:szCs w:val="32"/>
        </w:rPr>
        <w:t>场，每年开展文化体育骨干培训不少于</w:t>
      </w:r>
      <w:r>
        <w:rPr>
          <w:rFonts w:ascii="Times New Roman" w:hAnsi="Times New Roman" w:eastAsia="方正仿宋_GBK" w:cs="Times New Roman"/>
          <w:sz w:val="32"/>
          <w:szCs w:val="32"/>
        </w:rPr>
        <w:t>5</w:t>
      </w:r>
      <w:r>
        <w:rPr>
          <w:rFonts w:hint="eastAsia" w:ascii="Times New Roman" w:hAnsi="Times New Roman" w:eastAsia="方正仿宋_GBK" w:cs="方正仿宋_GBK"/>
          <w:sz w:val="32"/>
          <w:szCs w:val="32"/>
        </w:rPr>
        <w:t>次，培训人才不少于</w:t>
      </w:r>
      <w:r>
        <w:rPr>
          <w:rFonts w:ascii="Times New Roman" w:hAnsi="Times New Roman" w:eastAsia="方正仿宋_GBK" w:cs="Times New Roman"/>
          <w:sz w:val="32"/>
          <w:szCs w:val="32"/>
        </w:rPr>
        <w:t>500</w:t>
      </w:r>
      <w:r>
        <w:rPr>
          <w:rFonts w:hint="eastAsia" w:ascii="Times New Roman" w:hAnsi="Times New Roman" w:eastAsia="方正仿宋_GBK" w:cs="方正仿宋_GBK"/>
          <w:sz w:val="32"/>
          <w:szCs w:val="32"/>
        </w:rPr>
        <w:t>人、钢琴博物馆力争每年实现音乐人才培训人数达</w:t>
      </w: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万以上。</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加快实施全省智慧广电示范区创建项目，推进全区公共文化服务数字化建设；高清电视信号全方位覆盖；应急广播从中央到地方实现六级互联，可防可控。</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不断提升基层公共文化服务水平和能力，不断巩固</w:t>
      </w:r>
      <w:r>
        <w:rPr>
          <w:rFonts w:hint="eastAsia" w:ascii="宋体" w:hAnsi="宋体" w:eastAsia="宋体" w:cs="宋体"/>
          <w:sz w:val="32"/>
          <w:szCs w:val="32"/>
        </w:rPr>
        <w:t>“</w:t>
      </w:r>
      <w:r>
        <w:rPr>
          <w:rFonts w:hint="eastAsia" w:ascii="Times New Roman" w:hAnsi="Times New Roman" w:eastAsia="方正仿宋_GBK" w:cs="方正仿宋_GBK"/>
          <w:sz w:val="32"/>
          <w:szCs w:val="32"/>
        </w:rPr>
        <w:t>四川省现代公共文化服务体系示范县</w:t>
      </w:r>
      <w:r>
        <w:rPr>
          <w:rFonts w:hint="eastAsia" w:ascii="宋体" w:hAnsi="宋体" w:eastAsia="宋体" w:cs="宋体"/>
          <w:sz w:val="32"/>
          <w:szCs w:val="32"/>
        </w:rPr>
        <w:t>”</w:t>
      </w:r>
      <w:r>
        <w:rPr>
          <w:rFonts w:hint="eastAsia" w:ascii="Times New Roman" w:hAnsi="Times New Roman" w:eastAsia="方正仿宋_GBK" w:cs="方正仿宋_GBK"/>
          <w:sz w:val="32"/>
          <w:szCs w:val="32"/>
        </w:rPr>
        <w:t>创建成果，全力推动乡村文化振兴。</w:t>
      </w:r>
    </w:p>
    <w:p>
      <w:pPr>
        <w:adjustRightInd w:val="0"/>
        <w:snapToGrid w:val="0"/>
        <w:spacing w:line="578" w:lineRule="exact"/>
        <w:ind w:firstLine="640" w:firstLineChars="200"/>
        <w:outlineLvl w:val="2"/>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三、繁荣发展体育事业</w:t>
      </w:r>
    </w:p>
    <w:p>
      <w:pPr>
        <w:adjustRightInd w:val="0"/>
        <w:snapToGrid w:val="0"/>
        <w:spacing w:line="578"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方正仿宋_GBK"/>
          <w:sz w:val="32"/>
          <w:szCs w:val="32"/>
        </w:rPr>
        <w:t>抓好城市文化体育公园、全民健身活动中心、乡镇文化体育广场、村级文化体育工程、全民健身路径等全民健身公共服务系统建设，人民群众体育健身更加便利，健身热情进一步提高，各运动项目参与项目持续提升，经常参加体育锻炼的人数比例达</w:t>
      </w:r>
      <w:r>
        <w:rPr>
          <w:rFonts w:ascii="Times New Roman" w:hAnsi="Times New Roman" w:eastAsia="方正仿宋_GBK" w:cs="Times New Roman"/>
          <w:sz w:val="32"/>
          <w:szCs w:val="32"/>
        </w:rPr>
        <w:t>38.5%</w:t>
      </w:r>
      <w:r>
        <w:rPr>
          <w:rFonts w:hint="eastAsia" w:ascii="Times New Roman" w:hAnsi="Times New Roman" w:eastAsia="方正仿宋_GBK" w:cs="方正仿宋_GBK"/>
          <w:sz w:val="32"/>
          <w:szCs w:val="32"/>
        </w:rPr>
        <w:t>以上。建设一批乡镇健身中心和社区多功能运动场，实现区、乡镇（街道）、行政村（社区）三级公共健身设施和社区</w:t>
      </w:r>
      <w:r>
        <w:rPr>
          <w:rFonts w:ascii="Times New Roman" w:hAnsi="Times New Roman" w:eastAsia="方正仿宋_GBK" w:cs="Times New Roman"/>
          <w:sz w:val="32"/>
          <w:szCs w:val="32"/>
        </w:rPr>
        <w:t>15</w:t>
      </w:r>
      <w:r>
        <w:rPr>
          <w:rFonts w:hint="eastAsia" w:ascii="Times New Roman" w:hAnsi="Times New Roman" w:eastAsia="方正仿宋_GBK" w:cs="方正仿宋_GBK"/>
          <w:sz w:val="32"/>
          <w:szCs w:val="32"/>
        </w:rPr>
        <w:t>分钟健身圈全覆盖，人均体育场地面积达到</w:t>
      </w:r>
      <w:r>
        <w:rPr>
          <w:rFonts w:ascii="Times New Roman" w:hAnsi="Times New Roman" w:eastAsia="方正仿宋_GBK" w:cs="Times New Roman"/>
          <w:sz w:val="32"/>
          <w:szCs w:val="32"/>
        </w:rPr>
        <w:t>2.6</w:t>
      </w:r>
      <w:r>
        <w:rPr>
          <w:rFonts w:hint="eastAsia" w:ascii="Times New Roman" w:hAnsi="Times New Roman" w:eastAsia="方正仿宋_GBK" w:cs="方正仿宋_GBK"/>
          <w:sz w:val="32"/>
          <w:szCs w:val="32"/>
        </w:rPr>
        <w:t>㎡以上，每万人拥有足球场</w:t>
      </w:r>
      <w:r>
        <w:rPr>
          <w:rFonts w:ascii="Times New Roman" w:hAnsi="Times New Roman" w:eastAsia="方正仿宋_GBK" w:cs="Times New Roman"/>
          <w:sz w:val="32"/>
          <w:szCs w:val="32"/>
        </w:rPr>
        <w:t>0.9</w:t>
      </w:r>
      <w:r>
        <w:rPr>
          <w:rFonts w:hint="eastAsia" w:ascii="Times New Roman" w:hAnsi="Times New Roman" w:eastAsia="方正仿宋_GBK" w:cs="方正仿宋_GBK"/>
          <w:sz w:val="32"/>
          <w:szCs w:val="32"/>
        </w:rPr>
        <w:t>块以上，每千人拥有社会体育指导员</w:t>
      </w:r>
      <w:r>
        <w:rPr>
          <w:rFonts w:ascii="Times New Roman" w:hAnsi="Times New Roman" w:eastAsia="方正仿宋_GBK" w:cs="Times New Roman"/>
          <w:sz w:val="32"/>
          <w:szCs w:val="32"/>
        </w:rPr>
        <w:t>3.19</w:t>
      </w:r>
      <w:r>
        <w:rPr>
          <w:rFonts w:hint="eastAsia" w:ascii="Times New Roman" w:hAnsi="Times New Roman" w:eastAsia="方正仿宋_GBK" w:cs="方正仿宋_GBK"/>
          <w:sz w:val="32"/>
          <w:szCs w:val="32"/>
        </w:rPr>
        <w:t>名、培育一批社会体育引领员，培育</w:t>
      </w:r>
      <w:r>
        <w:rPr>
          <w:rFonts w:ascii="Times New Roman" w:hAnsi="Times New Roman" w:eastAsia="方正仿宋_GBK" w:cs="Times New Roman"/>
          <w:sz w:val="32"/>
          <w:szCs w:val="32"/>
        </w:rPr>
        <w:t>2-4</w:t>
      </w:r>
      <w:r>
        <w:rPr>
          <w:rFonts w:hint="eastAsia" w:ascii="Times New Roman" w:hAnsi="Times New Roman" w:eastAsia="方正仿宋_GBK" w:cs="方正仿宋_GBK"/>
          <w:sz w:val="32"/>
          <w:szCs w:val="32"/>
        </w:rPr>
        <w:t>个精品体育赛事品牌。</w:t>
      </w:r>
    </w:p>
    <w:p>
      <w:pPr>
        <w:adjustRightInd w:val="0"/>
        <w:snapToGrid w:val="0"/>
        <w:spacing w:line="578" w:lineRule="exact"/>
        <w:ind w:firstLine="640" w:firstLineChars="200"/>
        <w:outlineLvl w:val="2"/>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四、保护和传承中华优秀传统文化</w:t>
      </w:r>
    </w:p>
    <w:p>
      <w:pPr>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加大对红色文化的传承保护，重点挖掘石桥列宁街、杨超故居等红色文化资源，促进红色文化和旅游深度融合；突出巴文化创新高地建设，深度挖掘巴文化，加大巴文化交流研讨，力争每两年举办一次</w:t>
      </w:r>
      <w:r>
        <w:rPr>
          <w:rFonts w:hint="eastAsia" w:ascii="宋体" w:hAnsi="宋体" w:eastAsia="宋体" w:cs="宋体"/>
          <w:sz w:val="32"/>
          <w:szCs w:val="32"/>
        </w:rPr>
        <w:t>“</w:t>
      </w:r>
      <w:r>
        <w:rPr>
          <w:rFonts w:hint="eastAsia" w:ascii="Times New Roman" w:hAnsi="Times New Roman" w:eastAsia="方正仿宋_GBK" w:cs="方正仿宋_GBK"/>
          <w:sz w:val="32"/>
          <w:szCs w:val="32"/>
        </w:rPr>
        <w:t>巴文化旅游艺术节</w:t>
      </w:r>
      <w:r>
        <w:rPr>
          <w:rFonts w:hint="eastAsia" w:ascii="宋体" w:hAnsi="宋体" w:eastAsia="宋体" w:cs="宋体"/>
          <w:sz w:val="32"/>
          <w:szCs w:val="32"/>
        </w:rPr>
        <w:t>”</w:t>
      </w:r>
      <w:r>
        <w:rPr>
          <w:rFonts w:hint="eastAsia" w:ascii="Times New Roman" w:hAnsi="Times New Roman" w:eastAsia="方正仿宋_GBK" w:cs="方正仿宋_GBK"/>
          <w:sz w:val="32"/>
          <w:szCs w:val="32"/>
        </w:rPr>
        <w:t>交流和展演活动；打通公共文化服务</w:t>
      </w:r>
      <w:r>
        <w:rPr>
          <w:rFonts w:hint="eastAsia" w:ascii="宋体" w:hAnsi="宋体" w:eastAsia="宋体" w:cs="宋体"/>
          <w:sz w:val="32"/>
          <w:szCs w:val="32"/>
        </w:rPr>
        <w:t>“</w:t>
      </w:r>
      <w:r>
        <w:rPr>
          <w:rFonts w:hint="eastAsia" w:ascii="Times New Roman" w:hAnsi="Times New Roman" w:eastAsia="方正仿宋_GBK" w:cs="方正仿宋_GBK"/>
          <w:sz w:val="32"/>
          <w:szCs w:val="32"/>
        </w:rPr>
        <w:t>最后一公里</w:t>
      </w:r>
      <w:r>
        <w:rPr>
          <w:rFonts w:hint="eastAsia" w:ascii="宋体" w:hAnsi="宋体" w:eastAsia="宋体" w:cs="宋体"/>
          <w:sz w:val="32"/>
          <w:szCs w:val="32"/>
        </w:rPr>
        <w:t>”</w:t>
      </w:r>
      <w:r>
        <w:rPr>
          <w:rFonts w:hint="eastAsia" w:ascii="Times New Roman" w:hAnsi="Times New Roman" w:eastAsia="方正仿宋_GBK" w:cs="方正仿宋_GBK"/>
          <w:sz w:val="32"/>
          <w:szCs w:val="32"/>
        </w:rPr>
        <w:t>，完成所有行政村幸福美丽新村</w:t>
      </w:r>
      <w:r>
        <w:rPr>
          <w:rFonts w:hint="eastAsia" w:ascii="宋体" w:hAnsi="宋体" w:eastAsia="宋体" w:cs="宋体"/>
          <w:sz w:val="32"/>
          <w:szCs w:val="32"/>
        </w:rPr>
        <w:t>“</w:t>
      </w:r>
      <w:r>
        <w:rPr>
          <w:rFonts w:hint="eastAsia" w:ascii="Times New Roman" w:hAnsi="Times New Roman" w:eastAsia="方正仿宋_GBK" w:cs="方正仿宋_GBK"/>
          <w:sz w:val="32"/>
          <w:szCs w:val="32"/>
        </w:rPr>
        <w:t>文化院坝</w:t>
      </w:r>
      <w:r>
        <w:rPr>
          <w:rFonts w:hint="eastAsia" w:ascii="宋体" w:hAnsi="宋体" w:eastAsia="宋体" w:cs="宋体"/>
          <w:sz w:val="32"/>
          <w:szCs w:val="32"/>
        </w:rPr>
        <w:t>”</w:t>
      </w:r>
      <w:r>
        <w:rPr>
          <w:rFonts w:hint="eastAsia" w:ascii="Times New Roman" w:hAnsi="Times New Roman" w:eastAsia="方正仿宋_GBK" w:cs="方正仿宋_GBK"/>
          <w:sz w:val="32"/>
          <w:szCs w:val="32"/>
        </w:rPr>
        <w:t>和乡镇文化氛围建设，建成乡镇中心城镇文化活动广场，常态化开展文化惠民活动，提升群众幸福感、收获感；做好</w:t>
      </w:r>
      <w:r>
        <w:rPr>
          <w:rFonts w:hint="eastAsia" w:ascii="宋体" w:hAnsi="宋体" w:eastAsia="宋体" w:cs="宋体"/>
          <w:sz w:val="32"/>
          <w:szCs w:val="32"/>
        </w:rPr>
        <w:t>“</w:t>
      </w:r>
      <w:r>
        <w:rPr>
          <w:rFonts w:hint="eastAsia" w:ascii="Times New Roman" w:hAnsi="Times New Roman" w:eastAsia="方正仿宋_GBK" w:cs="方正仿宋_GBK"/>
          <w:sz w:val="32"/>
          <w:szCs w:val="32"/>
        </w:rPr>
        <w:t>非遗</w:t>
      </w:r>
      <w:r>
        <w:rPr>
          <w:rFonts w:hint="eastAsia" w:ascii="宋体" w:hAnsi="宋体" w:eastAsia="宋体" w:cs="宋体"/>
          <w:sz w:val="32"/>
          <w:szCs w:val="32"/>
        </w:rPr>
        <w:t>”</w:t>
      </w:r>
      <w:r>
        <w:rPr>
          <w:rFonts w:hint="eastAsia" w:ascii="Times New Roman" w:hAnsi="Times New Roman" w:eastAsia="方正仿宋_GBK" w:cs="方正仿宋_GBK"/>
          <w:sz w:val="32"/>
          <w:szCs w:val="32"/>
        </w:rPr>
        <w:t>项目的挖掘、保护、传习、展演工作，深入推动</w:t>
      </w:r>
      <w:r>
        <w:rPr>
          <w:rFonts w:hint="eastAsia" w:ascii="宋体" w:hAnsi="宋体" w:eastAsia="宋体" w:cs="宋体"/>
          <w:sz w:val="32"/>
          <w:szCs w:val="32"/>
        </w:rPr>
        <w:t>“</w:t>
      </w:r>
      <w:r>
        <w:rPr>
          <w:rFonts w:hint="eastAsia" w:ascii="Times New Roman" w:hAnsi="Times New Roman" w:eastAsia="方正仿宋_GBK" w:cs="方正仿宋_GBK"/>
          <w:sz w:val="32"/>
          <w:szCs w:val="32"/>
        </w:rPr>
        <w:t>非遗</w:t>
      </w:r>
      <w:r>
        <w:rPr>
          <w:rFonts w:hint="eastAsia" w:ascii="宋体" w:hAnsi="宋体" w:eastAsia="宋体" w:cs="宋体"/>
          <w:sz w:val="32"/>
          <w:szCs w:val="32"/>
        </w:rPr>
        <w:t>”</w:t>
      </w:r>
      <w:r>
        <w:rPr>
          <w:rFonts w:hint="eastAsia" w:ascii="Times New Roman" w:hAnsi="Times New Roman" w:eastAsia="方正仿宋_GBK" w:cs="方正仿宋_GBK"/>
          <w:sz w:val="32"/>
          <w:szCs w:val="32"/>
        </w:rPr>
        <w:t>项目逐级申报工作，建成巴文化展示馆，修建民俗文化展览馆或非遗展示馆，抢救保护</w:t>
      </w:r>
      <w:r>
        <w:rPr>
          <w:rFonts w:hint="eastAsia" w:ascii="宋体" w:hAnsi="宋体" w:eastAsia="宋体" w:cs="宋体"/>
          <w:sz w:val="32"/>
          <w:szCs w:val="32"/>
        </w:rPr>
        <w:t>“</w:t>
      </w:r>
      <w:r>
        <w:rPr>
          <w:rFonts w:hint="eastAsia" w:ascii="Times New Roman" w:hAnsi="Times New Roman" w:eastAsia="方正仿宋_GBK" w:cs="方正仿宋_GBK"/>
          <w:sz w:val="32"/>
          <w:szCs w:val="32"/>
        </w:rPr>
        <w:t>石桥烟火架</w:t>
      </w:r>
      <w:r>
        <w:rPr>
          <w:rFonts w:hint="eastAsia" w:ascii="宋体" w:hAnsi="宋体" w:eastAsia="宋体" w:cs="宋体"/>
          <w:sz w:val="32"/>
          <w:szCs w:val="32"/>
        </w:rPr>
        <w:t>”</w:t>
      </w:r>
      <w:r>
        <w:rPr>
          <w:rFonts w:hint="eastAsia" w:ascii="Times New Roman" w:hAnsi="Times New Roman" w:eastAsia="方正仿宋_GBK" w:cs="方正仿宋_GBK"/>
          <w:sz w:val="32"/>
          <w:szCs w:val="32"/>
        </w:rPr>
        <w:t>项目，举办</w:t>
      </w:r>
      <w:r>
        <w:rPr>
          <w:rFonts w:hint="eastAsia" w:ascii="宋体" w:hAnsi="宋体" w:eastAsia="宋体" w:cs="宋体"/>
          <w:sz w:val="32"/>
          <w:szCs w:val="32"/>
        </w:rPr>
        <w:t>“</w:t>
      </w:r>
      <w:r>
        <w:rPr>
          <w:rFonts w:hint="eastAsia" w:ascii="Times New Roman" w:hAnsi="Times New Roman" w:eastAsia="方正仿宋_GBK" w:cs="方正仿宋_GBK"/>
          <w:sz w:val="32"/>
          <w:szCs w:val="32"/>
        </w:rPr>
        <w:t>石桥火龙文化艺术节</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。十四五期间力争实现</w:t>
      </w:r>
      <w:r>
        <w:rPr>
          <w:rFonts w:ascii="Times New Roman" w:hAnsi="Times New Roman" w:eastAsia="方正仿宋_GBK" w:cs="Times New Roman"/>
          <w:sz w:val="32"/>
          <w:szCs w:val="32"/>
        </w:rPr>
        <w:t>2-3</w:t>
      </w:r>
      <w:r>
        <w:rPr>
          <w:rFonts w:hint="eastAsia" w:ascii="Times New Roman" w:hAnsi="Times New Roman" w:eastAsia="方正仿宋_GBK" w:cs="方正仿宋_GBK"/>
          <w:sz w:val="32"/>
          <w:szCs w:val="32"/>
        </w:rPr>
        <w:t>个省级非遗和一个国家级非遗的申报，力争一支广场舞团队获得省级</w:t>
      </w:r>
      <w:r>
        <w:rPr>
          <w:rFonts w:hint="eastAsia" w:ascii="宋体" w:hAnsi="宋体" w:eastAsia="宋体" w:cs="宋体"/>
          <w:sz w:val="32"/>
          <w:szCs w:val="32"/>
        </w:rPr>
        <w:t>“</w:t>
      </w:r>
      <w:r>
        <w:rPr>
          <w:rFonts w:hint="eastAsia" w:ascii="Times New Roman" w:hAnsi="Times New Roman" w:eastAsia="方正仿宋_GBK" w:cs="方正仿宋_GBK"/>
          <w:sz w:val="32"/>
          <w:szCs w:val="32"/>
        </w:rPr>
        <w:t>优秀广场舞团队</w:t>
      </w:r>
      <w:r>
        <w:rPr>
          <w:rFonts w:hint="eastAsia" w:ascii="宋体" w:hAnsi="宋体" w:eastAsia="宋体" w:cs="宋体"/>
          <w:sz w:val="32"/>
          <w:szCs w:val="32"/>
        </w:rPr>
        <w:t>”</w:t>
      </w:r>
      <w:r>
        <w:rPr>
          <w:rFonts w:hint="eastAsia" w:ascii="Times New Roman" w:hAnsi="Times New Roman" w:eastAsia="方正仿宋_GBK" w:cs="方正仿宋_GBK"/>
          <w:sz w:val="32"/>
          <w:szCs w:val="32"/>
        </w:rPr>
        <w:t>和一名优秀</w:t>
      </w:r>
      <w:r>
        <w:rPr>
          <w:rFonts w:hint="eastAsia" w:ascii="宋体" w:hAnsi="宋体" w:eastAsia="宋体" w:cs="宋体"/>
          <w:sz w:val="32"/>
          <w:szCs w:val="32"/>
        </w:rPr>
        <w:t>“</w:t>
      </w:r>
      <w:r>
        <w:rPr>
          <w:rFonts w:hint="eastAsia" w:ascii="Times New Roman" w:hAnsi="Times New Roman" w:eastAsia="方正仿宋_GBK" w:cs="方正仿宋_GBK"/>
          <w:sz w:val="32"/>
          <w:szCs w:val="32"/>
        </w:rPr>
        <w:t>广场舞带头人</w:t>
      </w:r>
      <w:r>
        <w:rPr>
          <w:rFonts w:hint="eastAsia" w:ascii="宋体" w:hAnsi="宋体" w:eastAsia="宋体" w:cs="宋体"/>
          <w:sz w:val="32"/>
          <w:szCs w:val="32"/>
        </w:rPr>
        <w:t>”</w:t>
      </w:r>
      <w:r>
        <w:rPr>
          <w:rFonts w:hint="eastAsia" w:ascii="Times New Roman" w:hAnsi="Times New Roman" w:eastAsia="方正仿宋_GBK" w:cs="方正仿宋_GBK"/>
          <w:sz w:val="32"/>
          <w:szCs w:val="32"/>
        </w:rPr>
        <w:t>，完成</w:t>
      </w: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个或以上乡镇民间艺术之乡申报并命名；加大</w:t>
      </w:r>
      <w:r>
        <w:rPr>
          <w:rFonts w:hint="eastAsia" w:ascii="宋体" w:hAnsi="宋体" w:eastAsia="宋体" w:cs="宋体"/>
          <w:sz w:val="32"/>
          <w:szCs w:val="32"/>
        </w:rPr>
        <w:t>“</w:t>
      </w:r>
      <w:r>
        <w:rPr>
          <w:rFonts w:hint="eastAsia" w:ascii="Times New Roman" w:hAnsi="Times New Roman" w:eastAsia="方正仿宋_GBK" w:cs="方正仿宋_GBK"/>
          <w:sz w:val="32"/>
          <w:szCs w:val="32"/>
        </w:rPr>
        <w:t>安仁板凳龙</w:t>
      </w:r>
      <w:r>
        <w:rPr>
          <w:rFonts w:hint="eastAsia" w:ascii="宋体" w:hAnsi="宋体" w:eastAsia="宋体" w:cs="宋体"/>
          <w:sz w:val="32"/>
          <w:szCs w:val="32"/>
        </w:rPr>
        <w:t>”“</w:t>
      </w:r>
      <w:r>
        <w:rPr>
          <w:rFonts w:hint="eastAsia" w:ascii="Times New Roman" w:hAnsi="Times New Roman" w:eastAsia="方正仿宋_GBK" w:cs="方正仿宋_GBK"/>
          <w:sz w:val="32"/>
          <w:szCs w:val="32"/>
        </w:rPr>
        <w:t>石桥烧火龙</w:t>
      </w:r>
      <w:r>
        <w:rPr>
          <w:rFonts w:hint="eastAsia" w:ascii="宋体" w:hAnsi="宋体" w:eastAsia="宋体" w:cs="宋体"/>
          <w:sz w:val="32"/>
          <w:szCs w:val="32"/>
        </w:rPr>
        <w:t>”“</w:t>
      </w:r>
      <w:r>
        <w:rPr>
          <w:rFonts w:hint="eastAsia" w:ascii="Times New Roman" w:hAnsi="Times New Roman" w:eastAsia="方正仿宋_GBK" w:cs="方正仿宋_GBK"/>
          <w:sz w:val="32"/>
          <w:szCs w:val="32"/>
        </w:rPr>
        <w:t>法门武术</w:t>
      </w:r>
      <w:r>
        <w:rPr>
          <w:rFonts w:hint="eastAsia" w:ascii="宋体" w:hAnsi="宋体" w:eastAsia="宋体" w:cs="宋体"/>
          <w:sz w:val="32"/>
          <w:szCs w:val="32"/>
        </w:rPr>
        <w:t>”</w:t>
      </w:r>
      <w:r>
        <w:rPr>
          <w:rFonts w:hint="eastAsia" w:ascii="Times New Roman" w:hAnsi="Times New Roman" w:eastAsia="方正仿宋_GBK" w:cs="方正仿宋_GBK"/>
          <w:sz w:val="32"/>
          <w:szCs w:val="32"/>
        </w:rPr>
        <w:t>等非遗项目展演和进校园、进社区、进景区活动力度；突出公共文化品牌建设，打造出</w:t>
      </w:r>
      <w:r>
        <w:rPr>
          <w:rFonts w:ascii="Times New Roman" w:hAnsi="Times New Roman" w:eastAsia="方正仿宋_GBK" w:cs="Times New Roman"/>
          <w:sz w:val="32"/>
          <w:szCs w:val="32"/>
        </w:rPr>
        <w:t>1-2</w:t>
      </w:r>
      <w:r>
        <w:rPr>
          <w:rFonts w:hint="eastAsia" w:ascii="Times New Roman" w:hAnsi="Times New Roman" w:eastAsia="方正仿宋_GBK" w:cs="方正仿宋_GBK"/>
          <w:sz w:val="32"/>
          <w:szCs w:val="32"/>
        </w:rPr>
        <w:t>个精品文化品牌，鼓励并加大精品文艺创作，力争在全省、全国范围内形成影响力；全力做好文物保护工作，重点实施石桥列宁街石牌坊群和红军标语等国家级文保单位的维护修缮和</w:t>
      </w:r>
      <w:r>
        <w:rPr>
          <w:rFonts w:hint="eastAsia" w:ascii="宋体" w:hAnsi="宋体" w:eastAsia="宋体" w:cs="宋体"/>
          <w:sz w:val="32"/>
          <w:szCs w:val="32"/>
        </w:rPr>
        <w:t>“</w:t>
      </w:r>
      <w:r>
        <w:rPr>
          <w:rFonts w:hint="eastAsia" w:ascii="Times New Roman" w:hAnsi="Times New Roman" w:eastAsia="方正仿宋_GBK" w:cs="方正仿宋_GBK"/>
          <w:sz w:val="32"/>
          <w:szCs w:val="32"/>
        </w:rPr>
        <w:t>三防</w:t>
      </w:r>
      <w:r>
        <w:rPr>
          <w:rFonts w:hint="eastAsia" w:ascii="宋体" w:hAnsi="宋体" w:eastAsia="宋体" w:cs="宋体"/>
          <w:sz w:val="32"/>
          <w:szCs w:val="32"/>
        </w:rPr>
        <w:t>”</w:t>
      </w:r>
      <w:r>
        <w:rPr>
          <w:rFonts w:hint="eastAsia" w:ascii="Times New Roman" w:hAnsi="Times New Roman" w:eastAsia="方正仿宋_GBK" w:cs="方正仿宋_GBK"/>
          <w:sz w:val="32"/>
          <w:szCs w:val="32"/>
        </w:rPr>
        <w:t>工程建设，新增一批革命文物保护单位，做好</w:t>
      </w:r>
      <w:r>
        <w:rPr>
          <w:rFonts w:hint="eastAsia" w:ascii="宋体" w:hAnsi="宋体" w:eastAsia="宋体" w:cs="宋体"/>
          <w:sz w:val="32"/>
          <w:szCs w:val="32"/>
        </w:rPr>
        <w:t>“</w:t>
      </w:r>
      <w:r>
        <w:rPr>
          <w:rFonts w:hint="eastAsia" w:ascii="Times New Roman" w:hAnsi="Times New Roman" w:eastAsia="方正仿宋_GBK" w:cs="方正仿宋_GBK"/>
          <w:sz w:val="32"/>
          <w:szCs w:val="32"/>
        </w:rPr>
        <w:t>文保单位升级</w:t>
      </w:r>
      <w:r>
        <w:rPr>
          <w:rFonts w:hint="eastAsia" w:ascii="宋体" w:hAnsi="宋体" w:eastAsia="宋体" w:cs="宋体"/>
          <w:sz w:val="32"/>
          <w:szCs w:val="32"/>
        </w:rPr>
        <w:t>”</w:t>
      </w:r>
      <w:r>
        <w:rPr>
          <w:rFonts w:hint="eastAsia" w:ascii="Times New Roman" w:hAnsi="Times New Roman" w:eastAsia="方正仿宋_GBK" w:cs="方正仿宋_GBK"/>
          <w:sz w:val="32"/>
          <w:szCs w:val="32"/>
        </w:rPr>
        <w:t>工作，建设巴文化博物馆，充分展示达川风物，提升城市文化内涵。</w:t>
      </w:r>
    </w:p>
    <w:p>
      <w:pPr>
        <w:pStyle w:val="9"/>
        <w:spacing w:line="578" w:lineRule="exact"/>
        <w:ind w:left="840" w:firstLine="640"/>
        <w:outlineLvl w:val="1"/>
        <w:rPr>
          <w:rFonts w:ascii="Times New Roman" w:hAnsi="Times New Roman" w:eastAsia="方正仿宋_GBK" w:cs="Times New Roman"/>
          <w:snapToGrid w:val="0"/>
          <w:lang w:eastAsia="zh-CN"/>
        </w:rPr>
      </w:pPr>
      <w:r>
        <w:rPr>
          <w:rFonts w:hint="eastAsia" w:ascii="Times New Roman" w:hAnsi="Times New Roman" w:eastAsia="方正仿宋_GBK" w:cs="方正仿宋_GBK"/>
          <w:snapToGrid w:val="0"/>
          <w:lang w:eastAsia="zh-CN"/>
        </w:rPr>
        <w:t>展望</w:t>
      </w:r>
      <w:r>
        <w:rPr>
          <w:rFonts w:ascii="Times New Roman" w:hAnsi="Times New Roman" w:eastAsia="方正仿宋_GBK" w:cs="Times New Roman"/>
          <w:snapToGrid w:val="0"/>
          <w:lang w:eastAsia="zh-CN"/>
        </w:rPr>
        <w:t>2035</w:t>
      </w:r>
      <w:r>
        <w:rPr>
          <w:rFonts w:hint="eastAsia" w:ascii="Times New Roman" w:hAnsi="Times New Roman" w:eastAsia="方正仿宋_GBK" w:cs="方正仿宋_GBK"/>
          <w:snapToGrid w:val="0"/>
          <w:lang w:eastAsia="zh-CN"/>
        </w:rPr>
        <w:t>年，我区巴文化传承创新和旅游发展迈上新台阶，城市文化软实力显著增强，文化事业更加繁荣，文化产业和旅游业的整体实力和竞争力大幅提升，优秀文艺作品、优秀文化产品、优质旅游产品和配套齐全的体育健身设施充分满足人民群众美好生活需要，文化体育和旅游发展对建设物质富裕、精神富有、生态富足的现代化达川的支撑和带动作用达到新高度。</w:t>
      </w:r>
    </w:p>
    <w:p>
      <w:pPr>
        <w:adjustRightInd w:val="0"/>
        <w:snapToGrid w:val="0"/>
        <w:spacing w:line="578" w:lineRule="exact"/>
        <w:jc w:val="center"/>
        <w:textAlignment w:val="baseline"/>
        <w:rPr>
          <w:rFonts w:ascii="Times New Roman" w:hAnsi="Times New Roman" w:eastAsia="方正仿宋_GBK" w:cs="Times New Roman"/>
          <w:b/>
          <w:bCs/>
          <w:snapToGrid w:val="0"/>
          <w:kern w:val="0"/>
          <w:sz w:val="28"/>
          <w:szCs w:val="28"/>
          <w:u w:color="000000"/>
        </w:rPr>
      </w:pPr>
      <w:r>
        <w:rPr>
          <w:rFonts w:hint="eastAsia" w:ascii="Times New Roman" w:hAnsi="Times New Roman" w:eastAsia="方正仿宋_GBK" w:cs="方正仿宋_GBK"/>
          <w:b/>
          <w:bCs/>
          <w:snapToGrid w:val="0"/>
          <w:kern w:val="0"/>
          <w:sz w:val="28"/>
          <w:szCs w:val="28"/>
          <w:u w:color="000000"/>
        </w:rPr>
        <w:t>专栏</w:t>
      </w:r>
      <w:r>
        <w:rPr>
          <w:rFonts w:ascii="Times New Roman" w:hAnsi="Times New Roman" w:eastAsia="方正仿宋_GBK" w:cs="Times New Roman"/>
          <w:b/>
          <w:bCs/>
          <w:snapToGrid w:val="0"/>
          <w:kern w:val="0"/>
          <w:sz w:val="28"/>
          <w:szCs w:val="28"/>
          <w:u w:color="000000"/>
        </w:rPr>
        <w:t>2</w:t>
      </w:r>
      <w:r>
        <w:rPr>
          <w:rFonts w:hint="eastAsia" w:ascii="Times New Roman" w:hAnsi="Times New Roman" w:eastAsia="方正仿宋_GBK" w:cs="方正仿宋_GBK"/>
          <w:b/>
          <w:bCs/>
          <w:snapToGrid w:val="0"/>
          <w:kern w:val="0"/>
          <w:sz w:val="28"/>
          <w:szCs w:val="28"/>
          <w:u w:color="000000"/>
        </w:rPr>
        <w:t>：</w:t>
      </w:r>
      <w:r>
        <w:rPr>
          <w:rFonts w:ascii="Times New Roman" w:hAnsi="Times New Roman" w:eastAsia="方正仿宋_GBK" w:cs="Times New Roman"/>
          <w:b/>
          <w:bCs/>
          <w:snapToGrid w:val="0"/>
          <w:kern w:val="0"/>
          <w:sz w:val="28"/>
          <w:szCs w:val="28"/>
          <w:u w:color="000000"/>
        </w:rPr>
        <w:t>“</w:t>
      </w:r>
      <w:r>
        <w:rPr>
          <w:rFonts w:hint="eastAsia" w:ascii="Times New Roman" w:hAnsi="Times New Roman" w:eastAsia="方正仿宋_GBK" w:cs="方正仿宋_GBK"/>
          <w:b/>
          <w:bCs/>
          <w:snapToGrid w:val="0"/>
          <w:kern w:val="0"/>
          <w:sz w:val="28"/>
          <w:szCs w:val="28"/>
          <w:u w:color="000000"/>
        </w:rPr>
        <w:t>十四五</w:t>
      </w:r>
      <w:r>
        <w:rPr>
          <w:rFonts w:ascii="Times New Roman" w:hAnsi="Times New Roman" w:eastAsia="方正仿宋_GBK" w:cs="Times New Roman"/>
          <w:b/>
          <w:bCs/>
          <w:snapToGrid w:val="0"/>
          <w:kern w:val="0"/>
          <w:sz w:val="28"/>
          <w:szCs w:val="28"/>
          <w:u w:color="000000"/>
        </w:rPr>
        <w:t>”</w:t>
      </w:r>
      <w:r>
        <w:rPr>
          <w:rFonts w:hint="eastAsia" w:ascii="Times New Roman" w:hAnsi="Times New Roman" w:eastAsia="方正仿宋_GBK" w:cs="方正仿宋_GBK"/>
          <w:b/>
          <w:bCs/>
          <w:snapToGrid w:val="0"/>
          <w:kern w:val="0"/>
          <w:sz w:val="28"/>
          <w:szCs w:val="28"/>
          <w:u w:color="000000"/>
        </w:rPr>
        <w:t>期间文旅产业主要发展目标</w:t>
      </w:r>
    </w:p>
    <w:tbl>
      <w:tblPr>
        <w:tblStyle w:val="25"/>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8"/>
        <w:gridCol w:w="1134"/>
        <w:gridCol w:w="1134"/>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4058"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主要指标</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2020</w:t>
            </w:r>
            <w:r>
              <w:rPr>
                <w:rFonts w:hint="eastAsia" w:ascii="Times New Roman" w:hAnsi="Times New Roman" w:eastAsia="方正仿宋_GBK" w:cs="方正仿宋_GBK"/>
                <w:snapToGrid w:val="0"/>
                <w:kern w:val="0"/>
                <w:sz w:val="24"/>
                <w:szCs w:val="24"/>
                <w:u w:color="000000"/>
              </w:rPr>
              <w:t>年</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2025</w:t>
            </w:r>
            <w:r>
              <w:rPr>
                <w:rFonts w:hint="eastAsia" w:ascii="Times New Roman" w:hAnsi="Times New Roman" w:eastAsia="方正仿宋_GBK" w:cs="方正仿宋_GBK"/>
                <w:snapToGrid w:val="0"/>
                <w:kern w:val="0"/>
                <w:sz w:val="24"/>
                <w:szCs w:val="24"/>
                <w:u w:color="000000"/>
              </w:rPr>
              <w:t>年</w:t>
            </w:r>
          </w:p>
        </w:tc>
        <w:tc>
          <w:tcPr>
            <w:tcW w:w="188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年均增长（</w:t>
            </w:r>
            <w:r>
              <w:rPr>
                <w:rFonts w:ascii="Times New Roman" w:hAnsi="Times New Roman" w:eastAsia="方正仿宋_GBK" w:cs="Times New Roman"/>
                <w:snapToGrid w:val="0"/>
                <w:kern w:val="0"/>
                <w:sz w:val="24"/>
                <w:szCs w:val="24"/>
                <w:u w:color="000000"/>
              </w:rPr>
              <w:t>%</w:t>
            </w:r>
            <w:r>
              <w:rPr>
                <w:rFonts w:hint="eastAsia" w:ascii="Times New Roman" w:hAnsi="Times New Roman" w:eastAsia="方正仿宋_GBK" w:cs="方正仿宋_GBK"/>
                <w:snapToGrid w:val="0"/>
                <w:kern w:val="0"/>
                <w:sz w:val="24"/>
                <w:szCs w:val="24"/>
                <w:u w:color="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58"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旅游总人次（万人次）</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511.32</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800</w:t>
            </w:r>
          </w:p>
        </w:tc>
        <w:tc>
          <w:tcPr>
            <w:tcW w:w="188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58"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旅游总收入（亿元）</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26.7</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50</w:t>
            </w:r>
          </w:p>
        </w:tc>
        <w:tc>
          <w:tcPr>
            <w:tcW w:w="188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58"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文化及相关产业增加值（亿元）</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3</w:t>
            </w:r>
          </w:p>
        </w:tc>
        <w:tc>
          <w:tcPr>
            <w:tcW w:w="188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58"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国家</w:t>
            </w:r>
            <w:r>
              <w:rPr>
                <w:rFonts w:ascii="Times New Roman" w:hAnsi="Times New Roman" w:eastAsia="方正仿宋_GBK" w:cs="Times New Roman"/>
                <w:snapToGrid w:val="0"/>
                <w:kern w:val="0"/>
                <w:sz w:val="24"/>
                <w:szCs w:val="24"/>
                <w:u w:color="000000"/>
              </w:rPr>
              <w:t>AAAA</w:t>
            </w:r>
            <w:r>
              <w:rPr>
                <w:rFonts w:hint="eastAsia" w:ascii="Times New Roman" w:hAnsi="Times New Roman" w:eastAsia="方正仿宋_GBK" w:cs="方正仿宋_GBK"/>
                <w:snapToGrid w:val="0"/>
                <w:kern w:val="0"/>
                <w:sz w:val="24"/>
                <w:szCs w:val="24"/>
                <w:u w:color="000000"/>
              </w:rPr>
              <w:t>级景区旅游（个）</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1</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3</w:t>
            </w:r>
          </w:p>
        </w:tc>
        <w:tc>
          <w:tcPr>
            <w:tcW w:w="188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58"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hint="eastAsia" w:ascii="Times New Roman" w:hAnsi="Times New Roman" w:eastAsia="方正仿宋_GBK" w:cs="方正仿宋_GBK"/>
                <w:snapToGrid w:val="0"/>
                <w:kern w:val="0"/>
                <w:sz w:val="24"/>
                <w:szCs w:val="24"/>
                <w:u w:color="000000"/>
              </w:rPr>
              <w:t>国家</w:t>
            </w:r>
            <w:r>
              <w:rPr>
                <w:rFonts w:ascii="Times New Roman" w:hAnsi="Times New Roman" w:eastAsia="方正仿宋_GBK" w:cs="Times New Roman"/>
                <w:snapToGrid w:val="0"/>
                <w:kern w:val="0"/>
                <w:sz w:val="24"/>
                <w:szCs w:val="24"/>
                <w:u w:color="000000"/>
              </w:rPr>
              <w:t>AAA</w:t>
            </w:r>
            <w:r>
              <w:rPr>
                <w:rFonts w:hint="eastAsia" w:ascii="Times New Roman" w:hAnsi="Times New Roman" w:eastAsia="方正仿宋_GBK" w:cs="方正仿宋_GBK"/>
                <w:snapToGrid w:val="0"/>
                <w:kern w:val="0"/>
                <w:sz w:val="24"/>
                <w:szCs w:val="24"/>
                <w:u w:color="000000"/>
              </w:rPr>
              <w:t>级景区旅游（个）</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3</w:t>
            </w:r>
          </w:p>
        </w:tc>
        <w:tc>
          <w:tcPr>
            <w:tcW w:w="1134"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4</w:t>
            </w:r>
          </w:p>
        </w:tc>
        <w:tc>
          <w:tcPr>
            <w:tcW w:w="1880" w:type="dxa"/>
            <w:vAlign w:val="center"/>
          </w:tcPr>
          <w:p>
            <w:pPr>
              <w:adjustRightInd w:val="0"/>
              <w:snapToGrid w:val="0"/>
              <w:jc w:val="center"/>
              <w:textAlignment w:val="baseline"/>
              <w:rPr>
                <w:rFonts w:ascii="Times New Roman" w:hAnsi="Times New Roman" w:eastAsia="方正仿宋_GBK" w:cs="Times New Roman"/>
                <w:snapToGrid w:val="0"/>
                <w:kern w:val="0"/>
                <w:sz w:val="24"/>
                <w:szCs w:val="24"/>
                <w:u w:color="000000"/>
              </w:rPr>
            </w:pPr>
            <w:r>
              <w:rPr>
                <w:rFonts w:ascii="Times New Roman" w:hAnsi="Times New Roman" w:eastAsia="方正仿宋_GBK" w:cs="Times New Roman"/>
                <w:snapToGrid w:val="0"/>
                <w:kern w:val="0"/>
                <w:sz w:val="24"/>
                <w:szCs w:val="24"/>
                <w:u w:color="000000"/>
              </w:rPr>
              <w:t>7.5</w:t>
            </w:r>
          </w:p>
        </w:tc>
      </w:tr>
    </w:tbl>
    <w:p>
      <w:pPr>
        <w:adjustRightInd w:val="0"/>
        <w:snapToGrid w:val="0"/>
        <w:spacing w:line="578" w:lineRule="exact"/>
        <w:jc w:val="center"/>
        <w:rPr>
          <w:rFonts w:ascii="Times New Roman" w:hAnsi="Times New Roman" w:eastAsia="方正仿宋_GBK" w:cs="Times New Roman"/>
          <w:b/>
          <w:bCs/>
          <w:snapToGrid w:val="0"/>
          <w:sz w:val="28"/>
          <w:szCs w:val="28"/>
        </w:rPr>
      </w:pPr>
      <w:bookmarkStart w:id="32" w:name="_Toc6807"/>
      <w:bookmarkStart w:id="33" w:name="_Toc12369"/>
      <w:bookmarkStart w:id="34" w:name="_Toc3215"/>
      <w:bookmarkStart w:id="35" w:name="_Toc32011"/>
      <w:bookmarkStart w:id="36" w:name="_Toc10222"/>
      <w:r>
        <w:rPr>
          <w:rFonts w:hint="eastAsia" w:ascii="Times New Roman" w:hAnsi="Times New Roman" w:eastAsia="方正仿宋_GBK" w:cs="方正仿宋_GBK"/>
          <w:b/>
          <w:bCs/>
          <w:snapToGrid w:val="0"/>
          <w:sz w:val="28"/>
          <w:szCs w:val="28"/>
        </w:rPr>
        <w:t>专栏</w:t>
      </w:r>
      <w:r>
        <w:rPr>
          <w:rFonts w:ascii="Times New Roman" w:hAnsi="Times New Roman" w:eastAsia="方正仿宋_GBK" w:cs="Times New Roman"/>
          <w:b/>
          <w:bCs/>
          <w:snapToGrid w:val="0"/>
          <w:sz w:val="28"/>
          <w:szCs w:val="28"/>
        </w:rPr>
        <w:t>3</w:t>
      </w:r>
      <w:r>
        <w:rPr>
          <w:rFonts w:hint="eastAsia" w:ascii="Times New Roman" w:hAnsi="Times New Roman" w:eastAsia="方正仿宋_GBK" w:cs="方正仿宋_GBK"/>
          <w:b/>
          <w:bCs/>
          <w:snapToGrid w:val="0"/>
          <w:sz w:val="28"/>
          <w:szCs w:val="28"/>
        </w:rPr>
        <w:t>：</w:t>
      </w:r>
      <w:r>
        <w:rPr>
          <w:rFonts w:ascii="Times New Roman" w:hAnsi="Times New Roman" w:eastAsia="方正仿宋_GBK" w:cs="Times New Roman"/>
          <w:b/>
          <w:bCs/>
          <w:snapToGrid w:val="0"/>
          <w:sz w:val="28"/>
          <w:szCs w:val="28"/>
        </w:rPr>
        <w:t>“</w:t>
      </w:r>
      <w:r>
        <w:rPr>
          <w:rFonts w:hint="eastAsia" w:ascii="Times New Roman" w:hAnsi="Times New Roman" w:eastAsia="方正仿宋_GBK" w:cs="方正仿宋_GBK"/>
          <w:b/>
          <w:bCs/>
          <w:snapToGrid w:val="0"/>
          <w:sz w:val="28"/>
          <w:szCs w:val="28"/>
        </w:rPr>
        <w:t>十四五</w:t>
      </w:r>
      <w:r>
        <w:rPr>
          <w:rFonts w:ascii="Times New Roman" w:hAnsi="Times New Roman" w:eastAsia="方正仿宋_GBK" w:cs="Times New Roman"/>
          <w:b/>
          <w:bCs/>
          <w:snapToGrid w:val="0"/>
          <w:sz w:val="28"/>
          <w:szCs w:val="28"/>
        </w:rPr>
        <w:t>”</w:t>
      </w:r>
      <w:r>
        <w:rPr>
          <w:rFonts w:hint="eastAsia" w:ascii="Times New Roman" w:hAnsi="Times New Roman" w:eastAsia="方正仿宋_GBK" w:cs="方正仿宋_GBK"/>
          <w:b/>
          <w:bCs/>
          <w:snapToGrid w:val="0"/>
          <w:sz w:val="28"/>
          <w:szCs w:val="28"/>
        </w:rPr>
        <w:t>期间文化事业发展主要指标</w:t>
      </w:r>
      <w:bookmarkEnd w:id="32"/>
      <w:bookmarkEnd w:id="33"/>
      <w:bookmarkEnd w:id="34"/>
      <w:bookmarkEnd w:id="35"/>
      <w:bookmarkEnd w:id="36"/>
    </w:p>
    <w:tbl>
      <w:tblPr>
        <w:tblStyle w:val="25"/>
        <w:tblW w:w="8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1"/>
        <w:gridCol w:w="1138"/>
        <w:gridCol w:w="1096"/>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主要指标</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2020</w:t>
            </w:r>
            <w:r>
              <w:rPr>
                <w:rFonts w:hint="eastAsia" w:ascii="Times New Roman" w:hAnsi="Times New Roman" w:eastAsia="方正仿宋_GBK" w:cs="方正仿宋_GBK"/>
                <w:snapToGrid w:val="0"/>
                <w:sz w:val="24"/>
                <w:szCs w:val="24"/>
              </w:rPr>
              <w:t>年</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2025</w:t>
            </w:r>
            <w:r>
              <w:rPr>
                <w:rFonts w:hint="eastAsia" w:ascii="Times New Roman" w:hAnsi="Times New Roman" w:eastAsia="方正仿宋_GBK" w:cs="方正仿宋_GBK"/>
                <w:snapToGrid w:val="0"/>
                <w:sz w:val="24"/>
                <w:szCs w:val="24"/>
              </w:rPr>
              <w:t>年</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年均增速（</w:t>
            </w:r>
            <w:r>
              <w:rPr>
                <w:rFonts w:ascii="Times New Roman" w:hAnsi="Times New Roman" w:eastAsia="方正仿宋_GBK" w:cs="Times New Roman"/>
                <w:snapToGrid w:val="0"/>
                <w:sz w:val="24"/>
                <w:szCs w:val="24"/>
              </w:rPr>
              <w:t>%</w:t>
            </w:r>
            <w:r>
              <w:rPr>
                <w:rFonts w:hint="eastAsia" w:ascii="Times New Roman" w:hAnsi="Times New Roman" w:eastAsia="方正仿宋_GBK" w:cs="方正仿宋_GBK"/>
                <w:snapToGrid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获省级以上奖项的优秀文化作品（部）</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1</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2</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平均每万人公共文化设施建筑面积（平方米）</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643</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872</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公共图书馆图书人均藏量（册）</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0.75</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0.9</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公共图书馆年服务人次（万人次）</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9</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15</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文化馆（站）年服务人次（万人次）</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5</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12</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博物馆年服务人次（万人次）</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0</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20</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各类型博物馆数量（个）</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0</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5</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人均体育场地面积达</w:t>
            </w:r>
            <w:r>
              <w:rPr>
                <w:rFonts w:ascii="Times New Roman" w:hAnsi="Times New Roman" w:eastAsia="方正仿宋_GBK" w:cs="Times New Roman"/>
                <w:snapToGrid w:val="0"/>
                <w:sz w:val="24"/>
                <w:szCs w:val="24"/>
              </w:rPr>
              <w:t>2.6</w:t>
            </w:r>
            <w:r>
              <w:rPr>
                <w:rFonts w:hint="eastAsia" w:ascii="Times New Roman" w:hAnsi="Times New Roman" w:eastAsia="方正仿宋_GBK" w:cs="方正仿宋_GBK"/>
                <w:snapToGrid w:val="0"/>
                <w:sz w:val="24"/>
                <w:szCs w:val="24"/>
              </w:rPr>
              <w:t>（平方米）</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1.83</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2.6</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21" w:type="dxa"/>
            <w:vAlign w:val="center"/>
          </w:tcPr>
          <w:p>
            <w:pPr>
              <w:adjustRightInd w:val="0"/>
              <w:snapToGrid w:val="0"/>
              <w:jc w:val="center"/>
              <w:rPr>
                <w:rFonts w:ascii="Times New Roman" w:hAnsi="Times New Roman" w:eastAsia="方正仿宋_GBK" w:cs="Times New Roman"/>
                <w:snapToGrid w:val="0"/>
                <w:sz w:val="24"/>
                <w:szCs w:val="24"/>
              </w:rPr>
            </w:pPr>
            <w:r>
              <w:rPr>
                <w:rFonts w:hint="eastAsia" w:ascii="Times New Roman" w:hAnsi="Times New Roman" w:eastAsia="方正仿宋_GBK" w:cs="方正仿宋_GBK"/>
                <w:snapToGrid w:val="0"/>
                <w:sz w:val="24"/>
                <w:szCs w:val="24"/>
              </w:rPr>
              <w:t>广播电视覆盖率（</w:t>
            </w:r>
            <w:r>
              <w:rPr>
                <w:rFonts w:ascii="Times New Roman" w:hAnsi="Times New Roman" w:eastAsia="方正仿宋_GBK" w:cs="Times New Roman"/>
                <w:snapToGrid w:val="0"/>
                <w:sz w:val="24"/>
                <w:szCs w:val="24"/>
              </w:rPr>
              <w:t>%</w:t>
            </w:r>
            <w:r>
              <w:rPr>
                <w:rFonts w:hint="eastAsia" w:ascii="Times New Roman" w:hAnsi="Times New Roman" w:eastAsia="方正仿宋_GBK" w:cs="方正仿宋_GBK"/>
                <w:snapToGrid w:val="0"/>
                <w:sz w:val="24"/>
                <w:szCs w:val="24"/>
              </w:rPr>
              <w:t>）</w:t>
            </w:r>
          </w:p>
        </w:tc>
        <w:tc>
          <w:tcPr>
            <w:tcW w:w="1138"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99.89</w:t>
            </w:r>
          </w:p>
        </w:tc>
        <w:tc>
          <w:tcPr>
            <w:tcW w:w="1096"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100</w:t>
            </w:r>
          </w:p>
        </w:tc>
        <w:tc>
          <w:tcPr>
            <w:tcW w:w="1694" w:type="dxa"/>
            <w:vAlign w:val="center"/>
          </w:tcPr>
          <w:p>
            <w:pPr>
              <w:adjustRightInd w:val="0"/>
              <w:snapToGrid w:val="0"/>
              <w:jc w:val="center"/>
              <w:rPr>
                <w:rFonts w:ascii="Times New Roman" w:hAnsi="Times New Roman" w:eastAsia="方正仿宋_GBK" w:cs="Times New Roman"/>
                <w:snapToGrid w:val="0"/>
                <w:sz w:val="24"/>
                <w:szCs w:val="24"/>
              </w:rPr>
            </w:pPr>
            <w:r>
              <w:rPr>
                <w:rFonts w:ascii="Times New Roman" w:hAnsi="Times New Roman" w:eastAsia="方正仿宋_GBK" w:cs="Times New Roman"/>
                <w:snapToGrid w:val="0"/>
                <w:sz w:val="24"/>
                <w:szCs w:val="24"/>
              </w:rPr>
              <w:t>0.03</w:t>
            </w:r>
          </w:p>
        </w:tc>
      </w:tr>
    </w:tbl>
    <w:p>
      <w:pPr>
        <w:pStyle w:val="24"/>
        <w:adjustRightInd w:val="0"/>
        <w:snapToGrid w:val="0"/>
        <w:spacing w:before="0" w:after="0" w:line="578" w:lineRule="exact"/>
        <w:outlineLvl w:val="9"/>
        <w:rPr>
          <w:rFonts w:ascii="Times New Roman" w:hAnsi="Times New Roman" w:eastAsia="方正仿宋_GBK" w:cs="Times New Roman"/>
          <w:b w:val="0"/>
          <w:bCs w:val="0"/>
          <w:sz w:val="44"/>
          <w:szCs w:val="44"/>
        </w:rPr>
      </w:pPr>
    </w:p>
    <w:p>
      <w:pPr>
        <w:snapToGrid w:val="0"/>
        <w:spacing w:line="578" w:lineRule="exact"/>
        <w:jc w:val="center"/>
        <w:outlineLvl w:val="0"/>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第三章</w:t>
      </w:r>
      <w:r>
        <w:rPr>
          <w:rFonts w:ascii="方正小标宋_GBK" w:hAnsi="Times New Roman" w:eastAsia="方正小标宋_GBK" w:cs="方正小标宋_GBK"/>
          <w:sz w:val="44"/>
          <w:szCs w:val="44"/>
        </w:rPr>
        <w:t xml:space="preserve">  </w:t>
      </w:r>
      <w:r>
        <w:rPr>
          <w:rFonts w:hint="eastAsia" w:ascii="方正小标宋_GBK" w:hAnsi="Times New Roman" w:eastAsia="方正小标宋_GBK" w:cs="方正小标宋_GBK"/>
          <w:sz w:val="44"/>
          <w:szCs w:val="44"/>
        </w:rPr>
        <w:t>空间布局</w:t>
      </w:r>
    </w:p>
    <w:p>
      <w:pPr>
        <w:adjustRightInd w:val="0"/>
        <w:snapToGrid w:val="0"/>
        <w:spacing w:line="578" w:lineRule="exact"/>
        <w:ind w:firstLine="640" w:firstLineChars="200"/>
        <w:rPr>
          <w:rFonts w:ascii="Times New Roman" w:hAnsi="Times New Roman" w:eastAsia="方正仿宋_GBK" w:cs="Times New Roman"/>
          <w:sz w:val="32"/>
          <w:szCs w:val="32"/>
        </w:rPr>
      </w:pP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聚焦建设</w:t>
      </w:r>
      <w:r>
        <w:rPr>
          <w:rFonts w:hint="eastAsia" w:ascii="宋体" w:hAnsi="宋体" w:eastAsia="宋体" w:cs="宋体"/>
          <w:sz w:val="32"/>
          <w:szCs w:val="32"/>
        </w:rPr>
        <w:t>“</w:t>
      </w:r>
      <w:r>
        <w:rPr>
          <w:rFonts w:hint="eastAsia" w:ascii="Times New Roman" w:hAnsi="Times New Roman" w:eastAsia="方正仿宋_GBK" w:cs="方正仿宋_GBK"/>
          <w:sz w:val="32"/>
          <w:szCs w:val="32"/>
        </w:rPr>
        <w:t>城郊休闲体验打卡地</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乡村旅游首选地</w:t>
      </w:r>
      <w:r>
        <w:rPr>
          <w:rFonts w:hint="eastAsia" w:ascii="宋体" w:hAnsi="宋体" w:eastAsia="宋体" w:cs="宋体"/>
          <w:sz w:val="32"/>
          <w:szCs w:val="32"/>
        </w:rPr>
        <w:t>”</w:t>
      </w:r>
      <w:r>
        <w:rPr>
          <w:rFonts w:ascii="Times New Roman" w:hAnsi="Times New Roman" w:eastAsia="方正仿宋_GBK" w:cs="Times New Roman"/>
          <w:sz w:val="32"/>
          <w:szCs w:val="32"/>
        </w:rPr>
        <w:t xml:space="preserve"> </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乡村运动休闲体验地</w:t>
      </w:r>
      <w:r>
        <w:rPr>
          <w:rFonts w:hint="eastAsia" w:ascii="宋体" w:hAnsi="宋体" w:eastAsia="宋体" w:cs="宋体"/>
          <w:sz w:val="32"/>
          <w:szCs w:val="32"/>
        </w:rPr>
        <w:t>”</w:t>
      </w:r>
      <w:r>
        <w:rPr>
          <w:rFonts w:hint="eastAsia" w:ascii="Times New Roman" w:hAnsi="Times New Roman" w:eastAsia="方正仿宋_GBK" w:cs="方正仿宋_GBK"/>
          <w:sz w:val="32"/>
          <w:szCs w:val="32"/>
        </w:rPr>
        <w:t>，立足达川文化体育和旅游资源禀赋和分布，加快形成</w:t>
      </w:r>
      <w:r>
        <w:rPr>
          <w:rFonts w:hint="eastAsia" w:ascii="宋体" w:hAnsi="宋体" w:eastAsia="宋体" w:cs="宋体"/>
          <w:sz w:val="32"/>
          <w:szCs w:val="32"/>
        </w:rPr>
        <w:t>“</w:t>
      </w:r>
      <w:r>
        <w:rPr>
          <w:rFonts w:hint="eastAsia" w:ascii="Times New Roman" w:hAnsi="Times New Roman" w:eastAsia="方正仿宋_GBK" w:cs="方正仿宋_GBK"/>
          <w:sz w:val="32"/>
          <w:szCs w:val="32"/>
        </w:rPr>
        <w:t>一核三带多点</w:t>
      </w:r>
      <w:r>
        <w:rPr>
          <w:rFonts w:hint="eastAsia" w:ascii="宋体" w:hAnsi="宋体" w:eastAsia="宋体" w:cs="宋体"/>
          <w:sz w:val="32"/>
          <w:szCs w:val="32"/>
        </w:rPr>
        <w:t>”</w:t>
      </w:r>
      <w:r>
        <w:rPr>
          <w:rFonts w:hint="eastAsia" w:ascii="Times New Roman" w:hAnsi="Times New Roman" w:eastAsia="方正仿宋_GBK" w:cs="方正仿宋_GBK"/>
          <w:sz w:val="32"/>
          <w:szCs w:val="32"/>
        </w:rPr>
        <w:t>的文化体育和旅游融合发展格局。</w:t>
      </w:r>
    </w:p>
    <w:p>
      <w:pPr>
        <w:snapToGrid w:val="0"/>
        <w:spacing w:line="578" w:lineRule="exact"/>
        <w:ind w:firstLine="643" w:firstLineChars="200"/>
        <w:outlineLvl w:val="1"/>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一核：打造城市休闲文化旅游核心区。</w:t>
      </w:r>
      <w:r>
        <w:rPr>
          <w:rFonts w:hint="eastAsia" w:ascii="Times New Roman" w:hAnsi="Times New Roman" w:eastAsia="方正仿宋_GBK" w:cs="方正仿宋_GBK"/>
          <w:sz w:val="32"/>
          <w:szCs w:val="32"/>
        </w:rPr>
        <w:t>立足达川区主城，依托自然山水格局和历史文化脉络，擦亮</w:t>
      </w:r>
      <w:r>
        <w:rPr>
          <w:rFonts w:hint="eastAsia" w:ascii="宋体" w:hAnsi="宋体" w:eastAsia="宋体" w:cs="宋体"/>
          <w:sz w:val="32"/>
          <w:szCs w:val="32"/>
        </w:rPr>
        <w:t>“</w:t>
      </w:r>
      <w:r>
        <w:rPr>
          <w:rFonts w:hint="eastAsia" w:ascii="Times New Roman" w:hAnsi="Times New Roman" w:eastAsia="方正仿宋_GBK" w:cs="方正仿宋_GBK"/>
          <w:sz w:val="32"/>
          <w:szCs w:val="32"/>
        </w:rPr>
        <w:t>巴文化高地</w:t>
      </w:r>
      <w:r>
        <w:rPr>
          <w:rFonts w:hint="eastAsia" w:ascii="宋体" w:hAnsi="宋体" w:eastAsia="宋体" w:cs="宋体"/>
          <w:sz w:val="32"/>
          <w:szCs w:val="32"/>
        </w:rPr>
        <w:t>”</w:t>
      </w:r>
      <w:r>
        <w:rPr>
          <w:rFonts w:hint="eastAsia" w:ascii="Times New Roman" w:hAnsi="Times New Roman" w:eastAsia="方正仿宋_GBK" w:cs="方正仿宋_GBK"/>
          <w:sz w:val="32"/>
          <w:szCs w:val="32"/>
        </w:rPr>
        <w:t>名片，重点开发建设</w:t>
      </w:r>
      <w:r>
        <w:rPr>
          <w:rFonts w:hint="eastAsia" w:ascii="宋体" w:hAnsi="宋体" w:eastAsia="宋体" w:cs="宋体"/>
          <w:sz w:val="32"/>
          <w:szCs w:val="32"/>
        </w:rPr>
        <w:t>“</w:t>
      </w:r>
      <w:r>
        <w:rPr>
          <w:rFonts w:hint="eastAsia" w:ascii="Times New Roman" w:hAnsi="Times New Roman" w:eastAsia="方正仿宋_GBK" w:cs="方正仿宋_GBK"/>
          <w:sz w:val="32"/>
          <w:szCs w:val="32"/>
        </w:rPr>
        <w:t>一岸两园两山</w:t>
      </w:r>
      <w:r>
        <w:rPr>
          <w:rFonts w:hint="eastAsia" w:ascii="宋体" w:hAnsi="宋体" w:eastAsia="宋体" w:cs="宋体"/>
          <w:sz w:val="32"/>
          <w:szCs w:val="32"/>
        </w:rPr>
        <w:t>”</w:t>
      </w:r>
      <w:r>
        <w:rPr>
          <w:rFonts w:hint="eastAsia" w:ascii="Times New Roman" w:hAnsi="Times New Roman" w:eastAsia="方正仿宋_GBK" w:cs="方正仿宋_GBK"/>
          <w:sz w:val="32"/>
          <w:szCs w:val="32"/>
        </w:rPr>
        <w:t>（州河沿岸</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巴文化旅游产业园</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音乐产业园</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雷音铺</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翠屏山）。推进主城区文化景观提升工程、夜经济业态植入和音乐众创主题等特色街区塑造，建设巴文化特色旅游名城、美食名城。打造业态复合、功能多元、体验丰富的以文创产、以文兴城的城市休闲文化旅游核心区。</w:t>
      </w:r>
    </w:p>
    <w:p>
      <w:pPr>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围绕</w:t>
      </w:r>
      <w:r>
        <w:rPr>
          <w:rFonts w:hint="eastAsia" w:ascii="宋体" w:hAnsi="宋体" w:eastAsia="宋体" w:cs="宋体"/>
          <w:sz w:val="32"/>
          <w:szCs w:val="32"/>
        </w:rPr>
        <w:t>“</w:t>
      </w:r>
      <w:r>
        <w:rPr>
          <w:rFonts w:hint="eastAsia" w:ascii="Times New Roman" w:hAnsi="Times New Roman" w:eastAsia="方正仿宋_GBK" w:cs="方正仿宋_GBK"/>
          <w:sz w:val="32"/>
          <w:szCs w:val="32"/>
        </w:rPr>
        <w:t>两馆一街区</w:t>
      </w:r>
      <w:r>
        <w:rPr>
          <w:rFonts w:hint="eastAsia" w:ascii="宋体" w:hAnsi="宋体" w:eastAsia="宋体" w:cs="宋体"/>
          <w:sz w:val="32"/>
          <w:szCs w:val="32"/>
        </w:rPr>
        <w:t>”</w:t>
      </w:r>
      <w:r>
        <w:rPr>
          <w:rFonts w:hint="eastAsia" w:ascii="Times New Roman" w:hAnsi="Times New Roman" w:eastAsia="方正仿宋_GBK" w:cs="方正仿宋_GBK"/>
          <w:sz w:val="32"/>
          <w:szCs w:val="32"/>
        </w:rPr>
        <w:t>和三里坪城市综合体，涵盖三里坪人文生态片区周边街道、楼盘商业，统筹进行规划打造，形成以巴文化为魂、城市休闲旅游为核心、品牌商务为支撑的文旅商业园区。聚焦</w:t>
      </w:r>
      <w:r>
        <w:rPr>
          <w:rFonts w:hint="eastAsia" w:ascii="宋体" w:hAnsi="宋体" w:eastAsia="宋体" w:cs="宋体"/>
          <w:sz w:val="32"/>
          <w:szCs w:val="32"/>
        </w:rPr>
        <w:t>“</w:t>
      </w:r>
      <w:r>
        <w:rPr>
          <w:rFonts w:hint="eastAsia" w:ascii="Times New Roman" w:hAnsi="Times New Roman" w:eastAsia="方正仿宋_GBK" w:cs="方正仿宋_GBK"/>
          <w:sz w:val="32"/>
          <w:szCs w:val="32"/>
        </w:rPr>
        <w:t>两馆一街区</w:t>
      </w:r>
      <w:r>
        <w:rPr>
          <w:rFonts w:hint="eastAsia" w:ascii="宋体" w:hAnsi="宋体" w:eastAsia="宋体" w:cs="宋体"/>
          <w:sz w:val="32"/>
          <w:szCs w:val="32"/>
        </w:rPr>
        <w:t>”</w:t>
      </w:r>
      <w:r>
        <w:rPr>
          <w:rFonts w:hint="eastAsia" w:ascii="Times New Roman" w:hAnsi="Times New Roman" w:eastAsia="方正仿宋_GBK" w:cs="方正仿宋_GBK"/>
          <w:sz w:val="32"/>
          <w:szCs w:val="32"/>
        </w:rPr>
        <w:t>、州河滨河休闲带、城市特色美食街、升华城市综合体，打造夜间文旅消费集聚区，培优</w:t>
      </w:r>
      <w:r>
        <w:rPr>
          <w:rFonts w:ascii="Times New Roman" w:hAnsi="Times New Roman" w:eastAsia="方正仿宋_GBK" w:cs="Times New Roman"/>
          <w:sz w:val="32"/>
          <w:szCs w:val="32"/>
        </w:rPr>
        <w:t xml:space="preserve"> </w:t>
      </w:r>
      <w:r>
        <w:rPr>
          <w:rFonts w:hint="eastAsia" w:ascii="宋体" w:hAnsi="宋体" w:eastAsia="宋体" w:cs="宋体"/>
          <w:sz w:val="32"/>
          <w:szCs w:val="32"/>
        </w:rPr>
        <w:t>“</w:t>
      </w:r>
      <w:r>
        <w:rPr>
          <w:rFonts w:hint="eastAsia" w:ascii="Times New Roman" w:hAnsi="Times New Roman" w:eastAsia="方正仿宋_GBK" w:cs="方正仿宋_GBK"/>
          <w:sz w:val="32"/>
          <w:szCs w:val="32"/>
        </w:rPr>
        <w:t>吃住行游购娱</w:t>
      </w:r>
      <w:r>
        <w:rPr>
          <w:rFonts w:hint="eastAsia" w:ascii="宋体" w:hAnsi="宋体" w:eastAsia="宋体" w:cs="宋体"/>
          <w:sz w:val="32"/>
          <w:szCs w:val="32"/>
        </w:rPr>
        <w:t>”</w:t>
      </w:r>
      <w:r>
        <w:rPr>
          <w:rFonts w:hint="eastAsia" w:ascii="Times New Roman" w:hAnsi="Times New Roman" w:eastAsia="方正仿宋_GBK" w:cs="方正仿宋_GBK"/>
          <w:sz w:val="32"/>
          <w:szCs w:val="32"/>
        </w:rPr>
        <w:t>全场景、全天侯、高质量、高品味的消费服务环境，打造川东北夜经济网红打卡地。充分利用</w:t>
      </w:r>
      <w:r>
        <w:rPr>
          <w:rFonts w:hint="eastAsia" w:ascii="宋体" w:hAnsi="宋体" w:eastAsia="宋体" w:cs="宋体"/>
          <w:sz w:val="32"/>
          <w:szCs w:val="32"/>
        </w:rPr>
        <w:t>“</w:t>
      </w:r>
      <w:r>
        <w:rPr>
          <w:rFonts w:hint="eastAsia" w:ascii="Times New Roman" w:hAnsi="Times New Roman" w:eastAsia="方正仿宋_GBK" w:cs="方正仿宋_GBK"/>
          <w:sz w:val="32"/>
          <w:szCs w:val="32"/>
        </w:rPr>
        <w:t>两馆一街区</w:t>
      </w:r>
      <w:r>
        <w:rPr>
          <w:rFonts w:hint="eastAsia" w:ascii="宋体" w:hAnsi="宋体" w:eastAsia="宋体" w:cs="宋体"/>
          <w:sz w:val="32"/>
          <w:szCs w:val="32"/>
        </w:rPr>
        <w:t>”</w:t>
      </w:r>
      <w:r>
        <w:rPr>
          <w:rFonts w:hint="eastAsia" w:ascii="Times New Roman" w:hAnsi="Times New Roman" w:eastAsia="方正仿宋_GBK" w:cs="方正仿宋_GBK"/>
          <w:sz w:val="32"/>
          <w:szCs w:val="32"/>
        </w:rPr>
        <w:t>资源和三里坪城市综合体，规划建设达州会展中心，充分汇聚会展服务、文化旅游、商业贸易、特色美食等相互促进的产业业态，形成辐射带动力强的产业集群。力争到</w:t>
      </w:r>
      <w:r>
        <w:rPr>
          <w:rFonts w:ascii="Times New Roman" w:hAnsi="Times New Roman" w:eastAsia="方正仿宋_GBK" w:cs="Times New Roman"/>
          <w:sz w:val="32"/>
          <w:szCs w:val="32"/>
        </w:rPr>
        <w:t>2025</w:t>
      </w:r>
      <w:r>
        <w:rPr>
          <w:rFonts w:hint="eastAsia" w:ascii="Times New Roman" w:hAnsi="Times New Roman" w:eastAsia="方正仿宋_GBK" w:cs="方正仿宋_GBK"/>
          <w:sz w:val="32"/>
          <w:szCs w:val="32"/>
        </w:rPr>
        <w:t>年，</w:t>
      </w:r>
      <w:r>
        <w:rPr>
          <w:rFonts w:hint="eastAsia" w:ascii="Times New Roman" w:hAnsi="Times New Roman" w:eastAsia="方正仿宋_GBK" w:cs="方正仿宋_GBK"/>
          <w:spacing w:val="-10"/>
          <w:sz w:val="32"/>
          <w:szCs w:val="32"/>
        </w:rPr>
        <w:t>城区文旅及相关产业实现营收</w:t>
      </w:r>
      <w:r>
        <w:rPr>
          <w:rFonts w:ascii="Times New Roman" w:hAnsi="Times New Roman" w:eastAsia="方正仿宋_GBK" w:cs="Times New Roman"/>
          <w:spacing w:val="-10"/>
          <w:sz w:val="32"/>
          <w:szCs w:val="32"/>
        </w:rPr>
        <w:t>50</w:t>
      </w:r>
      <w:r>
        <w:rPr>
          <w:rFonts w:hint="eastAsia" w:ascii="Times New Roman" w:hAnsi="Times New Roman" w:eastAsia="方正仿宋_GBK" w:cs="方正仿宋_GBK"/>
          <w:spacing w:val="-10"/>
          <w:sz w:val="32"/>
          <w:szCs w:val="32"/>
        </w:rPr>
        <w:t>亿元。</w:t>
      </w:r>
    </w:p>
    <w:p>
      <w:pPr>
        <w:snapToGrid w:val="0"/>
        <w:spacing w:line="578" w:lineRule="exact"/>
        <w:ind w:firstLine="643" w:firstLineChars="200"/>
        <w:outlineLvl w:val="1"/>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三带：打造东部生态文化旅游经济带。</w:t>
      </w:r>
      <w:r>
        <w:rPr>
          <w:rFonts w:hint="eastAsia" w:ascii="Times New Roman" w:hAnsi="Times New Roman" w:eastAsia="方正仿宋_GBK" w:cs="方正仿宋_GBK"/>
          <w:sz w:val="32"/>
          <w:szCs w:val="32"/>
        </w:rPr>
        <w:t>沿达开快速通道，以整体提升打造中华银杏谷、九龙湖为依托，协同推进环明月山国家旅游风景道和大蜀道文旅品牌建设，发展康养旅游，助推明月山绿色发展组团建设；</w:t>
      </w:r>
      <w:r>
        <w:rPr>
          <w:rFonts w:hint="eastAsia" w:ascii="Times New Roman" w:hAnsi="Times New Roman" w:eastAsia="方正仿宋_GBK" w:cs="方正仿宋_GBK"/>
          <w:b/>
          <w:bCs/>
          <w:sz w:val="32"/>
          <w:szCs w:val="32"/>
        </w:rPr>
        <w:t>打造西部红色文化旅游经济带。</w:t>
      </w:r>
      <w:r>
        <w:rPr>
          <w:rFonts w:hint="eastAsia" w:ascii="Times New Roman" w:hAnsi="Times New Roman" w:eastAsia="方正仿宋_GBK" w:cs="方正仿宋_GBK"/>
          <w:sz w:val="32"/>
          <w:szCs w:val="32"/>
        </w:rPr>
        <w:t>沿达营高速公路、达石快速通道，以铁山森林公园、巴河风光、石桥古镇为依托，突出</w:t>
      </w:r>
      <w:r>
        <w:rPr>
          <w:rFonts w:hint="eastAsia" w:ascii="宋体" w:hAnsi="宋体" w:eastAsia="宋体" w:cs="宋体"/>
          <w:sz w:val="32"/>
          <w:szCs w:val="32"/>
        </w:rPr>
        <w:t>“</w:t>
      </w:r>
      <w:r>
        <w:rPr>
          <w:rFonts w:hint="eastAsia" w:ascii="Times New Roman" w:hAnsi="Times New Roman" w:eastAsia="方正仿宋_GBK" w:cs="方正仿宋_GBK"/>
          <w:sz w:val="32"/>
          <w:szCs w:val="32"/>
        </w:rPr>
        <w:t>红色</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绿色</w:t>
      </w:r>
      <w:r>
        <w:rPr>
          <w:rFonts w:hint="eastAsia" w:ascii="宋体" w:hAnsi="宋体" w:eastAsia="宋体" w:cs="宋体"/>
          <w:sz w:val="32"/>
          <w:szCs w:val="32"/>
        </w:rPr>
        <w:t>”</w:t>
      </w:r>
      <w:r>
        <w:rPr>
          <w:rFonts w:hint="eastAsia" w:ascii="Times New Roman" w:hAnsi="Times New Roman" w:eastAsia="方正仿宋_GBK" w:cs="方正仿宋_GBK"/>
          <w:sz w:val="32"/>
          <w:szCs w:val="32"/>
        </w:rPr>
        <w:t>，挖掘列宁街红色文化，集中展演石桥烧火龙、翻山铰子等非遗文化，助推巴河水乡生态田园组团和</w:t>
      </w:r>
      <w:r>
        <w:rPr>
          <w:rFonts w:hint="eastAsia" w:ascii="宋体" w:hAnsi="宋体" w:eastAsia="宋体" w:cs="宋体"/>
          <w:sz w:val="32"/>
          <w:szCs w:val="32"/>
        </w:rPr>
        <w:t>“</w:t>
      </w:r>
      <w:r>
        <w:rPr>
          <w:rFonts w:hint="eastAsia" w:ascii="Times New Roman" w:hAnsi="Times New Roman" w:eastAsia="方正仿宋_GBK" w:cs="方正仿宋_GBK"/>
          <w:sz w:val="32"/>
          <w:szCs w:val="32"/>
        </w:rPr>
        <w:t>双石</w:t>
      </w:r>
      <w:r>
        <w:rPr>
          <w:rFonts w:hint="eastAsia" w:ascii="宋体" w:hAnsi="宋体" w:eastAsia="宋体" w:cs="宋体"/>
          <w:sz w:val="32"/>
          <w:szCs w:val="32"/>
        </w:rPr>
        <w:t>”</w:t>
      </w:r>
      <w:r>
        <w:rPr>
          <w:rFonts w:hint="eastAsia" w:ascii="Times New Roman" w:hAnsi="Times New Roman" w:eastAsia="方正仿宋_GBK" w:cs="方正仿宋_GBK"/>
          <w:sz w:val="32"/>
          <w:szCs w:val="32"/>
        </w:rPr>
        <w:t>商贸文旅组团建设。一是围绕巴河流域的桥湾镇、虎让乡和石梯镇部分区域，从大堰</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桥湾（滴河）公路修建百里巴河沿岸观光长廊，石梯</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石桥（洛车）</w:t>
      </w:r>
      <w:r>
        <w:rPr>
          <w:rFonts w:ascii="Times New Roman" w:hAnsi="Times New Roman" w:eastAsia="方正仿宋_GBK" w:cs="Times New Roman"/>
          <w:sz w:val="32"/>
          <w:szCs w:val="32"/>
        </w:rPr>
        <w:t>S204</w:t>
      </w:r>
      <w:r>
        <w:rPr>
          <w:rFonts w:hint="eastAsia" w:ascii="Times New Roman" w:hAnsi="Times New Roman" w:eastAsia="方正仿宋_GBK" w:cs="方正仿宋_GBK"/>
          <w:sz w:val="32"/>
          <w:szCs w:val="32"/>
        </w:rPr>
        <w:t>旅游环线，打造巴河水乡观光农旅融合板块。二是围绕铁山区域的管村、罐子、渡市、龙会</w:t>
      </w:r>
      <w:r>
        <w:rPr>
          <w:rFonts w:ascii="Times New Roman" w:hAnsi="Times New Roman" w:eastAsia="方正仿宋_GBK" w:cs="Times New Roman"/>
          <w:sz w:val="32"/>
          <w:szCs w:val="32"/>
        </w:rPr>
        <w:t>4</w:t>
      </w:r>
      <w:r>
        <w:rPr>
          <w:rFonts w:hint="eastAsia" w:ascii="Times New Roman" w:hAnsi="Times New Roman" w:eastAsia="方正仿宋_GBK" w:cs="方正仿宋_GBK"/>
          <w:sz w:val="32"/>
          <w:szCs w:val="32"/>
        </w:rPr>
        <w:t>个乡镇，依托管村镇新岭村、管村（金檀）镇金窝村、龙会乡花石岩村等资源较好的村社，打造特色优势区农旅融合板块；三是围绕沙滩河水库、石峡子水库，在大堰、赵固、堡子、米城</w:t>
      </w:r>
      <w:r>
        <w:rPr>
          <w:rFonts w:ascii="Times New Roman" w:hAnsi="Times New Roman" w:eastAsia="方正仿宋_GBK" w:cs="Times New Roman"/>
          <w:sz w:val="32"/>
          <w:szCs w:val="32"/>
        </w:rPr>
        <w:t>4</w:t>
      </w:r>
      <w:r>
        <w:rPr>
          <w:rFonts w:hint="eastAsia" w:ascii="Times New Roman" w:hAnsi="Times New Roman" w:eastAsia="方正仿宋_GBK" w:cs="方正仿宋_GBK"/>
          <w:sz w:val="32"/>
          <w:szCs w:val="32"/>
        </w:rPr>
        <w:t>个乡镇大力发展森林康养、渔家（林家）客栈（民宿）、文化体验等农家乐及休闲农业，打造农耕文化体验农旅融合板块；</w:t>
      </w:r>
      <w:r>
        <w:rPr>
          <w:rFonts w:hint="eastAsia" w:ascii="Times New Roman" w:hAnsi="Times New Roman" w:eastAsia="方正仿宋_GBK" w:cs="方正仿宋_GBK"/>
          <w:b/>
          <w:bCs/>
          <w:sz w:val="32"/>
          <w:szCs w:val="32"/>
        </w:rPr>
        <w:t>打造南部乡村文化旅游经济带。</w:t>
      </w:r>
      <w:r>
        <w:rPr>
          <w:rFonts w:hint="eastAsia" w:ascii="Times New Roman" w:hAnsi="Times New Roman" w:eastAsia="方正仿宋_GBK" w:cs="方正仿宋_GBK"/>
          <w:sz w:val="32"/>
          <w:szCs w:val="32"/>
        </w:rPr>
        <w:t>沿达渝高速，加快推进乌梅山景区、帝源生态农场、瑞福蚕桑乐园升级打造和仙女山旅游综合开发等项目，以“达川乌梅”（全省唯一被列入</w:t>
      </w:r>
      <w:r>
        <w:rPr>
          <w:rFonts w:ascii="Times New Roman" w:hAnsi="Times New Roman" w:eastAsia="方正仿宋_GBK" w:cs="Times New Roman"/>
          <w:sz w:val="32"/>
          <w:szCs w:val="32"/>
        </w:rPr>
        <w:t>10</w:t>
      </w:r>
      <w:r>
        <w:rPr>
          <w:rFonts w:hint="eastAsia" w:ascii="Times New Roman" w:hAnsi="Times New Roman" w:eastAsia="方正仿宋_GBK" w:cs="方正仿宋_GBK"/>
          <w:sz w:val="32"/>
          <w:szCs w:val="32"/>
        </w:rPr>
        <w:t>大农作物优异种质资源）、达川乌梅山中医药康养中心（被省中医药管理局、文化和旅游厅认定为</w:t>
      </w:r>
      <w:r>
        <w:rPr>
          <w:rFonts w:hint="eastAsia" w:ascii="宋体" w:hAnsi="宋体" w:eastAsia="宋体" w:cs="宋体"/>
          <w:sz w:val="32"/>
          <w:szCs w:val="32"/>
        </w:rPr>
        <w:t>“</w:t>
      </w:r>
      <w:r>
        <w:rPr>
          <w:rFonts w:ascii="Times New Roman" w:hAnsi="Times New Roman" w:eastAsia="方正仿宋_GBK" w:cs="Times New Roman"/>
          <w:sz w:val="32"/>
          <w:szCs w:val="32"/>
        </w:rPr>
        <w:t>2021</w:t>
      </w:r>
      <w:r>
        <w:rPr>
          <w:rFonts w:hint="eastAsia" w:ascii="Times New Roman" w:hAnsi="Times New Roman" w:eastAsia="方正仿宋_GBK" w:cs="方正仿宋_GBK"/>
          <w:sz w:val="32"/>
          <w:szCs w:val="32"/>
        </w:rPr>
        <w:t>年四川省中医药健康旅游示范基地</w:t>
      </w:r>
      <w:r>
        <w:rPr>
          <w:rFonts w:hint="eastAsia" w:ascii="宋体" w:hAnsi="宋体" w:eastAsia="宋体" w:cs="宋体"/>
          <w:sz w:val="32"/>
          <w:szCs w:val="32"/>
        </w:rPr>
        <w:t>”</w:t>
      </w:r>
      <w:r>
        <w:rPr>
          <w:rFonts w:hint="eastAsia" w:ascii="Times New Roman" w:hAnsi="Times New Roman" w:eastAsia="方正仿宋_GBK" w:cs="方正仿宋_GBK"/>
          <w:sz w:val="32"/>
          <w:szCs w:val="32"/>
        </w:rPr>
        <w:t>）为依托，擦亮乌梅山“中国乌梅之乡”</w:t>
      </w:r>
      <w:r>
        <w:rPr>
          <w:rFonts w:hint="eastAsia" w:ascii="宋体" w:hAnsi="宋体" w:eastAsia="宋体" w:cs="宋体"/>
          <w:sz w:val="32"/>
          <w:szCs w:val="32"/>
        </w:rPr>
        <w:t>“</w:t>
      </w:r>
      <w:r>
        <w:rPr>
          <w:rFonts w:hint="eastAsia" w:ascii="Times New Roman" w:hAnsi="Times New Roman" w:eastAsia="方正仿宋_GBK" w:cs="方正仿宋_GBK"/>
          <w:sz w:val="32"/>
          <w:szCs w:val="32"/>
        </w:rPr>
        <w:t>中国乌梅名县</w:t>
      </w:r>
      <w:r>
        <w:rPr>
          <w:rFonts w:hint="eastAsia" w:ascii="宋体" w:hAnsi="宋体" w:eastAsia="宋体" w:cs="宋体"/>
          <w:sz w:val="32"/>
          <w:szCs w:val="32"/>
        </w:rPr>
        <w:t>”</w:t>
      </w:r>
      <w:r>
        <w:rPr>
          <w:rFonts w:hint="eastAsia" w:ascii="Times New Roman" w:hAnsi="Times New Roman" w:eastAsia="方正仿宋_GBK" w:cs="方正仿宋_GBK"/>
          <w:sz w:val="32"/>
          <w:szCs w:val="32"/>
        </w:rPr>
        <w:t>名片，助推乌梅山农旅组团建设。</w:t>
      </w:r>
    </w:p>
    <w:p>
      <w:pPr>
        <w:snapToGrid w:val="0"/>
        <w:spacing w:line="578" w:lineRule="exact"/>
        <w:ind w:firstLine="643" w:firstLineChars="200"/>
        <w:outlineLvl w:val="1"/>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多点：</w:t>
      </w:r>
      <w:r>
        <w:rPr>
          <w:rFonts w:hint="eastAsia" w:ascii="Times New Roman" w:hAnsi="Times New Roman" w:eastAsia="方正仿宋_GBK" w:cs="方正仿宋_GBK"/>
          <w:sz w:val="32"/>
          <w:szCs w:val="32"/>
        </w:rPr>
        <w:t>以全域旅游理念统筹全区文旅产业发展，各片区（中心场镇）结合资源特点与环境状况，</w:t>
      </w:r>
      <w:r>
        <w:rPr>
          <w:rFonts w:hint="eastAsia" w:ascii="Times New Roman" w:hAnsi="Times New Roman" w:eastAsia="方正仿宋_GBK" w:cs="方正仿宋_GBK"/>
          <w:snapToGrid w:val="0"/>
          <w:sz w:val="32"/>
          <w:szCs w:val="32"/>
        </w:rPr>
        <w:t>挖掘地方文旅资源潜力，</w:t>
      </w:r>
      <w:r>
        <w:rPr>
          <w:rFonts w:hint="eastAsia" w:ascii="Times New Roman" w:hAnsi="Times New Roman" w:eastAsia="方正仿宋_GBK" w:cs="方正仿宋_GBK"/>
          <w:sz w:val="32"/>
          <w:szCs w:val="32"/>
        </w:rPr>
        <w:t>开拓乡村休闲、传统村落、民宿、特色街区、文创园区、红色研学等新的空间，建设特色旅游区、农旅融合现代农业示范园区，塑造当地拳头产品，在达川区</w:t>
      </w:r>
      <w:r>
        <w:rPr>
          <w:rFonts w:hint="eastAsia" w:ascii="Times New Roman" w:hAnsi="Times New Roman" w:eastAsia="方正仿宋_GBK" w:cs="方正仿宋_GBK"/>
          <w:snapToGrid w:val="0"/>
          <w:sz w:val="32"/>
          <w:szCs w:val="32"/>
        </w:rPr>
        <w:t>文旅融合发展构架中多点开花，促进我区文旅全域发展。</w:t>
      </w:r>
      <w:r>
        <w:rPr>
          <w:rFonts w:hint="eastAsia" w:ascii="Times New Roman" w:hAnsi="Times New Roman" w:eastAsia="方正仿宋_GBK" w:cs="方正仿宋_GBK"/>
          <w:sz w:val="32"/>
          <w:szCs w:val="32"/>
        </w:rPr>
        <w:t>重点发展大树镇、万家镇、管村镇、石桥镇、石梯镇、龙会乡、桥湾镇、百节镇、双庙镇、赵家镇等</w:t>
      </w:r>
      <w:r>
        <w:rPr>
          <w:rFonts w:ascii="Times New Roman" w:hAnsi="Times New Roman" w:eastAsia="方正仿宋_GBK" w:cs="Times New Roman"/>
          <w:sz w:val="32"/>
          <w:szCs w:val="32"/>
        </w:rPr>
        <w:t>10</w:t>
      </w:r>
      <w:r>
        <w:rPr>
          <w:rFonts w:hint="eastAsia" w:ascii="Times New Roman" w:hAnsi="Times New Roman" w:eastAsia="方正仿宋_GBK" w:cs="方正仿宋_GBK"/>
          <w:sz w:val="32"/>
          <w:szCs w:val="32"/>
        </w:rPr>
        <w:t>个重点乡镇的乡村旅游。重点打造巴文化旅游产业园、石桥古镇、中华银杏谷、九龙湖、乌梅山、仙女山、巴河水乡、沙滩河大峡谷等景区，农旅融合现代农业示范园，传统村落、名人名居的保护和开发利用等项目。</w:t>
      </w:r>
    </w:p>
    <w:p>
      <w:pPr>
        <w:pStyle w:val="9"/>
        <w:ind w:left="840" w:firstLine="640"/>
        <w:rPr>
          <w:rFonts w:cs="Times New Roman"/>
          <w:lang w:eastAsia="zh-CN"/>
        </w:rPr>
      </w:pPr>
    </w:p>
    <w:p>
      <w:pPr>
        <w:snapToGrid w:val="0"/>
        <w:spacing w:line="578" w:lineRule="exact"/>
        <w:jc w:val="center"/>
        <w:outlineLvl w:val="0"/>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第四章</w:t>
      </w:r>
      <w:r>
        <w:rPr>
          <w:rFonts w:ascii="方正小标宋_GBK" w:hAnsi="Times New Roman" w:eastAsia="方正小标宋_GBK" w:cs="方正小标宋_GBK"/>
          <w:sz w:val="44"/>
          <w:szCs w:val="44"/>
        </w:rPr>
        <w:t xml:space="preserve">  </w:t>
      </w:r>
      <w:r>
        <w:rPr>
          <w:rFonts w:hint="eastAsia" w:ascii="方正小标宋_GBK" w:hAnsi="Times New Roman" w:eastAsia="方正小标宋_GBK" w:cs="方正小标宋_GBK"/>
          <w:sz w:val="44"/>
          <w:szCs w:val="44"/>
        </w:rPr>
        <w:t>主要任务</w:t>
      </w:r>
    </w:p>
    <w:p>
      <w:pPr>
        <w:adjustRightInd w:val="0"/>
        <w:snapToGrid w:val="0"/>
        <w:spacing w:line="578" w:lineRule="exact"/>
        <w:ind w:firstLine="640" w:firstLineChars="200"/>
        <w:rPr>
          <w:rFonts w:ascii="Times New Roman" w:hAnsi="Times New Roman" w:eastAsia="方正仿宋_GBK" w:cs="Times New Roman"/>
          <w:sz w:val="32"/>
          <w:szCs w:val="32"/>
        </w:rPr>
      </w:pPr>
    </w:p>
    <w:p>
      <w:pPr>
        <w:pStyle w:val="45"/>
        <w:numPr>
          <w:ilvl w:val="0"/>
          <w:numId w:val="1"/>
        </w:numPr>
        <w:adjustRightInd w:val="0"/>
        <w:snapToGrid w:val="0"/>
        <w:spacing w:line="578" w:lineRule="exact"/>
        <w:ind w:left="0" w:firstLine="0" w:firstLineChars="0"/>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推进重点景区建设</w:t>
      </w:r>
    </w:p>
    <w:p>
      <w:pPr>
        <w:adjustRightInd w:val="0"/>
        <w:snapToGrid w:val="0"/>
        <w:spacing w:line="578" w:lineRule="exact"/>
        <w:ind w:firstLine="640" w:firstLineChars="200"/>
        <w:outlineLvl w:val="2"/>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一、围绕</w:t>
      </w:r>
      <w:r>
        <w:rPr>
          <w:rFonts w:hint="eastAsia" w:ascii="宋体" w:hAnsi="宋体" w:eastAsia="宋体" w:cs="宋体"/>
          <w:sz w:val="32"/>
          <w:szCs w:val="32"/>
        </w:rPr>
        <w:t>“</w:t>
      </w:r>
      <w:r>
        <w:rPr>
          <w:rFonts w:hint="eastAsia" w:ascii="方正黑体_GBK" w:hAnsi="Times New Roman" w:eastAsia="方正黑体_GBK" w:cs="方正黑体_GBK"/>
          <w:sz w:val="32"/>
          <w:szCs w:val="32"/>
        </w:rPr>
        <w:t>一核</w:t>
      </w:r>
      <w:r>
        <w:rPr>
          <w:rFonts w:hint="eastAsia" w:ascii="宋体" w:hAnsi="宋体" w:eastAsia="宋体" w:cs="宋体"/>
          <w:sz w:val="32"/>
          <w:szCs w:val="32"/>
        </w:rPr>
        <w:t>”</w:t>
      </w:r>
      <w:r>
        <w:rPr>
          <w:rFonts w:hint="eastAsia" w:ascii="方正黑体_GBK" w:hAnsi="Times New Roman" w:eastAsia="方正黑体_GBK" w:cs="方正黑体_GBK"/>
          <w:sz w:val="32"/>
          <w:szCs w:val="32"/>
        </w:rPr>
        <w:t>推动建设城市休闲文化旅游核心区</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实施旅游咨询服务中心、旅游交通集散、旅游云数据三大中心工程，全面提升旅游综合服务和管理能力。以三里坪巴文化旅游产业园、旅游咨询和交通集散中心、州河滨河休闲带提升、升华城市综合体、好吃街、阳光耍都、南大街、领域广场、仙鹤路、达川区体育馆游泳池升级改造、临江文化体育公园、雷音铺森林体育公园，翠屏山、杨柳街道和小河嘴全民健身活动中心，雷音铺环山步道和登山步道，金南大桥至河市滨水健身步道，金南大桥至小河嘴滨水骑行健身步道、社区多功能运动场，以及两角寨和板凳山全民健身设施等为重点，打造国家级夜间文旅消费集聚区，建设都市文旅商圈，打造</w:t>
      </w:r>
      <w:r>
        <w:rPr>
          <w:rFonts w:hint="eastAsia" w:ascii="宋体" w:hAnsi="宋体" w:eastAsia="宋体" w:cs="宋体"/>
          <w:sz w:val="32"/>
          <w:szCs w:val="32"/>
        </w:rPr>
        <w:t>“</w:t>
      </w:r>
      <w:r>
        <w:rPr>
          <w:rFonts w:hint="eastAsia" w:ascii="Times New Roman" w:hAnsi="Times New Roman" w:eastAsia="方正仿宋_GBK" w:cs="方正仿宋_GBK"/>
          <w:sz w:val="32"/>
          <w:szCs w:val="32"/>
        </w:rPr>
        <w:t>城市休闲文化旅游核心区</w:t>
      </w:r>
      <w:r>
        <w:rPr>
          <w:rFonts w:hint="eastAsia" w:ascii="宋体" w:hAnsi="宋体" w:eastAsia="宋体" w:cs="宋体"/>
          <w:sz w:val="32"/>
          <w:szCs w:val="32"/>
        </w:rPr>
        <w:t>”</w:t>
      </w:r>
      <w:r>
        <w:rPr>
          <w:rFonts w:hint="eastAsia" w:ascii="Times New Roman" w:hAnsi="Times New Roman" w:eastAsia="方正仿宋_GBK" w:cs="方正仿宋_GBK"/>
          <w:sz w:val="32"/>
          <w:szCs w:val="32"/>
        </w:rPr>
        <w:t>。</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4-1</w:t>
      </w:r>
      <w:r>
        <w:rPr>
          <w:rFonts w:hint="eastAsia" w:ascii="Times New Roman" w:hAnsi="Times New Roman" w:eastAsia="方正仿宋_GBK" w:cs="方正仿宋_GBK"/>
          <w:b/>
          <w:bCs/>
          <w:sz w:val="28"/>
          <w:szCs w:val="28"/>
        </w:rPr>
        <w:t>：城市休闲文化旅游核心区建设项目</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5" w:type="dxa"/>
          </w:tcPr>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三大中心工程：旅游咨询服务中心工程、旅游交通集散中心工程、旅游云数据中心工程。</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三里坪巴文化旅游产业园：以</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建设巴文化传承创新高地</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为文化主线，建设巴文化博物馆、钢琴博物馆、巴文化主题公园、后照馆、三里古街、巴文化文创艺术基地等项目。</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3.</w:t>
            </w:r>
            <w:r>
              <w:rPr>
                <w:rFonts w:hint="eastAsia" w:ascii="Times New Roman" w:hAnsi="Times New Roman" w:eastAsia="方正仿宋_GBK" w:cs="方正仿宋_GBK"/>
                <w:snapToGrid w:val="0"/>
                <w:sz w:val="28"/>
                <w:szCs w:val="28"/>
              </w:rPr>
              <w:t>州河滨河休闲带：打造从三里坪到州河大桥的滨河休闲公园，形成地方特色餐饮、客栈、茶吧、水吧、咖啡、酒吧、特色美食、</w:t>
            </w:r>
            <w:r>
              <w:rPr>
                <w:rFonts w:ascii="Times New Roman" w:hAnsi="Times New Roman" w:eastAsia="方正仿宋_GBK" w:cs="Times New Roman"/>
                <w:snapToGrid w:val="0"/>
                <w:sz w:val="28"/>
                <w:szCs w:val="28"/>
              </w:rPr>
              <w:t>KTV</w:t>
            </w:r>
            <w:r>
              <w:rPr>
                <w:rFonts w:hint="eastAsia" w:ascii="Times New Roman" w:hAnsi="Times New Roman" w:eastAsia="方正仿宋_GBK" w:cs="方正仿宋_GBK"/>
                <w:snapToGrid w:val="0"/>
                <w:sz w:val="28"/>
                <w:szCs w:val="28"/>
              </w:rPr>
              <w:t>、小吃一条街等业态聚集区，满足市民及游客餐饮、休闲、娱乐、健身等功能。规划建设从金南大桥至河市滨水健身步道，打通金南大桥至小河嘴滨水健身步道，满足城市居民骑游、健身、观光等功能。完善旅游服务设施及基础设施、对建筑风貌进行改造，对休闲节点绿化及景观提升。</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4.</w:t>
            </w:r>
            <w:r>
              <w:rPr>
                <w:rFonts w:hint="eastAsia" w:ascii="Times New Roman" w:hAnsi="Times New Roman" w:eastAsia="方正仿宋_GBK" w:cs="方正仿宋_GBK"/>
                <w:snapToGrid w:val="0"/>
                <w:sz w:val="28"/>
                <w:szCs w:val="28"/>
              </w:rPr>
              <w:t>城市特色美食街：挖掘川东美食文化，重点提升升华城市综合体、好吃街、阳光耍都、南大街、领域广场、仙鹤路等现有特色美食街区美食文化，打造城市美食消费极。</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5.</w:t>
            </w:r>
            <w:r>
              <w:rPr>
                <w:rFonts w:hint="eastAsia" w:ascii="Times New Roman" w:hAnsi="Times New Roman" w:eastAsia="方正仿宋_GBK" w:cs="方正仿宋_GBK"/>
                <w:snapToGrid w:val="0"/>
                <w:sz w:val="28"/>
                <w:szCs w:val="28"/>
              </w:rPr>
              <w:t>夜间消费创新行动：结合现有的文化娱乐、健身休闲和旅游景区等资源，大力发展吃、住、行、游、购、娱、体、展、演等夜间消费活动。打造夜间旅游景区、夜间视听剧苑、夜间文鉴艺廊、夜间亲子乐园、夜间医美空间、夜间乐动场馆、夜间学习时点、夜间购物潮地、夜间晚味去处、夜间风情街区等消费场景。</w:t>
            </w:r>
          </w:p>
        </w:tc>
      </w:tr>
    </w:tbl>
    <w:p>
      <w:pPr>
        <w:adjustRightInd w:val="0"/>
        <w:snapToGrid w:val="0"/>
        <w:spacing w:line="578" w:lineRule="exact"/>
        <w:ind w:firstLine="640" w:firstLineChars="200"/>
        <w:rPr>
          <w:rFonts w:ascii="Times New Roman" w:hAnsi="Times New Roman" w:eastAsia="方正仿宋_GBK" w:cs="Times New Roman"/>
          <w:sz w:val="32"/>
          <w:szCs w:val="32"/>
        </w:rPr>
      </w:pPr>
    </w:p>
    <w:p>
      <w:pPr>
        <w:adjustRightInd w:val="0"/>
        <w:snapToGrid w:val="0"/>
        <w:spacing w:line="578" w:lineRule="exact"/>
        <w:ind w:firstLine="640" w:firstLineChars="200"/>
        <w:outlineLvl w:val="2"/>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二、围绕</w:t>
      </w:r>
      <w:r>
        <w:rPr>
          <w:rFonts w:hint="eastAsia" w:ascii="宋体" w:hAnsi="宋体" w:eastAsia="宋体" w:cs="宋体"/>
          <w:sz w:val="32"/>
          <w:szCs w:val="32"/>
        </w:rPr>
        <w:t>“</w:t>
      </w:r>
      <w:r>
        <w:rPr>
          <w:rFonts w:hint="eastAsia" w:ascii="方正黑体_GBK" w:hAnsi="Times New Roman" w:eastAsia="方正黑体_GBK" w:cs="方正黑体_GBK"/>
          <w:sz w:val="32"/>
          <w:szCs w:val="32"/>
        </w:rPr>
        <w:t>六组团</w:t>
      </w:r>
      <w:r>
        <w:rPr>
          <w:rFonts w:hint="eastAsia" w:ascii="宋体" w:hAnsi="宋体" w:eastAsia="宋体" w:cs="宋体"/>
          <w:sz w:val="32"/>
          <w:szCs w:val="32"/>
        </w:rPr>
        <w:t>”</w:t>
      </w:r>
      <w:r>
        <w:rPr>
          <w:rFonts w:hint="eastAsia" w:ascii="方正黑体_GBK" w:hAnsi="Times New Roman" w:eastAsia="方正黑体_GBK" w:cs="方正黑体_GBK"/>
          <w:sz w:val="32"/>
          <w:szCs w:val="32"/>
        </w:rPr>
        <w:t>加快重大文旅项目建设</w:t>
      </w:r>
    </w:p>
    <w:p>
      <w:pPr>
        <w:adjustRightInd w:val="0"/>
        <w:snapToGrid w:val="0"/>
        <w:spacing w:line="578" w:lineRule="exact"/>
        <w:ind w:firstLine="640" w:firstLineChars="200"/>
        <w:outlineLvl w:val="2"/>
        <w:rPr>
          <w:rFonts w:ascii="方正楷体_GBK" w:hAnsi="Times New Roman" w:eastAsia="方正楷体_GBK" w:cs="Times New Roman"/>
          <w:sz w:val="32"/>
          <w:szCs w:val="32"/>
        </w:rPr>
      </w:pPr>
      <w:r>
        <w:rPr>
          <w:rFonts w:hint="eastAsia" w:ascii="方正楷体_GBK" w:hAnsi="Times New Roman" w:eastAsia="方正楷体_GBK" w:cs="方正楷体_GBK"/>
          <w:sz w:val="32"/>
          <w:szCs w:val="32"/>
        </w:rPr>
        <w:t>（一）建设明月山绿色发展组团</w:t>
      </w:r>
    </w:p>
    <w:p>
      <w:pPr>
        <w:adjustRightInd w:val="0"/>
        <w:snapToGrid w:val="0"/>
        <w:spacing w:line="578" w:lineRule="exact"/>
        <w:ind w:firstLine="640" w:firstLineChars="200"/>
        <w:outlineLvl w:val="3"/>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中华银杏谷景区建设</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立足万亩银杏种植基地的产业和生态环境优势，积极响应国家乡村振兴战略，紧抓明月山绿色发展示范带建设契机，围绕生态绿色发展，延伸银杏产业链条，推进林旅深度融合，建设以银杏及花卉观光休闲、森林康养度假为核心的国家森林康养示范基地、省级旅游度假区、国家</w:t>
      </w:r>
      <w:r>
        <w:rPr>
          <w:rFonts w:ascii="Times New Roman" w:hAnsi="Times New Roman" w:eastAsia="方正仿宋_GBK" w:cs="Times New Roman"/>
          <w:sz w:val="32"/>
          <w:szCs w:val="32"/>
        </w:rPr>
        <w:t>AAAA</w:t>
      </w:r>
      <w:r>
        <w:rPr>
          <w:rFonts w:hint="eastAsia" w:ascii="Times New Roman" w:hAnsi="Times New Roman" w:eastAsia="方正仿宋_GBK" w:cs="方正仿宋_GBK"/>
          <w:sz w:val="32"/>
          <w:szCs w:val="32"/>
        </w:rPr>
        <w:t>级旅游景区和国家级林旅融合发展示范区。联合重庆市梁平区百里竹海联创国家级旅游度假区，打造全国知名、全省一流的旅游打卡地。</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4-2</w:t>
      </w:r>
      <w:r>
        <w:rPr>
          <w:rFonts w:hint="eastAsia" w:ascii="Times New Roman" w:hAnsi="Times New Roman" w:eastAsia="方正仿宋_GBK" w:cs="方正仿宋_GBK"/>
          <w:b/>
          <w:bCs/>
          <w:sz w:val="28"/>
          <w:szCs w:val="28"/>
        </w:rPr>
        <w:t>：中华银杏谷景区建设项目</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hint="eastAsia" w:ascii="Times New Roman" w:hAnsi="Times New Roman" w:eastAsia="方正仿宋_GBK" w:cs="方正仿宋_GBK"/>
                <w:snapToGrid w:val="0"/>
                <w:sz w:val="28"/>
                <w:szCs w:val="28"/>
              </w:rPr>
              <w:t>重点实施基础配套设施建设，银杏花海、银杏博览园、尖叫山谷、乡村民宿、国际汽车营地、百草天堂、民俗木屋村、银杏养生苑、养生度假酒店、银杏康养小镇等项目建设。</w:t>
            </w:r>
          </w:p>
        </w:tc>
      </w:tr>
    </w:tbl>
    <w:p>
      <w:pPr>
        <w:adjustRightInd w:val="0"/>
        <w:snapToGrid w:val="0"/>
        <w:spacing w:line="578" w:lineRule="exact"/>
        <w:ind w:firstLine="640" w:firstLineChars="200"/>
        <w:outlineLvl w:val="3"/>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九龙湖景区建设</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依托九龙湖独特的水文资源和环境，规划打造集湖滨旅游</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乡村休闲</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水上运动</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庄园度假</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商务会议于一体的川东唯一的湖泊湿地康养度假与龙文化体验旅游打卡地、国家</w:t>
      </w:r>
      <w:r>
        <w:rPr>
          <w:rFonts w:ascii="Times New Roman" w:hAnsi="Times New Roman" w:eastAsia="方正仿宋_GBK" w:cs="Times New Roman"/>
          <w:sz w:val="32"/>
          <w:szCs w:val="32"/>
        </w:rPr>
        <w:t>AAAA</w:t>
      </w:r>
      <w:r>
        <w:rPr>
          <w:rFonts w:hint="eastAsia" w:ascii="Times New Roman" w:hAnsi="Times New Roman" w:eastAsia="方正仿宋_GBK" w:cs="方正仿宋_GBK"/>
          <w:sz w:val="32"/>
          <w:szCs w:val="32"/>
        </w:rPr>
        <w:t>级旅游景区、湖泊湿地康养型国家级旅游度假区、国家级湿地公园。</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4-3</w:t>
      </w:r>
      <w:r>
        <w:rPr>
          <w:rFonts w:hint="eastAsia" w:ascii="Times New Roman" w:hAnsi="Times New Roman" w:eastAsia="方正仿宋_GBK" w:cs="方正仿宋_GBK"/>
          <w:b/>
          <w:bCs/>
          <w:sz w:val="28"/>
          <w:szCs w:val="28"/>
        </w:rPr>
        <w:t>：九龙湖景区建设项目</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hint="eastAsia" w:ascii="Times New Roman" w:hAnsi="Times New Roman" w:eastAsia="方正仿宋_GBK" w:cs="方正仿宋_GBK"/>
                <w:snapToGrid w:val="0"/>
                <w:sz w:val="28"/>
                <w:szCs w:val="28"/>
              </w:rPr>
              <w:t>重点实施环湖自行车（绿道）、川渝垂钓基地、龙乡水上运动公园（漂浮水上乐园、综合服务中心、水上运动俱乐部）、龙玲洞魔幻世界、龙乡蝴蝶岛、九龙鱼村、渔猎部落、滨水度假民宿等项目。</w:t>
            </w:r>
          </w:p>
        </w:tc>
      </w:tr>
    </w:tbl>
    <w:p>
      <w:pPr>
        <w:pStyle w:val="9"/>
        <w:ind w:left="840" w:firstLine="640"/>
        <w:rPr>
          <w:rFonts w:ascii="Times New Roman" w:hAnsi="Times New Roman" w:eastAsia="方正仿宋_GBK" w:cs="Times New Roman"/>
          <w:lang w:eastAsia="zh-CN"/>
        </w:rPr>
      </w:pPr>
    </w:p>
    <w:p>
      <w:pPr>
        <w:adjustRightInd w:val="0"/>
        <w:snapToGrid w:val="0"/>
        <w:spacing w:line="578" w:lineRule="exact"/>
        <w:ind w:firstLine="640" w:firstLineChars="200"/>
        <w:outlineLvl w:val="2"/>
        <w:rPr>
          <w:rFonts w:ascii="方正楷体_GBK" w:hAnsi="Times New Roman" w:eastAsia="方正楷体_GBK" w:cs="Times New Roman"/>
          <w:sz w:val="32"/>
          <w:szCs w:val="32"/>
        </w:rPr>
      </w:pPr>
      <w:r>
        <w:rPr>
          <w:rFonts w:hint="eastAsia" w:ascii="方正楷体_GBK" w:hAnsi="Times New Roman" w:eastAsia="方正楷体_GBK" w:cs="方正楷体_GBK"/>
          <w:sz w:val="32"/>
          <w:szCs w:val="32"/>
        </w:rPr>
        <w:t>（二）建设乌梅山农旅组团</w:t>
      </w:r>
    </w:p>
    <w:p>
      <w:pPr>
        <w:adjustRightInd w:val="0"/>
        <w:snapToGrid w:val="0"/>
        <w:spacing w:line="578" w:lineRule="exact"/>
        <w:ind w:firstLine="640" w:firstLineChars="200"/>
        <w:outlineLvl w:val="3"/>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乌梅山景区建设</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持续提升乌梅山国家</w:t>
      </w:r>
      <w:r>
        <w:rPr>
          <w:rFonts w:ascii="Times New Roman" w:hAnsi="Times New Roman" w:eastAsia="方正仿宋_GBK" w:cs="Times New Roman"/>
          <w:sz w:val="32"/>
          <w:szCs w:val="32"/>
        </w:rPr>
        <w:t>AAAA</w:t>
      </w:r>
      <w:r>
        <w:rPr>
          <w:rFonts w:hint="eastAsia" w:ascii="Times New Roman" w:hAnsi="Times New Roman" w:eastAsia="方正仿宋_GBK" w:cs="方正仿宋_GBK"/>
          <w:sz w:val="32"/>
          <w:szCs w:val="32"/>
        </w:rPr>
        <w:t>级旅游景区品质，丰富景区业态，加快推进乌梅山景区二期项目建设，构建完整的乡村旅游产业链条，将乌梅山打造成为集乌梅产业观光、乌梅文化体验、乡村田园休闲、乡村民宿度假、中医药康养基地等为一体的全国休闲农业与乡村旅游示范点。</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4-4</w:t>
      </w:r>
      <w:r>
        <w:rPr>
          <w:rFonts w:hint="eastAsia" w:ascii="Times New Roman" w:hAnsi="Times New Roman" w:eastAsia="方正仿宋_GBK" w:cs="方正仿宋_GBK"/>
          <w:b/>
          <w:bCs/>
          <w:sz w:val="28"/>
          <w:szCs w:val="28"/>
        </w:rPr>
        <w:t>：乌梅山景区建设项目</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hint="eastAsia" w:ascii="Times New Roman" w:hAnsi="Times New Roman" w:eastAsia="方正仿宋_GBK" w:cs="方正仿宋_GBK"/>
                <w:snapToGrid w:val="0"/>
                <w:sz w:val="28"/>
                <w:szCs w:val="28"/>
              </w:rPr>
              <w:t>推进乌梅山景区二期基础配套设施建设，加快梅博园、乌梅湖</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乌梅谷、中国乌梅养生酒馆、中医药康养基地、乡村民宿、铜钵河骑行绿道等项目建设。</w:t>
            </w:r>
          </w:p>
        </w:tc>
      </w:tr>
    </w:tbl>
    <w:p>
      <w:pPr>
        <w:adjustRightInd w:val="0"/>
        <w:snapToGrid w:val="0"/>
        <w:spacing w:line="578" w:lineRule="exact"/>
        <w:ind w:firstLine="640" w:firstLineChars="200"/>
        <w:outlineLvl w:val="3"/>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仙女山景区建设</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结合仙女山独特的温泉、云海、森林、竹海、村落等资源，以养生文化为主线，通过植入温泉度假、森林户外运动等旅游产品，完善旅游基础设施和接待服务设施，打造独具特色温泉康养度假区、省级生态旅游景区、省级森林康养示范基地。</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4-5</w:t>
      </w:r>
      <w:r>
        <w:rPr>
          <w:rFonts w:hint="eastAsia" w:ascii="Times New Roman" w:hAnsi="Times New Roman" w:eastAsia="方正仿宋_GBK" w:cs="方正仿宋_GBK"/>
          <w:b/>
          <w:bCs/>
          <w:sz w:val="28"/>
          <w:szCs w:val="28"/>
        </w:rPr>
        <w:t>：仙女山景区建设项目</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hint="eastAsia" w:ascii="Times New Roman" w:hAnsi="Times New Roman" w:eastAsia="方正仿宋_GBK" w:cs="方正仿宋_GBK"/>
                <w:snapToGrid w:val="0"/>
                <w:sz w:val="28"/>
                <w:szCs w:val="28"/>
              </w:rPr>
              <w:t>重点实施阆苑仙宫温泉酒店、森林温泉泡池、飞仙琼阁、国家山地户外运动康养基地、自驾露营地、登山步道、森林户外拓展等项目。</w:t>
            </w:r>
          </w:p>
        </w:tc>
      </w:tr>
    </w:tbl>
    <w:p>
      <w:pPr>
        <w:adjustRightInd w:val="0"/>
        <w:snapToGrid w:val="0"/>
        <w:spacing w:line="578" w:lineRule="exact"/>
        <w:ind w:firstLine="640" w:firstLineChars="200"/>
        <w:outlineLvl w:val="3"/>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农旅融合现代农业示范园</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依托百节镇、赵家镇、双庙镇现有的农业产业资源，提升农业产业景观和生产资源拓展，植入乡村休闲度假项目，完善综合服务功能，实现</w:t>
      </w:r>
      <w:r>
        <w:rPr>
          <w:rFonts w:hint="eastAsia" w:ascii="宋体" w:hAnsi="宋体" w:eastAsia="宋体" w:cs="宋体"/>
          <w:sz w:val="32"/>
          <w:szCs w:val="32"/>
        </w:rPr>
        <w:t>“</w:t>
      </w:r>
      <w:r>
        <w:rPr>
          <w:rFonts w:hint="eastAsia" w:ascii="Times New Roman" w:hAnsi="Times New Roman" w:eastAsia="方正仿宋_GBK" w:cs="方正仿宋_GBK"/>
          <w:sz w:val="32"/>
          <w:szCs w:val="32"/>
        </w:rPr>
        <w:t>园区变景区</w:t>
      </w:r>
      <w:r>
        <w:rPr>
          <w:rFonts w:hint="eastAsia" w:ascii="宋体" w:hAnsi="宋体" w:eastAsia="宋体" w:cs="宋体"/>
          <w:sz w:val="32"/>
          <w:szCs w:val="32"/>
        </w:rPr>
        <w:t>”</w:t>
      </w:r>
      <w:r>
        <w:rPr>
          <w:rFonts w:hint="eastAsia" w:ascii="Times New Roman" w:hAnsi="Times New Roman" w:eastAsia="方正仿宋_GBK" w:cs="方正仿宋_GBK"/>
          <w:sz w:val="32"/>
          <w:szCs w:val="32"/>
        </w:rPr>
        <w:t>，全面提升现代农旅融合园区吸引力，促进乡村振兴，力争打造成为川东北知名的乡村田园休闲旅游地、国家级现代农业示范园。</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4-6</w:t>
      </w:r>
      <w:r>
        <w:rPr>
          <w:rFonts w:hint="eastAsia" w:ascii="Times New Roman" w:hAnsi="Times New Roman" w:eastAsia="方正仿宋_GBK" w:cs="方正仿宋_GBK"/>
          <w:b/>
          <w:bCs/>
          <w:sz w:val="28"/>
          <w:szCs w:val="28"/>
        </w:rPr>
        <w:t>：农旅融合现代农业示范园建设项目</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hint="eastAsia" w:ascii="Times New Roman" w:hAnsi="Times New Roman" w:eastAsia="方正仿宋_GBK" w:cs="方正仿宋_GBK"/>
                <w:snapToGrid w:val="0"/>
                <w:sz w:val="28"/>
                <w:szCs w:val="28"/>
              </w:rPr>
              <w:t>重点实施乌梅山乌梅产业园、瑞福蚕桑乐园、帝源生态农场、赵家柑橘、双庙高标准蔬菜基地等乡村旅游基础设施和休闲产品提升，打造乡村迪士尼公园、七彩艺术村、乡村田园景观带等项目。</w:t>
            </w:r>
          </w:p>
        </w:tc>
      </w:tr>
    </w:tbl>
    <w:p>
      <w:pPr>
        <w:adjustRightInd w:val="0"/>
        <w:snapToGrid w:val="0"/>
        <w:spacing w:line="578" w:lineRule="exact"/>
        <w:ind w:firstLine="640" w:firstLineChars="200"/>
        <w:rPr>
          <w:rFonts w:ascii="Times New Roman" w:hAnsi="Times New Roman" w:eastAsia="方正仿宋_GBK" w:cs="Times New Roman"/>
          <w:sz w:val="32"/>
          <w:szCs w:val="32"/>
        </w:rPr>
      </w:pPr>
    </w:p>
    <w:p>
      <w:pPr>
        <w:adjustRightInd w:val="0"/>
        <w:snapToGrid w:val="0"/>
        <w:spacing w:line="578" w:lineRule="exact"/>
        <w:ind w:firstLine="640" w:firstLineChars="200"/>
        <w:outlineLvl w:val="2"/>
        <w:rPr>
          <w:rFonts w:ascii="方正楷体_GBK" w:hAnsi="Times New Roman" w:eastAsia="方正楷体_GBK" w:cs="Times New Roman"/>
          <w:sz w:val="32"/>
          <w:szCs w:val="32"/>
        </w:rPr>
      </w:pPr>
      <w:r>
        <w:rPr>
          <w:rFonts w:hint="eastAsia" w:ascii="方正楷体_GBK" w:hAnsi="Times New Roman" w:eastAsia="方正楷体_GBK" w:cs="方正楷体_GBK"/>
          <w:sz w:val="32"/>
          <w:szCs w:val="32"/>
        </w:rPr>
        <w:t>（三）围绕</w:t>
      </w:r>
      <w:r>
        <w:rPr>
          <w:rFonts w:hint="eastAsia" w:ascii="宋体" w:hAnsi="宋体" w:eastAsia="宋体" w:cs="宋体"/>
          <w:sz w:val="32"/>
          <w:szCs w:val="32"/>
        </w:rPr>
        <w:t>“</w:t>
      </w:r>
      <w:r>
        <w:rPr>
          <w:rFonts w:hint="eastAsia" w:ascii="方正楷体_GBK" w:hAnsi="Times New Roman" w:eastAsia="方正楷体_GBK" w:cs="方正楷体_GBK"/>
          <w:sz w:val="32"/>
          <w:szCs w:val="32"/>
        </w:rPr>
        <w:t>建设‘双石’商贸文旅组团</w:t>
      </w:r>
      <w:r>
        <w:rPr>
          <w:rFonts w:hint="eastAsia" w:ascii="宋体" w:hAnsi="宋体" w:eastAsia="宋体" w:cs="宋体"/>
          <w:sz w:val="32"/>
          <w:szCs w:val="32"/>
        </w:rPr>
        <w:t>”</w:t>
      </w:r>
      <w:r>
        <w:rPr>
          <w:rFonts w:hint="eastAsia" w:ascii="方正楷体_GBK" w:hAnsi="Times New Roman" w:eastAsia="方正楷体_GBK" w:cs="方正楷体_GBK"/>
          <w:sz w:val="32"/>
          <w:szCs w:val="32"/>
        </w:rPr>
        <w:t>推动石桥古镇创建国家</w:t>
      </w:r>
      <w:r>
        <w:rPr>
          <w:rFonts w:ascii="方正楷体_GBK" w:hAnsi="Times New Roman" w:eastAsia="方正楷体_GBK" w:cs="方正楷体_GBK"/>
          <w:sz w:val="32"/>
          <w:szCs w:val="32"/>
        </w:rPr>
        <w:t>AAAA</w:t>
      </w:r>
      <w:r>
        <w:rPr>
          <w:rFonts w:hint="eastAsia" w:ascii="方正楷体_GBK" w:hAnsi="Times New Roman" w:eastAsia="方正楷体_GBK" w:cs="方正楷体_GBK"/>
          <w:sz w:val="32"/>
          <w:szCs w:val="32"/>
        </w:rPr>
        <w:t>级旅游景区</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深度挖掘石桥古镇地方特色文化内涵，将石桥古镇建设为红色文化、移民文化、川陕苏区红色文化的缩影和展示窗口、国家红色旅游融合发展示范区、国家级爱国主义教育基地、全国红色文化研学旅游示范基地。</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4-7</w:t>
      </w:r>
      <w:r>
        <w:rPr>
          <w:rFonts w:hint="eastAsia" w:ascii="Times New Roman" w:hAnsi="Times New Roman" w:eastAsia="方正仿宋_GBK" w:cs="方正仿宋_GBK"/>
          <w:b/>
          <w:bCs/>
          <w:sz w:val="28"/>
          <w:szCs w:val="28"/>
        </w:rPr>
        <w:t>：石桥古镇</w:t>
      </w:r>
      <w:r>
        <w:rPr>
          <w:rFonts w:ascii="Times New Roman" w:hAnsi="Times New Roman" w:eastAsia="方正仿宋_GBK" w:cs="Times New Roman"/>
          <w:b/>
          <w:bCs/>
          <w:sz w:val="28"/>
          <w:szCs w:val="28"/>
        </w:rPr>
        <w:t>AAAA</w:t>
      </w:r>
      <w:r>
        <w:rPr>
          <w:rFonts w:hint="eastAsia" w:ascii="Times New Roman" w:hAnsi="Times New Roman" w:eastAsia="方正仿宋_GBK" w:cs="方正仿宋_GBK"/>
          <w:b/>
          <w:bCs/>
          <w:sz w:val="28"/>
          <w:szCs w:val="28"/>
        </w:rPr>
        <w:t>级旅游景区建设项目</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hint="eastAsia" w:ascii="Times New Roman" w:hAnsi="Times New Roman" w:eastAsia="方正仿宋_GBK" w:cs="方正仿宋_GBK"/>
                <w:snapToGrid w:val="0"/>
                <w:sz w:val="28"/>
                <w:szCs w:val="28"/>
              </w:rPr>
              <w:t>重点实施石桥古镇创国家</w:t>
            </w:r>
            <w:r>
              <w:rPr>
                <w:rFonts w:ascii="Times New Roman" w:hAnsi="Times New Roman" w:eastAsia="方正仿宋_GBK" w:cs="Times New Roman"/>
                <w:snapToGrid w:val="0"/>
                <w:sz w:val="28"/>
                <w:szCs w:val="28"/>
              </w:rPr>
              <w:t>AAAA</w:t>
            </w:r>
            <w:r>
              <w:rPr>
                <w:rFonts w:hint="eastAsia" w:ascii="Times New Roman" w:hAnsi="Times New Roman" w:eastAsia="方正仿宋_GBK" w:cs="方正仿宋_GBK"/>
                <w:snapToGrid w:val="0"/>
                <w:sz w:val="28"/>
                <w:szCs w:val="28"/>
              </w:rPr>
              <w:t>级旅游景区服务设施全面提升工程（包括游客中心、生态停车场、旅游厕所、风貌整治等）、列宁街红色记忆营造工程、民俗文化展馆、非遗文化展馆、法门武术传习展演基地、石桥水乡古韵工程、</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八一</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百家姓民宿大院部落、云雾山山地运动体验基地建设和鲁家坪村国家级传统村落保护等工程。</w:t>
            </w:r>
          </w:p>
        </w:tc>
      </w:tr>
    </w:tbl>
    <w:p>
      <w:pPr>
        <w:pStyle w:val="9"/>
        <w:ind w:left="840" w:firstLine="640"/>
        <w:rPr>
          <w:rFonts w:ascii="Times New Roman" w:hAnsi="Times New Roman" w:eastAsia="方正仿宋_GBK" w:cs="Times New Roman"/>
          <w:lang w:eastAsia="zh-CN"/>
        </w:rPr>
      </w:pPr>
    </w:p>
    <w:p>
      <w:pPr>
        <w:adjustRightInd w:val="0"/>
        <w:snapToGrid w:val="0"/>
        <w:spacing w:line="578" w:lineRule="exact"/>
        <w:ind w:firstLine="640" w:firstLineChars="200"/>
        <w:outlineLvl w:val="2"/>
        <w:rPr>
          <w:rFonts w:ascii="方正楷体_GBK" w:hAnsi="Times New Roman" w:eastAsia="方正楷体_GBK" w:cs="Times New Roman"/>
          <w:sz w:val="32"/>
          <w:szCs w:val="32"/>
        </w:rPr>
      </w:pPr>
      <w:r>
        <w:rPr>
          <w:rFonts w:hint="eastAsia" w:ascii="方正楷体_GBK" w:hAnsi="Times New Roman" w:eastAsia="方正楷体_GBK" w:cs="方正楷体_GBK"/>
          <w:sz w:val="32"/>
          <w:szCs w:val="32"/>
        </w:rPr>
        <w:t>（四）围绕</w:t>
      </w:r>
      <w:r>
        <w:rPr>
          <w:rFonts w:hint="eastAsia" w:ascii="宋体" w:hAnsi="宋体" w:eastAsia="宋体" w:cs="宋体"/>
          <w:sz w:val="32"/>
          <w:szCs w:val="32"/>
        </w:rPr>
        <w:t>“</w:t>
      </w:r>
      <w:r>
        <w:rPr>
          <w:rFonts w:hint="eastAsia" w:ascii="方正楷体_GBK" w:hAnsi="Times New Roman" w:eastAsia="方正楷体_GBK" w:cs="方正楷体_GBK"/>
          <w:sz w:val="32"/>
          <w:szCs w:val="32"/>
        </w:rPr>
        <w:t>建设巴河水乡生态组团</w:t>
      </w:r>
      <w:r>
        <w:rPr>
          <w:rFonts w:hint="eastAsia" w:ascii="宋体" w:hAnsi="宋体" w:eastAsia="宋体" w:cs="宋体"/>
          <w:sz w:val="32"/>
          <w:szCs w:val="32"/>
        </w:rPr>
        <w:t>”</w:t>
      </w:r>
      <w:r>
        <w:rPr>
          <w:rFonts w:hint="eastAsia" w:ascii="方正楷体_GBK" w:hAnsi="Times New Roman" w:eastAsia="方正楷体_GBK" w:cs="方正楷体_GBK"/>
          <w:sz w:val="32"/>
          <w:szCs w:val="32"/>
        </w:rPr>
        <w:t>推动巴河水乡旅游开发项目</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以优良的水生态和农业产业为基础，深度挖掘巴河流域以</w:t>
      </w:r>
      <w:r>
        <w:rPr>
          <w:rFonts w:hint="eastAsia" w:ascii="宋体" w:hAnsi="宋体" w:eastAsia="宋体" w:cs="宋体"/>
          <w:sz w:val="32"/>
          <w:szCs w:val="32"/>
        </w:rPr>
        <w:t>“</w:t>
      </w:r>
      <w:r>
        <w:rPr>
          <w:rFonts w:hint="eastAsia" w:ascii="Times New Roman" w:hAnsi="Times New Roman" w:eastAsia="方正仿宋_GBK" w:cs="方正仿宋_GBK"/>
          <w:sz w:val="32"/>
          <w:szCs w:val="32"/>
        </w:rPr>
        <w:t>水</w:t>
      </w:r>
      <w:r>
        <w:rPr>
          <w:rFonts w:hint="eastAsia" w:ascii="宋体" w:hAnsi="宋体" w:eastAsia="宋体" w:cs="宋体"/>
          <w:sz w:val="32"/>
          <w:szCs w:val="32"/>
        </w:rPr>
        <w:t>”</w:t>
      </w:r>
      <w:r>
        <w:rPr>
          <w:rFonts w:hint="eastAsia" w:ascii="Times New Roman" w:hAnsi="Times New Roman" w:eastAsia="方正仿宋_GBK" w:cs="方正仿宋_GBK"/>
          <w:sz w:val="32"/>
          <w:szCs w:val="32"/>
        </w:rPr>
        <w:t>为核心的自然人文资源，做亮水上观光</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运动娱乐旅游、做新滨水乡村休闲度假旅游、做实旅游基础设施，打造以水上旅游为核心的复合产业体系，推动流域沿线乡镇、村落的互动发展，建设川东北独具特色的乡村田园风光旅游地，打造</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乡村旅游首选地</w:t>
      </w:r>
      <w:r>
        <w:rPr>
          <w:rFonts w:hint="eastAsia" w:ascii="宋体" w:hAnsi="宋体" w:eastAsia="宋体" w:cs="宋体"/>
          <w:sz w:val="32"/>
          <w:szCs w:val="32"/>
        </w:rPr>
        <w:t>”</w:t>
      </w:r>
      <w:r>
        <w:rPr>
          <w:rFonts w:hint="eastAsia" w:ascii="Times New Roman" w:hAnsi="Times New Roman" w:eastAsia="方正仿宋_GBK" w:cs="方正仿宋_GBK"/>
          <w:sz w:val="32"/>
          <w:szCs w:val="32"/>
        </w:rPr>
        <w:t>。</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4-8</w:t>
      </w:r>
      <w:r>
        <w:rPr>
          <w:rFonts w:hint="eastAsia" w:ascii="Times New Roman" w:hAnsi="Times New Roman" w:eastAsia="方正仿宋_GBK" w:cs="方正仿宋_GBK"/>
          <w:b/>
          <w:bCs/>
          <w:sz w:val="28"/>
          <w:szCs w:val="28"/>
        </w:rPr>
        <w:t>：巴河水乡旅游开发项目</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hint="eastAsia" w:ascii="Times New Roman" w:hAnsi="Times New Roman" w:eastAsia="方正仿宋_GBK" w:cs="方正仿宋_GBK"/>
                <w:snapToGrid w:val="0"/>
                <w:sz w:val="28"/>
                <w:szCs w:val="28"/>
              </w:rPr>
              <w:t>重点实施水上运动乐园、巴河龙舟文化主题公园、桥湾水上运动体验中心、陈余滨水休闲村、巴河黄金水道观光区、百里绿道、精品民宿酒店、巴河沿岸乡村田园风光等项目。</w:t>
            </w:r>
          </w:p>
        </w:tc>
      </w:tr>
    </w:tbl>
    <w:p>
      <w:pPr>
        <w:pStyle w:val="9"/>
        <w:ind w:left="840" w:firstLine="640"/>
        <w:rPr>
          <w:rFonts w:ascii="Times New Roman" w:hAnsi="Times New Roman" w:eastAsia="方正仿宋_GBK" w:cs="Times New Roman"/>
          <w:lang w:eastAsia="zh-CN"/>
        </w:rPr>
      </w:pPr>
    </w:p>
    <w:p>
      <w:pPr>
        <w:adjustRightInd w:val="0"/>
        <w:snapToGrid w:val="0"/>
        <w:spacing w:line="578" w:lineRule="exact"/>
        <w:ind w:firstLine="640" w:firstLineChars="200"/>
        <w:outlineLvl w:val="2"/>
        <w:rPr>
          <w:rFonts w:ascii="方正楷体_GBK" w:hAnsi="Times New Roman" w:eastAsia="方正楷体_GBK" w:cs="Times New Roman"/>
          <w:sz w:val="32"/>
          <w:szCs w:val="32"/>
        </w:rPr>
      </w:pPr>
      <w:r>
        <w:rPr>
          <w:rFonts w:hint="eastAsia" w:ascii="方正楷体_GBK" w:hAnsi="Times New Roman" w:eastAsia="方正楷体_GBK" w:cs="方正楷体_GBK"/>
          <w:sz w:val="32"/>
          <w:szCs w:val="32"/>
        </w:rPr>
        <w:t>（五）围绕</w:t>
      </w:r>
      <w:r>
        <w:rPr>
          <w:rFonts w:hint="eastAsia" w:ascii="宋体" w:hAnsi="宋体" w:eastAsia="宋体" w:cs="宋体"/>
          <w:sz w:val="32"/>
          <w:szCs w:val="32"/>
        </w:rPr>
        <w:t>“</w:t>
      </w:r>
      <w:r>
        <w:rPr>
          <w:rFonts w:hint="eastAsia" w:ascii="方正楷体_GBK" w:hAnsi="Times New Roman" w:eastAsia="方正楷体_GBK" w:cs="方正楷体_GBK"/>
          <w:sz w:val="32"/>
          <w:szCs w:val="32"/>
        </w:rPr>
        <w:t>建设沙滩河山地品质农业组团</w:t>
      </w:r>
      <w:r>
        <w:rPr>
          <w:rFonts w:hint="eastAsia" w:ascii="宋体" w:hAnsi="宋体" w:eastAsia="宋体" w:cs="宋体"/>
          <w:sz w:val="32"/>
          <w:szCs w:val="32"/>
        </w:rPr>
        <w:t>”</w:t>
      </w:r>
      <w:r>
        <w:rPr>
          <w:rFonts w:hint="eastAsia" w:ascii="方正楷体_GBK" w:hAnsi="Times New Roman" w:eastAsia="方正楷体_GBK" w:cs="方正楷体_GBK"/>
          <w:sz w:val="32"/>
          <w:szCs w:val="32"/>
        </w:rPr>
        <w:t>推动沙滩河大峡谷景区建设</w:t>
      </w:r>
    </w:p>
    <w:p>
      <w:pPr>
        <w:adjustRightInd w:val="0"/>
        <w:snapToGrid w:val="0"/>
        <w:spacing w:line="578"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重点打造以沙滩河水渠漂流、园坝子传统村落、响水滩瀑布等旅游项目，完善沙滩河大峡谷旅游基础服务设施，将沙滩河大峡谷打造成为集水利科普、生态观光、田园休闲、森林养生为一体的国家</w:t>
      </w:r>
      <w:r>
        <w:rPr>
          <w:rFonts w:ascii="Times New Roman" w:hAnsi="Times New Roman" w:eastAsia="方正仿宋_GBK" w:cs="Times New Roman"/>
          <w:sz w:val="32"/>
          <w:szCs w:val="32"/>
        </w:rPr>
        <w:t>AAAA</w:t>
      </w:r>
      <w:r>
        <w:rPr>
          <w:rFonts w:hint="eastAsia" w:ascii="Times New Roman" w:hAnsi="Times New Roman" w:eastAsia="方正仿宋_GBK" w:cs="方正仿宋_GBK"/>
          <w:sz w:val="32"/>
          <w:szCs w:val="32"/>
        </w:rPr>
        <w:t>级旅游景区、省级生态旅游示范区。</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4-9</w:t>
      </w:r>
      <w:r>
        <w:rPr>
          <w:rFonts w:hint="eastAsia" w:ascii="Times New Roman" w:hAnsi="Times New Roman" w:eastAsia="方正仿宋_GBK" w:cs="方正仿宋_GBK"/>
          <w:b/>
          <w:bCs/>
          <w:sz w:val="28"/>
          <w:szCs w:val="28"/>
        </w:rPr>
        <w:t>：沙滩河大峡谷景区建设项目</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hint="eastAsia" w:ascii="Times New Roman" w:hAnsi="Times New Roman" w:eastAsia="方正仿宋_GBK" w:cs="方正仿宋_GBK"/>
                <w:snapToGrid w:val="0"/>
                <w:sz w:val="28"/>
                <w:szCs w:val="28"/>
              </w:rPr>
              <w:t>重点实施沙滩河水利科普体验馆、彩林漂流、圆坝子休闲度假村、响水滩瀑布乐园、漂流码头、七孔渔村、户外露营基地、乡村民宿、田园风光等项目。</w:t>
            </w:r>
          </w:p>
        </w:tc>
      </w:tr>
    </w:tbl>
    <w:p>
      <w:pPr>
        <w:pStyle w:val="9"/>
        <w:ind w:left="840" w:firstLine="640"/>
        <w:rPr>
          <w:rFonts w:ascii="Times New Roman" w:hAnsi="Times New Roman" w:eastAsia="方正仿宋_GBK" w:cs="Times New Roman"/>
          <w:lang w:eastAsia="zh-CN"/>
        </w:rPr>
      </w:pPr>
    </w:p>
    <w:p>
      <w:pPr>
        <w:pStyle w:val="45"/>
        <w:numPr>
          <w:ilvl w:val="0"/>
          <w:numId w:val="1"/>
        </w:numPr>
        <w:adjustRightInd w:val="0"/>
        <w:snapToGrid w:val="0"/>
        <w:spacing w:line="578" w:lineRule="exact"/>
        <w:ind w:left="0" w:firstLine="0" w:firstLineChars="0"/>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推进文旅资源协同发展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共同打造巴蜀文化旅游走廊。</w:t>
      </w:r>
      <w:r>
        <w:rPr>
          <w:rFonts w:hint="eastAsia" w:ascii="Times New Roman" w:hAnsi="Times New Roman" w:eastAsia="方正仿宋_GBK" w:cs="方正仿宋_GBK"/>
          <w:sz w:val="32"/>
          <w:szCs w:val="32"/>
        </w:rPr>
        <w:t>建设巴蜀非遗文化产业园，共同打造巴蜀文化旅游走廊，与梁平、开州共建巴蜀旅游综合服务中心，实现游客</w:t>
      </w:r>
      <w:r>
        <w:rPr>
          <w:rFonts w:hint="eastAsia" w:ascii="宋体" w:hAnsi="宋体" w:eastAsia="宋体" w:cs="宋体"/>
          <w:sz w:val="32"/>
          <w:szCs w:val="32"/>
        </w:rPr>
        <w:t>“</w:t>
      </w:r>
      <w:r>
        <w:rPr>
          <w:rFonts w:hint="eastAsia" w:ascii="Times New Roman" w:hAnsi="Times New Roman" w:eastAsia="方正仿宋_GBK" w:cs="方正仿宋_GBK"/>
          <w:sz w:val="32"/>
          <w:szCs w:val="32"/>
        </w:rPr>
        <w:t>一站式</w:t>
      </w:r>
      <w:r>
        <w:rPr>
          <w:rFonts w:hint="eastAsia" w:ascii="宋体" w:hAnsi="宋体" w:eastAsia="宋体" w:cs="宋体"/>
          <w:sz w:val="32"/>
          <w:szCs w:val="32"/>
        </w:rPr>
        <w:t>”</w:t>
      </w:r>
      <w:r>
        <w:rPr>
          <w:rFonts w:hint="eastAsia" w:ascii="Times New Roman" w:hAnsi="Times New Roman" w:eastAsia="方正仿宋_GBK" w:cs="方正仿宋_GBK"/>
          <w:sz w:val="32"/>
          <w:szCs w:val="32"/>
        </w:rPr>
        <w:t>服务需求，促进川东北渝东北文旅经济协同发展。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共建明月山绿色发展示范带。</w:t>
      </w:r>
      <w:r>
        <w:rPr>
          <w:rFonts w:hint="eastAsia" w:ascii="Times New Roman" w:hAnsi="Times New Roman" w:eastAsia="方正仿宋_GBK" w:cs="方正仿宋_GBK"/>
          <w:sz w:val="32"/>
          <w:szCs w:val="32"/>
        </w:rPr>
        <w:t>协同推进环明月山国家旅游风景道和大蜀道文旅品牌建设，推动中国平行岭谷之最</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乌梅山、仙女山、银杏谷、九龙湖景区建设，联动梁平百里竹海创建国家级旅游度假区，建设明月山文旅产业引领区。</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共同组建全国巴文化联盟。</w:t>
      </w:r>
      <w:r>
        <w:rPr>
          <w:rFonts w:hint="eastAsia" w:ascii="Times New Roman" w:hAnsi="Times New Roman" w:eastAsia="方正仿宋_GBK" w:cs="方正仿宋_GBK"/>
          <w:sz w:val="32"/>
          <w:szCs w:val="32"/>
        </w:rPr>
        <w:t>联合四川（达川、通川、大竹、宣汉、渠县、邻水、巴州、通江等）、重庆（开江、垫江、忠县、云阳、丰都等）、湖北（宜昌、恩施、利川等）、陕西（汉中、安康等）等地，共同组建全国巴文化联盟，加强科研院校及机构在文化研究、文艺创作、文创设计、文化转化的校地合作，高位重构达川全国巴文化影响力。</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4-10</w:t>
      </w:r>
      <w:r>
        <w:rPr>
          <w:rFonts w:hint="eastAsia" w:ascii="Times New Roman" w:hAnsi="Times New Roman" w:eastAsia="方正仿宋_GBK" w:cs="方正仿宋_GBK"/>
          <w:b/>
          <w:bCs/>
          <w:sz w:val="28"/>
          <w:szCs w:val="28"/>
        </w:rPr>
        <w:t>：推进文旅资源协同发展建设项目及措施</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建设明月山文旅产业引领区：整合乌梅山、仙女山、银杏谷、九龙湖景区建设，联动梁平百里竹海创建国家级旅游度假区，建设明月山文旅产业引领区。</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重构达川全国文化影响力：组建全国巴文化联盟，加快建设全国巴文化研究中心、展示中心和旅游集散中心。</w:t>
            </w:r>
          </w:p>
        </w:tc>
      </w:tr>
    </w:tbl>
    <w:p>
      <w:pPr>
        <w:pStyle w:val="9"/>
        <w:ind w:left="840" w:firstLine="640"/>
        <w:rPr>
          <w:rFonts w:ascii="Times New Roman" w:hAnsi="Times New Roman" w:eastAsia="方正仿宋_GBK" w:cs="Times New Roman"/>
          <w:lang w:eastAsia="zh-C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第三节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推进公共文化服务发展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bookmarkStart w:id="37" w:name="_Toc10500"/>
      <w:r>
        <w:rPr>
          <w:rFonts w:hint="eastAsia" w:ascii="Times New Roman" w:hAnsi="Times New Roman" w:eastAsia="方正仿宋_GBK" w:cs="方正仿宋_GBK"/>
          <w:b/>
          <w:bCs/>
          <w:sz w:val="32"/>
          <w:szCs w:val="32"/>
        </w:rPr>
        <w:t>实施文化服务设施完善工程</w:t>
      </w:r>
      <w:bookmarkEnd w:id="37"/>
      <w:r>
        <w:rPr>
          <w:rFonts w:hint="eastAsia" w:ascii="Times New Roman" w:hAnsi="Times New Roman" w:eastAsia="方正仿宋_GBK" w:cs="方正仿宋_GBK"/>
          <w:b/>
          <w:bCs/>
          <w:sz w:val="32"/>
          <w:szCs w:val="32"/>
        </w:rPr>
        <w:t>。</w:t>
      </w:r>
      <w:r>
        <w:rPr>
          <w:rFonts w:hint="eastAsia" w:ascii="Times New Roman" w:hAnsi="Times New Roman" w:eastAsia="方正仿宋_GBK" w:cs="方正仿宋_GBK"/>
          <w:sz w:val="32"/>
          <w:szCs w:val="32"/>
        </w:rPr>
        <w:t>完善现代公共文化服务设施建设，对标省</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现代公共文化服务体系建设要求，区、乡（镇）、村（社区）三级公共健身设施和</w:t>
      </w:r>
      <w:r>
        <w:rPr>
          <w:rFonts w:ascii="Times New Roman" w:hAnsi="Times New Roman" w:eastAsia="方正仿宋_GBK" w:cs="Times New Roman"/>
          <w:sz w:val="32"/>
          <w:szCs w:val="32"/>
        </w:rPr>
        <w:t>15</w:t>
      </w:r>
      <w:r>
        <w:rPr>
          <w:rFonts w:hint="eastAsia" w:ascii="Times New Roman" w:hAnsi="Times New Roman" w:eastAsia="方正仿宋_GBK" w:cs="方正仿宋_GBK"/>
          <w:sz w:val="32"/>
          <w:szCs w:val="32"/>
        </w:rPr>
        <w:t>分钟健身圈实现全覆盖，提升乡镇文化站和村（社区）综合文化活动中心文化设施设备。加强</w:t>
      </w:r>
      <w:r>
        <w:rPr>
          <w:rFonts w:hint="eastAsia" w:ascii="宋体" w:hAnsi="宋体" w:eastAsia="宋体" w:cs="宋体"/>
          <w:sz w:val="32"/>
          <w:szCs w:val="32"/>
        </w:rPr>
        <w:t>“</w:t>
      </w:r>
      <w:r>
        <w:rPr>
          <w:rFonts w:hint="eastAsia" w:ascii="Times New Roman" w:hAnsi="Times New Roman" w:eastAsia="方正仿宋_GBK" w:cs="方正仿宋_GBK"/>
          <w:sz w:val="32"/>
          <w:szCs w:val="32"/>
        </w:rPr>
        <w:t>总分馆</w:t>
      </w:r>
      <w:r>
        <w:rPr>
          <w:rFonts w:hint="eastAsia" w:ascii="宋体" w:hAnsi="宋体" w:eastAsia="宋体" w:cs="宋体"/>
          <w:sz w:val="32"/>
          <w:szCs w:val="32"/>
        </w:rPr>
        <w:t>”</w:t>
      </w:r>
      <w:r>
        <w:rPr>
          <w:rFonts w:hint="eastAsia" w:ascii="Times New Roman" w:hAnsi="Times New Roman" w:eastAsia="方正仿宋_GBK" w:cs="方正仿宋_GBK"/>
          <w:sz w:val="32"/>
          <w:szCs w:val="32"/>
        </w:rPr>
        <w:t>制建设，加大相关配套投入，实现区、乡（镇）、村（社区）三级综合文化服务中心（站）</w:t>
      </w:r>
      <w:r>
        <w:rPr>
          <w:rFonts w:hint="eastAsia" w:ascii="宋体" w:hAnsi="宋体" w:eastAsia="宋体" w:cs="宋体"/>
          <w:sz w:val="32"/>
          <w:szCs w:val="32"/>
        </w:rPr>
        <w:t>“</w:t>
      </w:r>
      <w:r>
        <w:rPr>
          <w:rFonts w:hint="eastAsia" w:ascii="Times New Roman" w:hAnsi="Times New Roman" w:eastAsia="方正仿宋_GBK" w:cs="方正仿宋_GBK"/>
          <w:sz w:val="32"/>
          <w:szCs w:val="32"/>
        </w:rPr>
        <w:t>一卡通办</w:t>
      </w:r>
      <w:r>
        <w:rPr>
          <w:rFonts w:hint="eastAsia" w:ascii="宋体" w:hAnsi="宋体" w:eastAsia="宋体" w:cs="宋体"/>
          <w:sz w:val="32"/>
          <w:szCs w:val="32"/>
        </w:rPr>
        <w:t>”</w:t>
      </w:r>
      <w:r>
        <w:rPr>
          <w:rFonts w:hint="eastAsia" w:ascii="Times New Roman" w:hAnsi="Times New Roman" w:eastAsia="方正仿宋_GBK" w:cs="方正仿宋_GBK"/>
          <w:sz w:val="32"/>
          <w:szCs w:val="32"/>
        </w:rPr>
        <w:t>。创新实施文化惠民工程，推进城乡公共文化服务体系一体化建设。</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bookmarkStart w:id="38" w:name="_Toc11435"/>
      <w:r>
        <w:rPr>
          <w:rFonts w:hint="eastAsia" w:ascii="Times New Roman" w:hAnsi="Times New Roman" w:eastAsia="方正仿宋_GBK" w:cs="方正仿宋_GBK"/>
          <w:b/>
          <w:bCs/>
          <w:sz w:val="32"/>
          <w:szCs w:val="32"/>
        </w:rPr>
        <w:t>实施公共文化服务水平提升工程</w:t>
      </w:r>
      <w:bookmarkEnd w:id="38"/>
      <w:r>
        <w:rPr>
          <w:rFonts w:hint="eastAsia" w:ascii="Times New Roman" w:hAnsi="Times New Roman" w:eastAsia="方正仿宋_GBK" w:cs="方正仿宋_GBK"/>
          <w:b/>
          <w:bCs/>
          <w:sz w:val="32"/>
          <w:szCs w:val="32"/>
        </w:rPr>
        <w:t>。</w:t>
      </w:r>
      <w:r>
        <w:rPr>
          <w:rFonts w:hint="eastAsia" w:ascii="Times New Roman" w:hAnsi="Times New Roman" w:eastAsia="方正仿宋_GBK" w:cs="方正仿宋_GBK"/>
          <w:sz w:val="32"/>
          <w:szCs w:val="32"/>
        </w:rPr>
        <w:t>实施文艺作品质量提升工程，突出现实题材创作，不断推出反映时代新气象、讴歌人民新创造的文艺精品。推进媒体深度融合全覆盖，做强新型主流媒体，用好区级融媒体中心推广服务功能。推进公共体育设施建设，建设雷音铺森林体育公园、临江文化体育公园、乡镇健身活动中心（社区多功能运动场）等一批高质量体育示范工程。推进城乡公共文化服务体系一体建设，创新实施文化惠民工程，开展免费电影放映、送文化下乡、全民阅读等群众性文化活动，推动公共文化数字化建设，实现公共服务</w:t>
      </w:r>
      <w:r>
        <w:rPr>
          <w:rFonts w:hint="eastAsia" w:ascii="宋体" w:hAnsi="宋体" w:eastAsia="宋体" w:cs="宋体"/>
          <w:sz w:val="32"/>
          <w:szCs w:val="32"/>
        </w:rPr>
        <w:t>“</w:t>
      </w:r>
      <w:r>
        <w:rPr>
          <w:rFonts w:hint="eastAsia" w:ascii="Times New Roman" w:hAnsi="Times New Roman" w:eastAsia="方正仿宋_GBK" w:cs="方正仿宋_GBK"/>
          <w:sz w:val="32"/>
          <w:szCs w:val="32"/>
        </w:rPr>
        <w:t>最后一公里</w:t>
      </w:r>
      <w:r>
        <w:rPr>
          <w:rFonts w:hint="eastAsia" w:ascii="宋体" w:hAnsi="宋体" w:eastAsia="宋体" w:cs="宋体"/>
          <w:sz w:val="32"/>
          <w:szCs w:val="32"/>
        </w:rPr>
        <w:t>”</w:t>
      </w:r>
      <w:r>
        <w:rPr>
          <w:rFonts w:hint="eastAsia" w:ascii="Times New Roman" w:hAnsi="Times New Roman" w:eastAsia="方正仿宋_GBK" w:cs="方正仿宋_GBK"/>
          <w:sz w:val="32"/>
          <w:szCs w:val="32"/>
        </w:rPr>
        <w:t>数字阅读。加大智慧广电媒体融合、有线无线卫星协同覆盖网和智慧广电应用推广等为特色的智慧广电示范区建设，巩固“四川省智慧广电示范区”。</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bookmarkStart w:id="39" w:name="_Toc5029"/>
      <w:r>
        <w:rPr>
          <w:rFonts w:hint="eastAsia" w:ascii="Times New Roman" w:hAnsi="Times New Roman" w:eastAsia="方正仿宋_GBK" w:cs="方正仿宋_GBK"/>
          <w:b/>
          <w:bCs/>
          <w:sz w:val="32"/>
          <w:szCs w:val="32"/>
        </w:rPr>
        <w:t>实施乡村振兴文化传承行动</w:t>
      </w:r>
      <w:bookmarkEnd w:id="39"/>
      <w:r>
        <w:rPr>
          <w:rFonts w:hint="eastAsia" w:ascii="Times New Roman" w:hAnsi="Times New Roman" w:eastAsia="方正仿宋_GBK" w:cs="方正仿宋_GBK"/>
          <w:b/>
          <w:bCs/>
          <w:sz w:val="32"/>
          <w:szCs w:val="32"/>
        </w:rPr>
        <w:t>。</w:t>
      </w:r>
      <w:r>
        <w:rPr>
          <w:rFonts w:hint="eastAsia" w:ascii="Times New Roman" w:hAnsi="Times New Roman" w:eastAsia="方正仿宋_GBK" w:cs="方正仿宋_GBK"/>
          <w:sz w:val="32"/>
          <w:szCs w:val="32"/>
        </w:rPr>
        <w:t>围绕乡村振兴战略，加强历史文物和非物质文化遗产传承与利用；实施乡村记忆工程，加强新型城镇化进程中历史文化遗产保护，筹划建设一批民俗文化博物馆、乡村史博物馆，评选一批传统民居、传统街区、古村落、传统名镇以及民俗文化和民俗工艺传承人；实施历史文化展示工程，利用传统民俗节日，开展坝坝春晚、春节庙会、元九登高节、元宵灯会、全民健身日、中秋摆塔等文化体育活动；加强历史文化网上传播，积极利用现代信息技术手段，搭建历史文化互联网上展播平台。</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4-11</w:t>
      </w:r>
      <w:r>
        <w:rPr>
          <w:rFonts w:hint="eastAsia" w:ascii="Times New Roman" w:hAnsi="Times New Roman" w:eastAsia="方正仿宋_GBK" w:cs="方正仿宋_GBK"/>
          <w:b/>
          <w:bCs/>
          <w:sz w:val="28"/>
          <w:szCs w:val="28"/>
        </w:rPr>
        <w:t>：推进公共文化服务发展建设项目及措施</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文化服务设施建设：包括钢琴博物馆、巴人历史文化馆（巴文化博物馆）、后照馆，石桥古镇红色文化展览馆、民俗文化展览馆或非遗展示馆、巴文化展示馆，乌梅山体育公园和石梯龙舟文化主题公园。</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文化活动：实施公共文化服务提升</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三大行动</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，培育重大文化活动品牌</w:t>
            </w:r>
            <w:r>
              <w:rPr>
                <w:rFonts w:ascii="Times New Roman" w:hAnsi="Times New Roman" w:eastAsia="方正仿宋_GBK" w:cs="Times New Roman"/>
                <w:snapToGrid w:val="0"/>
                <w:sz w:val="28"/>
                <w:szCs w:val="28"/>
              </w:rPr>
              <w:t>1-2</w:t>
            </w:r>
            <w:r>
              <w:rPr>
                <w:rFonts w:hint="eastAsia" w:ascii="Times New Roman" w:hAnsi="Times New Roman" w:eastAsia="方正仿宋_GBK" w:cs="方正仿宋_GBK"/>
                <w:snapToGrid w:val="0"/>
                <w:sz w:val="28"/>
                <w:szCs w:val="28"/>
              </w:rPr>
              <w:t>个，完成</w:t>
            </w: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个或以上乡镇民间艺术之乡申报并命名，力争</w:t>
            </w:r>
            <w:r>
              <w:rPr>
                <w:rFonts w:ascii="Times New Roman" w:hAnsi="Times New Roman" w:eastAsia="方正仿宋_GBK" w:cs="Times New Roman"/>
                <w:snapToGrid w:val="0"/>
                <w:sz w:val="28"/>
                <w:szCs w:val="28"/>
              </w:rPr>
              <w:t>1-2</w:t>
            </w:r>
            <w:r>
              <w:rPr>
                <w:rFonts w:hint="eastAsia" w:ascii="Times New Roman" w:hAnsi="Times New Roman" w:eastAsia="方正仿宋_GBK" w:cs="方正仿宋_GBK"/>
                <w:snapToGrid w:val="0"/>
                <w:sz w:val="28"/>
                <w:szCs w:val="28"/>
              </w:rPr>
              <w:t>个创作作品在省级以上得奖。</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3.</w:t>
            </w:r>
            <w:r>
              <w:rPr>
                <w:rFonts w:hint="eastAsia" w:ascii="Times New Roman" w:hAnsi="Times New Roman" w:eastAsia="方正仿宋_GBK" w:cs="方正仿宋_GBK"/>
                <w:snapToGrid w:val="0"/>
                <w:sz w:val="28"/>
                <w:szCs w:val="28"/>
              </w:rPr>
              <w:t>乡村振兴文化传承行动：规划建设一批民俗生态博物馆、乡村博物馆，评选一批传统民居、传统街区、古村落、传统名镇以及民俗文化和民俗工艺传承人，开展坝坝春晚、春节庙会、元九登高节、元宵灯会、全民健身日、中秋摆塔、石桥火龙文化艺术节、万人赏月诵中秋、巴文化艺术节等活动；搭建历史文化互联网上展播平台。</w:t>
            </w:r>
          </w:p>
        </w:tc>
      </w:tr>
    </w:tbl>
    <w:p>
      <w:pPr>
        <w:pStyle w:val="9"/>
        <w:ind w:left="840" w:firstLine="640"/>
        <w:rPr>
          <w:rFonts w:ascii="Times New Roman" w:hAnsi="Times New Roman" w:eastAsia="方正仿宋_GBK" w:cs="Times New Roman"/>
          <w:lang w:eastAsia="zh-C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第四节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推进优秀传统文化发展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推动巴文化传承创新。</w:t>
      </w:r>
      <w:r>
        <w:rPr>
          <w:rFonts w:hint="eastAsia" w:ascii="Times New Roman" w:hAnsi="Times New Roman" w:eastAsia="方正仿宋_GBK" w:cs="方正仿宋_GBK"/>
          <w:sz w:val="32"/>
          <w:szCs w:val="32"/>
        </w:rPr>
        <w:t>协力促进巴文化和蜀文化</w:t>
      </w:r>
      <w:r>
        <w:rPr>
          <w:rFonts w:hint="eastAsia" w:ascii="宋体" w:hAnsi="宋体" w:eastAsia="宋体" w:cs="宋体"/>
          <w:sz w:val="32"/>
          <w:szCs w:val="32"/>
        </w:rPr>
        <w:t>“</w:t>
      </w:r>
      <w:r>
        <w:rPr>
          <w:rFonts w:hint="eastAsia" w:ascii="Times New Roman" w:hAnsi="Times New Roman" w:eastAsia="方正仿宋_GBK" w:cs="方正仿宋_GBK"/>
          <w:sz w:val="32"/>
          <w:szCs w:val="32"/>
        </w:rPr>
        <w:t>两朵金花</w:t>
      </w:r>
      <w:r>
        <w:rPr>
          <w:rFonts w:hint="eastAsia" w:ascii="宋体" w:hAnsi="宋体" w:eastAsia="宋体" w:cs="宋体"/>
          <w:sz w:val="32"/>
          <w:szCs w:val="32"/>
        </w:rPr>
        <w:t>”</w:t>
      </w:r>
      <w:r>
        <w:rPr>
          <w:rFonts w:hint="eastAsia" w:ascii="Times New Roman" w:hAnsi="Times New Roman" w:eastAsia="方正仿宋_GBK" w:cs="方正仿宋_GBK"/>
          <w:sz w:val="32"/>
          <w:szCs w:val="32"/>
        </w:rPr>
        <w:t>共融发展，打造</w:t>
      </w:r>
      <w:r>
        <w:rPr>
          <w:rFonts w:hint="eastAsia" w:ascii="宋体" w:hAnsi="宋体" w:eastAsia="宋体" w:cs="宋体"/>
          <w:sz w:val="32"/>
          <w:szCs w:val="32"/>
        </w:rPr>
        <w:t>“</w:t>
      </w:r>
      <w:r>
        <w:rPr>
          <w:rFonts w:hint="eastAsia" w:ascii="Times New Roman" w:hAnsi="Times New Roman" w:eastAsia="方正仿宋_GBK" w:cs="方正仿宋_GBK"/>
          <w:sz w:val="32"/>
          <w:szCs w:val="32"/>
        </w:rPr>
        <w:t>达天下</w:t>
      </w:r>
      <w:r>
        <w:rPr>
          <w:rFonts w:hint="eastAsia" w:ascii="Times New Roman" w:hAnsi="Times New Roman" w:eastAsia="方正仿宋_GBK" w:cs="方正仿宋_GBK"/>
          <w:snapToGrid w:val="0"/>
          <w:kern w:val="0"/>
          <w:sz w:val="32"/>
          <w:szCs w:val="32"/>
          <w:u w:color="000000"/>
        </w:rPr>
        <w:t>·</w:t>
      </w:r>
      <w:r>
        <w:rPr>
          <w:rFonts w:hint="eastAsia" w:ascii="Times New Roman" w:hAnsi="Times New Roman" w:eastAsia="方正仿宋_GBK" w:cs="方正仿宋_GBK"/>
          <w:sz w:val="32"/>
          <w:szCs w:val="32"/>
        </w:rPr>
        <w:t>纳百川</w:t>
      </w:r>
      <w:r>
        <w:rPr>
          <w:rFonts w:hint="eastAsia" w:ascii="宋体" w:hAnsi="宋体" w:eastAsia="宋体" w:cs="宋体"/>
          <w:sz w:val="32"/>
          <w:szCs w:val="32"/>
        </w:rPr>
        <w:t>”</w:t>
      </w:r>
      <w:r>
        <w:rPr>
          <w:rFonts w:hint="eastAsia" w:ascii="Times New Roman" w:hAnsi="Times New Roman" w:eastAsia="方正仿宋_GBK" w:cs="方正仿宋_GBK"/>
          <w:sz w:val="32"/>
          <w:szCs w:val="32"/>
        </w:rPr>
        <w:t>的品牌形象。落实开展巴文化传承创新工程，积极梳理本地巴文化历史遗迹、重要文物和非物质文化遗产，展陈出土文物、讲述巴人故事、传承巴人精神，建立并完善保护名录。围绕打造巴文化</w:t>
      </w:r>
      <w:r>
        <w:rPr>
          <w:rFonts w:hint="eastAsia" w:ascii="宋体" w:hAnsi="宋体" w:eastAsia="宋体" w:cs="宋体"/>
          <w:sz w:val="32"/>
          <w:szCs w:val="32"/>
        </w:rPr>
        <w:t>“</w:t>
      </w:r>
      <w:r>
        <w:rPr>
          <w:rFonts w:hint="eastAsia" w:ascii="Times New Roman" w:hAnsi="Times New Roman" w:eastAsia="方正仿宋_GBK" w:cs="方正仿宋_GBK"/>
          <w:sz w:val="32"/>
          <w:szCs w:val="32"/>
        </w:rPr>
        <w:t>一轴两翼</w:t>
      </w:r>
      <w:r>
        <w:rPr>
          <w:rFonts w:hint="eastAsia" w:ascii="宋体" w:hAnsi="宋体" w:eastAsia="宋体" w:cs="宋体"/>
          <w:sz w:val="32"/>
          <w:szCs w:val="32"/>
        </w:rPr>
        <w:t>”</w:t>
      </w:r>
      <w:r>
        <w:rPr>
          <w:rFonts w:hint="eastAsia" w:ascii="Times New Roman" w:hAnsi="Times New Roman" w:eastAsia="方正仿宋_GBK" w:cs="方正仿宋_GBK"/>
          <w:sz w:val="32"/>
          <w:szCs w:val="32"/>
        </w:rPr>
        <w:t>示范，完成三里坪巴文化旅游产业园建设，加快健全巴文化保护规划和保护体系，基本完善巴文化保护基础设施，持续推进全国巴文化高地建设。组建全国巴文化联盟，高位重构达川全国文化影响力。</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推进红色文化保护传承。</w:t>
      </w:r>
      <w:r>
        <w:rPr>
          <w:rFonts w:hint="eastAsia" w:ascii="Times New Roman" w:hAnsi="Times New Roman" w:eastAsia="方正仿宋_GBK" w:cs="方正仿宋_GBK"/>
          <w:sz w:val="32"/>
          <w:szCs w:val="32"/>
        </w:rPr>
        <w:t>实施红色文化弘扬传播工程，打造一批红色文化传播平台；实施红色文化文艺创作工程，打造一批优秀红色文化精品；依托红色基因资源，推动石桥古镇创国家</w:t>
      </w:r>
      <w:r>
        <w:rPr>
          <w:rFonts w:ascii="Times New Roman" w:hAnsi="Times New Roman" w:eastAsia="方正仿宋_GBK" w:cs="Times New Roman"/>
          <w:sz w:val="32"/>
          <w:szCs w:val="32"/>
        </w:rPr>
        <w:t>AAAA</w:t>
      </w:r>
      <w:r>
        <w:rPr>
          <w:rFonts w:hint="eastAsia" w:ascii="Times New Roman" w:hAnsi="Times New Roman" w:eastAsia="方正仿宋_GBK" w:cs="方正仿宋_GBK"/>
          <w:sz w:val="32"/>
          <w:szCs w:val="32"/>
        </w:rPr>
        <w:t>级旅游景区，串联石桥列宁街、红三十军政治部、杨超故居等红色景点，丰富完善精品红色旅游线路，打造红色文化教育基地。打造数字化展览展示体系和数字化传播平台，推动达川红色文化远程游览和服务体系建设。实施</w:t>
      </w:r>
      <w:r>
        <w:rPr>
          <w:rFonts w:hint="eastAsia" w:ascii="宋体" w:hAnsi="宋体" w:eastAsia="宋体" w:cs="宋体"/>
          <w:sz w:val="32"/>
          <w:szCs w:val="32"/>
        </w:rPr>
        <w:t>“</w:t>
      </w:r>
      <w:r>
        <w:rPr>
          <w:rFonts w:hint="eastAsia" w:ascii="Times New Roman" w:hAnsi="Times New Roman" w:eastAsia="方正仿宋_GBK" w:cs="方正仿宋_GBK"/>
          <w:sz w:val="32"/>
          <w:szCs w:val="32"/>
        </w:rPr>
        <w:t>五个一</w:t>
      </w:r>
      <w:r>
        <w:rPr>
          <w:rFonts w:hint="eastAsia" w:ascii="宋体" w:hAnsi="宋体" w:eastAsia="宋体" w:cs="宋体"/>
          <w:sz w:val="32"/>
          <w:szCs w:val="32"/>
        </w:rPr>
        <w:t>”</w:t>
      </w:r>
      <w:r>
        <w:rPr>
          <w:rFonts w:hint="eastAsia" w:ascii="Times New Roman" w:hAnsi="Times New Roman" w:eastAsia="方正仿宋_GBK" w:cs="方正仿宋_GBK"/>
          <w:sz w:val="32"/>
          <w:szCs w:val="32"/>
        </w:rPr>
        <w:t>乡村红色文化工程，即一面文化墙、一条红色长廊、一间红色文化室、一个红色遗迹、一本红色图书，全面推动乡镇红色文化发展。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推进文化遗产保护与开发。</w:t>
      </w:r>
      <w:r>
        <w:rPr>
          <w:rFonts w:hint="eastAsia" w:ascii="Times New Roman" w:hAnsi="Times New Roman" w:eastAsia="方正仿宋_GBK" w:cs="方正仿宋_GBK"/>
          <w:sz w:val="32"/>
          <w:szCs w:val="32"/>
        </w:rPr>
        <w:t>推进达川物质文化遗产活化型融合、保护型融合。加强革命文物集中连片保护利用，支持加强区级博物馆建设，鼓励建设民办博物馆，推进博物馆数字化和展陈体系升级。完善非物质文化遗产保护工作机制，建立非物质文化遗产传承人培养激励机制。加强平滩黄麻纸、石桥烧火龙和翻山铰子等非物质文化遗产生产性保护和利用。依托传统工艺建设特色文创产品基地，打造文创产品专业市场。建设传统美术、民俗工艺、中医药等不同类别的文化传承与创新中心。鼓励社区广泛参与文化活动，共同提高对文化遗产的认识。</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4-12</w:t>
      </w:r>
      <w:r>
        <w:rPr>
          <w:rFonts w:hint="eastAsia" w:ascii="Times New Roman" w:hAnsi="Times New Roman" w:eastAsia="方正仿宋_GBK" w:cs="方正仿宋_GBK"/>
          <w:b/>
          <w:bCs/>
          <w:sz w:val="28"/>
          <w:szCs w:val="28"/>
        </w:rPr>
        <w:t>：推进优秀传统文化发展建设项目及措施</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巴文化传承创新：完成三里坪巴文化旅游产业园建设，协助推进确立</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巴文化</w:t>
            </w:r>
            <w:r>
              <w:rPr>
                <w:rFonts w:hint="eastAsia" w:ascii="Times New Roman" w:hAnsi="Times New Roman" w:eastAsia="方正仿宋_GBK" w:cs="方正仿宋_GBK"/>
                <w:snapToGrid w:val="0"/>
                <w:kern w:val="0"/>
                <w:sz w:val="32"/>
                <w:szCs w:val="32"/>
                <w:u w:color="000000"/>
              </w:rPr>
              <w:t>·</w:t>
            </w:r>
            <w:r>
              <w:rPr>
                <w:rFonts w:hint="eastAsia" w:ascii="Times New Roman" w:hAnsi="Times New Roman" w:eastAsia="方正仿宋_GBK" w:cs="方正仿宋_GBK"/>
                <w:snapToGrid w:val="0"/>
                <w:sz w:val="28"/>
                <w:szCs w:val="28"/>
              </w:rPr>
              <w:t>达州标志</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工作，建设全国巴文化研究中心、展示中心和旅游集散中心。开展</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巴文化艺术节</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交流和展演活动。</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红色文化保护传承：加强石桥列宁街、革命文物达县红九军政治部旧址保护和利用，杨超故居等红色旅游景点保护和建设，新增一批革命文物保护单位，加快推进石桥古镇创建</w:t>
            </w:r>
            <w:r>
              <w:rPr>
                <w:rFonts w:ascii="Times New Roman" w:hAnsi="Times New Roman" w:eastAsia="方正仿宋_GBK" w:cs="Times New Roman"/>
                <w:snapToGrid w:val="0"/>
                <w:sz w:val="28"/>
                <w:szCs w:val="28"/>
              </w:rPr>
              <w:t>AAAA</w:t>
            </w:r>
            <w:r>
              <w:rPr>
                <w:rFonts w:hint="eastAsia" w:ascii="Times New Roman" w:hAnsi="Times New Roman" w:eastAsia="方正仿宋_GBK" w:cs="方正仿宋_GBK"/>
                <w:snapToGrid w:val="0"/>
                <w:sz w:val="28"/>
                <w:szCs w:val="28"/>
              </w:rPr>
              <w:t>级旅游景区，培育</w:t>
            </w: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个红色文化传统村落；实施</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红色文化</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互联网</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工程、</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五个一</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乡村红色文化工程。</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3.</w:t>
            </w:r>
            <w:r>
              <w:rPr>
                <w:rFonts w:hint="eastAsia" w:ascii="Times New Roman" w:hAnsi="Times New Roman" w:eastAsia="方正仿宋_GBK" w:cs="方正仿宋_GBK"/>
                <w:snapToGrid w:val="0"/>
                <w:sz w:val="28"/>
                <w:szCs w:val="28"/>
              </w:rPr>
              <w:t>文化遗产保护与开发：建设巴蜀非遗文化产业园，法门武术传习展演基地，培育</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非遗</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研学</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非遗</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康养</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非遗</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演艺</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非遗</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文创</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非遗</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民宿</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等非遗旅游项目；建设非遗数字资源库、数字非遗中心（馆）、</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非遗融媒体矩阵</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。完成</w:t>
            </w:r>
            <w:r>
              <w:rPr>
                <w:rFonts w:ascii="Times New Roman" w:hAnsi="Times New Roman" w:eastAsia="方正仿宋_GBK" w:cs="Times New Roman"/>
                <w:snapToGrid w:val="0"/>
                <w:sz w:val="28"/>
                <w:szCs w:val="28"/>
              </w:rPr>
              <w:t>2-3</w:t>
            </w:r>
            <w:r>
              <w:rPr>
                <w:rFonts w:hint="eastAsia" w:ascii="Times New Roman" w:hAnsi="Times New Roman" w:eastAsia="方正仿宋_GBK" w:cs="方正仿宋_GBK"/>
                <w:snapToGrid w:val="0"/>
                <w:sz w:val="28"/>
                <w:szCs w:val="28"/>
              </w:rPr>
              <w:t>个省级非遗和</w:t>
            </w: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个国家级非遗的申报。</w:t>
            </w:r>
          </w:p>
        </w:tc>
      </w:tr>
    </w:tbl>
    <w:p>
      <w:pPr>
        <w:pStyle w:val="9"/>
        <w:ind w:left="840" w:firstLine="640"/>
        <w:rPr>
          <w:rFonts w:ascii="Times New Roman" w:hAnsi="Times New Roman" w:eastAsia="方正仿宋_GBK" w:cs="Times New Roman"/>
          <w:lang w:eastAsia="zh-C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第五节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推进体育事业繁荣发展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实施体育场地补短板工程。</w:t>
      </w:r>
      <w:r>
        <w:rPr>
          <w:rFonts w:hint="eastAsia" w:ascii="Times New Roman" w:hAnsi="Times New Roman" w:eastAsia="方正仿宋_GBK" w:cs="方正仿宋_GBK"/>
          <w:sz w:val="32"/>
          <w:szCs w:val="32"/>
        </w:rPr>
        <w:t>全民健身公共服务体系更加完善，公共体育场地设施更加齐全，人民群众体育健身更加便利，规划建设铁山产业新区大型综合体育场馆、升级改造现有的达川区体育馆，推进</w:t>
      </w:r>
      <w:r>
        <w:rPr>
          <w:rFonts w:hint="eastAsia" w:ascii="宋体" w:hAnsi="宋体" w:eastAsia="宋体" w:cs="宋体"/>
          <w:sz w:val="32"/>
          <w:szCs w:val="32"/>
        </w:rPr>
        <w:t>“</w:t>
      </w:r>
      <w:r>
        <w:rPr>
          <w:rFonts w:hint="eastAsia" w:ascii="Times New Roman" w:hAnsi="Times New Roman" w:eastAsia="方正仿宋_GBK" w:cs="方正仿宋_GBK"/>
          <w:sz w:val="32"/>
          <w:szCs w:val="32"/>
        </w:rPr>
        <w:t>一池二公园三中心（综合体）</w:t>
      </w:r>
      <w:r>
        <w:rPr>
          <w:rFonts w:hint="eastAsia" w:ascii="宋体" w:hAnsi="宋体" w:eastAsia="宋体" w:cs="宋体"/>
          <w:sz w:val="32"/>
          <w:szCs w:val="32"/>
        </w:rPr>
        <w:t>”</w:t>
      </w:r>
      <w:r>
        <w:rPr>
          <w:rFonts w:hint="eastAsia" w:ascii="Times New Roman" w:hAnsi="Times New Roman" w:eastAsia="方正仿宋_GBK" w:cs="方正仿宋_GBK"/>
          <w:sz w:val="32"/>
          <w:szCs w:val="32"/>
        </w:rPr>
        <w:t>建设（达川区体育馆游泳池升级改造工程，建成临江文化体育公园和雷音铺森林体育公园，翠屏山、小河咀和杨柳三个全民健身活动中心），规划建设五条骑行健身步道和一个垂钓基地，力争</w:t>
      </w:r>
      <w:r>
        <w:rPr>
          <w:rFonts w:hint="eastAsia" w:ascii="宋体" w:hAnsi="宋体" w:eastAsia="宋体" w:cs="宋体"/>
          <w:sz w:val="32"/>
          <w:szCs w:val="32"/>
        </w:rPr>
        <w:t>“</w:t>
      </w:r>
      <w:r>
        <w:rPr>
          <w:rFonts w:hint="eastAsia" w:ascii="Times New Roman" w:hAnsi="Times New Roman" w:eastAsia="方正仿宋_GBK" w:cs="方正仿宋_GBK"/>
          <w:sz w:val="32"/>
          <w:szCs w:val="32"/>
        </w:rPr>
        <w:t>十四五</w:t>
      </w:r>
      <w:r>
        <w:rPr>
          <w:rFonts w:hint="eastAsia" w:ascii="宋体" w:hAnsi="宋体" w:eastAsia="宋体" w:cs="宋体"/>
          <w:sz w:val="32"/>
          <w:szCs w:val="32"/>
        </w:rPr>
        <w:t>”</w:t>
      </w:r>
      <w:r>
        <w:rPr>
          <w:rFonts w:hint="eastAsia" w:ascii="Times New Roman" w:hAnsi="Times New Roman" w:eastAsia="方正仿宋_GBK" w:cs="方正仿宋_GBK"/>
          <w:sz w:val="32"/>
          <w:szCs w:val="32"/>
        </w:rPr>
        <w:t>期间乡镇健身中心、社区多功能运动场全覆盖。</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实施赛事活动全域化工程。</w:t>
      </w:r>
      <w:r>
        <w:rPr>
          <w:rFonts w:hint="eastAsia" w:ascii="Times New Roman" w:hAnsi="Times New Roman" w:eastAsia="方正仿宋_GBK" w:cs="方正仿宋_GBK"/>
          <w:sz w:val="32"/>
          <w:szCs w:val="32"/>
        </w:rPr>
        <w:t>健全全民健身赛事活动体系，定期举办区级运动会，以</w:t>
      </w:r>
      <w:r>
        <w:rPr>
          <w:rFonts w:hint="eastAsia" w:ascii="宋体" w:hAnsi="宋体" w:eastAsia="宋体" w:cs="宋体"/>
          <w:sz w:val="32"/>
          <w:szCs w:val="32"/>
        </w:rPr>
        <w:t>“</w:t>
      </w:r>
      <w:r>
        <w:rPr>
          <w:rFonts w:hint="eastAsia" w:ascii="Times New Roman" w:hAnsi="Times New Roman" w:eastAsia="方正仿宋_GBK" w:cs="方正仿宋_GBK"/>
          <w:sz w:val="32"/>
          <w:szCs w:val="32"/>
        </w:rPr>
        <w:t>元九</w:t>
      </w:r>
      <w:r>
        <w:rPr>
          <w:rFonts w:hint="eastAsia" w:ascii="宋体" w:hAnsi="宋体" w:eastAsia="宋体" w:cs="宋体"/>
          <w:sz w:val="32"/>
          <w:szCs w:val="32"/>
        </w:rPr>
        <w:t>”</w:t>
      </w:r>
      <w:r>
        <w:rPr>
          <w:rFonts w:hint="eastAsia" w:ascii="Times New Roman" w:hAnsi="Times New Roman" w:eastAsia="方正仿宋_GBK" w:cs="方正仿宋_GBK"/>
          <w:sz w:val="32"/>
          <w:szCs w:val="32"/>
        </w:rPr>
        <w:t>登高节、</w:t>
      </w:r>
      <w:r>
        <w:rPr>
          <w:rFonts w:hint="eastAsia" w:ascii="宋体" w:hAnsi="宋体" w:eastAsia="宋体" w:cs="宋体"/>
          <w:sz w:val="32"/>
          <w:szCs w:val="32"/>
        </w:rPr>
        <w:t>“</w:t>
      </w:r>
      <w:r>
        <w:rPr>
          <w:rFonts w:hint="eastAsia" w:ascii="Times New Roman" w:hAnsi="Times New Roman" w:eastAsia="方正仿宋_GBK" w:cs="方正仿宋_GBK"/>
          <w:sz w:val="32"/>
          <w:szCs w:val="32"/>
        </w:rPr>
        <w:t>全民健身日</w:t>
      </w:r>
      <w:r>
        <w:rPr>
          <w:rFonts w:hint="eastAsia" w:ascii="宋体" w:hAnsi="宋体" w:eastAsia="宋体" w:cs="宋体"/>
          <w:sz w:val="32"/>
          <w:szCs w:val="32"/>
        </w:rPr>
        <w:t>”</w:t>
      </w:r>
      <w:r>
        <w:rPr>
          <w:rFonts w:hint="eastAsia" w:ascii="Times New Roman" w:hAnsi="Times New Roman" w:eastAsia="方正仿宋_GBK" w:cs="方正仿宋_GBK"/>
          <w:sz w:val="32"/>
          <w:szCs w:val="32"/>
        </w:rPr>
        <w:t>等重大节日为主线，常态化开展各级各类体育赛事活动。持续推进达州市达川区</w:t>
      </w:r>
      <w:r>
        <w:rPr>
          <w:rFonts w:hint="eastAsia" w:ascii="宋体" w:hAnsi="宋体" w:eastAsia="宋体" w:cs="宋体"/>
          <w:sz w:val="32"/>
          <w:szCs w:val="32"/>
        </w:rPr>
        <w:t>“</w:t>
      </w:r>
      <w:r>
        <w:rPr>
          <w:rFonts w:hint="eastAsia" w:ascii="Times New Roman" w:hAnsi="Times New Roman" w:eastAsia="方正仿宋_GBK" w:cs="方正仿宋_GBK"/>
          <w:sz w:val="32"/>
          <w:szCs w:val="32"/>
        </w:rPr>
        <w:t>百城千乡万村</w:t>
      </w:r>
      <w:r>
        <w:rPr>
          <w:rFonts w:hint="eastAsia" w:ascii="Times New Roman" w:hAnsi="Times New Roman" w:eastAsia="方正仿宋_GBK" w:cs="方正仿宋_GBK"/>
          <w:snapToGrid w:val="0"/>
          <w:kern w:val="0"/>
          <w:sz w:val="32"/>
          <w:szCs w:val="32"/>
          <w:u w:color="000000"/>
        </w:rPr>
        <w:t>·</w:t>
      </w:r>
      <w:r>
        <w:rPr>
          <w:rFonts w:hint="eastAsia" w:ascii="Times New Roman" w:hAnsi="Times New Roman" w:eastAsia="方正仿宋_GBK" w:cs="方正仿宋_GBK"/>
          <w:sz w:val="32"/>
          <w:szCs w:val="32"/>
        </w:rPr>
        <w:t>社区</w:t>
      </w:r>
      <w:r>
        <w:rPr>
          <w:rFonts w:hint="eastAsia" w:ascii="宋体" w:hAnsi="宋体" w:eastAsia="宋体" w:cs="宋体"/>
          <w:sz w:val="32"/>
          <w:szCs w:val="32"/>
        </w:rPr>
        <w:t>”</w:t>
      </w:r>
      <w:r>
        <w:rPr>
          <w:rFonts w:hint="eastAsia" w:ascii="Times New Roman" w:hAnsi="Times New Roman" w:eastAsia="方正仿宋_GBK" w:cs="方正仿宋_GBK"/>
          <w:sz w:val="32"/>
          <w:szCs w:val="32"/>
        </w:rPr>
        <w:t>系列赛事活动、达川区足球和篮球周末联赛、行业系统职工运动会、老年人运动会及乡镇片区老年人运动会等体育赛事活动，筹划举办</w:t>
      </w:r>
      <w:r>
        <w:rPr>
          <w:rFonts w:hint="eastAsia" w:ascii="宋体" w:hAnsi="宋体" w:eastAsia="宋体" w:cs="宋体"/>
          <w:sz w:val="32"/>
          <w:szCs w:val="32"/>
        </w:rPr>
        <w:t>“</w:t>
      </w:r>
      <w:r>
        <w:rPr>
          <w:rFonts w:hint="eastAsia" w:ascii="Times New Roman" w:hAnsi="Times New Roman" w:eastAsia="方正仿宋_GBK" w:cs="方正仿宋_GBK"/>
          <w:sz w:val="32"/>
          <w:szCs w:val="32"/>
        </w:rPr>
        <w:t>万达开</w:t>
      </w:r>
      <w:r>
        <w:rPr>
          <w:rFonts w:hint="eastAsia" w:ascii="宋体" w:hAnsi="宋体" w:eastAsia="宋体" w:cs="宋体"/>
          <w:sz w:val="32"/>
          <w:szCs w:val="32"/>
        </w:rPr>
        <w:t>”</w:t>
      </w:r>
      <w:r>
        <w:rPr>
          <w:rFonts w:hint="eastAsia" w:ascii="Times New Roman" w:hAnsi="Times New Roman" w:eastAsia="方正仿宋_GBK" w:cs="方正仿宋_GBK"/>
          <w:sz w:val="32"/>
          <w:szCs w:val="32"/>
        </w:rPr>
        <w:t>川渝片区足球、钓鱼、羽毛球、乒乓球邀请赛。引导赛事承办单位以赛事产品开发为主线，以扩大消费为着力点，深耕赛事经济，重点培育</w:t>
      </w:r>
      <w:r>
        <w:rPr>
          <w:rFonts w:ascii="Times New Roman" w:hAnsi="Times New Roman" w:eastAsia="方正仿宋_GBK" w:cs="Times New Roman"/>
          <w:sz w:val="32"/>
          <w:szCs w:val="32"/>
        </w:rPr>
        <w:t>2-4</w:t>
      </w:r>
      <w:r>
        <w:rPr>
          <w:rFonts w:hint="eastAsia" w:ascii="Times New Roman" w:hAnsi="Times New Roman" w:eastAsia="方正仿宋_GBK" w:cs="方正仿宋_GBK"/>
          <w:sz w:val="32"/>
          <w:szCs w:val="32"/>
        </w:rPr>
        <w:t>个影响力较大的体育赛事品牌（如：青少年女子足球、全国广场舞大赛、山地马拉松和山地自行车等）。</w:t>
      </w:r>
    </w:p>
    <w:p>
      <w:pPr>
        <w:adjustRightInd w:val="0"/>
        <w:snapToGrid w:val="0"/>
        <w:spacing w:line="578" w:lineRule="exact"/>
        <w:ind w:firstLine="643" w:firstLineChars="200"/>
        <w:outlineLvl w:val="2"/>
        <w:rPr>
          <w:rFonts w:ascii="Times New Roman" w:hAnsi="Times New Roman" w:eastAsia="方正仿宋_GBK" w:cs="Times New Roman"/>
          <w:kern w:val="0"/>
          <w:sz w:val="32"/>
          <w:szCs w:val="32"/>
        </w:rPr>
      </w:pPr>
      <w:r>
        <w:rPr>
          <w:rFonts w:hint="eastAsia" w:ascii="Times New Roman" w:hAnsi="Times New Roman" w:eastAsia="方正仿宋_GBK" w:cs="方正仿宋_GBK"/>
          <w:b/>
          <w:bCs/>
          <w:sz w:val="32"/>
          <w:szCs w:val="32"/>
        </w:rPr>
        <w:t>实施竞技体育金牌战略工程。</w:t>
      </w:r>
      <w:r>
        <w:rPr>
          <w:rFonts w:hint="eastAsia" w:ascii="Times New Roman" w:hAnsi="Times New Roman" w:eastAsia="方正仿宋_GBK" w:cs="方正仿宋_GBK"/>
          <w:kern w:val="0"/>
          <w:sz w:val="32"/>
          <w:szCs w:val="32"/>
        </w:rPr>
        <w:t>创新竞技体育管理体制与运行机制，形成具有达川特色、适应时代发展需要的竞技体育发展新模式。实施金牌战略，优化项目布局，提高田径、游泳等基础大项和</w:t>
      </w:r>
      <w:r>
        <w:rPr>
          <w:rFonts w:hint="eastAsia" w:ascii="宋体" w:hAnsi="宋体" w:eastAsia="宋体" w:cs="宋体"/>
          <w:kern w:val="0"/>
          <w:sz w:val="32"/>
          <w:szCs w:val="32"/>
        </w:rPr>
        <w:t>“</w:t>
      </w:r>
      <w:r>
        <w:rPr>
          <w:rFonts w:hint="eastAsia" w:ascii="Times New Roman" w:hAnsi="Times New Roman" w:eastAsia="方正仿宋_GBK" w:cs="方正仿宋_GBK"/>
          <w:kern w:val="0"/>
          <w:sz w:val="32"/>
          <w:szCs w:val="32"/>
        </w:rPr>
        <w:t>三大球</w:t>
      </w:r>
      <w:r>
        <w:rPr>
          <w:rFonts w:hint="eastAsia" w:ascii="宋体" w:hAnsi="宋体" w:eastAsia="宋体" w:cs="宋体"/>
          <w:kern w:val="0"/>
          <w:sz w:val="32"/>
          <w:szCs w:val="32"/>
        </w:rPr>
        <w:t>”</w:t>
      </w:r>
      <w:r>
        <w:rPr>
          <w:rFonts w:hint="eastAsia" w:ascii="Times New Roman" w:hAnsi="Times New Roman" w:eastAsia="方正仿宋_GBK" w:cs="方正仿宋_GBK"/>
          <w:kern w:val="0"/>
          <w:sz w:val="32"/>
          <w:szCs w:val="32"/>
        </w:rPr>
        <w:t>整体水平，普及推广冬季项目运动，推进</w:t>
      </w:r>
      <w:r>
        <w:rPr>
          <w:rFonts w:hint="eastAsia" w:ascii="宋体" w:hAnsi="宋体" w:eastAsia="宋体" w:cs="宋体"/>
          <w:kern w:val="0"/>
          <w:sz w:val="32"/>
          <w:szCs w:val="32"/>
        </w:rPr>
        <w:t>“</w:t>
      </w:r>
      <w:r>
        <w:rPr>
          <w:rFonts w:hint="eastAsia" w:ascii="Times New Roman" w:hAnsi="Times New Roman" w:eastAsia="方正仿宋_GBK" w:cs="方正仿宋_GBK"/>
          <w:kern w:val="0"/>
          <w:sz w:val="32"/>
          <w:szCs w:val="32"/>
        </w:rPr>
        <w:t>女足强区</w:t>
      </w:r>
      <w:r>
        <w:rPr>
          <w:rFonts w:hint="eastAsia" w:ascii="宋体" w:hAnsi="宋体" w:eastAsia="宋体" w:cs="宋体"/>
          <w:kern w:val="0"/>
          <w:sz w:val="32"/>
          <w:szCs w:val="32"/>
        </w:rPr>
        <w:t>”</w:t>
      </w:r>
      <w:r>
        <w:rPr>
          <w:rFonts w:hint="eastAsia" w:ascii="Times New Roman" w:hAnsi="Times New Roman" w:eastAsia="方正仿宋_GBK" w:cs="方正仿宋_GBK"/>
          <w:kern w:val="0"/>
          <w:sz w:val="32"/>
          <w:szCs w:val="32"/>
        </w:rPr>
        <w:t>战略，打造具有地方特色的足球示范县区，扎实开展青少年体育人才培养计划，全力做好备战参加四川省第十四届运动会和达州市第四届运动会，争取体育综合实力领先达州、全省有位。常态化开展中小学生田径运动会，中小学生篮球、足球比赛等青少年体育赛事。</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4-13</w:t>
      </w:r>
      <w:r>
        <w:rPr>
          <w:rFonts w:hint="eastAsia" w:ascii="Times New Roman" w:hAnsi="Times New Roman" w:eastAsia="方正仿宋_GBK" w:cs="方正仿宋_GBK"/>
          <w:b/>
          <w:bCs/>
          <w:sz w:val="28"/>
          <w:szCs w:val="28"/>
        </w:rPr>
        <w:t>：推进体育事业发展建设项目及措施</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体育场地补短板工程：持续推进城市</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十五分钟健身圈</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建设，推进</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一池二公园三中心（综合体）</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建设，即达川区体育馆游泳池升级改造工程，建成临江文化体育公园和雷音铺森林体育公园，翠屏山、小河嘴和杨柳三个全民健身中心，建设国际山地自行车道、登山步道、山地越野、</w:t>
            </w:r>
            <w:r>
              <w:rPr>
                <w:rFonts w:ascii="Times New Roman" w:hAnsi="Times New Roman" w:eastAsia="方正仿宋_GBK" w:cs="Times New Roman"/>
                <w:snapToGrid w:val="0"/>
                <w:sz w:val="28"/>
                <w:szCs w:val="28"/>
              </w:rPr>
              <w:t>Zip-line</w:t>
            </w:r>
            <w:r>
              <w:rPr>
                <w:rFonts w:hint="eastAsia" w:ascii="Times New Roman" w:hAnsi="Times New Roman" w:eastAsia="方正仿宋_GBK" w:cs="方正仿宋_GBK"/>
                <w:snapToGrid w:val="0"/>
                <w:sz w:val="28"/>
                <w:szCs w:val="28"/>
              </w:rPr>
              <w:t>攀林乐园、生态露营地和羽毛球、网球、篮球、足球等运动场所，打造以森林休闲、户外运动为一体的省级旅游度假区。规划建设雷音铺环山健身步道和登山步道，金南大桥至河市滨水健身步道，打通金南大桥至小河嘴滨水骑行健身步道，</w:t>
            </w:r>
            <w:r>
              <w:rPr>
                <w:rFonts w:ascii="Times New Roman" w:hAnsi="Times New Roman" w:eastAsia="方正仿宋_GBK" w:cs="Times New Roman"/>
                <w:snapToGrid w:val="0"/>
                <w:sz w:val="28"/>
                <w:szCs w:val="28"/>
              </w:rPr>
              <w:t>18</w:t>
            </w:r>
            <w:r>
              <w:rPr>
                <w:rFonts w:hint="eastAsia" w:ascii="Times New Roman" w:hAnsi="Times New Roman" w:eastAsia="方正仿宋_GBK" w:cs="方正仿宋_GBK"/>
                <w:snapToGrid w:val="0"/>
                <w:sz w:val="28"/>
                <w:szCs w:val="28"/>
              </w:rPr>
              <w:t>个乡镇健身中心（社区多功能运动场），九龙湖环湖自行车道和川渝垂钓基地等。</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赛事活动全域化工程：继续承办全国少儿毽球锦标赛、全国青少年女子足球邀请赛、中国</w:t>
            </w:r>
            <w:r>
              <w:rPr>
                <w:rFonts w:hint="eastAsia" w:ascii="Times New Roman" w:hAnsi="Times New Roman" w:eastAsia="方正仿宋_GBK" w:cs="方正仿宋_GBK"/>
                <w:snapToGrid w:val="0"/>
                <w:kern w:val="0"/>
                <w:sz w:val="32"/>
                <w:szCs w:val="32"/>
                <w:u w:color="000000"/>
              </w:rPr>
              <w:t>·</w:t>
            </w:r>
            <w:r>
              <w:rPr>
                <w:rFonts w:hint="eastAsia" w:ascii="Times New Roman" w:hAnsi="Times New Roman" w:eastAsia="方正仿宋_GBK" w:cs="方正仿宋_GBK"/>
                <w:snapToGrid w:val="0"/>
                <w:sz w:val="28"/>
                <w:szCs w:val="28"/>
              </w:rPr>
              <w:t>达川国际标准舞（体育舞蹈）全国公开赛。定期举办区级运动会、</w:t>
            </w:r>
            <w:r>
              <w:rPr>
                <w:rFonts w:ascii="Times New Roman" w:hAnsi="Times New Roman" w:eastAsia="方正仿宋_GBK" w:cs="Times New Roman"/>
                <w:snapToGrid w:val="0"/>
                <w:sz w:val="28"/>
                <w:szCs w:val="28"/>
              </w:rPr>
              <w:t xml:space="preserve"> </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元九</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登高节、</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全民健身日</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百城千乡万村</w:t>
            </w:r>
            <w:r>
              <w:rPr>
                <w:rFonts w:hint="eastAsia" w:ascii="Times New Roman" w:hAnsi="Times New Roman" w:eastAsia="方正仿宋_GBK" w:cs="方正仿宋_GBK"/>
                <w:snapToGrid w:val="0"/>
                <w:kern w:val="0"/>
                <w:sz w:val="32"/>
                <w:szCs w:val="32"/>
                <w:u w:color="000000"/>
              </w:rPr>
              <w:t>·</w:t>
            </w:r>
            <w:r>
              <w:rPr>
                <w:rFonts w:hint="eastAsia" w:ascii="Times New Roman" w:hAnsi="Times New Roman" w:eastAsia="方正仿宋_GBK" w:cs="方正仿宋_GBK"/>
                <w:snapToGrid w:val="0"/>
                <w:sz w:val="28"/>
                <w:szCs w:val="28"/>
              </w:rPr>
              <w:t>社区</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系列赛事活动、达川区足球和篮球周末联赛、行业系统职工运动会、老年人运动会及乡镇片区老年人运动会。筹划举办</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万达开</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川渝片区足球、钓鱼、羽毛球、乒乓球邀请赛。</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3.</w:t>
            </w:r>
            <w:r>
              <w:rPr>
                <w:rFonts w:hint="eastAsia" w:ascii="Times New Roman" w:hAnsi="Times New Roman" w:eastAsia="方正仿宋_GBK" w:cs="方正仿宋_GBK"/>
                <w:snapToGrid w:val="0"/>
                <w:sz w:val="28"/>
                <w:szCs w:val="28"/>
              </w:rPr>
              <w:t>竞技体育金牌战略工程：每年参加各级各类赛事不低于</w:t>
            </w:r>
            <w:r>
              <w:rPr>
                <w:rFonts w:ascii="Times New Roman" w:hAnsi="Times New Roman" w:eastAsia="方正仿宋_GBK" w:cs="Times New Roman"/>
                <w:snapToGrid w:val="0"/>
                <w:sz w:val="28"/>
                <w:szCs w:val="28"/>
              </w:rPr>
              <w:t>10</w:t>
            </w:r>
            <w:r>
              <w:rPr>
                <w:rFonts w:hint="eastAsia" w:ascii="Times New Roman" w:hAnsi="Times New Roman" w:eastAsia="方正仿宋_GBK" w:cs="方正仿宋_GBK"/>
                <w:snapToGrid w:val="0"/>
                <w:sz w:val="28"/>
                <w:szCs w:val="28"/>
              </w:rPr>
              <w:t>项次，参赛人数</w:t>
            </w:r>
            <w:r>
              <w:rPr>
                <w:rFonts w:ascii="Times New Roman" w:hAnsi="Times New Roman" w:eastAsia="方正仿宋_GBK" w:cs="Times New Roman"/>
                <w:snapToGrid w:val="0"/>
                <w:sz w:val="28"/>
                <w:szCs w:val="28"/>
              </w:rPr>
              <w:t>500</w:t>
            </w:r>
            <w:r>
              <w:rPr>
                <w:rFonts w:hint="eastAsia" w:ascii="Times New Roman" w:hAnsi="Times New Roman" w:eastAsia="方正仿宋_GBK" w:cs="方正仿宋_GBK"/>
                <w:snapToGrid w:val="0"/>
                <w:sz w:val="28"/>
                <w:szCs w:val="28"/>
              </w:rPr>
              <w:t>人次以上；区级赛事不低于</w:t>
            </w:r>
            <w:r>
              <w:rPr>
                <w:rFonts w:ascii="Times New Roman" w:hAnsi="Times New Roman" w:eastAsia="方正仿宋_GBK" w:cs="Times New Roman"/>
                <w:snapToGrid w:val="0"/>
                <w:sz w:val="28"/>
                <w:szCs w:val="28"/>
              </w:rPr>
              <w:t>10</w:t>
            </w:r>
            <w:r>
              <w:rPr>
                <w:rFonts w:hint="eastAsia" w:ascii="Times New Roman" w:hAnsi="Times New Roman" w:eastAsia="方正仿宋_GBK" w:cs="方正仿宋_GBK"/>
                <w:snapToGrid w:val="0"/>
                <w:sz w:val="28"/>
                <w:szCs w:val="28"/>
              </w:rPr>
              <w:t>项次，参赛人数</w:t>
            </w:r>
            <w:r>
              <w:rPr>
                <w:rFonts w:ascii="Times New Roman" w:hAnsi="Times New Roman" w:eastAsia="方正仿宋_GBK" w:cs="Times New Roman"/>
                <w:snapToGrid w:val="0"/>
                <w:sz w:val="28"/>
                <w:szCs w:val="28"/>
              </w:rPr>
              <w:t>10000</w:t>
            </w:r>
            <w:r>
              <w:rPr>
                <w:rFonts w:hint="eastAsia" w:ascii="Times New Roman" w:hAnsi="Times New Roman" w:eastAsia="方正仿宋_GBK" w:cs="方正仿宋_GBK"/>
                <w:snapToGrid w:val="0"/>
                <w:sz w:val="28"/>
                <w:szCs w:val="28"/>
              </w:rPr>
              <w:t>人次以上。开展</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一校一品、一校多品</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学校体育特色项目建设，与区教科局联合举办区级田径、足球、篮球、乒乓球、羽毛球、运动舞蹈等</w:t>
            </w:r>
            <w:r>
              <w:rPr>
                <w:rFonts w:ascii="Times New Roman" w:hAnsi="Times New Roman" w:eastAsia="方正仿宋_GBK" w:cs="Times New Roman"/>
                <w:snapToGrid w:val="0"/>
                <w:sz w:val="28"/>
                <w:szCs w:val="28"/>
              </w:rPr>
              <w:t>7</w:t>
            </w:r>
            <w:r>
              <w:rPr>
                <w:rFonts w:hint="eastAsia" w:ascii="Times New Roman" w:hAnsi="Times New Roman" w:eastAsia="方正仿宋_GBK" w:cs="方正仿宋_GBK"/>
                <w:snapToGrid w:val="0"/>
                <w:sz w:val="28"/>
                <w:szCs w:val="28"/>
              </w:rPr>
              <w:t>个项目比赛。体育教练员、裁判员每年参加培训班</w:t>
            </w: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项次，参训人数不低于</w:t>
            </w:r>
            <w:r>
              <w:rPr>
                <w:rFonts w:ascii="Times New Roman" w:hAnsi="Times New Roman" w:eastAsia="方正仿宋_GBK" w:cs="Times New Roman"/>
                <w:snapToGrid w:val="0"/>
                <w:sz w:val="28"/>
                <w:szCs w:val="28"/>
              </w:rPr>
              <w:t>100</w:t>
            </w:r>
            <w:r>
              <w:rPr>
                <w:rFonts w:hint="eastAsia" w:ascii="Times New Roman" w:hAnsi="Times New Roman" w:eastAsia="方正仿宋_GBK" w:cs="方正仿宋_GBK"/>
                <w:snapToGrid w:val="0"/>
                <w:sz w:val="28"/>
                <w:szCs w:val="28"/>
              </w:rPr>
              <w:t>人；社会体育指导员每年参加培训班</w:t>
            </w: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项次，参训人数</w:t>
            </w:r>
            <w:r>
              <w:rPr>
                <w:rFonts w:ascii="Times New Roman" w:hAnsi="Times New Roman" w:eastAsia="方正仿宋_GBK" w:cs="Times New Roman"/>
                <w:snapToGrid w:val="0"/>
                <w:sz w:val="28"/>
                <w:szCs w:val="28"/>
              </w:rPr>
              <w:t>200</w:t>
            </w:r>
            <w:r>
              <w:rPr>
                <w:rFonts w:hint="eastAsia" w:ascii="Times New Roman" w:hAnsi="Times New Roman" w:eastAsia="方正仿宋_GBK" w:cs="方正仿宋_GBK"/>
                <w:snapToGrid w:val="0"/>
                <w:sz w:val="28"/>
                <w:szCs w:val="28"/>
              </w:rPr>
              <w:t>人以上。</w:t>
            </w:r>
          </w:p>
        </w:tc>
      </w:tr>
    </w:tbl>
    <w:p>
      <w:pPr>
        <w:pStyle w:val="9"/>
        <w:spacing w:line="578" w:lineRule="exact"/>
        <w:ind w:left="840" w:firstLine="640"/>
        <w:rPr>
          <w:rFonts w:ascii="Times New Roman" w:hAnsi="Times New Roman" w:eastAsia="方正仿宋_GBK" w:cs="Times New Roman"/>
          <w:lang w:eastAsia="zh-C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第六节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推进文化创意产业发展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推动新兴产业融合创新。</w:t>
      </w:r>
      <w:r>
        <w:rPr>
          <w:rFonts w:hint="eastAsia" w:ascii="Times New Roman" w:hAnsi="Times New Roman" w:eastAsia="方正仿宋_GBK" w:cs="方正仿宋_GBK"/>
          <w:sz w:val="32"/>
          <w:szCs w:val="32"/>
        </w:rPr>
        <w:t>实施</w:t>
      </w:r>
      <w:r>
        <w:rPr>
          <w:rFonts w:hint="eastAsia" w:ascii="宋体" w:hAnsi="宋体" w:eastAsia="宋体" w:cs="宋体"/>
          <w:sz w:val="32"/>
          <w:szCs w:val="32"/>
        </w:rPr>
        <w:t>“</w:t>
      </w:r>
      <w:r>
        <w:rPr>
          <w:rFonts w:hint="eastAsia" w:ascii="Times New Roman" w:hAnsi="Times New Roman" w:eastAsia="方正仿宋_GBK" w:cs="方正仿宋_GBK"/>
          <w:sz w:val="32"/>
          <w:szCs w:val="32"/>
        </w:rPr>
        <w:t>互联网</w:t>
      </w:r>
      <w:r>
        <w:rPr>
          <w:rFonts w:ascii="Times New Roman" w:hAnsi="Times New Roman" w:eastAsia="方正仿宋_GBK" w:cs="Times New Roman"/>
          <w:sz w:val="32"/>
          <w:szCs w:val="32"/>
        </w:rPr>
        <w:t>+</w:t>
      </w:r>
      <w:r>
        <w:rPr>
          <w:rFonts w:hint="eastAsia" w:ascii="宋体" w:hAnsi="宋体" w:eastAsia="宋体" w:cs="宋体"/>
          <w:sz w:val="32"/>
          <w:szCs w:val="32"/>
        </w:rPr>
        <w:t>”</w:t>
      </w:r>
      <w:r>
        <w:rPr>
          <w:rFonts w:hint="eastAsia" w:ascii="Times New Roman" w:hAnsi="Times New Roman" w:eastAsia="方正仿宋_GBK" w:cs="方正仿宋_GBK"/>
          <w:sz w:val="32"/>
          <w:szCs w:val="32"/>
        </w:rPr>
        <w:t>行动计划，拓展网络文艺、网络娱乐、网络餐饮、本地化生活服务等服务业的互联网应用。依托</w:t>
      </w:r>
      <w:r>
        <w:rPr>
          <w:rFonts w:ascii="Times New Roman" w:hAnsi="Times New Roman" w:eastAsia="方正仿宋_GBK" w:cs="Times New Roman"/>
          <w:sz w:val="32"/>
          <w:szCs w:val="32"/>
        </w:rPr>
        <w:t>5G</w:t>
      </w:r>
      <w:r>
        <w:rPr>
          <w:rFonts w:hint="eastAsia" w:ascii="Times New Roman" w:hAnsi="Times New Roman" w:eastAsia="方正仿宋_GBK" w:cs="方正仿宋_GBK"/>
          <w:sz w:val="32"/>
          <w:szCs w:val="32"/>
        </w:rPr>
        <w:t>、人工智能（</w:t>
      </w:r>
      <w:r>
        <w:rPr>
          <w:rFonts w:ascii="Times New Roman" w:hAnsi="Times New Roman" w:eastAsia="方正仿宋_GBK" w:cs="Times New Roman"/>
          <w:sz w:val="32"/>
          <w:szCs w:val="32"/>
        </w:rPr>
        <w:t>AI</w:t>
      </w:r>
      <w:r>
        <w:rPr>
          <w:rFonts w:hint="eastAsia" w:ascii="Times New Roman" w:hAnsi="Times New Roman" w:eastAsia="方正仿宋_GBK" w:cs="方正仿宋_GBK"/>
          <w:sz w:val="32"/>
          <w:szCs w:val="32"/>
        </w:rPr>
        <w:t>）、云计算、大数据、区块链、虚拟现实（</w:t>
      </w:r>
      <w:r>
        <w:rPr>
          <w:rFonts w:ascii="Times New Roman" w:hAnsi="Times New Roman" w:eastAsia="方正仿宋_GBK" w:cs="Times New Roman"/>
          <w:sz w:val="32"/>
          <w:szCs w:val="32"/>
        </w:rPr>
        <w:t>VR</w:t>
      </w:r>
      <w:r>
        <w:rPr>
          <w:rFonts w:hint="eastAsia" w:ascii="Times New Roman" w:hAnsi="Times New Roman" w:eastAsia="方正仿宋_GBK" w:cs="方正仿宋_GBK"/>
          <w:sz w:val="32"/>
          <w:szCs w:val="32"/>
        </w:rPr>
        <w:t>）、增强现实（</w:t>
      </w:r>
      <w:r>
        <w:rPr>
          <w:rFonts w:ascii="Times New Roman" w:hAnsi="Times New Roman" w:eastAsia="方正仿宋_GBK" w:cs="Times New Roman"/>
          <w:sz w:val="32"/>
          <w:szCs w:val="32"/>
        </w:rPr>
        <w:t>AR</w:t>
      </w:r>
      <w:r>
        <w:rPr>
          <w:rFonts w:hint="eastAsia" w:ascii="Times New Roman" w:hAnsi="Times New Roman" w:eastAsia="方正仿宋_GBK" w:cs="方正仿宋_GBK"/>
          <w:sz w:val="32"/>
          <w:szCs w:val="32"/>
        </w:rPr>
        <w:t>）等现代高新科技成果，培育和发展动漫游戏、网络视听、移动多媒体、数字出版、虚拟会展、艺术品网络交易、高科技文创装备等文化科技融合新兴业态。大力推进</w:t>
      </w:r>
      <w:r>
        <w:rPr>
          <w:rFonts w:hint="eastAsia" w:ascii="宋体" w:hAnsi="宋体" w:eastAsia="宋体" w:cs="宋体"/>
          <w:sz w:val="32"/>
          <w:szCs w:val="32"/>
        </w:rPr>
        <w:t>“</w:t>
      </w:r>
      <w:r>
        <w:rPr>
          <w:rFonts w:hint="eastAsia" w:ascii="Times New Roman" w:hAnsi="Times New Roman" w:eastAsia="方正仿宋_GBK" w:cs="方正仿宋_GBK"/>
          <w:sz w:val="32"/>
          <w:szCs w:val="32"/>
        </w:rPr>
        <w:t>设计</w:t>
      </w:r>
      <w:r>
        <w:rPr>
          <w:rFonts w:ascii="Times New Roman" w:hAnsi="Times New Roman" w:eastAsia="方正仿宋_GBK" w:cs="Times New Roman"/>
          <w:sz w:val="32"/>
          <w:szCs w:val="32"/>
        </w:rPr>
        <w:t>+</w:t>
      </w:r>
      <w:r>
        <w:rPr>
          <w:rFonts w:hint="eastAsia" w:ascii="宋体" w:hAnsi="宋体" w:eastAsia="宋体" w:cs="宋体"/>
          <w:sz w:val="32"/>
          <w:szCs w:val="32"/>
        </w:rPr>
        <w:t>”</w:t>
      </w:r>
      <w:r>
        <w:rPr>
          <w:rFonts w:hint="eastAsia" w:ascii="Times New Roman" w:hAnsi="Times New Roman" w:eastAsia="方正仿宋_GBK" w:cs="方正仿宋_GBK"/>
          <w:sz w:val="32"/>
          <w:szCs w:val="32"/>
        </w:rPr>
        <w:t>发展战略部署，加快推进设计、制造和服务一体化，支持构建可视化、可推广应用的设计示范平台。推进文化创意与休闲农业的融合创新发展，推出一批农家乐</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艺术展览、农家乐</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花海、农家乐</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特色民宿、农家乐</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研学等业态，促进</w:t>
      </w:r>
      <w:r>
        <w:rPr>
          <w:rFonts w:hint="eastAsia" w:ascii="宋体" w:hAnsi="宋体" w:eastAsia="宋体" w:cs="宋体"/>
          <w:sz w:val="32"/>
          <w:szCs w:val="32"/>
        </w:rPr>
        <w:t>“</w:t>
      </w:r>
      <w:r>
        <w:rPr>
          <w:rFonts w:hint="eastAsia" w:ascii="Times New Roman" w:hAnsi="Times New Roman" w:eastAsia="方正仿宋_GBK" w:cs="方正仿宋_GBK"/>
          <w:sz w:val="32"/>
          <w:szCs w:val="32"/>
        </w:rPr>
        <w:t>观光、体验、参与、订制、回购</w:t>
      </w:r>
      <w:r>
        <w:rPr>
          <w:rFonts w:hint="eastAsia" w:ascii="宋体" w:hAnsi="宋体" w:eastAsia="宋体" w:cs="宋体"/>
          <w:sz w:val="32"/>
          <w:szCs w:val="32"/>
        </w:rPr>
        <w:t>”</w:t>
      </w:r>
      <w:r>
        <w:rPr>
          <w:rFonts w:hint="eastAsia" w:ascii="Times New Roman" w:hAnsi="Times New Roman" w:eastAsia="方正仿宋_GBK" w:cs="方正仿宋_GBK"/>
          <w:sz w:val="32"/>
          <w:szCs w:val="32"/>
        </w:rPr>
        <w:t>等流程循环式发展。推进文化创意设计与遗址公园及博物馆建设的融合创新。</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培育壮大产业市场主体。</w:t>
      </w:r>
      <w:r>
        <w:rPr>
          <w:rFonts w:hint="eastAsia" w:ascii="Times New Roman" w:hAnsi="Times New Roman" w:eastAsia="方正仿宋_GBK" w:cs="方正仿宋_GBK"/>
          <w:sz w:val="32"/>
          <w:szCs w:val="32"/>
        </w:rPr>
        <w:t>支持优势资源整合，培育一批主业突出、核心竞争力强、市场占有率高的大型文化企业集团。鼓励社会资本投资政策允许开放的文化领域，积极培育文创苗圃、孵化器、加速器，引导非公有制文化企业发展，重点支持</w:t>
      </w:r>
      <w:r>
        <w:rPr>
          <w:rFonts w:hint="eastAsia" w:ascii="宋体" w:hAnsi="宋体" w:eastAsia="宋体" w:cs="宋体"/>
          <w:sz w:val="32"/>
          <w:szCs w:val="32"/>
        </w:rPr>
        <w:t>“</w:t>
      </w:r>
      <w:r>
        <w:rPr>
          <w:rFonts w:hint="eastAsia" w:ascii="Times New Roman" w:hAnsi="Times New Roman" w:eastAsia="方正仿宋_GBK" w:cs="方正仿宋_GBK"/>
          <w:sz w:val="32"/>
          <w:szCs w:val="32"/>
        </w:rPr>
        <w:t>专、精、新</w:t>
      </w:r>
      <w:r>
        <w:rPr>
          <w:rFonts w:hint="eastAsia" w:ascii="宋体" w:hAnsi="宋体" w:eastAsia="宋体" w:cs="宋体"/>
          <w:sz w:val="32"/>
          <w:szCs w:val="32"/>
        </w:rPr>
        <w:t>”</w:t>
      </w:r>
      <w:r>
        <w:rPr>
          <w:rFonts w:hint="eastAsia" w:ascii="Times New Roman" w:hAnsi="Times New Roman" w:eastAsia="方正仿宋_GBK" w:cs="方正仿宋_GBK"/>
          <w:sz w:val="32"/>
          <w:szCs w:val="32"/>
        </w:rPr>
        <w:t>中小文化企业发展。发展演艺经纪、版权代理、推介咨询、评估担保等文化市场中介服务机构，鼓励银行、保险、担保等金融机构推出文创贷等专业信贷产品。加强文化行业组织建设，支持组建主体多元、跨界互补的行业协会、产业联盟。</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推出一批优秀文旅融合的文创作品。</w:t>
      </w:r>
      <w:r>
        <w:rPr>
          <w:rFonts w:hint="eastAsia" w:ascii="Times New Roman" w:hAnsi="Times New Roman" w:eastAsia="方正仿宋_GBK" w:cs="方正仿宋_GBK"/>
          <w:sz w:val="32"/>
          <w:szCs w:val="32"/>
        </w:rPr>
        <w:t>持续推动当代文学艺术创作、影视精品创作，精心打造</w:t>
      </w:r>
      <w:r>
        <w:rPr>
          <w:rFonts w:hint="eastAsia" w:ascii="宋体" w:hAnsi="宋体" w:eastAsia="宋体" w:cs="宋体"/>
          <w:sz w:val="32"/>
          <w:szCs w:val="32"/>
        </w:rPr>
        <w:t>“</w:t>
      </w:r>
      <w:r>
        <w:rPr>
          <w:rFonts w:hint="eastAsia" w:ascii="Times New Roman" w:hAnsi="Times New Roman" w:eastAsia="方正仿宋_GBK" w:cs="方正仿宋_GBK"/>
          <w:sz w:val="32"/>
          <w:szCs w:val="32"/>
        </w:rPr>
        <w:t>巴山作家群</w:t>
      </w:r>
      <w:r>
        <w:rPr>
          <w:rFonts w:hint="eastAsia" w:ascii="宋体" w:hAnsi="宋体" w:eastAsia="宋体" w:cs="宋体"/>
          <w:sz w:val="32"/>
          <w:szCs w:val="32"/>
        </w:rPr>
        <w:t>”“</w:t>
      </w:r>
      <w:r>
        <w:rPr>
          <w:rFonts w:hint="eastAsia" w:ascii="Times New Roman" w:hAnsi="Times New Roman" w:eastAsia="方正仿宋_GBK" w:cs="方正仿宋_GBK"/>
          <w:sz w:val="32"/>
          <w:szCs w:val="32"/>
        </w:rPr>
        <w:t>巴渠诗群</w:t>
      </w:r>
      <w:r>
        <w:rPr>
          <w:rFonts w:hint="eastAsia" w:ascii="宋体" w:hAnsi="宋体" w:eastAsia="宋体" w:cs="宋体"/>
          <w:sz w:val="32"/>
          <w:szCs w:val="32"/>
        </w:rPr>
        <w:t>”“</w:t>
      </w:r>
      <w:r>
        <w:rPr>
          <w:rFonts w:hint="eastAsia" w:ascii="Times New Roman" w:hAnsi="Times New Roman" w:eastAsia="方正仿宋_GBK" w:cs="方正仿宋_GBK"/>
          <w:sz w:val="32"/>
          <w:szCs w:val="32"/>
        </w:rPr>
        <w:t>巴山画派</w:t>
      </w:r>
      <w:r>
        <w:rPr>
          <w:rFonts w:hint="eastAsia" w:ascii="宋体" w:hAnsi="宋体" w:eastAsia="宋体" w:cs="宋体"/>
          <w:sz w:val="32"/>
          <w:szCs w:val="32"/>
        </w:rPr>
        <w:t>”“</w:t>
      </w:r>
      <w:r>
        <w:rPr>
          <w:rFonts w:hint="eastAsia" w:ascii="Times New Roman" w:hAnsi="Times New Roman" w:eastAsia="方正仿宋_GBK" w:cs="方正仿宋_GBK"/>
          <w:sz w:val="32"/>
          <w:szCs w:val="32"/>
        </w:rPr>
        <w:t>巴山摄影人</w:t>
      </w:r>
      <w:r>
        <w:rPr>
          <w:rFonts w:hint="eastAsia" w:ascii="宋体" w:hAnsi="宋体" w:eastAsia="宋体" w:cs="宋体"/>
          <w:sz w:val="32"/>
          <w:szCs w:val="32"/>
        </w:rPr>
        <w:t>”</w:t>
      </w:r>
      <w:r>
        <w:rPr>
          <w:rFonts w:hint="eastAsia" w:ascii="Times New Roman" w:hAnsi="Times New Roman" w:eastAsia="方正仿宋_GBK" w:cs="方正仿宋_GBK"/>
          <w:sz w:val="32"/>
          <w:szCs w:val="32"/>
        </w:rPr>
        <w:t>等文艺创作品牌。实施舞台艺术精品工程，深入开展</w:t>
      </w:r>
      <w:r>
        <w:rPr>
          <w:rFonts w:hint="eastAsia" w:ascii="宋体" w:hAnsi="宋体" w:eastAsia="宋体" w:cs="宋体"/>
          <w:sz w:val="32"/>
          <w:szCs w:val="32"/>
        </w:rPr>
        <w:t>“</w:t>
      </w:r>
      <w:r>
        <w:rPr>
          <w:rFonts w:hint="eastAsia" w:ascii="Times New Roman" w:hAnsi="Times New Roman" w:eastAsia="方正仿宋_GBK" w:cs="方正仿宋_GBK"/>
          <w:sz w:val="32"/>
          <w:szCs w:val="32"/>
        </w:rPr>
        <w:t>流动舞台进基层</w:t>
      </w:r>
      <w:r>
        <w:rPr>
          <w:rFonts w:hint="eastAsia" w:ascii="宋体" w:hAnsi="宋体" w:eastAsia="宋体" w:cs="宋体"/>
          <w:sz w:val="32"/>
          <w:szCs w:val="32"/>
        </w:rPr>
        <w:t>”“</w:t>
      </w:r>
      <w:r>
        <w:rPr>
          <w:rFonts w:hint="eastAsia" w:ascii="Times New Roman" w:hAnsi="Times New Roman" w:eastAsia="方正仿宋_GBK" w:cs="方正仿宋_GBK"/>
          <w:sz w:val="32"/>
          <w:szCs w:val="32"/>
        </w:rPr>
        <w:t>非遗进校园</w:t>
      </w:r>
      <w:r>
        <w:rPr>
          <w:rFonts w:hint="eastAsia" w:ascii="宋体" w:hAnsi="宋体" w:eastAsia="宋体" w:cs="宋体"/>
          <w:sz w:val="32"/>
          <w:szCs w:val="32"/>
        </w:rPr>
        <w:t>”</w:t>
      </w:r>
      <w:r>
        <w:rPr>
          <w:rFonts w:hint="eastAsia" w:ascii="Times New Roman" w:hAnsi="Times New Roman" w:eastAsia="方正仿宋_GBK" w:cs="方正仿宋_GBK"/>
          <w:sz w:val="32"/>
          <w:szCs w:val="32"/>
        </w:rPr>
        <w:t>活动。大力推广</w:t>
      </w:r>
      <w:r>
        <w:rPr>
          <w:rFonts w:hint="eastAsia" w:ascii="宋体" w:hAnsi="宋体" w:eastAsia="宋体" w:cs="宋体"/>
          <w:sz w:val="32"/>
          <w:szCs w:val="32"/>
        </w:rPr>
        <w:t>“</w:t>
      </w:r>
      <w:r>
        <w:rPr>
          <w:rFonts w:hint="eastAsia" w:ascii="Times New Roman" w:hAnsi="Times New Roman" w:eastAsia="方正仿宋_GBK" w:cs="方正仿宋_GBK"/>
          <w:sz w:val="32"/>
          <w:szCs w:val="32"/>
        </w:rPr>
        <w:t>景区</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演艺</w:t>
      </w:r>
      <w:r>
        <w:rPr>
          <w:rFonts w:hint="eastAsia" w:ascii="宋体" w:hAnsi="宋体" w:eastAsia="宋体" w:cs="宋体"/>
          <w:sz w:val="32"/>
          <w:szCs w:val="32"/>
        </w:rPr>
        <w:t>”</w:t>
      </w:r>
      <w:r>
        <w:rPr>
          <w:rFonts w:hint="eastAsia" w:ascii="Times New Roman" w:hAnsi="Times New Roman" w:eastAsia="方正仿宋_GBK" w:cs="方正仿宋_GBK"/>
          <w:sz w:val="32"/>
          <w:szCs w:val="32"/>
        </w:rPr>
        <w:t>运营模式，高水平编排大型情景剧，并在景区持续上演，讲好达川故事，促进文化和旅游的融合。</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扩大文化消费市场规模。</w:t>
      </w:r>
      <w:r>
        <w:rPr>
          <w:rFonts w:hint="eastAsia" w:ascii="Times New Roman" w:hAnsi="Times New Roman" w:eastAsia="方正仿宋_GBK" w:cs="方正仿宋_GBK"/>
          <w:sz w:val="32"/>
          <w:szCs w:val="32"/>
        </w:rPr>
        <w:t>适应多样化、个性化、定制化文化需求，开展巴文化</w:t>
      </w:r>
      <w:r>
        <w:rPr>
          <w:rFonts w:ascii="Times New Roman" w:hAnsi="Times New Roman" w:eastAsia="方正仿宋_GBK" w:cs="Times New Roman"/>
          <w:sz w:val="32"/>
          <w:szCs w:val="32"/>
        </w:rPr>
        <w:t>IP</w:t>
      </w:r>
      <w:r>
        <w:rPr>
          <w:rFonts w:hint="eastAsia" w:ascii="Times New Roman" w:hAnsi="Times New Roman" w:eastAsia="方正仿宋_GBK" w:cs="方正仿宋_GBK"/>
          <w:sz w:val="32"/>
          <w:szCs w:val="32"/>
        </w:rPr>
        <w:t>孵化及文创产品设计研发生产，发展更多参与式、体验式消费模式和业态。构建达川文化消费新场景体系，打造多元化、引爆性</w:t>
      </w:r>
      <w:r>
        <w:rPr>
          <w:rFonts w:hint="eastAsia" w:ascii="宋体" w:hAnsi="宋体" w:eastAsia="宋体" w:cs="宋体"/>
          <w:sz w:val="32"/>
          <w:szCs w:val="32"/>
        </w:rPr>
        <w:t>“</w:t>
      </w:r>
      <w:r>
        <w:rPr>
          <w:rFonts w:hint="eastAsia" w:ascii="Times New Roman" w:hAnsi="Times New Roman" w:eastAsia="方正仿宋_GBK" w:cs="方正仿宋_GBK"/>
          <w:sz w:val="32"/>
          <w:szCs w:val="32"/>
        </w:rPr>
        <w:t>文</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商</w:t>
      </w:r>
      <w:r>
        <w:rPr>
          <w:rFonts w:hint="eastAsia" w:ascii="宋体" w:hAnsi="宋体" w:eastAsia="宋体" w:cs="宋体"/>
          <w:sz w:val="32"/>
          <w:szCs w:val="32"/>
        </w:rPr>
        <w:t>”“</w:t>
      </w:r>
      <w:r>
        <w:rPr>
          <w:rFonts w:hint="eastAsia" w:ascii="Times New Roman" w:hAnsi="Times New Roman" w:eastAsia="方正仿宋_GBK" w:cs="方正仿宋_GBK"/>
          <w:sz w:val="32"/>
          <w:szCs w:val="32"/>
        </w:rPr>
        <w:t>文</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商</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旅</w:t>
      </w:r>
      <w:r>
        <w:rPr>
          <w:rFonts w:hint="eastAsia" w:ascii="宋体" w:hAnsi="宋体" w:eastAsia="宋体" w:cs="宋体"/>
          <w:sz w:val="32"/>
          <w:szCs w:val="32"/>
        </w:rPr>
        <w:t>”“</w:t>
      </w:r>
      <w:r>
        <w:rPr>
          <w:rFonts w:hint="eastAsia" w:ascii="Times New Roman" w:hAnsi="Times New Roman" w:eastAsia="方正仿宋_GBK" w:cs="方正仿宋_GBK"/>
          <w:sz w:val="32"/>
          <w:szCs w:val="32"/>
        </w:rPr>
        <w:t>文</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农</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旅</w:t>
      </w:r>
      <w:r>
        <w:rPr>
          <w:rFonts w:hint="eastAsia" w:ascii="宋体" w:hAnsi="宋体" w:eastAsia="宋体" w:cs="宋体"/>
          <w:sz w:val="32"/>
          <w:szCs w:val="32"/>
        </w:rPr>
        <w:t>”“</w:t>
      </w:r>
      <w:r>
        <w:rPr>
          <w:rFonts w:hint="eastAsia" w:ascii="Times New Roman" w:hAnsi="Times New Roman" w:eastAsia="方正仿宋_GBK" w:cs="方正仿宋_GBK"/>
          <w:sz w:val="32"/>
          <w:szCs w:val="32"/>
        </w:rPr>
        <w:t>文</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体</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旅</w:t>
      </w:r>
      <w:r>
        <w:rPr>
          <w:rFonts w:hint="eastAsia" w:ascii="宋体" w:hAnsi="宋体" w:eastAsia="宋体" w:cs="宋体"/>
          <w:sz w:val="32"/>
          <w:szCs w:val="32"/>
        </w:rPr>
        <w:t>”“</w:t>
      </w:r>
      <w:r>
        <w:rPr>
          <w:rFonts w:hint="eastAsia" w:ascii="Times New Roman" w:hAnsi="Times New Roman" w:eastAsia="方正仿宋_GBK" w:cs="方正仿宋_GBK"/>
          <w:sz w:val="32"/>
          <w:szCs w:val="32"/>
        </w:rPr>
        <w:t>文</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教</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旅</w:t>
      </w:r>
      <w:r>
        <w:rPr>
          <w:rFonts w:hint="eastAsia" w:ascii="宋体" w:hAnsi="宋体" w:eastAsia="宋体" w:cs="宋体"/>
          <w:sz w:val="32"/>
          <w:szCs w:val="32"/>
        </w:rPr>
        <w:t>”“</w:t>
      </w:r>
      <w:r>
        <w:rPr>
          <w:rFonts w:hint="eastAsia" w:ascii="Times New Roman" w:hAnsi="Times New Roman" w:eastAsia="方正仿宋_GBK" w:cs="方正仿宋_GBK"/>
          <w:sz w:val="32"/>
          <w:szCs w:val="32"/>
        </w:rPr>
        <w:t>文</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旅</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会</w:t>
      </w:r>
      <w:r>
        <w:rPr>
          <w:rFonts w:hint="eastAsia" w:ascii="宋体" w:hAnsi="宋体" w:eastAsia="宋体" w:cs="宋体"/>
          <w:sz w:val="32"/>
          <w:szCs w:val="32"/>
        </w:rPr>
        <w:t>”</w:t>
      </w:r>
      <w:r>
        <w:rPr>
          <w:rFonts w:hint="eastAsia" w:ascii="Times New Roman" w:hAnsi="Times New Roman" w:eastAsia="方正仿宋_GBK" w:cs="方正仿宋_GBK"/>
          <w:sz w:val="32"/>
          <w:szCs w:val="32"/>
        </w:rPr>
        <w:t>等新场景，推出达川</w:t>
      </w:r>
      <w:r>
        <w:rPr>
          <w:rFonts w:hint="eastAsia" w:ascii="宋体" w:hAnsi="宋体" w:eastAsia="宋体" w:cs="宋体"/>
          <w:sz w:val="32"/>
          <w:szCs w:val="32"/>
        </w:rPr>
        <w:t>“</w:t>
      </w:r>
      <w:r>
        <w:rPr>
          <w:rFonts w:hint="eastAsia" w:ascii="Times New Roman" w:hAnsi="Times New Roman" w:eastAsia="方正仿宋_GBK" w:cs="方正仿宋_GBK"/>
          <w:sz w:val="32"/>
          <w:szCs w:val="32"/>
        </w:rPr>
        <w:t>周末休闲</w:t>
      </w:r>
      <w:r>
        <w:rPr>
          <w:rFonts w:hint="eastAsia" w:ascii="宋体" w:hAnsi="宋体" w:eastAsia="宋体" w:cs="宋体"/>
          <w:sz w:val="32"/>
          <w:szCs w:val="32"/>
        </w:rPr>
        <w:t>”</w:t>
      </w:r>
      <w:r>
        <w:rPr>
          <w:rFonts w:hint="eastAsia" w:ascii="Times New Roman" w:hAnsi="Times New Roman" w:eastAsia="方正仿宋_GBK" w:cs="方正仿宋_GBK"/>
          <w:sz w:val="32"/>
          <w:szCs w:val="32"/>
        </w:rPr>
        <w:t>打卡地、</w:t>
      </w:r>
      <w:r>
        <w:rPr>
          <w:rFonts w:hint="eastAsia" w:ascii="宋体" w:hAnsi="宋体" w:eastAsia="宋体" w:cs="宋体"/>
          <w:sz w:val="32"/>
          <w:szCs w:val="32"/>
        </w:rPr>
        <w:t>“</w:t>
      </w:r>
      <w:r>
        <w:rPr>
          <w:rFonts w:hint="eastAsia" w:ascii="Times New Roman" w:hAnsi="Times New Roman" w:eastAsia="方正仿宋_GBK" w:cs="方正仿宋_GBK"/>
          <w:sz w:val="32"/>
          <w:szCs w:val="32"/>
        </w:rPr>
        <w:t>网红直播</w:t>
      </w:r>
      <w:r>
        <w:rPr>
          <w:rFonts w:hint="eastAsia" w:ascii="宋体" w:hAnsi="宋体" w:eastAsia="宋体" w:cs="宋体"/>
          <w:sz w:val="32"/>
          <w:szCs w:val="32"/>
        </w:rPr>
        <w:t>”</w:t>
      </w:r>
      <w:r>
        <w:rPr>
          <w:rFonts w:hint="eastAsia" w:ascii="Times New Roman" w:hAnsi="Times New Roman" w:eastAsia="方正仿宋_GBK" w:cs="方正仿宋_GBK"/>
          <w:sz w:val="32"/>
          <w:szCs w:val="32"/>
        </w:rPr>
        <w:t>打卡地、</w:t>
      </w:r>
      <w:r>
        <w:rPr>
          <w:rFonts w:hint="eastAsia" w:ascii="宋体" w:hAnsi="宋体" w:eastAsia="宋体" w:cs="宋体"/>
          <w:sz w:val="32"/>
          <w:szCs w:val="32"/>
        </w:rPr>
        <w:t>“</w:t>
      </w:r>
      <w:r>
        <w:rPr>
          <w:rFonts w:hint="eastAsia" w:ascii="Times New Roman" w:hAnsi="Times New Roman" w:eastAsia="方正仿宋_GBK" w:cs="方正仿宋_GBK"/>
          <w:sz w:val="32"/>
          <w:szCs w:val="32"/>
        </w:rPr>
        <w:t>夜经济</w:t>
      </w:r>
      <w:r>
        <w:rPr>
          <w:rFonts w:hint="eastAsia" w:ascii="宋体" w:hAnsi="宋体" w:eastAsia="宋体" w:cs="宋体"/>
          <w:sz w:val="32"/>
          <w:szCs w:val="32"/>
        </w:rPr>
        <w:t>”</w:t>
      </w:r>
      <w:r>
        <w:rPr>
          <w:rFonts w:hint="eastAsia" w:ascii="Times New Roman" w:hAnsi="Times New Roman" w:eastAsia="方正仿宋_GBK" w:cs="方正仿宋_GBK"/>
          <w:sz w:val="32"/>
          <w:szCs w:val="32"/>
        </w:rPr>
        <w:t>打卡地。支持开展消费链时尚设计与拓展，强化传统与现代时尚融合，立足</w:t>
      </w:r>
      <w:r>
        <w:rPr>
          <w:rFonts w:hint="eastAsia" w:ascii="宋体" w:hAnsi="宋体" w:eastAsia="宋体" w:cs="宋体"/>
          <w:sz w:val="32"/>
          <w:szCs w:val="32"/>
        </w:rPr>
        <w:t>“</w:t>
      </w:r>
      <w:r>
        <w:rPr>
          <w:rFonts w:hint="eastAsia" w:ascii="Times New Roman" w:hAnsi="Times New Roman" w:eastAsia="方正仿宋_GBK" w:cs="方正仿宋_GBK"/>
          <w:sz w:val="32"/>
          <w:szCs w:val="32"/>
        </w:rPr>
        <w:t>一街一品一特色</w:t>
      </w:r>
      <w:r>
        <w:rPr>
          <w:rFonts w:hint="eastAsia" w:ascii="宋体" w:hAnsi="宋体" w:eastAsia="宋体" w:cs="宋体"/>
          <w:sz w:val="32"/>
          <w:szCs w:val="32"/>
        </w:rPr>
        <w:t>”</w:t>
      </w:r>
      <w:r>
        <w:rPr>
          <w:rFonts w:hint="eastAsia" w:ascii="Times New Roman" w:hAnsi="Times New Roman" w:eastAsia="方正仿宋_GBK" w:cs="方正仿宋_GBK"/>
          <w:sz w:val="32"/>
          <w:szCs w:val="32"/>
        </w:rPr>
        <w:t>，孵化创建一批特色精品街区和商贸综合体。</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4-14</w:t>
      </w:r>
      <w:r>
        <w:rPr>
          <w:rFonts w:hint="eastAsia" w:ascii="Times New Roman" w:hAnsi="Times New Roman" w:eastAsia="方正仿宋_GBK" w:cs="方正仿宋_GBK"/>
          <w:b/>
          <w:bCs/>
          <w:sz w:val="28"/>
          <w:szCs w:val="28"/>
        </w:rPr>
        <w:t>：推进文化创意产业发展建设项目及措施</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新兴产业融合创新：发展网络文艺、网络娱乐、网络餐饮、本地化生活服务的互联网应用，构建可视化设计示范平台；打造一批农家乐</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艺术展览、农家乐</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花海、农家乐</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特色民宿、农家乐</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研学等新业态。</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培育壮大市场主体：培育一批主业突出、核心竞争力强、市场占有率高的大型文化企业集团；培育文创苗圃、孵化器、加速器，支持</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专、精、新</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中小文化企业发展；发展演艺经纪、版权代理、推介咨询、评估担保等文化市场中介服务机构；加强文化行业组织建设，组建主体多元、跨界互补的行业协会、产业联盟</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3.</w:t>
            </w:r>
            <w:r>
              <w:rPr>
                <w:rFonts w:hint="eastAsia" w:ascii="Times New Roman" w:hAnsi="Times New Roman" w:eastAsia="方正仿宋_GBK" w:cs="方正仿宋_GBK"/>
                <w:snapToGrid w:val="0"/>
                <w:sz w:val="28"/>
                <w:szCs w:val="28"/>
              </w:rPr>
              <w:t>优秀文创产品：精心打造</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巴山作家群</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巴渠诗群</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巴山画派</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巴山摄影人</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等文艺创作品牌；实施舞台艺术精品工程，深入开展</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流动舞台进基层</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非遗进校园</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活动；大力推广</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景区</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演艺</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运营模式。</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4.</w:t>
            </w:r>
            <w:r>
              <w:rPr>
                <w:rFonts w:hint="eastAsia" w:ascii="Times New Roman" w:hAnsi="Times New Roman" w:eastAsia="方正仿宋_GBK" w:cs="方正仿宋_GBK"/>
                <w:snapToGrid w:val="0"/>
                <w:sz w:val="28"/>
                <w:szCs w:val="28"/>
              </w:rPr>
              <w:t>扩大文化消费市场规模：推出达川</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周末休闲</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打卡地、</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网红直播</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打卡地、</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夜经济</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打卡地。立足</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一街一品一特色</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，孵化创建一批特色精品街区和商贸综合体。</w:t>
            </w:r>
          </w:p>
        </w:tc>
      </w:tr>
    </w:tbl>
    <w:p>
      <w:pPr>
        <w:pStyle w:val="9"/>
        <w:ind w:left="840" w:firstLine="640"/>
        <w:rPr>
          <w:rFonts w:ascii="Times New Roman" w:hAnsi="Times New Roman" w:eastAsia="方正仿宋_GBK" w:cs="Times New Roman"/>
          <w:lang w:eastAsia="zh-C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第七节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推进文旅产业跨界融合发展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推动文旅产业发展要素创新。</w:t>
      </w:r>
      <w:r>
        <w:rPr>
          <w:rFonts w:hint="eastAsia" w:ascii="Times New Roman" w:hAnsi="Times New Roman" w:eastAsia="方正仿宋_GBK" w:cs="方正仿宋_GBK"/>
          <w:sz w:val="32"/>
          <w:szCs w:val="32"/>
        </w:rPr>
        <w:t>合理布局</w:t>
      </w:r>
      <w:r>
        <w:rPr>
          <w:rFonts w:hint="eastAsia" w:ascii="宋体" w:hAnsi="宋体" w:eastAsia="宋体" w:cs="宋体"/>
          <w:sz w:val="32"/>
          <w:szCs w:val="32"/>
        </w:rPr>
        <w:t>“</w:t>
      </w:r>
      <w:r>
        <w:rPr>
          <w:rFonts w:hint="eastAsia" w:ascii="Times New Roman" w:hAnsi="Times New Roman" w:eastAsia="方正仿宋_GBK" w:cs="方正仿宋_GBK"/>
          <w:sz w:val="32"/>
          <w:szCs w:val="32"/>
        </w:rPr>
        <w:t>食、住、行、游、购、娱、商、养、学、闲、情、奇</w:t>
      </w:r>
      <w:r>
        <w:rPr>
          <w:rFonts w:hint="eastAsia" w:ascii="宋体" w:hAnsi="宋体" w:eastAsia="宋体" w:cs="宋体"/>
          <w:sz w:val="32"/>
          <w:szCs w:val="32"/>
        </w:rPr>
        <w:t>”</w:t>
      </w:r>
      <w:r>
        <w:rPr>
          <w:rFonts w:hint="eastAsia" w:ascii="Times New Roman" w:hAnsi="Times New Roman" w:eastAsia="方正仿宋_GBK" w:cs="方正仿宋_GBK"/>
          <w:sz w:val="32"/>
          <w:szCs w:val="32"/>
        </w:rPr>
        <w:t>等产业基本要素，建设全要素产业生态圈。拓宽旅游要素</w:t>
      </w:r>
      <w:r>
        <w:rPr>
          <w:rFonts w:hint="eastAsia" w:ascii="宋体" w:hAnsi="宋体" w:eastAsia="宋体" w:cs="宋体"/>
          <w:sz w:val="32"/>
          <w:szCs w:val="32"/>
        </w:rPr>
        <w:t>“</w:t>
      </w:r>
      <w:r>
        <w:rPr>
          <w:rFonts w:hint="eastAsia" w:ascii="Times New Roman" w:hAnsi="Times New Roman" w:eastAsia="方正仿宋_GBK" w:cs="方正仿宋_GBK"/>
          <w:sz w:val="32"/>
          <w:szCs w:val="32"/>
        </w:rPr>
        <w:t>外延</w:t>
      </w:r>
      <w:r>
        <w:rPr>
          <w:rFonts w:hint="eastAsia" w:ascii="宋体" w:hAnsi="宋体" w:eastAsia="宋体" w:cs="宋体"/>
          <w:sz w:val="32"/>
          <w:szCs w:val="32"/>
        </w:rPr>
        <w:t>”</w:t>
      </w:r>
      <w:r>
        <w:rPr>
          <w:rFonts w:hint="eastAsia" w:ascii="Times New Roman" w:hAnsi="Times New Roman" w:eastAsia="方正仿宋_GBK" w:cs="方正仿宋_GBK"/>
          <w:sz w:val="32"/>
          <w:szCs w:val="32"/>
        </w:rPr>
        <w:t>，推进新旧要素之间的跨界融合，打造融合型旅游新产品。积极推进特色美食街区建设，培育本土餐饮品牌。大力发展</w:t>
      </w:r>
      <w:r>
        <w:rPr>
          <w:rFonts w:hint="eastAsia" w:ascii="宋体" w:hAnsi="宋体" w:eastAsia="宋体" w:cs="宋体"/>
          <w:sz w:val="32"/>
          <w:szCs w:val="32"/>
        </w:rPr>
        <w:t>“</w:t>
      </w:r>
      <w:r>
        <w:rPr>
          <w:rFonts w:hint="eastAsia" w:ascii="Times New Roman" w:hAnsi="Times New Roman" w:eastAsia="方正仿宋_GBK" w:cs="方正仿宋_GBK"/>
          <w:sz w:val="32"/>
          <w:szCs w:val="32"/>
        </w:rPr>
        <w:t>石梯蒸鱼</w:t>
      </w:r>
      <w:r>
        <w:rPr>
          <w:rFonts w:hint="eastAsia" w:ascii="宋体" w:hAnsi="宋体" w:eastAsia="宋体" w:cs="宋体"/>
          <w:sz w:val="32"/>
          <w:szCs w:val="32"/>
        </w:rPr>
        <w:t>”“</w:t>
      </w:r>
      <w:r>
        <w:rPr>
          <w:rFonts w:hint="eastAsia" w:ascii="Times New Roman" w:hAnsi="Times New Roman" w:eastAsia="方正仿宋_GBK" w:cs="方正仿宋_GBK"/>
          <w:sz w:val="32"/>
          <w:szCs w:val="32"/>
        </w:rPr>
        <w:t>江阳酸辣鸡</w:t>
      </w:r>
      <w:r>
        <w:rPr>
          <w:rFonts w:hint="eastAsia" w:ascii="宋体" w:hAnsi="宋体" w:eastAsia="宋体" w:cs="宋体"/>
          <w:sz w:val="32"/>
          <w:szCs w:val="32"/>
        </w:rPr>
        <w:t>”“</w:t>
      </w:r>
      <w:r>
        <w:rPr>
          <w:rFonts w:hint="eastAsia" w:ascii="Times New Roman" w:hAnsi="Times New Roman" w:eastAsia="方正仿宋_GBK" w:cs="方正仿宋_GBK"/>
          <w:sz w:val="32"/>
          <w:szCs w:val="32"/>
        </w:rPr>
        <w:t>赵家肥肠</w:t>
      </w:r>
      <w:r>
        <w:rPr>
          <w:rFonts w:hint="eastAsia" w:ascii="宋体" w:hAnsi="宋体" w:eastAsia="宋体" w:cs="宋体"/>
          <w:sz w:val="32"/>
          <w:szCs w:val="32"/>
        </w:rPr>
        <w:t>”“</w:t>
      </w:r>
      <w:r>
        <w:rPr>
          <w:rFonts w:hint="eastAsia" w:ascii="Times New Roman" w:hAnsi="Times New Roman" w:eastAsia="方正仿宋_GBK" w:cs="方正仿宋_GBK"/>
          <w:sz w:val="32"/>
          <w:szCs w:val="32"/>
        </w:rPr>
        <w:t>大风羊肉</w:t>
      </w:r>
      <w:r>
        <w:rPr>
          <w:rFonts w:hint="eastAsia" w:ascii="宋体" w:hAnsi="宋体" w:eastAsia="宋体" w:cs="宋体"/>
          <w:sz w:val="32"/>
          <w:szCs w:val="32"/>
        </w:rPr>
        <w:t>”</w:t>
      </w:r>
      <w:r>
        <w:rPr>
          <w:rFonts w:hint="eastAsia" w:ascii="Times New Roman" w:hAnsi="Times New Roman" w:eastAsia="方正仿宋_GBK" w:cs="方正仿宋_GBK"/>
          <w:sz w:val="32"/>
          <w:szCs w:val="32"/>
        </w:rPr>
        <w:t>等达川名吃，打响</w:t>
      </w:r>
      <w:r>
        <w:rPr>
          <w:rFonts w:hint="eastAsia" w:ascii="宋体" w:hAnsi="宋体" w:eastAsia="宋体" w:cs="宋体"/>
          <w:sz w:val="32"/>
          <w:szCs w:val="32"/>
        </w:rPr>
        <w:t>“</w:t>
      </w:r>
      <w:r>
        <w:rPr>
          <w:rFonts w:hint="eastAsia" w:ascii="Times New Roman" w:hAnsi="Times New Roman" w:eastAsia="方正仿宋_GBK" w:cs="方正仿宋_GBK"/>
          <w:sz w:val="32"/>
          <w:szCs w:val="32"/>
        </w:rPr>
        <w:t>达川美食</w:t>
      </w:r>
      <w:r>
        <w:rPr>
          <w:rFonts w:hint="eastAsia" w:ascii="宋体" w:hAnsi="宋体" w:eastAsia="宋体" w:cs="宋体"/>
          <w:sz w:val="32"/>
          <w:szCs w:val="32"/>
        </w:rPr>
        <w:t>”</w:t>
      </w:r>
      <w:r>
        <w:rPr>
          <w:rFonts w:hint="eastAsia" w:ascii="Times New Roman" w:hAnsi="Times New Roman" w:eastAsia="方正仿宋_GBK" w:cs="方正仿宋_GBK"/>
          <w:sz w:val="32"/>
          <w:szCs w:val="32"/>
        </w:rPr>
        <w:t>品牌；积极引进高端酒店品牌，加快推进度假饭店和民宿集群建设，培育新型住宿业态，构建层次分明的多元化住宿体系。城区重点发展星级酒店、主题酒店，山地景区重点发展度假饭店，乡村重点发展民宿、家庭旅馆和星空房、泡泡房、自驾微营地等新业态。加快特色旅游商品开发，积极营造购物新场景，创新购物形式。重点发展特色文创街区、文创小店等购物场所，重点建设网络电商平台。重点发展酒吧街、民俗演艺中心、小型主题秀场、州河夜经济等项目。</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推进</w:t>
      </w:r>
      <w:r>
        <w:rPr>
          <w:rFonts w:hint="eastAsia" w:ascii="宋体" w:hAnsi="宋体" w:eastAsia="宋体" w:cs="宋体"/>
          <w:b/>
          <w:bCs/>
          <w:sz w:val="32"/>
          <w:szCs w:val="32"/>
        </w:rPr>
        <w:t>“</w:t>
      </w:r>
      <w:r>
        <w:rPr>
          <w:rFonts w:hint="eastAsia" w:ascii="Times New Roman" w:hAnsi="Times New Roman" w:eastAsia="方正仿宋_GBK" w:cs="方正仿宋_GBK"/>
          <w:b/>
          <w:bCs/>
          <w:sz w:val="32"/>
          <w:szCs w:val="32"/>
        </w:rPr>
        <w:t>文旅</w:t>
      </w:r>
      <w:r>
        <w:rPr>
          <w:rFonts w:ascii="Times New Roman" w:hAnsi="Times New Roman" w:eastAsia="方正仿宋_GBK" w:cs="Times New Roman"/>
          <w:b/>
          <w:bCs/>
          <w:sz w:val="32"/>
          <w:szCs w:val="32"/>
        </w:rPr>
        <w:t>+</w:t>
      </w:r>
      <w:r>
        <w:rPr>
          <w:rFonts w:hint="eastAsia" w:ascii="宋体" w:hAnsi="宋体" w:eastAsia="宋体" w:cs="宋体"/>
          <w:b/>
          <w:bCs/>
          <w:sz w:val="32"/>
          <w:szCs w:val="32"/>
        </w:rPr>
        <w:t>”</w:t>
      </w:r>
      <w:r>
        <w:rPr>
          <w:rFonts w:ascii="Times New Roman" w:hAnsi="Times New Roman" w:eastAsia="方正仿宋_GBK" w:cs="Times New Roman"/>
          <w:b/>
          <w:bCs/>
          <w:sz w:val="32"/>
          <w:szCs w:val="32"/>
        </w:rPr>
        <w:t xml:space="preserve"> </w:t>
      </w:r>
      <w:r>
        <w:rPr>
          <w:rFonts w:hint="eastAsia" w:ascii="宋体" w:hAnsi="宋体" w:eastAsia="宋体" w:cs="宋体"/>
          <w:b/>
          <w:bCs/>
          <w:sz w:val="32"/>
          <w:szCs w:val="32"/>
        </w:rPr>
        <w:t>“</w:t>
      </w:r>
      <w:r>
        <w:rPr>
          <w:rFonts w:hint="eastAsia" w:ascii="Times New Roman" w:hAnsi="Times New Roman" w:eastAsia="方正仿宋_GBK" w:cs="方正仿宋_GBK"/>
          <w:b/>
          <w:bCs/>
          <w:sz w:val="32"/>
          <w:szCs w:val="32"/>
        </w:rPr>
        <w:t>体育</w:t>
      </w:r>
      <w:r>
        <w:rPr>
          <w:rFonts w:ascii="Times New Roman" w:hAnsi="Times New Roman" w:eastAsia="方正仿宋_GBK" w:cs="Times New Roman"/>
          <w:b/>
          <w:bCs/>
          <w:sz w:val="32"/>
          <w:szCs w:val="32"/>
        </w:rPr>
        <w:t>+</w:t>
      </w:r>
      <w:r>
        <w:rPr>
          <w:rFonts w:hint="eastAsia" w:ascii="宋体" w:hAnsi="宋体" w:eastAsia="宋体" w:cs="宋体"/>
          <w:b/>
          <w:bCs/>
          <w:sz w:val="32"/>
          <w:szCs w:val="32"/>
        </w:rPr>
        <w:t>”“</w:t>
      </w:r>
      <w:r>
        <w:rPr>
          <w:rFonts w:ascii="Times New Roman" w:hAnsi="Times New Roman" w:eastAsia="方正仿宋_GBK" w:cs="Times New Roman"/>
          <w:b/>
          <w:bCs/>
          <w:sz w:val="32"/>
          <w:szCs w:val="32"/>
        </w:rPr>
        <w:t>+</w:t>
      </w:r>
      <w:r>
        <w:rPr>
          <w:rFonts w:hint="eastAsia" w:ascii="Times New Roman" w:hAnsi="Times New Roman" w:eastAsia="方正仿宋_GBK" w:cs="方正仿宋_GBK"/>
          <w:b/>
          <w:bCs/>
          <w:sz w:val="32"/>
          <w:szCs w:val="32"/>
        </w:rPr>
        <w:t>文旅</w:t>
      </w:r>
      <w:r>
        <w:rPr>
          <w:rFonts w:hint="eastAsia" w:ascii="宋体" w:hAnsi="宋体" w:eastAsia="宋体" w:cs="宋体"/>
          <w:b/>
          <w:bCs/>
          <w:sz w:val="32"/>
          <w:szCs w:val="32"/>
        </w:rPr>
        <w:t>”</w:t>
      </w:r>
      <w:r>
        <w:rPr>
          <w:rFonts w:hint="eastAsia" w:ascii="Times New Roman" w:hAnsi="Times New Roman" w:eastAsia="方正仿宋_GBK" w:cs="方正仿宋_GBK"/>
          <w:b/>
          <w:bCs/>
          <w:sz w:val="32"/>
          <w:szCs w:val="32"/>
        </w:rPr>
        <w:t>产业融合发展。</w:t>
      </w:r>
      <w:r>
        <w:rPr>
          <w:rFonts w:hint="eastAsia" w:ascii="Times New Roman" w:hAnsi="Times New Roman" w:eastAsia="方正仿宋_GBK" w:cs="方正仿宋_GBK"/>
          <w:sz w:val="32"/>
          <w:szCs w:val="32"/>
        </w:rPr>
        <w:t>推进</w:t>
      </w:r>
      <w:r>
        <w:rPr>
          <w:rFonts w:hint="eastAsia" w:ascii="宋体" w:hAnsi="宋体" w:eastAsia="宋体" w:cs="宋体"/>
          <w:sz w:val="32"/>
          <w:szCs w:val="32"/>
        </w:rPr>
        <w:t>“</w:t>
      </w:r>
      <w:r>
        <w:rPr>
          <w:rFonts w:hint="eastAsia" w:ascii="Times New Roman" w:hAnsi="Times New Roman" w:eastAsia="方正仿宋_GBK" w:cs="方正仿宋_GBK"/>
          <w:sz w:val="32"/>
          <w:szCs w:val="32"/>
        </w:rPr>
        <w:t>文旅</w:t>
      </w:r>
      <w:r>
        <w:rPr>
          <w:rFonts w:ascii="Times New Roman" w:hAnsi="Times New Roman" w:eastAsia="方正仿宋_GBK" w:cs="Times New Roman"/>
          <w:sz w:val="32"/>
          <w:szCs w:val="32"/>
        </w:rPr>
        <w:t>+</w:t>
      </w:r>
      <w:r>
        <w:rPr>
          <w:rFonts w:hint="eastAsia" w:ascii="宋体" w:hAnsi="宋体" w:eastAsia="宋体" w:cs="宋体"/>
          <w:sz w:val="32"/>
          <w:szCs w:val="32"/>
        </w:rPr>
        <w:t>”“</w:t>
      </w:r>
      <w:r>
        <w:rPr>
          <w:rFonts w:hint="eastAsia" w:ascii="Times New Roman" w:hAnsi="Times New Roman" w:eastAsia="方正仿宋_GBK" w:cs="方正仿宋_GBK"/>
          <w:sz w:val="32"/>
          <w:szCs w:val="32"/>
        </w:rPr>
        <w:t>体育</w:t>
      </w:r>
      <w:r>
        <w:rPr>
          <w:rFonts w:ascii="Times New Roman" w:hAnsi="Times New Roman" w:eastAsia="方正仿宋_GBK" w:cs="Times New Roman"/>
          <w:sz w:val="32"/>
          <w:szCs w:val="32"/>
        </w:rPr>
        <w:t>+</w:t>
      </w:r>
      <w:r>
        <w:rPr>
          <w:rFonts w:hint="eastAsia" w:ascii="宋体" w:hAnsi="宋体" w:eastAsia="宋体" w:cs="宋体"/>
          <w:sz w:val="32"/>
          <w:szCs w:val="32"/>
        </w:rPr>
        <w:t>”“</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文旅</w:t>
      </w:r>
      <w:r>
        <w:rPr>
          <w:rFonts w:hint="eastAsia" w:ascii="宋体" w:hAnsi="宋体" w:eastAsia="宋体" w:cs="宋体"/>
          <w:sz w:val="32"/>
          <w:szCs w:val="32"/>
        </w:rPr>
        <w:t>”</w:t>
      </w:r>
      <w:r>
        <w:rPr>
          <w:rFonts w:hint="eastAsia" w:ascii="Times New Roman" w:hAnsi="Times New Roman" w:eastAsia="方正仿宋_GBK" w:cs="方正仿宋_GBK"/>
          <w:sz w:val="32"/>
          <w:szCs w:val="32"/>
        </w:rPr>
        <w:t>，推动文旅与其他产业跨界融合、协同发展，拓宽旅游产业边界，催生新业态、延伸产业链、创造新价值。发展乡村旅游、康养旅游、体育旅游、研学旅游，拓展旅游新市场。加快推进以数字化、网络化、智能化为特征的智慧旅游。加快建设智慧景区，推进预约、错峰、限量常态化，提高管理效率。促进文体旅产业</w:t>
      </w:r>
      <w:r>
        <w:rPr>
          <w:rFonts w:hint="eastAsia" w:ascii="宋体" w:hAnsi="宋体" w:eastAsia="宋体" w:cs="宋体"/>
          <w:sz w:val="32"/>
          <w:szCs w:val="32"/>
        </w:rPr>
        <w:t>“</w:t>
      </w:r>
      <w:r>
        <w:rPr>
          <w:rFonts w:hint="eastAsia" w:ascii="Times New Roman" w:hAnsi="Times New Roman" w:eastAsia="方正仿宋_GBK" w:cs="方正仿宋_GBK"/>
          <w:sz w:val="32"/>
          <w:szCs w:val="32"/>
        </w:rPr>
        <w:t>上云、用数、赋智</w:t>
      </w:r>
      <w:r>
        <w:rPr>
          <w:rFonts w:hint="eastAsia" w:ascii="宋体" w:hAnsi="宋体" w:eastAsia="宋体" w:cs="宋体"/>
          <w:sz w:val="32"/>
          <w:szCs w:val="32"/>
        </w:rPr>
        <w:t>”</w:t>
      </w:r>
      <w:r>
        <w:rPr>
          <w:rFonts w:hint="eastAsia" w:ascii="Times New Roman" w:hAnsi="Times New Roman" w:eastAsia="方正仿宋_GBK" w:cs="方正仿宋_GBK"/>
          <w:sz w:val="32"/>
          <w:szCs w:val="32"/>
        </w:rPr>
        <w:t>，运用大数据、短视频、直播、虚拟现实等手段，创新文旅消费场景，发展夜间文旅经济，推进体育赛事经济，引导和培育网络消费、定制消费、智能消费等消费新热点新模式。推动文旅产品上线上网，鼓励各类互联网平台开发文旅功能和产品，支持有条件的文化和旅游企业平台化拓展。</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4-15</w:t>
      </w:r>
      <w:r>
        <w:rPr>
          <w:rFonts w:hint="eastAsia" w:ascii="Times New Roman" w:hAnsi="Times New Roman" w:eastAsia="方正仿宋_GBK" w:cs="方正仿宋_GBK"/>
          <w:b/>
          <w:bCs/>
          <w:sz w:val="28"/>
          <w:szCs w:val="28"/>
        </w:rPr>
        <w:t>：推进文旅产业跨界融合发展建设项目及措施</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发展要素创新：大力发展</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石梯蒸鱼</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江阳酸辣鸡</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赵家肥肠</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等达川名吃，打响</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达川美食</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品牌；发展星级酒店、主题酒店、度假饭店、民宿、家庭旅馆和星空房、泡泡房、自驾微营地等新业态。发展特色文创街区、文创小店，建设网络电商平台。发展酒吧街、民俗演艺中心、小型主题秀场、州河夜经济等。</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2.</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文旅</w:t>
            </w:r>
            <w:r>
              <w:rPr>
                <w:rFonts w:ascii="Times New Roman" w:hAnsi="Times New Roman" w:eastAsia="方正仿宋_GBK" w:cs="Times New Roman"/>
                <w:snapToGrid w:val="0"/>
                <w:sz w:val="28"/>
                <w:szCs w:val="28"/>
              </w:rPr>
              <w:t>+</w:t>
            </w:r>
            <w:r>
              <w:rPr>
                <w:rFonts w:hint="eastAsia" w:ascii="宋体" w:hAnsi="宋体" w:eastAsia="宋体" w:cs="宋体"/>
                <w:snapToGrid w:val="0"/>
                <w:sz w:val="28"/>
                <w:szCs w:val="28"/>
              </w:rPr>
              <w:t>”“</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文旅</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产业融合：新建和提升</w:t>
            </w:r>
            <w:r>
              <w:rPr>
                <w:rFonts w:ascii="Times New Roman" w:hAnsi="Times New Roman" w:eastAsia="方正仿宋_GBK" w:cs="Times New Roman"/>
                <w:snapToGrid w:val="0"/>
                <w:sz w:val="28"/>
                <w:szCs w:val="28"/>
              </w:rPr>
              <w:t>11</w:t>
            </w:r>
            <w:r>
              <w:rPr>
                <w:rFonts w:hint="eastAsia" w:ascii="Times New Roman" w:hAnsi="Times New Roman" w:eastAsia="方正仿宋_GBK" w:cs="方正仿宋_GBK"/>
                <w:snapToGrid w:val="0"/>
                <w:sz w:val="28"/>
                <w:szCs w:val="28"/>
              </w:rPr>
              <w:t>个现代农业示范园，争创国、省级现代农业示范园</w:t>
            </w:r>
            <w:r>
              <w:rPr>
                <w:rFonts w:ascii="Times New Roman" w:hAnsi="Times New Roman" w:eastAsia="方正仿宋_GBK" w:cs="Times New Roman"/>
                <w:snapToGrid w:val="0"/>
                <w:sz w:val="28"/>
                <w:szCs w:val="28"/>
              </w:rPr>
              <w:t>4</w:t>
            </w:r>
            <w:r>
              <w:rPr>
                <w:rFonts w:hint="eastAsia" w:ascii="Times New Roman" w:hAnsi="Times New Roman" w:eastAsia="方正仿宋_GBK" w:cs="方正仿宋_GBK"/>
                <w:snapToGrid w:val="0"/>
                <w:sz w:val="28"/>
                <w:szCs w:val="28"/>
              </w:rPr>
              <w:t>个；培育</w:t>
            </w:r>
            <w:r>
              <w:rPr>
                <w:rFonts w:ascii="Times New Roman" w:hAnsi="Times New Roman" w:eastAsia="方正仿宋_GBK" w:cs="Times New Roman"/>
                <w:snapToGrid w:val="0"/>
                <w:sz w:val="28"/>
                <w:szCs w:val="28"/>
              </w:rPr>
              <w:t>1-2</w:t>
            </w:r>
            <w:r>
              <w:rPr>
                <w:rFonts w:hint="eastAsia" w:ascii="Times New Roman" w:hAnsi="Times New Roman" w:eastAsia="方正仿宋_GBK" w:cs="方正仿宋_GBK"/>
                <w:snapToGrid w:val="0"/>
                <w:sz w:val="28"/>
                <w:szCs w:val="28"/>
              </w:rPr>
              <w:t>处国家休闲农业与乡村旅游点、</w:t>
            </w:r>
            <w:r>
              <w:rPr>
                <w:rFonts w:ascii="Times New Roman" w:hAnsi="Times New Roman" w:eastAsia="方正仿宋_GBK" w:cs="Times New Roman"/>
                <w:snapToGrid w:val="0"/>
                <w:sz w:val="28"/>
                <w:szCs w:val="28"/>
              </w:rPr>
              <w:t>4-5</w:t>
            </w:r>
            <w:r>
              <w:rPr>
                <w:rFonts w:hint="eastAsia" w:ascii="Times New Roman" w:hAnsi="Times New Roman" w:eastAsia="方正仿宋_GBK" w:cs="方正仿宋_GBK"/>
                <w:snapToGrid w:val="0"/>
                <w:sz w:val="28"/>
                <w:szCs w:val="28"/>
              </w:rPr>
              <w:t>个</w:t>
            </w:r>
            <w:r>
              <w:rPr>
                <w:rFonts w:ascii="Times New Roman" w:hAnsi="Times New Roman" w:eastAsia="方正仿宋_GBK" w:cs="Times New Roman"/>
                <w:snapToGrid w:val="0"/>
                <w:sz w:val="28"/>
                <w:szCs w:val="28"/>
              </w:rPr>
              <w:t>AAA</w:t>
            </w:r>
            <w:r>
              <w:rPr>
                <w:rFonts w:hint="eastAsia" w:ascii="Times New Roman" w:hAnsi="Times New Roman" w:eastAsia="方正仿宋_GBK" w:cs="方正仿宋_GBK"/>
                <w:snapToGrid w:val="0"/>
                <w:sz w:val="28"/>
                <w:szCs w:val="28"/>
              </w:rPr>
              <w:t>级景区、</w:t>
            </w:r>
            <w:r>
              <w:rPr>
                <w:rFonts w:ascii="Times New Roman" w:hAnsi="Times New Roman" w:eastAsia="方正仿宋_GBK" w:cs="Times New Roman"/>
                <w:snapToGrid w:val="0"/>
                <w:sz w:val="28"/>
                <w:szCs w:val="28"/>
              </w:rPr>
              <w:t>100</w:t>
            </w:r>
            <w:r>
              <w:rPr>
                <w:rFonts w:hint="eastAsia" w:ascii="Times New Roman" w:hAnsi="Times New Roman" w:eastAsia="方正仿宋_GBK" w:cs="方正仿宋_GBK"/>
                <w:snapToGrid w:val="0"/>
                <w:sz w:val="28"/>
                <w:szCs w:val="28"/>
              </w:rPr>
              <w:t>家体验休闲家庭农场；全力打造铁山、雷音铺</w:t>
            </w: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个森林公园；依托沙滩河、九龙湖等水利风景区、巴河九节滩水电站和巴河、州河等水系，发挥教育基地功能，建设水利科普展览馆、水文化宣传教育基地等；积极推进三里坪巴文化旅游产业园建设，加快建设石桥烧火龙和翻山铰子、黄麻纸、百节泥人道等非遗传承（培训）中心（基地）建设；建设仙女山温泉康养旅游基地和中华银杏康养度假区。大力发展山地越野、马拉松、全民健身日、山地自行车、徒步、山地滑翔、野外探险、户外露营等山地户外健身运动，开展皮划艇、漂流系列、龙舟系列赛等水上运动。</w:t>
            </w:r>
          </w:p>
        </w:tc>
      </w:tr>
    </w:tbl>
    <w:p>
      <w:pPr>
        <w:pStyle w:val="9"/>
        <w:ind w:left="840" w:firstLine="640"/>
        <w:rPr>
          <w:rFonts w:ascii="Times New Roman" w:hAnsi="Times New Roman" w:eastAsia="方正仿宋_GBK" w:cs="Times New Roman"/>
          <w:lang w:eastAsia="zh-C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第八节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推进文旅服务功能提升</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打造高效的旅游交通网络。</w:t>
      </w:r>
      <w:r>
        <w:rPr>
          <w:rFonts w:hint="eastAsia" w:ascii="Times New Roman" w:hAnsi="Times New Roman" w:eastAsia="方正仿宋_GBK" w:cs="方正仿宋_GBK"/>
          <w:sz w:val="32"/>
          <w:szCs w:val="32"/>
        </w:rPr>
        <w:t>加快布局旅游交通网络，提升旅游交通基础设施建设水平。加快达州金娅机场建设，进一步缩短达川区与成都、西安、武汉、上海、北京等各大城市、乃至国外的时间距离；加快国、省道的提升，提高达川区与周边县市的连通性。加快完善旅游交通换乘体系，积极完善停车系统和旅游专线，提升旅游交通标识系统，积极推进旅游交通掌上预定系统和自驾车租赁等个性化服务。进一步完善自驾体系，培育</w:t>
      </w:r>
      <w:r>
        <w:rPr>
          <w:rFonts w:ascii="Times New Roman" w:hAnsi="Times New Roman" w:eastAsia="方正仿宋_GBK" w:cs="Times New Roman"/>
          <w:sz w:val="32"/>
          <w:szCs w:val="32"/>
        </w:rPr>
        <w:t>8</w:t>
      </w:r>
      <w:r>
        <w:rPr>
          <w:rFonts w:hint="eastAsia" w:ascii="Times New Roman" w:hAnsi="Times New Roman" w:eastAsia="方正仿宋_GBK" w:cs="方正仿宋_GBK"/>
          <w:sz w:val="32"/>
          <w:szCs w:val="32"/>
        </w:rPr>
        <w:t>条自驾风景道，沿州河、巴河滨河绿化打造百里川东山水特色健身绿道。</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加快建设智慧旅游体系。</w:t>
      </w:r>
      <w:r>
        <w:rPr>
          <w:rFonts w:hint="eastAsia" w:ascii="Times New Roman" w:hAnsi="Times New Roman" w:eastAsia="方正仿宋_GBK" w:cs="方正仿宋_GBK"/>
          <w:sz w:val="32"/>
          <w:szCs w:val="32"/>
        </w:rPr>
        <w:t>充分运用</w:t>
      </w:r>
      <w:r>
        <w:rPr>
          <w:rFonts w:ascii="Times New Roman" w:hAnsi="Times New Roman" w:eastAsia="方正仿宋_GBK" w:cs="Times New Roman"/>
          <w:sz w:val="32"/>
          <w:szCs w:val="32"/>
        </w:rPr>
        <w:t>5G</w:t>
      </w:r>
      <w:r>
        <w:rPr>
          <w:rFonts w:hint="eastAsia" w:ascii="Times New Roman" w:hAnsi="Times New Roman" w:eastAsia="方正仿宋_GBK" w:cs="方正仿宋_GBK"/>
          <w:sz w:val="32"/>
          <w:szCs w:val="32"/>
        </w:rPr>
        <w:t>、物联网、云计算、大数据、地理信息系统（</w:t>
      </w:r>
      <w:r>
        <w:rPr>
          <w:rFonts w:ascii="Times New Roman" w:hAnsi="Times New Roman" w:eastAsia="方正仿宋_GBK" w:cs="Times New Roman"/>
          <w:sz w:val="32"/>
          <w:szCs w:val="32"/>
        </w:rPr>
        <w:t>GIS</w:t>
      </w:r>
      <w:r>
        <w:rPr>
          <w:rFonts w:hint="eastAsia" w:ascii="Times New Roman" w:hAnsi="Times New Roman" w:eastAsia="方正仿宋_GBK" w:cs="方正仿宋_GBK"/>
          <w:sz w:val="32"/>
          <w:szCs w:val="32"/>
        </w:rPr>
        <w:t>）和北斗系统（</w:t>
      </w:r>
      <w:r>
        <w:rPr>
          <w:rFonts w:ascii="Times New Roman" w:hAnsi="Times New Roman" w:eastAsia="方正仿宋_GBK" w:cs="Times New Roman"/>
          <w:sz w:val="32"/>
          <w:szCs w:val="32"/>
        </w:rPr>
        <w:t>BDS</w:t>
      </w:r>
      <w:r>
        <w:rPr>
          <w:rFonts w:hint="eastAsia" w:ascii="Times New Roman" w:hAnsi="Times New Roman" w:eastAsia="方正仿宋_GBK" w:cs="方正仿宋_GBK"/>
          <w:sz w:val="32"/>
          <w:szCs w:val="32"/>
        </w:rPr>
        <w:t>）等现代信息技术，加快建设达川全域旅游智慧云平台，实现旅游信息的自动采集和智慧化管理。推动重点文化体育和旅游场所</w:t>
      </w:r>
      <w:r>
        <w:rPr>
          <w:rFonts w:ascii="Times New Roman" w:hAnsi="Times New Roman" w:eastAsia="方正仿宋_GBK" w:cs="Times New Roman"/>
          <w:sz w:val="32"/>
          <w:szCs w:val="32"/>
        </w:rPr>
        <w:t>5G</w:t>
      </w:r>
      <w:r>
        <w:rPr>
          <w:rFonts w:hint="eastAsia" w:ascii="Times New Roman" w:hAnsi="Times New Roman" w:eastAsia="方正仿宋_GBK" w:cs="方正仿宋_GBK"/>
          <w:sz w:val="32"/>
          <w:szCs w:val="32"/>
        </w:rPr>
        <w:t>网络全覆盖，依托大数据加强市场监管。充分整合公安、国土、交通、气象、工商等相关部门数据信息，建设和完善旅游气象观测网与旅游气象预报服务系统、网络数据监测分析系统、旅游车辆统计分析系统、旅游投诉、旅游救援和生态环境监测大数据平台。通过旅游门户网站、智能移动终端、官方微博微信等平台实时发布旅游集成资讯。加快推进智慧出行、智慧导览、智慧购物、智慧环境管理等智慧旅游产品的开发及应用，建设智慧旅游景区。推进预约、错峰、限量常态化，推进在线预约预订、分时段预约游览、智能导游导览等服务举措，不断提升景区的旅游品质。加快建设</w:t>
      </w:r>
      <w:r>
        <w:rPr>
          <w:rFonts w:hint="eastAsia" w:ascii="宋体" w:hAnsi="宋体" w:eastAsia="宋体" w:cs="宋体"/>
          <w:sz w:val="32"/>
          <w:szCs w:val="32"/>
        </w:rPr>
        <w:t>“</w:t>
      </w:r>
      <w:r>
        <w:rPr>
          <w:rFonts w:hint="eastAsia" w:ascii="Times New Roman" w:hAnsi="Times New Roman" w:eastAsia="方正仿宋_GBK" w:cs="方正仿宋_GBK"/>
          <w:sz w:val="32"/>
          <w:szCs w:val="32"/>
        </w:rPr>
        <w:t>一部手机游达川</w:t>
      </w:r>
      <w:r>
        <w:rPr>
          <w:rFonts w:hint="eastAsia" w:ascii="宋体" w:hAnsi="宋体" w:eastAsia="宋体" w:cs="宋体"/>
          <w:sz w:val="32"/>
          <w:szCs w:val="32"/>
        </w:rPr>
        <w:t>”</w:t>
      </w:r>
      <w:r>
        <w:rPr>
          <w:rFonts w:hint="eastAsia" w:ascii="Times New Roman" w:hAnsi="Times New Roman" w:eastAsia="方正仿宋_GBK" w:cs="方正仿宋_GBK"/>
          <w:sz w:val="32"/>
          <w:szCs w:val="32"/>
        </w:rPr>
        <w:t>智慧旅游平台，打造一批智慧旅游示范工程。</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大力提升文化旅游公共服务水平。</w:t>
      </w:r>
      <w:r>
        <w:rPr>
          <w:rFonts w:hint="eastAsia" w:ascii="Times New Roman" w:hAnsi="Times New Roman" w:eastAsia="方正仿宋_GBK" w:cs="方正仿宋_GBK"/>
          <w:sz w:val="32"/>
          <w:szCs w:val="32"/>
        </w:rPr>
        <w:t>推动建设城区一站式游客服务中心和旅游咨询服务中心，开发建设文化旅游综合信息管理服务平台。加快发展星级饭店、度假饭店、主题酒店、特色民宿、汽车旅馆、露营基地等服务设施，推动旅游景区生态停车场、旅游厕所、导示系统等领域标准化建设，提升文旅行业标准化水平。实施文明旅游行动计划，推进文旅志愿者服务站建设，提升文旅便民惠民利民服务水平。加强文旅市场监管，实施旅游服务质量提升计划，通过文旅市场投诉举报渠道，加强执法队伍建设，提升综合监管水平，切实增强文化和旅游市场秩序治理能力，推进文旅市场信用体系建设。</w:t>
      </w:r>
    </w:p>
    <w:p>
      <w:pPr>
        <w:adjustRightInd w:val="0"/>
        <w:snapToGrid w:val="0"/>
        <w:spacing w:line="578" w:lineRule="exact"/>
        <w:jc w:val="center"/>
        <w:rPr>
          <w:rFonts w:ascii="Times New Roman" w:hAnsi="Times New Roman" w:eastAsia="方正仿宋_GBK" w:cs="Times New Roman"/>
          <w:b/>
          <w:bCs/>
          <w:sz w:val="28"/>
          <w:szCs w:val="28"/>
        </w:rPr>
      </w:pPr>
      <w:r>
        <w:rPr>
          <w:rFonts w:hint="eastAsia" w:ascii="Times New Roman" w:hAnsi="Times New Roman" w:eastAsia="方正仿宋_GBK" w:cs="方正仿宋_GBK"/>
          <w:b/>
          <w:bCs/>
          <w:sz w:val="28"/>
          <w:szCs w:val="28"/>
        </w:rPr>
        <w:t>专栏</w:t>
      </w:r>
      <w:r>
        <w:rPr>
          <w:rFonts w:ascii="Times New Roman" w:hAnsi="Times New Roman" w:eastAsia="方正仿宋_GBK" w:cs="Times New Roman"/>
          <w:b/>
          <w:bCs/>
          <w:sz w:val="28"/>
          <w:szCs w:val="28"/>
        </w:rPr>
        <w:t>4-16</w:t>
      </w:r>
      <w:r>
        <w:rPr>
          <w:rFonts w:hint="eastAsia" w:ascii="Times New Roman" w:hAnsi="Times New Roman" w:eastAsia="方正仿宋_GBK" w:cs="方正仿宋_GBK"/>
          <w:b/>
          <w:bCs/>
          <w:sz w:val="28"/>
          <w:szCs w:val="28"/>
        </w:rPr>
        <w:t>：推进文旅服务功能提升建设项目及措施</w:t>
      </w:r>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755" w:type="dxa"/>
            <w:vAlign w:val="center"/>
          </w:tcPr>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1.</w:t>
            </w:r>
            <w:r>
              <w:rPr>
                <w:rFonts w:hint="eastAsia" w:ascii="Times New Roman" w:hAnsi="Times New Roman" w:eastAsia="方正仿宋_GBK" w:cs="方正仿宋_GBK"/>
                <w:snapToGrid w:val="0"/>
                <w:sz w:val="28"/>
                <w:szCs w:val="28"/>
              </w:rPr>
              <w:t>旅游交通设施提升：加快达州金娅机场建设，提升改造</w:t>
            </w:r>
            <w:r>
              <w:rPr>
                <w:rFonts w:ascii="Times New Roman" w:hAnsi="Times New Roman" w:eastAsia="方正仿宋_GBK" w:cs="Times New Roman"/>
                <w:snapToGrid w:val="0"/>
                <w:sz w:val="28"/>
                <w:szCs w:val="28"/>
              </w:rPr>
              <w:t>G542</w:t>
            </w:r>
            <w:r>
              <w:rPr>
                <w:rFonts w:hint="eastAsia" w:ascii="Times New Roman" w:hAnsi="Times New Roman" w:eastAsia="方正仿宋_GBK" w:cs="方正仿宋_GBK"/>
                <w:snapToGrid w:val="0"/>
                <w:sz w:val="28"/>
                <w:szCs w:val="28"/>
              </w:rPr>
              <w:t>、</w:t>
            </w:r>
            <w:r>
              <w:rPr>
                <w:rFonts w:ascii="Times New Roman" w:hAnsi="Times New Roman" w:eastAsia="方正仿宋_GBK" w:cs="Times New Roman"/>
                <w:snapToGrid w:val="0"/>
                <w:sz w:val="28"/>
                <w:szCs w:val="28"/>
              </w:rPr>
              <w:t>G210</w:t>
            </w:r>
            <w:r>
              <w:rPr>
                <w:rFonts w:hint="eastAsia" w:ascii="Times New Roman" w:hAnsi="Times New Roman" w:eastAsia="方正仿宋_GBK" w:cs="方正仿宋_GBK"/>
                <w:snapToGrid w:val="0"/>
                <w:sz w:val="28"/>
                <w:szCs w:val="28"/>
              </w:rPr>
              <w:t>线，优先升级城区至平昌界、城区至麻柳段，加大通行能力；按照二级公路标准，加快省道</w:t>
            </w:r>
            <w:r>
              <w:rPr>
                <w:rFonts w:ascii="Times New Roman" w:hAnsi="Times New Roman" w:eastAsia="方正仿宋_GBK" w:cs="Times New Roman"/>
                <w:snapToGrid w:val="0"/>
                <w:sz w:val="28"/>
                <w:szCs w:val="28"/>
              </w:rPr>
              <w:t>202</w:t>
            </w:r>
            <w:r>
              <w:rPr>
                <w:rFonts w:hint="eastAsia" w:ascii="Times New Roman" w:hAnsi="Times New Roman" w:eastAsia="方正仿宋_GBK" w:cs="方正仿宋_GBK"/>
                <w:snapToGrid w:val="0"/>
                <w:sz w:val="28"/>
                <w:szCs w:val="28"/>
              </w:rPr>
              <w:t>、省道</w:t>
            </w:r>
            <w:r>
              <w:rPr>
                <w:rFonts w:ascii="Times New Roman" w:hAnsi="Times New Roman" w:eastAsia="方正仿宋_GBK" w:cs="Times New Roman"/>
                <w:snapToGrid w:val="0"/>
                <w:sz w:val="28"/>
                <w:szCs w:val="28"/>
              </w:rPr>
              <w:t>203</w:t>
            </w:r>
            <w:r>
              <w:rPr>
                <w:rFonts w:hint="eastAsia" w:ascii="Times New Roman" w:hAnsi="Times New Roman" w:eastAsia="方正仿宋_GBK" w:cs="方正仿宋_GBK"/>
                <w:snapToGrid w:val="0"/>
                <w:sz w:val="28"/>
                <w:szCs w:val="28"/>
              </w:rPr>
              <w:t>、省道</w:t>
            </w:r>
            <w:r>
              <w:rPr>
                <w:rFonts w:ascii="Times New Roman" w:hAnsi="Times New Roman" w:eastAsia="方正仿宋_GBK" w:cs="Times New Roman"/>
                <w:snapToGrid w:val="0"/>
                <w:sz w:val="28"/>
                <w:szCs w:val="28"/>
              </w:rPr>
              <w:t>204</w:t>
            </w:r>
            <w:r>
              <w:rPr>
                <w:rFonts w:hint="eastAsia" w:ascii="Times New Roman" w:hAnsi="Times New Roman" w:eastAsia="方正仿宋_GBK" w:cs="方正仿宋_GBK"/>
                <w:snapToGrid w:val="0"/>
                <w:sz w:val="28"/>
                <w:szCs w:val="28"/>
              </w:rPr>
              <w:t>、省道</w:t>
            </w:r>
            <w:r>
              <w:rPr>
                <w:rFonts w:ascii="Times New Roman" w:hAnsi="Times New Roman" w:eastAsia="方正仿宋_GBK" w:cs="Times New Roman"/>
                <w:snapToGrid w:val="0"/>
                <w:sz w:val="28"/>
                <w:szCs w:val="28"/>
              </w:rPr>
              <w:t>305</w:t>
            </w:r>
            <w:r>
              <w:rPr>
                <w:rFonts w:hint="eastAsia" w:ascii="Times New Roman" w:hAnsi="Times New Roman" w:eastAsia="方正仿宋_GBK" w:cs="方正仿宋_GBK"/>
                <w:snapToGrid w:val="0"/>
                <w:sz w:val="28"/>
                <w:szCs w:val="28"/>
              </w:rPr>
              <w:t>线的建设，提高达川区与周边县市的联通性。培育</w:t>
            </w:r>
            <w:r>
              <w:rPr>
                <w:rFonts w:ascii="Times New Roman" w:hAnsi="Times New Roman" w:eastAsia="方正仿宋_GBK" w:cs="Times New Roman"/>
                <w:snapToGrid w:val="0"/>
                <w:sz w:val="28"/>
                <w:szCs w:val="28"/>
              </w:rPr>
              <w:t>8</w:t>
            </w:r>
            <w:r>
              <w:rPr>
                <w:rFonts w:hint="eastAsia" w:ascii="Times New Roman" w:hAnsi="Times New Roman" w:eastAsia="方正仿宋_GBK" w:cs="方正仿宋_GBK"/>
                <w:snapToGrid w:val="0"/>
                <w:sz w:val="28"/>
                <w:szCs w:val="28"/>
              </w:rPr>
              <w:t>条（</w:t>
            </w:r>
            <w:r>
              <w:rPr>
                <w:rFonts w:ascii="Times New Roman" w:hAnsi="Times New Roman" w:eastAsia="方正仿宋_GBK" w:cs="Times New Roman"/>
                <w:snapToGrid w:val="0"/>
                <w:sz w:val="28"/>
                <w:szCs w:val="28"/>
              </w:rPr>
              <w:t>G210</w:t>
            </w:r>
            <w:r>
              <w:rPr>
                <w:rFonts w:hint="eastAsia" w:ascii="Times New Roman" w:hAnsi="Times New Roman" w:eastAsia="方正仿宋_GBK" w:cs="方正仿宋_GBK"/>
                <w:snapToGrid w:val="0"/>
                <w:sz w:val="28"/>
                <w:szCs w:val="28"/>
              </w:rPr>
              <w:t>线、</w:t>
            </w:r>
            <w:r>
              <w:rPr>
                <w:rFonts w:ascii="Times New Roman" w:hAnsi="Times New Roman" w:eastAsia="方正仿宋_GBK" w:cs="Times New Roman"/>
                <w:snapToGrid w:val="0"/>
                <w:sz w:val="28"/>
                <w:szCs w:val="28"/>
              </w:rPr>
              <w:t>G542</w:t>
            </w:r>
            <w:r>
              <w:rPr>
                <w:rFonts w:hint="eastAsia" w:ascii="Times New Roman" w:hAnsi="Times New Roman" w:eastAsia="方正仿宋_GBK" w:cs="方正仿宋_GBK"/>
                <w:snapToGrid w:val="0"/>
                <w:sz w:val="28"/>
                <w:szCs w:val="28"/>
              </w:rPr>
              <w:t>线、</w:t>
            </w:r>
            <w:r>
              <w:rPr>
                <w:rFonts w:ascii="Times New Roman" w:hAnsi="Times New Roman" w:eastAsia="方正仿宋_GBK" w:cs="Times New Roman"/>
                <w:snapToGrid w:val="0"/>
                <w:sz w:val="28"/>
                <w:szCs w:val="28"/>
              </w:rPr>
              <w:t>S202</w:t>
            </w:r>
            <w:r>
              <w:rPr>
                <w:rFonts w:hint="eastAsia" w:ascii="Times New Roman" w:hAnsi="Times New Roman" w:eastAsia="方正仿宋_GBK" w:cs="方正仿宋_GBK"/>
                <w:snapToGrid w:val="0"/>
                <w:sz w:val="28"/>
                <w:szCs w:val="28"/>
              </w:rPr>
              <w:t>线、</w:t>
            </w:r>
            <w:r>
              <w:rPr>
                <w:rFonts w:ascii="Times New Roman" w:hAnsi="Times New Roman" w:eastAsia="方正仿宋_GBK" w:cs="Times New Roman"/>
                <w:snapToGrid w:val="0"/>
                <w:sz w:val="28"/>
                <w:szCs w:val="28"/>
              </w:rPr>
              <w:t>S203</w:t>
            </w:r>
            <w:r>
              <w:rPr>
                <w:rFonts w:hint="eastAsia" w:ascii="Times New Roman" w:hAnsi="Times New Roman" w:eastAsia="方正仿宋_GBK" w:cs="方正仿宋_GBK"/>
                <w:snapToGrid w:val="0"/>
                <w:sz w:val="28"/>
                <w:szCs w:val="28"/>
              </w:rPr>
              <w:t>线、</w:t>
            </w:r>
            <w:r>
              <w:rPr>
                <w:rFonts w:ascii="Times New Roman" w:hAnsi="Times New Roman" w:eastAsia="方正仿宋_GBK" w:cs="Times New Roman"/>
                <w:snapToGrid w:val="0"/>
                <w:sz w:val="28"/>
                <w:szCs w:val="28"/>
              </w:rPr>
              <w:t>S204</w:t>
            </w:r>
            <w:r>
              <w:rPr>
                <w:rFonts w:hint="eastAsia" w:ascii="Times New Roman" w:hAnsi="Times New Roman" w:eastAsia="方正仿宋_GBK" w:cs="方正仿宋_GBK"/>
                <w:snapToGrid w:val="0"/>
                <w:sz w:val="28"/>
                <w:szCs w:val="28"/>
              </w:rPr>
              <w:t>线、</w:t>
            </w:r>
            <w:r>
              <w:rPr>
                <w:rFonts w:ascii="Times New Roman" w:hAnsi="Times New Roman" w:eastAsia="方正仿宋_GBK" w:cs="Times New Roman"/>
                <w:snapToGrid w:val="0"/>
                <w:sz w:val="28"/>
                <w:szCs w:val="28"/>
              </w:rPr>
              <w:t>S305</w:t>
            </w:r>
            <w:r>
              <w:rPr>
                <w:rFonts w:hint="eastAsia" w:ascii="Times New Roman" w:hAnsi="Times New Roman" w:eastAsia="方正仿宋_GBK" w:cs="方正仿宋_GBK"/>
                <w:snapToGrid w:val="0"/>
                <w:sz w:val="28"/>
                <w:szCs w:val="28"/>
              </w:rPr>
              <w:t>线、</w:t>
            </w:r>
            <w:r>
              <w:rPr>
                <w:rFonts w:ascii="Times New Roman" w:hAnsi="Times New Roman" w:eastAsia="方正仿宋_GBK" w:cs="Times New Roman"/>
                <w:snapToGrid w:val="0"/>
                <w:sz w:val="28"/>
                <w:szCs w:val="28"/>
              </w:rPr>
              <w:t>X028</w:t>
            </w:r>
            <w:r>
              <w:rPr>
                <w:rFonts w:hint="eastAsia" w:ascii="Times New Roman" w:hAnsi="Times New Roman" w:eastAsia="方正仿宋_GBK" w:cs="方正仿宋_GBK"/>
                <w:snapToGrid w:val="0"/>
                <w:sz w:val="28"/>
                <w:szCs w:val="28"/>
              </w:rPr>
              <w:t>、南部乡村旅游环线）风景廊道，构建覆盖达川全域城乡的道路网络体系。重点建设城区</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雷音铺森林体育公园运动健身步道，城区</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百节</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乌梅山</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仙女山山水健身步道，赵家</w:t>
            </w:r>
            <w:r>
              <w:rPr>
                <w:rFonts w:ascii="Times New Roman" w:hAnsi="Times New Roman" w:eastAsia="方正仿宋_GBK" w:cs="Times New Roman"/>
                <w:snapToGrid w:val="0"/>
                <w:sz w:val="28"/>
                <w:szCs w:val="28"/>
              </w:rPr>
              <w:t>-</w:t>
            </w:r>
            <w:r>
              <w:rPr>
                <w:rFonts w:hint="eastAsia" w:ascii="Times New Roman" w:hAnsi="Times New Roman" w:eastAsia="方正仿宋_GBK" w:cs="方正仿宋_GBK"/>
                <w:snapToGrid w:val="0"/>
                <w:sz w:val="28"/>
                <w:szCs w:val="28"/>
              </w:rPr>
              <w:t>双庙田园健身绿道，以及沿州河和巴河的滨河绿道，打造川东山水特色健身绿道。</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2.</w:t>
            </w:r>
            <w:r>
              <w:rPr>
                <w:rFonts w:hint="eastAsia" w:ascii="Times New Roman" w:hAnsi="Times New Roman" w:eastAsia="方正仿宋_GBK" w:cs="方正仿宋_GBK"/>
                <w:snapToGrid w:val="0"/>
                <w:sz w:val="28"/>
                <w:szCs w:val="28"/>
              </w:rPr>
              <w:t>全域智慧旅游体系建设：建设达川云数据中心，包括四个智慧旅游平台（旅游公共服务平台、综合监管平台、电子商务平台、市场营销平台），三个旅游云应用（旅游指南手机</w:t>
            </w:r>
            <w:r>
              <w:rPr>
                <w:rFonts w:ascii="Times New Roman" w:hAnsi="Times New Roman" w:eastAsia="方正仿宋_GBK" w:cs="Times New Roman"/>
                <w:snapToGrid w:val="0"/>
                <w:sz w:val="28"/>
                <w:szCs w:val="28"/>
              </w:rPr>
              <w:t>APP</w:t>
            </w:r>
            <w:r>
              <w:rPr>
                <w:rFonts w:hint="eastAsia" w:ascii="Times New Roman" w:hAnsi="Times New Roman" w:eastAsia="方正仿宋_GBK" w:cs="方正仿宋_GBK"/>
                <w:snapToGrid w:val="0"/>
                <w:sz w:val="28"/>
                <w:szCs w:val="28"/>
              </w:rPr>
              <w:t>、景区动态客流检测、微信公众号）以及八个智慧旅游业态（景区、餐饮、购物、住宿、乡村旅游、旅行社、交通、娱乐）建设重点文化旅游场所</w:t>
            </w:r>
            <w:r>
              <w:rPr>
                <w:rFonts w:ascii="Times New Roman" w:hAnsi="Times New Roman" w:eastAsia="方正仿宋_GBK" w:cs="Times New Roman"/>
                <w:snapToGrid w:val="0"/>
                <w:sz w:val="28"/>
                <w:szCs w:val="28"/>
              </w:rPr>
              <w:t>5G</w:t>
            </w:r>
            <w:r>
              <w:rPr>
                <w:rFonts w:hint="eastAsia" w:ascii="Times New Roman" w:hAnsi="Times New Roman" w:eastAsia="方正仿宋_GBK" w:cs="方正仿宋_GBK"/>
                <w:snapToGrid w:val="0"/>
                <w:sz w:val="28"/>
                <w:szCs w:val="28"/>
              </w:rPr>
              <w:t>网络建设，以及旅游集成资讯发布、</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一部手机游达川</w:t>
            </w:r>
            <w:r>
              <w:rPr>
                <w:rFonts w:hint="eastAsia" w:ascii="宋体" w:hAnsi="宋体" w:eastAsia="宋体" w:cs="宋体"/>
                <w:snapToGrid w:val="0"/>
                <w:sz w:val="28"/>
                <w:szCs w:val="28"/>
              </w:rPr>
              <w:t>”</w:t>
            </w:r>
            <w:r>
              <w:rPr>
                <w:rFonts w:hint="eastAsia" w:ascii="Times New Roman" w:hAnsi="Times New Roman" w:eastAsia="方正仿宋_GBK" w:cs="方正仿宋_GBK"/>
                <w:snapToGrid w:val="0"/>
                <w:sz w:val="28"/>
                <w:szCs w:val="28"/>
              </w:rPr>
              <w:t>等平台建设、智慧旅游示范工程建设。</w:t>
            </w:r>
          </w:p>
          <w:p>
            <w:pPr>
              <w:adjustRightInd w:val="0"/>
              <w:snapToGrid w:val="0"/>
              <w:ind w:firstLine="560" w:firstLineChars="200"/>
              <w:rPr>
                <w:rFonts w:ascii="Times New Roman" w:hAnsi="Times New Roman" w:eastAsia="方正仿宋_GBK" w:cs="Times New Roman"/>
                <w:snapToGrid w:val="0"/>
                <w:sz w:val="28"/>
                <w:szCs w:val="28"/>
              </w:rPr>
            </w:pPr>
            <w:r>
              <w:rPr>
                <w:rFonts w:ascii="Times New Roman" w:hAnsi="Times New Roman" w:eastAsia="方正仿宋_GBK" w:cs="Times New Roman"/>
                <w:snapToGrid w:val="0"/>
                <w:sz w:val="28"/>
                <w:szCs w:val="28"/>
              </w:rPr>
              <w:t>3.</w:t>
            </w:r>
            <w:r>
              <w:rPr>
                <w:rFonts w:hint="eastAsia" w:ascii="Times New Roman" w:hAnsi="Times New Roman" w:eastAsia="方正仿宋_GBK" w:cs="方正仿宋_GBK"/>
                <w:snapToGrid w:val="0"/>
                <w:sz w:val="28"/>
                <w:szCs w:val="28"/>
              </w:rPr>
              <w:t>旅游公共服务水平提升：设立一站式游客服务中心和旅游咨询服务中心，建设文化旅游综合信息管理服务平台。旅游景区、生态停车场、旅行社、旅游住宿、旅游厕所等领域标准化建设。实施文明旅游行动计划，推进文旅志愿者服务站建设，推进文旅市场信用体系建设。</w:t>
            </w:r>
          </w:p>
        </w:tc>
      </w:tr>
    </w:tbl>
    <w:p>
      <w:pPr>
        <w:pStyle w:val="9"/>
        <w:ind w:left="840" w:firstLine="640"/>
        <w:rPr>
          <w:rFonts w:ascii="Times New Roman" w:hAnsi="Times New Roman" w:eastAsia="方正仿宋_GBK" w:cs="Times New Roman"/>
          <w:lang w:eastAsia="zh-CN"/>
        </w:rPr>
      </w:pPr>
    </w:p>
    <w:p>
      <w:pPr>
        <w:adjustRightInd w:val="0"/>
        <w:snapToGrid w:val="0"/>
        <w:spacing w:line="578" w:lineRule="exact"/>
        <w:jc w:val="center"/>
        <w:outlineLvl w:val="1"/>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第九节</w:t>
      </w:r>
      <w:r>
        <w:rPr>
          <w:rFonts w:ascii="方正黑体_GBK" w:hAnsi="Times New Roman" w:eastAsia="方正黑体_GBK" w:cs="方正黑体_GBK"/>
          <w:sz w:val="32"/>
          <w:szCs w:val="32"/>
        </w:rPr>
        <w:t xml:space="preserve">  </w:t>
      </w:r>
      <w:r>
        <w:rPr>
          <w:rFonts w:hint="eastAsia" w:ascii="方正黑体_GBK" w:hAnsi="Times New Roman" w:eastAsia="方正黑体_GBK" w:cs="方正黑体_GBK"/>
          <w:sz w:val="32"/>
          <w:szCs w:val="32"/>
        </w:rPr>
        <w:t>推进文旅市场主体发展</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强化文旅主体建设。</w:t>
      </w:r>
      <w:r>
        <w:rPr>
          <w:rFonts w:hint="eastAsia" w:ascii="Times New Roman" w:hAnsi="Times New Roman" w:eastAsia="方正仿宋_GBK" w:cs="方正仿宋_GBK"/>
          <w:sz w:val="32"/>
          <w:szCs w:val="32"/>
        </w:rPr>
        <w:t>创新驱动文旅市场主体，以</w:t>
      </w:r>
      <w:r>
        <w:rPr>
          <w:rFonts w:hint="eastAsia" w:ascii="宋体" w:hAnsi="宋体" w:eastAsia="宋体" w:cs="宋体"/>
          <w:sz w:val="32"/>
          <w:szCs w:val="32"/>
        </w:rPr>
        <w:t>“</w:t>
      </w:r>
      <w:r>
        <w:rPr>
          <w:rFonts w:hint="eastAsia" w:ascii="Times New Roman" w:hAnsi="Times New Roman" w:eastAsia="方正仿宋_GBK" w:cs="方正仿宋_GBK"/>
          <w:sz w:val="32"/>
          <w:szCs w:val="32"/>
        </w:rPr>
        <w:t>政府引导</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资本驱动</w:t>
      </w:r>
      <w:r>
        <w:rPr>
          <w:rFonts w:hint="eastAsia" w:ascii="宋体" w:hAnsi="宋体" w:eastAsia="宋体" w:cs="宋体"/>
          <w:sz w:val="32"/>
          <w:szCs w:val="32"/>
        </w:rPr>
        <w:t>”</w:t>
      </w:r>
      <w:r>
        <w:rPr>
          <w:rFonts w:hint="eastAsia" w:ascii="Times New Roman" w:hAnsi="Times New Roman" w:eastAsia="方正仿宋_GBK" w:cs="方正仿宋_GBK"/>
          <w:sz w:val="32"/>
          <w:szCs w:val="32"/>
        </w:rPr>
        <w:t>形式，打造文旅骨干企业，做强旅行社、文创、和特色餐饮企业，加快建设知名品牌酒店、民宿。引导社会资本积极参与，鼓励传统旅游企业、文化企业之外的各类市场主体进入文旅市场，壮大文旅企业队伍，形成大中小规模齐全，覆盖食宿购娱多个门类发展的态势，不断激发创新活力。</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培育大型文旅企业。</w:t>
      </w:r>
      <w:r>
        <w:rPr>
          <w:rFonts w:hint="eastAsia" w:ascii="Times New Roman" w:hAnsi="Times New Roman" w:eastAsia="方正仿宋_GBK" w:cs="方正仿宋_GBK"/>
          <w:sz w:val="32"/>
          <w:szCs w:val="32"/>
        </w:rPr>
        <w:t>加快达川文化机构和旅游企业的对接合作，以融合创新的思维，开发合作的视野培育大型文旅企业，构筑文旅产业集群，推动文旅企业向品牌化、集团化发展；优选达川发展态势良好的成长性文旅企业，实施文旅明星企业培育工程，重点培育以景区、文创和旅游</w:t>
      </w:r>
      <w:r>
        <w:rPr>
          <w:rFonts w:ascii="Times New Roman" w:hAnsi="Times New Roman" w:eastAsia="方正仿宋_GBK" w:cs="Times New Roman"/>
          <w:sz w:val="32"/>
          <w:szCs w:val="32"/>
        </w:rPr>
        <w:t>IT</w:t>
      </w:r>
      <w:r>
        <w:rPr>
          <w:rFonts w:hint="eastAsia" w:ascii="Times New Roman" w:hAnsi="Times New Roman" w:eastAsia="方正仿宋_GBK" w:cs="方正仿宋_GBK"/>
          <w:sz w:val="32"/>
          <w:szCs w:val="32"/>
        </w:rPr>
        <w:t>为核心的本土文旅企业集团；引进国企或大型龙头企业带动本土企业经营理念、商业模式、企业治理能力的提升，加强与成都、重庆的龙头文旅企业的合作，尽快形成一批以文旅为主业、以融合发展为特色，具有较强竞争力和影响力的达川本土领军企业、骨干企业。</w:t>
      </w:r>
    </w:p>
    <w:p>
      <w:pPr>
        <w:adjustRightInd w:val="0"/>
        <w:snapToGrid w:val="0"/>
        <w:spacing w:line="578" w:lineRule="exact"/>
        <w:ind w:firstLine="643"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b/>
          <w:bCs/>
          <w:sz w:val="32"/>
          <w:szCs w:val="32"/>
        </w:rPr>
        <w:t>整合小微经营企业。</w:t>
      </w:r>
      <w:r>
        <w:rPr>
          <w:rFonts w:hint="eastAsia" w:ascii="Times New Roman" w:hAnsi="Times New Roman" w:eastAsia="方正仿宋_GBK" w:cs="方正仿宋_GBK"/>
          <w:sz w:val="32"/>
          <w:szCs w:val="32"/>
        </w:rPr>
        <w:t>引领小型经营体成立文旅经营发展联盟，按照</w:t>
      </w:r>
      <w:r>
        <w:rPr>
          <w:rFonts w:hint="eastAsia" w:ascii="宋体" w:hAnsi="宋体" w:eastAsia="宋体" w:cs="宋体"/>
          <w:sz w:val="32"/>
          <w:szCs w:val="32"/>
        </w:rPr>
        <w:t>“</w:t>
      </w:r>
      <w:r>
        <w:rPr>
          <w:rFonts w:ascii="Times New Roman" w:hAnsi="Times New Roman" w:eastAsia="方正仿宋_GBK" w:cs="Times New Roman"/>
          <w:sz w:val="32"/>
          <w:szCs w:val="32"/>
        </w:rPr>
        <w:t>1+n</w:t>
      </w:r>
      <w:r>
        <w:rPr>
          <w:rFonts w:hint="eastAsia" w:ascii="宋体" w:hAnsi="宋体" w:eastAsia="宋体" w:cs="宋体"/>
          <w:sz w:val="32"/>
          <w:szCs w:val="32"/>
        </w:rPr>
        <w:t>”</w:t>
      </w:r>
      <w:r>
        <w:rPr>
          <w:rFonts w:hint="eastAsia" w:ascii="Times New Roman" w:hAnsi="Times New Roman" w:eastAsia="方正仿宋_GBK" w:cs="方正仿宋_GBK"/>
          <w:sz w:val="32"/>
          <w:szCs w:val="32"/>
        </w:rPr>
        <w:t>的发展结构，整合小微文化旅游企业，分类设置达川文旅经营发展联盟；基于资源共享、联盟合作的理念，合理配置文旅行业资源，密切发展合作，互帮互助，进行专业化、差异化发展，打破小弱散的格局，避免小经营体间的恶性竞争。</w:t>
      </w:r>
    </w:p>
    <w:p>
      <w:pPr>
        <w:adjustRightInd w:val="0"/>
        <w:snapToGrid w:val="0"/>
        <w:spacing w:line="578" w:lineRule="exact"/>
        <w:rPr>
          <w:rFonts w:ascii="Times New Roman" w:hAnsi="Times New Roman" w:eastAsia="方正仿宋_GBK" w:cs="Times New Roman"/>
          <w:sz w:val="44"/>
          <w:szCs w:val="44"/>
        </w:rPr>
      </w:pPr>
    </w:p>
    <w:p>
      <w:pPr>
        <w:adjustRightInd w:val="0"/>
        <w:snapToGrid w:val="0"/>
        <w:spacing w:line="578" w:lineRule="exact"/>
        <w:jc w:val="center"/>
        <w:outlineLvl w:val="0"/>
        <w:rPr>
          <w:rFonts w:ascii="方正小标宋_GBK" w:hAnsi="Times New Roman" w:eastAsia="方正小标宋_GBK" w:cs="Times New Roman"/>
          <w:sz w:val="44"/>
          <w:szCs w:val="44"/>
        </w:rPr>
      </w:pPr>
      <w:r>
        <w:rPr>
          <w:rFonts w:hint="eastAsia" w:ascii="方正小标宋_GBK" w:hAnsi="Times New Roman" w:eastAsia="方正小标宋_GBK" w:cs="方正小标宋_GBK"/>
          <w:sz w:val="44"/>
          <w:szCs w:val="44"/>
        </w:rPr>
        <w:t>第五章</w:t>
      </w:r>
      <w:r>
        <w:rPr>
          <w:rFonts w:ascii="方正小标宋_GBK" w:hAnsi="Times New Roman" w:eastAsia="方正小标宋_GBK" w:cs="方正小标宋_GBK"/>
          <w:sz w:val="44"/>
          <w:szCs w:val="44"/>
        </w:rPr>
        <w:t xml:space="preserve">  </w:t>
      </w:r>
      <w:r>
        <w:rPr>
          <w:rFonts w:hint="eastAsia" w:ascii="方正小标宋_GBK" w:hAnsi="Times New Roman" w:eastAsia="方正小标宋_GBK" w:cs="方正小标宋_GBK"/>
          <w:sz w:val="44"/>
          <w:szCs w:val="44"/>
        </w:rPr>
        <w:t>保障措施</w:t>
      </w:r>
    </w:p>
    <w:p>
      <w:pPr>
        <w:adjustRightInd w:val="0"/>
        <w:snapToGrid w:val="0"/>
        <w:spacing w:line="578" w:lineRule="exact"/>
        <w:ind w:firstLine="640" w:firstLineChars="200"/>
        <w:textAlignment w:val="baseline"/>
        <w:rPr>
          <w:rFonts w:ascii="Times New Roman" w:hAnsi="Times New Roman" w:eastAsia="方正仿宋_GBK" w:cs="Times New Roman"/>
          <w:snapToGrid w:val="0"/>
          <w:kern w:val="0"/>
          <w:sz w:val="32"/>
          <w:szCs w:val="32"/>
          <w:u w:color="000000"/>
        </w:rPr>
      </w:pPr>
      <w:bookmarkStart w:id="40" w:name="_Toc24116"/>
      <w:bookmarkStart w:id="41" w:name="_Toc30869"/>
      <w:bookmarkStart w:id="42" w:name="_Toc14432"/>
      <w:bookmarkStart w:id="43" w:name="_Toc1110"/>
      <w:bookmarkStart w:id="44" w:name="_Toc5073"/>
      <w:bookmarkStart w:id="45" w:name="_Toc29553"/>
      <w:bookmarkStart w:id="46" w:name="_Toc2167"/>
      <w:bookmarkStart w:id="47" w:name="_Toc345"/>
      <w:bookmarkStart w:id="48" w:name="_Toc15140"/>
      <w:bookmarkStart w:id="49" w:name="_Toc11564"/>
      <w:bookmarkStart w:id="50" w:name="_Toc19293"/>
      <w:bookmarkStart w:id="51" w:name="_Toc7028"/>
      <w:bookmarkStart w:id="52" w:name="_Toc11681"/>
      <w:bookmarkStart w:id="53" w:name="_Toc31775"/>
      <w:bookmarkStart w:id="54" w:name="_Toc32389"/>
      <w:bookmarkStart w:id="55" w:name="_Toc5645"/>
      <w:bookmarkStart w:id="56" w:name="_Toc19064"/>
      <w:bookmarkStart w:id="57" w:name="_Toc4938"/>
      <w:bookmarkStart w:id="58" w:name="_Toc14868"/>
    </w:p>
    <w:p>
      <w:pPr>
        <w:adjustRightInd w:val="0"/>
        <w:snapToGrid w:val="0"/>
        <w:spacing w:line="578" w:lineRule="exact"/>
        <w:jc w:val="center"/>
        <w:textAlignment w:val="baseline"/>
        <w:outlineLvl w:val="1"/>
        <w:rPr>
          <w:rFonts w:ascii="方正黑体_GBK" w:hAnsi="Times New Roman" w:eastAsia="方正黑体_GBK" w:cs="Times New Roman"/>
          <w:snapToGrid w:val="0"/>
          <w:kern w:val="0"/>
          <w:sz w:val="32"/>
          <w:szCs w:val="32"/>
          <w:u w:color="000000"/>
        </w:rPr>
      </w:pPr>
      <w:bookmarkStart w:id="59" w:name="_Toc23208"/>
      <w:r>
        <w:rPr>
          <w:rFonts w:hint="eastAsia" w:ascii="方正黑体_GBK" w:hAnsi="Times New Roman" w:eastAsia="方正黑体_GBK" w:cs="方正黑体_GBK"/>
          <w:snapToGrid w:val="0"/>
          <w:kern w:val="0"/>
          <w:sz w:val="32"/>
          <w:szCs w:val="32"/>
          <w:u w:color="000000"/>
        </w:rPr>
        <w:t>第一节</w:t>
      </w:r>
      <w:r>
        <w:rPr>
          <w:rFonts w:ascii="方正黑体_GBK" w:hAnsi="Times New Roman" w:eastAsia="方正黑体_GBK" w:cs="方正黑体_GBK"/>
          <w:snapToGrid w:val="0"/>
          <w:kern w:val="0"/>
          <w:sz w:val="32"/>
          <w:szCs w:val="32"/>
          <w:u w:color="000000"/>
        </w:rPr>
        <w:t xml:space="preserve">  </w:t>
      </w:r>
      <w:r>
        <w:rPr>
          <w:rFonts w:hint="eastAsia" w:ascii="方正黑体_GBK" w:hAnsi="Times New Roman" w:eastAsia="方正黑体_GBK" w:cs="方正黑体_GBK"/>
          <w:snapToGrid w:val="0"/>
          <w:kern w:val="0"/>
          <w:sz w:val="32"/>
          <w:szCs w:val="32"/>
          <w:u w:color="000000"/>
        </w:rPr>
        <w:t>组织保障</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Start w:id="60" w:name="_Toc13490"/>
      <w:bookmarkStart w:id="61" w:name="_Toc32387"/>
      <w:bookmarkStart w:id="62" w:name="_Toc6725"/>
      <w:bookmarkStart w:id="63" w:name="_Toc31551"/>
      <w:bookmarkStart w:id="64" w:name="_Toc14980"/>
      <w:bookmarkStart w:id="65" w:name="_Toc29928"/>
      <w:bookmarkStart w:id="66" w:name="_Toc27985"/>
      <w:bookmarkStart w:id="67" w:name="_Toc6568"/>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加强组织领导</w:t>
      </w:r>
      <w:bookmarkEnd w:id="60"/>
      <w:bookmarkEnd w:id="61"/>
      <w:bookmarkEnd w:id="62"/>
      <w:bookmarkEnd w:id="63"/>
      <w:bookmarkEnd w:id="64"/>
      <w:bookmarkEnd w:id="65"/>
      <w:bookmarkEnd w:id="66"/>
      <w:bookmarkEnd w:id="67"/>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统筹推进全区文化建设和文旅融合发展的制度建设、发展规划、政策制定、人才引进、项目推进等工作，建立健全党委统一领导、政府主导推进、宣传文旅部门组织协调、有关部门分工负责、各地大力实施、社会力量积极参与的工作机制和格局。</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完善实施机制</w:t>
      </w:r>
      <w:r>
        <w:rPr>
          <w:rFonts w:hint="eastAsia" w:ascii="Times New Roman" w:hAnsi="Times New Roman" w:eastAsia="方正仿宋_GBK" w:cs="方正仿宋_GBK"/>
          <w:snapToGrid w:val="0"/>
          <w:kern w:val="0"/>
          <w:sz w:val="32"/>
          <w:szCs w:val="32"/>
          <w:u w:color="000000"/>
        </w:rPr>
        <w:t>。健全落实</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十四五</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规划保障机制，完善中期评估和监督落实机制，细化规划纲要年度计划，实行项目化清单化管理，加强规划实施效果的评估、督查和考核，确保</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十四五</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发展规划实施落到实处。</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68" w:name="_Toc32320"/>
      <w:bookmarkStart w:id="69" w:name="_Toc17133"/>
      <w:bookmarkStart w:id="70" w:name="_Toc26169"/>
      <w:bookmarkStart w:id="71" w:name="_Toc18802"/>
      <w:bookmarkStart w:id="72" w:name="_Toc21100"/>
      <w:bookmarkStart w:id="73" w:name="_Toc16366"/>
      <w:bookmarkStart w:id="74" w:name="_Toc4106"/>
      <w:bookmarkStart w:id="75" w:name="_Toc5427"/>
      <w:r>
        <w:rPr>
          <w:rFonts w:hint="eastAsia" w:ascii="Times New Roman" w:hAnsi="Times New Roman" w:eastAsia="方正仿宋_GBK" w:cs="方正仿宋_GBK"/>
          <w:b/>
          <w:bCs/>
          <w:snapToGrid w:val="0"/>
          <w:kern w:val="0"/>
          <w:sz w:val="32"/>
          <w:szCs w:val="32"/>
          <w:u w:color="000000"/>
        </w:rPr>
        <w:t>落实主体责任</w:t>
      </w:r>
      <w:bookmarkEnd w:id="68"/>
      <w:bookmarkEnd w:id="69"/>
      <w:bookmarkEnd w:id="70"/>
      <w:bookmarkEnd w:id="71"/>
      <w:bookmarkEnd w:id="72"/>
      <w:bookmarkEnd w:id="73"/>
      <w:bookmarkEnd w:id="74"/>
      <w:bookmarkEnd w:id="75"/>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各级部门和乡镇是推动文化建设和文旅融合发展的责任主体和工作主体，加强区、乡两级联动，综合协调研究解决重大问题。制定工作措施，加强项目跟踪，对重大文化建设和文旅融合项目推行</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一个项目一个领导</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专班制度。</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76" w:name="_Toc21491"/>
      <w:bookmarkStart w:id="77" w:name="_Toc21910"/>
      <w:bookmarkStart w:id="78" w:name="_Toc28147"/>
      <w:bookmarkStart w:id="79" w:name="_Toc16992"/>
      <w:bookmarkStart w:id="80" w:name="_Toc7953"/>
      <w:bookmarkStart w:id="81" w:name="_Toc20895"/>
      <w:bookmarkStart w:id="82" w:name="_Toc18368"/>
      <w:bookmarkStart w:id="83" w:name="_Toc14895"/>
      <w:r>
        <w:rPr>
          <w:rFonts w:hint="eastAsia" w:ascii="Times New Roman" w:hAnsi="Times New Roman" w:eastAsia="方正仿宋_GBK" w:cs="方正仿宋_GBK"/>
          <w:b/>
          <w:bCs/>
          <w:snapToGrid w:val="0"/>
          <w:kern w:val="0"/>
          <w:sz w:val="32"/>
          <w:szCs w:val="32"/>
          <w:u w:color="000000"/>
        </w:rPr>
        <w:t>强化考核督查</w:t>
      </w:r>
      <w:bookmarkEnd w:id="76"/>
      <w:bookmarkEnd w:id="77"/>
      <w:bookmarkEnd w:id="78"/>
      <w:bookmarkEnd w:id="79"/>
      <w:bookmarkEnd w:id="80"/>
      <w:bookmarkEnd w:id="81"/>
      <w:bookmarkEnd w:id="82"/>
      <w:bookmarkEnd w:id="83"/>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建立常态化项目督查制度，将项目建设、招商引资、品牌创建、企业培育、营销推广、数据统计等文化建设和文旅融合发展工作纳入区、乡级目标考核，建立动态数据库，严格奖惩机制，落实考核要求。</w:t>
      </w:r>
    </w:p>
    <w:p>
      <w:pPr>
        <w:pStyle w:val="9"/>
        <w:ind w:left="840" w:firstLine="640"/>
        <w:rPr>
          <w:rFonts w:ascii="Times New Roman" w:hAnsi="Times New Roman" w:eastAsia="方正仿宋_GBK" w:cs="Times New Roman"/>
          <w:lang w:eastAsia="zh-CN"/>
        </w:rPr>
      </w:pPr>
    </w:p>
    <w:p>
      <w:pPr>
        <w:adjustRightInd w:val="0"/>
        <w:snapToGrid w:val="0"/>
        <w:spacing w:line="604" w:lineRule="exact"/>
        <w:jc w:val="center"/>
        <w:textAlignment w:val="baseline"/>
        <w:outlineLvl w:val="1"/>
        <w:rPr>
          <w:rFonts w:ascii="方正黑体_GBK" w:hAnsi="Times New Roman" w:eastAsia="方正黑体_GBK" w:cs="Times New Roman"/>
          <w:kern w:val="0"/>
          <w:u w:color="000000"/>
        </w:rPr>
      </w:pPr>
      <w:bookmarkStart w:id="84" w:name="_Toc21782"/>
      <w:bookmarkStart w:id="85" w:name="_Toc17419"/>
      <w:bookmarkStart w:id="86" w:name="_Toc6024"/>
      <w:bookmarkStart w:id="87" w:name="_Toc28021"/>
      <w:bookmarkStart w:id="88" w:name="_Toc16338"/>
      <w:bookmarkStart w:id="89" w:name="_Toc5680"/>
      <w:bookmarkStart w:id="90" w:name="_Toc30036"/>
      <w:bookmarkStart w:id="91" w:name="_Toc3713"/>
      <w:bookmarkStart w:id="92" w:name="_Toc11430"/>
      <w:bookmarkStart w:id="93" w:name="_Toc32368"/>
      <w:bookmarkStart w:id="94" w:name="_Toc15487"/>
      <w:bookmarkStart w:id="95" w:name="_Toc27024"/>
      <w:bookmarkStart w:id="96" w:name="_Toc28176"/>
      <w:bookmarkStart w:id="97" w:name="_Toc30954"/>
      <w:bookmarkStart w:id="98" w:name="_Toc13687"/>
      <w:bookmarkStart w:id="99" w:name="_Toc18228"/>
      <w:bookmarkStart w:id="100" w:name="_Toc21174"/>
      <w:bookmarkStart w:id="101" w:name="_Toc28135"/>
      <w:bookmarkStart w:id="102" w:name="_Toc17242"/>
      <w:bookmarkStart w:id="103" w:name="_Toc16932"/>
      <w:r>
        <w:rPr>
          <w:rFonts w:hint="eastAsia" w:ascii="方正黑体_GBK" w:hAnsi="Times New Roman" w:eastAsia="方正黑体_GBK" w:cs="方正黑体_GBK"/>
          <w:snapToGrid w:val="0"/>
          <w:kern w:val="0"/>
          <w:sz w:val="32"/>
          <w:szCs w:val="32"/>
          <w:u w:color="000000"/>
        </w:rPr>
        <w:t>第二节</w:t>
      </w:r>
      <w:r>
        <w:rPr>
          <w:rFonts w:ascii="方正黑体_GBK" w:hAnsi="Times New Roman" w:eastAsia="方正黑体_GBK" w:cs="方正黑体_GBK"/>
          <w:snapToGrid w:val="0"/>
          <w:kern w:val="0"/>
          <w:sz w:val="32"/>
          <w:szCs w:val="32"/>
          <w:u w:color="000000"/>
        </w:rPr>
        <w:t xml:space="preserve">  </w:t>
      </w:r>
      <w:r>
        <w:rPr>
          <w:rFonts w:hint="eastAsia" w:ascii="方正黑体_GBK" w:hAnsi="Times New Roman" w:eastAsia="方正黑体_GBK" w:cs="方正黑体_GBK"/>
          <w:snapToGrid w:val="0"/>
          <w:kern w:val="0"/>
          <w:sz w:val="32"/>
          <w:szCs w:val="32"/>
          <w:u w:color="000000"/>
        </w:rPr>
        <w:t>政策保障</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Start w:id="104" w:name="_Toc31420"/>
      <w:bookmarkStart w:id="105" w:name="_Toc1937"/>
      <w:bookmarkStart w:id="106" w:name="_Toc6335"/>
      <w:bookmarkStart w:id="107" w:name="_Toc32285"/>
      <w:bookmarkStart w:id="108" w:name="_Toc31540"/>
      <w:bookmarkStart w:id="109" w:name="_Toc14900"/>
      <w:bookmarkStart w:id="110" w:name="_Toc7891"/>
      <w:bookmarkStart w:id="111" w:name="_Toc26417"/>
    </w:p>
    <w:p>
      <w:pPr>
        <w:adjustRightInd w:val="0"/>
        <w:snapToGrid w:val="0"/>
        <w:spacing w:line="604"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落实现有政策</w:t>
      </w:r>
      <w:bookmarkEnd w:id="104"/>
      <w:bookmarkEnd w:id="105"/>
      <w:bookmarkEnd w:id="106"/>
      <w:bookmarkEnd w:id="107"/>
      <w:bookmarkEnd w:id="108"/>
      <w:bookmarkEnd w:id="109"/>
      <w:bookmarkEnd w:id="110"/>
      <w:bookmarkEnd w:id="111"/>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切实贯彻落实、用足用好中央、省、市、区出台的文化建设和文旅经济发展扶持与优惠政策，制定出台配套举措，确保最大程度增进经济社会效益。</w:t>
      </w:r>
    </w:p>
    <w:p>
      <w:pPr>
        <w:adjustRightInd w:val="0"/>
        <w:snapToGrid w:val="0"/>
        <w:spacing w:line="604"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112" w:name="_Toc21503"/>
      <w:bookmarkStart w:id="113" w:name="_Toc24183"/>
      <w:bookmarkStart w:id="114" w:name="_Toc17918"/>
      <w:bookmarkStart w:id="115" w:name="_Toc10666"/>
      <w:bookmarkStart w:id="116" w:name="_Toc2746"/>
      <w:bookmarkStart w:id="117" w:name="_Toc24012"/>
      <w:bookmarkStart w:id="118" w:name="_Toc11232"/>
      <w:bookmarkStart w:id="119" w:name="_Toc21944"/>
      <w:r>
        <w:rPr>
          <w:rFonts w:hint="eastAsia" w:ascii="Times New Roman" w:hAnsi="Times New Roman" w:eastAsia="方正仿宋_GBK" w:cs="方正仿宋_GBK"/>
          <w:b/>
          <w:bCs/>
          <w:snapToGrid w:val="0"/>
          <w:kern w:val="0"/>
          <w:sz w:val="32"/>
          <w:szCs w:val="32"/>
          <w:u w:color="000000"/>
        </w:rPr>
        <w:t>优化扶持政策</w:t>
      </w:r>
      <w:bookmarkEnd w:id="112"/>
      <w:bookmarkEnd w:id="113"/>
      <w:bookmarkEnd w:id="114"/>
      <w:bookmarkEnd w:id="115"/>
      <w:bookmarkEnd w:id="116"/>
      <w:bookmarkEnd w:id="117"/>
      <w:bookmarkEnd w:id="118"/>
      <w:bookmarkEnd w:id="119"/>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加大对文化旅游、体育广电的投入力度，优先安排涉及广大人民群众切身利益的发展项目，根据事权与支出责任相适应原则，规范使用支持我区文旅经济发展、体育广电事业产业发展的各项资金。</w:t>
      </w:r>
    </w:p>
    <w:p>
      <w:pPr>
        <w:adjustRightInd w:val="0"/>
        <w:snapToGrid w:val="0"/>
        <w:spacing w:line="604"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120" w:name="_Toc16227"/>
      <w:bookmarkStart w:id="121" w:name="_Toc15382"/>
      <w:bookmarkStart w:id="122" w:name="_Toc10961"/>
      <w:bookmarkStart w:id="123" w:name="_Toc787"/>
      <w:bookmarkStart w:id="124" w:name="_Toc31318"/>
      <w:bookmarkStart w:id="125" w:name="_Toc20936"/>
      <w:bookmarkStart w:id="126" w:name="_Toc3896"/>
      <w:bookmarkStart w:id="127" w:name="_Toc13284"/>
      <w:r>
        <w:rPr>
          <w:rFonts w:hint="eastAsia" w:ascii="Times New Roman" w:hAnsi="Times New Roman" w:eastAsia="方正仿宋_GBK" w:cs="方正仿宋_GBK"/>
          <w:b/>
          <w:bCs/>
          <w:snapToGrid w:val="0"/>
          <w:kern w:val="0"/>
          <w:sz w:val="32"/>
          <w:szCs w:val="32"/>
          <w:u w:color="000000"/>
        </w:rPr>
        <w:t>出台创新政策</w:t>
      </w:r>
      <w:bookmarkEnd w:id="120"/>
      <w:bookmarkEnd w:id="121"/>
      <w:bookmarkEnd w:id="122"/>
      <w:bookmarkEnd w:id="123"/>
      <w:bookmarkEnd w:id="124"/>
      <w:bookmarkEnd w:id="125"/>
      <w:bookmarkEnd w:id="126"/>
      <w:bookmarkEnd w:id="127"/>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根据新技术、新产业、新业态、新模式发展需要，结合我区实际，适时研究修订相关地方性政策和政府规章，以政策创新促进文化建设和文旅融合，着力解决发展过程中的融资、人才建设、土地使用、版权保护与开发利用等关键问题，进一步提高政策针对性和有效性。</w:t>
      </w:r>
    </w:p>
    <w:p>
      <w:pPr>
        <w:adjustRightInd w:val="0"/>
        <w:snapToGrid w:val="0"/>
        <w:spacing w:line="604" w:lineRule="exact"/>
        <w:ind w:firstLine="640" w:firstLineChars="200"/>
        <w:textAlignment w:val="baseline"/>
        <w:rPr>
          <w:rFonts w:ascii="Times New Roman" w:hAnsi="Times New Roman" w:eastAsia="方正仿宋_GBK" w:cs="Times New Roman"/>
          <w:snapToGrid w:val="0"/>
          <w:kern w:val="0"/>
          <w:sz w:val="32"/>
          <w:szCs w:val="32"/>
          <w:u w:color="000000"/>
        </w:rPr>
      </w:pPr>
      <w:bookmarkStart w:id="128" w:name="_Toc26164"/>
      <w:bookmarkStart w:id="129" w:name="_Toc11570"/>
      <w:bookmarkStart w:id="130" w:name="_Toc838"/>
      <w:bookmarkStart w:id="131" w:name="_Toc21867"/>
      <w:bookmarkStart w:id="132" w:name="_Toc18560"/>
      <w:bookmarkStart w:id="133" w:name="_Toc2891"/>
      <w:bookmarkStart w:id="134" w:name="_Toc31648"/>
      <w:bookmarkStart w:id="135" w:name="_Toc29150"/>
      <w:bookmarkStart w:id="136" w:name="_Toc19709"/>
      <w:bookmarkStart w:id="137" w:name="_Toc18187"/>
      <w:bookmarkStart w:id="138" w:name="_Toc31614"/>
      <w:bookmarkStart w:id="139" w:name="_Toc22264"/>
      <w:bookmarkStart w:id="140" w:name="_Toc7414"/>
      <w:bookmarkStart w:id="141" w:name="_Toc23357"/>
      <w:bookmarkStart w:id="142" w:name="_Toc22288"/>
      <w:bookmarkStart w:id="143" w:name="_Toc30286"/>
      <w:bookmarkStart w:id="144" w:name="_Toc30457"/>
      <w:bookmarkStart w:id="145" w:name="_Toc6330"/>
      <w:bookmarkStart w:id="146" w:name="_Toc9800"/>
      <w:bookmarkStart w:id="147" w:name="_Toc1948"/>
    </w:p>
    <w:p>
      <w:pPr>
        <w:adjustRightInd w:val="0"/>
        <w:snapToGrid w:val="0"/>
        <w:spacing w:line="604" w:lineRule="exact"/>
        <w:jc w:val="center"/>
        <w:textAlignment w:val="baseline"/>
        <w:outlineLvl w:val="1"/>
        <w:rPr>
          <w:rFonts w:ascii="方正黑体_GBK" w:hAnsi="Times New Roman" w:eastAsia="方正黑体_GBK" w:cs="Times New Roman"/>
          <w:kern w:val="0"/>
          <w:u w:color="000000"/>
        </w:rPr>
      </w:pPr>
      <w:r>
        <w:rPr>
          <w:rFonts w:hint="eastAsia" w:ascii="方正黑体_GBK" w:hAnsi="Times New Roman" w:eastAsia="方正黑体_GBK" w:cs="方正黑体_GBK"/>
          <w:snapToGrid w:val="0"/>
          <w:kern w:val="0"/>
          <w:sz w:val="32"/>
          <w:szCs w:val="32"/>
          <w:u w:color="000000"/>
        </w:rPr>
        <w:t>第三节</w:t>
      </w:r>
      <w:r>
        <w:rPr>
          <w:rFonts w:ascii="方正黑体_GBK" w:hAnsi="Times New Roman" w:eastAsia="方正黑体_GBK" w:cs="方正黑体_GBK"/>
          <w:snapToGrid w:val="0"/>
          <w:kern w:val="0"/>
          <w:sz w:val="32"/>
          <w:szCs w:val="32"/>
          <w:u w:color="000000"/>
        </w:rPr>
        <w:t xml:space="preserve">  </w:t>
      </w:r>
      <w:r>
        <w:rPr>
          <w:rFonts w:hint="eastAsia" w:ascii="方正黑体_GBK" w:hAnsi="Times New Roman" w:eastAsia="方正黑体_GBK" w:cs="方正黑体_GBK"/>
          <w:snapToGrid w:val="0"/>
          <w:kern w:val="0"/>
          <w:sz w:val="32"/>
          <w:szCs w:val="32"/>
          <w:u w:color="000000"/>
        </w:rPr>
        <w:t>要素保障</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Start w:id="148" w:name="_Toc21246"/>
      <w:bookmarkStart w:id="149" w:name="_Toc11823"/>
      <w:bookmarkStart w:id="150" w:name="_Toc29203"/>
      <w:bookmarkStart w:id="151" w:name="_Toc24227"/>
      <w:bookmarkStart w:id="152" w:name="_Toc14174"/>
      <w:bookmarkStart w:id="153" w:name="_Toc28166"/>
      <w:bookmarkStart w:id="154" w:name="_Toc20938"/>
      <w:bookmarkStart w:id="155" w:name="_Toc19074"/>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用地支持</w:t>
      </w:r>
      <w:bookmarkEnd w:id="148"/>
      <w:bookmarkEnd w:id="149"/>
      <w:bookmarkEnd w:id="150"/>
      <w:bookmarkEnd w:id="151"/>
      <w:bookmarkEnd w:id="152"/>
      <w:bookmarkEnd w:id="153"/>
      <w:bookmarkEnd w:id="154"/>
      <w:bookmarkEnd w:id="155"/>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在符合法律法规、具备供地条件的情况下，优先保障文化建设和文旅融合用地需求，对重大项目实行点状供地。支持各类市场主体利用工业厂房、仓储用房、传统商业街等存量房地资源兴办文化建设和文旅融合项目，在符合城市规划的前提下，其原用途和原土地使用权利人可暂不变更。对项目建设确需占用农用地且符合我市重大产业项目准入条件的，优先纳入年度新增建设用地计划予以重点保障。符合创新型产业用地有关规定办理用地手续，实行弹性出让、灵活供地。</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156" w:name="_Toc3540"/>
      <w:bookmarkStart w:id="157" w:name="_Toc26398"/>
      <w:bookmarkStart w:id="158" w:name="_Toc13801"/>
      <w:bookmarkStart w:id="159" w:name="_Toc5824"/>
      <w:bookmarkStart w:id="160" w:name="_Toc8775"/>
      <w:bookmarkStart w:id="161" w:name="_Toc24834"/>
      <w:bookmarkStart w:id="162" w:name="_Toc16404"/>
      <w:bookmarkStart w:id="163" w:name="_Toc16572"/>
      <w:r>
        <w:rPr>
          <w:rFonts w:hint="eastAsia" w:ascii="Times New Roman" w:hAnsi="Times New Roman" w:eastAsia="方正仿宋_GBK" w:cs="方正仿宋_GBK"/>
          <w:b/>
          <w:bCs/>
          <w:snapToGrid w:val="0"/>
          <w:kern w:val="0"/>
          <w:sz w:val="32"/>
          <w:szCs w:val="32"/>
          <w:u w:color="000000"/>
        </w:rPr>
        <w:t>资金支持</w:t>
      </w:r>
      <w:bookmarkEnd w:id="156"/>
      <w:bookmarkEnd w:id="157"/>
      <w:bookmarkEnd w:id="158"/>
      <w:bookmarkEnd w:id="159"/>
      <w:bookmarkEnd w:id="160"/>
      <w:bookmarkEnd w:id="161"/>
      <w:bookmarkEnd w:id="162"/>
      <w:bookmarkEnd w:id="163"/>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积极落实市委、市政府关于</w:t>
      </w:r>
      <w:r>
        <w:rPr>
          <w:rFonts w:hint="eastAsia" w:ascii="宋体" w:hAnsi="宋体" w:eastAsia="宋体" w:cs="宋体"/>
          <w:snapToGrid w:val="0"/>
          <w:kern w:val="0"/>
          <w:sz w:val="32"/>
          <w:szCs w:val="32"/>
          <w:u w:color="000000"/>
        </w:rPr>
        <w:t>“</w:t>
      </w:r>
      <w:r>
        <w:rPr>
          <w:rFonts w:ascii="Times New Roman" w:hAnsi="Times New Roman" w:eastAsia="方正仿宋_GBK" w:cs="Times New Roman"/>
          <w:snapToGrid w:val="0"/>
          <w:kern w:val="0"/>
          <w:sz w:val="32"/>
          <w:szCs w:val="32"/>
          <w:u w:color="000000"/>
        </w:rPr>
        <w:t>6+3</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重点产业招商引资优惠政策、达川区《推动达川区旅游产业大发展的十条措施》，加大对原创精品、项目建设、品牌创建、企业培育、示范园区、营销推广、人才引进等方面的支持力度。放大财政资金杠杆效应，积极引导社会资本投资文旅发展。充分发挥金融机构的作用，加大对中小文旅企业的金融服务，开发符合文旅企业特点的金融产品和服务模式，拓宽产业投融资渠道。鼓励文旅企业和人才以成果、专利技术、项目等作为无形资产入股。</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164" w:name="_Toc14537"/>
      <w:bookmarkStart w:id="165" w:name="_Toc26407"/>
      <w:bookmarkStart w:id="166" w:name="_Toc30572"/>
      <w:bookmarkStart w:id="167" w:name="_Toc28765"/>
      <w:bookmarkStart w:id="168" w:name="_Toc11186"/>
      <w:bookmarkStart w:id="169" w:name="_Toc21638"/>
      <w:bookmarkStart w:id="170" w:name="_Toc7594"/>
      <w:bookmarkStart w:id="171" w:name="_Toc10996"/>
      <w:r>
        <w:rPr>
          <w:rFonts w:hint="eastAsia" w:ascii="Times New Roman" w:hAnsi="Times New Roman" w:eastAsia="方正仿宋_GBK" w:cs="方正仿宋_GBK"/>
          <w:b/>
          <w:bCs/>
          <w:snapToGrid w:val="0"/>
          <w:kern w:val="0"/>
          <w:sz w:val="32"/>
          <w:szCs w:val="32"/>
          <w:u w:color="000000"/>
        </w:rPr>
        <w:t>技术支持</w:t>
      </w:r>
      <w:bookmarkEnd w:id="164"/>
      <w:bookmarkEnd w:id="165"/>
      <w:bookmarkEnd w:id="166"/>
      <w:bookmarkEnd w:id="167"/>
      <w:bookmarkEnd w:id="168"/>
      <w:bookmarkEnd w:id="169"/>
      <w:bookmarkEnd w:id="170"/>
      <w:bookmarkEnd w:id="171"/>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支持使用新技术，着力提高传媒、出版、演艺、网络、影视动漫等领域的技术装备水平。支持有实力的企业及园区建立研发中心、技术中心，加快技术共享服务平台、产业技术开发平台建设。支持发展数字版权保护、数字版权利用等关键技术，加速文创成果转化和产业化。</w:t>
      </w:r>
    </w:p>
    <w:p>
      <w:pPr>
        <w:adjustRightInd w:val="0"/>
        <w:snapToGrid w:val="0"/>
        <w:spacing w:line="578"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172" w:name="_Toc28289"/>
      <w:bookmarkStart w:id="173" w:name="_Toc8320"/>
      <w:bookmarkStart w:id="174" w:name="_Toc23989"/>
      <w:bookmarkStart w:id="175" w:name="_Toc28057"/>
      <w:bookmarkStart w:id="176" w:name="_Toc6617"/>
      <w:bookmarkStart w:id="177" w:name="_Toc14933"/>
      <w:bookmarkStart w:id="178" w:name="_Toc9434"/>
      <w:bookmarkStart w:id="179" w:name="_Toc1473"/>
      <w:r>
        <w:rPr>
          <w:rFonts w:hint="eastAsia" w:ascii="Times New Roman" w:hAnsi="Times New Roman" w:eastAsia="方正仿宋_GBK" w:cs="方正仿宋_GBK"/>
          <w:b/>
          <w:bCs/>
          <w:snapToGrid w:val="0"/>
          <w:kern w:val="0"/>
          <w:sz w:val="32"/>
          <w:szCs w:val="32"/>
          <w:u w:color="000000"/>
        </w:rPr>
        <w:t>人才支持</w:t>
      </w:r>
      <w:bookmarkEnd w:id="172"/>
      <w:bookmarkEnd w:id="173"/>
      <w:bookmarkEnd w:id="174"/>
      <w:bookmarkEnd w:id="175"/>
      <w:bookmarkEnd w:id="176"/>
      <w:bookmarkEnd w:id="177"/>
      <w:bookmarkEnd w:id="178"/>
      <w:bookmarkEnd w:id="179"/>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加强文体旅高层次创新创业人才（团队）及本土优秀人才的培育、引进和激励，做好文化创新团队的后续管理与服务工作。深入实施区校产学对接，积极整合高校、企业和协会等各方资源，实施青年文艺家和新文艺群体培养计划，推进新文艺群体和青年高端创意人才、优秀设计师选拔和培养。加大对青年人才的人才公寓、公租房保障力度。协同组建巴文化研究专家智库。推进用人制度改革，推进完善文化人才分类评价。</w:t>
      </w:r>
    </w:p>
    <w:p>
      <w:pPr>
        <w:pStyle w:val="9"/>
        <w:ind w:left="840" w:firstLine="640"/>
        <w:rPr>
          <w:rFonts w:ascii="Times New Roman" w:hAnsi="Times New Roman" w:eastAsia="方正仿宋_GBK" w:cs="Times New Roman"/>
          <w:lang w:eastAsia="zh-CN"/>
        </w:rPr>
      </w:pPr>
    </w:p>
    <w:p>
      <w:pPr>
        <w:adjustRightInd w:val="0"/>
        <w:snapToGrid w:val="0"/>
        <w:spacing w:line="604" w:lineRule="exact"/>
        <w:jc w:val="center"/>
        <w:textAlignment w:val="baseline"/>
        <w:outlineLvl w:val="1"/>
        <w:rPr>
          <w:rFonts w:ascii="方正黑体_GBK" w:hAnsi="Times New Roman" w:eastAsia="方正黑体_GBK" w:cs="Times New Roman"/>
          <w:snapToGrid w:val="0"/>
          <w:kern w:val="0"/>
          <w:sz w:val="32"/>
          <w:szCs w:val="32"/>
          <w:u w:color="000000"/>
        </w:rPr>
      </w:pPr>
      <w:bookmarkStart w:id="180" w:name="_Toc21683"/>
      <w:bookmarkStart w:id="181" w:name="_Toc3881"/>
      <w:bookmarkStart w:id="182" w:name="_Toc3854"/>
      <w:bookmarkStart w:id="183" w:name="_Toc14182"/>
      <w:bookmarkStart w:id="184" w:name="_Toc2931"/>
      <w:bookmarkStart w:id="185" w:name="_Toc18087"/>
      <w:bookmarkStart w:id="186" w:name="_Toc22575"/>
      <w:bookmarkStart w:id="187" w:name="_Toc327"/>
      <w:bookmarkStart w:id="188" w:name="_Toc3790"/>
      <w:bookmarkStart w:id="189" w:name="_Toc16578"/>
      <w:bookmarkStart w:id="190" w:name="_Toc26285"/>
      <w:bookmarkStart w:id="191" w:name="_Toc22613"/>
      <w:bookmarkStart w:id="192" w:name="_Toc28230"/>
      <w:bookmarkStart w:id="193" w:name="_Toc928"/>
      <w:bookmarkStart w:id="194" w:name="_Toc1378"/>
      <w:bookmarkStart w:id="195" w:name="_Toc25469"/>
      <w:bookmarkStart w:id="196" w:name="_Toc9199"/>
      <w:bookmarkStart w:id="197" w:name="_Toc18303"/>
      <w:bookmarkStart w:id="198" w:name="_Toc18036"/>
      <w:bookmarkStart w:id="199" w:name="_Toc20187"/>
      <w:r>
        <w:rPr>
          <w:rFonts w:hint="eastAsia" w:ascii="方正黑体_GBK" w:hAnsi="Times New Roman" w:eastAsia="方正黑体_GBK" w:cs="方正黑体_GBK"/>
          <w:snapToGrid w:val="0"/>
          <w:kern w:val="0"/>
          <w:sz w:val="32"/>
          <w:szCs w:val="32"/>
          <w:u w:color="000000"/>
        </w:rPr>
        <w:t>第四节</w:t>
      </w:r>
      <w:r>
        <w:rPr>
          <w:rFonts w:ascii="方正黑体_GBK" w:hAnsi="Times New Roman" w:eastAsia="方正黑体_GBK" w:cs="方正黑体_GBK"/>
          <w:snapToGrid w:val="0"/>
          <w:kern w:val="0"/>
          <w:sz w:val="32"/>
          <w:szCs w:val="32"/>
          <w:u w:color="000000"/>
        </w:rPr>
        <w:t xml:space="preserve">  </w:t>
      </w:r>
      <w:r>
        <w:rPr>
          <w:rFonts w:hint="eastAsia" w:ascii="方正黑体_GBK" w:hAnsi="Times New Roman" w:eastAsia="方正黑体_GBK" w:cs="方正黑体_GBK"/>
          <w:snapToGrid w:val="0"/>
          <w:kern w:val="0"/>
          <w:sz w:val="32"/>
          <w:szCs w:val="32"/>
          <w:u w:color="000000"/>
        </w:rPr>
        <w:t>政务保障</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Start w:id="200" w:name="_Toc31009"/>
      <w:bookmarkStart w:id="201" w:name="_Toc20131"/>
      <w:bookmarkStart w:id="202" w:name="_Toc20766"/>
      <w:bookmarkStart w:id="203" w:name="_Toc17977"/>
      <w:bookmarkStart w:id="204" w:name="_Toc2611"/>
      <w:bookmarkStart w:id="205" w:name="_Toc10122"/>
      <w:bookmarkStart w:id="206" w:name="_Toc12163"/>
      <w:bookmarkStart w:id="207" w:name="_Toc29830"/>
    </w:p>
    <w:p>
      <w:pPr>
        <w:adjustRightInd w:val="0"/>
        <w:snapToGrid w:val="0"/>
        <w:spacing w:line="604"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提升政府服务水平</w:t>
      </w:r>
      <w:bookmarkEnd w:id="200"/>
      <w:bookmarkEnd w:id="201"/>
      <w:bookmarkEnd w:id="202"/>
      <w:bookmarkEnd w:id="203"/>
      <w:bookmarkEnd w:id="204"/>
      <w:bookmarkEnd w:id="205"/>
      <w:bookmarkEnd w:id="206"/>
      <w:bookmarkEnd w:id="207"/>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推行重大项目</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承诺制</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，实施</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最多跑一次</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政务服务改革，为文旅企业和项目提供精准、便利、透明、高效的</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一窗口</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一站式</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服务。行政审批事项一律依法公开公布目录清单，便利企业有效经营。充分发挥文旅行业协会的沟通、协调、自律作用，培育法律咨询、财务咨询、人才培训、风险投资、代理服务等专业中介服务机构，营造法治化、专业化、市场化、国际化营商环境。</w:t>
      </w:r>
    </w:p>
    <w:p>
      <w:pPr>
        <w:adjustRightInd w:val="0"/>
        <w:snapToGrid w:val="0"/>
        <w:spacing w:line="604"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208" w:name="_Toc7491"/>
      <w:bookmarkStart w:id="209" w:name="_Toc19024"/>
      <w:bookmarkStart w:id="210" w:name="_Toc14929"/>
      <w:bookmarkStart w:id="211" w:name="_Toc1912"/>
      <w:bookmarkStart w:id="212" w:name="_Toc31860"/>
      <w:bookmarkStart w:id="213" w:name="_Toc7683"/>
      <w:bookmarkStart w:id="214" w:name="_Toc16345"/>
      <w:bookmarkStart w:id="215" w:name="_Toc32620"/>
      <w:r>
        <w:rPr>
          <w:rFonts w:hint="eastAsia" w:ascii="Times New Roman" w:hAnsi="Times New Roman" w:eastAsia="方正仿宋_GBK" w:cs="方正仿宋_GBK"/>
          <w:b/>
          <w:bCs/>
          <w:snapToGrid w:val="0"/>
          <w:kern w:val="0"/>
          <w:sz w:val="32"/>
          <w:szCs w:val="32"/>
          <w:u w:color="000000"/>
        </w:rPr>
        <w:t>强化产权保护利用</w:t>
      </w:r>
      <w:bookmarkEnd w:id="208"/>
      <w:bookmarkEnd w:id="209"/>
      <w:bookmarkEnd w:id="210"/>
      <w:bookmarkEnd w:id="211"/>
      <w:bookmarkEnd w:id="212"/>
      <w:bookmarkEnd w:id="213"/>
      <w:bookmarkEnd w:id="214"/>
      <w:bookmarkEnd w:id="215"/>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全面落实和深入实施国家知识产权战略，围绕版权的</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确权、评估、抵押、交易、变现</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等环节，创新理念与思路，探索文旅知识产权发展新路径。以探索建立文旅企业知识产权数字备案制度为重点，加快提升版权保护管理的服务市场、服务企业能力水平，促进知识产权的开发利用。规范知识产权管理，鼓励知识产权授权开发。</w:t>
      </w:r>
    </w:p>
    <w:p>
      <w:pPr>
        <w:adjustRightInd w:val="0"/>
        <w:snapToGrid w:val="0"/>
        <w:spacing w:line="604"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bookmarkStart w:id="216" w:name="_Toc9946"/>
      <w:bookmarkStart w:id="217" w:name="_Toc27500"/>
      <w:bookmarkStart w:id="218" w:name="_Toc10107"/>
      <w:bookmarkStart w:id="219" w:name="_Toc19714"/>
      <w:bookmarkStart w:id="220" w:name="_Toc10873"/>
      <w:bookmarkStart w:id="221" w:name="_Toc1976"/>
      <w:bookmarkStart w:id="222" w:name="_Toc19738"/>
      <w:bookmarkStart w:id="223" w:name="_Toc13610"/>
      <w:r>
        <w:rPr>
          <w:rFonts w:hint="eastAsia" w:ascii="Times New Roman" w:hAnsi="Times New Roman" w:eastAsia="方正仿宋_GBK" w:cs="方正仿宋_GBK"/>
          <w:b/>
          <w:bCs/>
          <w:snapToGrid w:val="0"/>
          <w:kern w:val="0"/>
          <w:sz w:val="32"/>
          <w:szCs w:val="32"/>
          <w:u w:color="000000"/>
        </w:rPr>
        <w:t>营造浓厚文化氛围</w:t>
      </w:r>
      <w:bookmarkEnd w:id="216"/>
      <w:bookmarkEnd w:id="217"/>
      <w:bookmarkEnd w:id="218"/>
      <w:bookmarkEnd w:id="219"/>
      <w:bookmarkEnd w:id="220"/>
      <w:bookmarkEnd w:id="221"/>
      <w:bookmarkEnd w:id="222"/>
      <w:bookmarkEnd w:id="223"/>
      <w:r>
        <w:rPr>
          <w:rFonts w:hint="eastAsia" w:ascii="Times New Roman" w:hAnsi="Times New Roman" w:eastAsia="方正仿宋_GBK" w:cs="方正仿宋_GBK"/>
          <w:b/>
          <w:bCs/>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定期发布文旅经济发展的机会清单、场景清单，鼓励新建改建艺术馆、美术馆、纪念馆群、艺术家村落、创客空间等，支持音乐节等街头艺术活动的开展，不断提升文化浓度，促进文旅融合发展。充分利用微信、微博、网络、报纸、电视等各种媒体资源，加大对文化建设和文旅发展工作的宣传力度。</w:t>
      </w:r>
    </w:p>
    <w:p>
      <w:pPr>
        <w:adjustRightInd w:val="0"/>
        <w:snapToGrid w:val="0"/>
        <w:spacing w:line="604" w:lineRule="exact"/>
        <w:ind w:firstLine="643" w:firstLineChars="200"/>
        <w:textAlignment w:val="baseline"/>
        <w:outlineLvl w:val="2"/>
        <w:rPr>
          <w:rFonts w:ascii="Times New Roman" w:hAnsi="Times New Roman" w:eastAsia="方正仿宋_GBK" w:cs="Times New Roman"/>
          <w:snapToGrid w:val="0"/>
          <w:kern w:val="0"/>
          <w:sz w:val="32"/>
          <w:szCs w:val="32"/>
          <w:u w:color="000000"/>
        </w:rPr>
      </w:pPr>
      <w:r>
        <w:rPr>
          <w:rFonts w:hint="eastAsia" w:ascii="Times New Roman" w:hAnsi="Times New Roman" w:eastAsia="方正仿宋_GBK" w:cs="方正仿宋_GBK"/>
          <w:b/>
          <w:bCs/>
          <w:snapToGrid w:val="0"/>
          <w:kern w:val="0"/>
          <w:sz w:val="32"/>
          <w:szCs w:val="32"/>
          <w:u w:color="000000"/>
        </w:rPr>
        <w:t>提升开放合作水平。</w:t>
      </w:r>
      <w:r>
        <w:rPr>
          <w:rFonts w:hint="eastAsia" w:ascii="Times New Roman" w:hAnsi="Times New Roman" w:eastAsia="方正仿宋_GBK" w:cs="方正仿宋_GBK"/>
          <w:snapToGrid w:val="0"/>
          <w:kern w:val="0"/>
          <w:sz w:val="32"/>
          <w:szCs w:val="32"/>
          <w:u w:color="000000"/>
        </w:rPr>
        <w:t>以连片设计、连片开发、连片打包的方式组团推介，开展文旅产业链闭环招商。建设目标企业名录库，深入开展</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达商回引</w:t>
      </w:r>
      <w:r>
        <w:rPr>
          <w:rFonts w:hint="eastAsia" w:ascii="宋体" w:hAnsi="宋体" w:eastAsia="宋体" w:cs="宋体"/>
          <w:snapToGrid w:val="0"/>
          <w:kern w:val="0"/>
          <w:sz w:val="32"/>
          <w:szCs w:val="32"/>
          <w:u w:color="000000"/>
        </w:rPr>
        <w:t>”</w:t>
      </w:r>
      <w:r>
        <w:rPr>
          <w:rFonts w:hint="eastAsia" w:ascii="Times New Roman" w:hAnsi="Times New Roman" w:eastAsia="方正仿宋_GBK" w:cs="方正仿宋_GBK"/>
          <w:snapToGrid w:val="0"/>
          <w:kern w:val="0"/>
          <w:sz w:val="32"/>
          <w:szCs w:val="32"/>
          <w:u w:color="000000"/>
        </w:rPr>
        <w:t>工程，举办文旅产业专题招商推介会，积极参与省内外重大投资促进活动，利用省级以上平台和小分队等多种方式招商。</w:t>
      </w:r>
    </w:p>
    <w:p>
      <w:pPr>
        <w:adjustRightInd w:val="0"/>
        <w:snapToGrid w:val="0"/>
        <w:spacing w:line="604" w:lineRule="exact"/>
        <w:ind w:firstLine="640" w:firstLineChars="200"/>
        <w:textAlignment w:val="baseline"/>
        <w:rPr>
          <w:rFonts w:ascii="Times New Roman" w:hAnsi="Times New Roman" w:eastAsia="方正仿宋_GBK" w:cs="Times New Roman"/>
          <w:snapToGrid w:val="0"/>
          <w:kern w:val="0"/>
          <w:sz w:val="32"/>
          <w:szCs w:val="32"/>
          <w:u w:color="000000"/>
        </w:rPr>
      </w:pPr>
    </w:p>
    <w:p>
      <w:pPr>
        <w:adjustRightInd w:val="0"/>
        <w:snapToGrid w:val="0"/>
        <w:spacing w:line="604" w:lineRule="exact"/>
        <w:jc w:val="center"/>
        <w:textAlignment w:val="baseline"/>
        <w:outlineLvl w:val="1"/>
        <w:rPr>
          <w:rFonts w:ascii="方正黑体_GBK" w:hAnsi="Times New Roman" w:eastAsia="方正黑体_GBK" w:cs="Times New Roman"/>
          <w:snapToGrid w:val="0"/>
          <w:kern w:val="0"/>
          <w:sz w:val="32"/>
          <w:szCs w:val="32"/>
          <w:u w:color="000000"/>
        </w:rPr>
      </w:pPr>
      <w:bookmarkStart w:id="224" w:name="_Toc785"/>
      <w:r>
        <w:rPr>
          <w:rFonts w:hint="eastAsia" w:ascii="方正黑体_GBK" w:hAnsi="Times New Roman" w:eastAsia="方正黑体_GBK" w:cs="方正黑体_GBK"/>
          <w:snapToGrid w:val="0"/>
          <w:kern w:val="0"/>
          <w:sz w:val="32"/>
          <w:szCs w:val="32"/>
          <w:u w:color="000000"/>
        </w:rPr>
        <w:t>第五节</w:t>
      </w:r>
      <w:r>
        <w:rPr>
          <w:rFonts w:ascii="方正黑体_GBK" w:hAnsi="Times New Roman" w:eastAsia="方正黑体_GBK" w:cs="方正黑体_GBK"/>
          <w:snapToGrid w:val="0"/>
          <w:kern w:val="0"/>
          <w:sz w:val="32"/>
          <w:szCs w:val="32"/>
          <w:u w:color="000000"/>
        </w:rPr>
        <w:t xml:space="preserve">  </w:t>
      </w:r>
      <w:r>
        <w:rPr>
          <w:rFonts w:hint="eastAsia" w:ascii="方正黑体_GBK" w:hAnsi="Times New Roman" w:eastAsia="方正黑体_GBK" w:cs="方正黑体_GBK"/>
          <w:snapToGrid w:val="0"/>
          <w:kern w:val="0"/>
          <w:sz w:val="32"/>
          <w:szCs w:val="32"/>
          <w:u w:color="000000"/>
        </w:rPr>
        <w:t>安全保障</w:t>
      </w:r>
      <w:bookmarkEnd w:id="224"/>
    </w:p>
    <w:p>
      <w:pPr>
        <w:pStyle w:val="24"/>
        <w:adjustRightInd w:val="0"/>
        <w:snapToGrid w:val="0"/>
        <w:spacing w:before="0" w:after="0" w:line="578" w:lineRule="exact"/>
        <w:ind w:firstLine="640" w:firstLineChars="200"/>
        <w:jc w:val="both"/>
        <w:outlineLvl w:val="9"/>
        <w:rPr>
          <w:rFonts w:ascii="Times New Roman" w:hAnsi="Times New Roman" w:eastAsia="方正仿宋_GBK" w:cs="Times New Roman"/>
          <w:b w:val="0"/>
          <w:bCs w:val="0"/>
          <w:snapToGrid w:val="0"/>
          <w:kern w:val="0"/>
          <w:u w:color="000000"/>
        </w:rPr>
      </w:pPr>
      <w:r>
        <w:rPr>
          <w:rFonts w:hint="eastAsia" w:ascii="Times New Roman" w:hAnsi="Times New Roman" w:eastAsia="方正仿宋_GBK" w:cs="方正仿宋_GBK"/>
          <w:b w:val="0"/>
          <w:bCs w:val="0"/>
          <w:snapToGrid w:val="0"/>
          <w:kern w:val="0"/>
          <w:u w:color="000000"/>
        </w:rPr>
        <w:t>抓好环境整治，开展文化、体育、旅游经营场所环境整治，</w:t>
      </w:r>
      <w:r>
        <w:rPr>
          <w:rFonts w:ascii="Times New Roman" w:hAnsi="Times New Roman" w:eastAsia="方正仿宋_GBK" w:cs="Times New Roman"/>
          <w:b w:val="0"/>
          <w:bCs w:val="0"/>
          <w:snapToGrid w:val="0"/>
          <w:kern w:val="0"/>
          <w:u w:color="000000"/>
        </w:rPr>
        <w:t>A</w:t>
      </w:r>
      <w:r>
        <w:rPr>
          <w:rFonts w:hint="eastAsia" w:ascii="Times New Roman" w:hAnsi="Times New Roman" w:eastAsia="方正仿宋_GBK" w:cs="方正仿宋_GBK"/>
          <w:b w:val="0"/>
          <w:bCs w:val="0"/>
          <w:snapToGrid w:val="0"/>
          <w:kern w:val="0"/>
          <w:u w:color="000000"/>
        </w:rPr>
        <w:t>级旅游景区、文体公共服务场所及其周边实现洁化绿化美化。加强安全监管，完善文体旅游场所突发公共事件应急预案并定期开展演练，规范</w:t>
      </w:r>
      <w:r>
        <w:rPr>
          <w:rFonts w:ascii="Times New Roman" w:hAnsi="Times New Roman" w:eastAsia="方正仿宋_GBK" w:cs="Times New Roman"/>
          <w:b w:val="0"/>
          <w:bCs w:val="0"/>
          <w:snapToGrid w:val="0"/>
          <w:kern w:val="0"/>
          <w:u w:color="000000"/>
        </w:rPr>
        <w:t>A</w:t>
      </w:r>
      <w:r>
        <w:rPr>
          <w:rFonts w:hint="eastAsia" w:ascii="Times New Roman" w:hAnsi="Times New Roman" w:eastAsia="方正仿宋_GBK" w:cs="方正仿宋_GBK"/>
          <w:b w:val="0"/>
          <w:bCs w:val="0"/>
          <w:snapToGrid w:val="0"/>
          <w:kern w:val="0"/>
          <w:u w:color="000000"/>
        </w:rPr>
        <w:t>级旅游景区警务室设置，强化</w:t>
      </w:r>
      <w:r>
        <w:rPr>
          <w:rFonts w:ascii="Times New Roman" w:hAnsi="Times New Roman" w:eastAsia="方正仿宋_GBK" w:cs="Times New Roman"/>
          <w:b w:val="0"/>
          <w:bCs w:val="0"/>
          <w:snapToGrid w:val="0"/>
          <w:kern w:val="0"/>
          <w:u w:color="000000"/>
        </w:rPr>
        <w:t>A</w:t>
      </w:r>
      <w:r>
        <w:rPr>
          <w:rFonts w:hint="eastAsia" w:ascii="Times New Roman" w:hAnsi="Times New Roman" w:eastAsia="方正仿宋_GBK" w:cs="方正仿宋_GBK"/>
          <w:b w:val="0"/>
          <w:bCs w:val="0"/>
          <w:snapToGrid w:val="0"/>
          <w:kern w:val="0"/>
          <w:u w:color="000000"/>
        </w:rPr>
        <w:t>级旅游景区、文体公共服务场所的人防、物防、技防设施建设，建立和完善安全防范制度。按照职能职责，加强对文旅重点项目安全监管和指导。以</w:t>
      </w:r>
      <w:r>
        <w:rPr>
          <w:rFonts w:hint="eastAsia" w:ascii="宋体" w:cs="宋体"/>
          <w:b w:val="0"/>
          <w:bCs w:val="0"/>
          <w:snapToGrid w:val="0"/>
          <w:kern w:val="0"/>
          <w:u w:color="000000"/>
        </w:rPr>
        <w:t>“</w:t>
      </w:r>
      <w:r>
        <w:rPr>
          <w:rFonts w:hint="eastAsia" w:ascii="Times New Roman" w:hAnsi="Times New Roman" w:eastAsia="方正仿宋_GBK" w:cs="方正仿宋_GBK"/>
          <w:b w:val="0"/>
          <w:bCs w:val="0"/>
          <w:snapToGrid w:val="0"/>
          <w:kern w:val="0"/>
          <w:u w:color="000000"/>
        </w:rPr>
        <w:t>预防为主，防救结合</w:t>
      </w:r>
      <w:r>
        <w:rPr>
          <w:rFonts w:hint="eastAsia" w:ascii="宋体" w:cs="宋体"/>
          <w:b w:val="0"/>
          <w:bCs w:val="0"/>
          <w:snapToGrid w:val="0"/>
          <w:kern w:val="0"/>
          <w:u w:color="000000"/>
        </w:rPr>
        <w:t>”</w:t>
      </w:r>
      <w:r>
        <w:rPr>
          <w:rFonts w:hint="eastAsia" w:ascii="Times New Roman" w:hAnsi="Times New Roman" w:eastAsia="方正仿宋_GBK" w:cs="方正仿宋_GBK"/>
          <w:b w:val="0"/>
          <w:bCs w:val="0"/>
          <w:snapToGrid w:val="0"/>
          <w:kern w:val="0"/>
          <w:u w:color="000000"/>
        </w:rPr>
        <w:t>构建我市文化旅游安全体系。推进我区文旅平安建设，建立健全由旅游企业、旅游救援中心、保险、医疗、公安、武警、消防、通讯、交通等多部门联动区、乡（镇）、重点景区三级安全救援机制，满足我区旅游安全救援需要。加强市场监管，建立健全文体旅游综合监管体系，确保不发生重大生态环境、文体旅游资源破坏事件，不发生较大文体旅游安全的责任事故、严重损害市民和游客权益并产生重大负面影响的责任事件。</w:t>
      </w:r>
    </w:p>
    <w:p>
      <w:pPr>
        <w:pStyle w:val="2"/>
        <w:ind w:left="840" w:hanging="420"/>
        <w:rPr>
          <w:rFonts w:cs="Times New Roman"/>
          <w:snapToGrid w:val="0"/>
          <w:sz w:val="32"/>
          <w:szCs w:val="32"/>
          <w:u w:color="000000"/>
        </w:rPr>
      </w:pPr>
      <w:r>
        <w:rPr>
          <w:rFonts w:cs="Times New Roman"/>
          <w:snapToGrid w:val="0"/>
          <w:u w:color="000000"/>
        </w:rPr>
        <w:br w:type="page"/>
      </w:r>
    </w:p>
    <w:p>
      <w:pPr>
        <w:pStyle w:val="24"/>
        <w:adjustRightInd w:val="0"/>
        <w:snapToGrid w:val="0"/>
        <w:spacing w:before="0" w:after="0" w:line="578" w:lineRule="exact"/>
        <w:ind w:firstLine="643" w:firstLineChars="200"/>
        <w:jc w:val="both"/>
        <w:outlineLvl w:val="9"/>
        <w:rPr>
          <w:rFonts w:ascii="Times New Roman" w:hAnsi="Times New Roman" w:eastAsia="方正仿宋_GBK" w:cs="Times New Roman"/>
        </w:rPr>
        <w:sectPr>
          <w:footerReference r:id="rId3" w:type="default"/>
          <w:footerReference r:id="rId4" w:type="even"/>
          <w:pgSz w:w="11906" w:h="16838"/>
          <w:pgMar w:top="2098" w:right="1474" w:bottom="1985" w:left="1588" w:header="851" w:footer="1701" w:gutter="0"/>
          <w:pgNumType w:fmt="numberInDash"/>
          <w:cols w:space="425" w:num="1"/>
          <w:docGrid w:linePitch="312" w:charSpace="0"/>
        </w:sectPr>
      </w:pPr>
    </w:p>
    <w:p>
      <w:pPr>
        <w:jc w:val="left"/>
        <w:outlineLvl w:val="0"/>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附表</w:t>
      </w:r>
    </w:p>
    <w:p>
      <w:pPr>
        <w:snapToGrid w:val="0"/>
        <w:spacing w:line="578" w:lineRule="exact"/>
        <w:jc w:val="center"/>
        <w:rPr>
          <w:rFonts w:ascii="方正小标宋_GBK" w:hAnsi="Times New Roman" w:eastAsia="方正小标宋_GBK" w:cs="Times New Roman"/>
          <w:sz w:val="44"/>
          <w:szCs w:val="44"/>
        </w:rPr>
      </w:pPr>
      <w:r>
        <w:rPr>
          <w:rFonts w:hint="eastAsia" w:ascii="宋体" w:hAnsi="宋体" w:eastAsia="宋体" w:cs="宋体"/>
          <w:sz w:val="44"/>
          <w:szCs w:val="44"/>
        </w:rPr>
        <w:t>“</w:t>
      </w:r>
      <w:r>
        <w:rPr>
          <w:rFonts w:hint="eastAsia" w:ascii="方正小标宋_GBK" w:hAnsi="Times New Roman" w:eastAsia="方正小标宋_GBK" w:cs="方正小标宋_GBK"/>
          <w:sz w:val="44"/>
          <w:szCs w:val="44"/>
        </w:rPr>
        <w:t>十四五</w:t>
      </w:r>
      <w:r>
        <w:rPr>
          <w:rFonts w:hint="eastAsia" w:ascii="宋体" w:hAnsi="宋体" w:eastAsia="宋体" w:cs="宋体"/>
          <w:sz w:val="44"/>
          <w:szCs w:val="44"/>
        </w:rPr>
        <w:t>”</w:t>
      </w:r>
      <w:r>
        <w:rPr>
          <w:rFonts w:hint="eastAsia" w:ascii="方正小标宋_GBK" w:hAnsi="Times New Roman" w:eastAsia="方正小标宋_GBK" w:cs="方正小标宋_GBK"/>
          <w:sz w:val="44"/>
          <w:szCs w:val="44"/>
        </w:rPr>
        <w:t>文化体育旅游和广播电视发展规划</w:t>
      </w:r>
      <w:bookmarkStart w:id="225" w:name="_Toc17874"/>
      <w:r>
        <w:rPr>
          <w:rFonts w:hint="eastAsia" w:ascii="方正小标宋_GBK" w:hAnsi="Times New Roman" w:eastAsia="方正小标宋_GBK" w:cs="方正小标宋_GBK"/>
          <w:sz w:val="44"/>
          <w:szCs w:val="44"/>
        </w:rPr>
        <w:t>项目</w:t>
      </w:r>
      <w:bookmarkEnd w:id="225"/>
      <w:r>
        <w:rPr>
          <w:rFonts w:hint="eastAsia" w:ascii="方正小标宋_GBK" w:hAnsi="Times New Roman" w:eastAsia="方正小标宋_GBK" w:cs="方正小标宋_GBK"/>
          <w:sz w:val="44"/>
          <w:szCs w:val="44"/>
        </w:rPr>
        <w:t>表</w:t>
      </w:r>
    </w:p>
    <w:tbl>
      <w:tblPr>
        <w:tblStyle w:val="25"/>
        <w:tblW w:w="151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36"/>
        <w:gridCol w:w="1130"/>
        <w:gridCol w:w="4044"/>
        <w:gridCol w:w="1361"/>
        <w:gridCol w:w="1361"/>
        <w:gridCol w:w="1361"/>
        <w:gridCol w:w="1361"/>
        <w:gridCol w:w="1361"/>
        <w:gridCol w:w="818"/>
        <w:gridCol w:w="783"/>
        <w:gridCol w:w="1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68" w:hRule="atLeast"/>
          <w:tblHeader/>
          <w:jc w:val="center"/>
        </w:trPr>
        <w:tc>
          <w:tcPr>
            <w:tcW w:w="536" w:type="dxa"/>
            <w:vMerge w:val="restart"/>
            <w:vAlign w:val="center"/>
          </w:tcPr>
          <w:p>
            <w:pPr>
              <w:adjustRightInd w:val="0"/>
              <w:snapToGrid w:val="0"/>
              <w:spacing w:line="22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hint="eastAsia" w:ascii="Times New Roman" w:hAnsi="Times New Roman" w:eastAsia="方正仿宋_GBK" w:cs="方正仿宋_GBK"/>
                <w:snapToGrid w:val="0"/>
                <w:spacing w:val="-10"/>
                <w:kern w:val="0"/>
                <w:sz w:val="24"/>
                <w:szCs w:val="24"/>
              </w:rPr>
              <w:t>序号</w:t>
            </w:r>
          </w:p>
        </w:tc>
        <w:tc>
          <w:tcPr>
            <w:tcW w:w="1130" w:type="dxa"/>
            <w:vMerge w:val="restart"/>
            <w:vAlign w:val="center"/>
          </w:tcPr>
          <w:p>
            <w:pPr>
              <w:adjustRightInd w:val="0"/>
              <w:snapToGrid w:val="0"/>
              <w:spacing w:line="22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hint="eastAsia" w:ascii="Times New Roman" w:hAnsi="Times New Roman" w:eastAsia="方正仿宋_GBK" w:cs="方正仿宋_GBK"/>
                <w:snapToGrid w:val="0"/>
                <w:spacing w:val="-10"/>
                <w:kern w:val="0"/>
                <w:sz w:val="24"/>
                <w:szCs w:val="24"/>
              </w:rPr>
              <w:t>名称</w:t>
            </w:r>
          </w:p>
        </w:tc>
        <w:tc>
          <w:tcPr>
            <w:tcW w:w="4044" w:type="dxa"/>
            <w:vMerge w:val="restart"/>
            <w:vAlign w:val="center"/>
          </w:tcPr>
          <w:p>
            <w:pPr>
              <w:adjustRightInd w:val="0"/>
              <w:snapToGrid w:val="0"/>
              <w:spacing w:line="22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hint="eastAsia" w:ascii="Times New Roman" w:hAnsi="Times New Roman" w:eastAsia="方正仿宋_GBK" w:cs="方正仿宋_GBK"/>
                <w:snapToGrid w:val="0"/>
                <w:spacing w:val="-10"/>
                <w:kern w:val="0"/>
                <w:sz w:val="24"/>
                <w:szCs w:val="24"/>
              </w:rPr>
              <w:t>主要项目及建设内容</w:t>
            </w:r>
          </w:p>
        </w:tc>
        <w:tc>
          <w:tcPr>
            <w:tcW w:w="6805" w:type="dxa"/>
            <w:gridSpan w:val="5"/>
            <w:vAlign w:val="center"/>
          </w:tcPr>
          <w:p>
            <w:pPr>
              <w:adjustRightInd w:val="0"/>
              <w:snapToGrid w:val="0"/>
              <w:spacing w:line="22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hint="eastAsia" w:ascii="Times New Roman" w:hAnsi="Times New Roman" w:eastAsia="方正仿宋_GBK" w:cs="方正仿宋_GBK"/>
                <w:snapToGrid w:val="0"/>
                <w:spacing w:val="-10"/>
                <w:kern w:val="0"/>
                <w:sz w:val="24"/>
                <w:szCs w:val="24"/>
              </w:rPr>
              <w:t>年度规划目标</w:t>
            </w:r>
          </w:p>
        </w:tc>
        <w:tc>
          <w:tcPr>
            <w:tcW w:w="818" w:type="dxa"/>
            <w:vMerge w:val="restart"/>
            <w:vAlign w:val="center"/>
          </w:tcPr>
          <w:p>
            <w:pPr>
              <w:adjustRightInd w:val="0"/>
              <w:snapToGrid w:val="0"/>
              <w:spacing w:line="22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hint="eastAsia" w:ascii="Times New Roman" w:hAnsi="Times New Roman" w:eastAsia="方正仿宋_GBK" w:cs="方正仿宋_GBK"/>
                <w:snapToGrid w:val="0"/>
                <w:spacing w:val="-10"/>
                <w:kern w:val="0"/>
                <w:sz w:val="24"/>
                <w:szCs w:val="24"/>
              </w:rPr>
              <w:t>地点</w:t>
            </w:r>
          </w:p>
        </w:tc>
        <w:tc>
          <w:tcPr>
            <w:tcW w:w="783" w:type="dxa"/>
            <w:vMerge w:val="restart"/>
            <w:vAlign w:val="center"/>
          </w:tcPr>
          <w:p>
            <w:pPr>
              <w:adjustRightInd w:val="0"/>
              <w:snapToGrid w:val="0"/>
              <w:spacing w:line="22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hint="eastAsia" w:ascii="Times New Roman" w:hAnsi="Times New Roman" w:eastAsia="方正仿宋_GBK" w:cs="方正仿宋_GBK"/>
                <w:snapToGrid w:val="0"/>
                <w:spacing w:val="-10"/>
                <w:kern w:val="0"/>
                <w:sz w:val="24"/>
                <w:szCs w:val="24"/>
              </w:rPr>
              <w:t>投入</w:t>
            </w:r>
          </w:p>
          <w:p>
            <w:pPr>
              <w:adjustRightInd w:val="0"/>
              <w:snapToGrid w:val="0"/>
              <w:spacing w:line="22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ascii="Times New Roman" w:hAnsi="Times New Roman" w:eastAsia="方正仿宋_GBK" w:cs="Times New Roman"/>
                <w:snapToGrid w:val="0"/>
                <w:spacing w:val="-10"/>
                <w:kern w:val="0"/>
                <w:sz w:val="24"/>
                <w:szCs w:val="24"/>
              </w:rPr>
              <w:t>(</w:t>
            </w:r>
            <w:r>
              <w:rPr>
                <w:rStyle w:val="32"/>
                <w:rFonts w:hint="eastAsia" w:ascii="Times New Roman" w:hAnsi="Times New Roman" w:eastAsia="方正仿宋_GBK" w:cs="方正仿宋_GBK"/>
                <w:snapToGrid w:val="0"/>
                <w:spacing w:val="-10"/>
                <w:kern w:val="0"/>
                <w:sz w:val="24"/>
                <w:szCs w:val="24"/>
              </w:rPr>
              <w:t>万元</w:t>
            </w:r>
            <w:r>
              <w:rPr>
                <w:rStyle w:val="32"/>
                <w:rFonts w:ascii="Times New Roman" w:hAnsi="Times New Roman" w:eastAsia="方正仿宋_GBK" w:cs="Times New Roman"/>
                <w:snapToGrid w:val="0"/>
                <w:spacing w:val="-10"/>
                <w:kern w:val="0"/>
                <w:sz w:val="24"/>
                <w:szCs w:val="24"/>
              </w:rPr>
              <w:t>)</w:t>
            </w:r>
          </w:p>
        </w:tc>
        <w:tc>
          <w:tcPr>
            <w:tcW w:w="1048" w:type="dxa"/>
            <w:vMerge w:val="restart"/>
            <w:vAlign w:val="center"/>
          </w:tcPr>
          <w:p>
            <w:pPr>
              <w:adjustRightInd w:val="0"/>
              <w:snapToGrid w:val="0"/>
              <w:spacing w:line="22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hint="eastAsia" w:ascii="Times New Roman" w:hAnsi="Times New Roman" w:eastAsia="方正仿宋_GBK" w:cs="方正仿宋_GBK"/>
                <w:snapToGrid w:val="0"/>
                <w:spacing w:val="-10"/>
                <w:kern w:val="0"/>
                <w:sz w:val="24"/>
                <w:szCs w:val="24"/>
              </w:rPr>
              <w:t>建设</w:t>
            </w:r>
          </w:p>
          <w:p>
            <w:pPr>
              <w:adjustRightInd w:val="0"/>
              <w:snapToGrid w:val="0"/>
              <w:spacing w:line="22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hint="eastAsia" w:ascii="Times New Roman" w:hAnsi="Times New Roman" w:eastAsia="方正仿宋_GBK" w:cs="方正仿宋_GBK"/>
                <w:snapToGrid w:val="0"/>
                <w:spacing w:val="-10"/>
                <w:kern w:val="0"/>
                <w:sz w:val="24"/>
                <w:szCs w:val="24"/>
              </w:rPr>
              <w:t>时限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6" w:hRule="atLeast"/>
          <w:tblHeader/>
          <w:jc w:val="center"/>
        </w:trPr>
        <w:tc>
          <w:tcPr>
            <w:tcW w:w="536" w:type="dxa"/>
            <w:vMerge w:val="continue"/>
            <w:vAlign w:val="center"/>
          </w:tcPr>
          <w:p>
            <w:pPr>
              <w:adjustRightInd w:val="0"/>
              <w:snapToGrid w:val="0"/>
              <w:spacing w:line="220" w:lineRule="exact"/>
              <w:rPr>
                <w:rStyle w:val="32"/>
                <w:rFonts w:ascii="Times New Roman" w:hAnsi="Times New Roman" w:eastAsia="方正仿宋_GBK" w:cs="Times New Roman"/>
                <w:b w:val="0"/>
                <w:bCs w:val="0"/>
                <w:snapToGrid w:val="0"/>
                <w:spacing w:val="-10"/>
                <w:kern w:val="0"/>
                <w:sz w:val="24"/>
                <w:szCs w:val="24"/>
              </w:rPr>
            </w:pPr>
          </w:p>
        </w:tc>
        <w:tc>
          <w:tcPr>
            <w:tcW w:w="1130" w:type="dxa"/>
            <w:vMerge w:val="continue"/>
            <w:vAlign w:val="center"/>
          </w:tcPr>
          <w:p>
            <w:pPr>
              <w:adjustRightInd w:val="0"/>
              <w:snapToGrid w:val="0"/>
              <w:spacing w:line="220" w:lineRule="exact"/>
              <w:rPr>
                <w:rStyle w:val="32"/>
                <w:rFonts w:ascii="Times New Roman" w:hAnsi="Times New Roman" w:eastAsia="方正仿宋_GBK" w:cs="Times New Roman"/>
                <w:b w:val="0"/>
                <w:bCs w:val="0"/>
                <w:snapToGrid w:val="0"/>
                <w:spacing w:val="-10"/>
                <w:kern w:val="0"/>
                <w:sz w:val="24"/>
                <w:szCs w:val="24"/>
              </w:rPr>
            </w:pPr>
          </w:p>
        </w:tc>
        <w:tc>
          <w:tcPr>
            <w:tcW w:w="4044" w:type="dxa"/>
            <w:vMerge w:val="continue"/>
            <w:vAlign w:val="center"/>
          </w:tcPr>
          <w:p>
            <w:pPr>
              <w:adjustRightInd w:val="0"/>
              <w:snapToGrid w:val="0"/>
              <w:spacing w:line="220" w:lineRule="exact"/>
              <w:rPr>
                <w:rStyle w:val="32"/>
                <w:rFonts w:ascii="Times New Roman" w:hAnsi="Times New Roman" w:eastAsia="方正仿宋_GBK" w:cs="Times New Roman"/>
                <w:b w:val="0"/>
                <w:bCs w:val="0"/>
                <w:snapToGrid w:val="0"/>
                <w:spacing w:val="-10"/>
                <w:kern w:val="0"/>
                <w:sz w:val="24"/>
                <w:szCs w:val="24"/>
              </w:rPr>
            </w:pPr>
          </w:p>
        </w:tc>
        <w:tc>
          <w:tcPr>
            <w:tcW w:w="1361" w:type="dxa"/>
            <w:vAlign w:val="center"/>
          </w:tcPr>
          <w:p>
            <w:pPr>
              <w:adjustRightInd w:val="0"/>
              <w:snapToGrid w:val="0"/>
              <w:spacing w:line="26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ascii="Times New Roman" w:hAnsi="Times New Roman" w:eastAsia="方正仿宋_GBK" w:cs="Times New Roman"/>
                <w:snapToGrid w:val="0"/>
                <w:spacing w:val="-10"/>
                <w:kern w:val="0"/>
                <w:sz w:val="24"/>
                <w:szCs w:val="24"/>
              </w:rPr>
              <w:t>2021</w:t>
            </w:r>
            <w:r>
              <w:rPr>
                <w:rStyle w:val="32"/>
                <w:rFonts w:hint="eastAsia" w:ascii="Times New Roman" w:hAnsi="Times New Roman" w:eastAsia="方正仿宋_GBK" w:cs="方正仿宋_GBK"/>
                <w:snapToGrid w:val="0"/>
                <w:spacing w:val="-10"/>
                <w:kern w:val="0"/>
                <w:sz w:val="24"/>
                <w:szCs w:val="24"/>
              </w:rPr>
              <w:t>年</w:t>
            </w:r>
          </w:p>
        </w:tc>
        <w:tc>
          <w:tcPr>
            <w:tcW w:w="1361" w:type="dxa"/>
            <w:vAlign w:val="center"/>
          </w:tcPr>
          <w:p>
            <w:pPr>
              <w:adjustRightInd w:val="0"/>
              <w:snapToGrid w:val="0"/>
              <w:spacing w:line="26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ascii="Times New Roman" w:hAnsi="Times New Roman" w:eastAsia="方正仿宋_GBK" w:cs="Times New Roman"/>
                <w:snapToGrid w:val="0"/>
                <w:spacing w:val="-10"/>
                <w:kern w:val="0"/>
                <w:sz w:val="24"/>
                <w:szCs w:val="24"/>
              </w:rPr>
              <w:t>2022</w:t>
            </w:r>
            <w:r>
              <w:rPr>
                <w:rStyle w:val="32"/>
                <w:rFonts w:hint="eastAsia" w:ascii="Times New Roman" w:hAnsi="Times New Roman" w:eastAsia="方正仿宋_GBK" w:cs="方正仿宋_GBK"/>
                <w:snapToGrid w:val="0"/>
                <w:spacing w:val="-10"/>
                <w:kern w:val="0"/>
                <w:sz w:val="24"/>
                <w:szCs w:val="24"/>
              </w:rPr>
              <w:t>年</w:t>
            </w:r>
          </w:p>
        </w:tc>
        <w:tc>
          <w:tcPr>
            <w:tcW w:w="1361" w:type="dxa"/>
            <w:vAlign w:val="center"/>
          </w:tcPr>
          <w:p>
            <w:pPr>
              <w:adjustRightInd w:val="0"/>
              <w:snapToGrid w:val="0"/>
              <w:spacing w:line="26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ascii="Times New Roman" w:hAnsi="Times New Roman" w:eastAsia="方正仿宋_GBK" w:cs="Times New Roman"/>
                <w:snapToGrid w:val="0"/>
                <w:spacing w:val="-10"/>
                <w:kern w:val="0"/>
                <w:sz w:val="24"/>
                <w:szCs w:val="24"/>
              </w:rPr>
              <w:t>2023</w:t>
            </w:r>
            <w:r>
              <w:rPr>
                <w:rStyle w:val="32"/>
                <w:rFonts w:hint="eastAsia" w:ascii="Times New Roman" w:hAnsi="Times New Roman" w:eastAsia="方正仿宋_GBK" w:cs="方正仿宋_GBK"/>
                <w:snapToGrid w:val="0"/>
                <w:spacing w:val="-10"/>
                <w:kern w:val="0"/>
                <w:sz w:val="24"/>
                <w:szCs w:val="24"/>
              </w:rPr>
              <w:t>年</w:t>
            </w:r>
          </w:p>
        </w:tc>
        <w:tc>
          <w:tcPr>
            <w:tcW w:w="1361" w:type="dxa"/>
            <w:vAlign w:val="center"/>
          </w:tcPr>
          <w:p>
            <w:pPr>
              <w:adjustRightInd w:val="0"/>
              <w:snapToGrid w:val="0"/>
              <w:spacing w:line="26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ascii="Times New Roman" w:hAnsi="Times New Roman" w:eastAsia="方正仿宋_GBK" w:cs="Times New Roman"/>
                <w:snapToGrid w:val="0"/>
                <w:spacing w:val="-10"/>
                <w:kern w:val="0"/>
                <w:sz w:val="24"/>
                <w:szCs w:val="24"/>
              </w:rPr>
              <w:t>2024</w:t>
            </w:r>
            <w:r>
              <w:rPr>
                <w:rStyle w:val="32"/>
                <w:rFonts w:hint="eastAsia" w:ascii="Times New Roman" w:hAnsi="Times New Roman" w:eastAsia="方正仿宋_GBK" w:cs="方正仿宋_GBK"/>
                <w:snapToGrid w:val="0"/>
                <w:spacing w:val="-10"/>
                <w:kern w:val="0"/>
                <w:sz w:val="24"/>
                <w:szCs w:val="24"/>
              </w:rPr>
              <w:t>年</w:t>
            </w:r>
          </w:p>
        </w:tc>
        <w:tc>
          <w:tcPr>
            <w:tcW w:w="1361" w:type="dxa"/>
            <w:vAlign w:val="center"/>
          </w:tcPr>
          <w:p>
            <w:pPr>
              <w:adjustRightInd w:val="0"/>
              <w:snapToGrid w:val="0"/>
              <w:spacing w:line="260" w:lineRule="exact"/>
              <w:jc w:val="center"/>
              <w:rPr>
                <w:rStyle w:val="32"/>
                <w:rFonts w:ascii="Times New Roman" w:hAnsi="Times New Roman" w:eastAsia="方正仿宋_GBK" w:cs="Times New Roman"/>
                <w:b w:val="0"/>
                <w:bCs w:val="0"/>
                <w:snapToGrid w:val="0"/>
                <w:spacing w:val="-10"/>
                <w:kern w:val="0"/>
                <w:sz w:val="24"/>
                <w:szCs w:val="24"/>
              </w:rPr>
            </w:pPr>
            <w:r>
              <w:rPr>
                <w:rStyle w:val="32"/>
                <w:rFonts w:ascii="Times New Roman" w:hAnsi="Times New Roman" w:eastAsia="方正仿宋_GBK" w:cs="Times New Roman"/>
                <w:snapToGrid w:val="0"/>
                <w:spacing w:val="-10"/>
                <w:kern w:val="0"/>
                <w:sz w:val="24"/>
                <w:szCs w:val="24"/>
              </w:rPr>
              <w:t>2025</w:t>
            </w:r>
            <w:r>
              <w:rPr>
                <w:rStyle w:val="32"/>
                <w:rFonts w:hint="eastAsia" w:ascii="Times New Roman" w:hAnsi="Times New Roman" w:eastAsia="方正仿宋_GBK" w:cs="方正仿宋_GBK"/>
                <w:snapToGrid w:val="0"/>
                <w:spacing w:val="-10"/>
                <w:kern w:val="0"/>
                <w:sz w:val="24"/>
                <w:szCs w:val="24"/>
              </w:rPr>
              <w:t>年</w:t>
            </w:r>
          </w:p>
        </w:tc>
        <w:tc>
          <w:tcPr>
            <w:tcW w:w="818" w:type="dxa"/>
            <w:vMerge w:val="continue"/>
            <w:vAlign w:val="center"/>
          </w:tcPr>
          <w:p>
            <w:pPr>
              <w:adjustRightInd w:val="0"/>
              <w:snapToGrid w:val="0"/>
              <w:spacing w:line="220" w:lineRule="exact"/>
              <w:rPr>
                <w:rStyle w:val="32"/>
                <w:rFonts w:ascii="Times New Roman" w:hAnsi="Times New Roman" w:eastAsia="方正仿宋_GBK" w:cs="Times New Roman"/>
                <w:b w:val="0"/>
                <w:bCs w:val="0"/>
                <w:snapToGrid w:val="0"/>
                <w:spacing w:val="-10"/>
                <w:kern w:val="0"/>
                <w:sz w:val="24"/>
                <w:szCs w:val="24"/>
              </w:rPr>
            </w:pPr>
          </w:p>
        </w:tc>
        <w:tc>
          <w:tcPr>
            <w:tcW w:w="783" w:type="dxa"/>
            <w:vMerge w:val="continue"/>
            <w:vAlign w:val="center"/>
          </w:tcPr>
          <w:p>
            <w:pPr>
              <w:adjustRightInd w:val="0"/>
              <w:snapToGrid w:val="0"/>
              <w:spacing w:line="220" w:lineRule="exact"/>
              <w:jc w:val="right"/>
              <w:rPr>
                <w:rStyle w:val="32"/>
                <w:rFonts w:ascii="Times New Roman" w:hAnsi="Times New Roman" w:eastAsia="方正仿宋_GBK" w:cs="Times New Roman"/>
                <w:b w:val="0"/>
                <w:bCs w:val="0"/>
                <w:snapToGrid w:val="0"/>
                <w:spacing w:val="-10"/>
                <w:kern w:val="0"/>
                <w:sz w:val="24"/>
                <w:szCs w:val="24"/>
              </w:rPr>
            </w:pPr>
          </w:p>
        </w:tc>
        <w:tc>
          <w:tcPr>
            <w:tcW w:w="1048" w:type="dxa"/>
            <w:vMerge w:val="continue"/>
            <w:vAlign w:val="center"/>
          </w:tcPr>
          <w:p>
            <w:pPr>
              <w:adjustRightInd w:val="0"/>
              <w:snapToGrid w:val="0"/>
              <w:spacing w:line="220" w:lineRule="exact"/>
              <w:jc w:val="right"/>
              <w:rPr>
                <w:rStyle w:val="32"/>
                <w:rFonts w:ascii="Times New Roman" w:hAnsi="Times New Roman" w:eastAsia="方正仿宋_GBK" w:cs="Times New Roman"/>
                <w:b w:val="0"/>
                <w:bCs w:val="0"/>
                <w:snapToGrid w:val="0"/>
                <w:spacing w:val="-10"/>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9" w:hRule="atLeast"/>
          <w:jc w:val="center"/>
        </w:trPr>
        <w:tc>
          <w:tcPr>
            <w:tcW w:w="15164" w:type="dxa"/>
            <w:gridSpan w:val="11"/>
            <w:vAlign w:val="center"/>
          </w:tcPr>
          <w:p>
            <w:pPr>
              <w:adjustRightInd w:val="0"/>
              <w:snapToGrid w:val="0"/>
              <w:spacing w:line="220" w:lineRule="exact"/>
              <w:ind w:right="-197" w:rightChars="-94"/>
              <w:jc w:val="left"/>
              <w:rPr>
                <w:rFonts w:ascii="Times New Roman" w:hAnsi="Times New Roman" w:eastAsia="方正仿宋_GBK" w:cs="Times New Roman"/>
                <w:snapToGrid w:val="0"/>
                <w:spacing w:val="-10"/>
                <w:sz w:val="24"/>
                <w:szCs w:val="24"/>
              </w:rPr>
            </w:pPr>
            <w:r>
              <w:rPr>
                <w:rFonts w:hint="eastAsia" w:ascii="Times New Roman" w:hAnsi="Times New Roman" w:eastAsia="方正仿宋_GBK" w:cs="方正仿宋_GBK"/>
                <w:snapToGrid w:val="0"/>
                <w:spacing w:val="-10"/>
                <w:sz w:val="24"/>
                <w:szCs w:val="24"/>
              </w:rPr>
              <w:t>一、文化类项目（共计</w:t>
            </w:r>
            <w:r>
              <w:rPr>
                <w:rFonts w:ascii="Times New Roman" w:hAnsi="Times New Roman" w:eastAsia="方正仿宋_GBK" w:cs="Times New Roman"/>
                <w:snapToGrid w:val="0"/>
                <w:spacing w:val="-10"/>
                <w:sz w:val="24"/>
                <w:szCs w:val="24"/>
              </w:rPr>
              <w:t>16</w:t>
            </w:r>
            <w:r>
              <w:rPr>
                <w:rFonts w:hint="eastAsia" w:ascii="Times New Roman" w:hAnsi="Times New Roman" w:eastAsia="方正仿宋_GBK" w:cs="方正仿宋_GBK"/>
                <w:snapToGrid w:val="0"/>
                <w:spacing w:val="-10"/>
                <w:sz w:val="24"/>
                <w:szCs w:val="2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27"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达川区民俗文化展览馆</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石桥烧火龙展示区、农垦文化展示区、红色文化、移民文化、非遗文化展示区等。</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建成烧火龙展示区、农垦文化展示区、红色文化、移民文化、非遗文化展示区等。</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728"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达川区乡史馆</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展示石梯发展历史、红色文化、水运文化、美食文化等</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编制工程项目立项、设计方案等前期工作。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建成达川区乡史馆。</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石梯镇</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600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7" w:hRule="atLeast"/>
          <w:jc w:val="center"/>
        </w:trPr>
        <w:tc>
          <w:tcPr>
            <w:tcW w:w="536" w:type="dxa"/>
            <w:vAlign w:val="center"/>
          </w:tcPr>
          <w:p>
            <w:pPr>
              <w:adjustRightInd w:val="0"/>
              <w:snapToGrid w:val="0"/>
              <w:spacing w:line="220" w:lineRule="exact"/>
              <w:textAlignment w:val="center"/>
              <w:rPr>
                <w:rStyle w:val="33"/>
                <w:rFonts w:ascii="Times New Roman" w:hAnsi="Times New Roman" w:eastAsia="方正仿宋_GBK" w:cs="Times New Roman"/>
                <w:b w:val="0"/>
                <w:bCs w:val="0"/>
                <w:snapToGrid w:val="0"/>
                <w:spacing w:val="-10"/>
                <w:kern w:val="0"/>
                <w:sz w:val="24"/>
                <w:szCs w:val="24"/>
              </w:rPr>
            </w:pPr>
            <w:r>
              <w:rPr>
                <w:rStyle w:val="33"/>
                <w:rFonts w:ascii="Times New Roman" w:hAnsi="Times New Roman" w:eastAsia="方正仿宋_GBK" w:cs="Times New Roman"/>
                <w:b w:val="0"/>
                <w:bCs w:val="0"/>
                <w:snapToGrid w:val="0"/>
                <w:spacing w:val="-10"/>
                <w:kern w:val="0"/>
                <w:sz w:val="24"/>
                <w:szCs w:val="24"/>
              </w:rPr>
              <w:t>3</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达川区非遗展示馆</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达川区非遗展示，</w:t>
            </w:r>
            <w:r>
              <w:rPr>
                <w:rFonts w:ascii="Times New Roman" w:hAnsi="Times New Roman" w:eastAsia="方正仿宋_GBK" w:cs="Times New Roman"/>
                <w:spacing w:val="-10"/>
              </w:rPr>
              <w:t>500</w:t>
            </w:r>
            <w:r>
              <w:rPr>
                <w:rFonts w:hint="eastAsia" w:ascii="Times New Roman" w:hAnsi="Times New Roman" w:eastAsia="方正仿宋_GBK" w:cs="方正仿宋_GBK"/>
                <w:spacing w:val="-10"/>
              </w:rPr>
              <w:t>平方米</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编制工程项目立项、设计方案等前期工作。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建成达川区非遗展示馆。</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后照馆</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83" w:hRule="atLeast"/>
          <w:jc w:val="center"/>
        </w:trPr>
        <w:tc>
          <w:tcPr>
            <w:tcW w:w="536" w:type="dxa"/>
            <w:vAlign w:val="center"/>
          </w:tcPr>
          <w:p>
            <w:pPr>
              <w:adjustRightInd w:val="0"/>
              <w:snapToGrid w:val="0"/>
              <w:spacing w:line="220" w:lineRule="exact"/>
              <w:textAlignment w:val="center"/>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4</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列宁街石牌坊及红军标语修缮工程</w:t>
            </w:r>
          </w:p>
        </w:tc>
        <w:tc>
          <w:tcPr>
            <w:tcW w:w="4044" w:type="dxa"/>
            <w:vAlign w:val="center"/>
          </w:tcPr>
          <w:p>
            <w:pPr>
              <w:spacing w:line="220" w:lineRule="exact"/>
              <w:rPr>
                <w:rFonts w:ascii="Times New Roman" w:hAnsi="Times New Roman" w:eastAsia="方正仿宋_GBK" w:cs="Times New Roman"/>
                <w:spacing w:val="-10"/>
              </w:rPr>
            </w:pPr>
            <w:r>
              <w:rPr>
                <w:rFonts w:ascii="Times New Roman" w:hAnsi="Times New Roman" w:eastAsia="方正仿宋_GBK" w:cs="Times New Roman"/>
                <w:spacing w:val="-10"/>
              </w:rPr>
              <w:t>1-4</w:t>
            </w:r>
            <w:r>
              <w:rPr>
                <w:rFonts w:hint="eastAsia" w:ascii="Times New Roman" w:hAnsi="Times New Roman" w:eastAsia="方正仿宋_GBK" w:cs="方正仿宋_GBK"/>
                <w:spacing w:val="-10"/>
              </w:rPr>
              <w:t>号石牌坊及红军标语等文物修复，面积约</w:t>
            </w:r>
            <w:r>
              <w:rPr>
                <w:rFonts w:ascii="Times New Roman" w:hAnsi="Times New Roman" w:eastAsia="方正仿宋_GBK" w:cs="Times New Roman"/>
                <w:spacing w:val="-10"/>
              </w:rPr>
              <w:t>600</w:t>
            </w:r>
            <w:r>
              <w:rPr>
                <w:rFonts w:hint="eastAsia" w:ascii="Times New Roman" w:hAnsi="Times New Roman" w:eastAsia="方正仿宋_GBK" w:cs="方正仿宋_GBK"/>
                <w:spacing w:val="-10"/>
              </w:rPr>
              <w:t>平方米。</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修缮工程项目立项、设计方案等前期工作。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四座牌坊实施本体维修。</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500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94"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达县红九军政治部旧址修缮工程</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房屋建筑整体修缮，修缮面积</w:t>
            </w:r>
            <w:r>
              <w:rPr>
                <w:rFonts w:ascii="Times New Roman" w:hAnsi="Times New Roman" w:eastAsia="方正仿宋_GBK" w:cs="Times New Roman"/>
                <w:spacing w:val="-10"/>
              </w:rPr>
              <w:t>800</w:t>
            </w:r>
            <w:r>
              <w:rPr>
                <w:rFonts w:hint="eastAsia" w:ascii="Times New Roman" w:hAnsi="Times New Roman" w:eastAsia="方正仿宋_GBK" w:cs="方正仿宋_GBK"/>
                <w:spacing w:val="-10"/>
              </w:rPr>
              <w:t>平方米。</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编制修缮方案，做好项目实施前期工作。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对前厅、天井、后堂、左厢房、右厢房维修改造。</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800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772" w:hRule="atLeast"/>
          <w:jc w:val="center"/>
        </w:trPr>
        <w:tc>
          <w:tcPr>
            <w:tcW w:w="536" w:type="dxa"/>
            <w:vAlign w:val="center"/>
          </w:tcPr>
          <w:p>
            <w:pPr>
              <w:adjustRightInd w:val="0"/>
              <w:snapToGrid w:val="0"/>
              <w:spacing w:line="220" w:lineRule="exact"/>
              <w:textAlignment w:val="center"/>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6</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达县红九军政治部旧址文物展陈项目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文物征集</w:t>
            </w:r>
            <w:r>
              <w:rPr>
                <w:rFonts w:ascii="Times New Roman" w:hAnsi="Times New Roman" w:eastAsia="方正仿宋_GBK" w:cs="Times New Roman"/>
                <w:spacing w:val="-10"/>
              </w:rPr>
              <w:t>100</w:t>
            </w:r>
            <w:r>
              <w:rPr>
                <w:rFonts w:hint="eastAsia" w:ascii="Times New Roman" w:hAnsi="Times New Roman" w:eastAsia="方正仿宋_GBK" w:cs="方正仿宋_GBK"/>
                <w:spacing w:val="-10"/>
              </w:rPr>
              <w:t>件、展陈面积</w:t>
            </w:r>
            <w:r>
              <w:rPr>
                <w:rFonts w:ascii="Times New Roman" w:hAnsi="Times New Roman" w:eastAsia="方正仿宋_GBK" w:cs="Times New Roman"/>
                <w:spacing w:val="-10"/>
              </w:rPr>
              <w:t>200</w:t>
            </w:r>
            <w:r>
              <w:rPr>
                <w:rFonts w:hint="eastAsia" w:ascii="Times New Roman" w:hAnsi="Times New Roman" w:eastAsia="方正仿宋_GBK" w:cs="方正仿宋_GBK"/>
                <w:spacing w:val="-10"/>
              </w:rPr>
              <w:t>平方米。</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编制文物展陈方案，做好项目实施前期工作。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征集、展陈一批文物。</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37"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7</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红军文化陈列改造提升项目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新建陈列馆</w:t>
            </w:r>
            <w:r>
              <w:rPr>
                <w:rFonts w:ascii="Times New Roman" w:hAnsi="Times New Roman" w:eastAsia="方正仿宋_GBK" w:cs="Times New Roman"/>
                <w:spacing w:val="-10"/>
              </w:rPr>
              <w:t>1000</w:t>
            </w:r>
            <w:r>
              <w:rPr>
                <w:rFonts w:hint="eastAsia" w:ascii="Times New Roman" w:hAnsi="Times New Roman" w:eastAsia="方正仿宋_GBK" w:cs="方正仿宋_GBK"/>
                <w:spacing w:val="-10"/>
              </w:rPr>
              <w:t>平方米、文物征集</w:t>
            </w:r>
            <w:r>
              <w:rPr>
                <w:rFonts w:ascii="Times New Roman" w:hAnsi="Times New Roman" w:eastAsia="方正仿宋_GBK" w:cs="Times New Roman"/>
                <w:spacing w:val="-10"/>
              </w:rPr>
              <w:t>300</w:t>
            </w:r>
            <w:r>
              <w:rPr>
                <w:rFonts w:hint="eastAsia" w:ascii="Times New Roman" w:hAnsi="Times New Roman" w:eastAsia="方正仿宋_GBK" w:cs="方正仿宋_GBK"/>
                <w:spacing w:val="-10"/>
              </w:rPr>
              <w:t>件、展陈面积</w:t>
            </w:r>
            <w:r>
              <w:rPr>
                <w:rFonts w:ascii="Times New Roman" w:hAnsi="Times New Roman" w:eastAsia="方正仿宋_GBK" w:cs="Times New Roman"/>
                <w:spacing w:val="-10"/>
              </w:rPr>
              <w:t>800</w:t>
            </w:r>
            <w:r>
              <w:rPr>
                <w:rFonts w:hint="eastAsia" w:ascii="Times New Roman" w:hAnsi="Times New Roman" w:eastAsia="方正仿宋_GBK" w:cs="方正仿宋_GBK"/>
                <w:spacing w:val="-10"/>
              </w:rPr>
              <w:t>平方米。</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改扩建陈列馆基础设施，文物展陈方案设计，文物征集。</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征集、展陈一批文物。</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500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2023-2024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64"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8</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真佛山庙群文物本体修缮工程</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对真佛山庙群山门、戏楼、玉皇殿、南北厢房、天子殿、德化寺、金刚殿、大雄殿、和尚墓共</w:t>
            </w:r>
            <w:r>
              <w:rPr>
                <w:rFonts w:ascii="Times New Roman" w:hAnsi="Times New Roman" w:eastAsia="方正仿宋_GBK" w:cs="Times New Roman"/>
                <w:spacing w:val="-10"/>
              </w:rPr>
              <w:t>4000</w:t>
            </w:r>
            <w:r>
              <w:rPr>
                <w:rFonts w:hint="eastAsia" w:ascii="Times New Roman" w:hAnsi="Times New Roman" w:eastAsia="方正仿宋_GBK" w:cs="方正仿宋_GBK"/>
                <w:spacing w:val="-10"/>
              </w:rPr>
              <w:t>平方米全面实施修缮保护工程。</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修缮真佛山庙群山门、戏楼、玉皇殿、南北厢房、天子殿、德化寺、金刚殿、大雄殿、和尚墓。</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经开区福善镇</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1500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44"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9</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列宁街石牌坊及红军标语安防工程</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四座牌坊入侵和紧急报警系统、视频监控系统、出入口控制系统、电子巡查系统、</w:t>
            </w:r>
            <w:r>
              <w:rPr>
                <w:rFonts w:ascii="Times New Roman" w:hAnsi="Times New Roman" w:eastAsia="方正仿宋_GBK" w:cs="Times New Roman"/>
                <w:spacing w:val="-10"/>
              </w:rPr>
              <w:t xml:space="preserve">IP </w:t>
            </w:r>
            <w:r>
              <w:rPr>
                <w:rFonts w:hint="eastAsia" w:ascii="Times New Roman" w:hAnsi="Times New Roman" w:eastAsia="方正仿宋_GBK" w:cs="方正仿宋_GBK"/>
                <w:spacing w:val="-10"/>
              </w:rPr>
              <w:t>网络对讲系统、安全管理系统、文物安全预警感知平台、安防网络数据传输系统、综合管线系统、安防监控中心、供电系统、防雷接地系统。</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建设四座牌坊入侵和紧急报警系统、视频监控系统、出入口控制系统、电子巡查系统。</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82"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10</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达川区乡镇文化活动广场</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在中心场镇中心地段修建文化休闲广场，面积</w:t>
            </w:r>
            <w:r>
              <w:rPr>
                <w:rFonts w:ascii="Times New Roman" w:hAnsi="Times New Roman" w:eastAsia="方正仿宋_GBK" w:cs="Times New Roman"/>
                <w:spacing w:val="-10"/>
              </w:rPr>
              <w:t>3000-4000</w:t>
            </w:r>
            <w:r>
              <w:rPr>
                <w:rFonts w:hint="eastAsia" w:ascii="Times New Roman" w:hAnsi="Times New Roman" w:eastAsia="方正仿宋_GBK" w:cs="方正仿宋_GBK"/>
                <w:spacing w:val="-10"/>
              </w:rPr>
              <w:t>平方，植入当地特色文化景观等</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修建三个乡镇的文化休闲广场，特色文化景观打造。</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修建三个乡镇的文化休闲广场，特色文化景观打造。</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修建二个乡镇的文化休闲广场，特色文化景观打造。</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修建二个乡镇的文化休闲广场，特色文化景观打造。</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龙会乡、双庙镇等</w:t>
            </w:r>
            <w:r>
              <w:rPr>
                <w:rFonts w:ascii="Times New Roman" w:hAnsi="Times New Roman" w:eastAsia="方正仿宋_GBK" w:cs="Times New Roman"/>
                <w:spacing w:val="-10"/>
              </w:rPr>
              <w:t>10</w:t>
            </w:r>
            <w:r>
              <w:rPr>
                <w:rFonts w:hint="eastAsia" w:ascii="Times New Roman" w:hAnsi="Times New Roman" w:eastAsia="方正仿宋_GBK" w:cs="方正仿宋_GBK"/>
                <w:spacing w:val="-10"/>
              </w:rPr>
              <w:t>个乡镇</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1000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750" w:hRule="atLeast"/>
          <w:jc w:val="center"/>
        </w:trPr>
        <w:tc>
          <w:tcPr>
            <w:tcW w:w="536" w:type="dxa"/>
            <w:vAlign w:val="center"/>
          </w:tcPr>
          <w:p>
            <w:pPr>
              <w:adjustRightInd w:val="0"/>
              <w:snapToGrid w:val="0"/>
              <w:spacing w:line="220" w:lineRule="exact"/>
              <w:textAlignment w:val="center"/>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11</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打造达川地方红色文献数据库</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充分挖掘全区的红色地方文献资源，打造专业化达川红色文献数字平台</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编制工程项目立项、设计方案等前期工作。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收集红色地方文献资料。</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整理文献资料，建设红色文献数字平台。</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完成文献资料整理、数字平台建设。</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150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2" w:hRule="atLeast"/>
          <w:jc w:val="center"/>
        </w:trPr>
        <w:tc>
          <w:tcPr>
            <w:tcW w:w="536" w:type="dxa"/>
            <w:vAlign w:val="center"/>
          </w:tcPr>
          <w:p>
            <w:pPr>
              <w:adjustRightInd w:val="0"/>
              <w:snapToGrid w:val="0"/>
              <w:spacing w:line="220" w:lineRule="exact"/>
              <w:textAlignment w:val="center"/>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12</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文化惠民活动</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在全区范围内广泛开展文化活动，活动内容包括讲座、诵读、展览、读书会等活动</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定期开展文化活动。</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定期开展文化活动。</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定期开展文化活动。</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定期开展文化活动。</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700" w:hRule="atLeast"/>
          <w:jc w:val="center"/>
        </w:trPr>
        <w:tc>
          <w:tcPr>
            <w:tcW w:w="536" w:type="dxa"/>
            <w:vAlign w:val="center"/>
          </w:tcPr>
          <w:p>
            <w:pPr>
              <w:adjustRightInd w:val="0"/>
              <w:snapToGrid w:val="0"/>
              <w:spacing w:line="220" w:lineRule="exact"/>
              <w:textAlignment w:val="center"/>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13</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古籍文献保护</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古籍普查、古籍修复、环境改造、善本再造</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编制工程项目立项、设计方案等前期工作。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古籍普查。</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古籍修复、环境改造。</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善本再造。</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166</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6"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14</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智慧图书馆建设</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将智能技术运用到图书馆建设、运行中，实现智慧化的服务和管理</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编制工程项目立项、设计方案等前期工作。</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智慧图书馆建设。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智慧图书馆建设。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完成智慧图书馆建设。</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120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750"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15</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文化惠民演出</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惠民演出每年</w:t>
            </w:r>
            <w:r>
              <w:rPr>
                <w:rFonts w:ascii="Times New Roman" w:hAnsi="Times New Roman" w:eastAsia="方正仿宋_GBK" w:cs="Times New Roman"/>
                <w:spacing w:val="-10"/>
              </w:rPr>
              <w:t>100</w:t>
            </w:r>
            <w:r>
              <w:rPr>
                <w:rFonts w:hint="eastAsia" w:ascii="Times New Roman" w:hAnsi="Times New Roman" w:eastAsia="方正仿宋_GBK" w:cs="方正仿宋_GBK"/>
                <w:spacing w:val="-10"/>
              </w:rPr>
              <w:t>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定期到各乡镇社区开展文化惠民演出。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定期到各乡镇社区开展文化惠民演出。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定期到各乡镇社区开展文化惠民演出。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定期到各乡镇社区开展文化惠民演出。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定期到各乡镇社区开展文化惠民演出。</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各乡镇社区</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36"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16</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巴文化博物馆建设项目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标准文物库房、文物展陈、博物馆安防建设。</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标准文物库房、文物展陈、博物馆安防建设。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完成准文物库房、文物展陈、博物馆安防建设。</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巴文化博物馆</w:t>
            </w:r>
          </w:p>
        </w:tc>
        <w:tc>
          <w:tcPr>
            <w:tcW w:w="783"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2000</w:t>
            </w:r>
          </w:p>
        </w:tc>
        <w:tc>
          <w:tcPr>
            <w:tcW w:w="1048" w:type="dxa"/>
            <w:vAlign w:val="center"/>
          </w:tcPr>
          <w:p>
            <w:pPr>
              <w:adjustRightInd w:val="0"/>
              <w:snapToGrid w:val="0"/>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7" w:hRule="atLeast"/>
          <w:jc w:val="center"/>
        </w:trPr>
        <w:tc>
          <w:tcPr>
            <w:tcW w:w="15164" w:type="dxa"/>
            <w:gridSpan w:val="11"/>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sz w:val="24"/>
                <w:szCs w:val="24"/>
              </w:rPr>
              <w:t>二、体育类项目（</w:t>
            </w:r>
            <w:r>
              <w:rPr>
                <w:rFonts w:ascii="Times New Roman" w:hAnsi="Times New Roman" w:eastAsia="方正仿宋_GBK" w:cs="Times New Roman"/>
                <w:spacing w:val="-10"/>
                <w:sz w:val="24"/>
                <w:szCs w:val="24"/>
              </w:rPr>
              <w:t>19</w:t>
            </w:r>
            <w:r>
              <w:rPr>
                <w:rFonts w:hint="eastAsia" w:ascii="Times New Roman" w:hAnsi="Times New Roman" w:eastAsia="方正仿宋_GBK" w:cs="方正仿宋_GBK"/>
                <w:spacing w:val="-10"/>
                <w:sz w:val="24"/>
                <w:szCs w:val="2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72" w:hRule="atLeast"/>
          <w:jc w:val="center"/>
        </w:trPr>
        <w:tc>
          <w:tcPr>
            <w:tcW w:w="536" w:type="dxa"/>
            <w:vAlign w:val="center"/>
          </w:tcPr>
          <w:p>
            <w:pPr>
              <w:adjustRightInd w:val="0"/>
              <w:snapToGrid w:val="0"/>
              <w:spacing w:line="220" w:lineRule="exact"/>
              <w:rPr>
                <w:rStyle w:val="32"/>
                <w:rFonts w:ascii="Times New Roman" w:hAnsi="Times New Roman" w:eastAsia="方正仿宋_GBK" w:cs="Times New Roman"/>
                <w:b w:val="0"/>
                <w:bCs w:val="0"/>
                <w:snapToGrid w:val="0"/>
                <w:spacing w:val="-10"/>
                <w:kern w:val="0"/>
                <w:sz w:val="24"/>
                <w:szCs w:val="24"/>
              </w:rPr>
            </w:pPr>
            <w:r>
              <w:rPr>
                <w:rStyle w:val="32"/>
                <w:rFonts w:ascii="Times New Roman" w:hAnsi="Times New Roman" w:eastAsia="方正仿宋_GBK" w:cs="Times New Roman"/>
                <w:snapToGrid w:val="0"/>
                <w:spacing w:val="-10"/>
                <w:kern w:val="0"/>
                <w:sz w:val="24"/>
                <w:szCs w:val="24"/>
              </w:rPr>
              <w:t>17</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临江体育公园</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项目占地面积</w:t>
            </w:r>
            <w:r>
              <w:rPr>
                <w:rFonts w:ascii="Times New Roman" w:hAnsi="Times New Roman" w:eastAsia="方正仿宋_GBK" w:cs="Times New Roman"/>
                <w:spacing w:val="-10"/>
              </w:rPr>
              <w:t>200</w:t>
            </w:r>
            <w:r>
              <w:rPr>
                <w:rFonts w:hint="eastAsia" w:ascii="Times New Roman" w:hAnsi="Times New Roman" w:eastAsia="方正仿宋_GBK" w:cs="方正仿宋_GBK"/>
                <w:spacing w:val="-10"/>
              </w:rPr>
              <w:t>余亩，其中：新建室外</w:t>
            </w:r>
            <w:r>
              <w:rPr>
                <w:rFonts w:ascii="Times New Roman" w:hAnsi="Times New Roman" w:eastAsia="方正仿宋_GBK" w:cs="Times New Roman"/>
                <w:spacing w:val="-10"/>
              </w:rPr>
              <w:t>3</w:t>
            </w:r>
            <w:r>
              <w:rPr>
                <w:rFonts w:hint="eastAsia" w:ascii="Times New Roman" w:hAnsi="Times New Roman" w:eastAsia="方正仿宋_GBK" w:cs="方正仿宋_GBK"/>
                <w:spacing w:val="-10"/>
              </w:rPr>
              <w:t>人制篮球场、乒乓场、网球、羽毛球、登山健身步道，平衡木、沙坑、攀爬类等儿童活动设施，健身广场和智能化健身路径等公共服务设施，集群众健身休闲娱乐于一体的体育公园。</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完成场坪、水、电、绿化等基础设施建设。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翠屏街道翠屏山</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5000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2021-2022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32"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18</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达州市达川区雷音铺体育公园建设项目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项目占地面积</w:t>
            </w:r>
            <w:r>
              <w:rPr>
                <w:rFonts w:ascii="Times New Roman" w:hAnsi="Times New Roman" w:eastAsia="方正仿宋_GBK" w:cs="Times New Roman"/>
                <w:spacing w:val="-10"/>
              </w:rPr>
              <w:t>420</w:t>
            </w:r>
            <w:r>
              <w:rPr>
                <w:rFonts w:hint="eastAsia" w:ascii="Times New Roman" w:hAnsi="Times New Roman" w:eastAsia="方正仿宋_GBK" w:cs="方正仿宋_GBK"/>
                <w:spacing w:val="-10"/>
              </w:rPr>
              <w:t>亩，其中：新建室外标准篮球场、</w:t>
            </w:r>
            <w:r>
              <w:rPr>
                <w:rFonts w:ascii="Times New Roman" w:hAnsi="Times New Roman" w:eastAsia="方正仿宋_GBK" w:cs="Times New Roman"/>
                <w:spacing w:val="-10"/>
              </w:rPr>
              <w:t>3</w:t>
            </w:r>
            <w:r>
              <w:rPr>
                <w:rFonts w:hint="eastAsia" w:ascii="Times New Roman" w:hAnsi="Times New Roman" w:eastAsia="方正仿宋_GBK" w:cs="方正仿宋_GBK"/>
                <w:spacing w:val="-10"/>
              </w:rPr>
              <w:t>人制篮球场、乒乓场、网球、羽毛球、</w:t>
            </w:r>
            <w:r>
              <w:rPr>
                <w:rFonts w:ascii="Times New Roman" w:hAnsi="Times New Roman" w:eastAsia="方正仿宋_GBK" w:cs="Times New Roman"/>
                <w:spacing w:val="-10"/>
              </w:rPr>
              <w:t>8</w:t>
            </w:r>
            <w:r>
              <w:rPr>
                <w:rFonts w:hint="eastAsia" w:ascii="Times New Roman" w:hAnsi="Times New Roman" w:eastAsia="方正仿宋_GBK" w:cs="方正仿宋_GBK"/>
                <w:spacing w:val="-10"/>
              </w:rPr>
              <w:t>人制社会足球场，健身步道、攀爬等儿童活动健身广场等公共厕所等公共服务设施，集群众健身休闲娱乐应急避险于一体的体育公园。</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雷音铺</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7500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276"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19</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达州市达川区小河嘴全民健身活动中心（体育综合体）建设项目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项目占地</w:t>
            </w:r>
            <w:r>
              <w:rPr>
                <w:rFonts w:ascii="Times New Roman" w:hAnsi="Times New Roman" w:eastAsia="方正仿宋_GBK" w:cs="Times New Roman"/>
                <w:spacing w:val="-10"/>
              </w:rPr>
              <w:t>20</w:t>
            </w:r>
            <w:r>
              <w:rPr>
                <w:rFonts w:hint="eastAsia" w:ascii="Times New Roman" w:hAnsi="Times New Roman" w:eastAsia="方正仿宋_GBK" w:cs="方正仿宋_GBK"/>
                <w:spacing w:val="-10"/>
              </w:rPr>
              <w:t>亩，新建室内羽毛球场、管理用房等室内建筑面积</w:t>
            </w:r>
            <w:r>
              <w:rPr>
                <w:rFonts w:ascii="Times New Roman" w:hAnsi="Times New Roman" w:eastAsia="方正仿宋_GBK" w:cs="Times New Roman"/>
                <w:spacing w:val="-10"/>
              </w:rPr>
              <w:t>3000</w:t>
            </w:r>
            <w:r>
              <w:rPr>
                <w:rFonts w:hint="eastAsia" w:ascii="Times New Roman" w:hAnsi="Times New Roman" w:eastAsia="方正仿宋_GBK" w:cs="方正仿宋_GBK"/>
                <w:spacing w:val="-10"/>
              </w:rPr>
              <w:t>平方米，室外篮球场、羽毛球场、文体活动广场等。</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小河嘴</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2500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90"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20</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达州市达川区板凳山公共体育田径跑道和足球场建设项目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项目占地</w:t>
            </w:r>
            <w:r>
              <w:rPr>
                <w:rFonts w:ascii="Times New Roman" w:hAnsi="Times New Roman" w:eastAsia="方正仿宋_GBK" w:cs="Times New Roman"/>
                <w:spacing w:val="-10"/>
              </w:rPr>
              <w:t>30</w:t>
            </w:r>
            <w:r>
              <w:rPr>
                <w:rFonts w:hint="eastAsia" w:ascii="Times New Roman" w:hAnsi="Times New Roman" w:eastAsia="方正仿宋_GBK" w:cs="方正仿宋_GBK"/>
                <w:spacing w:val="-10"/>
              </w:rPr>
              <w:t>亩，新建标准</w:t>
            </w:r>
            <w:r>
              <w:rPr>
                <w:rFonts w:ascii="Times New Roman" w:hAnsi="Times New Roman" w:eastAsia="方正仿宋_GBK" w:cs="Times New Roman"/>
                <w:spacing w:val="-10"/>
              </w:rPr>
              <w:t>400</w:t>
            </w:r>
            <w:r>
              <w:rPr>
                <w:rFonts w:hint="eastAsia" w:ascii="Times New Roman" w:hAnsi="Times New Roman" w:eastAsia="方正仿宋_GBK" w:cs="方正仿宋_GBK"/>
                <w:spacing w:val="-10"/>
              </w:rPr>
              <w:t>米田径场地和足球场地及相关配套设施。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三里坪板凳山村</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1200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240"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21</w:t>
            </w:r>
          </w:p>
        </w:tc>
        <w:tc>
          <w:tcPr>
            <w:tcW w:w="1130" w:type="dxa"/>
            <w:vAlign w:val="center"/>
          </w:tcPr>
          <w:p>
            <w:pPr>
              <w:spacing w:line="220" w:lineRule="exact"/>
              <w:rPr>
                <w:rFonts w:ascii="Times New Roman" w:hAnsi="Times New Roman" w:eastAsia="方正仿宋_GBK" w:cs="Times New Roman"/>
                <w:spacing w:val="-10"/>
              </w:rPr>
            </w:pPr>
            <w:r>
              <w:rPr>
                <w:rFonts w:ascii="Times New Roman" w:hAnsi="Times New Roman" w:eastAsia="方正仿宋_GBK" w:cs="Times New Roman"/>
                <w:spacing w:val="-10"/>
              </w:rPr>
              <w:t>2022</w:t>
            </w:r>
            <w:r>
              <w:rPr>
                <w:rFonts w:hint="eastAsia" w:ascii="Times New Roman" w:hAnsi="Times New Roman" w:eastAsia="方正仿宋_GBK" w:cs="方正仿宋_GBK"/>
                <w:spacing w:val="-10"/>
              </w:rPr>
              <w:t>年达州市达川区小河嘴社会足球场建设项目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w:t>
            </w:r>
            <w:r>
              <w:rPr>
                <w:rFonts w:ascii="Times New Roman" w:hAnsi="Times New Roman" w:eastAsia="方正仿宋_GBK" w:cs="Times New Roman"/>
                <w:spacing w:val="-10"/>
              </w:rPr>
              <w:t>2</w:t>
            </w:r>
            <w:r>
              <w:rPr>
                <w:rFonts w:hint="eastAsia" w:ascii="Times New Roman" w:hAnsi="Times New Roman" w:eastAsia="方正仿宋_GBK" w:cs="方正仿宋_GBK"/>
                <w:spacing w:val="-10"/>
              </w:rPr>
              <w:t>个标准八人制足球场（</w:t>
            </w:r>
            <w:r>
              <w:rPr>
                <w:rFonts w:ascii="Times New Roman" w:hAnsi="Times New Roman" w:eastAsia="方正仿宋_GBK" w:cs="Times New Roman"/>
                <w:spacing w:val="-10"/>
              </w:rPr>
              <w:t>60</w:t>
            </w:r>
            <w:r>
              <w:rPr>
                <w:rFonts w:hint="eastAsia" w:ascii="Times New Roman" w:hAnsi="Times New Roman" w:eastAsia="方正仿宋_GBK" w:cs="方正仿宋_GBK"/>
                <w:spacing w:val="-10"/>
              </w:rPr>
              <w:t>米</w:t>
            </w:r>
            <w:r>
              <w:rPr>
                <w:rFonts w:ascii="Times New Roman" w:hAnsi="Times New Roman" w:eastAsia="方正仿宋_GBK" w:cs="Times New Roman"/>
                <w:spacing w:val="-10"/>
              </w:rPr>
              <w:t>×50</w:t>
            </w:r>
            <w:r>
              <w:rPr>
                <w:rFonts w:hint="eastAsia" w:ascii="Times New Roman" w:hAnsi="Times New Roman" w:eastAsia="方正仿宋_GBK" w:cs="方正仿宋_GBK"/>
                <w:spacing w:val="-10"/>
              </w:rPr>
              <w:t>米），建筑面积</w:t>
            </w:r>
            <w:r>
              <w:rPr>
                <w:rFonts w:ascii="Times New Roman" w:hAnsi="Times New Roman" w:eastAsia="方正仿宋_GBK" w:cs="Times New Roman"/>
                <w:spacing w:val="-10"/>
              </w:rPr>
              <w:t>6000</w:t>
            </w:r>
            <w:r>
              <w:rPr>
                <w:rFonts w:hint="eastAsia" w:ascii="Times New Roman" w:hAnsi="Times New Roman" w:eastAsia="方正仿宋_GBK" w:cs="方正仿宋_GBK"/>
                <w:spacing w:val="-10"/>
              </w:rPr>
              <w:t>平方米。</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小河嘴</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150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52" w:hRule="atLeast"/>
          <w:jc w:val="center"/>
        </w:trPr>
        <w:tc>
          <w:tcPr>
            <w:tcW w:w="536" w:type="dxa"/>
            <w:vAlign w:val="center"/>
          </w:tcPr>
          <w:p>
            <w:pPr>
              <w:adjustRightInd w:val="0"/>
              <w:snapToGrid w:val="0"/>
              <w:spacing w:line="220" w:lineRule="exact"/>
              <w:textAlignment w:val="center"/>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22</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达州市达川区雷音铺环山健身步道</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新建雷音铺环山健身步道</w:t>
            </w:r>
            <w:r>
              <w:rPr>
                <w:rFonts w:ascii="Times New Roman" w:hAnsi="Times New Roman" w:eastAsia="方正仿宋_GBK" w:cs="Times New Roman"/>
                <w:spacing w:val="-10"/>
              </w:rPr>
              <w:t>10</w:t>
            </w:r>
            <w:r>
              <w:rPr>
                <w:rFonts w:hint="eastAsia" w:ascii="Times New Roman" w:hAnsi="Times New Roman" w:eastAsia="方正仿宋_GBK" w:cs="方正仿宋_GBK"/>
                <w:spacing w:val="-10"/>
              </w:rPr>
              <w:t>公里，七里沟到雷音铺登山步道</w:t>
            </w:r>
            <w:r>
              <w:rPr>
                <w:rFonts w:ascii="Times New Roman" w:hAnsi="Times New Roman" w:eastAsia="方正仿宋_GBK" w:cs="Times New Roman"/>
                <w:spacing w:val="-10"/>
              </w:rPr>
              <w:t>10</w:t>
            </w:r>
            <w:r>
              <w:rPr>
                <w:rFonts w:hint="eastAsia" w:ascii="Times New Roman" w:hAnsi="Times New Roman" w:eastAsia="方正仿宋_GBK" w:cs="方正仿宋_GBK"/>
                <w:spacing w:val="-10"/>
              </w:rPr>
              <w:t>公里。</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雷音铺</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1500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54" w:hRule="atLeast"/>
          <w:jc w:val="center"/>
        </w:trPr>
        <w:tc>
          <w:tcPr>
            <w:tcW w:w="536" w:type="dxa"/>
            <w:vAlign w:val="center"/>
          </w:tcPr>
          <w:p>
            <w:pPr>
              <w:adjustRightInd w:val="0"/>
              <w:snapToGrid w:val="0"/>
              <w:spacing w:line="220" w:lineRule="exact"/>
              <w:textAlignment w:val="center"/>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23</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达州市达川区两角寨户外运动公共服务中心建设项目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雷音铺森林公园新建山地自行车道和马拉松道赛道，山地户外露营基地，公共厕所、停车场、连接道路，以及应急救援等相关配套设施服务中心。</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杨柳社区两角寨村</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1500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10"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24</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达州市达川区翠云湖全民健身活动中心（体育综合体）建设项目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项目占地</w:t>
            </w:r>
            <w:r>
              <w:rPr>
                <w:rFonts w:ascii="Times New Roman" w:hAnsi="Times New Roman" w:eastAsia="方正仿宋_GBK" w:cs="Times New Roman"/>
                <w:spacing w:val="-10"/>
              </w:rPr>
              <w:t>45</w:t>
            </w:r>
            <w:r>
              <w:rPr>
                <w:rFonts w:hint="eastAsia" w:ascii="Times New Roman" w:hAnsi="Times New Roman" w:eastAsia="方正仿宋_GBK" w:cs="方正仿宋_GBK"/>
                <w:spacing w:val="-10"/>
              </w:rPr>
              <w:t>亩，新建室内羽毛球场，管理用房以及配套商业等</w:t>
            </w:r>
            <w:r>
              <w:rPr>
                <w:rFonts w:ascii="Times New Roman" w:hAnsi="Times New Roman" w:eastAsia="方正仿宋_GBK" w:cs="Times New Roman"/>
                <w:spacing w:val="-10"/>
              </w:rPr>
              <w:t>5000</w:t>
            </w:r>
            <w:r>
              <w:rPr>
                <w:rFonts w:hint="eastAsia" w:ascii="Times New Roman" w:hAnsi="Times New Roman" w:eastAsia="方正仿宋_GBK" w:cs="方正仿宋_GBK"/>
                <w:spacing w:val="-10"/>
              </w:rPr>
              <w:t>平方米，室外篮球场、足球场、羽毛球场、文体活动广场等。</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翠屏山</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3500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23"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25</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达州市达川区亚云公共体育田径跑道和足球场建设项目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项目占地</w:t>
            </w:r>
            <w:r>
              <w:rPr>
                <w:rFonts w:ascii="Times New Roman" w:hAnsi="Times New Roman" w:eastAsia="方正仿宋_GBK" w:cs="Times New Roman"/>
                <w:spacing w:val="-10"/>
              </w:rPr>
              <w:t>30</w:t>
            </w:r>
            <w:r>
              <w:rPr>
                <w:rFonts w:hint="eastAsia" w:ascii="Times New Roman" w:hAnsi="Times New Roman" w:eastAsia="方正仿宋_GBK" w:cs="方正仿宋_GBK"/>
                <w:spacing w:val="-10"/>
              </w:rPr>
              <w:t>亩，新建标准</w:t>
            </w:r>
            <w:r>
              <w:rPr>
                <w:rFonts w:ascii="Times New Roman" w:hAnsi="Times New Roman" w:eastAsia="方正仿宋_GBK" w:cs="Times New Roman"/>
                <w:spacing w:val="-10"/>
              </w:rPr>
              <w:t>400</w:t>
            </w:r>
            <w:r>
              <w:rPr>
                <w:rFonts w:hint="eastAsia" w:ascii="Times New Roman" w:hAnsi="Times New Roman" w:eastAsia="方正仿宋_GBK" w:cs="方正仿宋_GBK"/>
                <w:spacing w:val="-10"/>
              </w:rPr>
              <w:t>米田径场地和足球场地及相关配套设施。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城区</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10"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26</w:t>
            </w:r>
          </w:p>
        </w:tc>
        <w:tc>
          <w:tcPr>
            <w:tcW w:w="1130" w:type="dxa"/>
            <w:vAlign w:val="center"/>
          </w:tcPr>
          <w:p>
            <w:pPr>
              <w:spacing w:line="220" w:lineRule="exact"/>
              <w:rPr>
                <w:rFonts w:ascii="Times New Roman" w:hAnsi="Times New Roman" w:eastAsia="方正仿宋_GBK" w:cs="Times New Roman"/>
                <w:spacing w:val="-10"/>
              </w:rPr>
            </w:pPr>
            <w:r>
              <w:rPr>
                <w:rFonts w:ascii="Times New Roman" w:hAnsi="Times New Roman" w:eastAsia="方正仿宋_GBK" w:cs="Times New Roman"/>
                <w:spacing w:val="-10"/>
              </w:rPr>
              <w:t>2022</w:t>
            </w:r>
            <w:r>
              <w:rPr>
                <w:rFonts w:hint="eastAsia" w:ascii="Times New Roman" w:hAnsi="Times New Roman" w:eastAsia="方正仿宋_GBK" w:cs="方正仿宋_GBK"/>
                <w:spacing w:val="-10"/>
              </w:rPr>
              <w:t>年达州市达川区嘎云社会足球场建设项目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w:t>
            </w:r>
            <w:r>
              <w:rPr>
                <w:rFonts w:ascii="Times New Roman" w:hAnsi="Times New Roman" w:eastAsia="方正仿宋_GBK" w:cs="Times New Roman"/>
                <w:spacing w:val="-10"/>
              </w:rPr>
              <w:t>2</w:t>
            </w:r>
            <w:r>
              <w:rPr>
                <w:rFonts w:hint="eastAsia" w:ascii="Times New Roman" w:hAnsi="Times New Roman" w:eastAsia="方正仿宋_GBK" w:cs="方正仿宋_GBK"/>
                <w:spacing w:val="-10"/>
              </w:rPr>
              <w:t>个标准八人制足球场（</w:t>
            </w:r>
            <w:r>
              <w:rPr>
                <w:rFonts w:ascii="Times New Roman" w:hAnsi="Times New Roman" w:eastAsia="方正仿宋_GBK" w:cs="Times New Roman"/>
                <w:spacing w:val="-10"/>
              </w:rPr>
              <w:t>55</w:t>
            </w:r>
            <w:r>
              <w:rPr>
                <w:rFonts w:hint="eastAsia" w:ascii="Times New Roman" w:hAnsi="Times New Roman" w:eastAsia="方正仿宋_GBK" w:cs="方正仿宋_GBK"/>
                <w:spacing w:val="-10"/>
              </w:rPr>
              <w:t>米</w:t>
            </w:r>
            <w:r>
              <w:rPr>
                <w:rFonts w:ascii="Times New Roman" w:hAnsi="Times New Roman" w:eastAsia="方正仿宋_GBK" w:cs="Times New Roman"/>
                <w:spacing w:val="-10"/>
              </w:rPr>
              <w:t>×50</w:t>
            </w:r>
            <w:r>
              <w:rPr>
                <w:rFonts w:hint="eastAsia" w:ascii="Times New Roman" w:hAnsi="Times New Roman" w:eastAsia="方正仿宋_GBK" w:cs="方正仿宋_GBK"/>
                <w:spacing w:val="-10"/>
              </w:rPr>
              <w:t>米），建筑面积</w:t>
            </w:r>
            <w:r>
              <w:rPr>
                <w:rFonts w:ascii="Times New Roman" w:hAnsi="Times New Roman" w:eastAsia="方正仿宋_GBK" w:cs="Times New Roman"/>
                <w:spacing w:val="-10"/>
              </w:rPr>
              <w:t>6000</w:t>
            </w:r>
            <w:r>
              <w:rPr>
                <w:rFonts w:hint="eastAsia" w:ascii="Times New Roman" w:hAnsi="Times New Roman" w:eastAsia="方正仿宋_GBK" w:cs="方正仿宋_GBK"/>
                <w:spacing w:val="-10"/>
              </w:rPr>
              <w:t>平方米。</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翠屏街道嘎云社区</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150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708"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27</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达州市达川翠屏山健身步道</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新建环翠屏山以及连接翠云湖全民健身活动中心和滨江生态体育公园健身步道和自行车道。</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翠屏山</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1500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39"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28</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达州市达川区翠屏山户外运动公共服务中心建设项目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新建翠云湖户外活动服务中心，其中：新建山地户外露营基地，公共厕所、停车场、连接道路，以及应急救援等相关配套设施服务中心。</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翠屏山</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2500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39"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29</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达州市龙舟文化体育公园</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建设龙舟文化运动主题公园，项目占地面积</w:t>
            </w:r>
            <w:r>
              <w:rPr>
                <w:rFonts w:ascii="Times New Roman" w:hAnsi="Times New Roman" w:eastAsia="方正仿宋_GBK" w:cs="Times New Roman"/>
                <w:spacing w:val="-10"/>
              </w:rPr>
              <w:t>10</w:t>
            </w:r>
            <w:r>
              <w:rPr>
                <w:rFonts w:hint="eastAsia" w:ascii="Times New Roman" w:hAnsi="Times New Roman" w:eastAsia="方正仿宋_GBK" w:cs="方正仿宋_GBK"/>
                <w:spacing w:val="-10"/>
              </w:rPr>
              <w:t>万平方米，新建健身步道、健身广场、篮球场、排球场、网球场、羽毛球场和儿童活动类体育设施，生态停车场以及公共厕所等配套公共服务设施。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石梯镇场镇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2500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37"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30</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达州市达川区龙会全民健身中心建设项目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项目占地面积</w:t>
            </w:r>
            <w:r>
              <w:rPr>
                <w:rFonts w:ascii="Times New Roman" w:hAnsi="Times New Roman" w:eastAsia="方正仿宋_GBK" w:cs="Times New Roman"/>
                <w:spacing w:val="-10"/>
              </w:rPr>
              <w:t>4000</w:t>
            </w:r>
            <w:r>
              <w:rPr>
                <w:rFonts w:hint="eastAsia" w:ascii="Times New Roman" w:hAnsi="Times New Roman" w:eastAsia="方正仿宋_GBK" w:cs="方正仿宋_GBK"/>
                <w:spacing w:val="-10"/>
              </w:rPr>
              <w:t>平方米，其中：新建室内健身场地</w:t>
            </w:r>
            <w:r>
              <w:rPr>
                <w:rFonts w:ascii="Times New Roman" w:hAnsi="Times New Roman" w:eastAsia="方正仿宋_GBK" w:cs="Times New Roman"/>
                <w:spacing w:val="-10"/>
              </w:rPr>
              <w:t>1500</w:t>
            </w:r>
            <w:r>
              <w:rPr>
                <w:rFonts w:hint="eastAsia" w:ascii="Times New Roman" w:hAnsi="Times New Roman" w:eastAsia="方正仿宋_GBK" w:cs="方正仿宋_GBK"/>
                <w:spacing w:val="-10"/>
              </w:rPr>
              <w:t>平方米、篮球场、乒乓球场以及健身活动广场等公共厕所等公共服务设施。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龙会乡街道</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211"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31</w:t>
            </w:r>
          </w:p>
        </w:tc>
        <w:tc>
          <w:tcPr>
            <w:tcW w:w="1130" w:type="dxa"/>
            <w:vAlign w:val="center"/>
          </w:tcPr>
          <w:p>
            <w:pPr>
              <w:spacing w:line="220" w:lineRule="exact"/>
              <w:rPr>
                <w:rFonts w:ascii="Times New Roman" w:hAnsi="Times New Roman" w:eastAsia="方正仿宋_GBK" w:cs="Times New Roman"/>
                <w:spacing w:val="-10"/>
              </w:rPr>
            </w:pPr>
            <w:r>
              <w:rPr>
                <w:rFonts w:ascii="Times New Roman" w:hAnsi="Times New Roman" w:eastAsia="方正仿宋_GBK" w:cs="Times New Roman"/>
                <w:spacing w:val="-10"/>
              </w:rPr>
              <w:t>2022</w:t>
            </w:r>
            <w:r>
              <w:rPr>
                <w:rFonts w:hint="eastAsia" w:ascii="Times New Roman" w:hAnsi="Times New Roman" w:eastAsia="方正仿宋_GBK" w:cs="方正仿宋_GBK"/>
                <w:spacing w:val="-10"/>
              </w:rPr>
              <w:t>年达州市达川区石桥公共体育田径跑道和足球场建设项目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项目占地</w:t>
            </w:r>
            <w:r>
              <w:rPr>
                <w:rFonts w:ascii="Times New Roman" w:hAnsi="Times New Roman" w:eastAsia="方正仿宋_GBK" w:cs="Times New Roman"/>
                <w:spacing w:val="-10"/>
              </w:rPr>
              <w:t>30</w:t>
            </w:r>
            <w:r>
              <w:rPr>
                <w:rFonts w:hint="eastAsia" w:ascii="Times New Roman" w:hAnsi="Times New Roman" w:eastAsia="方正仿宋_GBK" w:cs="方正仿宋_GBK"/>
                <w:spacing w:val="-10"/>
              </w:rPr>
              <w:t>亩，新建标准</w:t>
            </w:r>
            <w:r>
              <w:rPr>
                <w:rFonts w:ascii="Times New Roman" w:hAnsi="Times New Roman" w:eastAsia="方正仿宋_GBK" w:cs="Times New Roman"/>
                <w:spacing w:val="-10"/>
              </w:rPr>
              <w:t>400</w:t>
            </w:r>
            <w:r>
              <w:rPr>
                <w:rFonts w:hint="eastAsia" w:ascii="Times New Roman" w:hAnsi="Times New Roman" w:eastAsia="方正仿宋_GBK" w:cs="方正仿宋_GBK"/>
                <w:spacing w:val="-10"/>
              </w:rPr>
              <w:t>米田径场地和足球场地及相关配套设施。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石桥镇街道</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224"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32</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达州市达川区乌梅山户外运动公共服务中心建设项目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新建山地户外露营基地，公共厕所、停车场、连接道路，以及应急救援等相关配套设施服务中心。</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乌梅山</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53"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33</w:t>
            </w:r>
          </w:p>
        </w:tc>
        <w:tc>
          <w:tcPr>
            <w:tcW w:w="1130" w:type="dxa"/>
            <w:vAlign w:val="center"/>
          </w:tcPr>
          <w:p>
            <w:pPr>
              <w:spacing w:line="220" w:lineRule="exact"/>
              <w:rPr>
                <w:rFonts w:ascii="Times New Roman" w:hAnsi="Times New Roman" w:eastAsia="方正仿宋_GBK" w:cs="Times New Roman"/>
                <w:spacing w:val="-10"/>
              </w:rPr>
            </w:pPr>
            <w:r>
              <w:rPr>
                <w:rFonts w:ascii="Times New Roman" w:hAnsi="Times New Roman" w:eastAsia="方正仿宋_GBK" w:cs="Times New Roman"/>
                <w:spacing w:val="-10"/>
              </w:rPr>
              <w:t>2022</w:t>
            </w:r>
            <w:r>
              <w:rPr>
                <w:rFonts w:hint="eastAsia" w:ascii="Times New Roman" w:hAnsi="Times New Roman" w:eastAsia="方正仿宋_GBK" w:cs="方正仿宋_GBK"/>
                <w:spacing w:val="-10"/>
              </w:rPr>
              <w:t>年达州市达川区村坪社会足球场建设项目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新建五人制足球场地</w:t>
            </w:r>
            <w:r>
              <w:rPr>
                <w:rFonts w:ascii="Times New Roman" w:hAnsi="Times New Roman" w:eastAsia="方正仿宋_GBK" w:cs="Times New Roman"/>
                <w:spacing w:val="-10"/>
              </w:rPr>
              <w:t>3</w:t>
            </w:r>
            <w:r>
              <w:rPr>
                <w:rFonts w:hint="eastAsia" w:ascii="Times New Roman" w:hAnsi="Times New Roman" w:eastAsia="方正仿宋_GBK" w:cs="方正仿宋_GBK"/>
                <w:spacing w:val="-10"/>
              </w:rPr>
              <w:t>个，建筑面积</w:t>
            </w:r>
            <w:r>
              <w:rPr>
                <w:rFonts w:ascii="Times New Roman" w:hAnsi="Times New Roman" w:eastAsia="方正仿宋_GBK" w:cs="Times New Roman"/>
                <w:spacing w:val="-10"/>
              </w:rPr>
              <w:t>2000</w:t>
            </w:r>
            <w:r>
              <w:rPr>
                <w:rFonts w:hint="eastAsia" w:ascii="Times New Roman" w:hAnsi="Times New Roman" w:eastAsia="方正仿宋_GBK" w:cs="方正仿宋_GBK"/>
                <w:spacing w:val="-10"/>
              </w:rPr>
              <w:t>平方米。</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管村镇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08"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34</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达州市达川区景市街道健身步道</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新建环皂角、高庙、拱桥坝、胭脂湖等环形健身步道</w:t>
            </w:r>
            <w:r>
              <w:rPr>
                <w:rFonts w:ascii="Times New Roman" w:hAnsi="Times New Roman" w:eastAsia="方正仿宋_GBK" w:cs="Times New Roman"/>
                <w:spacing w:val="-10"/>
              </w:rPr>
              <w:t>6.8</w:t>
            </w:r>
            <w:r>
              <w:rPr>
                <w:rFonts w:hint="eastAsia" w:ascii="Times New Roman" w:hAnsi="Times New Roman" w:eastAsia="方正仿宋_GBK" w:cs="方正仿宋_GBK"/>
                <w:spacing w:val="-10"/>
              </w:rPr>
              <w:t>公里，自行车道</w:t>
            </w:r>
            <w:r>
              <w:rPr>
                <w:rFonts w:ascii="Times New Roman" w:hAnsi="Times New Roman" w:eastAsia="方正仿宋_GBK" w:cs="Times New Roman"/>
                <w:spacing w:val="-10"/>
              </w:rPr>
              <w:t>15</w:t>
            </w:r>
            <w:r>
              <w:rPr>
                <w:rFonts w:hint="eastAsia" w:ascii="Times New Roman" w:hAnsi="Times New Roman" w:eastAsia="方正仿宋_GBK" w:cs="方正仿宋_GBK"/>
                <w:spacing w:val="-10"/>
              </w:rPr>
              <w:t>公里，并安装指向标识、警示标识等。</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景市镇街道</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1200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93"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35</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达川区青少年体育训练中心</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新建体育综合楼、配套用房、运动广场。</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场坪等基础建设。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安装体育运动器材和配套设施。</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城区</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5000</w:t>
            </w:r>
          </w:p>
        </w:tc>
        <w:tc>
          <w:tcPr>
            <w:tcW w:w="1048" w:type="dxa"/>
            <w:vAlign w:val="center"/>
          </w:tcPr>
          <w:p>
            <w:pPr>
              <w:spacing w:line="220" w:lineRule="exact"/>
              <w:jc w:val="center"/>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83" w:hRule="atLeast"/>
          <w:jc w:val="center"/>
        </w:trPr>
        <w:tc>
          <w:tcPr>
            <w:tcW w:w="15164" w:type="dxa"/>
            <w:gridSpan w:val="11"/>
            <w:vAlign w:val="center"/>
          </w:tcPr>
          <w:p>
            <w:pPr>
              <w:adjustRightInd w:val="0"/>
              <w:snapToGrid w:val="0"/>
              <w:spacing w:line="220" w:lineRule="exact"/>
              <w:jc w:val="left"/>
              <w:rPr>
                <w:rFonts w:ascii="Times New Roman" w:hAnsi="Times New Roman" w:eastAsia="方正仿宋_GBK" w:cs="Times New Roman"/>
                <w:snapToGrid w:val="0"/>
                <w:spacing w:val="-10"/>
                <w:sz w:val="24"/>
                <w:szCs w:val="24"/>
              </w:rPr>
            </w:pPr>
            <w:r>
              <w:rPr>
                <w:rFonts w:hint="eastAsia" w:ascii="Times New Roman" w:hAnsi="Times New Roman" w:eastAsia="方正仿宋_GBK" w:cs="方正仿宋_GBK"/>
                <w:snapToGrid w:val="0"/>
                <w:spacing w:val="-10"/>
                <w:sz w:val="24"/>
                <w:szCs w:val="24"/>
              </w:rPr>
              <w:t>三、旅游类项目（</w:t>
            </w:r>
            <w:r>
              <w:rPr>
                <w:rFonts w:ascii="Times New Roman" w:hAnsi="Times New Roman" w:eastAsia="方正仿宋_GBK" w:cs="Times New Roman"/>
                <w:snapToGrid w:val="0"/>
                <w:spacing w:val="-10"/>
                <w:sz w:val="24"/>
                <w:szCs w:val="24"/>
              </w:rPr>
              <w:t>21</w:t>
            </w:r>
            <w:r>
              <w:rPr>
                <w:rFonts w:hint="eastAsia" w:ascii="Times New Roman" w:hAnsi="Times New Roman" w:eastAsia="方正仿宋_GBK" w:cs="方正仿宋_GBK"/>
                <w:snapToGrid w:val="0"/>
                <w:spacing w:val="-10"/>
                <w:sz w:val="24"/>
                <w:szCs w:val="2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22"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36</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巴文化休闲旅游区三大工程建设</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旅游咨询服务中心工程、旅游交通集散中心工程、旅游云数据中心工程三大工程建设。</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启动旅游咨询服务中心工程、旅游交通集散中心工程、旅游云数据中心工程建设。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持续推进旅游咨询服务中心工程、旅游交通集散中心工程、旅游云数据中心工程建设。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完成旅游咨询服务中心工程、旅游交通集散中心工程、旅游云数据中心工程建设。</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城区</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44"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37</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翠屏山</w:t>
            </w:r>
            <w:r>
              <w:rPr>
                <w:rFonts w:ascii="Times New Roman" w:hAnsi="Times New Roman" w:eastAsia="方正仿宋_GBK" w:cs="Times New Roman"/>
                <w:spacing w:val="-10"/>
              </w:rPr>
              <w:t>-</w:t>
            </w:r>
            <w:r>
              <w:rPr>
                <w:rFonts w:hint="eastAsia" w:ascii="Times New Roman" w:hAnsi="Times New Roman" w:eastAsia="方正仿宋_GBK" w:cs="方正仿宋_GBK"/>
                <w:spacing w:val="-10"/>
              </w:rPr>
              <w:t>州河滨河休闲带</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打造夜经济项目：从三里坪</w:t>
            </w:r>
            <w:r>
              <w:rPr>
                <w:rFonts w:ascii="Times New Roman" w:hAnsi="Times New Roman" w:eastAsia="方正仿宋_GBK" w:cs="Times New Roman"/>
                <w:spacing w:val="-10"/>
              </w:rPr>
              <w:t>-</w:t>
            </w:r>
            <w:r>
              <w:rPr>
                <w:rFonts w:hint="eastAsia" w:ascii="Times New Roman" w:hAnsi="Times New Roman" w:eastAsia="方正仿宋_GBK" w:cs="方正仿宋_GBK"/>
                <w:spacing w:val="-10"/>
              </w:rPr>
              <w:t>州河大桥</w:t>
            </w:r>
            <w:r>
              <w:rPr>
                <w:rFonts w:ascii="Times New Roman" w:hAnsi="Times New Roman" w:eastAsia="方正仿宋_GBK" w:cs="Times New Roman"/>
                <w:spacing w:val="-10"/>
              </w:rPr>
              <w:t>-</w:t>
            </w:r>
            <w:r>
              <w:rPr>
                <w:rFonts w:hint="eastAsia" w:ascii="Times New Roman" w:hAnsi="Times New Roman" w:eastAsia="方正仿宋_GBK" w:cs="方正仿宋_GBK"/>
                <w:spacing w:val="-10"/>
              </w:rPr>
              <w:t>金南大桥</w:t>
            </w:r>
            <w:r>
              <w:rPr>
                <w:rFonts w:ascii="Times New Roman" w:hAnsi="Times New Roman" w:eastAsia="方正仿宋_GBK" w:cs="Times New Roman"/>
                <w:spacing w:val="-10"/>
              </w:rPr>
              <w:t>-</w:t>
            </w:r>
            <w:r>
              <w:rPr>
                <w:rFonts w:hint="eastAsia" w:ascii="Times New Roman" w:hAnsi="Times New Roman" w:eastAsia="方正仿宋_GBK" w:cs="方正仿宋_GBK"/>
                <w:spacing w:val="-10"/>
              </w:rPr>
              <w:t>翠屏山为一体的州河滨河休闲带，形成餐饮、酒店、茶吧、水吧、咖啡、特色美食、</w:t>
            </w:r>
            <w:r>
              <w:rPr>
                <w:rFonts w:ascii="Times New Roman" w:hAnsi="Times New Roman" w:eastAsia="方正仿宋_GBK" w:cs="Times New Roman"/>
                <w:spacing w:val="-10"/>
              </w:rPr>
              <w:t>KTV</w:t>
            </w:r>
            <w:r>
              <w:rPr>
                <w:rFonts w:hint="eastAsia" w:ascii="Times New Roman" w:hAnsi="Times New Roman" w:eastAsia="方正仿宋_GBK" w:cs="方正仿宋_GBK"/>
                <w:spacing w:val="-10"/>
              </w:rPr>
              <w:t>、小吃一条街等业态聚集区；恢复码头文化；新建州河到翠屏山的城市建身游步道和观光道、环线区域的绿化亮化、翠屏山文创基地等项目。</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加大招商引资力度。完成项目立项、设计方案、规划等前期工作。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完成功能区项目建设。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业态植入、景观打造、综合管理。</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城区</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300000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2023-2025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49"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38</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石桥古镇</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建设古镇休闲风情体验带、小镇入口印象区、亲水商业休闲区、红色文化体验区、欢乐田园游乐区、四季花海艺术区等主题文旅景点，打造成全国红色旅游融合发展先行示范区。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推进项目建设。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继续完善石桥古镇建设，推进石桥水乡古韵系列项目建设。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继续推进石桥水乡古韵系列项目建设，逐步完善各类文化休闲体验业态。</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继续完善石桥古镇建设，推进石桥水乡古韵系列项目建设，启动八一百家姓民宿大院聚落建设。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完成石桥水乡古韵系列项目建设，继续推进八一百家姓民宿大院聚落建设。</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250000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94"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39</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三里坪巴文化旅游产业园</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以</w:t>
            </w:r>
            <w:r>
              <w:rPr>
                <w:rFonts w:hint="eastAsia" w:ascii="宋体" w:hAnsi="宋体" w:eastAsia="宋体" w:cs="宋体"/>
                <w:spacing w:val="-10"/>
              </w:rPr>
              <w:t>“</w:t>
            </w:r>
            <w:r>
              <w:rPr>
                <w:rFonts w:hint="eastAsia" w:ascii="Times New Roman" w:hAnsi="Times New Roman" w:eastAsia="方正仿宋_GBK" w:cs="方正仿宋_GBK"/>
                <w:spacing w:val="-10"/>
              </w:rPr>
              <w:t>巴文化起源中心</w:t>
            </w:r>
            <w:r>
              <w:rPr>
                <w:rFonts w:hint="eastAsia" w:ascii="宋体" w:hAnsi="宋体" w:eastAsia="宋体" w:cs="宋体"/>
                <w:spacing w:val="-10"/>
              </w:rPr>
              <w:t>”</w:t>
            </w:r>
            <w:r>
              <w:rPr>
                <w:rFonts w:hint="eastAsia" w:ascii="Times New Roman" w:hAnsi="Times New Roman" w:eastAsia="方正仿宋_GBK" w:cs="方正仿宋_GBK"/>
                <w:spacing w:val="-10"/>
              </w:rPr>
              <w:t>为文化主线，建设巴文化博物馆、钢琴博物馆、巴文化主题公园、后照馆、欢乐海洋天地、巴文化文创艺术基地等项目。</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推进产业园建设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继续完善产业园建设，培育多元的文化休闲特色商业业态。</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继续完善产业园建设，培育多元的文化休闲特色商业业态。</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继续完善产业园建设，培育多元的文化休闲特色商业业态。</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完善产业园建设，培育多元的文化休闲特色商业业态。</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城区</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300000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2019-2025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47"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40</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沙滩河大峡谷创国家级水利风景区项目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积极引进省内外知名旅游开发公司，按照国家级水利风景区标准打造沙滩河大峡谷旅游项目。</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加大招商引资力度，完成沙滩河大峡谷景区开发策划，做好开展旅游基础设施建设准备。</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推进旅游基础设施建设。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完成旅游基础设施建设，积极推进沙滩河水利科普体验馆、漂浮码头、七孔渔村、彩林漂流等特色项目建设。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继续推进七孔渔村、彩林漂流等特色项目建设。</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米城乡、堡子镇、赵固镇等地。</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100000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67"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41</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达川区全域旅游目的地道路指示标识系统建设项目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新建、改建全区全域旅游目的地道路交通导示系统和配套项目建设。</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加快东部道路交通导示系统和配套项目建设。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加快西部道路交通导示系统和配套项目建设。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加快南部道路交通导示系统和配套项目建设。</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达川区全域</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12000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2023-2025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12"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42</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红色文化教育基地修缮项目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推动石桥古镇创国家</w:t>
            </w:r>
            <w:r>
              <w:rPr>
                <w:rFonts w:ascii="Times New Roman" w:hAnsi="Times New Roman" w:eastAsia="方正仿宋_GBK" w:cs="Times New Roman"/>
                <w:spacing w:val="-10"/>
              </w:rPr>
              <w:t>AAAA</w:t>
            </w:r>
            <w:r>
              <w:rPr>
                <w:rFonts w:hint="eastAsia" w:ascii="Times New Roman" w:hAnsi="Times New Roman" w:eastAsia="方正仿宋_GBK" w:cs="方正仿宋_GBK"/>
                <w:spacing w:val="-10"/>
              </w:rPr>
              <w:t>级旅游景区，串联石桥列宁街、杨超故居，丰富完善精品红色旅游线路，打造红色文化教育基地</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加快列宁街风貌提升、红星广场和旅游基础设施建设。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持续推进列宁街风貌提升、红星广场和旅游基础设施建设。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启动杨超故居修缮和列宁街石牌坊和红军标语修缮工程。</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持续推进杨超故居修缮和列宁街石牌坊和红军标语修缮工程。</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基本形成红色旅游线路。</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石桥镇、双庙镇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210000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53"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43</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雷音铺森旅融合发展示范项目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占地</w:t>
            </w:r>
            <w:r>
              <w:rPr>
                <w:rFonts w:ascii="Times New Roman" w:hAnsi="Times New Roman" w:eastAsia="方正仿宋_GBK" w:cs="Times New Roman"/>
                <w:spacing w:val="-10"/>
              </w:rPr>
              <w:t>500</w:t>
            </w:r>
            <w:r>
              <w:rPr>
                <w:rFonts w:hint="eastAsia" w:ascii="Times New Roman" w:hAnsi="Times New Roman" w:eastAsia="方正仿宋_GBK" w:cs="方正仿宋_GBK"/>
                <w:spacing w:val="-10"/>
              </w:rPr>
              <w:t>亩，以康养度假为主题，新建游客接街中心、康养中心、停车场、旅游步道、体育公园以及旅游配套基础设施；新建森林公园，打造以非遗文化、孝善文化为基础打造集观赏、体验为一体的综合文化馆和智慧旅游建设项目。</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加快项目前期工作，加大招商力度。启动游客接街中心、康养中心、停车场、旅游步道、体育公园以及旅游配套基础设施建设。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持续推进游客接街中心、康养中心、停车场、旅游步道、体育公园以及旅游配套基础设施建设。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启动森林公园建设，打造综合文化馆和智慧旅游建设项目。</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持续推进森林公园建设，打造综合文化馆和智慧旅游建设项目。</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三里坪街道</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120000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11"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44</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达川区赵家镇桂花村乡村旅游开发项目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项目内容：占地</w:t>
            </w:r>
            <w:r>
              <w:rPr>
                <w:rFonts w:ascii="Times New Roman" w:hAnsi="Times New Roman" w:eastAsia="方正仿宋_GBK" w:cs="Times New Roman"/>
                <w:spacing w:val="-10"/>
              </w:rPr>
              <w:t>500</w:t>
            </w:r>
            <w:r>
              <w:rPr>
                <w:rFonts w:hint="eastAsia" w:ascii="Times New Roman" w:hAnsi="Times New Roman" w:eastAsia="方正仿宋_GBK" w:cs="方正仿宋_GBK"/>
                <w:spacing w:val="-10"/>
              </w:rPr>
              <w:t>亩，新建游客接待中心、旅游厕所、环湖步道等基础设施建设。打造水上娱乐项目、民宿、景观小品等景点；发展柑橘和香椿产业。建设条件：项目距主城区</w:t>
            </w:r>
            <w:r>
              <w:rPr>
                <w:rFonts w:ascii="Times New Roman" w:hAnsi="Times New Roman" w:eastAsia="方正仿宋_GBK" w:cs="Times New Roman"/>
                <w:spacing w:val="-10"/>
              </w:rPr>
              <w:t>30</w:t>
            </w:r>
            <w:r>
              <w:rPr>
                <w:rFonts w:hint="eastAsia" w:ascii="Times New Roman" w:hAnsi="Times New Roman" w:eastAsia="方正仿宋_GBK" w:cs="方正仿宋_GBK"/>
                <w:spacing w:val="-10"/>
              </w:rPr>
              <w:t>公里，距达州新机场、高铁站均在</w:t>
            </w:r>
            <w:r>
              <w:rPr>
                <w:rFonts w:ascii="Times New Roman" w:hAnsi="Times New Roman" w:eastAsia="方正仿宋_GBK" w:cs="Times New Roman"/>
                <w:spacing w:val="-10"/>
              </w:rPr>
              <w:t>30</w:t>
            </w:r>
            <w:r>
              <w:rPr>
                <w:rFonts w:hint="eastAsia" w:ascii="Times New Roman" w:hAnsi="Times New Roman" w:eastAsia="方正仿宋_GBK" w:cs="方正仿宋_GBK"/>
                <w:spacing w:val="-10"/>
              </w:rPr>
              <w:t>公里内，规划区内农业产业基础较好，通讯、水、电、气已等基础设施等配套完善。</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加快项目前期工作，加大招商力度。启动游客接待中心、旅游厕所、环湖步道等基础设施建设。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持续推进游客接待中心、旅游厕所、环湖步道等基础设施建设。启动水上娱乐项目、民宿、景观小品等景点建设。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持续推进水上娱乐项目、民宿、景观小品等景点建设和通讯、水、电、气已等基础设施等配套完善。</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赵家镇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25000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757"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45</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达川区桥湾镇乡村振兴旅游开发项目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项目内容：</w:t>
            </w:r>
            <w:r>
              <w:rPr>
                <w:rFonts w:ascii="Times New Roman" w:hAnsi="Times New Roman" w:eastAsia="方正仿宋_GBK" w:cs="Times New Roman"/>
                <w:spacing w:val="-10"/>
              </w:rPr>
              <w:t>1.</w:t>
            </w:r>
            <w:r>
              <w:rPr>
                <w:rFonts w:hint="eastAsia" w:ascii="Times New Roman" w:hAnsi="Times New Roman" w:eastAsia="方正仿宋_GBK" w:cs="方正仿宋_GBK"/>
                <w:spacing w:val="-10"/>
              </w:rPr>
              <w:t>融入桥湾八大景文化、码头文化等，打造集水上客运、观光休闲、健身康养为一体的码头公园，修建旅游集散中心的多功能广场，打造旅游码头公园。</w:t>
            </w:r>
            <w:r>
              <w:rPr>
                <w:rFonts w:ascii="Times New Roman" w:hAnsi="Times New Roman" w:eastAsia="方正仿宋_GBK" w:cs="Times New Roman"/>
                <w:spacing w:val="-10"/>
              </w:rPr>
              <w:t>2.</w:t>
            </w:r>
            <w:r>
              <w:rPr>
                <w:rFonts w:hint="eastAsia" w:ascii="Times New Roman" w:hAnsi="Times New Roman" w:eastAsia="方正仿宋_GBK" w:cs="方正仿宋_GBK"/>
                <w:spacing w:val="-10"/>
              </w:rPr>
              <w:t>拟规划在桥湾镇团包嘴园区中心建设观景台，新建游步道，以山水田园为基调，依托晚熟柑橘、青花椒等特色产业，打造桥湾花果之乡。</w:t>
            </w:r>
            <w:r>
              <w:rPr>
                <w:rFonts w:ascii="Times New Roman" w:hAnsi="Times New Roman" w:eastAsia="方正仿宋_GBK" w:cs="Times New Roman"/>
                <w:spacing w:val="-10"/>
              </w:rPr>
              <w:t>3.</w:t>
            </w:r>
            <w:r>
              <w:rPr>
                <w:rFonts w:hint="eastAsia" w:ascii="Times New Roman" w:hAnsi="Times New Roman" w:eastAsia="方正仿宋_GBK" w:cs="方正仿宋_GBK"/>
                <w:spacing w:val="-10"/>
              </w:rPr>
              <w:t>以巴河水乡独特的水资源和沿岸的自然风光打造水上游乐项目，布局沿岸的乡村旅游接待点。建设条件：规划达石快速仅</w:t>
            </w:r>
            <w:r>
              <w:rPr>
                <w:rFonts w:ascii="Times New Roman" w:hAnsi="Times New Roman" w:eastAsia="方正仿宋_GBK" w:cs="Times New Roman"/>
                <w:spacing w:val="-10"/>
              </w:rPr>
              <w:t>30</w:t>
            </w:r>
            <w:r>
              <w:rPr>
                <w:rFonts w:hint="eastAsia" w:ascii="Times New Roman" w:hAnsi="Times New Roman" w:eastAsia="方正仿宋_GBK" w:cs="方正仿宋_GBK"/>
                <w:spacing w:val="-10"/>
              </w:rPr>
              <w:t>分钟车程到达项目地，项目地水、电、气等基础设施完善。</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加快项目前期工作，加大招商力度。启动码头公园、团包嘴园区观景台、游步道建设。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持续推进码头公园、团包嘴园区观景台、游步道建设。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启动巴河水乡水资源和沿岸自然风光打造水上游乐项目，布局沿岸的乡村旅游接待点。</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持续推进巴河水乡水资源和沿岸自然风光打造水上游乐项目，布局沿岸的乡村旅游接待点。</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桥湾镇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50000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406"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46</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乌梅山创建国家</w:t>
            </w:r>
            <w:r>
              <w:rPr>
                <w:rFonts w:ascii="Times New Roman" w:hAnsi="Times New Roman" w:eastAsia="方正仿宋_GBK" w:cs="Times New Roman"/>
                <w:spacing w:val="-10"/>
              </w:rPr>
              <w:t>AAAA</w:t>
            </w:r>
            <w:r>
              <w:rPr>
                <w:rFonts w:hint="eastAsia" w:ascii="Times New Roman" w:hAnsi="Times New Roman" w:eastAsia="方正仿宋_GBK" w:cs="方正仿宋_GBK"/>
                <w:spacing w:val="-10"/>
              </w:rPr>
              <w:t>级旅游景区基础设施项目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新建游客中心、乌梅文化展示馆、梅博园、平定寨、民宿区、露营区、旅游公路、旅游厕所、停车场项目。</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w:t>
            </w:r>
            <w:r>
              <w:rPr>
                <w:rFonts w:ascii="Times New Roman" w:hAnsi="Times New Roman" w:eastAsia="方正仿宋_GBK" w:cs="Times New Roman"/>
                <w:spacing w:val="-10"/>
              </w:rPr>
              <w:t>2020</w:t>
            </w:r>
            <w:r>
              <w:rPr>
                <w:rFonts w:hint="eastAsia" w:ascii="Times New Roman" w:hAnsi="Times New Roman" w:eastAsia="方正仿宋_GBK" w:cs="方正仿宋_GBK"/>
                <w:spacing w:val="-10"/>
              </w:rPr>
              <w:t>年）完成游客中心，景区旅游道路、游步道，旅游厕所、观景平台、百节滩、平顶寨、四季花海、乌梅展馆、乌梅广场、景区风貌打造等。</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w:t>
            </w:r>
            <w:r>
              <w:rPr>
                <w:rFonts w:ascii="Times New Roman" w:hAnsi="Times New Roman" w:eastAsia="方正仿宋_GBK" w:cs="Times New Roman"/>
                <w:spacing w:val="-10"/>
              </w:rPr>
              <w:t>2021</w:t>
            </w:r>
            <w:r>
              <w:rPr>
                <w:rFonts w:hint="eastAsia" w:ascii="Times New Roman" w:hAnsi="Times New Roman" w:eastAsia="方正仿宋_GBK" w:cs="方正仿宋_GBK"/>
                <w:spacing w:val="-10"/>
              </w:rPr>
              <w:t>年）完成平定寨民宿提升改造项目主体、室内装修和周边环境提升，智慧化系统建成启用。</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百节镇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50000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2020-2021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98"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47</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乌梅山国家</w:t>
            </w:r>
            <w:r>
              <w:rPr>
                <w:rFonts w:ascii="Times New Roman" w:hAnsi="Times New Roman" w:eastAsia="方正仿宋_GBK" w:cs="Times New Roman"/>
                <w:spacing w:val="-10"/>
              </w:rPr>
              <w:t>AAAA</w:t>
            </w:r>
            <w:r>
              <w:rPr>
                <w:rFonts w:hint="eastAsia" w:ascii="Times New Roman" w:hAnsi="Times New Roman" w:eastAsia="方正仿宋_GBK" w:cs="方正仿宋_GBK"/>
                <w:spacing w:val="-10"/>
              </w:rPr>
              <w:t>级旅游景区升级提升项目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项目内容：对现有基础设施进行提档升级，对乌梅湖进行开发，新建旅游民宿、儿童游乐园、越野车营地、老年康养中心、发展</w:t>
            </w:r>
            <w:r>
              <w:rPr>
                <w:rFonts w:ascii="Times New Roman" w:hAnsi="Times New Roman" w:eastAsia="方正仿宋_GBK" w:cs="Times New Roman"/>
                <w:spacing w:val="-10"/>
              </w:rPr>
              <w:t>3-5</w:t>
            </w:r>
            <w:r>
              <w:rPr>
                <w:rFonts w:hint="eastAsia" w:ascii="Times New Roman" w:hAnsi="Times New Roman" w:eastAsia="方正仿宋_GBK" w:cs="方正仿宋_GBK"/>
                <w:spacing w:val="-10"/>
              </w:rPr>
              <w:t>家特色农家乐和乡村酒店、建设连接仙女山景区的廊桥。建设条件：目前已是国家</w:t>
            </w:r>
            <w:r>
              <w:rPr>
                <w:rFonts w:ascii="Times New Roman" w:hAnsi="Times New Roman" w:eastAsia="方正仿宋_GBK" w:cs="Times New Roman"/>
                <w:spacing w:val="-10"/>
              </w:rPr>
              <w:t>AAAA</w:t>
            </w:r>
            <w:r>
              <w:rPr>
                <w:rFonts w:hint="eastAsia" w:ascii="Times New Roman" w:hAnsi="Times New Roman" w:eastAsia="方正仿宋_GBK" w:cs="方正仿宋_GBK"/>
                <w:spacing w:val="-10"/>
              </w:rPr>
              <w:t>级旅游景区，景区道路、停车场、游客接待中心、旅游厕所等设施完善。</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加大招商引资力度，做好开展景区二期基础设施建设和业态植入准备。</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开展乌梅山二期基础设施建设，亲水栈道，新建厕所，生态停车场，景观游步道，风貌改造，水上旅游项目。</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完成二期基础工程建设，推进康养、水上运动、户外等特色项目建设。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继续推进康养、水上运动、户外等特色项目建设。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完成康养、水上运动、百节滩漂流、户外等特色项目建设。</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百节镇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50000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89"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48</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仙女山农旅综合体项目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项目规划面积</w:t>
            </w:r>
            <w:r>
              <w:rPr>
                <w:rFonts w:ascii="Times New Roman" w:hAnsi="Times New Roman" w:eastAsia="方正仿宋_GBK" w:cs="Times New Roman"/>
                <w:spacing w:val="-10"/>
              </w:rPr>
              <w:t>21</w:t>
            </w:r>
            <w:r>
              <w:rPr>
                <w:rFonts w:hint="eastAsia" w:ascii="Times New Roman" w:hAnsi="Times New Roman" w:eastAsia="方正仿宋_GBK" w:cs="方正仿宋_GBK"/>
                <w:spacing w:val="-10"/>
              </w:rPr>
              <w:t>平方公里，农业主要打造万亩乌梅及青脆李种植基地，建设乌梅和青脆李深加工园区。景区主要建设接待服务设施配套以及温泉酒店、休闲度假、康养等项目，建成深度融合农旅综合体。</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加快推进温泉酒店、游客接待中心、温泉广场、农家乐、停车场、民宿酒店、运动中心、养生体验中心、休闲平台等项目。</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推进森林康养项目建设，打造国家级的山地户外康养基地，创建省级旅游度假区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继续推进森林康养项目建设，打造国家级的山地户外康养基地，创建省级旅游度假区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完成景区度假旅游项目体系建设，成功创建省级旅游度假区。</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平滩镇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53000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414"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49</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九龙湖旅游景区项目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占地约</w:t>
            </w:r>
            <w:r>
              <w:rPr>
                <w:rFonts w:ascii="Times New Roman" w:hAnsi="Times New Roman" w:eastAsia="方正仿宋_GBK" w:cs="Times New Roman"/>
                <w:spacing w:val="-10"/>
              </w:rPr>
              <w:t>500</w:t>
            </w:r>
            <w:r>
              <w:rPr>
                <w:rFonts w:hint="eastAsia" w:ascii="Times New Roman" w:hAnsi="Times New Roman" w:eastAsia="方正仿宋_GBK" w:cs="方正仿宋_GBK"/>
                <w:spacing w:val="-10"/>
              </w:rPr>
              <w:t>亩，新建景区游客中心、综合服务区、儿童游乐园区、龙乡水上运动区、龙乡精品民宿景区等特色产业，以创建国家</w:t>
            </w:r>
            <w:r>
              <w:rPr>
                <w:rFonts w:ascii="Times New Roman" w:hAnsi="Times New Roman" w:eastAsia="方正仿宋_GBK" w:cs="Times New Roman"/>
                <w:spacing w:val="-10"/>
              </w:rPr>
              <w:t>4A</w:t>
            </w:r>
            <w:r>
              <w:rPr>
                <w:rFonts w:hint="eastAsia" w:ascii="Times New Roman" w:hAnsi="Times New Roman" w:eastAsia="方正仿宋_GBK" w:cs="方正仿宋_GBK"/>
                <w:spacing w:val="-10"/>
              </w:rPr>
              <w:t>级旅游景区为目标，高水平开发建设九龙湖旅游景区，打造</w:t>
            </w:r>
            <w:r>
              <w:rPr>
                <w:rFonts w:hint="eastAsia" w:ascii="宋体" w:hAnsi="宋体" w:eastAsia="宋体" w:cs="宋体"/>
                <w:spacing w:val="-10"/>
              </w:rPr>
              <w:t>“</w:t>
            </w:r>
            <w:r>
              <w:rPr>
                <w:rFonts w:hint="eastAsia" w:ascii="Times New Roman" w:hAnsi="Times New Roman" w:eastAsia="方正仿宋_GBK" w:cs="方正仿宋_GBK"/>
                <w:spacing w:val="-10"/>
              </w:rPr>
              <w:t>明月山</w:t>
            </w:r>
            <w:r>
              <w:rPr>
                <w:rFonts w:hint="eastAsia" w:ascii="宋体" w:hAnsi="宋体" w:eastAsia="宋体" w:cs="宋体"/>
                <w:spacing w:val="-10"/>
              </w:rPr>
              <w:t>”</w:t>
            </w:r>
            <w:r>
              <w:rPr>
                <w:rFonts w:hint="eastAsia" w:ascii="Times New Roman" w:hAnsi="Times New Roman" w:eastAsia="方正仿宋_GBK" w:cs="方正仿宋_GBK"/>
                <w:spacing w:val="-10"/>
              </w:rPr>
              <w:t>川渝民宿群和森林康养示范带</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加大招商引资力度，做好项目开工前期工作。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启动游客中心、综合服务区、儿童游乐园区、龙乡水上运动区、龙乡精品民宿景区。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持续推进游客中心、综合服务区、儿童游乐园区、龙乡水上运动区、龙乡精品民宿景区。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继续推进龙乡水上运动公园、龙乡蝴蝶岛、渔猎部落等特色项目建设。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继续推进龙乡水上运动公园、龙乡蝴蝶岛、渔猎部落等特色项目建设，创建国家</w:t>
            </w:r>
            <w:r>
              <w:rPr>
                <w:rFonts w:ascii="Times New Roman" w:hAnsi="Times New Roman" w:eastAsia="方正仿宋_GBK" w:cs="Times New Roman"/>
                <w:spacing w:val="-10"/>
              </w:rPr>
              <w:t>AAAA</w:t>
            </w:r>
            <w:r>
              <w:rPr>
                <w:rFonts w:hint="eastAsia" w:ascii="Times New Roman" w:hAnsi="Times New Roman" w:eastAsia="方正仿宋_GBK" w:cs="方正仿宋_GBK"/>
                <w:spacing w:val="-10"/>
              </w:rPr>
              <w:t>级旅游景区，打造湖泊湿地康养型国家级旅游度假区。</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大树镇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320000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257" w:hRule="atLeast"/>
          <w:jc w:val="center"/>
        </w:trPr>
        <w:tc>
          <w:tcPr>
            <w:tcW w:w="536"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napToGrid w:val="0"/>
                <w:spacing w:val="-10"/>
                <w:sz w:val="24"/>
                <w:szCs w:val="24"/>
              </w:rPr>
              <w:t>50</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铁山国家森林公园旅游综合开发项目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新建森林公园基础设施、商业街、康养度假产品、游乐园、拓展训练基地和旅游道路等基础设施项目</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加大招商引资力度，做好项目开工前期工作。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启动基础设施、旅游道路等基础设施项目。</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持续推进基础设施、旅游道路等基础设施项目。</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启动商业街、康养度假产品、游乐园、拓展训练基地等项目建设。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持续推进商业街、康养度假产品、游乐园、拓展训练基地等项目建设。</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大堰镇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300000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686"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51</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巴河水乡旅游项目</w:t>
            </w:r>
          </w:p>
        </w:tc>
        <w:tc>
          <w:tcPr>
            <w:tcW w:w="4044" w:type="dxa"/>
            <w:vAlign w:val="center"/>
          </w:tcPr>
          <w:p>
            <w:pPr>
              <w:spacing w:line="220" w:lineRule="exact"/>
              <w:rPr>
                <w:rFonts w:ascii="Times New Roman" w:hAnsi="Times New Roman" w:eastAsia="方正仿宋_GBK" w:cs="Times New Roman"/>
                <w:spacing w:val="-10"/>
              </w:rPr>
            </w:pPr>
            <w:r>
              <w:rPr>
                <w:rFonts w:ascii="Times New Roman" w:hAnsi="Times New Roman" w:eastAsia="方正仿宋_GBK" w:cs="Times New Roman"/>
                <w:spacing w:val="-10"/>
              </w:rPr>
              <w:t>1.</w:t>
            </w:r>
            <w:r>
              <w:rPr>
                <w:rFonts w:hint="eastAsia" w:ascii="Times New Roman" w:hAnsi="Times New Roman" w:eastAsia="方正仿宋_GBK" w:cs="方正仿宋_GBK"/>
                <w:spacing w:val="-10"/>
              </w:rPr>
              <w:t>游客接待中心一座、旅游厕所</w:t>
            </w:r>
            <w:r>
              <w:rPr>
                <w:rFonts w:ascii="Times New Roman" w:hAnsi="Times New Roman" w:eastAsia="方正仿宋_GBK" w:cs="Times New Roman"/>
                <w:spacing w:val="-10"/>
              </w:rPr>
              <w:t>10</w:t>
            </w:r>
            <w:r>
              <w:rPr>
                <w:rFonts w:hint="eastAsia" w:ascii="Times New Roman" w:hAnsi="Times New Roman" w:eastAsia="方正仿宋_GBK" w:cs="方正仿宋_GBK"/>
                <w:spacing w:val="-10"/>
              </w:rPr>
              <w:t>座、城区到景点旅游专线公路；</w:t>
            </w:r>
            <w:r>
              <w:rPr>
                <w:rFonts w:ascii="Times New Roman" w:hAnsi="Times New Roman" w:eastAsia="方正仿宋_GBK" w:cs="Times New Roman"/>
                <w:spacing w:val="-10"/>
              </w:rPr>
              <w:t>2.</w:t>
            </w:r>
            <w:r>
              <w:rPr>
                <w:rFonts w:hint="eastAsia" w:ascii="Times New Roman" w:hAnsi="Times New Roman" w:eastAsia="方正仿宋_GBK" w:cs="方正仿宋_GBK"/>
                <w:spacing w:val="-10"/>
              </w:rPr>
              <w:t>观光游览区域（沿河游步道、沿河车道、沿河运动跑道、沿河休憩亭、观光平台、游船、水上运动）；</w:t>
            </w:r>
            <w:r>
              <w:rPr>
                <w:rFonts w:ascii="Times New Roman" w:hAnsi="Times New Roman" w:eastAsia="方正仿宋_GBK" w:cs="Times New Roman"/>
                <w:spacing w:val="-10"/>
              </w:rPr>
              <w:t>3.</w:t>
            </w:r>
            <w:r>
              <w:rPr>
                <w:rFonts w:hint="eastAsia" w:ascii="Times New Roman" w:hAnsi="Times New Roman" w:eastAsia="方正仿宋_GBK" w:cs="方正仿宋_GBK"/>
                <w:spacing w:val="-10"/>
              </w:rPr>
              <w:t>特色旅游景点（码头建设、巴河主题展览馆一座、纤夫文化体验、民俗文化展演、休闲农业观光及体验、沿河古村落恢复打造、民宿酒店等项目）</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项目立项、编制规划、招商。</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加快推进旅游道路、休闲观光产业园区、旅游配套服务设施项目建设。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初步形成巴河水乡乡村旅游较大规模接待能力，争创乡村旅游、特色产业园区等品牌。</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建成旅游环线，石桥古镇、巴河水乡成功创建国家</w:t>
            </w:r>
            <w:r>
              <w:rPr>
                <w:rFonts w:ascii="Times New Roman" w:hAnsi="Times New Roman" w:eastAsia="方正仿宋_GBK" w:cs="Times New Roman"/>
                <w:spacing w:val="-10"/>
              </w:rPr>
              <w:t>4A</w:t>
            </w:r>
            <w:r>
              <w:rPr>
                <w:rFonts w:hint="eastAsia" w:ascii="Times New Roman" w:hAnsi="Times New Roman" w:eastAsia="方正仿宋_GBK" w:cs="方正仿宋_GBK"/>
                <w:spacing w:val="-10"/>
              </w:rPr>
              <w:t>级旅游景区，形成较好品牌效益。</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石梯镇、石桥镇、桥湾镇、虎让乡</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500000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86"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52</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桥湾花山果海农文旅融合项目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拟在桥湾镇团包嘴园区，以晚熟柑橘产业为支撑，将花山果海、水乡田园和桥湾八大景融为一体，新建游客接待中心、移民文化广场、特色美食街区，打造集水上娱乐、观光休闲、健身康养、特色美食为一体的农文旅融合项目。</w:t>
            </w:r>
          </w:p>
        </w:tc>
        <w:tc>
          <w:tcPr>
            <w:tcW w:w="1361" w:type="dxa"/>
            <w:vAlign w:val="center"/>
          </w:tcPr>
          <w:p>
            <w:pPr>
              <w:spacing w:line="220" w:lineRule="exact"/>
              <w:rPr>
                <w:rFonts w:ascii="Times New Roman" w:hAnsi="Times New Roman" w:eastAsia="方正仿宋_GBK" w:cs="Times New Roman"/>
                <w:spacing w:val="-10"/>
              </w:rPr>
            </w:pP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开展项目立项、方案设计、项目选址等前期工作。</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启动桥湾八大景、游客中心、移民文化广场、特色美食街项目建设。</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持续推进桥湾八大景、游客中心、移民文化广场、特色美食街项目建设。</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推进水上娱乐、观光休闲、健身康养、特色美食为一体的农文旅融合项目。</w:t>
            </w:r>
          </w:p>
        </w:tc>
        <w:tc>
          <w:tcPr>
            <w:tcW w:w="818"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桥湾镇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12000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89"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53</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道让巴河水乡旅游基础设施项目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规划布局旅游接待中心，作为巴河水乡旅游起点，配套建设码头、巴洛客栈、停车场、旅游厕所等基础设施项目。利用沿途民房升级打造特色农家乐、乡村酒店、沿河景观步道、狩猎场、水上休闲运动项目等。</w:t>
            </w:r>
          </w:p>
        </w:tc>
        <w:tc>
          <w:tcPr>
            <w:tcW w:w="1361" w:type="dxa"/>
            <w:vAlign w:val="center"/>
          </w:tcPr>
          <w:p>
            <w:pPr>
              <w:spacing w:line="220" w:lineRule="exact"/>
              <w:rPr>
                <w:rFonts w:ascii="Times New Roman" w:hAnsi="Times New Roman" w:eastAsia="方正仿宋_GBK" w:cs="Times New Roman"/>
                <w:spacing w:val="-10"/>
              </w:rPr>
            </w:pP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开展项目立项、方案设计、项目选址等前期工作。</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启动码头、巴洛客栈、停车场、旅游厕所等基础设施项目建设。</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启动沿途民房升级打造特色农家乐、乡村酒店、沿河景观步道、狩猎场、水上休闲运动项目建设。</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推进项目建设，布局业态。</w:t>
            </w:r>
          </w:p>
        </w:tc>
        <w:tc>
          <w:tcPr>
            <w:tcW w:w="818"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石桥镇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8000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51"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54</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乡村旅游大环线</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在东、西、南三大片区分别打造乡村旅游大环线。新建旅游景点、厕所、公路、标识标牌、休憩亭、旅游咨询服务点等项目</w:t>
            </w: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打造东部片区乡村旅游环线。</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打造西部片区乡村旅游环线</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打造南部片区乡村旅游环线</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达川区全域</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600000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2023-2027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15"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55</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达川区银杏谷旅游景区建设项目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建设银杏林</w:t>
            </w:r>
            <w:r>
              <w:rPr>
                <w:rFonts w:ascii="Times New Roman" w:hAnsi="Times New Roman" w:eastAsia="方正仿宋_GBK" w:cs="Times New Roman"/>
                <w:spacing w:val="-10"/>
              </w:rPr>
              <w:t>2</w:t>
            </w:r>
            <w:r>
              <w:rPr>
                <w:rFonts w:hint="eastAsia" w:ascii="Times New Roman" w:hAnsi="Times New Roman" w:eastAsia="方正仿宋_GBK" w:cs="方正仿宋_GBK"/>
                <w:spacing w:val="-10"/>
              </w:rPr>
              <w:t>万亩，修建停车场</w:t>
            </w:r>
            <w:r>
              <w:rPr>
                <w:rFonts w:ascii="Times New Roman" w:hAnsi="Times New Roman" w:eastAsia="方正仿宋_GBK" w:cs="Times New Roman"/>
                <w:spacing w:val="-10"/>
              </w:rPr>
              <w:t>10000</w:t>
            </w:r>
            <w:r>
              <w:rPr>
                <w:rFonts w:hint="eastAsia" w:ascii="Times New Roman" w:hAnsi="Times New Roman" w:eastAsia="方正仿宋_GBK" w:cs="方正仿宋_GBK"/>
                <w:spacing w:val="-10"/>
              </w:rPr>
              <w:t>平方米，修缮恢复天鹰寨、完善基础设施建设，打造集旅游、观光、康养于一体的国家</w:t>
            </w:r>
            <w:r>
              <w:rPr>
                <w:rFonts w:ascii="Times New Roman" w:hAnsi="Times New Roman" w:eastAsia="方正仿宋_GBK" w:cs="Times New Roman"/>
                <w:spacing w:val="-10"/>
              </w:rPr>
              <w:t>AAAA</w:t>
            </w:r>
            <w:r>
              <w:rPr>
                <w:rFonts w:hint="eastAsia" w:ascii="Times New Roman" w:hAnsi="Times New Roman" w:eastAsia="方正仿宋_GBK" w:cs="方正仿宋_GBK"/>
                <w:spacing w:val="-10"/>
              </w:rPr>
              <w:t>级旅游景区</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持续推进银杏景观林、停车场、完善基础设施建设。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继续推进银杏景观林、停车场、修缮恢复天鹰寨、完善基础设施建设。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完成银杏景观林种植</w:t>
            </w:r>
            <w:r>
              <w:rPr>
                <w:rFonts w:ascii="Times New Roman" w:hAnsi="Times New Roman" w:eastAsia="方正仿宋_GBK" w:cs="Times New Roman"/>
                <w:spacing w:val="-10"/>
              </w:rPr>
              <w:t>2</w:t>
            </w:r>
            <w:r>
              <w:rPr>
                <w:rFonts w:hint="eastAsia" w:ascii="Times New Roman" w:hAnsi="Times New Roman" w:eastAsia="方正仿宋_GBK" w:cs="方正仿宋_GBK"/>
                <w:spacing w:val="-10"/>
              </w:rPr>
              <w:t>万亩，景区大门，游客接待中心桩基础，停车场建设。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持续推进游客接待中心、商业街建设。风貌打造、业态植入。</w:t>
            </w:r>
          </w:p>
        </w:tc>
        <w:tc>
          <w:tcPr>
            <w:tcW w:w="1361" w:type="dxa"/>
            <w:vAlign w:val="center"/>
          </w:tcPr>
          <w:p>
            <w:pPr>
              <w:spacing w:line="220" w:lineRule="exact"/>
              <w:jc w:val="left"/>
              <w:rPr>
                <w:rFonts w:ascii="Times New Roman" w:hAnsi="Times New Roman" w:eastAsia="方正仿宋_GBK" w:cs="Times New Roman"/>
                <w:spacing w:val="-10"/>
              </w:rPr>
            </w:pP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万家镇</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260000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2019-2024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07"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56</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达川区花石岩创国家</w:t>
            </w:r>
            <w:r>
              <w:rPr>
                <w:rFonts w:ascii="Times New Roman" w:hAnsi="Times New Roman" w:eastAsia="方正仿宋_GBK" w:cs="Times New Roman"/>
                <w:spacing w:val="-10"/>
              </w:rPr>
              <w:t>AAA</w:t>
            </w:r>
            <w:r>
              <w:rPr>
                <w:rFonts w:hint="eastAsia" w:ascii="Times New Roman" w:hAnsi="Times New Roman" w:eastAsia="方正仿宋_GBK" w:cs="方正仿宋_GBK"/>
                <w:spacing w:val="-10"/>
              </w:rPr>
              <w:t>级旅游景区项目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占地</w:t>
            </w:r>
            <w:r>
              <w:rPr>
                <w:rFonts w:ascii="Times New Roman" w:hAnsi="Times New Roman" w:eastAsia="方正仿宋_GBK" w:cs="Times New Roman"/>
                <w:spacing w:val="-10"/>
              </w:rPr>
              <w:t>150</w:t>
            </w:r>
            <w:r>
              <w:rPr>
                <w:rFonts w:hint="eastAsia" w:ascii="Times New Roman" w:hAnsi="Times New Roman" w:eastAsia="方正仿宋_GBK" w:cs="方正仿宋_GBK"/>
                <w:spacing w:val="-10"/>
              </w:rPr>
              <w:t>亩，新建游步道、旅游厕所、景区导视系统、智慧旅游系统、生态停车场、游船及改建游客服务中心等旅游配套设施。</w:t>
            </w:r>
          </w:p>
        </w:tc>
        <w:tc>
          <w:tcPr>
            <w:tcW w:w="1361" w:type="dxa"/>
            <w:vAlign w:val="center"/>
          </w:tcPr>
          <w:p>
            <w:pPr>
              <w:spacing w:line="220" w:lineRule="exact"/>
              <w:rPr>
                <w:rFonts w:ascii="Times New Roman" w:hAnsi="Times New Roman" w:eastAsia="方正仿宋_GBK" w:cs="Times New Roman"/>
                <w:spacing w:val="-10"/>
              </w:rPr>
            </w:pP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开展项目立项、方案设计等前期工作。</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启动游步道、旅游厕所、生态停车场、改建游客服务中心等配套设施项目建设。</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启动景区导视系统、智慧旅游系统、游艇等项目建设。</w:t>
            </w:r>
          </w:p>
        </w:tc>
        <w:tc>
          <w:tcPr>
            <w:tcW w:w="1361"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推进项目建设，布局业态。</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龙会乡</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4000</w:t>
            </w:r>
          </w:p>
        </w:tc>
        <w:tc>
          <w:tcPr>
            <w:tcW w:w="1048" w:type="dxa"/>
            <w:vAlign w:val="center"/>
          </w:tcPr>
          <w:p>
            <w:pPr>
              <w:spacing w:line="220" w:lineRule="exac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2022-2025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0" w:hRule="atLeast"/>
          <w:jc w:val="center"/>
        </w:trPr>
        <w:tc>
          <w:tcPr>
            <w:tcW w:w="15164" w:type="dxa"/>
            <w:gridSpan w:val="11"/>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sz w:val="24"/>
                <w:szCs w:val="24"/>
              </w:rPr>
              <w:t>四、广电类项目（</w:t>
            </w:r>
            <w:r>
              <w:rPr>
                <w:rFonts w:ascii="Times New Roman" w:hAnsi="Times New Roman" w:eastAsia="方正仿宋_GBK" w:cs="Times New Roman"/>
                <w:spacing w:val="-10"/>
                <w:sz w:val="24"/>
                <w:szCs w:val="24"/>
              </w:rPr>
              <w:t>3</w:t>
            </w:r>
            <w:r>
              <w:rPr>
                <w:rFonts w:hint="eastAsia" w:ascii="Times New Roman" w:hAnsi="Times New Roman" w:eastAsia="方正仿宋_GBK" w:cs="方正仿宋_GBK"/>
                <w:spacing w:val="-10"/>
                <w:sz w:val="24"/>
                <w:szCs w:val="2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92"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57</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智慧广电项目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依托智慧广电现代信息技术，结合达川区文化、旅游、广电行业现有资源，打造具有达川特色的智慧广电项目，包括智慧社区、智慧三馆、智慧文旅、公共</w:t>
            </w:r>
            <w:r>
              <w:rPr>
                <w:rFonts w:ascii="Times New Roman" w:hAnsi="Times New Roman" w:eastAsia="方正仿宋_GBK" w:cs="Times New Roman"/>
                <w:spacing w:val="-10"/>
              </w:rPr>
              <w:t>wifi</w:t>
            </w:r>
            <w:r>
              <w:rPr>
                <w:rFonts w:hint="eastAsia" w:ascii="Times New Roman" w:hAnsi="Times New Roman" w:eastAsia="方正仿宋_GBK" w:cs="方正仿宋_GBK"/>
                <w:spacing w:val="-10"/>
              </w:rPr>
              <w:t>项目等。</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启动智慧社区、智慧三馆、公共</w:t>
            </w:r>
            <w:r>
              <w:rPr>
                <w:rFonts w:ascii="Times New Roman" w:hAnsi="Times New Roman" w:eastAsia="方正仿宋_GBK" w:cs="Times New Roman"/>
                <w:spacing w:val="-10"/>
              </w:rPr>
              <w:t>wifi</w:t>
            </w:r>
            <w:r>
              <w:rPr>
                <w:rFonts w:hint="eastAsia" w:ascii="Times New Roman" w:hAnsi="Times New Roman" w:eastAsia="方正仿宋_GBK" w:cs="方正仿宋_GBK"/>
                <w:spacing w:val="-10"/>
              </w:rPr>
              <w:t>等项目建设。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持续推进智慧社区、智慧三馆、公共</w:t>
            </w:r>
            <w:r>
              <w:rPr>
                <w:rFonts w:ascii="Times New Roman" w:hAnsi="Times New Roman" w:eastAsia="方正仿宋_GBK" w:cs="Times New Roman"/>
                <w:spacing w:val="-10"/>
              </w:rPr>
              <w:t>wifi</w:t>
            </w:r>
            <w:r>
              <w:rPr>
                <w:rFonts w:hint="eastAsia" w:ascii="Times New Roman" w:hAnsi="Times New Roman" w:eastAsia="方正仿宋_GBK" w:cs="方正仿宋_GBK"/>
                <w:spacing w:val="-10"/>
              </w:rPr>
              <w:t>等项目建设。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启动智慧文旅项目建设。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持续推进智慧文旅项目建设</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达川区全域</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22"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58</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应急广播体系建设项目</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完成</w:t>
            </w:r>
            <w:r>
              <w:rPr>
                <w:rFonts w:ascii="Times New Roman" w:hAnsi="Times New Roman" w:eastAsia="方正仿宋_GBK" w:cs="Times New Roman"/>
                <w:spacing w:val="-10"/>
              </w:rPr>
              <w:t>283</w:t>
            </w:r>
            <w:r>
              <w:rPr>
                <w:rFonts w:hint="eastAsia" w:ascii="Times New Roman" w:hAnsi="Times New Roman" w:eastAsia="方正仿宋_GBK" w:cs="方正仿宋_GBK"/>
                <w:spacing w:val="-10"/>
              </w:rPr>
              <w:t>个村（社区）的应急广播体系建设，实现省、市、区、乡、村五级互联互通和全覆盖。按照省、市下达的任务数和专项资金情况，逐年实施完成。</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w:t>
            </w:r>
            <w:r>
              <w:rPr>
                <w:rFonts w:ascii="Times New Roman" w:hAnsi="Times New Roman" w:eastAsia="方正仿宋_GBK" w:cs="Times New Roman"/>
                <w:spacing w:val="-10"/>
              </w:rPr>
              <w:t>100</w:t>
            </w:r>
            <w:r>
              <w:rPr>
                <w:rFonts w:hint="eastAsia" w:ascii="Times New Roman" w:hAnsi="Times New Roman" w:eastAsia="方正仿宋_GBK" w:cs="方正仿宋_GBK"/>
                <w:spacing w:val="-10"/>
              </w:rPr>
              <w:t>个村的应急广播体系建设。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w:t>
            </w:r>
            <w:r>
              <w:rPr>
                <w:rFonts w:ascii="Times New Roman" w:hAnsi="Times New Roman" w:eastAsia="方正仿宋_GBK" w:cs="Times New Roman"/>
                <w:spacing w:val="-10"/>
              </w:rPr>
              <w:t>100</w:t>
            </w:r>
            <w:r>
              <w:rPr>
                <w:rFonts w:hint="eastAsia" w:ascii="Times New Roman" w:hAnsi="Times New Roman" w:eastAsia="方正仿宋_GBK" w:cs="方正仿宋_GBK"/>
                <w:spacing w:val="-10"/>
              </w:rPr>
              <w:t>个村的应急广播体系建设。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w:t>
            </w:r>
            <w:r>
              <w:rPr>
                <w:rFonts w:ascii="Times New Roman" w:hAnsi="Times New Roman" w:eastAsia="方正仿宋_GBK" w:cs="Times New Roman"/>
                <w:spacing w:val="-10"/>
              </w:rPr>
              <w:t>83</w:t>
            </w:r>
            <w:r>
              <w:rPr>
                <w:rFonts w:hint="eastAsia" w:ascii="Times New Roman" w:hAnsi="Times New Roman" w:eastAsia="方正仿宋_GBK" w:cs="方正仿宋_GBK"/>
                <w:spacing w:val="-10"/>
              </w:rPr>
              <w:t>个村的应急广播体系建设。</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对全区已完成的村应急广播体系建设项目检查验收。</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达川区全域</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300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07" w:hRule="atLeast"/>
          <w:jc w:val="center"/>
        </w:trPr>
        <w:tc>
          <w:tcPr>
            <w:tcW w:w="536" w:type="dxa"/>
            <w:vAlign w:val="center"/>
          </w:tcPr>
          <w:p>
            <w:pPr>
              <w:adjustRightInd w:val="0"/>
              <w:snapToGrid w:val="0"/>
              <w:spacing w:line="220" w:lineRule="exact"/>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4"/>
                <w:szCs w:val="24"/>
              </w:rPr>
              <w:t>59</w:t>
            </w:r>
          </w:p>
        </w:tc>
        <w:tc>
          <w:tcPr>
            <w:tcW w:w="1130"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高清电视户户通工程</w:t>
            </w:r>
          </w:p>
        </w:tc>
        <w:tc>
          <w:tcPr>
            <w:tcW w:w="4044" w:type="dxa"/>
            <w:vAlign w:val="center"/>
          </w:tcPr>
          <w:p>
            <w:pPr>
              <w:spacing w:line="220" w:lineRule="exact"/>
              <w:rPr>
                <w:rFonts w:ascii="Times New Roman" w:hAnsi="Times New Roman" w:eastAsia="方正仿宋_GBK" w:cs="Times New Roman"/>
                <w:spacing w:val="-10"/>
              </w:rPr>
            </w:pPr>
            <w:r>
              <w:rPr>
                <w:rFonts w:hint="eastAsia" w:ascii="Times New Roman" w:hAnsi="Times New Roman" w:eastAsia="方正仿宋_GBK" w:cs="方正仿宋_GBK"/>
                <w:spacing w:val="-10"/>
              </w:rPr>
              <w:t>解决达川区辖区内广大农村群众广播电视收听收看难问题。把我区建成的</w:t>
            </w:r>
            <w:r>
              <w:rPr>
                <w:rFonts w:ascii="Times New Roman" w:hAnsi="Times New Roman" w:eastAsia="方正仿宋_GBK" w:cs="Times New Roman"/>
                <w:spacing w:val="-10"/>
              </w:rPr>
              <w:t>12</w:t>
            </w:r>
            <w:r>
              <w:rPr>
                <w:rFonts w:hint="eastAsia" w:ascii="Times New Roman" w:hAnsi="Times New Roman" w:eastAsia="方正仿宋_GBK" w:cs="方正仿宋_GBK"/>
                <w:spacing w:val="-10"/>
              </w:rPr>
              <w:t>万户电视村村通接收设备进行高清化改造，实现</w:t>
            </w:r>
            <w:r>
              <w:rPr>
                <w:rFonts w:ascii="Times New Roman" w:hAnsi="Times New Roman" w:eastAsia="方正仿宋_GBK" w:cs="Times New Roman"/>
                <w:spacing w:val="-10"/>
              </w:rPr>
              <w:t>:</w:t>
            </w:r>
            <w:r>
              <w:rPr>
                <w:rFonts w:hint="eastAsia" w:ascii="宋体" w:hAnsi="宋体" w:eastAsia="宋体" w:cs="宋体"/>
                <w:spacing w:val="-10"/>
              </w:rPr>
              <w:t>“</w:t>
            </w:r>
            <w:r>
              <w:rPr>
                <w:rFonts w:hint="eastAsia" w:ascii="Times New Roman" w:hAnsi="Times New Roman" w:eastAsia="方正仿宋_GBK" w:cs="方正仿宋_GBK"/>
                <w:spacing w:val="-10"/>
              </w:rPr>
              <w:t>户户有广播电视向户户有高清电视</w:t>
            </w:r>
            <w:r>
              <w:rPr>
                <w:rFonts w:hint="eastAsia" w:ascii="宋体" w:hAnsi="宋体" w:eastAsia="宋体" w:cs="宋体"/>
                <w:spacing w:val="-10"/>
              </w:rPr>
              <w:t>”</w:t>
            </w:r>
            <w:r>
              <w:rPr>
                <w:rFonts w:hint="eastAsia" w:ascii="Times New Roman" w:hAnsi="Times New Roman" w:eastAsia="方正仿宋_GBK" w:cs="方正仿宋_GBK"/>
                <w:spacing w:val="-10"/>
              </w:rPr>
              <w:t>的转变。按照省、市下达的任务数和专项资金情况，逐年实施完成。</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设计方案、规划等前期工作。</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w:t>
            </w:r>
            <w:r>
              <w:rPr>
                <w:rFonts w:ascii="Times New Roman" w:hAnsi="Times New Roman" w:eastAsia="方正仿宋_GBK" w:cs="Times New Roman"/>
                <w:spacing w:val="-10"/>
              </w:rPr>
              <w:t>4</w:t>
            </w:r>
            <w:r>
              <w:rPr>
                <w:rFonts w:hint="eastAsia" w:ascii="Times New Roman" w:hAnsi="Times New Roman" w:eastAsia="方正仿宋_GBK" w:cs="方正仿宋_GBK"/>
                <w:spacing w:val="-10"/>
              </w:rPr>
              <w:t>万户电视村村通接收设备高清化改造。</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w:t>
            </w:r>
            <w:r>
              <w:rPr>
                <w:rFonts w:ascii="Times New Roman" w:hAnsi="Times New Roman" w:eastAsia="方正仿宋_GBK" w:cs="Times New Roman"/>
                <w:spacing w:val="-10"/>
              </w:rPr>
              <w:t>4</w:t>
            </w:r>
            <w:r>
              <w:rPr>
                <w:rFonts w:hint="eastAsia" w:ascii="Times New Roman" w:hAnsi="Times New Roman" w:eastAsia="方正仿宋_GBK" w:cs="方正仿宋_GBK"/>
                <w:spacing w:val="-10"/>
              </w:rPr>
              <w:t>万户电视村村通接收设备高清化改造。</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w:t>
            </w:r>
            <w:r>
              <w:rPr>
                <w:rFonts w:ascii="Times New Roman" w:hAnsi="Times New Roman" w:eastAsia="方正仿宋_GBK" w:cs="Times New Roman"/>
                <w:spacing w:val="-10"/>
              </w:rPr>
              <w:t>4</w:t>
            </w:r>
            <w:r>
              <w:rPr>
                <w:rFonts w:hint="eastAsia" w:ascii="Times New Roman" w:hAnsi="Times New Roman" w:eastAsia="方正仿宋_GBK" w:cs="方正仿宋_GBK"/>
                <w:spacing w:val="-10"/>
              </w:rPr>
              <w:t>万户电视村村通接收设备高清化改造。</w:t>
            </w:r>
          </w:p>
        </w:tc>
        <w:tc>
          <w:tcPr>
            <w:tcW w:w="1361" w:type="dxa"/>
            <w:vAlign w:val="center"/>
          </w:tcPr>
          <w:p>
            <w:pPr>
              <w:spacing w:line="220" w:lineRule="exact"/>
              <w:jc w:val="left"/>
              <w:rPr>
                <w:rFonts w:ascii="Times New Roman" w:hAnsi="Times New Roman" w:eastAsia="方正仿宋_GBK" w:cs="Times New Roman"/>
                <w:spacing w:val="-10"/>
              </w:rPr>
            </w:pPr>
            <w:r>
              <w:rPr>
                <w:rFonts w:hint="eastAsia" w:ascii="Times New Roman" w:hAnsi="Times New Roman" w:eastAsia="方正仿宋_GBK" w:cs="方正仿宋_GBK"/>
                <w:spacing w:val="-10"/>
              </w:rPr>
              <w:t>完成</w:t>
            </w:r>
            <w:r>
              <w:rPr>
                <w:rFonts w:ascii="Times New Roman" w:hAnsi="Times New Roman" w:eastAsia="方正仿宋_GBK" w:cs="Times New Roman"/>
                <w:spacing w:val="-10"/>
              </w:rPr>
              <w:t>4</w:t>
            </w:r>
            <w:r>
              <w:rPr>
                <w:rFonts w:hint="eastAsia" w:ascii="Times New Roman" w:hAnsi="Times New Roman" w:eastAsia="方正仿宋_GBK" w:cs="方正仿宋_GBK"/>
                <w:spacing w:val="-10"/>
              </w:rPr>
              <w:t>万户电视村村通接收设备高清化改造。</w:t>
            </w:r>
          </w:p>
        </w:tc>
        <w:tc>
          <w:tcPr>
            <w:tcW w:w="818" w:type="dxa"/>
            <w:vAlign w:val="center"/>
          </w:tcPr>
          <w:p>
            <w:pPr>
              <w:spacing w:line="220" w:lineRule="exact"/>
              <w:jc w:val="center"/>
              <w:rPr>
                <w:rFonts w:ascii="Times New Roman" w:hAnsi="Times New Roman" w:eastAsia="方正仿宋_GBK" w:cs="Times New Roman"/>
                <w:spacing w:val="-10"/>
              </w:rPr>
            </w:pPr>
            <w:r>
              <w:rPr>
                <w:rFonts w:hint="eastAsia" w:ascii="Times New Roman" w:hAnsi="Times New Roman" w:eastAsia="方正仿宋_GBK" w:cs="方正仿宋_GBK"/>
                <w:spacing w:val="-10"/>
              </w:rPr>
              <w:t>达川区全域</w:t>
            </w:r>
          </w:p>
        </w:tc>
        <w:tc>
          <w:tcPr>
            <w:tcW w:w="783"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200</w:t>
            </w:r>
          </w:p>
        </w:tc>
        <w:tc>
          <w:tcPr>
            <w:tcW w:w="1048" w:type="dxa"/>
            <w:vAlign w:val="center"/>
          </w:tcPr>
          <w:p>
            <w:pPr>
              <w:spacing w:line="220" w:lineRule="exact"/>
              <w:jc w:val="right"/>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5" w:hRule="atLeast"/>
          <w:jc w:val="center"/>
        </w:trPr>
        <w:tc>
          <w:tcPr>
            <w:tcW w:w="536" w:type="dxa"/>
            <w:vAlign w:val="center"/>
          </w:tcPr>
          <w:p>
            <w:pPr>
              <w:adjustRightInd w:val="0"/>
              <w:snapToGrid w:val="0"/>
              <w:spacing w:line="220" w:lineRule="exact"/>
              <w:textAlignment w:val="center"/>
              <w:rPr>
                <w:rStyle w:val="32"/>
                <w:rFonts w:ascii="Times New Roman" w:hAnsi="Times New Roman" w:eastAsia="方正仿宋_GBK" w:cs="Times New Roman"/>
                <w:b w:val="0"/>
                <w:bCs w:val="0"/>
                <w:snapToGrid w:val="0"/>
                <w:spacing w:val="-10"/>
                <w:kern w:val="0"/>
                <w:sz w:val="24"/>
                <w:szCs w:val="24"/>
              </w:rPr>
            </w:pPr>
          </w:p>
        </w:tc>
        <w:tc>
          <w:tcPr>
            <w:tcW w:w="1130" w:type="dxa"/>
            <w:vAlign w:val="center"/>
          </w:tcPr>
          <w:p>
            <w:pPr>
              <w:adjustRightInd w:val="0"/>
              <w:snapToGrid w:val="0"/>
              <w:spacing w:line="220" w:lineRule="exact"/>
              <w:jc w:val="center"/>
              <w:textAlignment w:val="center"/>
              <w:rPr>
                <w:rStyle w:val="32"/>
                <w:rFonts w:ascii="Times New Roman" w:hAnsi="Times New Roman" w:eastAsia="方正仿宋_GBK" w:cs="Times New Roman"/>
                <w:b w:val="0"/>
                <w:bCs w:val="0"/>
                <w:snapToGrid w:val="0"/>
                <w:spacing w:val="-10"/>
                <w:kern w:val="0"/>
                <w:sz w:val="24"/>
                <w:szCs w:val="24"/>
              </w:rPr>
            </w:pPr>
            <w:r>
              <w:rPr>
                <w:rStyle w:val="32"/>
                <w:rFonts w:hint="eastAsia" w:ascii="Times New Roman" w:hAnsi="Times New Roman" w:eastAsia="方正仿宋_GBK" w:cs="方正仿宋_GBK"/>
                <w:snapToGrid w:val="0"/>
                <w:spacing w:val="-10"/>
                <w:kern w:val="0"/>
                <w:sz w:val="24"/>
                <w:szCs w:val="24"/>
              </w:rPr>
              <w:t>合计</w:t>
            </w:r>
          </w:p>
        </w:tc>
        <w:tc>
          <w:tcPr>
            <w:tcW w:w="4044" w:type="dxa"/>
            <w:vAlign w:val="center"/>
          </w:tcPr>
          <w:p>
            <w:pPr>
              <w:adjustRightInd w:val="0"/>
              <w:snapToGrid w:val="0"/>
              <w:spacing w:line="220" w:lineRule="exact"/>
              <w:textAlignment w:val="center"/>
              <w:rPr>
                <w:rStyle w:val="32"/>
                <w:rFonts w:ascii="Times New Roman" w:hAnsi="Times New Roman" w:eastAsia="方正仿宋_GBK" w:cs="Times New Roman"/>
                <w:b w:val="0"/>
                <w:bCs w:val="0"/>
                <w:snapToGrid w:val="0"/>
                <w:spacing w:val="-10"/>
                <w:kern w:val="0"/>
                <w:sz w:val="24"/>
                <w:szCs w:val="24"/>
              </w:rPr>
            </w:pPr>
          </w:p>
        </w:tc>
        <w:tc>
          <w:tcPr>
            <w:tcW w:w="1361" w:type="dxa"/>
            <w:vAlign w:val="center"/>
          </w:tcPr>
          <w:p>
            <w:pPr>
              <w:adjustRightInd w:val="0"/>
              <w:snapToGrid w:val="0"/>
              <w:spacing w:line="220" w:lineRule="exact"/>
              <w:jc w:val="left"/>
              <w:textAlignment w:val="center"/>
              <w:rPr>
                <w:rFonts w:ascii="Times New Roman" w:hAnsi="Times New Roman" w:eastAsia="方正仿宋_GBK" w:cs="Times New Roman"/>
                <w:snapToGrid w:val="0"/>
                <w:spacing w:val="-10"/>
                <w:sz w:val="24"/>
                <w:szCs w:val="24"/>
              </w:rPr>
            </w:pPr>
          </w:p>
        </w:tc>
        <w:tc>
          <w:tcPr>
            <w:tcW w:w="1361" w:type="dxa"/>
            <w:vAlign w:val="center"/>
          </w:tcPr>
          <w:p>
            <w:pPr>
              <w:adjustRightInd w:val="0"/>
              <w:snapToGrid w:val="0"/>
              <w:spacing w:line="220" w:lineRule="exact"/>
              <w:jc w:val="left"/>
              <w:textAlignment w:val="center"/>
              <w:rPr>
                <w:rFonts w:ascii="Times New Roman" w:hAnsi="Times New Roman" w:eastAsia="方正仿宋_GBK" w:cs="Times New Roman"/>
                <w:snapToGrid w:val="0"/>
                <w:spacing w:val="-10"/>
                <w:sz w:val="24"/>
                <w:szCs w:val="24"/>
              </w:rPr>
            </w:pPr>
          </w:p>
        </w:tc>
        <w:tc>
          <w:tcPr>
            <w:tcW w:w="1361" w:type="dxa"/>
            <w:vAlign w:val="center"/>
          </w:tcPr>
          <w:p>
            <w:pPr>
              <w:adjustRightInd w:val="0"/>
              <w:snapToGrid w:val="0"/>
              <w:spacing w:line="220" w:lineRule="exact"/>
              <w:jc w:val="left"/>
              <w:textAlignment w:val="center"/>
              <w:rPr>
                <w:rFonts w:ascii="Times New Roman" w:hAnsi="Times New Roman" w:eastAsia="方正仿宋_GBK" w:cs="Times New Roman"/>
                <w:snapToGrid w:val="0"/>
                <w:spacing w:val="-10"/>
                <w:sz w:val="24"/>
                <w:szCs w:val="24"/>
              </w:rPr>
            </w:pPr>
          </w:p>
        </w:tc>
        <w:tc>
          <w:tcPr>
            <w:tcW w:w="1361" w:type="dxa"/>
            <w:vAlign w:val="center"/>
          </w:tcPr>
          <w:p>
            <w:pPr>
              <w:adjustRightInd w:val="0"/>
              <w:snapToGrid w:val="0"/>
              <w:spacing w:line="220" w:lineRule="exact"/>
              <w:jc w:val="left"/>
              <w:textAlignment w:val="center"/>
              <w:rPr>
                <w:rFonts w:ascii="Times New Roman" w:hAnsi="Times New Roman" w:eastAsia="方正仿宋_GBK" w:cs="Times New Roman"/>
                <w:snapToGrid w:val="0"/>
                <w:spacing w:val="-10"/>
                <w:sz w:val="24"/>
                <w:szCs w:val="24"/>
              </w:rPr>
            </w:pPr>
          </w:p>
        </w:tc>
        <w:tc>
          <w:tcPr>
            <w:tcW w:w="1361" w:type="dxa"/>
            <w:vAlign w:val="center"/>
          </w:tcPr>
          <w:p>
            <w:pPr>
              <w:adjustRightInd w:val="0"/>
              <w:snapToGrid w:val="0"/>
              <w:spacing w:line="220" w:lineRule="exact"/>
              <w:jc w:val="left"/>
              <w:textAlignment w:val="center"/>
              <w:rPr>
                <w:rFonts w:ascii="Times New Roman" w:hAnsi="Times New Roman" w:eastAsia="方正仿宋_GBK" w:cs="Times New Roman"/>
                <w:snapToGrid w:val="0"/>
                <w:spacing w:val="-10"/>
                <w:sz w:val="24"/>
                <w:szCs w:val="24"/>
              </w:rPr>
            </w:pPr>
          </w:p>
        </w:tc>
        <w:tc>
          <w:tcPr>
            <w:tcW w:w="818" w:type="dxa"/>
            <w:vAlign w:val="center"/>
          </w:tcPr>
          <w:p>
            <w:pPr>
              <w:adjustRightInd w:val="0"/>
              <w:snapToGrid w:val="0"/>
              <w:spacing w:line="220" w:lineRule="exact"/>
              <w:textAlignment w:val="center"/>
              <w:rPr>
                <w:rFonts w:ascii="Times New Roman" w:hAnsi="Times New Roman" w:eastAsia="方正仿宋_GBK" w:cs="Times New Roman"/>
                <w:snapToGrid w:val="0"/>
                <w:spacing w:val="-10"/>
                <w:sz w:val="24"/>
                <w:szCs w:val="24"/>
              </w:rPr>
            </w:pPr>
          </w:p>
        </w:tc>
        <w:tc>
          <w:tcPr>
            <w:tcW w:w="783" w:type="dxa"/>
            <w:vAlign w:val="center"/>
          </w:tcPr>
          <w:p>
            <w:pPr>
              <w:adjustRightInd w:val="0"/>
              <w:snapToGrid w:val="0"/>
              <w:spacing w:line="220" w:lineRule="exact"/>
              <w:jc w:val="right"/>
              <w:textAlignment w:val="center"/>
              <w:rPr>
                <w:rFonts w:ascii="Times New Roman" w:hAnsi="Times New Roman" w:eastAsia="方正仿宋_GBK" w:cs="Times New Roman"/>
                <w:snapToGrid w:val="0"/>
                <w:spacing w:val="-10"/>
                <w:sz w:val="24"/>
                <w:szCs w:val="24"/>
              </w:rPr>
            </w:pPr>
            <w:r>
              <w:rPr>
                <w:rFonts w:ascii="Times New Roman" w:hAnsi="Times New Roman" w:eastAsia="方正仿宋_GBK" w:cs="Times New Roman"/>
                <w:snapToGrid w:val="0"/>
                <w:spacing w:val="-10"/>
                <w:sz w:val="22"/>
                <w:szCs w:val="22"/>
              </w:rPr>
              <w:t>3597836</w:t>
            </w:r>
          </w:p>
        </w:tc>
        <w:tc>
          <w:tcPr>
            <w:tcW w:w="1048" w:type="dxa"/>
            <w:vAlign w:val="center"/>
          </w:tcPr>
          <w:p>
            <w:pPr>
              <w:adjustRightInd w:val="0"/>
              <w:snapToGrid w:val="0"/>
              <w:spacing w:line="220" w:lineRule="exact"/>
              <w:jc w:val="right"/>
              <w:textAlignment w:val="center"/>
              <w:rPr>
                <w:rFonts w:ascii="Times New Roman" w:hAnsi="Times New Roman" w:eastAsia="方正仿宋_GBK" w:cs="Times New Roman"/>
                <w:snapToGrid w:val="0"/>
                <w:spacing w:val="-10"/>
                <w:sz w:val="24"/>
                <w:szCs w:val="24"/>
              </w:rPr>
            </w:pPr>
          </w:p>
        </w:tc>
      </w:tr>
    </w:tbl>
    <w:p>
      <w:pPr>
        <w:pStyle w:val="9"/>
        <w:ind w:left="420" w:firstLine="0" w:firstLineChars="0"/>
        <w:jc w:val="center"/>
        <w:rPr>
          <w:rFonts w:ascii="Times New Roman" w:hAnsi="Times New Roman" w:eastAsia="方正仿宋_GBK" w:cs="Times New Roman"/>
          <w:sz w:val="44"/>
          <w:szCs w:val="44"/>
          <w:lang w:eastAsia="zh-CN"/>
        </w:rPr>
      </w:pPr>
    </w:p>
    <w:p>
      <w:pPr>
        <w:widowControl/>
        <w:jc w:val="left"/>
        <w:rPr>
          <w:rFonts w:ascii="Times New Roman" w:hAnsi="Times New Roman" w:eastAsia="方正仿宋_GBK" w:cs="Times New Roman"/>
          <w:kern w:val="0"/>
          <w:sz w:val="32"/>
          <w:szCs w:val="32"/>
        </w:rPr>
      </w:pPr>
      <w:r>
        <w:rPr>
          <w:rFonts w:ascii="Times New Roman" w:hAnsi="Times New Roman" w:eastAsia="方正仿宋_GBK" w:cs="Times New Roman"/>
        </w:rPr>
        <w:br w:type="page"/>
      </w:r>
    </w:p>
    <w:p>
      <w:pPr>
        <w:pStyle w:val="9"/>
        <w:ind w:left="420" w:firstLine="0" w:firstLineChars="0"/>
        <w:jc w:val="left"/>
        <w:outlineLvl w:val="0"/>
        <w:rPr>
          <w:rFonts w:ascii="Times New Roman" w:hAnsi="Times New Roman" w:eastAsia="方正仿宋_GBK" w:cs="Times New Roman"/>
          <w:spacing w:val="-25"/>
          <w:kern w:val="2"/>
          <w:lang w:eastAsia="zh-CN"/>
        </w:rPr>
      </w:pPr>
      <w:r>
        <w:rPr>
          <w:lang w:eastAsia="zh-CN"/>
        </w:rPr>
        <w:drawing>
          <wp:anchor distT="0" distB="0" distL="114300" distR="114300" simplePos="0" relativeHeight="251660288" behindDoc="0" locked="0" layoutInCell="1" allowOverlap="1">
            <wp:simplePos x="0" y="0"/>
            <wp:positionH relativeFrom="column">
              <wp:posOffset>1435735</wp:posOffset>
            </wp:positionH>
            <wp:positionV relativeFrom="paragraph">
              <wp:posOffset>-36195</wp:posOffset>
            </wp:positionV>
            <wp:extent cx="6226810" cy="5667375"/>
            <wp:effectExtent l="0" t="0" r="2540" b="952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stretch>
                      <a:fillRect/>
                    </a:stretch>
                  </pic:blipFill>
                  <pic:spPr>
                    <a:xfrm>
                      <a:off x="0" y="0"/>
                      <a:ext cx="6226810" cy="5667375"/>
                    </a:xfrm>
                    <a:prstGeom prst="rect">
                      <a:avLst/>
                    </a:prstGeom>
                    <a:noFill/>
                    <a:ln>
                      <a:noFill/>
                    </a:ln>
                  </pic:spPr>
                </pic:pic>
              </a:graphicData>
            </a:graphic>
          </wp:anchor>
        </w:drawing>
      </w:r>
      <w:r>
        <w:rPr>
          <w:rFonts w:hint="eastAsia" w:ascii="方正黑体_GBK" w:hAnsi="Times New Roman" w:eastAsia="方正黑体_GBK" w:cs="方正黑体_GBK"/>
          <w:spacing w:val="-25"/>
          <w:kern w:val="2"/>
          <w:lang w:eastAsia="zh-CN"/>
        </w:rPr>
        <w:t>附图</w:t>
      </w:r>
      <w:r>
        <w:rPr>
          <w:rFonts w:ascii="Times New Roman" w:hAnsi="Times New Roman" w:eastAsia="方正仿宋_GBK" w:cs="Times New Roman"/>
          <w:spacing w:val="-25"/>
          <w:kern w:val="2"/>
          <w:lang w:eastAsia="zh-CN"/>
        </w:rPr>
        <w:t>1</w:t>
      </w:r>
    </w:p>
    <w:p>
      <w:pPr>
        <w:pStyle w:val="9"/>
        <w:ind w:left="840" w:firstLine="640"/>
        <w:rPr>
          <w:rFonts w:ascii="Times New Roman" w:hAnsi="Times New Roman" w:eastAsia="方正仿宋_GBK" w:cs="Times New Roman"/>
          <w:lang w:eastAsia="zh-CN"/>
        </w:rPr>
      </w:pPr>
      <w:r>
        <w:rPr>
          <w:rFonts w:ascii="Times New Roman" w:hAnsi="Times New Roman" w:eastAsia="方正仿宋_GBK" w:cs="Times New Roman"/>
          <w:lang w:eastAsia="zh-CN"/>
        </w:rPr>
        <w:br w:type="page"/>
      </w:r>
    </w:p>
    <w:p>
      <w:pPr>
        <w:widowControl/>
        <w:jc w:val="left"/>
        <w:outlineLvl w:val="0"/>
        <w:rPr>
          <w:rFonts w:ascii="Times New Roman" w:hAnsi="Times New Roman" w:eastAsia="方正仿宋_GBK" w:cs="Times New Roman"/>
        </w:rPr>
      </w:pPr>
      <w:r>
        <w:drawing>
          <wp:anchor distT="0" distB="0" distL="114300" distR="114300" simplePos="0" relativeHeight="251659264" behindDoc="1" locked="0" layoutInCell="1" allowOverlap="1">
            <wp:simplePos x="0" y="0"/>
            <wp:positionH relativeFrom="column">
              <wp:posOffset>1388110</wp:posOffset>
            </wp:positionH>
            <wp:positionV relativeFrom="paragraph">
              <wp:posOffset>20955</wp:posOffset>
            </wp:positionV>
            <wp:extent cx="6663055" cy="5619750"/>
            <wp:effectExtent l="0" t="0" r="4445"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6663055" cy="5619750"/>
                    </a:xfrm>
                    <a:prstGeom prst="rect">
                      <a:avLst/>
                    </a:prstGeom>
                    <a:noFill/>
                    <a:ln>
                      <a:noFill/>
                    </a:ln>
                  </pic:spPr>
                </pic:pic>
              </a:graphicData>
            </a:graphic>
          </wp:anchor>
        </w:drawing>
      </w:r>
      <w:r>
        <w:rPr>
          <w:rFonts w:hint="eastAsia" w:ascii="方正黑体_GBK" w:hAnsi="Times New Roman" w:eastAsia="方正黑体_GBK" w:cs="方正黑体_GBK"/>
          <w:sz w:val="32"/>
          <w:szCs w:val="32"/>
        </w:rPr>
        <w:t>附图</w:t>
      </w:r>
      <w:r>
        <w:rPr>
          <w:rFonts w:ascii="Times New Roman" w:hAnsi="Times New Roman" w:eastAsia="方正仿宋_GBK" w:cs="Times New Roman"/>
          <w:sz w:val="32"/>
          <w:szCs w:val="32"/>
        </w:rPr>
        <w:t>2</w:t>
      </w:r>
    </w:p>
    <w:p>
      <w:pPr>
        <w:adjustRightInd w:val="0"/>
        <w:snapToGrid w:val="0"/>
        <w:spacing w:line="578" w:lineRule="exact"/>
        <w:rPr>
          <w:rFonts w:ascii="Times New Roman" w:hAnsi="Times New Roman" w:eastAsia="宋体" w:cs="Times New Roman"/>
          <w:sz w:val="20"/>
          <w:szCs w:val="20"/>
        </w:rPr>
      </w:pPr>
    </w:p>
    <w:sectPr>
      <w:footerReference r:id="rId5" w:type="default"/>
      <w:footerReference r:id="rId6" w:type="even"/>
      <w:pgSz w:w="16840" w:h="11900" w:orient="landscape"/>
      <w:pgMar w:top="1587" w:right="2098" w:bottom="1474" w:left="1984" w:header="720" w:footer="720" w:gutter="0"/>
      <w:pgNumType w:fmt="numberInDash"/>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420"/>
      <w:jc w:val="right"/>
      <w:rPr>
        <w:rFonts w:ascii="宋体" w:hAnsi="宋体" w:eastAsia="宋体" w:cs="宋体"/>
        <w:sz w:val="28"/>
        <w:szCs w:val="28"/>
      </w:rPr>
    </w:pPr>
    <w:r>
      <w:rPr>
        <w:rFonts w:ascii="宋体" w:hAnsi="宋体" w:eastAsia="宋体" w:cs="宋体"/>
        <w:sz w:val="28"/>
        <w:szCs w:val="28"/>
      </w:rPr>
      <w:fldChar w:fldCharType="begin"/>
    </w:r>
    <w:r>
      <w:rPr>
        <w:rFonts w:ascii="宋体" w:hAnsi="宋体" w:eastAsia="宋体" w:cs="宋体"/>
        <w:sz w:val="28"/>
        <w:szCs w:val="28"/>
      </w:rPr>
      <w:instrText xml:space="preserve">PAGE   \* MERGEFORMAT</w:instrText>
    </w:r>
    <w:r>
      <w:rPr>
        <w:rFonts w:ascii="宋体" w:hAnsi="宋体" w:eastAsia="宋体" w:cs="宋体"/>
        <w:sz w:val="28"/>
        <w:szCs w:val="28"/>
      </w:rPr>
      <w:fldChar w:fldCharType="separate"/>
    </w:r>
    <w:r>
      <w:rPr>
        <w:rFonts w:ascii="宋体" w:hAnsi="宋体" w:eastAsia="宋体" w:cs="宋体"/>
        <w:sz w:val="28"/>
        <w:szCs w:val="28"/>
        <w:lang w:val="zh-CN"/>
      </w:rPr>
      <w:t>-</w:t>
    </w:r>
    <w:r>
      <w:rPr>
        <w:rFonts w:ascii="宋体" w:hAnsi="宋体" w:eastAsia="宋体" w:cs="宋体"/>
        <w:sz w:val="28"/>
        <w:szCs w:val="28"/>
      </w:rPr>
      <w:t xml:space="preserve"> 1 -</w:t>
    </w:r>
    <w:r>
      <w:rPr>
        <w:rFonts w:ascii="宋体" w:hAnsi="宋体" w:eastAsia="宋体" w:cs="宋体"/>
        <w:sz w:val="28"/>
        <w:szCs w:val="28"/>
      </w:rPr>
      <w:fldChar w:fldCharType="end"/>
    </w:r>
    <w:r>
      <w:rPr>
        <w:rFonts w:ascii="宋体" w:hAnsi="宋体" w:eastAsia="宋体" w:cs="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280" w:firstLineChars="100"/>
      <w:rPr>
        <w:rFonts w:ascii="宋体" w:hAnsi="宋体" w:eastAsia="宋体" w:cs="Times New Roman"/>
        <w:sz w:val="28"/>
        <w:szCs w:val="28"/>
      </w:rPr>
    </w:pPr>
    <w:r>
      <w:rPr>
        <w:rFonts w:ascii="宋体" w:hAnsi="宋体" w:eastAsia="宋体" w:cs="宋体"/>
        <w:sz w:val="28"/>
        <w:szCs w:val="28"/>
      </w:rPr>
      <w:fldChar w:fldCharType="begin"/>
    </w:r>
    <w:r>
      <w:rPr>
        <w:rFonts w:ascii="宋体" w:hAnsi="宋体" w:eastAsia="宋体" w:cs="宋体"/>
        <w:sz w:val="28"/>
        <w:szCs w:val="28"/>
      </w:rPr>
      <w:instrText xml:space="preserve">PAGE   \* MERGEFORMAT</w:instrText>
    </w:r>
    <w:r>
      <w:rPr>
        <w:rFonts w:ascii="宋体" w:hAnsi="宋体" w:eastAsia="宋体" w:cs="宋体"/>
        <w:sz w:val="28"/>
        <w:szCs w:val="28"/>
      </w:rPr>
      <w:fldChar w:fldCharType="separate"/>
    </w:r>
    <w:r>
      <w:rPr>
        <w:rFonts w:ascii="宋体" w:hAnsi="宋体" w:eastAsia="宋体" w:cs="宋体"/>
        <w:sz w:val="28"/>
        <w:szCs w:val="28"/>
        <w:lang w:val="zh-CN"/>
      </w:rPr>
      <w:t>-</w:t>
    </w:r>
    <w:r>
      <w:rPr>
        <w:rFonts w:ascii="宋体" w:hAnsi="宋体" w:eastAsia="宋体" w:cs="宋体"/>
        <w:sz w:val="28"/>
        <w:szCs w:val="28"/>
      </w:rPr>
      <w:t xml:space="preserve"> 2 -</w:t>
    </w:r>
    <w:r>
      <w:rPr>
        <w:rFonts w:ascii="宋体" w:hAnsi="宋体" w:eastAsia="宋体" w:cs="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5"/>
                            <w:rPr>
                              <w:rFonts w:cs="Times New Roman"/>
                            </w:rPr>
                          </w:pP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- 69 -</w:t>
                          </w:r>
                          <w:r>
                            <w:rPr>
                              <w:rFonts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F9MXs9IBAACiAwAADgAAAAAAAAABACAAAAAfAQAA&#10;ZHJzL2Uyb0RvYy54bWxQSwUGAAAAAAYABgBZAQAAYwUAAAAA&#10;">
              <v:fill on="f" focussize="0,0"/>
              <v:stroke on="f" weight="0.5pt"/>
              <v:imagedata o:title=""/>
              <o:lock v:ext="edit" aspectratio="f"/>
              <v:textbox inset="0mm,0mm,0mm,0mm" style="mso-fit-shape-to-text:t;">
                <w:txbxContent>
                  <w:p>
                    <w:pPr>
                      <w:pStyle w:val="15"/>
                      <w:rPr>
                        <w:rFonts w:cs="Times New Roman"/>
                      </w:rPr>
                    </w:pP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- 69 -</w:t>
                    </w:r>
                    <w:r>
                      <w:rPr>
                        <w:rFonts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cs="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5"/>
                            <w:rPr>
                              <w:rFonts w:cs="Times New Roman"/>
                            </w:rPr>
                          </w:pP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- 68 -</w:t>
                          </w:r>
                          <w:r>
                            <w:rPr>
                              <w:rFonts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QYHetIBAACiAwAADgAAAAAAAAABACAAAAAfAQAA&#10;ZHJzL2Uyb0RvYy54bWxQSwUGAAAAAAYABgBZAQAAYwUAAAAA&#10;">
              <v:fill on="f" focussize="0,0"/>
              <v:stroke on="f" weight="0.5pt"/>
              <v:imagedata o:title=""/>
              <o:lock v:ext="edit" aspectratio="f"/>
              <v:textbox inset="0mm,0mm,0mm,0mm" style="mso-fit-shape-to-text:t;">
                <w:txbxContent>
                  <w:p>
                    <w:pPr>
                      <w:pStyle w:val="15"/>
                      <w:rPr>
                        <w:rFonts w:cs="Times New Roman"/>
                      </w:rPr>
                    </w:pP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- 68 -</w:t>
                    </w:r>
                    <w:r>
                      <w:rPr>
                        <w:rFonts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FD4BF4"/>
    <w:multiLevelType w:val="multilevel"/>
    <w:tmpl w:val="2BFD4BF4"/>
    <w:lvl w:ilvl="0" w:tentative="0">
      <w:start w:val="1"/>
      <w:numFmt w:val="japaneseCounting"/>
      <w:lvlText w:val="第%1节"/>
      <w:lvlJc w:val="left"/>
      <w:pPr>
        <w:ind w:left="1290" w:hanging="12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540"/>
  <w:doNotHyphenateCaps/>
  <w:evenAndOddHeaders w:val="1"/>
  <w:drawingGridVerticalSpacing w:val="290"/>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0YjRjMzY4Y2EyMDI4MzcwODVjNmZjZTYyZTdiNzAifQ=="/>
  </w:docVars>
  <w:rsids>
    <w:rsidRoot w:val="00257AC4"/>
    <w:rsid w:val="00001CFF"/>
    <w:rsid w:val="00003079"/>
    <w:rsid w:val="00003443"/>
    <w:rsid w:val="00006217"/>
    <w:rsid w:val="00006799"/>
    <w:rsid w:val="00006E56"/>
    <w:rsid w:val="0000791B"/>
    <w:rsid w:val="00007B09"/>
    <w:rsid w:val="00007CCE"/>
    <w:rsid w:val="000101BE"/>
    <w:rsid w:val="00011580"/>
    <w:rsid w:val="000116A3"/>
    <w:rsid w:val="00011854"/>
    <w:rsid w:val="0001264C"/>
    <w:rsid w:val="0001289E"/>
    <w:rsid w:val="000129BD"/>
    <w:rsid w:val="00012FA5"/>
    <w:rsid w:val="00013F93"/>
    <w:rsid w:val="000140FB"/>
    <w:rsid w:val="00014A1D"/>
    <w:rsid w:val="00014FFB"/>
    <w:rsid w:val="00015EEB"/>
    <w:rsid w:val="00016D22"/>
    <w:rsid w:val="000174C3"/>
    <w:rsid w:val="000206B1"/>
    <w:rsid w:val="00020C9A"/>
    <w:rsid w:val="00021931"/>
    <w:rsid w:val="00021D38"/>
    <w:rsid w:val="00022537"/>
    <w:rsid w:val="000226F0"/>
    <w:rsid w:val="000245AC"/>
    <w:rsid w:val="00025E90"/>
    <w:rsid w:val="00027307"/>
    <w:rsid w:val="00027A46"/>
    <w:rsid w:val="000321BF"/>
    <w:rsid w:val="00032725"/>
    <w:rsid w:val="00033F99"/>
    <w:rsid w:val="00035994"/>
    <w:rsid w:val="00036440"/>
    <w:rsid w:val="000379D8"/>
    <w:rsid w:val="000410D3"/>
    <w:rsid w:val="0004170B"/>
    <w:rsid w:val="00041817"/>
    <w:rsid w:val="00042D60"/>
    <w:rsid w:val="000435CA"/>
    <w:rsid w:val="00044BDA"/>
    <w:rsid w:val="000453A9"/>
    <w:rsid w:val="00046220"/>
    <w:rsid w:val="00050BF6"/>
    <w:rsid w:val="000511AB"/>
    <w:rsid w:val="00052AB8"/>
    <w:rsid w:val="00052CEB"/>
    <w:rsid w:val="00053397"/>
    <w:rsid w:val="0005484B"/>
    <w:rsid w:val="000562EA"/>
    <w:rsid w:val="00060771"/>
    <w:rsid w:val="00061AD8"/>
    <w:rsid w:val="00062240"/>
    <w:rsid w:val="000625C6"/>
    <w:rsid w:val="000629D7"/>
    <w:rsid w:val="000638B9"/>
    <w:rsid w:val="00065B19"/>
    <w:rsid w:val="00065B30"/>
    <w:rsid w:val="000665A2"/>
    <w:rsid w:val="00066BCF"/>
    <w:rsid w:val="00067434"/>
    <w:rsid w:val="00070323"/>
    <w:rsid w:val="00070B0F"/>
    <w:rsid w:val="000716CC"/>
    <w:rsid w:val="00073F96"/>
    <w:rsid w:val="00074C73"/>
    <w:rsid w:val="00075CCB"/>
    <w:rsid w:val="00075F55"/>
    <w:rsid w:val="00077458"/>
    <w:rsid w:val="00081C9C"/>
    <w:rsid w:val="0008216E"/>
    <w:rsid w:val="00082CAF"/>
    <w:rsid w:val="00083AB9"/>
    <w:rsid w:val="000840EB"/>
    <w:rsid w:val="000841D8"/>
    <w:rsid w:val="00084EC3"/>
    <w:rsid w:val="000861F0"/>
    <w:rsid w:val="00086327"/>
    <w:rsid w:val="00087565"/>
    <w:rsid w:val="0008770B"/>
    <w:rsid w:val="00087C2F"/>
    <w:rsid w:val="00090004"/>
    <w:rsid w:val="00090971"/>
    <w:rsid w:val="0009430A"/>
    <w:rsid w:val="0009441B"/>
    <w:rsid w:val="000963C8"/>
    <w:rsid w:val="00096D70"/>
    <w:rsid w:val="00097D8C"/>
    <w:rsid w:val="000A0D5D"/>
    <w:rsid w:val="000A2E0C"/>
    <w:rsid w:val="000A401E"/>
    <w:rsid w:val="000A41DE"/>
    <w:rsid w:val="000A520A"/>
    <w:rsid w:val="000A5C42"/>
    <w:rsid w:val="000A5F9C"/>
    <w:rsid w:val="000A664A"/>
    <w:rsid w:val="000A6A00"/>
    <w:rsid w:val="000A6AB0"/>
    <w:rsid w:val="000A7662"/>
    <w:rsid w:val="000B02C6"/>
    <w:rsid w:val="000B0593"/>
    <w:rsid w:val="000B1254"/>
    <w:rsid w:val="000B157D"/>
    <w:rsid w:val="000B19DE"/>
    <w:rsid w:val="000B2361"/>
    <w:rsid w:val="000B3286"/>
    <w:rsid w:val="000B4857"/>
    <w:rsid w:val="000B721C"/>
    <w:rsid w:val="000C0023"/>
    <w:rsid w:val="000C0097"/>
    <w:rsid w:val="000C0267"/>
    <w:rsid w:val="000C1762"/>
    <w:rsid w:val="000C1FA0"/>
    <w:rsid w:val="000C292C"/>
    <w:rsid w:val="000C3503"/>
    <w:rsid w:val="000C3C48"/>
    <w:rsid w:val="000C4F78"/>
    <w:rsid w:val="000C6299"/>
    <w:rsid w:val="000C6E99"/>
    <w:rsid w:val="000C7AA5"/>
    <w:rsid w:val="000D0736"/>
    <w:rsid w:val="000D15C2"/>
    <w:rsid w:val="000D2299"/>
    <w:rsid w:val="000D2B56"/>
    <w:rsid w:val="000D44D0"/>
    <w:rsid w:val="000D5714"/>
    <w:rsid w:val="000D63BE"/>
    <w:rsid w:val="000D75E0"/>
    <w:rsid w:val="000D788A"/>
    <w:rsid w:val="000D7DCC"/>
    <w:rsid w:val="000E0065"/>
    <w:rsid w:val="000E0399"/>
    <w:rsid w:val="000E045C"/>
    <w:rsid w:val="000E0C42"/>
    <w:rsid w:val="000E2164"/>
    <w:rsid w:val="000E2AB0"/>
    <w:rsid w:val="000E2F71"/>
    <w:rsid w:val="000E3077"/>
    <w:rsid w:val="000E316E"/>
    <w:rsid w:val="000E3AFF"/>
    <w:rsid w:val="000E42A5"/>
    <w:rsid w:val="000E49EC"/>
    <w:rsid w:val="000E572F"/>
    <w:rsid w:val="000E6238"/>
    <w:rsid w:val="000E65BF"/>
    <w:rsid w:val="000F0481"/>
    <w:rsid w:val="000F1852"/>
    <w:rsid w:val="000F1BD5"/>
    <w:rsid w:val="000F1CE3"/>
    <w:rsid w:val="000F220A"/>
    <w:rsid w:val="000F2773"/>
    <w:rsid w:val="000F2FEF"/>
    <w:rsid w:val="000F3824"/>
    <w:rsid w:val="000F399B"/>
    <w:rsid w:val="000F5AAA"/>
    <w:rsid w:val="000F7C25"/>
    <w:rsid w:val="000F7F00"/>
    <w:rsid w:val="00103D1B"/>
    <w:rsid w:val="00104403"/>
    <w:rsid w:val="00106321"/>
    <w:rsid w:val="0010752F"/>
    <w:rsid w:val="0011031C"/>
    <w:rsid w:val="00110685"/>
    <w:rsid w:val="00110E07"/>
    <w:rsid w:val="0011116A"/>
    <w:rsid w:val="0011477C"/>
    <w:rsid w:val="00114F25"/>
    <w:rsid w:val="001157CA"/>
    <w:rsid w:val="00116451"/>
    <w:rsid w:val="001203D2"/>
    <w:rsid w:val="0012048F"/>
    <w:rsid w:val="00121184"/>
    <w:rsid w:val="00121912"/>
    <w:rsid w:val="00123037"/>
    <w:rsid w:val="001239AD"/>
    <w:rsid w:val="00123B9D"/>
    <w:rsid w:val="00124086"/>
    <w:rsid w:val="001254C2"/>
    <w:rsid w:val="00126A1F"/>
    <w:rsid w:val="00126F53"/>
    <w:rsid w:val="00127194"/>
    <w:rsid w:val="001276F0"/>
    <w:rsid w:val="00131551"/>
    <w:rsid w:val="00132027"/>
    <w:rsid w:val="00132A2C"/>
    <w:rsid w:val="001332BF"/>
    <w:rsid w:val="00133528"/>
    <w:rsid w:val="00133E63"/>
    <w:rsid w:val="00133F0E"/>
    <w:rsid w:val="00135DBD"/>
    <w:rsid w:val="00135FB2"/>
    <w:rsid w:val="00136676"/>
    <w:rsid w:val="00136FBA"/>
    <w:rsid w:val="001374DF"/>
    <w:rsid w:val="00140519"/>
    <w:rsid w:val="0014305E"/>
    <w:rsid w:val="001443E7"/>
    <w:rsid w:val="0014576C"/>
    <w:rsid w:val="00145D09"/>
    <w:rsid w:val="0015241E"/>
    <w:rsid w:val="00152FB0"/>
    <w:rsid w:val="00154FD7"/>
    <w:rsid w:val="001551D5"/>
    <w:rsid w:val="00155CAD"/>
    <w:rsid w:val="00155E37"/>
    <w:rsid w:val="00156C8A"/>
    <w:rsid w:val="001602A6"/>
    <w:rsid w:val="00160C06"/>
    <w:rsid w:val="001635F4"/>
    <w:rsid w:val="00164B84"/>
    <w:rsid w:val="00166B38"/>
    <w:rsid w:val="00167A21"/>
    <w:rsid w:val="00170AC5"/>
    <w:rsid w:val="00171E3E"/>
    <w:rsid w:val="00172C92"/>
    <w:rsid w:val="00173FB1"/>
    <w:rsid w:val="00174A5E"/>
    <w:rsid w:val="0017591A"/>
    <w:rsid w:val="00176227"/>
    <w:rsid w:val="00177792"/>
    <w:rsid w:val="00177966"/>
    <w:rsid w:val="00180D12"/>
    <w:rsid w:val="00181579"/>
    <w:rsid w:val="00183759"/>
    <w:rsid w:val="00183924"/>
    <w:rsid w:val="00185441"/>
    <w:rsid w:val="0018578B"/>
    <w:rsid w:val="00185A48"/>
    <w:rsid w:val="00185B05"/>
    <w:rsid w:val="001870DF"/>
    <w:rsid w:val="00190270"/>
    <w:rsid w:val="00190F2B"/>
    <w:rsid w:val="0019216A"/>
    <w:rsid w:val="00192BBF"/>
    <w:rsid w:val="00192D87"/>
    <w:rsid w:val="00193BA6"/>
    <w:rsid w:val="00195021"/>
    <w:rsid w:val="00195151"/>
    <w:rsid w:val="00195327"/>
    <w:rsid w:val="00195B1F"/>
    <w:rsid w:val="001A164C"/>
    <w:rsid w:val="001A262A"/>
    <w:rsid w:val="001A2A1E"/>
    <w:rsid w:val="001A401C"/>
    <w:rsid w:val="001A43F1"/>
    <w:rsid w:val="001A4AD0"/>
    <w:rsid w:val="001A4ADD"/>
    <w:rsid w:val="001A7057"/>
    <w:rsid w:val="001A7B3E"/>
    <w:rsid w:val="001B167B"/>
    <w:rsid w:val="001B1974"/>
    <w:rsid w:val="001B2A25"/>
    <w:rsid w:val="001B34E0"/>
    <w:rsid w:val="001B3CF4"/>
    <w:rsid w:val="001B547A"/>
    <w:rsid w:val="001B58B0"/>
    <w:rsid w:val="001B5BF4"/>
    <w:rsid w:val="001B5D2D"/>
    <w:rsid w:val="001B65E8"/>
    <w:rsid w:val="001C0414"/>
    <w:rsid w:val="001C1DA7"/>
    <w:rsid w:val="001C2C93"/>
    <w:rsid w:val="001C2DCF"/>
    <w:rsid w:val="001C2DD0"/>
    <w:rsid w:val="001C369C"/>
    <w:rsid w:val="001C3EB8"/>
    <w:rsid w:val="001C418A"/>
    <w:rsid w:val="001C41AD"/>
    <w:rsid w:val="001C4841"/>
    <w:rsid w:val="001C4CCA"/>
    <w:rsid w:val="001C526F"/>
    <w:rsid w:val="001C5279"/>
    <w:rsid w:val="001C765F"/>
    <w:rsid w:val="001D0528"/>
    <w:rsid w:val="001D0665"/>
    <w:rsid w:val="001D093E"/>
    <w:rsid w:val="001D0DD2"/>
    <w:rsid w:val="001D19E1"/>
    <w:rsid w:val="001D1FF2"/>
    <w:rsid w:val="001D222A"/>
    <w:rsid w:val="001D326B"/>
    <w:rsid w:val="001D3BD3"/>
    <w:rsid w:val="001D5774"/>
    <w:rsid w:val="001D6708"/>
    <w:rsid w:val="001D6A60"/>
    <w:rsid w:val="001D6FE2"/>
    <w:rsid w:val="001D7918"/>
    <w:rsid w:val="001D7A3B"/>
    <w:rsid w:val="001E03EC"/>
    <w:rsid w:val="001E203E"/>
    <w:rsid w:val="001E20FA"/>
    <w:rsid w:val="001E21D0"/>
    <w:rsid w:val="001E48DB"/>
    <w:rsid w:val="001E5BC6"/>
    <w:rsid w:val="001E60FF"/>
    <w:rsid w:val="001E7295"/>
    <w:rsid w:val="001E76BE"/>
    <w:rsid w:val="001E7A4D"/>
    <w:rsid w:val="001E7DF3"/>
    <w:rsid w:val="001F0C10"/>
    <w:rsid w:val="001F28E3"/>
    <w:rsid w:val="001F3CBE"/>
    <w:rsid w:val="001F4F24"/>
    <w:rsid w:val="002006CB"/>
    <w:rsid w:val="002006E4"/>
    <w:rsid w:val="00202AFA"/>
    <w:rsid w:val="00202F3A"/>
    <w:rsid w:val="00203040"/>
    <w:rsid w:val="00203C73"/>
    <w:rsid w:val="00204EED"/>
    <w:rsid w:val="0020522C"/>
    <w:rsid w:val="00205355"/>
    <w:rsid w:val="00205A98"/>
    <w:rsid w:val="00206D3B"/>
    <w:rsid w:val="00207831"/>
    <w:rsid w:val="00207B5E"/>
    <w:rsid w:val="0021106B"/>
    <w:rsid w:val="00211238"/>
    <w:rsid w:val="002139B6"/>
    <w:rsid w:val="00214166"/>
    <w:rsid w:val="00215C1E"/>
    <w:rsid w:val="00215D11"/>
    <w:rsid w:val="00216C67"/>
    <w:rsid w:val="00217815"/>
    <w:rsid w:val="0022136B"/>
    <w:rsid w:val="00221EAE"/>
    <w:rsid w:val="00222806"/>
    <w:rsid w:val="002228D1"/>
    <w:rsid w:val="00225A84"/>
    <w:rsid w:val="00226530"/>
    <w:rsid w:val="00232EF0"/>
    <w:rsid w:val="00234375"/>
    <w:rsid w:val="0023459A"/>
    <w:rsid w:val="00235417"/>
    <w:rsid w:val="00236A74"/>
    <w:rsid w:val="0023715E"/>
    <w:rsid w:val="00237716"/>
    <w:rsid w:val="00237CC8"/>
    <w:rsid w:val="0024009A"/>
    <w:rsid w:val="002400DB"/>
    <w:rsid w:val="00241184"/>
    <w:rsid w:val="00241B27"/>
    <w:rsid w:val="002432B3"/>
    <w:rsid w:val="00243729"/>
    <w:rsid w:val="002447E8"/>
    <w:rsid w:val="002449C0"/>
    <w:rsid w:val="00244C66"/>
    <w:rsid w:val="00244F27"/>
    <w:rsid w:val="00246AB4"/>
    <w:rsid w:val="00247360"/>
    <w:rsid w:val="002501DE"/>
    <w:rsid w:val="002506A5"/>
    <w:rsid w:val="0025071F"/>
    <w:rsid w:val="00252554"/>
    <w:rsid w:val="00253563"/>
    <w:rsid w:val="002541D4"/>
    <w:rsid w:val="00255E28"/>
    <w:rsid w:val="0025602B"/>
    <w:rsid w:val="00256526"/>
    <w:rsid w:val="002568D8"/>
    <w:rsid w:val="00256A30"/>
    <w:rsid w:val="00256E64"/>
    <w:rsid w:val="00257018"/>
    <w:rsid w:val="002572A2"/>
    <w:rsid w:val="00257A0D"/>
    <w:rsid w:val="00257A84"/>
    <w:rsid w:val="00257AC4"/>
    <w:rsid w:val="00260C79"/>
    <w:rsid w:val="002647AB"/>
    <w:rsid w:val="00266F48"/>
    <w:rsid w:val="00267469"/>
    <w:rsid w:val="002704AD"/>
    <w:rsid w:val="00270DC9"/>
    <w:rsid w:val="00271A39"/>
    <w:rsid w:val="00271EA4"/>
    <w:rsid w:val="00273961"/>
    <w:rsid w:val="00273CF0"/>
    <w:rsid w:val="00274202"/>
    <w:rsid w:val="0027489B"/>
    <w:rsid w:val="002754E3"/>
    <w:rsid w:val="00276AF1"/>
    <w:rsid w:val="00277673"/>
    <w:rsid w:val="002777A7"/>
    <w:rsid w:val="00277904"/>
    <w:rsid w:val="00277F07"/>
    <w:rsid w:val="002801B0"/>
    <w:rsid w:val="00280F1A"/>
    <w:rsid w:val="00282030"/>
    <w:rsid w:val="00284CE3"/>
    <w:rsid w:val="00285483"/>
    <w:rsid w:val="00285807"/>
    <w:rsid w:val="00290B5F"/>
    <w:rsid w:val="002937D2"/>
    <w:rsid w:val="00293CA7"/>
    <w:rsid w:val="0029497A"/>
    <w:rsid w:val="00294B89"/>
    <w:rsid w:val="0029559F"/>
    <w:rsid w:val="0029584C"/>
    <w:rsid w:val="00295852"/>
    <w:rsid w:val="002967D6"/>
    <w:rsid w:val="00296A9D"/>
    <w:rsid w:val="002A0E95"/>
    <w:rsid w:val="002A11F1"/>
    <w:rsid w:val="002A12CB"/>
    <w:rsid w:val="002A1811"/>
    <w:rsid w:val="002A1908"/>
    <w:rsid w:val="002A1D6E"/>
    <w:rsid w:val="002A2B08"/>
    <w:rsid w:val="002A2C2F"/>
    <w:rsid w:val="002A43FD"/>
    <w:rsid w:val="002A540C"/>
    <w:rsid w:val="002A5805"/>
    <w:rsid w:val="002A60BB"/>
    <w:rsid w:val="002A6F15"/>
    <w:rsid w:val="002A7529"/>
    <w:rsid w:val="002A776C"/>
    <w:rsid w:val="002B02A2"/>
    <w:rsid w:val="002B0553"/>
    <w:rsid w:val="002B2013"/>
    <w:rsid w:val="002B2AA1"/>
    <w:rsid w:val="002B2AB5"/>
    <w:rsid w:val="002B3783"/>
    <w:rsid w:val="002B44E5"/>
    <w:rsid w:val="002B4727"/>
    <w:rsid w:val="002B507D"/>
    <w:rsid w:val="002B669D"/>
    <w:rsid w:val="002C0691"/>
    <w:rsid w:val="002C2327"/>
    <w:rsid w:val="002C3588"/>
    <w:rsid w:val="002C3C73"/>
    <w:rsid w:val="002C4476"/>
    <w:rsid w:val="002C7155"/>
    <w:rsid w:val="002D01A0"/>
    <w:rsid w:val="002D01C7"/>
    <w:rsid w:val="002D1EFB"/>
    <w:rsid w:val="002D24A0"/>
    <w:rsid w:val="002D2E7C"/>
    <w:rsid w:val="002D344D"/>
    <w:rsid w:val="002D36F2"/>
    <w:rsid w:val="002D46EE"/>
    <w:rsid w:val="002D4720"/>
    <w:rsid w:val="002D4E9C"/>
    <w:rsid w:val="002D4F72"/>
    <w:rsid w:val="002D55E3"/>
    <w:rsid w:val="002D6081"/>
    <w:rsid w:val="002E0FAA"/>
    <w:rsid w:val="002E1053"/>
    <w:rsid w:val="002E145C"/>
    <w:rsid w:val="002E155F"/>
    <w:rsid w:val="002E1808"/>
    <w:rsid w:val="002E252E"/>
    <w:rsid w:val="002E2BA1"/>
    <w:rsid w:val="002E35FE"/>
    <w:rsid w:val="002E486C"/>
    <w:rsid w:val="002E531F"/>
    <w:rsid w:val="002E60F0"/>
    <w:rsid w:val="002E6C54"/>
    <w:rsid w:val="002E799E"/>
    <w:rsid w:val="002F00D0"/>
    <w:rsid w:val="002F1DD4"/>
    <w:rsid w:val="002F2906"/>
    <w:rsid w:val="002F3864"/>
    <w:rsid w:val="002F3DC0"/>
    <w:rsid w:val="002F4A0A"/>
    <w:rsid w:val="002F4FCC"/>
    <w:rsid w:val="002F7D4C"/>
    <w:rsid w:val="003018C7"/>
    <w:rsid w:val="00301D73"/>
    <w:rsid w:val="0030295D"/>
    <w:rsid w:val="00302A5C"/>
    <w:rsid w:val="0030332F"/>
    <w:rsid w:val="0030367A"/>
    <w:rsid w:val="00303856"/>
    <w:rsid w:val="003044DA"/>
    <w:rsid w:val="003044F9"/>
    <w:rsid w:val="00304B4A"/>
    <w:rsid w:val="00304EAB"/>
    <w:rsid w:val="00305636"/>
    <w:rsid w:val="00305B11"/>
    <w:rsid w:val="0030663A"/>
    <w:rsid w:val="00307FDE"/>
    <w:rsid w:val="003108ED"/>
    <w:rsid w:val="0031297D"/>
    <w:rsid w:val="00314CE6"/>
    <w:rsid w:val="00314CFA"/>
    <w:rsid w:val="0031548E"/>
    <w:rsid w:val="00315D65"/>
    <w:rsid w:val="00315FD4"/>
    <w:rsid w:val="003162C6"/>
    <w:rsid w:val="0031643A"/>
    <w:rsid w:val="003164C2"/>
    <w:rsid w:val="003167B1"/>
    <w:rsid w:val="00321C3D"/>
    <w:rsid w:val="0032326F"/>
    <w:rsid w:val="00323334"/>
    <w:rsid w:val="0032364A"/>
    <w:rsid w:val="00323E20"/>
    <w:rsid w:val="00324C41"/>
    <w:rsid w:val="00324E39"/>
    <w:rsid w:val="00326CCE"/>
    <w:rsid w:val="00327AE9"/>
    <w:rsid w:val="00331168"/>
    <w:rsid w:val="0033120E"/>
    <w:rsid w:val="00331F88"/>
    <w:rsid w:val="00332849"/>
    <w:rsid w:val="00332C06"/>
    <w:rsid w:val="003344FE"/>
    <w:rsid w:val="003346CE"/>
    <w:rsid w:val="003348C2"/>
    <w:rsid w:val="00334D9C"/>
    <w:rsid w:val="00334E92"/>
    <w:rsid w:val="003353E7"/>
    <w:rsid w:val="00335530"/>
    <w:rsid w:val="003368BB"/>
    <w:rsid w:val="00336A11"/>
    <w:rsid w:val="00337017"/>
    <w:rsid w:val="00337B72"/>
    <w:rsid w:val="00337EE2"/>
    <w:rsid w:val="003405D2"/>
    <w:rsid w:val="003422E5"/>
    <w:rsid w:val="00342980"/>
    <w:rsid w:val="00344405"/>
    <w:rsid w:val="00345484"/>
    <w:rsid w:val="00345761"/>
    <w:rsid w:val="00345DE0"/>
    <w:rsid w:val="003464DE"/>
    <w:rsid w:val="00346B24"/>
    <w:rsid w:val="00346CE0"/>
    <w:rsid w:val="00347211"/>
    <w:rsid w:val="00350865"/>
    <w:rsid w:val="00350ED8"/>
    <w:rsid w:val="003517D0"/>
    <w:rsid w:val="00353453"/>
    <w:rsid w:val="003535F7"/>
    <w:rsid w:val="00353FAC"/>
    <w:rsid w:val="00353FE2"/>
    <w:rsid w:val="00354765"/>
    <w:rsid w:val="003552F6"/>
    <w:rsid w:val="00355D67"/>
    <w:rsid w:val="0035691F"/>
    <w:rsid w:val="0036043E"/>
    <w:rsid w:val="00361729"/>
    <w:rsid w:val="003622A4"/>
    <w:rsid w:val="00362DF3"/>
    <w:rsid w:val="0036553A"/>
    <w:rsid w:val="003662C8"/>
    <w:rsid w:val="00370E55"/>
    <w:rsid w:val="00371A13"/>
    <w:rsid w:val="00374267"/>
    <w:rsid w:val="00374FAD"/>
    <w:rsid w:val="003756BB"/>
    <w:rsid w:val="00375860"/>
    <w:rsid w:val="00375F81"/>
    <w:rsid w:val="0037767B"/>
    <w:rsid w:val="00382106"/>
    <w:rsid w:val="003845C5"/>
    <w:rsid w:val="00385DEB"/>
    <w:rsid w:val="00386B5D"/>
    <w:rsid w:val="00387609"/>
    <w:rsid w:val="00387DD1"/>
    <w:rsid w:val="003903A7"/>
    <w:rsid w:val="003914B2"/>
    <w:rsid w:val="00392979"/>
    <w:rsid w:val="00392F02"/>
    <w:rsid w:val="003934BF"/>
    <w:rsid w:val="00393AFE"/>
    <w:rsid w:val="00393E69"/>
    <w:rsid w:val="003943AC"/>
    <w:rsid w:val="0039631D"/>
    <w:rsid w:val="00396E25"/>
    <w:rsid w:val="003976BE"/>
    <w:rsid w:val="00397C36"/>
    <w:rsid w:val="003A2290"/>
    <w:rsid w:val="003A2B05"/>
    <w:rsid w:val="003A4966"/>
    <w:rsid w:val="003A4B8D"/>
    <w:rsid w:val="003A546C"/>
    <w:rsid w:val="003A5E2F"/>
    <w:rsid w:val="003A647A"/>
    <w:rsid w:val="003A6F0E"/>
    <w:rsid w:val="003A795C"/>
    <w:rsid w:val="003A7EB1"/>
    <w:rsid w:val="003B0493"/>
    <w:rsid w:val="003B04A8"/>
    <w:rsid w:val="003B11B5"/>
    <w:rsid w:val="003B1854"/>
    <w:rsid w:val="003B3976"/>
    <w:rsid w:val="003B3BD4"/>
    <w:rsid w:val="003B3F15"/>
    <w:rsid w:val="003B4D4D"/>
    <w:rsid w:val="003B5EDA"/>
    <w:rsid w:val="003B623A"/>
    <w:rsid w:val="003B6EA7"/>
    <w:rsid w:val="003B71EA"/>
    <w:rsid w:val="003B7233"/>
    <w:rsid w:val="003B7526"/>
    <w:rsid w:val="003C0C42"/>
    <w:rsid w:val="003C10F3"/>
    <w:rsid w:val="003C1C8E"/>
    <w:rsid w:val="003C2FD4"/>
    <w:rsid w:val="003C38FA"/>
    <w:rsid w:val="003C4E1E"/>
    <w:rsid w:val="003C6593"/>
    <w:rsid w:val="003C6786"/>
    <w:rsid w:val="003C7EBF"/>
    <w:rsid w:val="003D08FD"/>
    <w:rsid w:val="003D1909"/>
    <w:rsid w:val="003D1B99"/>
    <w:rsid w:val="003D2013"/>
    <w:rsid w:val="003D3E32"/>
    <w:rsid w:val="003D4238"/>
    <w:rsid w:val="003D4828"/>
    <w:rsid w:val="003D4925"/>
    <w:rsid w:val="003D62E1"/>
    <w:rsid w:val="003D65DF"/>
    <w:rsid w:val="003D6D15"/>
    <w:rsid w:val="003D72BC"/>
    <w:rsid w:val="003D7489"/>
    <w:rsid w:val="003D7F03"/>
    <w:rsid w:val="003E3209"/>
    <w:rsid w:val="003E377F"/>
    <w:rsid w:val="003E3F10"/>
    <w:rsid w:val="003E55E5"/>
    <w:rsid w:val="003E67D8"/>
    <w:rsid w:val="003E7430"/>
    <w:rsid w:val="003F0DC0"/>
    <w:rsid w:val="003F238D"/>
    <w:rsid w:val="003F2DDC"/>
    <w:rsid w:val="003F372A"/>
    <w:rsid w:val="003F3A43"/>
    <w:rsid w:val="003F3DE5"/>
    <w:rsid w:val="003F448B"/>
    <w:rsid w:val="003F65B7"/>
    <w:rsid w:val="003F7101"/>
    <w:rsid w:val="003F7201"/>
    <w:rsid w:val="003F7780"/>
    <w:rsid w:val="004002D6"/>
    <w:rsid w:val="00401139"/>
    <w:rsid w:val="004036A6"/>
    <w:rsid w:val="0040397A"/>
    <w:rsid w:val="00403E91"/>
    <w:rsid w:val="00406111"/>
    <w:rsid w:val="00411497"/>
    <w:rsid w:val="00411A83"/>
    <w:rsid w:val="004133DA"/>
    <w:rsid w:val="00413479"/>
    <w:rsid w:val="004137A4"/>
    <w:rsid w:val="004145D4"/>
    <w:rsid w:val="00414812"/>
    <w:rsid w:val="00414B10"/>
    <w:rsid w:val="00415C63"/>
    <w:rsid w:val="004168B7"/>
    <w:rsid w:val="004171C0"/>
    <w:rsid w:val="00421665"/>
    <w:rsid w:val="004231CE"/>
    <w:rsid w:val="004232EA"/>
    <w:rsid w:val="00423EFE"/>
    <w:rsid w:val="00425846"/>
    <w:rsid w:val="00426075"/>
    <w:rsid w:val="00426871"/>
    <w:rsid w:val="00427A25"/>
    <w:rsid w:val="0043024C"/>
    <w:rsid w:val="00430B7D"/>
    <w:rsid w:val="004315A4"/>
    <w:rsid w:val="00432722"/>
    <w:rsid w:val="00432B30"/>
    <w:rsid w:val="00432D99"/>
    <w:rsid w:val="0043397C"/>
    <w:rsid w:val="00435054"/>
    <w:rsid w:val="00435FCB"/>
    <w:rsid w:val="004361E7"/>
    <w:rsid w:val="00437972"/>
    <w:rsid w:val="004416D7"/>
    <w:rsid w:val="004419DB"/>
    <w:rsid w:val="004435D2"/>
    <w:rsid w:val="00443FB6"/>
    <w:rsid w:val="00445342"/>
    <w:rsid w:val="004454BA"/>
    <w:rsid w:val="00445524"/>
    <w:rsid w:val="00445656"/>
    <w:rsid w:val="004456B1"/>
    <w:rsid w:val="00445E53"/>
    <w:rsid w:val="004467EF"/>
    <w:rsid w:val="00447832"/>
    <w:rsid w:val="00447D5B"/>
    <w:rsid w:val="00450D38"/>
    <w:rsid w:val="0045289A"/>
    <w:rsid w:val="00454551"/>
    <w:rsid w:val="00454593"/>
    <w:rsid w:val="0045490C"/>
    <w:rsid w:val="0045519C"/>
    <w:rsid w:val="0046058F"/>
    <w:rsid w:val="004622F7"/>
    <w:rsid w:val="00462EFA"/>
    <w:rsid w:val="00463EC7"/>
    <w:rsid w:val="00464411"/>
    <w:rsid w:val="00465A7F"/>
    <w:rsid w:val="00467A0E"/>
    <w:rsid w:val="004739F7"/>
    <w:rsid w:val="00473E01"/>
    <w:rsid w:val="00474358"/>
    <w:rsid w:val="004744C0"/>
    <w:rsid w:val="00474ACD"/>
    <w:rsid w:val="00474BEA"/>
    <w:rsid w:val="004800A9"/>
    <w:rsid w:val="00480F1C"/>
    <w:rsid w:val="004810E9"/>
    <w:rsid w:val="00482281"/>
    <w:rsid w:val="0048534F"/>
    <w:rsid w:val="004859BC"/>
    <w:rsid w:val="004865B9"/>
    <w:rsid w:val="0048774F"/>
    <w:rsid w:val="0049007E"/>
    <w:rsid w:val="00490172"/>
    <w:rsid w:val="004914E4"/>
    <w:rsid w:val="00492CDA"/>
    <w:rsid w:val="00493123"/>
    <w:rsid w:val="004937F4"/>
    <w:rsid w:val="00493E06"/>
    <w:rsid w:val="00493F8A"/>
    <w:rsid w:val="00494446"/>
    <w:rsid w:val="00494A05"/>
    <w:rsid w:val="004A02E9"/>
    <w:rsid w:val="004A073E"/>
    <w:rsid w:val="004A1973"/>
    <w:rsid w:val="004A197B"/>
    <w:rsid w:val="004A1C4E"/>
    <w:rsid w:val="004A37F4"/>
    <w:rsid w:val="004A3B17"/>
    <w:rsid w:val="004A3B7A"/>
    <w:rsid w:val="004A46F1"/>
    <w:rsid w:val="004A4749"/>
    <w:rsid w:val="004A4E3F"/>
    <w:rsid w:val="004A5B15"/>
    <w:rsid w:val="004A5C39"/>
    <w:rsid w:val="004A68B6"/>
    <w:rsid w:val="004A6C57"/>
    <w:rsid w:val="004A7518"/>
    <w:rsid w:val="004A7B71"/>
    <w:rsid w:val="004B03EB"/>
    <w:rsid w:val="004B0B18"/>
    <w:rsid w:val="004B165E"/>
    <w:rsid w:val="004B2CB5"/>
    <w:rsid w:val="004B2EBB"/>
    <w:rsid w:val="004B51D0"/>
    <w:rsid w:val="004B5BEE"/>
    <w:rsid w:val="004B60DF"/>
    <w:rsid w:val="004B6547"/>
    <w:rsid w:val="004B6A44"/>
    <w:rsid w:val="004B6FE1"/>
    <w:rsid w:val="004C0170"/>
    <w:rsid w:val="004C0C3A"/>
    <w:rsid w:val="004C1FC7"/>
    <w:rsid w:val="004C2B5F"/>
    <w:rsid w:val="004C4173"/>
    <w:rsid w:val="004C42D3"/>
    <w:rsid w:val="004C43B0"/>
    <w:rsid w:val="004C440A"/>
    <w:rsid w:val="004C45E4"/>
    <w:rsid w:val="004C4C98"/>
    <w:rsid w:val="004C5149"/>
    <w:rsid w:val="004C57C6"/>
    <w:rsid w:val="004C6868"/>
    <w:rsid w:val="004C7786"/>
    <w:rsid w:val="004C795C"/>
    <w:rsid w:val="004D0FE3"/>
    <w:rsid w:val="004D1BA1"/>
    <w:rsid w:val="004D28A4"/>
    <w:rsid w:val="004D2C73"/>
    <w:rsid w:val="004D2D38"/>
    <w:rsid w:val="004D3013"/>
    <w:rsid w:val="004D370D"/>
    <w:rsid w:val="004D44CD"/>
    <w:rsid w:val="004D4A8F"/>
    <w:rsid w:val="004D54D2"/>
    <w:rsid w:val="004D5B14"/>
    <w:rsid w:val="004D5B8B"/>
    <w:rsid w:val="004D63A4"/>
    <w:rsid w:val="004D65AB"/>
    <w:rsid w:val="004D6A40"/>
    <w:rsid w:val="004D6B58"/>
    <w:rsid w:val="004D73BF"/>
    <w:rsid w:val="004D7815"/>
    <w:rsid w:val="004E09DE"/>
    <w:rsid w:val="004E0EDC"/>
    <w:rsid w:val="004E2083"/>
    <w:rsid w:val="004E4135"/>
    <w:rsid w:val="004E53CE"/>
    <w:rsid w:val="004E57BC"/>
    <w:rsid w:val="004E5C28"/>
    <w:rsid w:val="004E6733"/>
    <w:rsid w:val="004E7284"/>
    <w:rsid w:val="004E7320"/>
    <w:rsid w:val="004F0602"/>
    <w:rsid w:val="004F2555"/>
    <w:rsid w:val="004F31F6"/>
    <w:rsid w:val="004F38CC"/>
    <w:rsid w:val="004F4F60"/>
    <w:rsid w:val="004F7A9A"/>
    <w:rsid w:val="00500821"/>
    <w:rsid w:val="00500BBB"/>
    <w:rsid w:val="00500BFC"/>
    <w:rsid w:val="005021BB"/>
    <w:rsid w:val="00502216"/>
    <w:rsid w:val="005029A8"/>
    <w:rsid w:val="00504276"/>
    <w:rsid w:val="00504B22"/>
    <w:rsid w:val="00505AB6"/>
    <w:rsid w:val="00505DDE"/>
    <w:rsid w:val="00506217"/>
    <w:rsid w:val="005103B3"/>
    <w:rsid w:val="005104CC"/>
    <w:rsid w:val="00511811"/>
    <w:rsid w:val="0051266A"/>
    <w:rsid w:val="005133F3"/>
    <w:rsid w:val="00513FC1"/>
    <w:rsid w:val="0051566C"/>
    <w:rsid w:val="00515A5C"/>
    <w:rsid w:val="00516CC3"/>
    <w:rsid w:val="00516F60"/>
    <w:rsid w:val="005178B5"/>
    <w:rsid w:val="005206C7"/>
    <w:rsid w:val="00522207"/>
    <w:rsid w:val="005246DF"/>
    <w:rsid w:val="00525F8C"/>
    <w:rsid w:val="00526747"/>
    <w:rsid w:val="00526BFD"/>
    <w:rsid w:val="0052799F"/>
    <w:rsid w:val="00531EFE"/>
    <w:rsid w:val="005328B5"/>
    <w:rsid w:val="005330C2"/>
    <w:rsid w:val="0053311A"/>
    <w:rsid w:val="005332C2"/>
    <w:rsid w:val="005333BF"/>
    <w:rsid w:val="005334C9"/>
    <w:rsid w:val="00533DDF"/>
    <w:rsid w:val="005342AE"/>
    <w:rsid w:val="00535A28"/>
    <w:rsid w:val="00536C69"/>
    <w:rsid w:val="005379A4"/>
    <w:rsid w:val="00537A2B"/>
    <w:rsid w:val="00537FB9"/>
    <w:rsid w:val="00542673"/>
    <w:rsid w:val="00542B26"/>
    <w:rsid w:val="00543BC3"/>
    <w:rsid w:val="0054405F"/>
    <w:rsid w:val="005443C5"/>
    <w:rsid w:val="0054755E"/>
    <w:rsid w:val="00550181"/>
    <w:rsid w:val="00552974"/>
    <w:rsid w:val="00552A26"/>
    <w:rsid w:val="00552B8C"/>
    <w:rsid w:val="005536A0"/>
    <w:rsid w:val="00553C85"/>
    <w:rsid w:val="00553F68"/>
    <w:rsid w:val="00554660"/>
    <w:rsid w:val="00555520"/>
    <w:rsid w:val="005565D5"/>
    <w:rsid w:val="00557266"/>
    <w:rsid w:val="005572F3"/>
    <w:rsid w:val="0055774B"/>
    <w:rsid w:val="00560336"/>
    <w:rsid w:val="00561BE1"/>
    <w:rsid w:val="00562AD0"/>
    <w:rsid w:val="00563D7A"/>
    <w:rsid w:val="00564089"/>
    <w:rsid w:val="0056507C"/>
    <w:rsid w:val="00565D6A"/>
    <w:rsid w:val="00566795"/>
    <w:rsid w:val="00573044"/>
    <w:rsid w:val="00573522"/>
    <w:rsid w:val="00573D63"/>
    <w:rsid w:val="00574672"/>
    <w:rsid w:val="00574BA2"/>
    <w:rsid w:val="00576AF0"/>
    <w:rsid w:val="00580941"/>
    <w:rsid w:val="00580E30"/>
    <w:rsid w:val="005819E4"/>
    <w:rsid w:val="00582C03"/>
    <w:rsid w:val="005845F3"/>
    <w:rsid w:val="005847B3"/>
    <w:rsid w:val="00586111"/>
    <w:rsid w:val="005872B3"/>
    <w:rsid w:val="00587E5F"/>
    <w:rsid w:val="0059007F"/>
    <w:rsid w:val="00591645"/>
    <w:rsid w:val="00591843"/>
    <w:rsid w:val="005919D5"/>
    <w:rsid w:val="00592098"/>
    <w:rsid w:val="005924D2"/>
    <w:rsid w:val="00592888"/>
    <w:rsid w:val="005939E2"/>
    <w:rsid w:val="0059433E"/>
    <w:rsid w:val="00595C7B"/>
    <w:rsid w:val="0059691D"/>
    <w:rsid w:val="00597E01"/>
    <w:rsid w:val="005A1BE1"/>
    <w:rsid w:val="005A1C17"/>
    <w:rsid w:val="005A40A1"/>
    <w:rsid w:val="005A49AC"/>
    <w:rsid w:val="005A49ED"/>
    <w:rsid w:val="005A573A"/>
    <w:rsid w:val="005A6409"/>
    <w:rsid w:val="005A6919"/>
    <w:rsid w:val="005A6A36"/>
    <w:rsid w:val="005A6F0F"/>
    <w:rsid w:val="005B5572"/>
    <w:rsid w:val="005B5E3E"/>
    <w:rsid w:val="005B6BE3"/>
    <w:rsid w:val="005C0EC1"/>
    <w:rsid w:val="005C168F"/>
    <w:rsid w:val="005C20C0"/>
    <w:rsid w:val="005C2546"/>
    <w:rsid w:val="005C2737"/>
    <w:rsid w:val="005C4203"/>
    <w:rsid w:val="005C4657"/>
    <w:rsid w:val="005C4BD0"/>
    <w:rsid w:val="005C7DE0"/>
    <w:rsid w:val="005D08CE"/>
    <w:rsid w:val="005D28F0"/>
    <w:rsid w:val="005D2FF5"/>
    <w:rsid w:val="005D3D01"/>
    <w:rsid w:val="005D42C9"/>
    <w:rsid w:val="005D676F"/>
    <w:rsid w:val="005E020B"/>
    <w:rsid w:val="005E0589"/>
    <w:rsid w:val="005E1384"/>
    <w:rsid w:val="005E160C"/>
    <w:rsid w:val="005E3353"/>
    <w:rsid w:val="005E3A6C"/>
    <w:rsid w:val="005E3DE8"/>
    <w:rsid w:val="005E46AB"/>
    <w:rsid w:val="005E53B3"/>
    <w:rsid w:val="005E5705"/>
    <w:rsid w:val="005E6C12"/>
    <w:rsid w:val="005E71CD"/>
    <w:rsid w:val="005F26F8"/>
    <w:rsid w:val="005F2956"/>
    <w:rsid w:val="005F2B35"/>
    <w:rsid w:val="005F35A4"/>
    <w:rsid w:val="005F46C9"/>
    <w:rsid w:val="005F4CB2"/>
    <w:rsid w:val="005F584E"/>
    <w:rsid w:val="005F5933"/>
    <w:rsid w:val="005F5C3B"/>
    <w:rsid w:val="00600EEA"/>
    <w:rsid w:val="0060181D"/>
    <w:rsid w:val="00601B62"/>
    <w:rsid w:val="00601C20"/>
    <w:rsid w:val="00603030"/>
    <w:rsid w:val="00604032"/>
    <w:rsid w:val="0060471F"/>
    <w:rsid w:val="0060540E"/>
    <w:rsid w:val="0060583D"/>
    <w:rsid w:val="00605FF1"/>
    <w:rsid w:val="00607ECA"/>
    <w:rsid w:val="0061010B"/>
    <w:rsid w:val="00610C4E"/>
    <w:rsid w:val="006118F9"/>
    <w:rsid w:val="00612741"/>
    <w:rsid w:val="00612C90"/>
    <w:rsid w:val="00613048"/>
    <w:rsid w:val="0061445E"/>
    <w:rsid w:val="00615048"/>
    <w:rsid w:val="006160F4"/>
    <w:rsid w:val="00616184"/>
    <w:rsid w:val="00616486"/>
    <w:rsid w:val="00620765"/>
    <w:rsid w:val="006209A5"/>
    <w:rsid w:val="006209C2"/>
    <w:rsid w:val="00620A65"/>
    <w:rsid w:val="0062231E"/>
    <w:rsid w:val="0062235B"/>
    <w:rsid w:val="00624A68"/>
    <w:rsid w:val="006255C0"/>
    <w:rsid w:val="00625941"/>
    <w:rsid w:val="00626CE2"/>
    <w:rsid w:val="006307AB"/>
    <w:rsid w:val="00630F46"/>
    <w:rsid w:val="00631F59"/>
    <w:rsid w:val="00632AC1"/>
    <w:rsid w:val="00632C1F"/>
    <w:rsid w:val="00632C8F"/>
    <w:rsid w:val="00632DCE"/>
    <w:rsid w:val="00632FA5"/>
    <w:rsid w:val="00633C72"/>
    <w:rsid w:val="00634496"/>
    <w:rsid w:val="00634D2C"/>
    <w:rsid w:val="00634EE0"/>
    <w:rsid w:val="00635209"/>
    <w:rsid w:val="00635C9A"/>
    <w:rsid w:val="00636322"/>
    <w:rsid w:val="006373B6"/>
    <w:rsid w:val="00637512"/>
    <w:rsid w:val="006402B8"/>
    <w:rsid w:val="00640E55"/>
    <w:rsid w:val="00641009"/>
    <w:rsid w:val="00641F99"/>
    <w:rsid w:val="0064296D"/>
    <w:rsid w:val="00642A01"/>
    <w:rsid w:val="00643995"/>
    <w:rsid w:val="00643A00"/>
    <w:rsid w:val="006443BD"/>
    <w:rsid w:val="00644E89"/>
    <w:rsid w:val="006455FC"/>
    <w:rsid w:val="00645AE3"/>
    <w:rsid w:val="00645B2D"/>
    <w:rsid w:val="00646319"/>
    <w:rsid w:val="00646EFD"/>
    <w:rsid w:val="00647391"/>
    <w:rsid w:val="00647779"/>
    <w:rsid w:val="00647994"/>
    <w:rsid w:val="006503C9"/>
    <w:rsid w:val="006509FB"/>
    <w:rsid w:val="00651D93"/>
    <w:rsid w:val="00652667"/>
    <w:rsid w:val="00653434"/>
    <w:rsid w:val="00653B11"/>
    <w:rsid w:val="00653CFE"/>
    <w:rsid w:val="006544BE"/>
    <w:rsid w:val="0065529F"/>
    <w:rsid w:val="00657275"/>
    <w:rsid w:val="0066120B"/>
    <w:rsid w:val="00661514"/>
    <w:rsid w:val="00661E2B"/>
    <w:rsid w:val="00662821"/>
    <w:rsid w:val="00662AB7"/>
    <w:rsid w:val="0066484D"/>
    <w:rsid w:val="00665BC8"/>
    <w:rsid w:val="00666A71"/>
    <w:rsid w:val="00667FCF"/>
    <w:rsid w:val="006701E0"/>
    <w:rsid w:val="006705BF"/>
    <w:rsid w:val="00670959"/>
    <w:rsid w:val="00671079"/>
    <w:rsid w:val="006731CC"/>
    <w:rsid w:val="006731F7"/>
    <w:rsid w:val="00674E65"/>
    <w:rsid w:val="00675848"/>
    <w:rsid w:val="006761FF"/>
    <w:rsid w:val="0067749A"/>
    <w:rsid w:val="00683E3C"/>
    <w:rsid w:val="00684128"/>
    <w:rsid w:val="00684586"/>
    <w:rsid w:val="006853EE"/>
    <w:rsid w:val="006876D4"/>
    <w:rsid w:val="00687E25"/>
    <w:rsid w:val="0069087D"/>
    <w:rsid w:val="00691502"/>
    <w:rsid w:val="0069156F"/>
    <w:rsid w:val="00691F08"/>
    <w:rsid w:val="00692585"/>
    <w:rsid w:val="00692B3A"/>
    <w:rsid w:val="00693B7D"/>
    <w:rsid w:val="00694986"/>
    <w:rsid w:val="00695D47"/>
    <w:rsid w:val="006968BF"/>
    <w:rsid w:val="00696AB1"/>
    <w:rsid w:val="006A2199"/>
    <w:rsid w:val="006A3768"/>
    <w:rsid w:val="006A3D86"/>
    <w:rsid w:val="006A4219"/>
    <w:rsid w:val="006A45F7"/>
    <w:rsid w:val="006A4CC5"/>
    <w:rsid w:val="006A54EC"/>
    <w:rsid w:val="006A6835"/>
    <w:rsid w:val="006A68EC"/>
    <w:rsid w:val="006A6B24"/>
    <w:rsid w:val="006A74EC"/>
    <w:rsid w:val="006A754F"/>
    <w:rsid w:val="006A76AF"/>
    <w:rsid w:val="006A7E76"/>
    <w:rsid w:val="006B07FE"/>
    <w:rsid w:val="006B0952"/>
    <w:rsid w:val="006B0D1F"/>
    <w:rsid w:val="006B138D"/>
    <w:rsid w:val="006B15AA"/>
    <w:rsid w:val="006B1753"/>
    <w:rsid w:val="006B2412"/>
    <w:rsid w:val="006B262C"/>
    <w:rsid w:val="006B267A"/>
    <w:rsid w:val="006B2D9B"/>
    <w:rsid w:val="006B3E35"/>
    <w:rsid w:val="006B5D4F"/>
    <w:rsid w:val="006B5E74"/>
    <w:rsid w:val="006B6F26"/>
    <w:rsid w:val="006C00DD"/>
    <w:rsid w:val="006C13BA"/>
    <w:rsid w:val="006C1B29"/>
    <w:rsid w:val="006C3324"/>
    <w:rsid w:val="006C334F"/>
    <w:rsid w:val="006C3C73"/>
    <w:rsid w:val="006C41CB"/>
    <w:rsid w:val="006C4D08"/>
    <w:rsid w:val="006C595E"/>
    <w:rsid w:val="006C5EA4"/>
    <w:rsid w:val="006C78C8"/>
    <w:rsid w:val="006D0190"/>
    <w:rsid w:val="006D1321"/>
    <w:rsid w:val="006D2056"/>
    <w:rsid w:val="006D29BC"/>
    <w:rsid w:val="006D2BF0"/>
    <w:rsid w:val="006D2E9D"/>
    <w:rsid w:val="006D3E6A"/>
    <w:rsid w:val="006D5DC5"/>
    <w:rsid w:val="006D702E"/>
    <w:rsid w:val="006D75B6"/>
    <w:rsid w:val="006D7C8F"/>
    <w:rsid w:val="006E0477"/>
    <w:rsid w:val="006E0E63"/>
    <w:rsid w:val="006E1AAB"/>
    <w:rsid w:val="006E1C11"/>
    <w:rsid w:val="006E390E"/>
    <w:rsid w:val="006E3FF6"/>
    <w:rsid w:val="006E484A"/>
    <w:rsid w:val="006E5146"/>
    <w:rsid w:val="006E6EF3"/>
    <w:rsid w:val="006E70A6"/>
    <w:rsid w:val="006F01A9"/>
    <w:rsid w:val="006F094C"/>
    <w:rsid w:val="006F1413"/>
    <w:rsid w:val="006F1D60"/>
    <w:rsid w:val="006F247B"/>
    <w:rsid w:val="006F2D3C"/>
    <w:rsid w:val="006F4819"/>
    <w:rsid w:val="006F4B85"/>
    <w:rsid w:val="006F582D"/>
    <w:rsid w:val="006F591B"/>
    <w:rsid w:val="006F5D9E"/>
    <w:rsid w:val="0070104F"/>
    <w:rsid w:val="007021D6"/>
    <w:rsid w:val="00702E2B"/>
    <w:rsid w:val="0070596F"/>
    <w:rsid w:val="0070666F"/>
    <w:rsid w:val="00706C16"/>
    <w:rsid w:val="0070775E"/>
    <w:rsid w:val="0071046F"/>
    <w:rsid w:val="00710DCC"/>
    <w:rsid w:val="00711621"/>
    <w:rsid w:val="007127DD"/>
    <w:rsid w:val="00716AF7"/>
    <w:rsid w:val="007173D5"/>
    <w:rsid w:val="0071777D"/>
    <w:rsid w:val="00720748"/>
    <w:rsid w:val="007219CD"/>
    <w:rsid w:val="00721C02"/>
    <w:rsid w:val="00723258"/>
    <w:rsid w:val="00724CD4"/>
    <w:rsid w:val="007256D0"/>
    <w:rsid w:val="00725ADB"/>
    <w:rsid w:val="00726179"/>
    <w:rsid w:val="00727BD3"/>
    <w:rsid w:val="00730143"/>
    <w:rsid w:val="00732730"/>
    <w:rsid w:val="00733A4F"/>
    <w:rsid w:val="00733FDF"/>
    <w:rsid w:val="007346E7"/>
    <w:rsid w:val="00734EA0"/>
    <w:rsid w:val="00735193"/>
    <w:rsid w:val="007373D4"/>
    <w:rsid w:val="00740505"/>
    <w:rsid w:val="00740CC8"/>
    <w:rsid w:val="00740E31"/>
    <w:rsid w:val="007417E8"/>
    <w:rsid w:val="0074240B"/>
    <w:rsid w:val="00742441"/>
    <w:rsid w:val="007428EC"/>
    <w:rsid w:val="00743FA7"/>
    <w:rsid w:val="007442EE"/>
    <w:rsid w:val="00744957"/>
    <w:rsid w:val="00745242"/>
    <w:rsid w:val="00750233"/>
    <w:rsid w:val="0075043B"/>
    <w:rsid w:val="00750E5B"/>
    <w:rsid w:val="00752555"/>
    <w:rsid w:val="00752B93"/>
    <w:rsid w:val="00752BD3"/>
    <w:rsid w:val="00753801"/>
    <w:rsid w:val="00753B94"/>
    <w:rsid w:val="00753C94"/>
    <w:rsid w:val="00754299"/>
    <w:rsid w:val="0075645B"/>
    <w:rsid w:val="00756B44"/>
    <w:rsid w:val="0076029B"/>
    <w:rsid w:val="00760A9A"/>
    <w:rsid w:val="00762B74"/>
    <w:rsid w:val="00763688"/>
    <w:rsid w:val="00764767"/>
    <w:rsid w:val="00767A96"/>
    <w:rsid w:val="00770203"/>
    <w:rsid w:val="007706CD"/>
    <w:rsid w:val="007713B4"/>
    <w:rsid w:val="00773028"/>
    <w:rsid w:val="00773E3A"/>
    <w:rsid w:val="007745E8"/>
    <w:rsid w:val="007775B2"/>
    <w:rsid w:val="007802F9"/>
    <w:rsid w:val="00780D41"/>
    <w:rsid w:val="00782C19"/>
    <w:rsid w:val="00783785"/>
    <w:rsid w:val="00784189"/>
    <w:rsid w:val="00784B91"/>
    <w:rsid w:val="007851CE"/>
    <w:rsid w:val="00785A56"/>
    <w:rsid w:val="00787BC2"/>
    <w:rsid w:val="007908E7"/>
    <w:rsid w:val="00790F39"/>
    <w:rsid w:val="0079116C"/>
    <w:rsid w:val="007934D0"/>
    <w:rsid w:val="0079372A"/>
    <w:rsid w:val="00793BAA"/>
    <w:rsid w:val="00794D5A"/>
    <w:rsid w:val="00796451"/>
    <w:rsid w:val="007A0048"/>
    <w:rsid w:val="007A0B57"/>
    <w:rsid w:val="007A1E6A"/>
    <w:rsid w:val="007A4D88"/>
    <w:rsid w:val="007A5929"/>
    <w:rsid w:val="007B0336"/>
    <w:rsid w:val="007B0887"/>
    <w:rsid w:val="007B17BE"/>
    <w:rsid w:val="007B1E4E"/>
    <w:rsid w:val="007B1EA6"/>
    <w:rsid w:val="007B22AC"/>
    <w:rsid w:val="007B2896"/>
    <w:rsid w:val="007B2E8D"/>
    <w:rsid w:val="007B5685"/>
    <w:rsid w:val="007B6698"/>
    <w:rsid w:val="007C0673"/>
    <w:rsid w:val="007C2C3A"/>
    <w:rsid w:val="007C36A8"/>
    <w:rsid w:val="007C554E"/>
    <w:rsid w:val="007C68FF"/>
    <w:rsid w:val="007C7A6F"/>
    <w:rsid w:val="007C7C6B"/>
    <w:rsid w:val="007D0837"/>
    <w:rsid w:val="007D09A9"/>
    <w:rsid w:val="007D0E25"/>
    <w:rsid w:val="007D2AA2"/>
    <w:rsid w:val="007D2D94"/>
    <w:rsid w:val="007D31EF"/>
    <w:rsid w:val="007D347E"/>
    <w:rsid w:val="007D373F"/>
    <w:rsid w:val="007D41C3"/>
    <w:rsid w:val="007D4AAC"/>
    <w:rsid w:val="007D4E6A"/>
    <w:rsid w:val="007D6606"/>
    <w:rsid w:val="007D6686"/>
    <w:rsid w:val="007D793B"/>
    <w:rsid w:val="007D7D5F"/>
    <w:rsid w:val="007E0128"/>
    <w:rsid w:val="007E15AF"/>
    <w:rsid w:val="007E1E22"/>
    <w:rsid w:val="007E2D1A"/>
    <w:rsid w:val="007E37F7"/>
    <w:rsid w:val="007E4201"/>
    <w:rsid w:val="007E6460"/>
    <w:rsid w:val="007E66B4"/>
    <w:rsid w:val="007E67EF"/>
    <w:rsid w:val="007E6998"/>
    <w:rsid w:val="007E6B90"/>
    <w:rsid w:val="007E7AF5"/>
    <w:rsid w:val="007E7DDE"/>
    <w:rsid w:val="007E7FA2"/>
    <w:rsid w:val="007F0F55"/>
    <w:rsid w:val="007F2802"/>
    <w:rsid w:val="007F2B30"/>
    <w:rsid w:val="007F33DE"/>
    <w:rsid w:val="007F3421"/>
    <w:rsid w:val="007F409F"/>
    <w:rsid w:val="007F49D0"/>
    <w:rsid w:val="007F53BD"/>
    <w:rsid w:val="007F5D21"/>
    <w:rsid w:val="007F5EFB"/>
    <w:rsid w:val="007F6E5C"/>
    <w:rsid w:val="007F7120"/>
    <w:rsid w:val="008010DC"/>
    <w:rsid w:val="00801C19"/>
    <w:rsid w:val="00802A0D"/>
    <w:rsid w:val="00802D22"/>
    <w:rsid w:val="00802F9D"/>
    <w:rsid w:val="00804235"/>
    <w:rsid w:val="008048E2"/>
    <w:rsid w:val="00804D5B"/>
    <w:rsid w:val="008056D7"/>
    <w:rsid w:val="00807A2C"/>
    <w:rsid w:val="00812F0F"/>
    <w:rsid w:val="00813508"/>
    <w:rsid w:val="008136DC"/>
    <w:rsid w:val="0081413B"/>
    <w:rsid w:val="00815664"/>
    <w:rsid w:val="008157CE"/>
    <w:rsid w:val="008159D8"/>
    <w:rsid w:val="008160F7"/>
    <w:rsid w:val="00817147"/>
    <w:rsid w:val="008179A8"/>
    <w:rsid w:val="008200E3"/>
    <w:rsid w:val="008204A3"/>
    <w:rsid w:val="0082080C"/>
    <w:rsid w:val="00824189"/>
    <w:rsid w:val="00826435"/>
    <w:rsid w:val="00827533"/>
    <w:rsid w:val="00827E1F"/>
    <w:rsid w:val="00831EDB"/>
    <w:rsid w:val="00831F82"/>
    <w:rsid w:val="00832ADB"/>
    <w:rsid w:val="00832ED5"/>
    <w:rsid w:val="008335D2"/>
    <w:rsid w:val="00834CD3"/>
    <w:rsid w:val="00836984"/>
    <w:rsid w:val="00836B6C"/>
    <w:rsid w:val="0083703D"/>
    <w:rsid w:val="008372D2"/>
    <w:rsid w:val="00837E6A"/>
    <w:rsid w:val="00837FC6"/>
    <w:rsid w:val="008410C0"/>
    <w:rsid w:val="00844F8C"/>
    <w:rsid w:val="00845D83"/>
    <w:rsid w:val="00847725"/>
    <w:rsid w:val="00847856"/>
    <w:rsid w:val="008478B2"/>
    <w:rsid w:val="00850098"/>
    <w:rsid w:val="008500F6"/>
    <w:rsid w:val="008502C6"/>
    <w:rsid w:val="008502DA"/>
    <w:rsid w:val="008507E1"/>
    <w:rsid w:val="008522BE"/>
    <w:rsid w:val="00854453"/>
    <w:rsid w:val="008549E1"/>
    <w:rsid w:val="00854DFF"/>
    <w:rsid w:val="00854E3C"/>
    <w:rsid w:val="00855477"/>
    <w:rsid w:val="008565FD"/>
    <w:rsid w:val="00856637"/>
    <w:rsid w:val="00860150"/>
    <w:rsid w:val="00860638"/>
    <w:rsid w:val="00860972"/>
    <w:rsid w:val="00860D29"/>
    <w:rsid w:val="00861265"/>
    <w:rsid w:val="00861AF4"/>
    <w:rsid w:val="00862B90"/>
    <w:rsid w:val="00862D4A"/>
    <w:rsid w:val="00864932"/>
    <w:rsid w:val="00864B99"/>
    <w:rsid w:val="00865ACE"/>
    <w:rsid w:val="00866149"/>
    <w:rsid w:val="00867028"/>
    <w:rsid w:val="008671B8"/>
    <w:rsid w:val="00870251"/>
    <w:rsid w:val="008726BD"/>
    <w:rsid w:val="00873838"/>
    <w:rsid w:val="00874348"/>
    <w:rsid w:val="00874E70"/>
    <w:rsid w:val="00876E91"/>
    <w:rsid w:val="008779AF"/>
    <w:rsid w:val="00880786"/>
    <w:rsid w:val="008810A7"/>
    <w:rsid w:val="00881FC2"/>
    <w:rsid w:val="0088398F"/>
    <w:rsid w:val="00884B18"/>
    <w:rsid w:val="0088585C"/>
    <w:rsid w:val="00885915"/>
    <w:rsid w:val="00886284"/>
    <w:rsid w:val="00887427"/>
    <w:rsid w:val="00887616"/>
    <w:rsid w:val="00890051"/>
    <w:rsid w:val="008908F3"/>
    <w:rsid w:val="00890976"/>
    <w:rsid w:val="00891A44"/>
    <w:rsid w:val="00891AB9"/>
    <w:rsid w:val="00892FD8"/>
    <w:rsid w:val="00893CFB"/>
    <w:rsid w:val="00894B5D"/>
    <w:rsid w:val="00895433"/>
    <w:rsid w:val="008957C4"/>
    <w:rsid w:val="0089764D"/>
    <w:rsid w:val="00897786"/>
    <w:rsid w:val="008A0F30"/>
    <w:rsid w:val="008A1AB8"/>
    <w:rsid w:val="008A2117"/>
    <w:rsid w:val="008A22EE"/>
    <w:rsid w:val="008A2755"/>
    <w:rsid w:val="008A5125"/>
    <w:rsid w:val="008A65AD"/>
    <w:rsid w:val="008A6BF5"/>
    <w:rsid w:val="008A6FC3"/>
    <w:rsid w:val="008A777C"/>
    <w:rsid w:val="008B2782"/>
    <w:rsid w:val="008B2F8F"/>
    <w:rsid w:val="008B310F"/>
    <w:rsid w:val="008B33E9"/>
    <w:rsid w:val="008B3F3E"/>
    <w:rsid w:val="008B45CC"/>
    <w:rsid w:val="008B4D53"/>
    <w:rsid w:val="008B4EF6"/>
    <w:rsid w:val="008B6A78"/>
    <w:rsid w:val="008B6D32"/>
    <w:rsid w:val="008B75DB"/>
    <w:rsid w:val="008B7791"/>
    <w:rsid w:val="008C0123"/>
    <w:rsid w:val="008C0AD4"/>
    <w:rsid w:val="008C0F4D"/>
    <w:rsid w:val="008C0F6B"/>
    <w:rsid w:val="008C10FF"/>
    <w:rsid w:val="008C1246"/>
    <w:rsid w:val="008C1588"/>
    <w:rsid w:val="008C16D7"/>
    <w:rsid w:val="008C2266"/>
    <w:rsid w:val="008C248C"/>
    <w:rsid w:val="008C249C"/>
    <w:rsid w:val="008C2945"/>
    <w:rsid w:val="008C2AD3"/>
    <w:rsid w:val="008C3749"/>
    <w:rsid w:val="008C477E"/>
    <w:rsid w:val="008C50F6"/>
    <w:rsid w:val="008C5366"/>
    <w:rsid w:val="008C6DBB"/>
    <w:rsid w:val="008C7524"/>
    <w:rsid w:val="008C782F"/>
    <w:rsid w:val="008D0AC9"/>
    <w:rsid w:val="008D1F83"/>
    <w:rsid w:val="008D2AC8"/>
    <w:rsid w:val="008D2F09"/>
    <w:rsid w:val="008D2F6F"/>
    <w:rsid w:val="008D339E"/>
    <w:rsid w:val="008D3A6B"/>
    <w:rsid w:val="008D64ED"/>
    <w:rsid w:val="008D6EBF"/>
    <w:rsid w:val="008D7150"/>
    <w:rsid w:val="008D7256"/>
    <w:rsid w:val="008D79E6"/>
    <w:rsid w:val="008E1A18"/>
    <w:rsid w:val="008E488A"/>
    <w:rsid w:val="008E4C12"/>
    <w:rsid w:val="008E4F1B"/>
    <w:rsid w:val="008E5CA1"/>
    <w:rsid w:val="008E68C8"/>
    <w:rsid w:val="008E6AF2"/>
    <w:rsid w:val="008E7456"/>
    <w:rsid w:val="008E79CE"/>
    <w:rsid w:val="008F1BEB"/>
    <w:rsid w:val="008F1D4C"/>
    <w:rsid w:val="008F2782"/>
    <w:rsid w:val="008F28A5"/>
    <w:rsid w:val="008F590D"/>
    <w:rsid w:val="00900EBE"/>
    <w:rsid w:val="009015B2"/>
    <w:rsid w:val="00902362"/>
    <w:rsid w:val="0090311B"/>
    <w:rsid w:val="009065E3"/>
    <w:rsid w:val="009066BD"/>
    <w:rsid w:val="009073EB"/>
    <w:rsid w:val="00911140"/>
    <w:rsid w:val="0091250A"/>
    <w:rsid w:val="00912BA1"/>
    <w:rsid w:val="009133CE"/>
    <w:rsid w:val="009134EF"/>
    <w:rsid w:val="009135C2"/>
    <w:rsid w:val="009135C5"/>
    <w:rsid w:val="009138F8"/>
    <w:rsid w:val="00914344"/>
    <w:rsid w:val="00915299"/>
    <w:rsid w:val="00916259"/>
    <w:rsid w:val="009167AB"/>
    <w:rsid w:val="00916D68"/>
    <w:rsid w:val="0091721C"/>
    <w:rsid w:val="00917D7A"/>
    <w:rsid w:val="00920105"/>
    <w:rsid w:val="00921048"/>
    <w:rsid w:val="00924014"/>
    <w:rsid w:val="00925435"/>
    <w:rsid w:val="0092630F"/>
    <w:rsid w:val="009308B0"/>
    <w:rsid w:val="00931EB0"/>
    <w:rsid w:val="00932F7B"/>
    <w:rsid w:val="00936D6C"/>
    <w:rsid w:val="009405B3"/>
    <w:rsid w:val="00941429"/>
    <w:rsid w:val="009414E3"/>
    <w:rsid w:val="00941C59"/>
    <w:rsid w:val="009426CE"/>
    <w:rsid w:val="00942986"/>
    <w:rsid w:val="00943063"/>
    <w:rsid w:val="00943E6F"/>
    <w:rsid w:val="0094564E"/>
    <w:rsid w:val="00946CA0"/>
    <w:rsid w:val="0094730A"/>
    <w:rsid w:val="00947ED3"/>
    <w:rsid w:val="009501E1"/>
    <w:rsid w:val="0095094C"/>
    <w:rsid w:val="00950ABF"/>
    <w:rsid w:val="00951A0E"/>
    <w:rsid w:val="00952F82"/>
    <w:rsid w:val="00953209"/>
    <w:rsid w:val="009543BD"/>
    <w:rsid w:val="009573C2"/>
    <w:rsid w:val="00960A9C"/>
    <w:rsid w:val="0096113C"/>
    <w:rsid w:val="00961611"/>
    <w:rsid w:val="00962637"/>
    <w:rsid w:val="00963064"/>
    <w:rsid w:val="00963B3F"/>
    <w:rsid w:val="00964798"/>
    <w:rsid w:val="00964804"/>
    <w:rsid w:val="00964DB4"/>
    <w:rsid w:val="0096567D"/>
    <w:rsid w:val="00966559"/>
    <w:rsid w:val="009679F7"/>
    <w:rsid w:val="00967B67"/>
    <w:rsid w:val="009719DE"/>
    <w:rsid w:val="00972725"/>
    <w:rsid w:val="0097315B"/>
    <w:rsid w:val="009733F3"/>
    <w:rsid w:val="00976A87"/>
    <w:rsid w:val="00981938"/>
    <w:rsid w:val="00981FFD"/>
    <w:rsid w:val="009826DF"/>
    <w:rsid w:val="00982B43"/>
    <w:rsid w:val="00986EB0"/>
    <w:rsid w:val="00987742"/>
    <w:rsid w:val="009914DB"/>
    <w:rsid w:val="00993C54"/>
    <w:rsid w:val="00993E15"/>
    <w:rsid w:val="00995474"/>
    <w:rsid w:val="0099594C"/>
    <w:rsid w:val="00995B48"/>
    <w:rsid w:val="00996302"/>
    <w:rsid w:val="00996A35"/>
    <w:rsid w:val="00996AAD"/>
    <w:rsid w:val="00997203"/>
    <w:rsid w:val="009A1A73"/>
    <w:rsid w:val="009A241B"/>
    <w:rsid w:val="009A4B8E"/>
    <w:rsid w:val="009A7497"/>
    <w:rsid w:val="009A7835"/>
    <w:rsid w:val="009A7BB4"/>
    <w:rsid w:val="009A7E8B"/>
    <w:rsid w:val="009B0C01"/>
    <w:rsid w:val="009B32F7"/>
    <w:rsid w:val="009B4094"/>
    <w:rsid w:val="009B4A92"/>
    <w:rsid w:val="009B5262"/>
    <w:rsid w:val="009B725F"/>
    <w:rsid w:val="009B7891"/>
    <w:rsid w:val="009B7FBE"/>
    <w:rsid w:val="009C0977"/>
    <w:rsid w:val="009C4144"/>
    <w:rsid w:val="009C446C"/>
    <w:rsid w:val="009C45A7"/>
    <w:rsid w:val="009C5750"/>
    <w:rsid w:val="009C629F"/>
    <w:rsid w:val="009D02DA"/>
    <w:rsid w:val="009D03C7"/>
    <w:rsid w:val="009D0AFC"/>
    <w:rsid w:val="009D4853"/>
    <w:rsid w:val="009D4DC8"/>
    <w:rsid w:val="009D5BBD"/>
    <w:rsid w:val="009D732B"/>
    <w:rsid w:val="009D78CC"/>
    <w:rsid w:val="009E05DF"/>
    <w:rsid w:val="009E0EA3"/>
    <w:rsid w:val="009E1116"/>
    <w:rsid w:val="009E2EE8"/>
    <w:rsid w:val="009E2F8A"/>
    <w:rsid w:val="009E41CC"/>
    <w:rsid w:val="009E437A"/>
    <w:rsid w:val="009E5548"/>
    <w:rsid w:val="009E64E6"/>
    <w:rsid w:val="009E7083"/>
    <w:rsid w:val="009E7F80"/>
    <w:rsid w:val="009F1643"/>
    <w:rsid w:val="009F1B6C"/>
    <w:rsid w:val="009F1EFD"/>
    <w:rsid w:val="009F2009"/>
    <w:rsid w:val="009F319C"/>
    <w:rsid w:val="009F31A5"/>
    <w:rsid w:val="009F38A5"/>
    <w:rsid w:val="00A004B0"/>
    <w:rsid w:val="00A020A9"/>
    <w:rsid w:val="00A029F6"/>
    <w:rsid w:val="00A0347A"/>
    <w:rsid w:val="00A03CEC"/>
    <w:rsid w:val="00A04881"/>
    <w:rsid w:val="00A07E62"/>
    <w:rsid w:val="00A1024A"/>
    <w:rsid w:val="00A10424"/>
    <w:rsid w:val="00A10536"/>
    <w:rsid w:val="00A10955"/>
    <w:rsid w:val="00A1153D"/>
    <w:rsid w:val="00A12C5E"/>
    <w:rsid w:val="00A132D6"/>
    <w:rsid w:val="00A1389C"/>
    <w:rsid w:val="00A14777"/>
    <w:rsid w:val="00A14B76"/>
    <w:rsid w:val="00A159B3"/>
    <w:rsid w:val="00A16134"/>
    <w:rsid w:val="00A168CA"/>
    <w:rsid w:val="00A16C17"/>
    <w:rsid w:val="00A16D4F"/>
    <w:rsid w:val="00A1740D"/>
    <w:rsid w:val="00A17EE8"/>
    <w:rsid w:val="00A206DA"/>
    <w:rsid w:val="00A22B7A"/>
    <w:rsid w:val="00A23AA5"/>
    <w:rsid w:val="00A241E5"/>
    <w:rsid w:val="00A244B6"/>
    <w:rsid w:val="00A271BF"/>
    <w:rsid w:val="00A304E9"/>
    <w:rsid w:val="00A30E57"/>
    <w:rsid w:val="00A3140B"/>
    <w:rsid w:val="00A33D58"/>
    <w:rsid w:val="00A33EF0"/>
    <w:rsid w:val="00A34351"/>
    <w:rsid w:val="00A35495"/>
    <w:rsid w:val="00A3683F"/>
    <w:rsid w:val="00A372F2"/>
    <w:rsid w:val="00A377D0"/>
    <w:rsid w:val="00A378D3"/>
    <w:rsid w:val="00A410D1"/>
    <w:rsid w:val="00A4149B"/>
    <w:rsid w:val="00A4237B"/>
    <w:rsid w:val="00A43248"/>
    <w:rsid w:val="00A43592"/>
    <w:rsid w:val="00A43D1A"/>
    <w:rsid w:val="00A44373"/>
    <w:rsid w:val="00A445D3"/>
    <w:rsid w:val="00A445E0"/>
    <w:rsid w:val="00A44AC5"/>
    <w:rsid w:val="00A44CC7"/>
    <w:rsid w:val="00A46B09"/>
    <w:rsid w:val="00A473DB"/>
    <w:rsid w:val="00A4784A"/>
    <w:rsid w:val="00A47A81"/>
    <w:rsid w:val="00A507AE"/>
    <w:rsid w:val="00A50F40"/>
    <w:rsid w:val="00A51B49"/>
    <w:rsid w:val="00A51BB5"/>
    <w:rsid w:val="00A539FD"/>
    <w:rsid w:val="00A54094"/>
    <w:rsid w:val="00A5415C"/>
    <w:rsid w:val="00A545AB"/>
    <w:rsid w:val="00A54DB8"/>
    <w:rsid w:val="00A54FE4"/>
    <w:rsid w:val="00A566CE"/>
    <w:rsid w:val="00A57E7D"/>
    <w:rsid w:val="00A62099"/>
    <w:rsid w:val="00A65799"/>
    <w:rsid w:val="00A65D3D"/>
    <w:rsid w:val="00A67411"/>
    <w:rsid w:val="00A72DF8"/>
    <w:rsid w:val="00A73619"/>
    <w:rsid w:val="00A75081"/>
    <w:rsid w:val="00A7553E"/>
    <w:rsid w:val="00A759FF"/>
    <w:rsid w:val="00A7717F"/>
    <w:rsid w:val="00A77F0F"/>
    <w:rsid w:val="00A82C32"/>
    <w:rsid w:val="00A8389B"/>
    <w:rsid w:val="00A85284"/>
    <w:rsid w:val="00A855DD"/>
    <w:rsid w:val="00A85B1C"/>
    <w:rsid w:val="00A85D50"/>
    <w:rsid w:val="00A87AB0"/>
    <w:rsid w:val="00A87ADD"/>
    <w:rsid w:val="00A912DD"/>
    <w:rsid w:val="00A92DCE"/>
    <w:rsid w:val="00A930FA"/>
    <w:rsid w:val="00A93796"/>
    <w:rsid w:val="00A9395C"/>
    <w:rsid w:val="00A94E5E"/>
    <w:rsid w:val="00A9553A"/>
    <w:rsid w:val="00A966DA"/>
    <w:rsid w:val="00A967D6"/>
    <w:rsid w:val="00AA0B23"/>
    <w:rsid w:val="00AA23EE"/>
    <w:rsid w:val="00AA27EA"/>
    <w:rsid w:val="00AA2C48"/>
    <w:rsid w:val="00AA3B6C"/>
    <w:rsid w:val="00AA6049"/>
    <w:rsid w:val="00AA6059"/>
    <w:rsid w:val="00AB0417"/>
    <w:rsid w:val="00AB0A72"/>
    <w:rsid w:val="00AB21A3"/>
    <w:rsid w:val="00AB2469"/>
    <w:rsid w:val="00AB2C2F"/>
    <w:rsid w:val="00AB4928"/>
    <w:rsid w:val="00AB5BC2"/>
    <w:rsid w:val="00AB786A"/>
    <w:rsid w:val="00AC0263"/>
    <w:rsid w:val="00AC02C7"/>
    <w:rsid w:val="00AC2DD1"/>
    <w:rsid w:val="00AC3058"/>
    <w:rsid w:val="00AC4008"/>
    <w:rsid w:val="00AC41BB"/>
    <w:rsid w:val="00AC4F96"/>
    <w:rsid w:val="00AC6986"/>
    <w:rsid w:val="00AC6B56"/>
    <w:rsid w:val="00AC725C"/>
    <w:rsid w:val="00AD17D1"/>
    <w:rsid w:val="00AD1981"/>
    <w:rsid w:val="00AD1A20"/>
    <w:rsid w:val="00AD2172"/>
    <w:rsid w:val="00AD2788"/>
    <w:rsid w:val="00AD2ED4"/>
    <w:rsid w:val="00AD3AF2"/>
    <w:rsid w:val="00AD5688"/>
    <w:rsid w:val="00AD6410"/>
    <w:rsid w:val="00AD6724"/>
    <w:rsid w:val="00AD7F58"/>
    <w:rsid w:val="00AE0595"/>
    <w:rsid w:val="00AE0C9A"/>
    <w:rsid w:val="00AE2075"/>
    <w:rsid w:val="00AE21B9"/>
    <w:rsid w:val="00AE2226"/>
    <w:rsid w:val="00AE39E8"/>
    <w:rsid w:val="00AE457C"/>
    <w:rsid w:val="00AE4E5C"/>
    <w:rsid w:val="00AE616D"/>
    <w:rsid w:val="00AF084D"/>
    <w:rsid w:val="00AF39A5"/>
    <w:rsid w:val="00AF3AA2"/>
    <w:rsid w:val="00AF4072"/>
    <w:rsid w:val="00AF42AB"/>
    <w:rsid w:val="00AF627A"/>
    <w:rsid w:val="00AF649B"/>
    <w:rsid w:val="00AF68CA"/>
    <w:rsid w:val="00AF7D76"/>
    <w:rsid w:val="00B000CD"/>
    <w:rsid w:val="00B00D37"/>
    <w:rsid w:val="00B00F4B"/>
    <w:rsid w:val="00B01A63"/>
    <w:rsid w:val="00B023BE"/>
    <w:rsid w:val="00B04690"/>
    <w:rsid w:val="00B04EF3"/>
    <w:rsid w:val="00B05149"/>
    <w:rsid w:val="00B056FC"/>
    <w:rsid w:val="00B066EB"/>
    <w:rsid w:val="00B07773"/>
    <w:rsid w:val="00B07A53"/>
    <w:rsid w:val="00B10D1B"/>
    <w:rsid w:val="00B11474"/>
    <w:rsid w:val="00B11F7A"/>
    <w:rsid w:val="00B12500"/>
    <w:rsid w:val="00B13B6E"/>
    <w:rsid w:val="00B14ABA"/>
    <w:rsid w:val="00B15DB1"/>
    <w:rsid w:val="00B15DBA"/>
    <w:rsid w:val="00B170CA"/>
    <w:rsid w:val="00B172E6"/>
    <w:rsid w:val="00B17EE7"/>
    <w:rsid w:val="00B20ADD"/>
    <w:rsid w:val="00B21D12"/>
    <w:rsid w:val="00B2224F"/>
    <w:rsid w:val="00B22EC5"/>
    <w:rsid w:val="00B23FFE"/>
    <w:rsid w:val="00B24480"/>
    <w:rsid w:val="00B2466A"/>
    <w:rsid w:val="00B25737"/>
    <w:rsid w:val="00B25BD0"/>
    <w:rsid w:val="00B25F5E"/>
    <w:rsid w:val="00B26A30"/>
    <w:rsid w:val="00B26ACA"/>
    <w:rsid w:val="00B30917"/>
    <w:rsid w:val="00B30FFC"/>
    <w:rsid w:val="00B316B3"/>
    <w:rsid w:val="00B32956"/>
    <w:rsid w:val="00B32D80"/>
    <w:rsid w:val="00B346C6"/>
    <w:rsid w:val="00B36999"/>
    <w:rsid w:val="00B37012"/>
    <w:rsid w:val="00B3725A"/>
    <w:rsid w:val="00B376C5"/>
    <w:rsid w:val="00B4005A"/>
    <w:rsid w:val="00B40DE3"/>
    <w:rsid w:val="00B40DF3"/>
    <w:rsid w:val="00B42D0C"/>
    <w:rsid w:val="00B42EE0"/>
    <w:rsid w:val="00B42F1E"/>
    <w:rsid w:val="00B440BF"/>
    <w:rsid w:val="00B46A1D"/>
    <w:rsid w:val="00B46B3F"/>
    <w:rsid w:val="00B5085C"/>
    <w:rsid w:val="00B50D84"/>
    <w:rsid w:val="00B52C82"/>
    <w:rsid w:val="00B543CF"/>
    <w:rsid w:val="00B54464"/>
    <w:rsid w:val="00B5546C"/>
    <w:rsid w:val="00B57279"/>
    <w:rsid w:val="00B5779E"/>
    <w:rsid w:val="00B606CA"/>
    <w:rsid w:val="00B615D0"/>
    <w:rsid w:val="00B61D19"/>
    <w:rsid w:val="00B63C01"/>
    <w:rsid w:val="00B63FB0"/>
    <w:rsid w:val="00B64059"/>
    <w:rsid w:val="00B678D6"/>
    <w:rsid w:val="00B70C2E"/>
    <w:rsid w:val="00B71BEF"/>
    <w:rsid w:val="00B74D12"/>
    <w:rsid w:val="00B7735D"/>
    <w:rsid w:val="00B7758B"/>
    <w:rsid w:val="00B77A1A"/>
    <w:rsid w:val="00B80F91"/>
    <w:rsid w:val="00B81305"/>
    <w:rsid w:val="00B82484"/>
    <w:rsid w:val="00B82E42"/>
    <w:rsid w:val="00B83148"/>
    <w:rsid w:val="00B83896"/>
    <w:rsid w:val="00B83C34"/>
    <w:rsid w:val="00B854F2"/>
    <w:rsid w:val="00B85D27"/>
    <w:rsid w:val="00B86770"/>
    <w:rsid w:val="00B87406"/>
    <w:rsid w:val="00B911CC"/>
    <w:rsid w:val="00B91C8F"/>
    <w:rsid w:val="00B9286B"/>
    <w:rsid w:val="00B93056"/>
    <w:rsid w:val="00B93F7B"/>
    <w:rsid w:val="00B94061"/>
    <w:rsid w:val="00B94964"/>
    <w:rsid w:val="00B9597C"/>
    <w:rsid w:val="00B9639E"/>
    <w:rsid w:val="00B96903"/>
    <w:rsid w:val="00B96F2B"/>
    <w:rsid w:val="00B974C2"/>
    <w:rsid w:val="00BA06CE"/>
    <w:rsid w:val="00BA076A"/>
    <w:rsid w:val="00BA1AD4"/>
    <w:rsid w:val="00BA1E83"/>
    <w:rsid w:val="00BA2321"/>
    <w:rsid w:val="00BA27F9"/>
    <w:rsid w:val="00BA326A"/>
    <w:rsid w:val="00BA3AC8"/>
    <w:rsid w:val="00BA41C0"/>
    <w:rsid w:val="00BA5DA2"/>
    <w:rsid w:val="00BA625E"/>
    <w:rsid w:val="00BA7277"/>
    <w:rsid w:val="00BA79AF"/>
    <w:rsid w:val="00BB015B"/>
    <w:rsid w:val="00BB09CE"/>
    <w:rsid w:val="00BB104F"/>
    <w:rsid w:val="00BB14B3"/>
    <w:rsid w:val="00BB15BA"/>
    <w:rsid w:val="00BB1DD0"/>
    <w:rsid w:val="00BB1F83"/>
    <w:rsid w:val="00BB233A"/>
    <w:rsid w:val="00BB252F"/>
    <w:rsid w:val="00BB3AE1"/>
    <w:rsid w:val="00BB4202"/>
    <w:rsid w:val="00BB5D85"/>
    <w:rsid w:val="00BC0899"/>
    <w:rsid w:val="00BC1BEA"/>
    <w:rsid w:val="00BC1CF2"/>
    <w:rsid w:val="00BC1D90"/>
    <w:rsid w:val="00BC34A1"/>
    <w:rsid w:val="00BC3D31"/>
    <w:rsid w:val="00BC448E"/>
    <w:rsid w:val="00BC5777"/>
    <w:rsid w:val="00BC5A3E"/>
    <w:rsid w:val="00BC6016"/>
    <w:rsid w:val="00BC79C3"/>
    <w:rsid w:val="00BD1AE0"/>
    <w:rsid w:val="00BD2C94"/>
    <w:rsid w:val="00BD2F7D"/>
    <w:rsid w:val="00BD42AC"/>
    <w:rsid w:val="00BD559C"/>
    <w:rsid w:val="00BD5B21"/>
    <w:rsid w:val="00BD634D"/>
    <w:rsid w:val="00BE0192"/>
    <w:rsid w:val="00BE14F6"/>
    <w:rsid w:val="00BE1558"/>
    <w:rsid w:val="00BE1ECA"/>
    <w:rsid w:val="00BE3969"/>
    <w:rsid w:val="00BE4706"/>
    <w:rsid w:val="00BE4D8C"/>
    <w:rsid w:val="00BE515A"/>
    <w:rsid w:val="00BE671D"/>
    <w:rsid w:val="00BE6C47"/>
    <w:rsid w:val="00BE70EB"/>
    <w:rsid w:val="00BF153A"/>
    <w:rsid w:val="00BF2EA5"/>
    <w:rsid w:val="00BF3AF8"/>
    <w:rsid w:val="00BF4AAD"/>
    <w:rsid w:val="00BF50B7"/>
    <w:rsid w:val="00BF6E0B"/>
    <w:rsid w:val="00BF6EE5"/>
    <w:rsid w:val="00C00AC1"/>
    <w:rsid w:val="00C012EF"/>
    <w:rsid w:val="00C03373"/>
    <w:rsid w:val="00C03549"/>
    <w:rsid w:val="00C04D2E"/>
    <w:rsid w:val="00C050B0"/>
    <w:rsid w:val="00C0517C"/>
    <w:rsid w:val="00C0594F"/>
    <w:rsid w:val="00C065E4"/>
    <w:rsid w:val="00C06C6D"/>
    <w:rsid w:val="00C07CAF"/>
    <w:rsid w:val="00C11E25"/>
    <w:rsid w:val="00C1332C"/>
    <w:rsid w:val="00C13A35"/>
    <w:rsid w:val="00C13D0D"/>
    <w:rsid w:val="00C14F71"/>
    <w:rsid w:val="00C15B9D"/>
    <w:rsid w:val="00C16856"/>
    <w:rsid w:val="00C17150"/>
    <w:rsid w:val="00C17B30"/>
    <w:rsid w:val="00C212C1"/>
    <w:rsid w:val="00C21332"/>
    <w:rsid w:val="00C21A2C"/>
    <w:rsid w:val="00C22AB7"/>
    <w:rsid w:val="00C245F0"/>
    <w:rsid w:val="00C255B4"/>
    <w:rsid w:val="00C259AA"/>
    <w:rsid w:val="00C25FC8"/>
    <w:rsid w:val="00C26068"/>
    <w:rsid w:val="00C268F2"/>
    <w:rsid w:val="00C309ED"/>
    <w:rsid w:val="00C31D36"/>
    <w:rsid w:val="00C34B9F"/>
    <w:rsid w:val="00C368B4"/>
    <w:rsid w:val="00C372DA"/>
    <w:rsid w:val="00C41F26"/>
    <w:rsid w:val="00C427AE"/>
    <w:rsid w:val="00C4287F"/>
    <w:rsid w:val="00C42BEE"/>
    <w:rsid w:val="00C44208"/>
    <w:rsid w:val="00C45098"/>
    <w:rsid w:val="00C452AC"/>
    <w:rsid w:val="00C478D2"/>
    <w:rsid w:val="00C51E98"/>
    <w:rsid w:val="00C52745"/>
    <w:rsid w:val="00C5439E"/>
    <w:rsid w:val="00C54812"/>
    <w:rsid w:val="00C55F32"/>
    <w:rsid w:val="00C57922"/>
    <w:rsid w:val="00C61662"/>
    <w:rsid w:val="00C6226C"/>
    <w:rsid w:val="00C627E3"/>
    <w:rsid w:val="00C62D9C"/>
    <w:rsid w:val="00C63856"/>
    <w:rsid w:val="00C63FE1"/>
    <w:rsid w:val="00C64152"/>
    <w:rsid w:val="00C65044"/>
    <w:rsid w:val="00C65164"/>
    <w:rsid w:val="00C65739"/>
    <w:rsid w:val="00C66F35"/>
    <w:rsid w:val="00C67183"/>
    <w:rsid w:val="00C67DCC"/>
    <w:rsid w:val="00C70D31"/>
    <w:rsid w:val="00C71CCE"/>
    <w:rsid w:val="00C72E04"/>
    <w:rsid w:val="00C73277"/>
    <w:rsid w:val="00C738CA"/>
    <w:rsid w:val="00C73DBF"/>
    <w:rsid w:val="00C75C95"/>
    <w:rsid w:val="00C77D83"/>
    <w:rsid w:val="00C800E6"/>
    <w:rsid w:val="00C80119"/>
    <w:rsid w:val="00C807DB"/>
    <w:rsid w:val="00C842B9"/>
    <w:rsid w:val="00C843EE"/>
    <w:rsid w:val="00C855A8"/>
    <w:rsid w:val="00C87CFF"/>
    <w:rsid w:val="00C9077B"/>
    <w:rsid w:val="00C908D7"/>
    <w:rsid w:val="00C9095B"/>
    <w:rsid w:val="00C91466"/>
    <w:rsid w:val="00C91B6F"/>
    <w:rsid w:val="00C93E04"/>
    <w:rsid w:val="00C93FFC"/>
    <w:rsid w:val="00C946C6"/>
    <w:rsid w:val="00C9497B"/>
    <w:rsid w:val="00C9499D"/>
    <w:rsid w:val="00C94B25"/>
    <w:rsid w:val="00C94B87"/>
    <w:rsid w:val="00C94E18"/>
    <w:rsid w:val="00C961E8"/>
    <w:rsid w:val="00C9727C"/>
    <w:rsid w:val="00CA02C9"/>
    <w:rsid w:val="00CA0494"/>
    <w:rsid w:val="00CA1F83"/>
    <w:rsid w:val="00CA22B0"/>
    <w:rsid w:val="00CA23AC"/>
    <w:rsid w:val="00CA2B68"/>
    <w:rsid w:val="00CA3F63"/>
    <w:rsid w:val="00CA7F60"/>
    <w:rsid w:val="00CB0353"/>
    <w:rsid w:val="00CB0AF6"/>
    <w:rsid w:val="00CB0FCE"/>
    <w:rsid w:val="00CB3499"/>
    <w:rsid w:val="00CB3689"/>
    <w:rsid w:val="00CB40F6"/>
    <w:rsid w:val="00CB505F"/>
    <w:rsid w:val="00CB5097"/>
    <w:rsid w:val="00CB5690"/>
    <w:rsid w:val="00CB6B28"/>
    <w:rsid w:val="00CB72A9"/>
    <w:rsid w:val="00CC1A4B"/>
    <w:rsid w:val="00CC2863"/>
    <w:rsid w:val="00CC31A4"/>
    <w:rsid w:val="00CC43D7"/>
    <w:rsid w:val="00CC4F17"/>
    <w:rsid w:val="00CC52A6"/>
    <w:rsid w:val="00CC5786"/>
    <w:rsid w:val="00CC59DD"/>
    <w:rsid w:val="00CC5AD0"/>
    <w:rsid w:val="00CC5B5D"/>
    <w:rsid w:val="00CC5EA6"/>
    <w:rsid w:val="00CC7AF4"/>
    <w:rsid w:val="00CD1765"/>
    <w:rsid w:val="00CD1F23"/>
    <w:rsid w:val="00CD3B4F"/>
    <w:rsid w:val="00CD4FCF"/>
    <w:rsid w:val="00CD5375"/>
    <w:rsid w:val="00CD603E"/>
    <w:rsid w:val="00CD753A"/>
    <w:rsid w:val="00CD7D17"/>
    <w:rsid w:val="00CD7EE5"/>
    <w:rsid w:val="00CE1D20"/>
    <w:rsid w:val="00CE3EDF"/>
    <w:rsid w:val="00CE4260"/>
    <w:rsid w:val="00CE481E"/>
    <w:rsid w:val="00CE4C57"/>
    <w:rsid w:val="00CE544B"/>
    <w:rsid w:val="00CE5B8D"/>
    <w:rsid w:val="00CE737D"/>
    <w:rsid w:val="00CE7736"/>
    <w:rsid w:val="00CE7C5E"/>
    <w:rsid w:val="00CF1265"/>
    <w:rsid w:val="00CF289E"/>
    <w:rsid w:val="00CF4062"/>
    <w:rsid w:val="00CF4A6E"/>
    <w:rsid w:val="00CF649A"/>
    <w:rsid w:val="00CF735E"/>
    <w:rsid w:val="00CF7394"/>
    <w:rsid w:val="00CF7F90"/>
    <w:rsid w:val="00D005C0"/>
    <w:rsid w:val="00D00E9D"/>
    <w:rsid w:val="00D025AD"/>
    <w:rsid w:val="00D03432"/>
    <w:rsid w:val="00D03E7E"/>
    <w:rsid w:val="00D0409A"/>
    <w:rsid w:val="00D04A33"/>
    <w:rsid w:val="00D04F7E"/>
    <w:rsid w:val="00D04FD1"/>
    <w:rsid w:val="00D059C6"/>
    <w:rsid w:val="00D06DB6"/>
    <w:rsid w:val="00D072EA"/>
    <w:rsid w:val="00D078D0"/>
    <w:rsid w:val="00D07C43"/>
    <w:rsid w:val="00D1039B"/>
    <w:rsid w:val="00D10FC9"/>
    <w:rsid w:val="00D1230D"/>
    <w:rsid w:val="00D12E1F"/>
    <w:rsid w:val="00D12FA8"/>
    <w:rsid w:val="00D13EA9"/>
    <w:rsid w:val="00D15516"/>
    <w:rsid w:val="00D171AA"/>
    <w:rsid w:val="00D17E63"/>
    <w:rsid w:val="00D22362"/>
    <w:rsid w:val="00D23F6D"/>
    <w:rsid w:val="00D25B40"/>
    <w:rsid w:val="00D26B1E"/>
    <w:rsid w:val="00D27433"/>
    <w:rsid w:val="00D306B6"/>
    <w:rsid w:val="00D312F1"/>
    <w:rsid w:val="00D350BE"/>
    <w:rsid w:val="00D35462"/>
    <w:rsid w:val="00D361C4"/>
    <w:rsid w:val="00D40F37"/>
    <w:rsid w:val="00D41D79"/>
    <w:rsid w:val="00D42270"/>
    <w:rsid w:val="00D4245F"/>
    <w:rsid w:val="00D424D0"/>
    <w:rsid w:val="00D426C1"/>
    <w:rsid w:val="00D44CD1"/>
    <w:rsid w:val="00D451BF"/>
    <w:rsid w:val="00D45E60"/>
    <w:rsid w:val="00D46C82"/>
    <w:rsid w:val="00D50394"/>
    <w:rsid w:val="00D525A5"/>
    <w:rsid w:val="00D538FC"/>
    <w:rsid w:val="00D545FF"/>
    <w:rsid w:val="00D55394"/>
    <w:rsid w:val="00D55C64"/>
    <w:rsid w:val="00D560A6"/>
    <w:rsid w:val="00D5612C"/>
    <w:rsid w:val="00D56306"/>
    <w:rsid w:val="00D56501"/>
    <w:rsid w:val="00D61E79"/>
    <w:rsid w:val="00D628AF"/>
    <w:rsid w:val="00D63CA2"/>
    <w:rsid w:val="00D64061"/>
    <w:rsid w:val="00D64B62"/>
    <w:rsid w:val="00D64BFB"/>
    <w:rsid w:val="00D64E2E"/>
    <w:rsid w:val="00D6546B"/>
    <w:rsid w:val="00D6563F"/>
    <w:rsid w:val="00D66001"/>
    <w:rsid w:val="00D70B86"/>
    <w:rsid w:val="00D711CB"/>
    <w:rsid w:val="00D72658"/>
    <w:rsid w:val="00D72C35"/>
    <w:rsid w:val="00D762C0"/>
    <w:rsid w:val="00D76377"/>
    <w:rsid w:val="00D763F2"/>
    <w:rsid w:val="00D77424"/>
    <w:rsid w:val="00D7764F"/>
    <w:rsid w:val="00D80393"/>
    <w:rsid w:val="00D819CA"/>
    <w:rsid w:val="00D82511"/>
    <w:rsid w:val="00D82E64"/>
    <w:rsid w:val="00D85576"/>
    <w:rsid w:val="00D8561C"/>
    <w:rsid w:val="00D873B5"/>
    <w:rsid w:val="00D87F9A"/>
    <w:rsid w:val="00D9220D"/>
    <w:rsid w:val="00D92653"/>
    <w:rsid w:val="00D92A6F"/>
    <w:rsid w:val="00D92B50"/>
    <w:rsid w:val="00D93010"/>
    <w:rsid w:val="00D95606"/>
    <w:rsid w:val="00D9678C"/>
    <w:rsid w:val="00DA2195"/>
    <w:rsid w:val="00DA2224"/>
    <w:rsid w:val="00DA42DF"/>
    <w:rsid w:val="00DA4ED5"/>
    <w:rsid w:val="00DA783E"/>
    <w:rsid w:val="00DB1619"/>
    <w:rsid w:val="00DB1A02"/>
    <w:rsid w:val="00DB2548"/>
    <w:rsid w:val="00DB3430"/>
    <w:rsid w:val="00DB3C75"/>
    <w:rsid w:val="00DB4A65"/>
    <w:rsid w:val="00DB4EF8"/>
    <w:rsid w:val="00DB5A4A"/>
    <w:rsid w:val="00DB61BA"/>
    <w:rsid w:val="00DB65CD"/>
    <w:rsid w:val="00DB6644"/>
    <w:rsid w:val="00DB69B2"/>
    <w:rsid w:val="00DB6CB2"/>
    <w:rsid w:val="00DB7408"/>
    <w:rsid w:val="00DC0D53"/>
    <w:rsid w:val="00DC1467"/>
    <w:rsid w:val="00DC1E65"/>
    <w:rsid w:val="00DC2395"/>
    <w:rsid w:val="00DC3008"/>
    <w:rsid w:val="00DC3A2E"/>
    <w:rsid w:val="00DC43AA"/>
    <w:rsid w:val="00DC6B4A"/>
    <w:rsid w:val="00DC72C1"/>
    <w:rsid w:val="00DD05B0"/>
    <w:rsid w:val="00DD200B"/>
    <w:rsid w:val="00DD2A29"/>
    <w:rsid w:val="00DD34F2"/>
    <w:rsid w:val="00DD48F1"/>
    <w:rsid w:val="00DD5658"/>
    <w:rsid w:val="00DD6677"/>
    <w:rsid w:val="00DE03FE"/>
    <w:rsid w:val="00DE0D18"/>
    <w:rsid w:val="00DE1896"/>
    <w:rsid w:val="00DE1CA8"/>
    <w:rsid w:val="00DE3761"/>
    <w:rsid w:val="00DE4204"/>
    <w:rsid w:val="00DE58AE"/>
    <w:rsid w:val="00DE66FC"/>
    <w:rsid w:val="00DE69A2"/>
    <w:rsid w:val="00DE7D8D"/>
    <w:rsid w:val="00DF03B2"/>
    <w:rsid w:val="00DF146B"/>
    <w:rsid w:val="00DF16ED"/>
    <w:rsid w:val="00DF1D32"/>
    <w:rsid w:val="00DF3408"/>
    <w:rsid w:val="00DF343A"/>
    <w:rsid w:val="00DF40EC"/>
    <w:rsid w:val="00DF4D2D"/>
    <w:rsid w:val="00DF5DFD"/>
    <w:rsid w:val="00DF7334"/>
    <w:rsid w:val="00DF7A1E"/>
    <w:rsid w:val="00E00100"/>
    <w:rsid w:val="00E00927"/>
    <w:rsid w:val="00E00DB6"/>
    <w:rsid w:val="00E01510"/>
    <w:rsid w:val="00E02926"/>
    <w:rsid w:val="00E02BB8"/>
    <w:rsid w:val="00E02C2E"/>
    <w:rsid w:val="00E02D0C"/>
    <w:rsid w:val="00E03331"/>
    <w:rsid w:val="00E034A7"/>
    <w:rsid w:val="00E03E2D"/>
    <w:rsid w:val="00E0419B"/>
    <w:rsid w:val="00E04DB1"/>
    <w:rsid w:val="00E1176D"/>
    <w:rsid w:val="00E11FD6"/>
    <w:rsid w:val="00E13EAE"/>
    <w:rsid w:val="00E14407"/>
    <w:rsid w:val="00E149F4"/>
    <w:rsid w:val="00E14A92"/>
    <w:rsid w:val="00E1770D"/>
    <w:rsid w:val="00E178A7"/>
    <w:rsid w:val="00E20E57"/>
    <w:rsid w:val="00E21032"/>
    <w:rsid w:val="00E21116"/>
    <w:rsid w:val="00E21F35"/>
    <w:rsid w:val="00E22708"/>
    <w:rsid w:val="00E2492E"/>
    <w:rsid w:val="00E25A59"/>
    <w:rsid w:val="00E25AAD"/>
    <w:rsid w:val="00E25DB5"/>
    <w:rsid w:val="00E27266"/>
    <w:rsid w:val="00E27879"/>
    <w:rsid w:val="00E27D3A"/>
    <w:rsid w:val="00E30B11"/>
    <w:rsid w:val="00E311C6"/>
    <w:rsid w:val="00E32364"/>
    <w:rsid w:val="00E330FD"/>
    <w:rsid w:val="00E336CC"/>
    <w:rsid w:val="00E33F1D"/>
    <w:rsid w:val="00E343E6"/>
    <w:rsid w:val="00E34E58"/>
    <w:rsid w:val="00E3544B"/>
    <w:rsid w:val="00E36179"/>
    <w:rsid w:val="00E367CA"/>
    <w:rsid w:val="00E36BC5"/>
    <w:rsid w:val="00E40DD8"/>
    <w:rsid w:val="00E4113D"/>
    <w:rsid w:val="00E419F7"/>
    <w:rsid w:val="00E41AE3"/>
    <w:rsid w:val="00E42129"/>
    <w:rsid w:val="00E4298F"/>
    <w:rsid w:val="00E4392F"/>
    <w:rsid w:val="00E43AA4"/>
    <w:rsid w:val="00E44391"/>
    <w:rsid w:val="00E4521A"/>
    <w:rsid w:val="00E47A50"/>
    <w:rsid w:val="00E47FE1"/>
    <w:rsid w:val="00E50F94"/>
    <w:rsid w:val="00E51746"/>
    <w:rsid w:val="00E526E8"/>
    <w:rsid w:val="00E52B97"/>
    <w:rsid w:val="00E53662"/>
    <w:rsid w:val="00E5373B"/>
    <w:rsid w:val="00E53C43"/>
    <w:rsid w:val="00E5431D"/>
    <w:rsid w:val="00E54F02"/>
    <w:rsid w:val="00E55491"/>
    <w:rsid w:val="00E55790"/>
    <w:rsid w:val="00E57077"/>
    <w:rsid w:val="00E57AAC"/>
    <w:rsid w:val="00E604DE"/>
    <w:rsid w:val="00E613D8"/>
    <w:rsid w:val="00E614BC"/>
    <w:rsid w:val="00E61658"/>
    <w:rsid w:val="00E61A5D"/>
    <w:rsid w:val="00E62F61"/>
    <w:rsid w:val="00E635BF"/>
    <w:rsid w:val="00E63653"/>
    <w:rsid w:val="00E6367C"/>
    <w:rsid w:val="00E63C8A"/>
    <w:rsid w:val="00E63F80"/>
    <w:rsid w:val="00E65C5C"/>
    <w:rsid w:val="00E664D3"/>
    <w:rsid w:val="00E6652D"/>
    <w:rsid w:val="00E6738E"/>
    <w:rsid w:val="00E70203"/>
    <w:rsid w:val="00E72301"/>
    <w:rsid w:val="00E74336"/>
    <w:rsid w:val="00E762A4"/>
    <w:rsid w:val="00E76A54"/>
    <w:rsid w:val="00E76E6A"/>
    <w:rsid w:val="00E8378C"/>
    <w:rsid w:val="00E84A35"/>
    <w:rsid w:val="00E84D7E"/>
    <w:rsid w:val="00E84EDB"/>
    <w:rsid w:val="00E85726"/>
    <w:rsid w:val="00E86BE7"/>
    <w:rsid w:val="00E93C0D"/>
    <w:rsid w:val="00E93EB7"/>
    <w:rsid w:val="00E942E1"/>
    <w:rsid w:val="00E94A4B"/>
    <w:rsid w:val="00E94DDE"/>
    <w:rsid w:val="00E97911"/>
    <w:rsid w:val="00EA05DE"/>
    <w:rsid w:val="00EA0688"/>
    <w:rsid w:val="00EA0D9A"/>
    <w:rsid w:val="00EA1D47"/>
    <w:rsid w:val="00EA3831"/>
    <w:rsid w:val="00EA38B9"/>
    <w:rsid w:val="00EA473C"/>
    <w:rsid w:val="00EA49B6"/>
    <w:rsid w:val="00EA63AB"/>
    <w:rsid w:val="00EB0EDD"/>
    <w:rsid w:val="00EB1052"/>
    <w:rsid w:val="00EB1C47"/>
    <w:rsid w:val="00EB22FE"/>
    <w:rsid w:val="00EB2F70"/>
    <w:rsid w:val="00EB2F9E"/>
    <w:rsid w:val="00EB2FFF"/>
    <w:rsid w:val="00EB3359"/>
    <w:rsid w:val="00EB695A"/>
    <w:rsid w:val="00EB7086"/>
    <w:rsid w:val="00EB755B"/>
    <w:rsid w:val="00EB780D"/>
    <w:rsid w:val="00EB7F42"/>
    <w:rsid w:val="00EC14F7"/>
    <w:rsid w:val="00EC2BBD"/>
    <w:rsid w:val="00EC30F0"/>
    <w:rsid w:val="00EC3B7A"/>
    <w:rsid w:val="00EC3DBD"/>
    <w:rsid w:val="00EC4196"/>
    <w:rsid w:val="00EC466D"/>
    <w:rsid w:val="00EC472E"/>
    <w:rsid w:val="00EC4ABB"/>
    <w:rsid w:val="00EC5953"/>
    <w:rsid w:val="00EC6137"/>
    <w:rsid w:val="00EC7BCF"/>
    <w:rsid w:val="00ED22E2"/>
    <w:rsid w:val="00ED2F76"/>
    <w:rsid w:val="00ED40E7"/>
    <w:rsid w:val="00ED5312"/>
    <w:rsid w:val="00ED617B"/>
    <w:rsid w:val="00ED67E9"/>
    <w:rsid w:val="00ED6FFB"/>
    <w:rsid w:val="00EE27CD"/>
    <w:rsid w:val="00EE2BBA"/>
    <w:rsid w:val="00EE320D"/>
    <w:rsid w:val="00EE3319"/>
    <w:rsid w:val="00EE3FC0"/>
    <w:rsid w:val="00EE40C8"/>
    <w:rsid w:val="00EE4F26"/>
    <w:rsid w:val="00EE6119"/>
    <w:rsid w:val="00EE781D"/>
    <w:rsid w:val="00EE78CD"/>
    <w:rsid w:val="00EF041E"/>
    <w:rsid w:val="00EF0A80"/>
    <w:rsid w:val="00EF244E"/>
    <w:rsid w:val="00EF3E06"/>
    <w:rsid w:val="00EF42A4"/>
    <w:rsid w:val="00EF49DC"/>
    <w:rsid w:val="00EF586C"/>
    <w:rsid w:val="00EF58C1"/>
    <w:rsid w:val="00EF5BE0"/>
    <w:rsid w:val="00F00DB5"/>
    <w:rsid w:val="00F00ED4"/>
    <w:rsid w:val="00F03722"/>
    <w:rsid w:val="00F047A7"/>
    <w:rsid w:val="00F05AEB"/>
    <w:rsid w:val="00F062C6"/>
    <w:rsid w:val="00F06452"/>
    <w:rsid w:val="00F06845"/>
    <w:rsid w:val="00F073EA"/>
    <w:rsid w:val="00F078CF"/>
    <w:rsid w:val="00F10771"/>
    <w:rsid w:val="00F1212C"/>
    <w:rsid w:val="00F1324A"/>
    <w:rsid w:val="00F1346F"/>
    <w:rsid w:val="00F13888"/>
    <w:rsid w:val="00F13D87"/>
    <w:rsid w:val="00F1492A"/>
    <w:rsid w:val="00F1527F"/>
    <w:rsid w:val="00F157E8"/>
    <w:rsid w:val="00F16441"/>
    <w:rsid w:val="00F16C7C"/>
    <w:rsid w:val="00F21136"/>
    <w:rsid w:val="00F213F0"/>
    <w:rsid w:val="00F22031"/>
    <w:rsid w:val="00F22114"/>
    <w:rsid w:val="00F22443"/>
    <w:rsid w:val="00F225ED"/>
    <w:rsid w:val="00F22D54"/>
    <w:rsid w:val="00F24260"/>
    <w:rsid w:val="00F25A0E"/>
    <w:rsid w:val="00F25F74"/>
    <w:rsid w:val="00F2662A"/>
    <w:rsid w:val="00F270FE"/>
    <w:rsid w:val="00F2769A"/>
    <w:rsid w:val="00F301A4"/>
    <w:rsid w:val="00F30E53"/>
    <w:rsid w:val="00F31A9A"/>
    <w:rsid w:val="00F31B8F"/>
    <w:rsid w:val="00F3357C"/>
    <w:rsid w:val="00F33638"/>
    <w:rsid w:val="00F337BE"/>
    <w:rsid w:val="00F35076"/>
    <w:rsid w:val="00F357CF"/>
    <w:rsid w:val="00F36A61"/>
    <w:rsid w:val="00F3734F"/>
    <w:rsid w:val="00F377BB"/>
    <w:rsid w:val="00F37E8C"/>
    <w:rsid w:val="00F40EF9"/>
    <w:rsid w:val="00F411BE"/>
    <w:rsid w:val="00F41A3D"/>
    <w:rsid w:val="00F42C10"/>
    <w:rsid w:val="00F4333A"/>
    <w:rsid w:val="00F43B5E"/>
    <w:rsid w:val="00F46216"/>
    <w:rsid w:val="00F469B8"/>
    <w:rsid w:val="00F46FAD"/>
    <w:rsid w:val="00F46FB7"/>
    <w:rsid w:val="00F4749E"/>
    <w:rsid w:val="00F504A9"/>
    <w:rsid w:val="00F51800"/>
    <w:rsid w:val="00F52254"/>
    <w:rsid w:val="00F52F0D"/>
    <w:rsid w:val="00F54826"/>
    <w:rsid w:val="00F5606C"/>
    <w:rsid w:val="00F5708F"/>
    <w:rsid w:val="00F603DE"/>
    <w:rsid w:val="00F6129F"/>
    <w:rsid w:val="00F61FF7"/>
    <w:rsid w:val="00F62B44"/>
    <w:rsid w:val="00F63085"/>
    <w:rsid w:val="00F63ED2"/>
    <w:rsid w:val="00F64348"/>
    <w:rsid w:val="00F65D24"/>
    <w:rsid w:val="00F65DF9"/>
    <w:rsid w:val="00F6611F"/>
    <w:rsid w:val="00F66315"/>
    <w:rsid w:val="00F6694F"/>
    <w:rsid w:val="00F67102"/>
    <w:rsid w:val="00F67ADB"/>
    <w:rsid w:val="00F70267"/>
    <w:rsid w:val="00F72072"/>
    <w:rsid w:val="00F721D9"/>
    <w:rsid w:val="00F72556"/>
    <w:rsid w:val="00F727BB"/>
    <w:rsid w:val="00F738B5"/>
    <w:rsid w:val="00F738EC"/>
    <w:rsid w:val="00F747C8"/>
    <w:rsid w:val="00F74F77"/>
    <w:rsid w:val="00F75A92"/>
    <w:rsid w:val="00F776D3"/>
    <w:rsid w:val="00F80CC0"/>
    <w:rsid w:val="00F810E9"/>
    <w:rsid w:val="00F81547"/>
    <w:rsid w:val="00F82808"/>
    <w:rsid w:val="00F82D59"/>
    <w:rsid w:val="00F8364C"/>
    <w:rsid w:val="00F83F05"/>
    <w:rsid w:val="00F840D9"/>
    <w:rsid w:val="00F85A72"/>
    <w:rsid w:val="00F85D10"/>
    <w:rsid w:val="00F929BF"/>
    <w:rsid w:val="00F93E55"/>
    <w:rsid w:val="00F95675"/>
    <w:rsid w:val="00F95A36"/>
    <w:rsid w:val="00F96ABD"/>
    <w:rsid w:val="00FA0515"/>
    <w:rsid w:val="00FA17EC"/>
    <w:rsid w:val="00FA1A19"/>
    <w:rsid w:val="00FA3013"/>
    <w:rsid w:val="00FA3758"/>
    <w:rsid w:val="00FA393F"/>
    <w:rsid w:val="00FA4964"/>
    <w:rsid w:val="00FA6033"/>
    <w:rsid w:val="00FA6275"/>
    <w:rsid w:val="00FA6CDE"/>
    <w:rsid w:val="00FB1411"/>
    <w:rsid w:val="00FB2557"/>
    <w:rsid w:val="00FB365D"/>
    <w:rsid w:val="00FB4E9E"/>
    <w:rsid w:val="00FB5DCC"/>
    <w:rsid w:val="00FB652B"/>
    <w:rsid w:val="00FB7C66"/>
    <w:rsid w:val="00FC0187"/>
    <w:rsid w:val="00FC2472"/>
    <w:rsid w:val="00FC24DA"/>
    <w:rsid w:val="00FC3279"/>
    <w:rsid w:val="00FC3459"/>
    <w:rsid w:val="00FC382F"/>
    <w:rsid w:val="00FC558F"/>
    <w:rsid w:val="00FC55E3"/>
    <w:rsid w:val="00FC7891"/>
    <w:rsid w:val="00FD08D3"/>
    <w:rsid w:val="00FD24D1"/>
    <w:rsid w:val="00FD274F"/>
    <w:rsid w:val="00FD3802"/>
    <w:rsid w:val="00FD38D9"/>
    <w:rsid w:val="00FD4D33"/>
    <w:rsid w:val="00FD5112"/>
    <w:rsid w:val="00FD5CAC"/>
    <w:rsid w:val="00FD7224"/>
    <w:rsid w:val="00FE16CA"/>
    <w:rsid w:val="00FE181B"/>
    <w:rsid w:val="00FE230F"/>
    <w:rsid w:val="00FE31E1"/>
    <w:rsid w:val="00FE37FB"/>
    <w:rsid w:val="00FE3B0A"/>
    <w:rsid w:val="00FE5EF2"/>
    <w:rsid w:val="00FE6363"/>
    <w:rsid w:val="00FE6DF3"/>
    <w:rsid w:val="00FE709E"/>
    <w:rsid w:val="00FE75F6"/>
    <w:rsid w:val="00FF054F"/>
    <w:rsid w:val="00FF0883"/>
    <w:rsid w:val="00FF0C5D"/>
    <w:rsid w:val="00FF0D82"/>
    <w:rsid w:val="00FF1427"/>
    <w:rsid w:val="00FF421C"/>
    <w:rsid w:val="00FF4935"/>
    <w:rsid w:val="00FF6628"/>
    <w:rsid w:val="00FF69CD"/>
    <w:rsid w:val="00FF69F0"/>
    <w:rsid w:val="00FF725D"/>
    <w:rsid w:val="01B21627"/>
    <w:rsid w:val="02181B62"/>
    <w:rsid w:val="022A2BF8"/>
    <w:rsid w:val="024B4234"/>
    <w:rsid w:val="03921154"/>
    <w:rsid w:val="0402659B"/>
    <w:rsid w:val="0417581D"/>
    <w:rsid w:val="042E570B"/>
    <w:rsid w:val="04436E98"/>
    <w:rsid w:val="04D51334"/>
    <w:rsid w:val="05A66C3A"/>
    <w:rsid w:val="063B6813"/>
    <w:rsid w:val="06604E26"/>
    <w:rsid w:val="07A80E7D"/>
    <w:rsid w:val="08073659"/>
    <w:rsid w:val="081702DF"/>
    <w:rsid w:val="083C58DE"/>
    <w:rsid w:val="08420A7F"/>
    <w:rsid w:val="09236988"/>
    <w:rsid w:val="09841245"/>
    <w:rsid w:val="0A070DA1"/>
    <w:rsid w:val="0BF778A6"/>
    <w:rsid w:val="0CDD494D"/>
    <w:rsid w:val="0E1B6030"/>
    <w:rsid w:val="0FE35105"/>
    <w:rsid w:val="115A396C"/>
    <w:rsid w:val="13DD7F3F"/>
    <w:rsid w:val="174A5D4B"/>
    <w:rsid w:val="17687004"/>
    <w:rsid w:val="1825040C"/>
    <w:rsid w:val="196A0278"/>
    <w:rsid w:val="19CA7A2A"/>
    <w:rsid w:val="19D2168E"/>
    <w:rsid w:val="1A612B11"/>
    <w:rsid w:val="1A69492C"/>
    <w:rsid w:val="1D1B126B"/>
    <w:rsid w:val="1E333DE8"/>
    <w:rsid w:val="1E8D1838"/>
    <w:rsid w:val="1F5B188B"/>
    <w:rsid w:val="1FED6C56"/>
    <w:rsid w:val="20960849"/>
    <w:rsid w:val="22D57543"/>
    <w:rsid w:val="23CD1267"/>
    <w:rsid w:val="242600DD"/>
    <w:rsid w:val="247A7488"/>
    <w:rsid w:val="267D19AA"/>
    <w:rsid w:val="26CA521D"/>
    <w:rsid w:val="26EB23D5"/>
    <w:rsid w:val="26F55BF7"/>
    <w:rsid w:val="274A3283"/>
    <w:rsid w:val="29206C6D"/>
    <w:rsid w:val="29651FD8"/>
    <w:rsid w:val="2A3D33EC"/>
    <w:rsid w:val="2A9D6891"/>
    <w:rsid w:val="2B9D29DB"/>
    <w:rsid w:val="2CDB01EC"/>
    <w:rsid w:val="2DBA3F39"/>
    <w:rsid w:val="2E5603BA"/>
    <w:rsid w:val="2EAC05D7"/>
    <w:rsid w:val="2EDC7A66"/>
    <w:rsid w:val="2EEE3791"/>
    <w:rsid w:val="2F71248A"/>
    <w:rsid w:val="307135FF"/>
    <w:rsid w:val="32525A95"/>
    <w:rsid w:val="32C40E99"/>
    <w:rsid w:val="33533909"/>
    <w:rsid w:val="33ED3CEF"/>
    <w:rsid w:val="3480182D"/>
    <w:rsid w:val="35305866"/>
    <w:rsid w:val="35341F49"/>
    <w:rsid w:val="35471228"/>
    <w:rsid w:val="35BF07E4"/>
    <w:rsid w:val="36847100"/>
    <w:rsid w:val="37ED7A68"/>
    <w:rsid w:val="38C700A4"/>
    <w:rsid w:val="393E4326"/>
    <w:rsid w:val="39FA34CD"/>
    <w:rsid w:val="3AB452EC"/>
    <w:rsid w:val="3B2D6FF8"/>
    <w:rsid w:val="3B6041D2"/>
    <w:rsid w:val="3C9903FB"/>
    <w:rsid w:val="3D1E3596"/>
    <w:rsid w:val="3E997FE8"/>
    <w:rsid w:val="411A79C3"/>
    <w:rsid w:val="424E6FF5"/>
    <w:rsid w:val="42A70EBC"/>
    <w:rsid w:val="42D06C61"/>
    <w:rsid w:val="437B7386"/>
    <w:rsid w:val="43D53398"/>
    <w:rsid w:val="4590214E"/>
    <w:rsid w:val="462514D3"/>
    <w:rsid w:val="48052100"/>
    <w:rsid w:val="482F1574"/>
    <w:rsid w:val="48E06EC4"/>
    <w:rsid w:val="48F801A0"/>
    <w:rsid w:val="49366CC6"/>
    <w:rsid w:val="494769BB"/>
    <w:rsid w:val="49603E81"/>
    <w:rsid w:val="4C957325"/>
    <w:rsid w:val="4CFE6F9A"/>
    <w:rsid w:val="4D3A2C13"/>
    <w:rsid w:val="4D4369B3"/>
    <w:rsid w:val="4F585ABA"/>
    <w:rsid w:val="50647331"/>
    <w:rsid w:val="50F33FD3"/>
    <w:rsid w:val="50FA7805"/>
    <w:rsid w:val="51DC3C25"/>
    <w:rsid w:val="5284694C"/>
    <w:rsid w:val="53B35D58"/>
    <w:rsid w:val="54E60440"/>
    <w:rsid w:val="564A5D58"/>
    <w:rsid w:val="566755CE"/>
    <w:rsid w:val="56836CFD"/>
    <w:rsid w:val="57BA339D"/>
    <w:rsid w:val="57DD3083"/>
    <w:rsid w:val="584C65DF"/>
    <w:rsid w:val="588A73B2"/>
    <w:rsid w:val="59456BDF"/>
    <w:rsid w:val="59E56370"/>
    <w:rsid w:val="5A101C1A"/>
    <w:rsid w:val="5A3D5142"/>
    <w:rsid w:val="5AC90A48"/>
    <w:rsid w:val="5AD36F72"/>
    <w:rsid w:val="5CA57EC5"/>
    <w:rsid w:val="5CFA7B59"/>
    <w:rsid w:val="5D6F0D97"/>
    <w:rsid w:val="5E1C4028"/>
    <w:rsid w:val="5E3B7D18"/>
    <w:rsid w:val="60730CCF"/>
    <w:rsid w:val="608B5B2B"/>
    <w:rsid w:val="60E50670"/>
    <w:rsid w:val="619C2F3E"/>
    <w:rsid w:val="61DB4CEA"/>
    <w:rsid w:val="61E422CB"/>
    <w:rsid w:val="62D57FCE"/>
    <w:rsid w:val="63E15556"/>
    <w:rsid w:val="64E2656A"/>
    <w:rsid w:val="65DA15C9"/>
    <w:rsid w:val="66F22DCF"/>
    <w:rsid w:val="67390C10"/>
    <w:rsid w:val="678D6767"/>
    <w:rsid w:val="68DD087A"/>
    <w:rsid w:val="695F4659"/>
    <w:rsid w:val="69E913B0"/>
    <w:rsid w:val="6A2F29BF"/>
    <w:rsid w:val="6AE07677"/>
    <w:rsid w:val="6B1001B1"/>
    <w:rsid w:val="6BEF4FF7"/>
    <w:rsid w:val="6DAF42FB"/>
    <w:rsid w:val="6DE611E8"/>
    <w:rsid w:val="6F6038C5"/>
    <w:rsid w:val="70390415"/>
    <w:rsid w:val="70C550A5"/>
    <w:rsid w:val="71024916"/>
    <w:rsid w:val="71215C09"/>
    <w:rsid w:val="7139724E"/>
    <w:rsid w:val="71896917"/>
    <w:rsid w:val="72AC6AF2"/>
    <w:rsid w:val="73740DAD"/>
    <w:rsid w:val="74E0370F"/>
    <w:rsid w:val="750C4076"/>
    <w:rsid w:val="75EF2FDD"/>
    <w:rsid w:val="7671170E"/>
    <w:rsid w:val="7BEF1C7D"/>
    <w:rsid w:val="7CB9622F"/>
    <w:rsid w:val="7CE857A1"/>
    <w:rsid w:val="7D297632"/>
    <w:rsid w:val="7D7B11D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name="toc 1"/>
    <w:lsdException w:unhideWhenUsed="0" w:uiPriority="99" w:name="toc 2"/>
    <w:lsdException w:unhideWhenUsed="0" w:uiPriority="99" w:name="toc 3"/>
    <w:lsdException w:unhideWhenUsed="0" w:uiPriority="99" w:name="toc 4"/>
    <w:lsdException w:unhideWhenUsed="0" w:uiPriority="99" w:name="toc 5"/>
    <w:lsdException w:unhideWhenUsed="0" w:uiPriority="99" w:name="toc 6"/>
    <w:lsdException w:unhideWhenUsed="0" w:uiPriority="99" w:name="toc 7"/>
    <w:lsdException w:unhideWhenUsed="0" w:uiPriority="99" w:name="toc 8"/>
    <w:lsdException w:unhideWhenUsed="0" w:uiPriority="9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nhideWhenUsed="0" w:uiPriority="99" w:semiHidden="0" w:name="caption"/>
    <w:lsdException w:unhideWhenUsed="0"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ocked="1"/>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等线"/>
      <w:kern w:val="2"/>
      <w:sz w:val="21"/>
      <w:szCs w:val="21"/>
      <w:lang w:val="en-US" w:eastAsia="zh-CN" w:bidi="ar-SA"/>
    </w:rPr>
  </w:style>
  <w:style w:type="paragraph" w:styleId="3">
    <w:name w:val="heading 1"/>
    <w:basedOn w:val="1"/>
    <w:next w:val="1"/>
    <w:link w:val="43"/>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44"/>
    <w:qFormat/>
    <w:uiPriority w:val="99"/>
    <w:pPr>
      <w:keepNext/>
      <w:keepLines/>
      <w:spacing w:before="260" w:after="260" w:line="416" w:lineRule="auto"/>
      <w:outlineLvl w:val="1"/>
    </w:pPr>
    <w:rPr>
      <w:rFonts w:ascii="等线 Light" w:hAnsi="等线 Light" w:eastAsia="等线 Light" w:cs="等线 Light"/>
      <w:b/>
      <w:bCs/>
      <w:sz w:val="32"/>
      <w:szCs w:val="32"/>
    </w:rPr>
  </w:style>
  <w:style w:type="paragraph" w:styleId="5">
    <w:name w:val="heading 3"/>
    <w:basedOn w:val="1"/>
    <w:next w:val="1"/>
    <w:link w:val="34"/>
    <w:qFormat/>
    <w:uiPriority w:val="99"/>
    <w:pPr>
      <w:keepNext/>
      <w:keepLines/>
      <w:spacing w:before="260" w:after="260" w:line="416" w:lineRule="auto"/>
      <w:outlineLvl w:val="2"/>
    </w:pPr>
    <w:rPr>
      <w:rFonts w:ascii="Times New Roman" w:hAnsi="Times New Roman" w:eastAsia="宋体" w:cs="Times New Roman"/>
      <w:b/>
      <w:bCs/>
      <w:kern w:val="0"/>
      <w:sz w:val="32"/>
      <w:szCs w:val="32"/>
      <w:lang w:val="zh-CN"/>
    </w:rPr>
  </w:style>
  <w:style w:type="paragraph" w:styleId="6">
    <w:name w:val="heading 4"/>
    <w:basedOn w:val="1"/>
    <w:next w:val="1"/>
    <w:link w:val="35"/>
    <w:qFormat/>
    <w:uiPriority w:val="99"/>
    <w:pPr>
      <w:keepNext/>
      <w:keepLines/>
      <w:spacing w:before="280" w:after="290" w:line="376" w:lineRule="auto"/>
      <w:outlineLvl w:val="3"/>
    </w:pPr>
    <w:rPr>
      <w:rFonts w:ascii="等线 Light" w:hAnsi="等线 Light" w:eastAsia="等线 Light" w:cs="等线 Light"/>
      <w:b/>
      <w:bCs/>
      <w:sz w:val="28"/>
      <w:szCs w:val="28"/>
    </w:rPr>
  </w:style>
  <w:style w:type="character" w:default="1" w:styleId="27">
    <w:name w:val="Default Paragraph Font"/>
    <w:semiHidden/>
    <w:qFormat/>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semiHidden/>
    <w:uiPriority w:val="99"/>
    <w:pPr>
      <w:ind w:left="200" w:leftChars="200" w:hanging="200" w:hangingChars="200"/>
    </w:pPr>
  </w:style>
  <w:style w:type="paragraph" w:styleId="7">
    <w:name w:val="toc 7"/>
    <w:basedOn w:val="1"/>
    <w:next w:val="1"/>
    <w:semiHidden/>
    <w:uiPriority w:val="99"/>
    <w:pPr>
      <w:ind w:left="2520" w:leftChars="1200"/>
    </w:pPr>
  </w:style>
  <w:style w:type="paragraph" w:styleId="8">
    <w:name w:val="caption"/>
    <w:basedOn w:val="1"/>
    <w:next w:val="1"/>
    <w:qFormat/>
    <w:uiPriority w:val="99"/>
    <w:rPr>
      <w:rFonts w:ascii="等线 Light" w:hAnsi="等线 Light" w:eastAsia="黑体" w:cs="等线 Light"/>
      <w:sz w:val="20"/>
      <w:szCs w:val="20"/>
    </w:rPr>
  </w:style>
  <w:style w:type="paragraph" w:styleId="9">
    <w:name w:val="Body Text"/>
    <w:basedOn w:val="1"/>
    <w:link w:val="36"/>
    <w:uiPriority w:val="99"/>
    <w:pPr>
      <w:topLinePunct/>
      <w:autoSpaceDE w:val="0"/>
      <w:adjustRightInd w:val="0"/>
      <w:ind w:firstLine="200" w:firstLineChars="200"/>
    </w:pPr>
    <w:rPr>
      <w:rFonts w:ascii="仿宋" w:hAnsi="仿宋" w:eastAsia="仿宋_GB2312" w:cs="仿宋"/>
      <w:kern w:val="0"/>
      <w:sz w:val="32"/>
      <w:szCs w:val="32"/>
      <w:lang w:eastAsia="en-US"/>
    </w:rPr>
  </w:style>
  <w:style w:type="paragraph" w:styleId="10">
    <w:name w:val="toc 5"/>
    <w:basedOn w:val="1"/>
    <w:next w:val="1"/>
    <w:semiHidden/>
    <w:uiPriority w:val="99"/>
    <w:pPr>
      <w:ind w:left="1680" w:leftChars="800"/>
    </w:pPr>
  </w:style>
  <w:style w:type="paragraph" w:styleId="11">
    <w:name w:val="toc 3"/>
    <w:basedOn w:val="1"/>
    <w:next w:val="1"/>
    <w:semiHidden/>
    <w:uiPriority w:val="99"/>
    <w:pPr>
      <w:widowControl/>
      <w:spacing w:after="100" w:line="259" w:lineRule="auto"/>
      <w:ind w:left="440"/>
      <w:jc w:val="left"/>
    </w:pPr>
    <w:rPr>
      <w:kern w:val="0"/>
      <w:sz w:val="22"/>
      <w:szCs w:val="22"/>
    </w:rPr>
  </w:style>
  <w:style w:type="paragraph" w:styleId="12">
    <w:name w:val="toc 8"/>
    <w:basedOn w:val="1"/>
    <w:next w:val="1"/>
    <w:semiHidden/>
    <w:uiPriority w:val="99"/>
    <w:pPr>
      <w:ind w:left="2940" w:leftChars="1400"/>
    </w:pPr>
  </w:style>
  <w:style w:type="paragraph" w:styleId="13">
    <w:name w:val="Date"/>
    <w:basedOn w:val="1"/>
    <w:next w:val="1"/>
    <w:link w:val="37"/>
    <w:semiHidden/>
    <w:uiPriority w:val="99"/>
    <w:pPr>
      <w:ind w:left="100" w:leftChars="2500"/>
    </w:pPr>
  </w:style>
  <w:style w:type="paragraph" w:styleId="14">
    <w:name w:val="Balloon Text"/>
    <w:basedOn w:val="1"/>
    <w:link w:val="38"/>
    <w:semiHidden/>
    <w:uiPriority w:val="99"/>
    <w:rPr>
      <w:sz w:val="18"/>
      <w:szCs w:val="18"/>
    </w:rPr>
  </w:style>
  <w:style w:type="paragraph" w:styleId="15">
    <w:name w:val="footer"/>
    <w:basedOn w:val="1"/>
    <w:link w:val="39"/>
    <w:uiPriority w:val="99"/>
    <w:pPr>
      <w:tabs>
        <w:tab w:val="center" w:pos="4153"/>
        <w:tab w:val="right" w:pos="8306"/>
      </w:tabs>
      <w:snapToGrid w:val="0"/>
      <w:jc w:val="left"/>
    </w:pPr>
    <w:rPr>
      <w:sz w:val="18"/>
      <w:szCs w:val="18"/>
    </w:rPr>
  </w:style>
  <w:style w:type="paragraph" w:styleId="16">
    <w:name w:val="header"/>
    <w:basedOn w:val="1"/>
    <w:link w:val="40"/>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uiPriority w:val="99"/>
    <w:pPr>
      <w:widowControl/>
      <w:tabs>
        <w:tab w:val="right" w:leader="dot" w:pos="8296"/>
      </w:tabs>
      <w:spacing w:after="100" w:line="259" w:lineRule="auto"/>
      <w:jc w:val="left"/>
    </w:pPr>
    <w:rPr>
      <w:rFonts w:ascii="宋体" w:hAnsi="宋体" w:eastAsia="宋体" w:cs="宋体"/>
      <w:b/>
      <w:bCs/>
      <w:kern w:val="0"/>
      <w:sz w:val="22"/>
      <w:szCs w:val="22"/>
    </w:rPr>
  </w:style>
  <w:style w:type="paragraph" w:styleId="18">
    <w:name w:val="toc 4"/>
    <w:basedOn w:val="1"/>
    <w:next w:val="1"/>
    <w:semiHidden/>
    <w:uiPriority w:val="99"/>
    <w:pPr>
      <w:ind w:left="1260" w:leftChars="600"/>
    </w:pPr>
  </w:style>
  <w:style w:type="paragraph" w:styleId="19">
    <w:name w:val="Subtitle"/>
    <w:basedOn w:val="1"/>
    <w:next w:val="1"/>
    <w:link w:val="41"/>
    <w:qFormat/>
    <w:uiPriority w:val="99"/>
    <w:pPr>
      <w:spacing w:before="240" w:after="60" w:line="312" w:lineRule="auto"/>
      <w:jc w:val="center"/>
      <w:outlineLvl w:val="1"/>
    </w:pPr>
    <w:rPr>
      <w:rFonts w:ascii="等线 Light" w:hAnsi="等线 Light" w:eastAsia="宋体" w:cs="等线 Light"/>
      <w:b/>
      <w:bCs/>
      <w:kern w:val="28"/>
      <w:sz w:val="32"/>
      <w:szCs w:val="32"/>
    </w:rPr>
  </w:style>
  <w:style w:type="paragraph" w:styleId="20">
    <w:name w:val="toc 6"/>
    <w:basedOn w:val="1"/>
    <w:next w:val="1"/>
    <w:semiHidden/>
    <w:uiPriority w:val="99"/>
    <w:pPr>
      <w:ind w:left="2100" w:leftChars="1000"/>
    </w:pPr>
  </w:style>
  <w:style w:type="paragraph" w:styleId="21">
    <w:name w:val="toc 2"/>
    <w:basedOn w:val="1"/>
    <w:next w:val="1"/>
    <w:semiHidden/>
    <w:uiPriority w:val="99"/>
    <w:pPr>
      <w:widowControl/>
      <w:spacing w:after="100" w:line="259" w:lineRule="auto"/>
      <w:ind w:left="220"/>
      <w:jc w:val="left"/>
    </w:pPr>
    <w:rPr>
      <w:kern w:val="0"/>
      <w:sz w:val="22"/>
      <w:szCs w:val="22"/>
    </w:rPr>
  </w:style>
  <w:style w:type="paragraph" w:styleId="22">
    <w:name w:val="toc 9"/>
    <w:basedOn w:val="1"/>
    <w:next w:val="1"/>
    <w:semiHidden/>
    <w:uiPriority w:val="99"/>
    <w:pPr>
      <w:ind w:left="3360" w:leftChars="1600"/>
    </w:pPr>
  </w:style>
  <w:style w:type="paragraph" w:styleId="23">
    <w:name w:val="Normal (Web)"/>
    <w:basedOn w:val="1"/>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Title"/>
    <w:basedOn w:val="1"/>
    <w:next w:val="1"/>
    <w:link w:val="42"/>
    <w:qFormat/>
    <w:uiPriority w:val="99"/>
    <w:pPr>
      <w:spacing w:before="240" w:after="60"/>
      <w:jc w:val="center"/>
      <w:outlineLvl w:val="0"/>
    </w:pPr>
    <w:rPr>
      <w:rFonts w:ascii="等线 Light" w:hAnsi="等线 Light" w:eastAsia="宋体" w:cs="等线 Light"/>
      <w:b/>
      <w:bCs/>
      <w:sz w:val="32"/>
      <w:szCs w:val="32"/>
    </w:rPr>
  </w:style>
  <w:style w:type="table" w:styleId="26">
    <w:name w:val="Table Grid"/>
    <w:basedOn w:val="25"/>
    <w:qFormat/>
    <w:uiPriority w:val="99"/>
    <w:rPr>
      <w:rFonts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99"/>
    <w:rPr>
      <w:b/>
      <w:bCs/>
    </w:rPr>
  </w:style>
  <w:style w:type="character" w:styleId="29">
    <w:name w:val="FollowedHyperlink"/>
    <w:basedOn w:val="27"/>
    <w:semiHidden/>
    <w:qFormat/>
    <w:uiPriority w:val="99"/>
    <w:rPr>
      <w:color w:val="auto"/>
      <w:u w:val="single"/>
    </w:rPr>
  </w:style>
  <w:style w:type="character" w:styleId="30">
    <w:name w:val="Emphasis"/>
    <w:basedOn w:val="27"/>
    <w:qFormat/>
    <w:uiPriority w:val="99"/>
    <w:rPr>
      <w:i/>
      <w:iCs/>
    </w:rPr>
  </w:style>
  <w:style w:type="character" w:styleId="31">
    <w:name w:val="Hyperlink"/>
    <w:basedOn w:val="27"/>
    <w:qFormat/>
    <w:uiPriority w:val="99"/>
    <w:rPr>
      <w:color w:val="auto"/>
      <w:u w:val="single"/>
    </w:rPr>
  </w:style>
  <w:style w:type="character" w:customStyle="1" w:styleId="32">
    <w:name w:val="Heading 1 Char"/>
    <w:basedOn w:val="27"/>
    <w:link w:val="3"/>
    <w:qFormat/>
    <w:locked/>
    <w:uiPriority w:val="99"/>
    <w:rPr>
      <w:rFonts w:ascii="Calibri" w:hAnsi="Calibri" w:eastAsia="仿宋_GB2312" w:cs="Calibri"/>
      <w:b/>
      <w:bCs/>
      <w:kern w:val="44"/>
      <w:sz w:val="32"/>
      <w:szCs w:val="32"/>
    </w:rPr>
  </w:style>
  <w:style w:type="character" w:customStyle="1" w:styleId="33">
    <w:name w:val="Heading 2 Char"/>
    <w:basedOn w:val="27"/>
    <w:link w:val="4"/>
    <w:locked/>
    <w:uiPriority w:val="99"/>
    <w:rPr>
      <w:rFonts w:ascii="Arial" w:hAnsi="Arial" w:eastAsia="黑体" w:cs="Arial"/>
      <w:b/>
      <w:bCs/>
      <w:kern w:val="2"/>
      <w:sz w:val="32"/>
      <w:szCs w:val="32"/>
    </w:rPr>
  </w:style>
  <w:style w:type="character" w:customStyle="1" w:styleId="34">
    <w:name w:val="Heading 3 Char"/>
    <w:basedOn w:val="27"/>
    <w:link w:val="5"/>
    <w:locked/>
    <w:uiPriority w:val="99"/>
    <w:rPr>
      <w:rFonts w:ascii="Times New Roman" w:hAnsi="Times New Roman" w:eastAsia="宋体" w:cs="Times New Roman"/>
      <w:b/>
      <w:bCs/>
      <w:sz w:val="32"/>
      <w:szCs w:val="32"/>
      <w:lang w:val="zh-CN" w:eastAsia="zh-CN"/>
    </w:rPr>
  </w:style>
  <w:style w:type="character" w:customStyle="1" w:styleId="35">
    <w:name w:val="Heading 4 Char"/>
    <w:basedOn w:val="27"/>
    <w:link w:val="6"/>
    <w:locked/>
    <w:uiPriority w:val="99"/>
    <w:rPr>
      <w:rFonts w:ascii="等线 Light" w:hAnsi="等线 Light" w:eastAsia="等线 Light" w:cs="等线 Light"/>
      <w:b/>
      <w:bCs/>
      <w:sz w:val="28"/>
      <w:szCs w:val="28"/>
    </w:rPr>
  </w:style>
  <w:style w:type="character" w:customStyle="1" w:styleId="36">
    <w:name w:val="Body Text Char"/>
    <w:basedOn w:val="27"/>
    <w:link w:val="9"/>
    <w:locked/>
    <w:uiPriority w:val="99"/>
    <w:rPr>
      <w:rFonts w:ascii="仿宋" w:hAnsi="仿宋" w:eastAsia="仿宋_GB2312" w:cs="仿宋"/>
      <w:kern w:val="0"/>
      <w:sz w:val="32"/>
      <w:szCs w:val="32"/>
      <w:lang w:eastAsia="en-US"/>
    </w:rPr>
  </w:style>
  <w:style w:type="character" w:customStyle="1" w:styleId="37">
    <w:name w:val="Date Char"/>
    <w:basedOn w:val="27"/>
    <w:link w:val="13"/>
    <w:semiHidden/>
    <w:locked/>
    <w:uiPriority w:val="99"/>
  </w:style>
  <w:style w:type="character" w:customStyle="1" w:styleId="38">
    <w:name w:val="Balloon Text Char"/>
    <w:basedOn w:val="27"/>
    <w:link w:val="14"/>
    <w:semiHidden/>
    <w:locked/>
    <w:uiPriority w:val="99"/>
    <w:rPr>
      <w:sz w:val="18"/>
      <w:szCs w:val="18"/>
    </w:rPr>
  </w:style>
  <w:style w:type="character" w:customStyle="1" w:styleId="39">
    <w:name w:val="Footer Char"/>
    <w:basedOn w:val="27"/>
    <w:link w:val="15"/>
    <w:locked/>
    <w:uiPriority w:val="99"/>
    <w:rPr>
      <w:sz w:val="18"/>
      <w:szCs w:val="18"/>
    </w:rPr>
  </w:style>
  <w:style w:type="character" w:customStyle="1" w:styleId="40">
    <w:name w:val="Header Char"/>
    <w:basedOn w:val="27"/>
    <w:link w:val="16"/>
    <w:locked/>
    <w:uiPriority w:val="99"/>
    <w:rPr>
      <w:sz w:val="18"/>
      <w:szCs w:val="18"/>
    </w:rPr>
  </w:style>
  <w:style w:type="character" w:customStyle="1" w:styleId="41">
    <w:name w:val="Subtitle Char"/>
    <w:basedOn w:val="27"/>
    <w:link w:val="19"/>
    <w:locked/>
    <w:uiPriority w:val="99"/>
    <w:rPr>
      <w:rFonts w:ascii="等线 Light" w:hAnsi="等线 Light" w:eastAsia="宋体" w:cs="等线 Light"/>
      <w:b/>
      <w:bCs/>
      <w:kern w:val="28"/>
      <w:sz w:val="32"/>
      <w:szCs w:val="32"/>
    </w:rPr>
  </w:style>
  <w:style w:type="character" w:customStyle="1" w:styleId="42">
    <w:name w:val="Title Char"/>
    <w:basedOn w:val="27"/>
    <w:link w:val="24"/>
    <w:qFormat/>
    <w:locked/>
    <w:uiPriority w:val="99"/>
    <w:rPr>
      <w:rFonts w:ascii="等线 Light" w:hAnsi="等线 Light" w:eastAsia="宋体" w:cs="等线 Light"/>
      <w:b/>
      <w:bCs/>
      <w:sz w:val="32"/>
      <w:szCs w:val="32"/>
    </w:rPr>
  </w:style>
  <w:style w:type="character" w:customStyle="1" w:styleId="43">
    <w:name w:val="Heading 1 Char1"/>
    <w:basedOn w:val="27"/>
    <w:link w:val="3"/>
    <w:qFormat/>
    <w:locked/>
    <w:uiPriority w:val="99"/>
    <w:rPr>
      <w:b/>
      <w:bCs/>
      <w:kern w:val="44"/>
      <w:sz w:val="44"/>
      <w:szCs w:val="44"/>
    </w:rPr>
  </w:style>
  <w:style w:type="character" w:customStyle="1" w:styleId="44">
    <w:name w:val="Heading 2 Char1"/>
    <w:basedOn w:val="27"/>
    <w:link w:val="4"/>
    <w:qFormat/>
    <w:locked/>
    <w:uiPriority w:val="99"/>
    <w:rPr>
      <w:rFonts w:ascii="等线 Light" w:hAnsi="等线 Light" w:eastAsia="等线 Light" w:cs="等线 Light"/>
      <w:b/>
      <w:bCs/>
      <w:sz w:val="32"/>
      <w:szCs w:val="32"/>
    </w:rPr>
  </w:style>
  <w:style w:type="paragraph" w:styleId="45">
    <w:name w:val="List Paragraph"/>
    <w:basedOn w:val="1"/>
    <w:qFormat/>
    <w:uiPriority w:val="99"/>
    <w:pPr>
      <w:ind w:firstLine="420" w:firstLineChars="200"/>
    </w:pPr>
  </w:style>
  <w:style w:type="paragraph" w:customStyle="1" w:styleId="46">
    <w:name w:val="reader-word-lay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47">
    <w:name w:val="Default"/>
    <w:qFormat/>
    <w:uiPriority w:val="99"/>
    <w:pPr>
      <w:widowControl w:val="0"/>
      <w:autoSpaceDE w:val="0"/>
      <w:autoSpaceDN w:val="0"/>
      <w:adjustRightInd w:val="0"/>
    </w:pPr>
    <w:rPr>
      <w:rFonts w:ascii="宋体" w:hAnsi="等线" w:eastAsia="宋体" w:cs="宋体"/>
      <w:color w:val="000000"/>
      <w:kern w:val="0"/>
      <w:sz w:val="24"/>
      <w:szCs w:val="24"/>
      <w:lang w:val="en-US" w:eastAsia="zh-CN" w:bidi="ar-SA"/>
    </w:rPr>
  </w:style>
  <w:style w:type="paragraph" w:customStyle="1" w:styleId="48">
    <w:name w:val="Char1"/>
    <w:basedOn w:val="1"/>
    <w:qFormat/>
    <w:uiPriority w:val="99"/>
    <w:pPr>
      <w:widowControl/>
      <w:spacing w:after="160" w:line="240" w:lineRule="exact"/>
      <w:jc w:val="left"/>
    </w:pPr>
    <w:rPr>
      <w:rFonts w:ascii="Tahoma" w:hAnsi="Tahoma" w:eastAsia="宋体" w:cs="Tahoma"/>
      <w:kern w:val="0"/>
      <w:sz w:val="24"/>
      <w:szCs w:val="24"/>
      <w:lang w:eastAsia="en-US"/>
    </w:rPr>
  </w:style>
  <w:style w:type="character" w:customStyle="1" w:styleId="49">
    <w:name w:val="标题 3 字符"/>
    <w:basedOn w:val="27"/>
    <w:semiHidden/>
    <w:uiPriority w:val="99"/>
    <w:rPr>
      <w:b/>
      <w:bCs/>
      <w:sz w:val="32"/>
      <w:szCs w:val="32"/>
    </w:rPr>
  </w:style>
  <w:style w:type="character" w:customStyle="1" w:styleId="50">
    <w:name w:val="样式 样式 (西文) Times New Roman (中文) 仿宋_GB2312 + 楷体_GB2312"/>
    <w:qFormat/>
    <w:uiPriority w:val="99"/>
    <w:rPr>
      <w:rFonts w:ascii="楷体_GB2312" w:hAnsi="楷体_GB2312" w:eastAsia="仿宋_GB2312" w:cs="楷体_GB2312"/>
      <w:sz w:val="30"/>
      <w:szCs w:val="30"/>
    </w:rPr>
  </w:style>
  <w:style w:type="paragraph" w:customStyle="1" w:styleId="51">
    <w:name w:val="TOC 标题1"/>
    <w:basedOn w:val="3"/>
    <w:next w:val="1"/>
    <w:qFormat/>
    <w:uiPriority w:val="99"/>
    <w:pPr>
      <w:widowControl/>
      <w:spacing w:before="240" w:after="0" w:line="259" w:lineRule="auto"/>
      <w:jc w:val="left"/>
      <w:outlineLvl w:val="9"/>
    </w:pPr>
    <w:rPr>
      <w:rFonts w:ascii="等线 Light" w:hAnsi="等线 Light" w:eastAsia="等线 Light" w:cs="等线 Light"/>
      <w:b w:val="0"/>
      <w:bCs w:val="0"/>
      <w:color w:val="2F5496"/>
      <w:kern w:val="0"/>
      <w:sz w:val="32"/>
      <w:szCs w:val="32"/>
    </w:rPr>
  </w:style>
  <w:style w:type="character" w:customStyle="1" w:styleId="52">
    <w:name w:val="未处理的提及1"/>
    <w:basedOn w:val="27"/>
    <w:semiHidden/>
    <w:uiPriority w:val="99"/>
    <w:rPr>
      <w:color w:val="auto"/>
      <w:shd w:val="clear" w:color="auto" w:fill="auto"/>
    </w:rPr>
  </w:style>
  <w:style w:type="paragraph" w:styleId="53">
    <w:name w:val="No Spacing"/>
    <w:link w:val="54"/>
    <w:qFormat/>
    <w:uiPriority w:val="99"/>
    <w:rPr>
      <w:rFonts w:ascii="等线" w:hAnsi="等线" w:eastAsia="等线" w:cs="等线"/>
      <w:kern w:val="0"/>
      <w:sz w:val="22"/>
      <w:szCs w:val="22"/>
      <w:lang w:val="en-US" w:eastAsia="zh-CN" w:bidi="ar-SA"/>
    </w:rPr>
  </w:style>
  <w:style w:type="character" w:customStyle="1" w:styleId="54">
    <w:name w:val="No Spacing Char"/>
    <w:basedOn w:val="27"/>
    <w:link w:val="53"/>
    <w:locked/>
    <w:uiPriority w:val="99"/>
    <w:rPr>
      <w:sz w:val="22"/>
      <w:szCs w:val="22"/>
      <w:lang w:val="en-US" w:eastAsia="zh-CN"/>
    </w:rPr>
  </w:style>
  <w:style w:type="paragraph" w:customStyle="1" w:styleId="55">
    <w:name w:val="_Style 46"/>
    <w:basedOn w:val="1"/>
    <w:next w:val="45"/>
    <w:qFormat/>
    <w:uiPriority w:val="99"/>
    <w:pPr>
      <w:spacing w:line="320" w:lineRule="exact"/>
      <w:jc w:val="left"/>
    </w:pPr>
    <w:rPr>
      <w:rFonts w:ascii="仿宋_GB2312" w:eastAsia="仿宋_GB2312" w:cs="仿宋_GB2312"/>
    </w:rPr>
  </w:style>
  <w:style w:type="character" w:customStyle="1" w:styleId="56">
    <w:name w:val="font21"/>
    <w:basedOn w:val="27"/>
    <w:uiPriority w:val="99"/>
    <w:rPr>
      <w:rFonts w:ascii="方正仿宋简体" w:hAnsi="方正仿宋简体" w:eastAsia="方正仿宋简体" w:cs="方正仿宋简体"/>
      <w:color w:val="000000"/>
      <w:sz w:val="24"/>
      <w:szCs w:val="24"/>
      <w:u w:val="none"/>
    </w:rPr>
  </w:style>
  <w:style w:type="paragraph" w:customStyle="1" w:styleId="57">
    <w:name w:val="WPSOffice手动目录 1"/>
    <w:qFormat/>
    <w:uiPriority w:val="99"/>
    <w:rPr>
      <w:rFonts w:ascii="等线" w:hAnsi="等线" w:eastAsia="等线" w:cs="等线"/>
      <w:kern w:val="0"/>
      <w:sz w:val="20"/>
      <w:szCs w:val="20"/>
      <w:lang w:val="en-US" w:eastAsia="zh-CN" w:bidi="ar-SA"/>
    </w:rPr>
  </w:style>
  <w:style w:type="paragraph" w:customStyle="1" w:styleId="58">
    <w:name w:val="WPSOffice手动目录 2"/>
    <w:qFormat/>
    <w:uiPriority w:val="99"/>
    <w:pPr>
      <w:ind w:left="200" w:leftChars="200"/>
    </w:pPr>
    <w:rPr>
      <w:rFonts w:ascii="等线" w:hAnsi="等线" w:eastAsia="等线" w:cs="等线"/>
      <w:kern w:val="0"/>
      <w:sz w:val="20"/>
      <w:szCs w:val="20"/>
      <w:lang w:val="en-US" w:eastAsia="zh-CN" w:bidi="ar-SA"/>
    </w:rPr>
  </w:style>
  <w:style w:type="character" w:customStyle="1" w:styleId="59">
    <w:name w:val="标题 3 字符1"/>
    <w:uiPriority w:val="99"/>
    <w:rPr>
      <w:rFonts w:ascii="宋体" w:eastAsia="宋体" w:cs="宋体"/>
      <w:b/>
      <w:bCs/>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69</Pages>
  <Words>37528</Words>
  <Characters>39036</Characters>
  <Lines>0</Lines>
  <Paragraphs>0</Paragraphs>
  <TotalTime>15</TotalTime>
  <ScaleCrop>false</ScaleCrop>
  <LinksUpToDate>false</LinksUpToDate>
  <CharactersWithSpaces>39233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2022-02-11T03:14:00Z</dcterms:created>
  <dc:creator>lenovo</dc:creator>
  <cp:lastModifiedBy>Hakuna matata</cp:lastModifiedBy>
  <cp:lastPrinted>2022-02-11T02:45:00Z</cp:lastPrinted>
  <dcterms:modified xsi:type="dcterms:W3CDTF">2022-11-11T07:28:33Z</dcterms:modified>
  <dc:title>达州市达川区“十四五”</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278622185_cloud</vt:lpwstr>
  </property>
  <property fmtid="{D5CDD505-2E9C-101B-9397-08002B2CF9AE}" pid="4" name="ICV">
    <vt:lpwstr>2A5BF702A9194A67A665C99741CC0AD4</vt:lpwstr>
  </property>
</Properties>
</file>