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bookmarkStart w:id="76" w:name="_GoBack"/>
      <w:bookmarkEnd w:id="76"/>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Theme="majorEastAsia" w:hAnsiTheme="majorEastAsia" w:eastAsiaTheme="majorEastAsia"/>
          <w:color w:val="000000"/>
          <w:sz w:val="72"/>
          <w:szCs w:val="72"/>
        </w:rPr>
      </w:pPr>
      <w:bookmarkStart w:id="1" w:name="_Toc15377193"/>
      <w:bookmarkStart w:id="2" w:name="_Toc15378441"/>
      <w:bookmarkStart w:id="3" w:name="_Toc15377425"/>
      <w:bookmarkStart w:id="4" w:name="_Toc15396475"/>
      <w:bookmarkStart w:id="5" w:name="_Toc15396597"/>
      <w:r>
        <w:rPr>
          <w:rFonts w:asciiTheme="majorEastAsia" w:hAnsiTheme="majorEastAsia" w:eastAsiaTheme="majorEastAsia"/>
          <w:color w:val="000000"/>
          <w:sz w:val="72"/>
          <w:szCs w:val="72"/>
        </w:rPr>
        <w:t>201</w:t>
      </w:r>
      <w:r>
        <w:rPr>
          <w:rFonts w:hint="eastAsia" w:asciiTheme="majorEastAsia" w:hAnsiTheme="majorEastAsia" w:eastAsiaTheme="majorEastAsia"/>
          <w:color w:val="000000"/>
          <w:sz w:val="72"/>
          <w:szCs w:val="72"/>
          <w:lang w:val="en-US" w:eastAsia="zh-CN"/>
        </w:rPr>
        <w:t>9</w:t>
      </w:r>
      <w:r>
        <w:rPr>
          <w:rFonts w:hint="eastAsia" w:asciiTheme="majorEastAsia" w:hAnsiTheme="majorEastAsia" w:eastAsiaTheme="majorEastAsia"/>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Theme="majorEastAsia" w:hAnsiTheme="majorEastAsia" w:eastAsiaTheme="majorEastAsia"/>
          <w:color w:val="000000"/>
          <w:sz w:val="72"/>
          <w:szCs w:val="72"/>
        </w:rPr>
      </w:pPr>
      <w:bookmarkStart w:id="6" w:name="_Toc15378442"/>
      <w:bookmarkStart w:id="7" w:name="_Toc15377194"/>
      <w:bookmarkStart w:id="8" w:name="_Toc15396598"/>
      <w:bookmarkStart w:id="9" w:name="_Toc15377426"/>
      <w:bookmarkStart w:id="10" w:name="_Toc15396476"/>
      <w:r>
        <w:rPr>
          <w:rFonts w:hint="eastAsia" w:asciiTheme="majorEastAsia" w:hAnsiTheme="majorEastAsia" w:eastAsiaTheme="majorEastAsia"/>
          <w:color w:val="000000"/>
          <w:sz w:val="72"/>
          <w:szCs w:val="72"/>
        </w:rPr>
        <w:t>四川省</w:t>
      </w:r>
      <w:bookmarkEnd w:id="0"/>
      <w:bookmarkStart w:id="11" w:name="_Toc15306268"/>
      <w:r>
        <w:rPr>
          <w:rFonts w:hint="eastAsia" w:asciiTheme="majorEastAsia" w:hAnsiTheme="majorEastAsia" w:eastAsiaTheme="majorEastAsia"/>
          <w:color w:val="000000"/>
          <w:sz w:val="72"/>
          <w:szCs w:val="72"/>
        </w:rPr>
        <w:t>达州市达川区堡子镇中心卫生院部门决算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hint="eastAsia" w:ascii="方正小标宋简体" w:hAnsi="宋体" w:eastAsia="方正小标宋简体"/>
          <w:color w:val="000000"/>
          <w:sz w:val="72"/>
          <w:szCs w:val="72"/>
        </w:rPr>
        <w:t>编制说明</w:t>
      </w: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w:t>
      </w:r>
      <w:r>
        <w:rPr>
          <w:rFonts w:hint="eastAsia"/>
          <w:lang w:val="en-US" w:eastAsia="zh-CN"/>
        </w:rPr>
        <w:t>20</w:t>
      </w:r>
      <w:r>
        <w:rPr>
          <w:rFonts w:hint="eastAsia"/>
        </w:rPr>
        <w:t>年9月1</w:t>
      </w:r>
      <w:r>
        <w:rPr>
          <w:rFonts w:hint="eastAsia"/>
          <w:lang w:val="en-US" w:eastAsia="zh-CN"/>
        </w:rPr>
        <w:t>1</w:t>
      </w:r>
      <w:r>
        <w:rPr>
          <w:rFonts w:hint="eastAsia"/>
        </w:rPr>
        <w:t>日</w:t>
      </w:r>
    </w:p>
    <w:p/>
    <w:p>
      <w:pPr>
        <w:pStyle w:val="10"/>
        <w:rPr>
          <w:rFonts w:cstheme="minorBidi"/>
        </w:rPr>
      </w:pPr>
      <w:r>
        <w:fldChar w:fldCharType="begin"/>
      </w:r>
      <w:r>
        <w:instrText xml:space="preserve"> HYPERLINK \l "_Toc15396599" </w:instrText>
      </w:r>
      <w:r>
        <w:fldChar w:fldCharType="separate"/>
      </w:r>
      <w:r>
        <w:rPr>
          <w:rStyle w:val="15"/>
          <w:rFonts w:hint="eastAsia"/>
        </w:rPr>
        <w:t>第一部分</w:t>
      </w:r>
      <w:r>
        <w:rPr>
          <w:rStyle w:val="15"/>
        </w:rPr>
        <w:t xml:space="preserve"> </w:t>
      </w:r>
      <w:r>
        <w:rPr>
          <w:rStyle w:val="15"/>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201</w:t>
      </w:r>
      <w:r>
        <w:rPr>
          <w:rStyle w:val="15"/>
          <w:rFonts w:hint="eastAsia"/>
          <w:lang w:val="en-US" w:eastAsia="zh-CN"/>
        </w:rPr>
        <w:t>9</w:t>
      </w:r>
      <w:r>
        <w:rPr>
          <w:rStyle w:val="15"/>
          <w:rFonts w:hint="eastAsia"/>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fldChar w:fldCharType="begin"/>
      </w:r>
      <w:r>
        <w:instrText xml:space="preserve"> PAGEREF _Toc15396613 \h </w:instrText>
      </w:r>
      <w:r>
        <w:fldChar w:fldCharType="separate"/>
      </w:r>
      <w:r>
        <w:t>16</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w:t>
      </w:r>
      <w:r>
        <w:rPr>
          <w:rStyle w:val="15"/>
          <w:bCs/>
          <w:kern w:val="44"/>
        </w:rPr>
        <w:t xml:space="preserve"> </w:t>
      </w:r>
      <w:r>
        <w:rPr>
          <w:rStyle w:val="15"/>
          <w:rFonts w:hint="eastAsia"/>
          <w:bCs/>
          <w:kern w:val="44"/>
        </w:rPr>
        <w:t>附件</w:t>
      </w:r>
      <w:r>
        <w:tab/>
      </w:r>
      <w:r>
        <w:fldChar w:fldCharType="begin"/>
      </w:r>
      <w:r>
        <w:instrText xml:space="preserve"> PAGEREF _Toc15396614 \h </w:instrText>
      </w:r>
      <w:r>
        <w:fldChar w:fldCharType="separate"/>
      </w:r>
      <w:r>
        <w:t>19</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w:t>
      </w:r>
      <w:r>
        <w:rPr>
          <w:rStyle w:val="15"/>
          <w:bCs/>
          <w:kern w:val="44"/>
        </w:rPr>
        <w:t xml:space="preserve"> </w:t>
      </w:r>
      <w:r>
        <w:rPr>
          <w:rStyle w:val="15"/>
          <w:rFonts w:hint="eastAsia"/>
          <w:bCs/>
          <w:kern w:val="44"/>
        </w:rPr>
        <w:t>附表</w:t>
      </w:r>
      <w:r>
        <w:tab/>
      </w:r>
      <w:r>
        <w:fldChar w:fldCharType="begin"/>
      </w:r>
      <w:r>
        <w:instrText xml:space="preserve"> PAGEREF _Toc15396618 \h </w:instrText>
      </w:r>
      <w:r>
        <w:fldChar w:fldCharType="separate"/>
      </w:r>
      <w:r>
        <w:t>22</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96599"/>
      <w:bookmarkStart w:id="13" w:name="_Toc15377196"/>
      <w:r>
        <w:rPr>
          <w:rFonts w:ascii="黑体" w:hAnsi="黑体" w:eastAsia="黑体"/>
          <w:b/>
        </w:rPr>
        <w:br w:type="page"/>
      </w: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pStyle w:val="3"/>
        <w:rPr>
          <w:rStyle w:val="25"/>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spacing w:line="440" w:lineRule="exact"/>
        <w:ind w:firstLine="640" w:firstLineChars="200"/>
        <w:rPr>
          <w:rFonts w:ascii="仿宋_GB2312" w:hAnsi="宋体" w:eastAsia="仿宋_GB2312"/>
          <w:sz w:val="32"/>
          <w:szCs w:val="32"/>
        </w:rPr>
      </w:pPr>
      <w:bookmarkStart w:id="16" w:name="_Toc15378445"/>
      <w:bookmarkStart w:id="17" w:name="_Toc15377198"/>
      <w:r>
        <w:rPr>
          <w:rFonts w:hint="eastAsia" w:ascii="仿宋" w:hAnsi="仿宋" w:eastAsia="仿宋"/>
          <w:bCs/>
          <w:color w:val="000000"/>
          <w:sz w:val="32"/>
          <w:szCs w:val="32"/>
        </w:rPr>
        <w:t>（一）主要职能。</w:t>
      </w:r>
      <w:bookmarkEnd w:id="16"/>
      <w:bookmarkEnd w:id="17"/>
      <w:bookmarkStart w:id="18" w:name="_Toc15377199"/>
      <w:bookmarkStart w:id="19" w:name="_Toc15378446"/>
      <w:r>
        <w:rPr>
          <w:rFonts w:hint="eastAsia" w:ascii="仿宋_GB2312" w:hAnsi="宋体" w:eastAsia="仿宋_GB2312"/>
          <w:sz w:val="32"/>
          <w:szCs w:val="32"/>
        </w:rPr>
        <w:t>在地方政府和卫生行政部门领导下，根据党的方针、政策及市、区卫生局对社区卫生服务工作的总体要求、做好社区卫生服务行政业务工作，积极开展以保护、促进人民健康，不断提高居民生活质量为目的的卫生保健，认真落实各项卫生工作指标。开展以社区为范围，家庭为单位，健康为中心，人的生命为过程的以老年、妇女、儿童和慢性病人为重点的集预防、医疗、保健、康复、健康教育、计划生育指导为一体的综合性社区卫生服务。</w:t>
      </w:r>
    </w:p>
    <w:p>
      <w:pPr>
        <w:pStyle w:val="5"/>
        <w:adjustRightInd w:val="0"/>
        <w:snapToGrid w:val="0"/>
        <w:spacing w:before="93" w:line="600" w:lineRule="exact"/>
        <w:ind w:firstLine="672" w:firstLineChars="210"/>
        <w:rPr>
          <w:bCs/>
          <w:color w:val="000000"/>
          <w:sz w:val="32"/>
          <w:szCs w:val="32"/>
        </w:rPr>
      </w:pPr>
      <w:r>
        <w:rPr>
          <w:rFonts w:hint="eastAsia" w:ascii="仿宋" w:hAnsi="仿宋" w:eastAsia="仿宋"/>
          <w:bCs/>
          <w:color w:val="000000"/>
          <w:sz w:val="32"/>
          <w:szCs w:val="32"/>
        </w:rPr>
        <w:t>（二）</w:t>
      </w:r>
      <w:r>
        <w:rPr>
          <w:rFonts w:hint="eastAsia" w:ascii="仿宋" w:hAnsi="仿宋" w:eastAsia="仿宋"/>
          <w:bCs/>
          <w:color w:val="000000"/>
          <w:sz w:val="32"/>
          <w:szCs w:val="32"/>
          <w:lang w:eastAsia="zh-CN"/>
        </w:rPr>
        <w:t>2019</w:t>
      </w:r>
      <w:r>
        <w:rPr>
          <w:rFonts w:hint="eastAsia" w:ascii="仿宋" w:hAnsi="仿宋" w:eastAsia="仿宋"/>
          <w:bCs/>
          <w:color w:val="000000"/>
          <w:sz w:val="32"/>
          <w:szCs w:val="32"/>
        </w:rPr>
        <w:t>年重点工作完成情况。</w:t>
      </w:r>
      <w:bookmarkEnd w:id="18"/>
      <w:bookmarkEnd w:id="19"/>
      <w:r>
        <w:rPr>
          <w:rFonts w:hint="eastAsia" w:eastAsia="仿宋"/>
          <w:bCs/>
          <w:color w:val="000000"/>
          <w:sz w:val="32"/>
          <w:szCs w:val="32"/>
          <w:lang w:eastAsia="zh-CN"/>
        </w:rPr>
        <w:t>2019</w:t>
      </w:r>
      <w:r>
        <w:rPr>
          <w:rFonts w:hint="eastAsia"/>
          <w:bCs/>
          <w:color w:val="000000"/>
          <w:sz w:val="32"/>
          <w:szCs w:val="32"/>
        </w:rPr>
        <w:t>年在区卫计局和局党组的正确领导下，我院坚持以</w:t>
      </w:r>
      <w:r>
        <w:rPr>
          <w:rFonts w:hint="eastAsia"/>
          <w:bCs/>
          <w:color w:val="000000"/>
          <w:sz w:val="32"/>
          <w:szCs w:val="32"/>
          <w:lang w:eastAsia="zh-CN"/>
        </w:rPr>
        <w:t>党的十九大精神</w:t>
      </w:r>
      <w:r>
        <w:rPr>
          <w:rFonts w:hint="eastAsia"/>
          <w:bCs/>
          <w:color w:val="000000"/>
          <w:sz w:val="32"/>
          <w:szCs w:val="32"/>
        </w:rPr>
        <w:t>为指引，全面贯彻落实科学发展观，深入学习贯彻习近平总书记系列重要讲话精神，以深化医疗卫生体制改革为契机，积极进取，勇于创新，思想稳定，团结一致，按照年初制定的工作计划，扎实开展各项工作，顺利完成本年度业务、综合管理、公共卫生服务、党风廉政建设等工作目标，社会效益不断提高。</w:t>
      </w:r>
    </w:p>
    <w:p>
      <w:pPr>
        <w:pStyle w:val="3"/>
        <w:rPr>
          <w:rStyle w:val="25"/>
          <w:b w:val="0"/>
          <w:bCs w:val="0"/>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0"/>
      <w:bookmarkEnd w:id="21"/>
    </w:p>
    <w:p>
      <w:pPr>
        <w:snapToGrid w:val="0"/>
        <w:spacing w:line="588" w:lineRule="exact"/>
        <w:ind w:firstLine="640" w:firstLineChars="200"/>
        <w:rPr>
          <w:rFonts w:ascii="仿宋_GB2312" w:hAnsi="仿宋" w:eastAsia="仿宋_GB2312"/>
          <w:sz w:val="32"/>
          <w:szCs w:val="32"/>
        </w:rPr>
      </w:pPr>
      <w:bookmarkStart w:id="22" w:name="_Toc15396602"/>
      <w:bookmarkStart w:id="23" w:name="_Toc15377204"/>
      <w:r>
        <w:rPr>
          <w:rFonts w:hint="eastAsia" w:ascii="仿宋_GB2312" w:hAnsi="仿宋" w:eastAsia="仿宋_GB2312"/>
          <w:sz w:val="32"/>
          <w:szCs w:val="32"/>
        </w:rPr>
        <w:t>1、人员情况</w:t>
      </w:r>
    </w:p>
    <w:p>
      <w:pPr>
        <w:snapToGrid w:val="0"/>
        <w:spacing w:line="588"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达川区堡子镇中心卫生院年末实有人数56人，其中事业专技人员42人、事业工勤人员3人、临聘人员11人（其中三支一扶4人）；退休人员21人。</w:t>
      </w:r>
    </w:p>
    <w:p>
      <w:pPr>
        <w:snapToGrid w:val="0"/>
        <w:spacing w:line="588"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．机构人员当年变动情况及原因。</w:t>
      </w:r>
    </w:p>
    <w:p>
      <w:pPr>
        <w:snapToGrid w:val="0"/>
        <w:spacing w:line="588"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2019年我中心属区财政局预算单位。2019年年末实有在职在编人数与上年持平，系2019年公招2人、调入1 人；调离2人、退休1人。</w:t>
      </w:r>
    </w:p>
    <w:p>
      <w:pPr>
        <w:pStyle w:val="2"/>
        <w:ind w:right="440"/>
        <w:jc w:val="right"/>
        <w:rPr>
          <w:rStyle w:val="24"/>
          <w:rFonts w:ascii="黑体" w:hAnsi="黑体" w:eastAsia="黑体"/>
          <w:b w:val="0"/>
          <w:bCs w:val="0"/>
        </w:rPr>
      </w:pPr>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lang w:eastAsia="zh-CN"/>
        </w:rPr>
        <w:t>2019</w:t>
      </w:r>
      <w:r>
        <w:rPr>
          <w:rStyle w:val="24"/>
          <w:rFonts w:hint="eastAsia" w:ascii="黑体" w:hAnsi="黑体" w:eastAsia="黑体"/>
          <w:b w:val="0"/>
          <w:bCs w:val="0"/>
        </w:rPr>
        <w:t>年度部门决算情况说明</w:t>
      </w:r>
      <w:bookmarkEnd w:id="22"/>
      <w:bookmarkEnd w:id="23"/>
    </w:p>
    <w:p/>
    <w:p>
      <w:pPr>
        <w:pStyle w:val="23"/>
        <w:numPr>
          <w:ilvl w:val="0"/>
          <w:numId w:val="1"/>
        </w:numPr>
        <w:spacing w:line="600" w:lineRule="exact"/>
        <w:ind w:firstLineChars="0"/>
        <w:outlineLvl w:val="1"/>
        <w:rPr>
          <w:rStyle w:val="25"/>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4"/>
      <w:bookmarkEnd w:id="25"/>
    </w:p>
    <w:p>
      <w:pPr>
        <w:ind w:firstLine="640" w:firstLineChars="200"/>
        <w:rPr>
          <w:rFonts w:hint="eastAsia" w:ascii="仿宋_GB2312" w:hAnsi="仿宋" w:eastAsia="仿宋_GB2312"/>
          <w:sz w:val="32"/>
          <w:szCs w:val="32"/>
        </w:rPr>
      </w:pPr>
      <w:bookmarkStart w:id="26" w:name="_Toc15377206"/>
      <w:bookmarkStart w:id="27" w:name="_Toc15396604"/>
      <w:r>
        <w:rPr>
          <w:rFonts w:hint="eastAsia" w:ascii="仿宋_GB2312" w:hAnsi="仿宋" w:eastAsia="仿宋_GB2312"/>
          <w:sz w:val="32"/>
          <w:szCs w:val="32"/>
        </w:rPr>
        <w:t>2019年财政预算收入574.13万元，事业收入352.34万元，其他收入0.0万元，2018年财政预算收入</w:t>
      </w:r>
      <w:r>
        <w:rPr>
          <w:rFonts w:hint="eastAsia" w:ascii="仿宋_GB2312" w:hAnsi="仿宋" w:eastAsia="仿宋_GB2312"/>
          <w:sz w:val="32"/>
          <w:szCs w:val="32"/>
          <w:lang w:val="en-US" w:eastAsia="zh-CN"/>
        </w:rPr>
        <w:t>507.66</w:t>
      </w:r>
      <w:r>
        <w:rPr>
          <w:rFonts w:hint="eastAsia" w:ascii="仿宋_GB2312" w:hAnsi="仿宋" w:eastAsia="仿宋_GB2312"/>
          <w:sz w:val="32"/>
          <w:szCs w:val="32"/>
        </w:rPr>
        <w:t>万元，事业收入</w:t>
      </w:r>
      <w:r>
        <w:rPr>
          <w:rFonts w:hint="eastAsia" w:ascii="仿宋_GB2312" w:hAnsi="仿宋" w:eastAsia="仿宋_GB2312"/>
          <w:sz w:val="32"/>
          <w:szCs w:val="32"/>
          <w:lang w:val="en-US" w:eastAsia="zh-CN"/>
        </w:rPr>
        <w:t>206.07</w:t>
      </w:r>
      <w:r>
        <w:rPr>
          <w:rFonts w:hint="eastAsia" w:ascii="仿宋_GB2312" w:hAnsi="仿宋" w:eastAsia="仿宋_GB2312"/>
          <w:sz w:val="32"/>
          <w:szCs w:val="32"/>
        </w:rPr>
        <w:t>万元，同期相比</w:t>
      </w:r>
      <w:r>
        <w:rPr>
          <w:rFonts w:hint="eastAsia" w:ascii="仿宋_GB2312" w:hAnsi="仿宋" w:eastAsia="仿宋_GB2312"/>
          <w:sz w:val="32"/>
          <w:szCs w:val="32"/>
          <w:lang w:eastAsia="zh-CN"/>
        </w:rPr>
        <w:t>：</w:t>
      </w:r>
      <w:r>
        <w:rPr>
          <w:rFonts w:hint="eastAsia" w:ascii="仿宋_GB2312" w:hAnsi="仿宋" w:eastAsia="仿宋_GB2312"/>
          <w:sz w:val="32"/>
          <w:szCs w:val="32"/>
        </w:rPr>
        <w:t>财政预算收入增加</w:t>
      </w:r>
      <w:r>
        <w:rPr>
          <w:rFonts w:hint="eastAsia" w:ascii="仿宋_GB2312" w:hAnsi="仿宋" w:eastAsia="仿宋_GB2312"/>
          <w:sz w:val="32"/>
          <w:szCs w:val="32"/>
          <w:lang w:val="en-US" w:eastAsia="zh-CN"/>
        </w:rPr>
        <w:t>66.47</w:t>
      </w:r>
      <w:r>
        <w:rPr>
          <w:rFonts w:hint="eastAsia" w:ascii="仿宋_GB2312" w:hAnsi="仿宋" w:eastAsia="仿宋_GB2312"/>
          <w:sz w:val="32"/>
          <w:szCs w:val="32"/>
        </w:rPr>
        <w:t>万元，事业收入增加146.26万元；收入增加主要是由于业务收入增加和财政补助收入增加。</w:t>
      </w:r>
    </w:p>
    <w:p>
      <w:pPr>
        <w:snapToGrid w:val="0"/>
        <w:spacing w:line="520" w:lineRule="exact"/>
        <w:ind w:firstLine="643" w:firstLineChars="200"/>
        <w:rPr>
          <w:rFonts w:hint="eastAsia" w:ascii="楷体_GB2312" w:hAnsi="仿宋" w:eastAsia="楷体_GB2312"/>
          <w:b/>
          <w:sz w:val="32"/>
          <w:szCs w:val="32"/>
        </w:rPr>
      </w:pPr>
    </w:p>
    <w:p>
      <w:pPr>
        <w:snapToGrid w:val="0"/>
        <w:spacing w:line="520" w:lineRule="exact"/>
        <w:ind w:firstLine="420" w:firstLineChars="200"/>
        <w:rPr>
          <w:rFonts w:hint="eastAsia" w:ascii="楷体_GB2312" w:hAnsi="仿宋" w:eastAsia="楷体_GB2312"/>
          <w:b/>
          <w:sz w:val="32"/>
          <w:szCs w:val="32"/>
        </w:rPr>
      </w:pPr>
      <w:r>
        <w:drawing>
          <wp:anchor distT="0" distB="0" distL="114300" distR="114300" simplePos="0" relativeHeight="251659264" behindDoc="0" locked="0" layoutInCell="1" allowOverlap="1">
            <wp:simplePos x="0" y="0"/>
            <wp:positionH relativeFrom="column">
              <wp:posOffset>-557530</wp:posOffset>
            </wp:positionH>
            <wp:positionV relativeFrom="paragraph">
              <wp:posOffset>1270</wp:posOffset>
            </wp:positionV>
            <wp:extent cx="5662295" cy="3342640"/>
            <wp:effectExtent l="4445" t="4445" r="10160" b="571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napToGrid w:val="0"/>
        <w:spacing w:line="520" w:lineRule="exact"/>
        <w:ind w:firstLine="643" w:firstLineChars="200"/>
        <w:rPr>
          <w:rFonts w:hint="eastAsia" w:ascii="楷体_GB2312" w:hAnsi="仿宋" w:eastAsia="楷体_GB2312"/>
          <w:b/>
          <w:sz w:val="32"/>
          <w:szCs w:val="32"/>
        </w:rPr>
      </w:pPr>
    </w:p>
    <w:p>
      <w:pPr>
        <w:snapToGrid w:val="0"/>
        <w:spacing w:line="520" w:lineRule="exact"/>
        <w:ind w:firstLine="643" w:firstLineChars="200"/>
        <w:rPr>
          <w:rFonts w:hint="eastAsia" w:ascii="楷体_GB2312" w:hAnsi="仿宋" w:eastAsia="楷体_GB2312"/>
          <w:b/>
          <w:sz w:val="32"/>
          <w:szCs w:val="32"/>
        </w:rPr>
      </w:pPr>
    </w:p>
    <w:p>
      <w:pPr>
        <w:snapToGrid w:val="0"/>
        <w:spacing w:line="520" w:lineRule="exact"/>
        <w:ind w:firstLine="643" w:firstLineChars="200"/>
        <w:rPr>
          <w:rFonts w:hint="eastAsia" w:ascii="楷体_GB2312" w:hAnsi="仿宋" w:eastAsia="楷体_GB2312"/>
          <w:b/>
          <w:sz w:val="32"/>
          <w:szCs w:val="32"/>
        </w:rPr>
      </w:pPr>
    </w:p>
    <w:p>
      <w:pPr>
        <w:snapToGrid w:val="0"/>
        <w:spacing w:line="520" w:lineRule="exact"/>
        <w:ind w:firstLine="643" w:firstLineChars="200"/>
        <w:rPr>
          <w:rFonts w:hint="eastAsia" w:ascii="楷体_GB2312" w:hAnsi="仿宋" w:eastAsia="楷体_GB2312"/>
          <w:b/>
          <w:sz w:val="32"/>
          <w:szCs w:val="32"/>
        </w:rPr>
      </w:pPr>
    </w:p>
    <w:p>
      <w:pPr>
        <w:snapToGrid w:val="0"/>
        <w:spacing w:line="520" w:lineRule="exact"/>
        <w:ind w:firstLine="643" w:firstLineChars="200"/>
        <w:rPr>
          <w:rFonts w:hint="eastAsia" w:ascii="楷体_GB2312" w:hAnsi="仿宋" w:eastAsia="楷体_GB2312"/>
          <w:b/>
          <w:sz w:val="32"/>
          <w:szCs w:val="32"/>
        </w:rPr>
      </w:pPr>
    </w:p>
    <w:p>
      <w:pPr>
        <w:snapToGrid w:val="0"/>
        <w:spacing w:line="520" w:lineRule="exact"/>
        <w:ind w:firstLine="643" w:firstLineChars="200"/>
        <w:rPr>
          <w:rFonts w:hint="eastAsia" w:ascii="楷体_GB2312" w:hAnsi="仿宋" w:eastAsia="楷体_GB2312"/>
          <w:b/>
          <w:sz w:val="32"/>
          <w:szCs w:val="32"/>
        </w:rPr>
      </w:pPr>
    </w:p>
    <w:p>
      <w:pPr>
        <w:snapToGrid w:val="0"/>
        <w:spacing w:line="520" w:lineRule="exact"/>
        <w:ind w:firstLine="643" w:firstLineChars="200"/>
        <w:rPr>
          <w:rFonts w:hint="eastAsia" w:ascii="楷体_GB2312" w:hAnsi="仿宋" w:eastAsia="楷体_GB2312"/>
          <w:b/>
          <w:sz w:val="32"/>
          <w:szCs w:val="32"/>
        </w:rPr>
      </w:pPr>
    </w:p>
    <w:p>
      <w:pPr>
        <w:snapToGrid w:val="0"/>
        <w:spacing w:line="520" w:lineRule="exact"/>
        <w:ind w:firstLine="643" w:firstLineChars="200"/>
        <w:rPr>
          <w:rFonts w:hint="eastAsia" w:ascii="楷体_GB2312" w:hAnsi="仿宋" w:eastAsia="楷体_GB2312"/>
          <w:b/>
          <w:sz w:val="32"/>
          <w:szCs w:val="32"/>
        </w:rPr>
      </w:pPr>
    </w:p>
    <w:p>
      <w:pPr>
        <w:snapToGrid w:val="0"/>
        <w:spacing w:line="520" w:lineRule="exact"/>
        <w:rPr>
          <w:rFonts w:hint="eastAsia" w:ascii="楷体_GB2312" w:hAnsi="仿宋" w:eastAsia="楷体_GB2312"/>
          <w:b/>
          <w:sz w:val="32"/>
          <w:szCs w:val="32"/>
        </w:rPr>
      </w:pPr>
    </w:p>
    <w:p>
      <w:pPr>
        <w:pStyle w:val="23"/>
        <w:numPr>
          <w:ilvl w:val="0"/>
          <w:numId w:val="1"/>
        </w:numPr>
        <w:spacing w:line="600" w:lineRule="exact"/>
        <w:ind w:firstLineChars="0"/>
        <w:outlineLvl w:val="1"/>
        <w:rPr>
          <w:rStyle w:val="25"/>
          <w:rFonts w:ascii="黑体" w:hAnsi="黑体" w:eastAsia="黑体"/>
          <w:b w:val="0"/>
        </w:rPr>
      </w:pPr>
      <w:r>
        <w:rPr>
          <w:rFonts w:hint="eastAsia" w:ascii="黑体" w:hAnsi="黑体" w:eastAsia="黑体"/>
          <w:color w:val="000000"/>
          <w:sz w:val="32"/>
          <w:szCs w:val="32"/>
        </w:rPr>
        <w:t>收</w:t>
      </w:r>
      <w:r>
        <w:rPr>
          <w:rStyle w:val="25"/>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hint="eastAsia" w:ascii="仿宋" w:hAnsi="仿宋" w:eastAsia="仿宋"/>
          <w:color w:val="000000"/>
          <w:sz w:val="32"/>
          <w:szCs w:val="32"/>
          <w:lang w:eastAsia="zh-CN"/>
        </w:rPr>
        <w:t>2019</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926.47</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eastAsia="zh-CN"/>
        </w:rPr>
        <w:t>574.13</w:t>
      </w:r>
      <w:r>
        <w:rPr>
          <w:rFonts w:hint="eastAsia" w:ascii="仿宋" w:hAnsi="仿宋" w:eastAsia="仿宋"/>
          <w:color w:val="000000"/>
          <w:sz w:val="32"/>
          <w:szCs w:val="32"/>
        </w:rPr>
        <w:t>万元，占71</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_GB2312" w:hAnsi="仿宋" w:eastAsia="仿宋_GB2312"/>
          <w:sz w:val="32"/>
          <w:szCs w:val="32"/>
          <w:lang w:eastAsia="zh-CN"/>
        </w:rPr>
        <w:t>352.34</w:t>
      </w:r>
      <w:r>
        <w:rPr>
          <w:rFonts w:hint="eastAsia" w:ascii="仿宋" w:hAnsi="仿宋" w:eastAsia="仿宋"/>
          <w:color w:val="000000"/>
          <w:sz w:val="32"/>
          <w:szCs w:val="32"/>
        </w:rPr>
        <w:t>万元，占29</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420" w:firstLineChars="200"/>
        <w:outlineLvl w:val="1"/>
        <w:rPr>
          <w:rFonts w:ascii="仿宋" w:hAnsi="仿宋" w:eastAsia="仿宋"/>
          <w:color w:val="000000"/>
          <w:sz w:val="32"/>
          <w:szCs w:val="32"/>
        </w:rPr>
      </w:pPr>
      <w:r>
        <w:drawing>
          <wp:anchor distT="0" distB="0" distL="114300" distR="114300" simplePos="0" relativeHeight="251660288" behindDoc="1" locked="0" layoutInCell="1" allowOverlap="1">
            <wp:simplePos x="0" y="0"/>
            <wp:positionH relativeFrom="column">
              <wp:posOffset>233045</wp:posOffset>
            </wp:positionH>
            <wp:positionV relativeFrom="paragraph">
              <wp:posOffset>137795</wp:posOffset>
            </wp:positionV>
            <wp:extent cx="4572000" cy="2743200"/>
            <wp:effectExtent l="4445" t="4445" r="14605" b="71755"/>
            <wp:wrapTight wrapText="bothSides">
              <wp:wrapPolygon>
                <wp:start x="-21" y="-35"/>
                <wp:lineTo x="-21" y="21865"/>
                <wp:lineTo x="21579" y="21865"/>
                <wp:lineTo x="21579" y="-35"/>
                <wp:lineTo x="-21" y="-35"/>
              </wp:wrapPolygon>
            </wp:wrapTight>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pStyle w:val="23"/>
        <w:numPr>
          <w:ilvl w:val="0"/>
          <w:numId w:val="1"/>
        </w:numPr>
        <w:spacing w:line="600" w:lineRule="exact"/>
        <w:ind w:firstLineChars="0"/>
        <w:outlineLvl w:val="1"/>
        <w:rPr>
          <w:rStyle w:val="25"/>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25"/>
          <w:rFonts w:hint="eastAsia" w:ascii="黑体" w:hAnsi="黑体" w:eastAsia="黑体"/>
          <w:b w:val="0"/>
        </w:rPr>
        <w:t>出决算情况说明</w:t>
      </w:r>
      <w:bookmarkEnd w:id="28"/>
      <w:bookmarkEnd w:id="29"/>
    </w:p>
    <w:p>
      <w:pPr>
        <w:spacing w:line="600" w:lineRule="exact"/>
        <w:ind w:firstLine="640"/>
        <w:rPr>
          <w:rFonts w:ascii="仿宋" w:hAnsi="仿宋" w:eastAsia="仿宋"/>
          <w:color w:val="000000"/>
          <w:sz w:val="32"/>
          <w:szCs w:val="32"/>
          <w:shd w:val="pct10" w:color="auto" w:fill="FFFFFF"/>
        </w:rPr>
      </w:pPr>
      <w:r>
        <w:rPr>
          <w:rFonts w:hint="eastAsia" w:ascii="仿宋" w:hAnsi="仿宋" w:eastAsia="仿宋"/>
          <w:color w:val="000000"/>
          <w:sz w:val="32"/>
          <w:szCs w:val="32"/>
          <w:lang w:eastAsia="zh-CN"/>
        </w:rPr>
        <w:t>2019</w:t>
      </w:r>
      <w:r>
        <w:rPr>
          <w:rFonts w:hint="eastAsia" w:ascii="仿宋" w:hAnsi="仿宋" w:eastAsia="仿宋"/>
          <w:color w:val="000000"/>
          <w:sz w:val="32"/>
          <w:szCs w:val="32"/>
        </w:rPr>
        <w:t>年本年支出合计</w:t>
      </w:r>
      <w:r>
        <w:rPr>
          <w:rFonts w:hint="eastAsia" w:ascii="仿宋_GB2312" w:hAnsi="仿宋" w:eastAsia="仿宋_GB2312"/>
          <w:sz w:val="32"/>
          <w:szCs w:val="32"/>
          <w:lang w:val="en-US" w:eastAsia="zh-CN"/>
        </w:rPr>
        <w:t>817.65</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679.29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83</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138.36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17</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420" w:firstLineChars="200"/>
        <w:rPr>
          <w:rFonts w:ascii="仿宋" w:hAnsi="仿宋" w:eastAsia="仿宋"/>
          <w:color w:val="000000" w:themeColor="text1"/>
          <w:sz w:val="32"/>
          <w:szCs w:val="32"/>
          <w14:textFill>
            <w14:solidFill>
              <w14:schemeClr w14:val="tx1"/>
            </w14:solidFill>
          </w14:textFill>
        </w:rPr>
      </w:pPr>
      <w:r>
        <w:drawing>
          <wp:anchor distT="0" distB="0" distL="114300" distR="114300" simplePos="0" relativeHeight="251661312" behindDoc="1" locked="0" layoutInCell="1" allowOverlap="1">
            <wp:simplePos x="0" y="0"/>
            <wp:positionH relativeFrom="column">
              <wp:posOffset>352425</wp:posOffset>
            </wp:positionH>
            <wp:positionV relativeFrom="paragraph">
              <wp:posOffset>89535</wp:posOffset>
            </wp:positionV>
            <wp:extent cx="4572000" cy="2743200"/>
            <wp:effectExtent l="0" t="0" r="0" b="57150"/>
            <wp:wrapTight wrapText="bothSides">
              <wp:wrapPolygon>
                <wp:start x="0" y="0"/>
                <wp:lineTo x="0" y="21150"/>
                <wp:lineTo x="180" y="21750"/>
                <wp:lineTo x="21510" y="21750"/>
                <wp:lineTo x="21510" y="150"/>
                <wp:lineTo x="21420" y="0"/>
                <wp:lineTo x="0" y="0"/>
              </wp:wrapPolygon>
            </wp:wrapTight>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rPr>
          <w:rFonts w:ascii="仿宋_GB2312" w:eastAsia="仿宋_GB2312"/>
          <w:color w:val="FF0000"/>
          <w:sz w:val="32"/>
          <w:szCs w:val="32"/>
        </w:rPr>
      </w:pPr>
    </w:p>
    <w:p>
      <w:pPr>
        <w:spacing w:line="600" w:lineRule="exact"/>
        <w:ind w:firstLine="640" w:firstLineChars="200"/>
        <w:outlineLvl w:val="1"/>
        <w:rPr>
          <w:rStyle w:val="25"/>
          <w:rFonts w:ascii="黑体" w:hAnsi="黑体" w:eastAsia="黑体"/>
          <w:b w:val="0"/>
        </w:rPr>
      </w:pPr>
      <w:bookmarkStart w:id="30" w:name="_Toc15396606"/>
      <w:bookmarkStart w:id="31" w:name="_Toc15377208"/>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0"/>
      <w:bookmarkEnd w:id="31"/>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lang w:eastAsia="zh-CN"/>
        </w:rPr>
        <w:t>2019</w:t>
      </w:r>
      <w:r>
        <w:rPr>
          <w:rFonts w:hint="eastAsia" w:ascii="仿宋" w:hAnsi="仿宋" w:eastAsia="仿宋"/>
          <w:color w:val="000000"/>
          <w:sz w:val="32"/>
          <w:szCs w:val="32"/>
        </w:rPr>
        <w:t>年财政拨款收入</w:t>
      </w:r>
      <w:r>
        <w:rPr>
          <w:rFonts w:hint="eastAsia" w:ascii="仿宋" w:hAnsi="仿宋" w:eastAsia="仿宋"/>
          <w:color w:val="000000"/>
          <w:sz w:val="32"/>
          <w:szCs w:val="32"/>
          <w:lang w:eastAsia="zh-CN"/>
        </w:rPr>
        <w:t>574.13</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rPr>
        <w:t>与</w:t>
      </w:r>
      <w:r>
        <w:rPr>
          <w:rFonts w:hint="eastAsia" w:ascii="仿宋" w:hAnsi="仿宋" w:eastAsia="仿宋"/>
          <w:color w:val="000000"/>
          <w:sz w:val="32"/>
          <w:szCs w:val="32"/>
          <w:lang w:eastAsia="zh-CN"/>
        </w:rPr>
        <w:t>2018</w:t>
      </w:r>
      <w:r>
        <w:rPr>
          <w:rFonts w:hint="eastAsia" w:ascii="仿宋" w:hAnsi="仿宋" w:eastAsia="仿宋"/>
          <w:color w:val="000000"/>
          <w:sz w:val="32"/>
          <w:szCs w:val="32"/>
        </w:rPr>
        <w:t>年财政拨款收入</w:t>
      </w:r>
      <w:r>
        <w:rPr>
          <w:rFonts w:hint="eastAsia" w:ascii="仿宋_GB2312" w:eastAsia="仿宋_GB2312"/>
          <w:color w:val="000000"/>
          <w:sz w:val="32"/>
          <w:szCs w:val="32"/>
          <w:lang w:val="en-US" w:eastAsia="zh-CN"/>
        </w:rPr>
        <w:t>507.66</w:t>
      </w:r>
      <w:r>
        <w:rPr>
          <w:rFonts w:hint="eastAsia" w:ascii="仿宋" w:hAnsi="仿宋" w:eastAsia="仿宋"/>
          <w:color w:val="000000"/>
          <w:sz w:val="32"/>
          <w:szCs w:val="32"/>
        </w:rPr>
        <w:t>万元年相比，财政拨款收入增加</w:t>
      </w:r>
      <w:r>
        <w:rPr>
          <w:rFonts w:hint="eastAsia" w:ascii="仿宋" w:hAnsi="仿宋" w:eastAsia="仿宋"/>
          <w:color w:val="000000"/>
          <w:sz w:val="32"/>
          <w:szCs w:val="32"/>
          <w:lang w:val="en-US" w:eastAsia="zh-CN"/>
        </w:rPr>
        <w:t>66.47</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13</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sz w:val="32"/>
          <w:szCs w:val="32"/>
          <w:lang w:eastAsia="zh-CN"/>
        </w:rPr>
        <w:t>2019</w:t>
      </w:r>
      <w:r>
        <w:rPr>
          <w:rFonts w:hint="eastAsia" w:ascii="仿宋" w:hAnsi="仿宋" w:eastAsia="仿宋"/>
          <w:color w:val="000000"/>
          <w:sz w:val="32"/>
          <w:szCs w:val="32"/>
        </w:rPr>
        <w:t>年财政拨款支出</w:t>
      </w:r>
      <w:r>
        <w:rPr>
          <w:rFonts w:hint="eastAsia" w:ascii="仿宋" w:hAnsi="仿宋" w:eastAsia="仿宋"/>
          <w:color w:val="000000"/>
          <w:sz w:val="32"/>
          <w:szCs w:val="32"/>
          <w:lang w:val="en-US" w:eastAsia="zh-CN"/>
        </w:rPr>
        <w:t>465.31</w:t>
      </w:r>
      <w:r>
        <w:rPr>
          <w:rFonts w:hint="eastAsia" w:ascii="仿宋" w:hAnsi="仿宋" w:eastAsia="仿宋"/>
          <w:color w:val="000000"/>
          <w:sz w:val="32"/>
          <w:szCs w:val="32"/>
        </w:rPr>
        <w:t>万元，与</w:t>
      </w:r>
      <w:r>
        <w:rPr>
          <w:rFonts w:hint="eastAsia" w:ascii="仿宋" w:hAnsi="仿宋" w:eastAsia="仿宋"/>
          <w:color w:val="000000"/>
          <w:sz w:val="32"/>
          <w:szCs w:val="32"/>
          <w:lang w:eastAsia="zh-CN"/>
        </w:rPr>
        <w:t>2018</w:t>
      </w:r>
      <w:r>
        <w:rPr>
          <w:rFonts w:hint="eastAsia" w:ascii="仿宋" w:hAnsi="仿宋" w:eastAsia="仿宋"/>
          <w:color w:val="000000"/>
          <w:sz w:val="32"/>
          <w:szCs w:val="32"/>
        </w:rPr>
        <w:t>年财政拨款支出</w:t>
      </w:r>
      <w:r>
        <w:rPr>
          <w:rFonts w:hint="eastAsia" w:ascii="仿宋" w:hAnsi="仿宋" w:eastAsia="仿宋"/>
          <w:color w:val="000000"/>
          <w:sz w:val="32"/>
          <w:szCs w:val="32"/>
          <w:lang w:val="en-US" w:eastAsia="zh-CN"/>
        </w:rPr>
        <w:t>442.98万元，增加22.33</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增加了5</w:t>
      </w:r>
      <w:r>
        <w:rPr>
          <w:rFonts w:ascii="仿宋" w:hAnsi="仿宋" w:eastAsia="仿宋"/>
          <w:color w:val="000000"/>
          <w:sz w:val="32"/>
          <w:szCs w:val="32"/>
        </w:rPr>
        <w:t>%</w:t>
      </w:r>
      <w:r>
        <w:rPr>
          <w:rFonts w:hint="eastAsia" w:ascii="仿宋" w:hAnsi="仿宋" w:eastAsia="仿宋"/>
          <w:color w:val="000000"/>
          <w:sz w:val="32"/>
          <w:szCs w:val="32"/>
        </w:rPr>
        <w:t>。主要变动原因是财政补助增加，人员工资增加，支出</w:t>
      </w:r>
      <w:r>
        <w:rPr>
          <w:rFonts w:hint="eastAsia" w:ascii="仿宋" w:hAnsi="仿宋" w:eastAsia="仿宋"/>
          <w:color w:val="000000"/>
          <w:sz w:val="32"/>
          <w:szCs w:val="32"/>
          <w:lang w:val="en-US" w:eastAsia="zh-CN"/>
        </w:rPr>
        <w:t>相应增加</w:t>
      </w:r>
      <w:r>
        <w:rPr>
          <w:rFonts w:hint="eastAsia" w:ascii="仿宋" w:hAnsi="仿宋" w:eastAsia="仿宋"/>
          <w:color w:val="000000"/>
          <w:sz w:val="32"/>
          <w:szCs w:val="32"/>
        </w:rPr>
        <w:t>所致。</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420" w:firstLineChars="200"/>
        <w:rPr>
          <w:rFonts w:ascii="仿宋" w:hAnsi="仿宋" w:eastAsia="仿宋"/>
          <w:color w:val="000000" w:themeColor="text1"/>
          <w:sz w:val="32"/>
          <w:szCs w:val="32"/>
          <w14:textFill>
            <w14:solidFill>
              <w14:schemeClr w14:val="tx1"/>
            </w14:solidFill>
          </w14:textFill>
        </w:rPr>
      </w:pPr>
      <w:r>
        <w:drawing>
          <wp:anchor distT="0" distB="0" distL="114300" distR="114300" simplePos="0" relativeHeight="251662336" behindDoc="1" locked="0" layoutInCell="1" allowOverlap="1">
            <wp:simplePos x="0" y="0"/>
            <wp:positionH relativeFrom="column">
              <wp:posOffset>147320</wp:posOffset>
            </wp:positionH>
            <wp:positionV relativeFrom="paragraph">
              <wp:posOffset>42545</wp:posOffset>
            </wp:positionV>
            <wp:extent cx="4829810" cy="3220085"/>
            <wp:effectExtent l="4445" t="4445" r="61595" b="71120"/>
            <wp:wrapTight wrapText="bothSides">
              <wp:wrapPolygon>
                <wp:start x="-20" y="-30"/>
                <wp:lineTo x="-20" y="21566"/>
                <wp:lineTo x="21535" y="21566"/>
                <wp:lineTo x="21535" y="-30"/>
                <wp:lineTo x="-20" y="-30"/>
              </wp:wrapPolygon>
            </wp:wrapTight>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rPr>
          <w:rFonts w:ascii="仿宋" w:hAnsi="仿宋" w:eastAsia="仿宋"/>
          <w:b/>
          <w:color w:val="00B050"/>
          <w:sz w:val="32"/>
          <w:szCs w:val="32"/>
        </w:rPr>
      </w:pPr>
    </w:p>
    <w:p>
      <w:pPr>
        <w:spacing w:line="600" w:lineRule="exact"/>
        <w:ind w:firstLine="640" w:firstLineChars="200"/>
        <w:outlineLvl w:val="1"/>
        <w:rPr>
          <w:rStyle w:val="25"/>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sz w:val="32"/>
          <w:szCs w:val="32"/>
          <w:lang w:eastAsia="zh-CN"/>
        </w:rPr>
        <w:t>2019</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465.31</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57</w:t>
      </w:r>
      <w:r>
        <w:rPr>
          <w:rFonts w:ascii="仿宋" w:hAnsi="仿宋" w:eastAsia="仿宋"/>
          <w:color w:val="000000"/>
          <w:sz w:val="32"/>
          <w:szCs w:val="32"/>
        </w:rPr>
        <w:t>%</w:t>
      </w:r>
      <w:r>
        <w:rPr>
          <w:rFonts w:hint="eastAsia" w:ascii="仿宋" w:hAnsi="仿宋" w:eastAsia="仿宋"/>
          <w:color w:val="000000"/>
          <w:sz w:val="32"/>
          <w:szCs w:val="32"/>
        </w:rPr>
        <w:t>。与</w:t>
      </w:r>
      <w:r>
        <w:rPr>
          <w:rFonts w:hint="eastAsia" w:ascii="仿宋" w:hAnsi="仿宋" w:eastAsia="仿宋"/>
          <w:color w:val="000000"/>
          <w:sz w:val="32"/>
          <w:szCs w:val="32"/>
          <w:lang w:eastAsia="zh-CN"/>
        </w:rPr>
        <w:t>2018</w:t>
      </w:r>
      <w:r>
        <w:rPr>
          <w:rFonts w:hint="eastAsia" w:ascii="仿宋" w:hAnsi="仿宋" w:eastAsia="仿宋"/>
          <w:color w:val="000000"/>
          <w:sz w:val="32"/>
          <w:szCs w:val="32"/>
        </w:rPr>
        <w:t>年相比，一般公共预算财政拨款</w:t>
      </w:r>
      <w:r>
        <w:rPr>
          <w:rFonts w:hint="eastAsia" w:ascii="仿宋" w:hAnsi="仿宋" w:eastAsia="仿宋"/>
          <w:color w:val="000000"/>
          <w:sz w:val="32"/>
          <w:szCs w:val="32"/>
          <w:lang w:val="en-US" w:eastAsia="zh-CN"/>
        </w:rPr>
        <w:t>支出增加22.33</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增加了5</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人员支出</w:t>
      </w:r>
      <w:r>
        <w:rPr>
          <w:rFonts w:hint="eastAsia" w:ascii="仿宋" w:hAnsi="仿宋" w:eastAsia="仿宋"/>
          <w:color w:val="000000"/>
          <w:sz w:val="32"/>
          <w:szCs w:val="32"/>
        </w:rPr>
        <w:t>增加。</w:t>
      </w:r>
    </w:p>
    <w:p>
      <w:pPr>
        <w:spacing w:line="600" w:lineRule="exact"/>
        <w:ind w:firstLine="420" w:firstLineChars="200"/>
        <w:rPr>
          <w:rFonts w:ascii="仿宋" w:hAnsi="仿宋" w:eastAsia="仿宋"/>
          <w:color w:val="000000" w:themeColor="text1"/>
          <w:sz w:val="32"/>
          <w:szCs w:val="32"/>
          <w14:textFill>
            <w14:solidFill>
              <w14:schemeClr w14:val="tx1"/>
            </w14:solidFill>
          </w14:textFill>
        </w:rPr>
      </w:pPr>
      <w:r>
        <w:drawing>
          <wp:anchor distT="0" distB="0" distL="114300" distR="114300" simplePos="0" relativeHeight="251663360" behindDoc="1" locked="0" layoutInCell="1" allowOverlap="1">
            <wp:simplePos x="0" y="0"/>
            <wp:positionH relativeFrom="column">
              <wp:posOffset>147320</wp:posOffset>
            </wp:positionH>
            <wp:positionV relativeFrom="paragraph">
              <wp:posOffset>147955</wp:posOffset>
            </wp:positionV>
            <wp:extent cx="4857115" cy="2609215"/>
            <wp:effectExtent l="4445" t="4445" r="15240" b="53340"/>
            <wp:wrapTight wrapText="bothSides">
              <wp:wrapPolygon>
                <wp:start x="-20" y="-37"/>
                <wp:lineTo x="-20" y="21411"/>
                <wp:lineTo x="21498" y="21411"/>
                <wp:lineTo x="21498" y="-37"/>
                <wp:lineTo x="-20" y="-37"/>
              </wp:wrapPolygon>
            </wp:wrapTight>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rPr>
          <w:rFonts w:ascii="仿宋" w:hAnsi="仿宋" w:eastAsia="仿宋"/>
          <w:color w:val="000000" w:themeColor="text1"/>
          <w:sz w:val="32"/>
          <w:szCs w:val="32"/>
          <w14:textFill>
            <w14:solidFill>
              <w14:schemeClr w14:val="tx1"/>
            </w14:solidFill>
          </w14:textFill>
        </w:rPr>
      </w:pP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sz w:val="32"/>
          <w:szCs w:val="32"/>
          <w:lang w:eastAsia="zh-CN"/>
        </w:rPr>
        <w:t>2019</w:t>
      </w:r>
      <w:r>
        <w:rPr>
          <w:rFonts w:hint="eastAsia" w:ascii="仿宋" w:hAnsi="仿宋" w:eastAsia="仿宋"/>
          <w:color w:val="000000"/>
          <w:sz w:val="32"/>
          <w:szCs w:val="32"/>
        </w:rPr>
        <w:t>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themeColor="text1"/>
          <w:sz w:val="32"/>
          <w:szCs w:val="32"/>
          <w:lang w:val="en-US" w:eastAsia="zh-CN"/>
          <w14:textFill>
            <w14:solidFill>
              <w14:schemeClr w14:val="tx1"/>
            </w14:solidFill>
          </w14:textFill>
        </w:rPr>
        <w:t>465.32</w:t>
      </w:r>
      <w:r>
        <w:rPr>
          <w:rFonts w:hint="eastAsia" w:ascii="仿宋" w:hAnsi="仿宋" w:eastAsia="仿宋"/>
          <w:color w:val="000000" w:themeColor="text1"/>
          <w:sz w:val="32"/>
          <w:szCs w:val="32"/>
          <w14:textFill>
            <w14:solidFill>
              <w14:schemeClr w14:val="tx1"/>
            </w14:solidFill>
          </w14:textFill>
        </w:rPr>
        <w:t>万元，主要用于以下方面</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53.07</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12</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；医疗卫生支出</w:t>
      </w:r>
      <w:r>
        <w:rPr>
          <w:rFonts w:hint="eastAsia" w:ascii="仿宋" w:hAnsi="仿宋" w:eastAsia="仿宋"/>
          <w:color w:val="000000" w:themeColor="text1"/>
          <w:sz w:val="32"/>
          <w:szCs w:val="32"/>
          <w:lang w:val="en-US" w:eastAsia="zh-CN"/>
          <w14:textFill>
            <w14:solidFill>
              <w14:schemeClr w14:val="tx1"/>
            </w14:solidFill>
          </w14:textFill>
        </w:rPr>
        <w:t>383.26</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82</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28.98</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12</w:t>
      </w:r>
      <w:r>
        <w:rPr>
          <w:rFonts w:ascii="仿宋" w:hAnsi="仿宋" w:eastAsia="仿宋"/>
          <w:color w:val="000000" w:themeColor="text1"/>
          <w:sz w:val="32"/>
          <w:szCs w:val="32"/>
          <w14:textFill>
            <w14:solidFill>
              <w14:schemeClr w14:val="tx1"/>
            </w14:solidFill>
          </w14:textFill>
        </w:rPr>
        <w:t>%</w:t>
      </w:r>
    </w:p>
    <w:p>
      <w:pPr>
        <w:spacing w:line="600" w:lineRule="exact"/>
        <w:ind w:firstLine="640"/>
        <w:rPr>
          <w:rFonts w:ascii="仿宋" w:hAnsi="仿宋" w:eastAsia="仿宋"/>
          <w:color w:val="000000" w:themeColor="text1"/>
          <w:sz w:val="32"/>
          <w:szCs w:val="32"/>
          <w14:textFill>
            <w14:solidFill>
              <w14:schemeClr w14:val="tx1"/>
            </w14:solidFill>
          </w14:textFill>
        </w:rPr>
      </w:pPr>
      <w:r>
        <w:drawing>
          <wp:anchor distT="0" distB="0" distL="114300" distR="114300" simplePos="0" relativeHeight="251664384" behindDoc="1" locked="0" layoutInCell="1" allowOverlap="1">
            <wp:simplePos x="0" y="0"/>
            <wp:positionH relativeFrom="column">
              <wp:posOffset>271145</wp:posOffset>
            </wp:positionH>
            <wp:positionV relativeFrom="paragraph">
              <wp:posOffset>198755</wp:posOffset>
            </wp:positionV>
            <wp:extent cx="4563110" cy="2848610"/>
            <wp:effectExtent l="4445" t="4445" r="61595" b="80645"/>
            <wp:wrapTight wrapText="bothSides">
              <wp:wrapPolygon>
                <wp:start x="-21" y="-34"/>
                <wp:lineTo x="-21" y="21923"/>
                <wp:lineTo x="21531" y="21923"/>
                <wp:lineTo x="21531" y="-34"/>
                <wp:lineTo x="-21" y="-34"/>
              </wp:wrapPolygon>
            </wp:wrapTight>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444"/>
      <w:bookmarkStart w:id="38" w:name="_Toc15377213"/>
      <w:bookmarkStart w:id="39" w:name="_Toc15378460"/>
      <w:r>
        <w:rPr>
          <w:rFonts w:hint="eastAsia" w:ascii="仿宋" w:hAnsi="仿宋" w:eastAsia="仿宋"/>
          <w:b/>
          <w:color w:val="000000" w:themeColor="text1"/>
          <w:sz w:val="32"/>
          <w:szCs w:val="32"/>
          <w:lang w:eastAsia="zh-CN"/>
          <w14:textFill>
            <w14:solidFill>
              <w14:schemeClr w14:val="tx1"/>
            </w14:solidFill>
          </w14:textFill>
        </w:rPr>
        <w:t>2019</w:t>
      </w:r>
      <w:r>
        <w:rPr>
          <w:rFonts w:hint="eastAsia" w:ascii="仿宋" w:hAnsi="仿宋" w:eastAsia="仿宋"/>
          <w:b/>
          <w:color w:val="000000" w:themeColor="text1"/>
          <w:sz w:val="32"/>
          <w:szCs w:val="32"/>
          <w14:textFill>
            <w14:solidFill>
              <w14:schemeClr w14:val="tx1"/>
            </w14:solidFill>
          </w14:textFill>
        </w:rPr>
        <w:t>年一般公共预算支出决算数为</w:t>
      </w:r>
      <w:r>
        <w:rPr>
          <w:rFonts w:hint="eastAsia" w:ascii="仿宋" w:hAnsi="仿宋" w:eastAsia="仿宋"/>
          <w:b/>
          <w:color w:val="000000" w:themeColor="text1"/>
          <w:sz w:val="32"/>
          <w:szCs w:val="32"/>
          <w:lang w:val="en-US" w:eastAsia="zh-CN"/>
          <w14:textFill>
            <w14:solidFill>
              <w14:schemeClr w14:val="tx1"/>
            </w14:solidFill>
          </w14:textFill>
        </w:rPr>
        <w:t>465.32</w:t>
      </w:r>
      <w:r>
        <w:rPr>
          <w:rFonts w:hint="eastAsia" w:ascii="仿宋" w:hAnsi="仿宋" w:eastAsia="仿宋"/>
          <w:b/>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14:textFill>
            <w14:solidFill>
              <w14:schemeClr w14:val="tx1"/>
            </w14:solidFill>
          </w14:textFill>
        </w:rPr>
        <w:t>，</w:t>
      </w:r>
      <w:r>
        <w:rPr>
          <w:rStyle w:val="14"/>
          <w:rFonts w:hint="eastAsia" w:ascii="仿宋" w:hAnsi="仿宋" w:eastAsia="仿宋"/>
          <w:bCs/>
          <w:color w:val="000000" w:themeColor="text1"/>
          <w:sz w:val="32"/>
          <w:szCs w:val="32"/>
          <w14:textFill>
            <w14:solidFill>
              <w14:schemeClr w14:val="tx1"/>
            </w14:solidFill>
          </w14:textFill>
        </w:rPr>
        <w:t>完成</w:t>
      </w:r>
      <w:r>
        <w:rPr>
          <w:rStyle w:val="14"/>
          <w:rFonts w:hint="eastAsia" w:ascii="仿宋" w:hAnsi="仿宋" w:eastAsia="仿宋"/>
          <w:bCs/>
          <w:color w:val="000000"/>
          <w:sz w:val="32"/>
          <w:szCs w:val="32"/>
        </w:rPr>
        <w:t>预算8</w:t>
      </w:r>
      <w:r>
        <w:rPr>
          <w:rStyle w:val="14"/>
          <w:rFonts w:hint="eastAsia" w:ascii="仿宋" w:hAnsi="仿宋" w:eastAsia="仿宋"/>
          <w:bCs/>
          <w:color w:val="000000"/>
          <w:sz w:val="32"/>
          <w:szCs w:val="32"/>
          <w:lang w:val="en-US" w:eastAsia="zh-CN"/>
        </w:rPr>
        <w:t>1</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7"/>
      <w:bookmarkEnd w:id="38"/>
      <w:bookmarkEnd w:id="39"/>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1.</w:t>
      </w:r>
      <w:r>
        <w:rPr>
          <w:rStyle w:val="14"/>
          <w:rFonts w:hint="eastAsia" w:ascii="仿宋" w:hAnsi="仿宋" w:eastAsia="仿宋"/>
          <w:bCs/>
          <w:color w:val="000000"/>
          <w:sz w:val="32"/>
          <w:szCs w:val="32"/>
        </w:rPr>
        <w:t>社会保障和就业（208）人力资源和社会保障管理事务（20</w:t>
      </w:r>
      <w:r>
        <w:rPr>
          <w:rStyle w:val="14"/>
          <w:rFonts w:hint="eastAsia" w:ascii="仿宋" w:hAnsi="仿宋" w:eastAsia="仿宋"/>
          <w:bCs/>
          <w:color w:val="000000"/>
          <w:sz w:val="32"/>
          <w:szCs w:val="32"/>
          <w:lang w:val="en-US" w:eastAsia="zh-CN"/>
        </w:rPr>
        <w:t>801</w:t>
      </w:r>
      <w:r>
        <w:rPr>
          <w:rStyle w:val="14"/>
          <w:rFonts w:hint="eastAsia" w:ascii="仿宋" w:hAnsi="仿宋" w:eastAsia="仿宋"/>
          <w:bCs/>
          <w:color w:val="000000"/>
          <w:sz w:val="32"/>
          <w:szCs w:val="32"/>
        </w:rPr>
        <w:t>）  其他人力资源和社会保障管理事务支出（2011099）</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14.27</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rPr>
        <w:t>2</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社会保障和就业（208）行政事业单位离退休（20805）机关事业单位基本养老保险缴费支出（2080505）</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35.65</w:t>
      </w:r>
      <w:r>
        <w:rPr>
          <w:rStyle w:val="14"/>
          <w:rFonts w:hint="eastAsia" w:ascii="仿宋" w:hAnsi="仿宋" w:eastAsia="仿宋"/>
          <w:b w:val="0"/>
          <w:bCs/>
          <w:color w:val="000000"/>
          <w:sz w:val="32"/>
          <w:szCs w:val="32"/>
        </w:rPr>
        <w:t xml:space="preserve">万元，  </w:t>
      </w:r>
      <w:r>
        <w:rPr>
          <w:rStyle w:val="14"/>
          <w:rFonts w:hint="eastAsia" w:ascii="仿宋" w:hAnsi="仿宋" w:eastAsia="仿宋"/>
          <w:b/>
          <w:bCs w:val="0"/>
          <w:color w:val="000000"/>
          <w:sz w:val="32"/>
          <w:szCs w:val="32"/>
        </w:rPr>
        <w:t>机关事业单位职业年金缴费支出（208050</w:t>
      </w:r>
      <w:r>
        <w:rPr>
          <w:rStyle w:val="14"/>
          <w:rFonts w:hint="eastAsia" w:ascii="仿宋" w:hAnsi="仿宋" w:eastAsia="仿宋"/>
          <w:b/>
          <w:bCs w:val="0"/>
          <w:color w:val="000000"/>
          <w:sz w:val="32"/>
          <w:szCs w:val="32"/>
          <w:lang w:val="en-US" w:eastAsia="zh-CN"/>
        </w:rPr>
        <w:t>6</w:t>
      </w:r>
      <w:r>
        <w:rPr>
          <w:rStyle w:val="14"/>
          <w:rFonts w:hint="eastAsia" w:ascii="仿宋" w:hAnsi="仿宋" w:eastAsia="仿宋"/>
          <w:b/>
          <w:bCs w:val="0"/>
          <w:color w:val="000000"/>
          <w:sz w:val="32"/>
          <w:szCs w:val="32"/>
        </w:rPr>
        <w:t>5）</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3.15</w:t>
      </w:r>
      <w:r>
        <w:rPr>
          <w:rStyle w:val="14"/>
          <w:rFonts w:hint="eastAsia" w:ascii="仿宋" w:hAnsi="仿宋" w:eastAsia="仿宋"/>
          <w:b w:val="0"/>
          <w:bCs/>
          <w:color w:val="000000"/>
          <w:sz w:val="32"/>
          <w:szCs w:val="32"/>
        </w:rPr>
        <w:t>万元</w:t>
      </w:r>
      <w:r>
        <w:rPr>
          <w:rStyle w:val="14"/>
          <w:rFonts w:hint="eastAsia" w:ascii="仿宋" w:hAnsi="仿宋" w:eastAsia="仿宋"/>
          <w:b w:val="0"/>
          <w:bCs/>
          <w:color w:val="000000"/>
          <w:sz w:val="32"/>
          <w:szCs w:val="32"/>
          <w:lang w:eastAsia="zh-CN"/>
        </w:rPr>
        <w:t>，</w:t>
      </w:r>
      <w:r>
        <w:rPr>
          <w:rStyle w:val="14"/>
          <w:rFonts w:hint="eastAsia" w:ascii="仿宋" w:hAnsi="仿宋" w:eastAsia="仿宋"/>
          <w:b w:val="0"/>
          <w:bCs/>
          <w:color w:val="000000"/>
          <w:sz w:val="32"/>
          <w:szCs w:val="32"/>
        </w:rPr>
        <w:t>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0"/>
        <w:rPr>
          <w:rFonts w:ascii="仿宋_GB2312" w:eastAsia="仿宋_GB2312"/>
          <w:color w:val="000000"/>
          <w:sz w:val="32"/>
          <w:szCs w:val="32"/>
        </w:rPr>
      </w:pPr>
      <w:r>
        <w:rPr>
          <w:rStyle w:val="14"/>
          <w:rFonts w:hint="eastAsia" w:ascii="仿宋_GB2312" w:eastAsia="仿宋_GB2312"/>
          <w:color w:val="000000"/>
          <w:sz w:val="32"/>
          <w:szCs w:val="32"/>
        </w:rPr>
        <w:t>3.医疗卫生与计划生育（210）基层医疗卫生机构（21003）</w:t>
      </w:r>
      <w:r>
        <w:rPr>
          <w:rFonts w:hint="eastAsia" w:ascii="仿宋_GB2312" w:eastAsia="仿宋_GB2312"/>
          <w:b/>
          <w:color w:val="000000"/>
          <w:sz w:val="32"/>
          <w:szCs w:val="32"/>
        </w:rPr>
        <w:t>乡镇卫生院（2100302）</w:t>
      </w:r>
      <w:r>
        <w:rPr>
          <w:rStyle w:val="14"/>
          <w:rFonts w:hint="eastAsia" w:ascii="仿宋_GB2312" w:eastAsia="仿宋_GB2312"/>
          <w:color w:val="000000"/>
          <w:sz w:val="32"/>
          <w:szCs w:val="32"/>
        </w:rPr>
        <w:t>:</w:t>
      </w:r>
      <w:r>
        <w:rPr>
          <w:rFonts w:hint="eastAsia" w:ascii="仿宋_GB2312" w:eastAsia="仿宋_GB2312"/>
          <w:color w:val="000000"/>
          <w:sz w:val="32"/>
          <w:szCs w:val="32"/>
          <w:lang w:eastAsia="zh-CN"/>
        </w:rPr>
        <w:t>2019</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228.11</w:t>
      </w:r>
      <w:r>
        <w:rPr>
          <w:rFonts w:hint="eastAsia" w:ascii="仿宋_GB2312" w:eastAsia="仿宋_GB2312"/>
          <w:color w:val="000000"/>
          <w:sz w:val="32"/>
          <w:szCs w:val="32"/>
        </w:rPr>
        <w:t>万元，完成预算数</w:t>
      </w:r>
      <w:r>
        <w:rPr>
          <w:rFonts w:hint="eastAsia" w:ascii="仿宋_GB2312" w:eastAsia="仿宋_GB2312"/>
          <w:color w:val="000000"/>
          <w:sz w:val="32"/>
          <w:szCs w:val="32"/>
          <w:lang w:val="en-US" w:eastAsia="zh-CN"/>
        </w:rPr>
        <w:t>81</w:t>
      </w:r>
      <w:r>
        <w:rPr>
          <w:rFonts w:hint="eastAsia" w:ascii="仿宋_GB2312" w:eastAsia="仿宋_GB2312"/>
          <w:color w:val="000000"/>
          <w:sz w:val="32"/>
          <w:szCs w:val="32"/>
        </w:rPr>
        <w:t>%，决算数小于预算数的主要原因为存在年初、年末财政结转资金，</w:t>
      </w:r>
      <w:r>
        <w:rPr>
          <w:rFonts w:hint="eastAsia" w:ascii="仿宋_GB2312" w:eastAsia="仿宋_GB2312"/>
          <w:color w:val="000000"/>
          <w:sz w:val="32"/>
          <w:szCs w:val="32"/>
          <w:lang w:eastAsia="zh-CN"/>
        </w:rPr>
        <w:t>其中</w:t>
      </w:r>
      <w:r>
        <w:rPr>
          <w:rFonts w:hint="eastAsia" w:ascii="仿宋_GB2312" w:eastAsia="仿宋_GB2312"/>
          <w:color w:val="000000"/>
          <w:sz w:val="32"/>
          <w:szCs w:val="32"/>
        </w:rPr>
        <w:t>：年初结转</w:t>
      </w:r>
      <w:r>
        <w:rPr>
          <w:rFonts w:hint="eastAsia" w:ascii="仿宋_GB2312" w:eastAsia="仿宋_GB2312"/>
          <w:color w:val="000000"/>
          <w:sz w:val="32"/>
          <w:szCs w:val="32"/>
          <w:lang w:val="en-US" w:eastAsia="zh-CN"/>
        </w:rPr>
        <w:t>132.44</w:t>
      </w:r>
      <w:r>
        <w:rPr>
          <w:rFonts w:hint="eastAsia" w:ascii="仿宋_GB2312" w:eastAsia="仿宋_GB2312"/>
          <w:color w:val="000000"/>
          <w:sz w:val="32"/>
          <w:szCs w:val="32"/>
        </w:rPr>
        <w:t>万元，年末结转</w:t>
      </w:r>
      <w:r>
        <w:rPr>
          <w:rFonts w:hint="eastAsia" w:ascii="仿宋_GB2312" w:eastAsia="仿宋_GB2312"/>
          <w:color w:val="000000"/>
          <w:sz w:val="32"/>
          <w:szCs w:val="32"/>
          <w:lang w:val="en-US" w:eastAsia="zh-CN"/>
        </w:rPr>
        <w:t>241.26</w:t>
      </w:r>
      <w:r>
        <w:rPr>
          <w:rFonts w:hint="eastAsia" w:ascii="仿宋_GB2312" w:eastAsia="仿宋_GB2312"/>
          <w:color w:val="000000"/>
          <w:sz w:val="32"/>
          <w:szCs w:val="32"/>
        </w:rPr>
        <w:t>万元。主要为乡镇卫生院差额补助经费。</w:t>
      </w:r>
    </w:p>
    <w:p>
      <w:pPr>
        <w:spacing w:line="600" w:lineRule="exact"/>
        <w:ind w:firstLine="643" w:firstLineChars="200"/>
        <w:rPr>
          <w:rFonts w:ascii="仿宋" w:hAnsi="仿宋" w:eastAsia="仿宋"/>
          <w:color w:val="000000"/>
          <w:sz w:val="32"/>
          <w:szCs w:val="32"/>
        </w:rPr>
      </w:pPr>
      <w:r>
        <w:rPr>
          <w:rStyle w:val="14"/>
          <w:rFonts w:hint="eastAsia" w:ascii="仿宋" w:hAnsi="仿宋" w:eastAsia="仿宋"/>
          <w:bCs/>
          <w:color w:val="000000"/>
          <w:sz w:val="32"/>
          <w:szCs w:val="32"/>
        </w:rPr>
        <w:t>4</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医疗卫生与计划生育（210）基层医疗卫生机构（21003）</w:t>
      </w:r>
      <w:r>
        <w:rPr>
          <w:rStyle w:val="14"/>
          <w:rFonts w:hint="eastAsia" w:ascii="仿宋" w:hAnsi="仿宋" w:eastAsia="仿宋"/>
          <w:bCs/>
          <w:color w:val="000000"/>
          <w:sz w:val="32"/>
          <w:szCs w:val="32"/>
          <w:lang w:eastAsia="zh-CN"/>
        </w:rPr>
        <w:t>其他</w:t>
      </w:r>
      <w:r>
        <w:rPr>
          <w:rStyle w:val="14"/>
          <w:rFonts w:hint="eastAsia" w:ascii="仿宋" w:hAnsi="仿宋" w:eastAsia="仿宋"/>
          <w:bCs/>
          <w:color w:val="000000"/>
          <w:sz w:val="32"/>
          <w:szCs w:val="32"/>
        </w:rPr>
        <w:t>基层医疗卫生机构支出（2100399）</w:t>
      </w:r>
      <w:r>
        <w:rPr>
          <w:rStyle w:val="14"/>
          <w:rFonts w:hint="eastAsia" w:ascii="仿宋" w:hAnsi="仿宋" w:eastAsia="仿宋"/>
          <w:bCs/>
          <w:color w:val="000000"/>
          <w:sz w:val="32"/>
          <w:szCs w:val="32"/>
          <w:lang w:eastAsia="zh-CN"/>
        </w:rPr>
        <w:t>：</w:t>
      </w:r>
      <w:r>
        <w:rPr>
          <w:rStyle w:val="14"/>
          <w:rFonts w:hint="eastAsia" w:ascii="仿宋" w:hAnsi="仿宋" w:eastAsia="仿宋"/>
          <w:b w:val="0"/>
          <w:bCs/>
          <w:color w:val="000000"/>
          <w:sz w:val="32"/>
          <w:szCs w:val="32"/>
        </w:rPr>
        <w:t>支出决算为24.</w:t>
      </w:r>
      <w:r>
        <w:rPr>
          <w:rStyle w:val="14"/>
          <w:rFonts w:hint="eastAsia" w:ascii="仿宋" w:hAnsi="仿宋" w:eastAsia="仿宋"/>
          <w:b w:val="0"/>
          <w:bCs/>
          <w:color w:val="000000"/>
          <w:sz w:val="32"/>
          <w:szCs w:val="32"/>
          <w:lang w:val="en-US" w:eastAsia="zh-CN"/>
        </w:rPr>
        <w:t>44</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5、</w:t>
      </w:r>
      <w:r>
        <w:rPr>
          <w:rStyle w:val="14"/>
          <w:rFonts w:hint="eastAsia" w:ascii="仿宋" w:hAnsi="仿宋" w:eastAsia="仿宋"/>
          <w:bCs/>
          <w:color w:val="000000"/>
          <w:sz w:val="32"/>
          <w:szCs w:val="32"/>
        </w:rPr>
        <w:t>医疗卫生与计划生育（210）公共卫生（21004）基本公共卫生服务（2100408）</w:t>
      </w:r>
      <w:r>
        <w:rPr>
          <w:rStyle w:val="14"/>
          <w:rFonts w:hint="eastAsia" w:ascii="仿宋" w:hAnsi="仿宋" w:eastAsia="仿宋"/>
          <w:bCs/>
          <w:color w:val="000000"/>
          <w:sz w:val="32"/>
          <w:szCs w:val="32"/>
          <w:lang w:eastAsia="zh-CN"/>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113.92</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6、</w:t>
      </w:r>
      <w:r>
        <w:rPr>
          <w:rStyle w:val="14"/>
          <w:rFonts w:hint="eastAsia" w:ascii="仿宋" w:hAnsi="仿宋" w:eastAsia="仿宋"/>
          <w:bCs/>
          <w:color w:val="000000"/>
          <w:sz w:val="32"/>
          <w:szCs w:val="32"/>
        </w:rPr>
        <w:t>医疗卫生与计划生育（210）行政事业单位医疗（21011）事业单位医疗（2101102）</w:t>
      </w:r>
      <w:r>
        <w:rPr>
          <w:rStyle w:val="14"/>
          <w:rFonts w:hint="eastAsia" w:ascii="仿宋" w:hAnsi="仿宋" w:eastAsia="仿宋"/>
          <w:bCs/>
          <w:color w:val="000000"/>
          <w:sz w:val="32"/>
          <w:szCs w:val="32"/>
          <w:lang w:eastAsia="zh-CN"/>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16.79</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7、住房保障支出</w:t>
      </w:r>
      <w:r>
        <w:rPr>
          <w:rStyle w:val="14"/>
          <w:rFonts w:hint="eastAsia" w:ascii="仿宋" w:hAnsi="仿宋" w:eastAsia="仿宋"/>
          <w:bCs/>
          <w:color w:val="000000"/>
          <w:sz w:val="32"/>
          <w:szCs w:val="32"/>
        </w:rPr>
        <w:t>（221）住房改革支出（22102）住房公积金（2210201）</w:t>
      </w:r>
      <w:r>
        <w:rPr>
          <w:rStyle w:val="14"/>
          <w:rFonts w:hint="eastAsia" w:ascii="仿宋" w:hAnsi="仿宋" w:eastAsia="仿宋"/>
          <w:bCs/>
          <w:color w:val="000000"/>
          <w:sz w:val="32"/>
          <w:szCs w:val="32"/>
          <w:lang w:eastAsia="zh-CN"/>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28.98</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tabs>
          <w:tab w:val="right" w:pos="8306"/>
        </w:tabs>
        <w:spacing w:line="600" w:lineRule="exact"/>
        <w:ind w:firstLine="640"/>
        <w:outlineLvl w:val="1"/>
        <w:rPr>
          <w:rStyle w:val="25"/>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0"/>
      <w:bookmarkEnd w:id="41"/>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lang w:eastAsia="zh-CN"/>
        </w:rPr>
        <w:t>2019</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326.96</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276.58</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w:t>
      </w:r>
      <w:r>
        <w:rPr>
          <w:rFonts w:hint="eastAsia" w:ascii="仿宋" w:hAnsi="仿宋" w:eastAsia="仿宋"/>
          <w:color w:val="000000"/>
          <w:sz w:val="32"/>
          <w:szCs w:val="32"/>
          <w:lang w:val="en-US" w:eastAsia="zh-CN"/>
        </w:rPr>
        <w:t>50.38</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rPr>
          <w:rFonts w:ascii="仿宋" w:hAnsi="仿宋" w:eastAsia="仿宋"/>
          <w:b/>
          <w:color w:val="FF0000"/>
          <w:sz w:val="32"/>
          <w:szCs w:val="32"/>
        </w:rPr>
      </w:pPr>
    </w:p>
    <w:p>
      <w:pPr>
        <w:spacing w:line="600" w:lineRule="exact"/>
        <w:ind w:firstLine="640"/>
        <w:outlineLvl w:val="1"/>
        <w:rPr>
          <w:rStyle w:val="25"/>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无</w:t>
      </w:r>
    </w:p>
    <w:p>
      <w:pPr>
        <w:spacing w:line="600" w:lineRule="exact"/>
        <w:ind w:firstLine="640"/>
        <w:outlineLvl w:val="2"/>
        <w:rPr>
          <w:rFonts w:ascii="仿宋" w:hAnsi="仿宋" w:eastAsia="仿宋"/>
          <w:b/>
          <w:color w:val="000000"/>
          <w:sz w:val="32"/>
          <w:szCs w:val="32"/>
        </w:rPr>
      </w:pPr>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无</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无</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无</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p>
    <w:p>
      <w:pPr>
        <w:spacing w:line="600" w:lineRule="exact"/>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sz w:val="32"/>
          <w:szCs w:val="32"/>
        </w:rPr>
        <w:t>无</w:t>
      </w:r>
      <w:bookmarkStart w:id="46" w:name="_Toc15377218"/>
      <w:bookmarkStart w:id="47" w:name="_Toc15396610"/>
    </w:p>
    <w:p>
      <w:pPr>
        <w:spacing w:line="600" w:lineRule="exact"/>
        <w:ind w:firstLine="640"/>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无</w:t>
      </w:r>
    </w:p>
    <w:p>
      <w:pPr>
        <w:spacing w:line="600" w:lineRule="exact"/>
        <w:ind w:firstLine="640"/>
        <w:rPr>
          <w:rFonts w:ascii="仿宋_GB2312" w:eastAsia="仿宋_GB2312"/>
          <w:color w:val="000000"/>
          <w:sz w:val="32"/>
          <w:szCs w:val="32"/>
        </w:rPr>
      </w:pPr>
    </w:p>
    <w:p>
      <w:pPr>
        <w:numPr>
          <w:ilvl w:val="0"/>
          <w:numId w:val="2"/>
        </w:numPr>
        <w:spacing w:line="600" w:lineRule="exact"/>
        <w:ind w:firstLine="640"/>
        <w:outlineLvl w:val="1"/>
        <w:rPr>
          <w:rStyle w:val="25"/>
          <w:rFonts w:ascii="黑体" w:hAnsi="黑体" w:eastAsia="黑体"/>
          <w:b w:val="0"/>
        </w:rPr>
      </w:pPr>
      <w:bookmarkStart w:id="48" w:name="_Toc15396611"/>
      <w:bookmarkStart w:id="49" w:name="_Toc15377219"/>
      <w:r>
        <w:rPr>
          <w:rStyle w:val="25"/>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无</w:t>
      </w:r>
    </w:p>
    <w:p>
      <w:pPr>
        <w:pStyle w:val="23"/>
        <w:numPr>
          <w:ilvl w:val="0"/>
          <w:numId w:val="3"/>
        </w:numPr>
        <w:spacing w:line="580" w:lineRule="exact"/>
        <w:ind w:firstLineChars="0"/>
        <w:rPr>
          <w:rStyle w:val="25"/>
          <w:rFonts w:ascii="黑体" w:hAnsi="黑体" w:eastAsia="黑体"/>
          <w:b w:val="0"/>
        </w:rPr>
      </w:pPr>
      <w:r>
        <w:rPr>
          <w:rStyle w:val="25"/>
          <w:rFonts w:hint="eastAsia" w:ascii="黑体" w:hAnsi="黑体" w:eastAsia="黑体"/>
          <w:b w:val="0"/>
        </w:rPr>
        <w:t>预算绩效情况说明</w:t>
      </w:r>
    </w:p>
    <w:p>
      <w:pPr>
        <w:pStyle w:val="29"/>
        <w:numPr>
          <w:ilvl w:val="0"/>
          <w:numId w:val="3"/>
        </w:numPr>
        <w:spacing w:line="580" w:lineRule="exact"/>
        <w:ind w:firstLineChars="0"/>
        <w:rPr>
          <w:rFonts w:ascii="黑体" w:hAnsi="黑体" w:eastAsia="黑体" w:cstheme="majorBidi"/>
          <w:bCs/>
          <w:sz w:val="32"/>
          <w:szCs w:val="32"/>
        </w:rPr>
      </w:pPr>
      <w:bookmarkStart w:id="50" w:name="_Toc15396612"/>
      <w:bookmarkStart w:id="51" w:name="_Toc15377221"/>
      <w:r>
        <w:rPr>
          <w:rStyle w:val="25"/>
          <w:rFonts w:hint="eastAsia" w:ascii="黑体" w:hAnsi="黑体" w:eastAsia="黑体"/>
        </w:rPr>
        <w:t>预算绩效情况说明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年初预算编制阶段，组织对2个项目开展了预算事前绩效评估，对2个项目编制了绩效目标，预算执行过程中，选取2项目开展绩效监控，年终执行完毕后，对2个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本单位按要求对</w:t>
      </w:r>
      <w:r>
        <w:rPr>
          <w:rFonts w:hint="eastAsia" w:ascii="仿宋_GB2312" w:hAnsi="仿宋_GB2312" w:eastAsia="仿宋_GB2312" w:cs="仿宋_GB2312"/>
          <w:sz w:val="32"/>
          <w:szCs w:val="32"/>
          <w:lang w:eastAsia="zh-CN"/>
        </w:rPr>
        <w:t>2019</w:t>
      </w:r>
      <w:r>
        <w:rPr>
          <w:rFonts w:hint="eastAsia" w:ascii="仿宋_GB2312" w:hAnsi="仿宋_GB2312" w:eastAsia="仿宋_GB2312" w:cs="仿宋_GB2312"/>
          <w:sz w:val="32"/>
          <w:szCs w:val="32"/>
        </w:rPr>
        <w:t xml:space="preserve">年部门整体支出开展绩效自评，从评价情况来看本单位按要求对 </w:t>
      </w:r>
      <w:r>
        <w:rPr>
          <w:rFonts w:hint="eastAsia" w:ascii="仿宋_GB2312" w:hAnsi="仿宋_GB2312" w:eastAsia="仿宋_GB2312" w:cs="仿宋_GB2312"/>
          <w:sz w:val="32"/>
          <w:szCs w:val="32"/>
          <w:lang w:eastAsia="zh-CN"/>
        </w:rPr>
        <w:t>2019</w:t>
      </w:r>
      <w:r>
        <w:rPr>
          <w:rFonts w:hint="eastAsia" w:ascii="仿宋_GB2312" w:hAnsi="仿宋_GB2312" w:eastAsia="仿宋_GB2312" w:cs="仿宋_GB2312"/>
          <w:sz w:val="32"/>
          <w:szCs w:val="32"/>
        </w:rPr>
        <w:t xml:space="preserve"> 年单位整体支出开展绩效自评，从评价情况来看，本单位 </w:t>
      </w:r>
      <w:r>
        <w:rPr>
          <w:rFonts w:hint="eastAsia" w:ascii="仿宋_GB2312" w:hAnsi="仿宋_GB2312" w:eastAsia="仿宋_GB2312" w:cs="仿宋_GB2312"/>
          <w:sz w:val="32"/>
          <w:szCs w:val="32"/>
          <w:lang w:eastAsia="zh-CN"/>
        </w:rPr>
        <w:t>2019</w:t>
      </w:r>
      <w:r>
        <w:rPr>
          <w:rFonts w:hint="eastAsia" w:ascii="仿宋_GB2312" w:hAnsi="仿宋_GB2312" w:eastAsia="仿宋_GB2312" w:cs="仿宋_GB2312"/>
          <w:sz w:val="32"/>
          <w:szCs w:val="32"/>
        </w:rPr>
        <w:t xml:space="preserve"> 年单位整体支出绩效评价自查自评结果良好。财务制度较健全，财务管理较规范，全年基本支出保障了单位的正常运行和日程工作的正常开展，项目支出保障了重点工作的开展，履职成效明显，达到了预期绩效目标和预期经济效果。</w:t>
      </w:r>
    </w:p>
    <w:p>
      <w:pPr>
        <w:numPr>
          <w:ilvl w:val="0"/>
          <w:numId w:val="4"/>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本单位在</w:t>
      </w:r>
      <w:r>
        <w:rPr>
          <w:rFonts w:hint="eastAsia" w:ascii="仿宋_GB2312" w:hAnsi="仿宋_GB2312" w:eastAsia="仿宋_GB2312" w:cs="仿宋_GB2312"/>
          <w:sz w:val="32"/>
          <w:szCs w:val="32"/>
          <w:lang w:eastAsia="zh-CN"/>
        </w:rPr>
        <w:t>2019</w:t>
      </w:r>
      <w:r>
        <w:rPr>
          <w:rFonts w:hint="eastAsia" w:ascii="仿宋_GB2312" w:hAnsi="仿宋_GB2312" w:eastAsia="仿宋_GB2312" w:cs="仿宋_GB2312"/>
          <w:sz w:val="32"/>
          <w:szCs w:val="32"/>
        </w:rPr>
        <w:t>年度部门决算中反映“基本公共卫生服务</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“基本药物补助</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等2个项目绩效目标实际完成情况。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1.基本药物补助项目绩效目标完成情况综述。项目全年预算数24.</w:t>
      </w:r>
      <w:r>
        <w:rPr>
          <w:rFonts w:hint="eastAsia" w:ascii="仿宋_GB2312" w:hAnsi="仿宋_GB2312" w:eastAsia="仿宋_GB2312" w:cs="仿宋_GB2312"/>
          <w:sz w:val="32"/>
          <w:szCs w:val="32"/>
          <w:lang w:val="en-US" w:eastAsia="zh-CN"/>
        </w:rPr>
        <w:t>44</w:t>
      </w:r>
      <w:r>
        <w:rPr>
          <w:rFonts w:hint="eastAsia" w:ascii="仿宋_GB2312" w:hAnsi="仿宋_GB2312" w:eastAsia="仿宋_GB2312" w:cs="仿宋_GB2312"/>
          <w:sz w:val="32"/>
          <w:szCs w:val="32"/>
        </w:rPr>
        <w:t>万元，执行数为24.</w:t>
      </w:r>
      <w:r>
        <w:rPr>
          <w:rFonts w:hint="eastAsia" w:ascii="仿宋_GB2312" w:hAnsi="仿宋_GB2312" w:eastAsia="仿宋_GB2312" w:cs="仿宋_GB2312"/>
          <w:sz w:val="32"/>
          <w:szCs w:val="32"/>
          <w:lang w:val="en-US" w:eastAsia="zh-CN"/>
        </w:rPr>
        <w:t>44</w:t>
      </w:r>
      <w:r>
        <w:rPr>
          <w:rFonts w:hint="eastAsia" w:ascii="仿宋_GB2312" w:hAnsi="仿宋_GB2312" w:eastAsia="仿宋_GB2312" w:cs="仿宋_GB2312"/>
          <w:sz w:val="32"/>
          <w:szCs w:val="32"/>
        </w:rPr>
        <w:t>万元，完成预算的100%。通过项目实施，保障了</w:t>
      </w:r>
      <w:r>
        <w:rPr>
          <w:rFonts w:hint="eastAsia" w:ascii="仿宋_GB2312" w:hAnsi="仿宋_GB2312" w:eastAsia="仿宋_GB2312" w:cs="仿宋_GB2312"/>
          <w:sz w:val="32"/>
          <w:szCs w:val="32"/>
          <w:lang w:eastAsia="zh-CN"/>
        </w:rPr>
        <w:t>2019</w:t>
      </w:r>
      <w:r>
        <w:rPr>
          <w:rFonts w:hint="eastAsia" w:ascii="仿宋_GB2312" w:hAnsi="仿宋_GB2312" w:eastAsia="仿宋_GB2312" w:cs="仿宋_GB2312"/>
          <w:sz w:val="32"/>
          <w:szCs w:val="32"/>
        </w:rPr>
        <w:t>年我院基本药物采购资金的保障，发现的主要问题：对专项项目推进工作重视度有待加强，对。下一步改进措施：</w:t>
      </w:r>
      <w:r>
        <w:rPr>
          <w:rFonts w:hint="eastAsia" w:ascii="仿宋_GB2312" w:hAnsi="仿宋_GB2312" w:eastAsia="仿宋_GB2312" w:cs="仿宋_GB2312"/>
          <w:sz w:val="32"/>
          <w:szCs w:val="32"/>
          <w:lang w:eastAsia="zh-CN"/>
        </w:rPr>
        <w:t>即</w:t>
      </w:r>
      <w:r>
        <w:rPr>
          <w:rFonts w:hint="eastAsia" w:ascii="仿宋_GB2312" w:hAnsi="仿宋_GB2312" w:eastAsia="仿宋_GB2312" w:cs="仿宋_GB2312"/>
          <w:sz w:val="32"/>
          <w:szCs w:val="32"/>
        </w:rPr>
        <w:t>与财政部门衔接，在单位预算编制中从细从严，切实推进预算。</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2.基本公共卫生服务项目绩效目标完成情况综述。项目年初预算数</w:t>
      </w:r>
      <w:r>
        <w:rPr>
          <w:rFonts w:hint="eastAsia" w:ascii="仿宋_GB2312" w:hAnsi="仿宋_GB2312" w:eastAsia="仿宋_GB2312" w:cs="仿宋_GB2312"/>
          <w:sz w:val="32"/>
          <w:szCs w:val="32"/>
          <w:lang w:val="en-US" w:eastAsia="zh-CN"/>
        </w:rPr>
        <w:t>113.92</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113.92</w:t>
      </w:r>
      <w:r>
        <w:rPr>
          <w:rFonts w:hint="eastAsia" w:ascii="仿宋_GB2312" w:hAnsi="仿宋_GB2312" w:eastAsia="仿宋_GB2312" w:cs="仿宋_GB2312"/>
          <w:sz w:val="32"/>
          <w:szCs w:val="32"/>
        </w:rPr>
        <w:t>万元，完成预算的100%。通过项目实施，保障了我院基本公共卫生服务的运行，发现的主要问题：基本公共卫生服务推进力度有待加强。下一步改进措施：积极与财政部门衔接，在单位部门预算编制中从细从严，切实推进预算。</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9"/>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b/>
                <w:bCs/>
                <w:color w:val="000000"/>
                <w:kern w:val="0"/>
                <w:sz w:val="36"/>
                <w:szCs w:val="36"/>
                <w:lang w:eastAsia="zh-CN"/>
              </w:rPr>
              <w:t>（</w:t>
            </w:r>
            <w:r>
              <w:rPr>
                <w:rFonts w:hint="eastAsia" w:ascii="宋体" w:hAnsi="宋体" w:cs="宋体"/>
                <w:color w:val="000000"/>
                <w:kern w:val="0"/>
                <w:sz w:val="36"/>
                <w:szCs w:val="36"/>
                <w:lang w:eastAsia="zh-CN"/>
              </w:rPr>
              <w:t>2019</w:t>
            </w:r>
            <w:r>
              <w:rPr>
                <w:rFonts w:hint="eastAsia" w:ascii="宋体" w:hAnsi="宋体" w:cs="宋体"/>
                <w:color w:val="000000"/>
                <w:kern w:val="0"/>
                <w:sz w:val="36"/>
                <w:szCs w:val="36"/>
              </w:rPr>
              <w:t xml:space="preserve"> 年度</w:t>
            </w:r>
            <w:r>
              <w:rPr>
                <w:rFonts w:hint="eastAsia" w:ascii="宋体" w:hAnsi="宋体" w:cs="宋体"/>
                <w:color w:val="000000"/>
                <w:kern w:val="0"/>
                <w:sz w:val="36"/>
                <w:szCs w:val="36"/>
                <w:lang w:eastAsia="zh-CN"/>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基本药物补助</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达州市达川区堡子镇中心卫生院</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预算执行情况</w:t>
            </w:r>
            <w:r>
              <w:rPr>
                <w:rFonts w:hint="eastAsia" w:cs="宋体" w:asciiTheme="minorEastAsia" w:hAnsiTheme="minorEastAsia" w:eastAsiaTheme="minorEastAsia"/>
                <w:color w:val="000000"/>
                <w:kern w:val="0"/>
                <w:sz w:val="24"/>
                <w:lang w:eastAsia="zh-CN"/>
              </w:rPr>
              <w:t>（</w:t>
            </w:r>
            <w:r>
              <w:rPr>
                <w:rFonts w:hint="eastAsia" w:cs="宋体" w:asciiTheme="minorEastAsia" w:hAnsiTheme="minorEastAsia" w:eastAsiaTheme="minorEastAsia"/>
                <w:color w:val="000000"/>
                <w:kern w:val="0"/>
                <w:sz w:val="24"/>
              </w:rPr>
              <w:t>万元</w:t>
            </w:r>
            <w:r>
              <w:rPr>
                <w:rFonts w:hint="eastAsia" w:cs="宋体" w:asciiTheme="minorEastAsia" w:hAnsiTheme="minorEastAsia" w:eastAsiaTheme="minorEastAsia"/>
                <w:color w:val="000000"/>
                <w:kern w:val="0"/>
                <w:sz w:val="24"/>
                <w:lang w:eastAsia="zh-CN"/>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预算数</w:t>
            </w:r>
            <w:r>
              <w:rPr>
                <w:rFonts w:hint="eastAsia" w:cs="宋体" w:asciiTheme="minorEastAsia" w:hAnsiTheme="minorEastAsia" w:eastAsiaTheme="minorEastAsia"/>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仿宋_GB2312" w:asciiTheme="minorEastAsia" w:hAnsiTheme="minorEastAsia" w:eastAsiaTheme="minorEastAsia"/>
                <w:sz w:val="24"/>
              </w:rPr>
              <w:t>24.</w:t>
            </w:r>
            <w:r>
              <w:rPr>
                <w:rFonts w:hint="eastAsia" w:cs="仿宋_GB2312" w:asciiTheme="minorEastAsia" w:hAnsiTheme="minorEastAsia" w:eastAsiaTheme="minorEastAsia"/>
                <w:sz w:val="24"/>
                <w:lang w:val="en-US" w:eastAsia="zh-CN"/>
              </w:rPr>
              <w:t>44</w:t>
            </w:r>
            <w:r>
              <w:rPr>
                <w:rFonts w:hint="eastAsia" w:cs="宋体" w:asciiTheme="minorEastAsia" w:hAnsiTheme="minorEastAsia" w:eastAsiaTheme="minorEastAsia"/>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执行数</w:t>
            </w:r>
            <w:r>
              <w:rPr>
                <w:rFonts w:hint="eastAsia" w:cs="宋体" w:asciiTheme="minorEastAsia" w:hAnsiTheme="minorEastAsia" w:eastAsiaTheme="minorEastAsia"/>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仿宋_GB2312" w:asciiTheme="minorEastAsia" w:hAnsiTheme="minorEastAsia" w:eastAsiaTheme="minorEastAsia"/>
                <w:sz w:val="24"/>
              </w:rPr>
              <w:t>24.</w:t>
            </w:r>
            <w:r>
              <w:rPr>
                <w:rFonts w:hint="eastAsia" w:cs="仿宋_GB2312" w:asciiTheme="minorEastAsia" w:hAnsiTheme="minorEastAsia" w:eastAsiaTheme="minorEastAsia"/>
                <w:sz w:val="24"/>
                <w:lang w:val="en-US" w:eastAsia="zh-CN"/>
              </w:rPr>
              <w:t>44</w:t>
            </w:r>
            <w:r>
              <w:rPr>
                <w:rFonts w:hint="eastAsia" w:cs="宋体" w:asciiTheme="minorEastAsia" w:hAnsiTheme="minorEastAsia" w:eastAsiaTheme="minorEastAsia"/>
                <w:color w:val="000000"/>
                <w:sz w:val="24"/>
              </w:rPr>
              <w:t>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其中</w:t>
            </w:r>
            <w:r>
              <w:rPr>
                <w:rFonts w:hint="eastAsia" w:cs="宋体" w:asciiTheme="minorEastAsia" w:hAnsiTheme="minorEastAsia" w:eastAsiaTheme="minorEastAsia"/>
                <w:color w:val="000000"/>
                <w:kern w:val="0"/>
                <w:sz w:val="24"/>
                <w:lang w:eastAsia="zh-CN"/>
              </w:rPr>
              <w:t>－</w:t>
            </w:r>
            <w:r>
              <w:rPr>
                <w:rFonts w:hint="eastAsia" w:cs="宋体" w:asciiTheme="minorEastAsia" w:hAnsiTheme="minorEastAsia" w:eastAsiaTheme="minorEastAsia"/>
                <w:color w:val="000000"/>
                <w:kern w:val="0"/>
                <w:sz w:val="24"/>
              </w:rPr>
              <w:t>财政拨款</w:t>
            </w:r>
            <w:r>
              <w:rPr>
                <w:rFonts w:hint="eastAsia" w:cs="宋体" w:asciiTheme="minorEastAsia" w:hAnsiTheme="minorEastAsia" w:eastAsiaTheme="minorEastAsia"/>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仿宋_GB2312" w:asciiTheme="minorEastAsia" w:hAnsiTheme="minorEastAsia" w:eastAsiaTheme="minorEastAsia"/>
                <w:sz w:val="24"/>
              </w:rPr>
              <w:t>24.</w:t>
            </w:r>
            <w:r>
              <w:rPr>
                <w:rFonts w:hint="eastAsia" w:cs="仿宋_GB2312" w:asciiTheme="minorEastAsia" w:hAnsiTheme="minorEastAsia" w:eastAsiaTheme="minorEastAsia"/>
                <w:sz w:val="24"/>
                <w:lang w:val="en-US" w:eastAsia="zh-CN"/>
              </w:rPr>
              <w:t>44</w:t>
            </w:r>
            <w:r>
              <w:rPr>
                <w:rFonts w:hint="eastAsia" w:cs="宋体" w:asciiTheme="minorEastAsia" w:hAnsiTheme="minorEastAsia" w:eastAsiaTheme="minorEastAsia"/>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其中</w:t>
            </w:r>
            <w:r>
              <w:rPr>
                <w:rFonts w:hint="eastAsia" w:cs="宋体" w:asciiTheme="minorEastAsia" w:hAnsiTheme="minorEastAsia" w:eastAsiaTheme="minorEastAsia"/>
                <w:color w:val="000000"/>
                <w:kern w:val="0"/>
                <w:sz w:val="24"/>
                <w:lang w:eastAsia="zh-CN"/>
              </w:rPr>
              <w:t>－</w:t>
            </w:r>
            <w:r>
              <w:rPr>
                <w:rFonts w:hint="eastAsia" w:cs="宋体" w:asciiTheme="minorEastAsia" w:hAnsiTheme="minorEastAsia" w:eastAsiaTheme="minorEastAsia"/>
                <w:color w:val="000000"/>
                <w:kern w:val="0"/>
                <w:sz w:val="24"/>
              </w:rPr>
              <w:t>财政拨款</w:t>
            </w:r>
            <w:r>
              <w:rPr>
                <w:rFonts w:hint="eastAsia" w:cs="宋体" w:asciiTheme="minorEastAsia" w:hAnsiTheme="minorEastAsia" w:eastAsiaTheme="minorEastAsia"/>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仿宋_GB2312" w:asciiTheme="minorEastAsia" w:hAnsiTheme="minorEastAsia" w:eastAsiaTheme="minorEastAsia"/>
                <w:sz w:val="24"/>
              </w:rPr>
              <w:t>24.</w:t>
            </w:r>
            <w:r>
              <w:rPr>
                <w:rFonts w:hint="eastAsia" w:cs="仿宋_GB2312" w:asciiTheme="minorEastAsia" w:hAnsiTheme="minorEastAsia" w:eastAsiaTheme="minorEastAsia"/>
                <w:sz w:val="24"/>
                <w:lang w:val="en-US" w:eastAsia="zh-CN"/>
              </w:rPr>
              <w:t>44</w:t>
            </w:r>
            <w:r>
              <w:rPr>
                <w:rFonts w:hint="eastAsia" w:cs="宋体" w:asciiTheme="minorEastAsia" w:hAnsiTheme="minorEastAsia" w:eastAsiaTheme="minorEastAsia"/>
                <w:color w:val="000000"/>
                <w:sz w:val="24"/>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lang w:eastAsia="zh-CN"/>
              </w:rPr>
              <w:t>其他</w:t>
            </w:r>
            <w:r>
              <w:rPr>
                <w:rFonts w:hint="eastAsia" w:cs="宋体" w:asciiTheme="minorEastAsia" w:hAnsiTheme="minorEastAsia" w:eastAsiaTheme="minorEastAsia"/>
                <w:color w:val="000000"/>
                <w:kern w:val="0"/>
                <w:sz w:val="24"/>
              </w:rPr>
              <w:t>资金</w:t>
            </w:r>
            <w:r>
              <w:rPr>
                <w:rFonts w:hint="eastAsia" w:cs="宋体" w:asciiTheme="minorEastAsia" w:hAnsiTheme="minorEastAsia" w:eastAsiaTheme="minorEastAsia"/>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lang w:eastAsia="zh-CN"/>
              </w:rPr>
              <w:t>其他</w:t>
            </w:r>
            <w:r>
              <w:rPr>
                <w:rFonts w:hint="eastAsia" w:cs="宋体" w:asciiTheme="minorEastAsia" w:hAnsiTheme="minorEastAsia" w:eastAsiaTheme="minorEastAsia"/>
                <w:color w:val="000000"/>
                <w:kern w:val="0"/>
                <w:sz w:val="24"/>
              </w:rPr>
              <w:t>资金</w:t>
            </w:r>
            <w:r>
              <w:rPr>
                <w:rFonts w:hint="eastAsia" w:cs="宋体" w:asciiTheme="minorEastAsia" w:hAnsiTheme="minorEastAsia" w:eastAsiaTheme="minorEastAsia"/>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完成</w:t>
            </w:r>
            <w:r>
              <w:rPr>
                <w:rFonts w:hint="eastAsia" w:cs="宋体" w:asciiTheme="minorEastAsia" w:hAnsiTheme="minorEastAsia" w:eastAsiaTheme="minorEastAsia"/>
                <w:color w:val="000000"/>
                <w:sz w:val="24"/>
                <w:lang w:eastAsia="zh-CN"/>
              </w:rPr>
              <w:t>2019</w:t>
            </w:r>
            <w:r>
              <w:rPr>
                <w:rFonts w:hint="eastAsia" w:cs="宋体" w:asciiTheme="minorEastAsia" w:hAnsiTheme="minorEastAsia" w:eastAsiaTheme="minorEastAsia"/>
                <w:color w:val="000000"/>
                <w:sz w:val="24"/>
              </w:rPr>
              <w:t>年基本药物资金补助</w:t>
            </w:r>
            <w:r>
              <w:rPr>
                <w:rFonts w:hint="eastAsia" w:cs="仿宋_GB2312" w:asciiTheme="minorEastAsia" w:hAnsiTheme="minorEastAsia" w:eastAsiaTheme="minorEastAsia"/>
                <w:sz w:val="24"/>
              </w:rPr>
              <w:t>24.</w:t>
            </w:r>
            <w:r>
              <w:rPr>
                <w:rFonts w:hint="eastAsia" w:cs="仿宋_GB2312" w:asciiTheme="minorEastAsia" w:hAnsiTheme="minorEastAsia" w:eastAsiaTheme="minorEastAsia"/>
                <w:sz w:val="24"/>
                <w:lang w:val="en-US" w:eastAsia="zh-CN"/>
              </w:rPr>
              <w:t>44</w:t>
            </w:r>
            <w:r>
              <w:rPr>
                <w:rFonts w:hint="eastAsia" w:cs="宋体" w:asciiTheme="minorEastAsia" w:hAnsiTheme="minorEastAsia" w:eastAsiaTheme="minorEastAsia"/>
                <w:color w:val="000000"/>
                <w:sz w:val="24"/>
              </w:rPr>
              <w:t>万元</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完成</w:t>
            </w:r>
            <w:r>
              <w:rPr>
                <w:rFonts w:hint="eastAsia" w:cs="宋体" w:asciiTheme="minorEastAsia" w:hAnsiTheme="minorEastAsia" w:eastAsiaTheme="minorEastAsia"/>
                <w:color w:val="000000"/>
                <w:sz w:val="24"/>
                <w:lang w:eastAsia="zh-CN"/>
              </w:rPr>
              <w:t>2019</w:t>
            </w:r>
            <w:r>
              <w:rPr>
                <w:rFonts w:hint="eastAsia" w:cs="宋体" w:asciiTheme="minorEastAsia" w:hAnsiTheme="minorEastAsia" w:eastAsiaTheme="minorEastAsia"/>
                <w:color w:val="000000"/>
                <w:sz w:val="24"/>
              </w:rPr>
              <w:t>年基本药物资金补助</w:t>
            </w:r>
            <w:r>
              <w:rPr>
                <w:rFonts w:hint="eastAsia" w:cs="仿宋_GB2312" w:asciiTheme="minorEastAsia" w:hAnsiTheme="minorEastAsia" w:eastAsiaTheme="minorEastAsia"/>
                <w:sz w:val="24"/>
              </w:rPr>
              <w:t>24.</w:t>
            </w:r>
            <w:r>
              <w:rPr>
                <w:rFonts w:hint="eastAsia" w:cs="仿宋_GB2312" w:asciiTheme="minorEastAsia" w:hAnsiTheme="minorEastAsia" w:eastAsiaTheme="minorEastAsia"/>
                <w:sz w:val="24"/>
                <w:lang w:val="en-US" w:eastAsia="zh-CN"/>
              </w:rPr>
              <w:t>44</w:t>
            </w:r>
            <w:r>
              <w:rPr>
                <w:rFonts w:hint="eastAsia" w:cs="宋体" w:asciiTheme="minorEastAsia" w:hAnsiTheme="minorEastAsia" w:eastAsiaTheme="minorEastAsia"/>
                <w:color w:val="000000"/>
                <w:sz w:val="24"/>
              </w:rPr>
              <w:t>万元</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w:t>
            </w:r>
            <w:r>
              <w:rPr>
                <w:rFonts w:hint="eastAsia" w:ascii="宋体" w:hAnsi="宋体" w:cs="宋体"/>
                <w:color w:val="000000"/>
                <w:sz w:val="24"/>
                <w:lang w:eastAsia="zh-CN"/>
              </w:rPr>
              <w:t>2019</w:t>
            </w:r>
            <w:r>
              <w:rPr>
                <w:rFonts w:hint="eastAsia" w:ascii="宋体" w:hAnsi="宋体" w:cs="宋体"/>
                <w:color w:val="000000"/>
                <w:sz w:val="24"/>
              </w:rPr>
              <w:t>年基药采购数量任务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通过基药采购平台进行采购</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每月按时完成采购计划</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在基药平台采购基药</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基药零差价进销让患者减轻负担</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患者对基药零差价进销满意度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达到85%以上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bl>
    <w:p>
      <w:pPr>
        <w:rPr>
          <w:rFonts w:ascii="Calibri" w:hAnsi="Calibri"/>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9"/>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b/>
                <w:bCs/>
                <w:color w:val="000000"/>
                <w:kern w:val="0"/>
                <w:sz w:val="36"/>
                <w:szCs w:val="36"/>
                <w:lang w:eastAsia="zh-CN"/>
              </w:rPr>
              <w:t>（</w:t>
            </w:r>
            <w:r>
              <w:rPr>
                <w:rFonts w:hint="eastAsia" w:ascii="宋体" w:hAnsi="宋体" w:cs="宋体"/>
                <w:color w:val="000000"/>
                <w:kern w:val="0"/>
                <w:sz w:val="36"/>
                <w:szCs w:val="36"/>
                <w:lang w:eastAsia="zh-CN"/>
              </w:rPr>
              <w:t>2019</w:t>
            </w:r>
            <w:r>
              <w:rPr>
                <w:rFonts w:hint="eastAsia" w:ascii="宋体" w:hAnsi="宋体" w:cs="宋体"/>
                <w:color w:val="000000"/>
                <w:kern w:val="0"/>
                <w:sz w:val="36"/>
                <w:szCs w:val="36"/>
              </w:rPr>
              <w:t xml:space="preserve"> 年度</w:t>
            </w:r>
            <w:r>
              <w:rPr>
                <w:rFonts w:hint="eastAsia" w:ascii="宋体" w:hAnsi="宋体" w:cs="宋体"/>
                <w:color w:val="000000"/>
                <w:kern w:val="0"/>
                <w:sz w:val="36"/>
                <w:szCs w:val="36"/>
                <w:lang w:eastAsia="zh-CN"/>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基本公共卫生服务</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达州市达川区堡子镇中心卫生院</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w:t>
            </w:r>
            <w:r>
              <w:rPr>
                <w:rFonts w:hint="eastAsia" w:ascii="宋体" w:hAnsi="宋体" w:cs="宋体"/>
                <w:color w:val="000000"/>
                <w:kern w:val="0"/>
                <w:sz w:val="24"/>
                <w:lang w:eastAsia="zh-CN"/>
              </w:rPr>
              <w:t>（</w:t>
            </w:r>
            <w:r>
              <w:rPr>
                <w:rFonts w:hint="eastAsia" w:ascii="宋体" w:hAnsi="宋体" w:cs="宋体"/>
                <w:color w:val="000000"/>
                <w:kern w:val="0"/>
                <w:sz w:val="24"/>
              </w:rPr>
              <w:t>万元</w:t>
            </w:r>
            <w:r>
              <w:rPr>
                <w:rFonts w:hint="eastAsia" w:ascii="宋体" w:hAnsi="宋体" w:cs="宋体"/>
                <w:color w:val="000000"/>
                <w:kern w:val="0"/>
                <w:sz w:val="24"/>
                <w:lang w:eastAsia="zh-CN"/>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113.92</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113.92</w:t>
            </w:r>
            <w:r>
              <w:rPr>
                <w:rFonts w:hint="eastAsia" w:ascii="宋体" w:hAnsi="宋体" w:cs="宋体"/>
                <w:color w:val="000000"/>
                <w:sz w:val="24"/>
              </w:rPr>
              <w:t>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w:t>
            </w:r>
            <w:r>
              <w:rPr>
                <w:rFonts w:hint="eastAsia" w:ascii="宋体" w:hAnsi="宋体" w:cs="宋体"/>
                <w:color w:val="000000"/>
                <w:kern w:val="0"/>
                <w:sz w:val="24"/>
                <w:lang w:eastAsia="zh-CN"/>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113.92</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w:t>
            </w:r>
            <w:r>
              <w:rPr>
                <w:rFonts w:hint="eastAsia" w:ascii="宋体" w:hAnsi="宋体" w:cs="宋体"/>
                <w:color w:val="000000"/>
                <w:kern w:val="0"/>
                <w:sz w:val="24"/>
                <w:lang w:eastAsia="zh-CN"/>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113.92</w:t>
            </w:r>
            <w:r>
              <w:rPr>
                <w:rFonts w:hint="eastAsia" w:ascii="宋体" w:hAnsi="宋体" w:cs="宋体"/>
                <w:color w:val="000000"/>
                <w:sz w:val="24"/>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其他</w:t>
            </w:r>
            <w:r>
              <w:rPr>
                <w:rFonts w:hint="eastAsia" w:ascii="宋体" w:hAnsi="宋体" w:cs="宋体"/>
                <w:color w:val="000000"/>
                <w:kern w:val="0"/>
                <w:sz w:val="24"/>
              </w:rPr>
              <w:t>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其他</w:t>
            </w:r>
            <w:r>
              <w:rPr>
                <w:rFonts w:hint="eastAsia" w:ascii="宋体" w:hAnsi="宋体" w:cs="宋体"/>
                <w:color w:val="000000"/>
                <w:kern w:val="0"/>
                <w:sz w:val="24"/>
              </w:rPr>
              <w:t>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w:t>
            </w:r>
            <w:r>
              <w:rPr>
                <w:rFonts w:hint="eastAsia" w:ascii="宋体" w:hAnsi="宋体" w:cs="宋体"/>
                <w:color w:val="000000"/>
                <w:sz w:val="24"/>
                <w:lang w:eastAsia="zh-CN"/>
              </w:rPr>
              <w:t>2019</w:t>
            </w:r>
            <w:r>
              <w:rPr>
                <w:rFonts w:hint="eastAsia" w:ascii="宋体" w:hAnsi="宋体" w:cs="宋体"/>
                <w:color w:val="000000"/>
                <w:sz w:val="24"/>
              </w:rPr>
              <w:t>年基本公共卫生服务</w:t>
            </w:r>
            <w:r>
              <w:rPr>
                <w:rFonts w:hint="eastAsia" w:ascii="宋体" w:hAnsi="宋体" w:cs="宋体"/>
                <w:color w:val="000000"/>
                <w:sz w:val="24"/>
                <w:lang w:val="en-US" w:eastAsia="zh-CN"/>
              </w:rPr>
              <w:t>113.92</w:t>
            </w:r>
            <w:r>
              <w:rPr>
                <w:rFonts w:hint="eastAsia" w:ascii="宋体" w:hAnsi="宋体" w:cs="宋体"/>
                <w:color w:val="000000"/>
                <w:sz w:val="24"/>
              </w:rPr>
              <w:t>万元</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w:t>
            </w:r>
            <w:r>
              <w:rPr>
                <w:rFonts w:hint="eastAsia" w:ascii="宋体" w:hAnsi="宋体" w:cs="宋体"/>
                <w:color w:val="000000"/>
                <w:sz w:val="24"/>
                <w:lang w:eastAsia="zh-CN"/>
              </w:rPr>
              <w:t>2019</w:t>
            </w:r>
            <w:r>
              <w:rPr>
                <w:rFonts w:hint="eastAsia" w:ascii="宋体" w:hAnsi="宋体" w:cs="宋体"/>
                <w:color w:val="000000"/>
                <w:sz w:val="24"/>
              </w:rPr>
              <w:t>年基本公共卫生服务</w:t>
            </w:r>
            <w:r>
              <w:rPr>
                <w:rFonts w:hint="eastAsia" w:ascii="宋体" w:hAnsi="宋体" w:cs="宋体"/>
                <w:color w:val="000000"/>
                <w:sz w:val="24"/>
                <w:lang w:val="en-US" w:eastAsia="zh-CN"/>
              </w:rPr>
              <w:t>113.92</w:t>
            </w:r>
            <w:r>
              <w:rPr>
                <w:rFonts w:hint="eastAsia" w:ascii="宋体" w:hAnsi="宋体" w:cs="宋体"/>
                <w:color w:val="000000"/>
                <w:sz w:val="24"/>
              </w:rPr>
              <w:t>万元</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w:t>
            </w:r>
            <w:r>
              <w:rPr>
                <w:rFonts w:hint="eastAsia" w:ascii="宋体" w:hAnsi="宋体" w:cs="宋体"/>
                <w:color w:val="000000"/>
                <w:sz w:val="24"/>
                <w:lang w:eastAsia="zh-CN"/>
              </w:rPr>
              <w:t>2019</w:t>
            </w:r>
            <w:r>
              <w:rPr>
                <w:rFonts w:hint="eastAsia" w:ascii="宋体" w:hAnsi="宋体" w:cs="宋体"/>
                <w:color w:val="000000"/>
                <w:sz w:val="24"/>
              </w:rPr>
              <w:t>年基本公共卫生服</w:t>
            </w:r>
            <w:r>
              <w:rPr>
                <w:rFonts w:hint="eastAsia" w:ascii="宋体" w:hAnsi="宋体" w:cs="宋体"/>
                <w:color w:val="000000"/>
                <w:sz w:val="24"/>
                <w:lang w:val="en-US" w:eastAsia="zh-CN"/>
              </w:rPr>
              <w:t>113.92</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通过基本公共卫生服务开展达到对辖区居民建档率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达到90%以上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按时完成公卫相关工作及相关报表的上报</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严格控制基本公共卫生服务经费支出做到专款专用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通过基本公共卫生服务的开展让群众知道该项目的开展目的</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达到80%以上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通过基本公共卫生服务的开展使群众对</w:t>
            </w:r>
            <w:r>
              <w:rPr>
                <w:rFonts w:hint="eastAsia" w:ascii="宋体" w:hAnsi="宋体" w:cs="宋体"/>
                <w:color w:val="000000"/>
                <w:sz w:val="24"/>
                <w:lang w:eastAsia="zh-CN"/>
              </w:rPr>
              <w:t>该项</w:t>
            </w:r>
            <w:r>
              <w:rPr>
                <w:rFonts w:hint="eastAsia" w:ascii="宋体" w:hAnsi="宋体" w:cs="宋体"/>
                <w:color w:val="000000"/>
                <w:sz w:val="24"/>
              </w:rPr>
              <w:t>目的认可度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达到85%以上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bl>
    <w:p>
      <w:pPr>
        <w:spacing w:line="580" w:lineRule="exact"/>
        <w:rPr>
          <w:rFonts w:ascii="仿宋_GB2312" w:hAnsi="仿宋_GB2312" w:eastAsia="仿宋_GB2312" w:cs="仿宋_GB2312"/>
          <w:sz w:val="32"/>
          <w:szCs w:val="32"/>
        </w:rPr>
      </w:pPr>
    </w:p>
    <w:p>
      <w:pPr>
        <w:numPr>
          <w:ilvl w:val="0"/>
          <w:numId w:val="4"/>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hint="eastAsia" w:ascii="仿宋_GB2312" w:hAnsi="仿宋_GB2312" w:eastAsia="仿宋_GB2312" w:cs="仿宋_GB2312"/>
          <w:sz w:val="32"/>
          <w:szCs w:val="32"/>
          <w:lang w:eastAsia="zh-CN"/>
        </w:rPr>
        <w:t>2019</w:t>
      </w:r>
      <w:r>
        <w:rPr>
          <w:rFonts w:hint="eastAsia" w:ascii="仿宋_GB2312" w:hAnsi="仿宋_GB2312" w:eastAsia="仿宋_GB2312" w:cs="仿宋_GB2312"/>
          <w:sz w:val="32"/>
          <w:szCs w:val="32"/>
        </w:rPr>
        <w:t>年部门整体支出绩效评价情况开展自评，《四川省达州市达川区堡子镇中心卫生院</w:t>
      </w:r>
      <w:r>
        <w:rPr>
          <w:rFonts w:hint="eastAsia" w:ascii="仿宋_GB2312" w:hAnsi="仿宋_GB2312" w:eastAsia="仿宋_GB2312" w:cs="仿宋_GB2312"/>
          <w:sz w:val="32"/>
          <w:szCs w:val="32"/>
          <w:lang w:eastAsia="zh-CN"/>
        </w:rPr>
        <w:t>2019</w:t>
      </w:r>
      <w:r>
        <w:rPr>
          <w:rFonts w:hint="eastAsia" w:ascii="仿宋_GB2312" w:hAnsi="仿宋_GB2312" w:eastAsia="仿宋_GB2312" w:cs="仿宋_GB2312"/>
          <w:sz w:val="32"/>
          <w:szCs w:val="32"/>
        </w:rPr>
        <w:t>年部门整体支出绩效评价报告》见附件。本部门未自行组织其他项目绩效评价。</w:t>
      </w:r>
    </w:p>
    <w:p/>
    <w:p/>
    <w:p>
      <w:pPr>
        <w:spacing w:line="600" w:lineRule="exact"/>
        <w:ind w:firstLine="800" w:firstLineChars="250"/>
        <w:outlineLvl w:val="1"/>
        <w:rPr>
          <w:rStyle w:val="25"/>
          <w:rFonts w:ascii="黑体" w:hAnsi="黑体" w:eastAsia="黑体"/>
        </w:rPr>
      </w:pPr>
      <w:r>
        <w:rPr>
          <w:rFonts w:hint="eastAsia" w:ascii="黑体" w:hAnsi="黑体" w:eastAsia="黑体"/>
          <w:color w:val="000000"/>
          <w:sz w:val="32"/>
          <w:szCs w:val="32"/>
        </w:rPr>
        <w:t>十</w:t>
      </w:r>
      <w:r>
        <w:rPr>
          <w:rStyle w:val="25"/>
          <w:rFonts w:hint="eastAsia" w:ascii="黑体" w:hAnsi="黑体" w:eastAsia="黑体"/>
        </w:rPr>
        <w:t>一、</w:t>
      </w:r>
      <w:r>
        <w:rPr>
          <w:rStyle w:val="25"/>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3" w:firstLineChars="200"/>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sz w:val="32"/>
          <w:szCs w:val="32"/>
        </w:rPr>
        <w:t>无</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eastAsia="zh-CN"/>
        </w:rPr>
        <w:t>2019</w:t>
      </w:r>
      <w:r>
        <w:rPr>
          <w:rFonts w:hint="eastAsia" w:ascii="仿宋_GB2312" w:eastAsia="仿宋_GB2312"/>
          <w:color w:val="000000"/>
          <w:sz w:val="32"/>
          <w:szCs w:val="32"/>
        </w:rPr>
        <w:t>年，达州市达川区堡子镇中心卫生院政府采购支出总额</w:t>
      </w:r>
      <w:r>
        <w:rPr>
          <w:rFonts w:hint="eastAsia" w:ascii="仿宋_GB2312" w:eastAsia="仿宋_GB2312"/>
          <w:color w:val="000000"/>
          <w:sz w:val="32"/>
          <w:szCs w:val="32"/>
          <w:lang w:val="en-US" w:eastAsia="zh-CN"/>
        </w:rPr>
        <w:t>1.69</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1.69</w:t>
      </w:r>
      <w:r>
        <w:rPr>
          <w:rFonts w:hint="eastAsia" w:ascii="仿宋_GB2312" w:eastAsia="仿宋_GB2312"/>
          <w:color w:val="000000"/>
          <w:sz w:val="32"/>
          <w:szCs w:val="32"/>
        </w:rPr>
        <w:t>万元、主要用于单位日常办公用。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hint="eastAsia" w:ascii="仿宋_GB2312" w:eastAsia="仿宋_GB2312"/>
          <w:color w:val="000000"/>
          <w:sz w:val="32"/>
          <w:szCs w:val="32"/>
          <w:lang w:eastAsia="zh-CN"/>
        </w:rPr>
        <w:t>2019</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日，达州市达川区堡子镇中心卫生院共有车辆1辆，其中：特种专业技术用车1辆，特种专业技术用</w:t>
      </w:r>
      <w:r>
        <w:rPr>
          <w:rFonts w:hint="eastAsia" w:ascii="仿宋_GB2312" w:eastAsia="仿宋_GB2312"/>
          <w:color w:val="000000" w:themeColor="text1"/>
          <w:sz w:val="32"/>
          <w:szCs w:val="32"/>
          <w14:textFill>
            <w14:solidFill>
              <w14:schemeClr w14:val="tx1"/>
            </w14:solidFill>
          </w14:textFill>
        </w:rPr>
        <w:t>车主要是用于单位急救病人使用。</w:t>
      </w:r>
    </w:p>
    <w:p>
      <w:pPr>
        <w:spacing w:line="600" w:lineRule="atLeast"/>
        <w:ind w:firstLine="643"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5"/>
        </w:numPr>
        <w:spacing w:line="600" w:lineRule="exact"/>
        <w:ind w:firstLine="663" w:firstLineChars="150"/>
        <w:jc w:val="center"/>
        <w:outlineLvl w:val="0"/>
        <w:rPr>
          <w:rStyle w:val="24"/>
          <w:rFonts w:ascii="黑体" w:hAnsi="黑体" w:eastAsia="黑体"/>
          <w:b w:val="0"/>
        </w:rPr>
      </w:pPr>
      <w:bookmarkStart w:id="55" w:name="_Toc15377225"/>
      <w:bookmarkStart w:id="56" w:name="_Toc15396613"/>
      <w:r>
        <w:rPr>
          <w:rFonts w:hint="eastAsia" w:ascii="黑体" w:hAnsi="黑体" w:eastAsia="黑体"/>
          <w:b/>
          <w:color w:val="000000"/>
          <w:sz w:val="44"/>
          <w:szCs w:val="44"/>
        </w:rPr>
        <w:t>名</w:t>
      </w:r>
      <w:r>
        <w:rPr>
          <w:rStyle w:val="24"/>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其他收入：指单位取得的除上述收入以外的各项收入。主要是利息等。</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pStyle w:val="22"/>
        <w:spacing w:line="560" w:lineRule="exact"/>
        <w:ind w:firstLine="640" w:firstLineChars="200"/>
        <w:rPr>
          <w:rFonts w:ascii="仿宋_GB2312" w:eastAsia="仿宋_GB2312"/>
          <w:sz w:val="32"/>
          <w:szCs w:val="32"/>
        </w:rPr>
      </w:pPr>
      <w:r>
        <w:rPr>
          <w:rStyle w:val="14"/>
          <w:rFonts w:hint="eastAsia" w:ascii="仿宋" w:hAnsi="仿宋" w:eastAsia="仿宋"/>
          <w:b w:val="0"/>
          <w:color w:val="000000"/>
          <w:sz w:val="32"/>
          <w:szCs w:val="32"/>
        </w:rPr>
        <w:t>9</w:t>
      </w:r>
      <w:r>
        <w:rPr>
          <w:rStyle w:val="14"/>
          <w:rFonts w:ascii="仿宋" w:hAnsi="仿宋" w:eastAsia="仿宋"/>
          <w:b w:val="0"/>
          <w:color w:val="000000"/>
          <w:sz w:val="32"/>
          <w:szCs w:val="32"/>
        </w:rPr>
        <w:t>.</w:t>
      </w:r>
      <w:r>
        <w:rPr>
          <w:rFonts w:hint="eastAsia" w:ascii="仿宋_GB2312" w:eastAsia="仿宋_GB2312"/>
          <w:sz w:val="32"/>
          <w:szCs w:val="32"/>
        </w:rPr>
        <w:t>9.社会保障和就业（208）人力资源</w:t>
      </w:r>
      <w:r>
        <w:rPr>
          <w:rFonts w:hint="eastAsia" w:ascii="仿宋_GB2312" w:eastAsia="仿宋_GB2312"/>
          <w:sz w:val="32"/>
          <w:szCs w:val="32"/>
          <w:lang w:val="en-US" w:eastAsia="zh-CN"/>
        </w:rPr>
        <w:t>和社会保障</w:t>
      </w:r>
      <w:r>
        <w:rPr>
          <w:rFonts w:hint="eastAsia" w:ascii="仿宋_GB2312" w:eastAsia="仿宋_GB2312"/>
          <w:sz w:val="32"/>
          <w:szCs w:val="32"/>
        </w:rPr>
        <w:t>事务（20</w:t>
      </w:r>
      <w:r>
        <w:rPr>
          <w:rFonts w:hint="eastAsia" w:ascii="仿宋_GB2312" w:eastAsia="仿宋_GB2312"/>
          <w:sz w:val="32"/>
          <w:szCs w:val="32"/>
          <w:lang w:val="en-US" w:eastAsia="zh-CN"/>
        </w:rPr>
        <w:t>801</w:t>
      </w:r>
      <w:r>
        <w:rPr>
          <w:rFonts w:hint="eastAsia" w:ascii="仿宋_GB2312" w:eastAsia="仿宋_GB2312"/>
          <w:sz w:val="32"/>
          <w:szCs w:val="32"/>
        </w:rPr>
        <w:t>）其它人力资源</w:t>
      </w:r>
      <w:r>
        <w:rPr>
          <w:rFonts w:hint="eastAsia" w:ascii="仿宋_GB2312" w:eastAsia="仿宋_GB2312"/>
          <w:sz w:val="32"/>
          <w:szCs w:val="32"/>
          <w:lang w:val="en-US" w:eastAsia="zh-CN"/>
        </w:rPr>
        <w:t>和社会保障管理事务</w:t>
      </w:r>
      <w:r>
        <w:rPr>
          <w:rFonts w:hint="eastAsia" w:ascii="仿宋_GB2312" w:eastAsia="仿宋_GB2312"/>
          <w:sz w:val="32"/>
          <w:szCs w:val="32"/>
        </w:rPr>
        <w:t>支出（20</w:t>
      </w:r>
      <w:r>
        <w:rPr>
          <w:rFonts w:hint="eastAsia" w:ascii="仿宋_GB2312" w:eastAsia="仿宋_GB2312"/>
          <w:sz w:val="32"/>
          <w:szCs w:val="32"/>
          <w:lang w:val="en-US" w:eastAsia="zh-CN"/>
        </w:rPr>
        <w:t>80199</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是指三支一扶人员一般性支出。</w:t>
      </w:r>
    </w:p>
    <w:p>
      <w:pPr>
        <w:spacing w:line="600" w:lineRule="exact"/>
        <w:ind w:firstLine="640" w:firstLineChars="200"/>
        <w:rPr>
          <w:rFonts w:ascii="仿宋" w:hAnsi="仿宋" w:eastAsia="仿宋"/>
          <w:color w:val="000000"/>
          <w:sz w:val="32"/>
          <w:szCs w:val="32"/>
        </w:rPr>
      </w:pPr>
      <w:r>
        <w:rPr>
          <w:rFonts w:hint="eastAsia" w:ascii="仿宋_GB2312" w:eastAsia="仿宋_GB2312"/>
          <w:sz w:val="32"/>
          <w:szCs w:val="32"/>
        </w:rPr>
        <w:t xml:space="preserve"> </w:t>
      </w:r>
      <w:r>
        <w:rPr>
          <w:rStyle w:val="14"/>
          <w:rFonts w:hint="eastAsia" w:ascii="仿宋" w:hAnsi="仿宋" w:eastAsia="仿宋"/>
          <w:b w:val="0"/>
          <w:color w:val="000000"/>
          <w:sz w:val="32"/>
          <w:szCs w:val="32"/>
        </w:rPr>
        <w:t>10</w:t>
      </w:r>
      <w:r>
        <w:rPr>
          <w:rStyle w:val="14"/>
          <w:rFonts w:ascii="仿宋" w:hAnsi="仿宋" w:eastAsia="仿宋"/>
          <w:b w:val="0"/>
          <w:color w:val="000000"/>
          <w:sz w:val="32"/>
          <w:szCs w:val="32"/>
        </w:rPr>
        <w:t>.</w:t>
      </w:r>
      <w:r>
        <w:rPr>
          <w:rStyle w:val="14"/>
          <w:rFonts w:hint="eastAsia" w:ascii="仿宋" w:hAnsi="仿宋" w:eastAsia="仿宋"/>
          <w:b w:val="0"/>
          <w:color w:val="000000"/>
          <w:sz w:val="32"/>
          <w:szCs w:val="32"/>
        </w:rPr>
        <w:t>社会保障和就业（208）行政事业单位离退休（20805）机关事业单位基本养老保险缴费支出（2080505）</w:t>
      </w:r>
      <w:r>
        <w:rPr>
          <w:rStyle w:val="14"/>
          <w:rFonts w:ascii="仿宋" w:hAnsi="仿宋" w:eastAsia="仿宋"/>
          <w:b w:val="0"/>
          <w:color w:val="000000"/>
          <w:sz w:val="32"/>
          <w:szCs w:val="32"/>
        </w:rPr>
        <w:t xml:space="preserve">: </w:t>
      </w:r>
      <w:r>
        <w:rPr>
          <w:rStyle w:val="14"/>
          <w:rFonts w:hint="eastAsia" w:ascii="仿宋" w:hAnsi="仿宋" w:eastAsia="仿宋"/>
          <w:b w:val="0"/>
          <w:color w:val="000000"/>
          <w:sz w:val="32"/>
          <w:szCs w:val="32"/>
        </w:rPr>
        <w:t>指单位职工养老保险缴费支出。</w:t>
      </w:r>
    </w:p>
    <w:p>
      <w:pPr>
        <w:spacing w:line="600" w:lineRule="exact"/>
        <w:ind w:firstLine="640"/>
        <w:rPr>
          <w:rFonts w:ascii="仿宋_GB2312" w:eastAsia="仿宋_GB2312"/>
          <w:color w:val="000000"/>
          <w:sz w:val="32"/>
          <w:szCs w:val="32"/>
        </w:rPr>
      </w:pPr>
      <w:r>
        <w:rPr>
          <w:rStyle w:val="14"/>
          <w:rFonts w:hint="eastAsia" w:ascii="仿宋_GB2312" w:eastAsia="仿宋_GB2312"/>
          <w:b w:val="0"/>
          <w:color w:val="000000"/>
          <w:sz w:val="32"/>
          <w:szCs w:val="32"/>
        </w:rPr>
        <w:t>11.医疗卫生与计划生育（210）基层医疗卫生机构（21003）</w:t>
      </w:r>
      <w:r>
        <w:rPr>
          <w:rFonts w:hint="eastAsia" w:ascii="仿宋_GB2312" w:eastAsia="仿宋_GB2312"/>
          <w:color w:val="000000"/>
          <w:sz w:val="32"/>
          <w:szCs w:val="32"/>
        </w:rPr>
        <w:t>乡镇卫生院（2100302）</w:t>
      </w:r>
      <w:r>
        <w:rPr>
          <w:rFonts w:hint="eastAsia" w:ascii="仿宋_GB2312" w:eastAsia="仿宋_GB2312"/>
          <w:color w:val="000000"/>
          <w:sz w:val="32"/>
          <w:szCs w:val="32"/>
          <w:lang w:eastAsia="zh-CN"/>
        </w:rPr>
        <w:t>：</w:t>
      </w:r>
      <w:r>
        <w:rPr>
          <w:rFonts w:hint="eastAsia" w:ascii="仿宋_GB2312" w:eastAsia="仿宋_GB2312"/>
          <w:color w:val="000000"/>
          <w:sz w:val="32"/>
          <w:szCs w:val="32"/>
        </w:rPr>
        <w:t>指为保障机构正常运转、完成日常工作任务而发生的人员支出和公用支出。</w:t>
      </w:r>
    </w:p>
    <w:p>
      <w:pPr>
        <w:spacing w:line="600" w:lineRule="exact"/>
        <w:ind w:firstLine="640" w:firstLineChars="200"/>
        <w:rPr>
          <w:rStyle w:val="14"/>
          <w:rFonts w:ascii="仿宋" w:hAnsi="仿宋" w:eastAsia="仿宋"/>
          <w:b w:val="0"/>
          <w:color w:val="000000"/>
          <w:sz w:val="32"/>
          <w:szCs w:val="32"/>
        </w:rPr>
      </w:pPr>
      <w:r>
        <w:rPr>
          <w:rStyle w:val="14"/>
          <w:rFonts w:hint="eastAsia" w:ascii="仿宋" w:hAnsi="仿宋" w:eastAsia="仿宋"/>
          <w:b w:val="0"/>
          <w:color w:val="000000"/>
          <w:sz w:val="32"/>
          <w:szCs w:val="32"/>
        </w:rPr>
        <w:t>12</w:t>
      </w:r>
      <w:r>
        <w:rPr>
          <w:rStyle w:val="14"/>
          <w:rFonts w:ascii="仿宋" w:hAnsi="仿宋" w:eastAsia="仿宋"/>
          <w:b w:val="0"/>
          <w:color w:val="000000"/>
          <w:sz w:val="32"/>
          <w:szCs w:val="32"/>
        </w:rPr>
        <w:t>.</w:t>
      </w:r>
      <w:r>
        <w:rPr>
          <w:rStyle w:val="14"/>
          <w:rFonts w:hint="eastAsia" w:ascii="仿宋" w:hAnsi="仿宋" w:eastAsia="仿宋"/>
          <w:b w:val="0"/>
          <w:color w:val="000000"/>
          <w:sz w:val="32"/>
          <w:szCs w:val="32"/>
        </w:rPr>
        <w:t>医疗卫生与计划生育（210）基层医疗卫生机构（21003）</w:t>
      </w:r>
      <w:r>
        <w:rPr>
          <w:rStyle w:val="14"/>
          <w:rFonts w:hint="eastAsia" w:ascii="仿宋" w:hAnsi="仿宋" w:eastAsia="仿宋"/>
          <w:b w:val="0"/>
          <w:color w:val="000000"/>
          <w:sz w:val="32"/>
          <w:szCs w:val="32"/>
          <w:lang w:eastAsia="zh-CN"/>
        </w:rPr>
        <w:t>其他</w:t>
      </w:r>
      <w:r>
        <w:rPr>
          <w:rStyle w:val="14"/>
          <w:rFonts w:hint="eastAsia" w:ascii="仿宋" w:hAnsi="仿宋" w:eastAsia="仿宋"/>
          <w:b w:val="0"/>
          <w:color w:val="000000"/>
          <w:sz w:val="32"/>
          <w:szCs w:val="32"/>
        </w:rPr>
        <w:t>基层医疗卫生机构支出（2100399）</w:t>
      </w:r>
      <w:r>
        <w:rPr>
          <w:rStyle w:val="14"/>
          <w:rFonts w:hint="eastAsia" w:ascii="仿宋" w:hAnsi="仿宋" w:eastAsia="仿宋"/>
          <w:b w:val="0"/>
          <w:color w:val="000000"/>
          <w:sz w:val="32"/>
          <w:szCs w:val="32"/>
          <w:lang w:eastAsia="zh-CN"/>
        </w:rPr>
        <w:t>：</w:t>
      </w:r>
      <w:r>
        <w:rPr>
          <w:rStyle w:val="14"/>
          <w:rFonts w:hint="eastAsia" w:ascii="仿宋" w:hAnsi="仿宋" w:eastAsia="仿宋"/>
          <w:b w:val="0"/>
          <w:color w:val="000000"/>
          <w:sz w:val="32"/>
          <w:szCs w:val="32"/>
        </w:rPr>
        <w:t>指单位实施国家基本药物制度支出。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13、</w:t>
      </w:r>
      <w:r>
        <w:rPr>
          <w:rStyle w:val="14"/>
          <w:rFonts w:hint="eastAsia" w:ascii="仿宋" w:hAnsi="仿宋" w:eastAsia="仿宋"/>
          <w:b w:val="0"/>
          <w:color w:val="000000"/>
          <w:sz w:val="32"/>
          <w:szCs w:val="32"/>
        </w:rPr>
        <w:t>医疗卫生与计划生育（210）公共卫生（21004）基本公共卫生服务（2100408）</w:t>
      </w:r>
      <w:r>
        <w:rPr>
          <w:rStyle w:val="14"/>
          <w:rFonts w:hint="eastAsia" w:ascii="仿宋" w:hAnsi="仿宋" w:eastAsia="仿宋"/>
          <w:b w:val="0"/>
          <w:color w:val="000000"/>
          <w:sz w:val="32"/>
          <w:szCs w:val="32"/>
          <w:lang w:eastAsia="zh-CN"/>
        </w:rPr>
        <w:t>：</w:t>
      </w:r>
      <w:r>
        <w:rPr>
          <w:rStyle w:val="14"/>
          <w:rFonts w:hint="eastAsia" w:ascii="仿宋" w:hAnsi="仿宋" w:eastAsia="仿宋"/>
          <w:b w:val="0"/>
          <w:color w:val="000000"/>
          <w:sz w:val="32"/>
          <w:szCs w:val="32"/>
        </w:rPr>
        <w:t>指单位实施基本公共卫生服务支出。</w:t>
      </w:r>
    </w:p>
    <w:p>
      <w:pPr>
        <w:spacing w:line="600" w:lineRule="exact"/>
        <w:ind w:firstLine="640"/>
        <w:rPr>
          <w:rStyle w:val="14"/>
          <w:rFonts w:ascii="仿宋" w:hAnsi="仿宋" w:eastAsia="仿宋"/>
          <w:b w:val="0"/>
          <w:color w:val="000000"/>
          <w:sz w:val="32"/>
          <w:szCs w:val="32"/>
        </w:rPr>
      </w:pPr>
      <w:r>
        <w:rPr>
          <w:rFonts w:hint="eastAsia" w:ascii="仿宋" w:hAnsi="仿宋" w:eastAsia="仿宋"/>
          <w:color w:val="000000"/>
          <w:sz w:val="32"/>
          <w:szCs w:val="32"/>
        </w:rPr>
        <w:t>14、</w:t>
      </w:r>
      <w:r>
        <w:rPr>
          <w:rStyle w:val="14"/>
          <w:rFonts w:hint="eastAsia" w:ascii="仿宋" w:hAnsi="仿宋" w:eastAsia="仿宋"/>
          <w:b w:val="0"/>
          <w:color w:val="000000"/>
          <w:sz w:val="32"/>
          <w:szCs w:val="32"/>
        </w:rPr>
        <w:t>医疗卫生与计划生育（210）行政事业单位医疗（21011）事业单位医疗（2101102）</w:t>
      </w:r>
      <w:r>
        <w:rPr>
          <w:rStyle w:val="14"/>
          <w:rFonts w:hint="eastAsia" w:ascii="仿宋" w:hAnsi="仿宋" w:eastAsia="仿宋"/>
          <w:b w:val="0"/>
          <w:color w:val="000000"/>
          <w:sz w:val="32"/>
          <w:szCs w:val="32"/>
          <w:lang w:eastAsia="zh-CN"/>
        </w:rPr>
        <w:t>：</w:t>
      </w:r>
      <w:r>
        <w:rPr>
          <w:rStyle w:val="14"/>
          <w:rFonts w:hint="eastAsia" w:ascii="仿宋" w:hAnsi="仿宋" w:eastAsia="仿宋"/>
          <w:b w:val="0"/>
          <w:color w:val="000000"/>
          <w:sz w:val="32"/>
          <w:szCs w:val="32"/>
        </w:rPr>
        <w:t>指单位基本医疗保险服务支出。</w:t>
      </w:r>
    </w:p>
    <w:p>
      <w:pPr>
        <w:ind w:firstLine="640" w:firstLineChars="200"/>
        <w:rPr>
          <w:rStyle w:val="14"/>
          <w:rFonts w:ascii="仿宋" w:hAnsi="仿宋" w:eastAsia="仿宋"/>
          <w:b w:val="0"/>
          <w:color w:val="000000"/>
          <w:sz w:val="32"/>
          <w:szCs w:val="32"/>
        </w:rPr>
      </w:pPr>
      <w:r>
        <w:rPr>
          <w:rFonts w:hint="eastAsia" w:ascii="仿宋" w:hAnsi="仿宋" w:eastAsia="仿宋"/>
          <w:color w:val="000000"/>
          <w:sz w:val="32"/>
          <w:szCs w:val="32"/>
        </w:rPr>
        <w:t>15、住房保障支出</w:t>
      </w:r>
      <w:r>
        <w:rPr>
          <w:rStyle w:val="14"/>
          <w:rFonts w:hint="eastAsia" w:ascii="仿宋" w:hAnsi="仿宋" w:eastAsia="仿宋"/>
          <w:b w:val="0"/>
          <w:color w:val="000000"/>
          <w:sz w:val="32"/>
          <w:szCs w:val="32"/>
        </w:rPr>
        <w:t>（221）住房改革支出（22102）住房公积金（2210201）</w:t>
      </w:r>
      <w:r>
        <w:rPr>
          <w:rStyle w:val="14"/>
          <w:rFonts w:hint="eastAsia" w:ascii="仿宋" w:hAnsi="仿宋" w:eastAsia="仿宋"/>
          <w:b w:val="0"/>
          <w:color w:val="000000"/>
          <w:sz w:val="32"/>
          <w:szCs w:val="32"/>
          <w:lang w:eastAsia="zh-CN"/>
        </w:rPr>
        <w:t>：</w:t>
      </w:r>
      <w:r>
        <w:rPr>
          <w:rStyle w:val="14"/>
          <w:rFonts w:hint="eastAsia" w:ascii="仿宋" w:hAnsi="仿宋" w:eastAsia="仿宋"/>
          <w:b w:val="0"/>
          <w:color w:val="000000"/>
          <w:sz w:val="32"/>
          <w:szCs w:val="32"/>
        </w:rPr>
        <w:t>指单位保障住房性支出。</w:t>
      </w:r>
    </w:p>
    <w:p>
      <w:pPr>
        <w:spacing w:line="600" w:lineRule="exact"/>
        <w:jc w:val="center"/>
        <w:outlineLvl w:val="0"/>
        <w:rPr>
          <w:rFonts w:ascii="黑体" w:hAnsi="黑体" w:eastAsia="黑体"/>
          <w:color w:val="000000"/>
          <w:sz w:val="44"/>
          <w:szCs w:val="44"/>
        </w:rPr>
      </w:pPr>
      <w:bookmarkStart w:id="57" w:name="_Toc15396614"/>
      <w:bookmarkStart w:id="58" w:name="_Toc15377226"/>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Style w:val="24"/>
          <w:rFonts w:ascii="黑体" w:hAnsi="黑体" w:eastAsia="黑体"/>
          <w:b w:val="0"/>
        </w:rPr>
      </w:pPr>
      <w:r>
        <w:rPr>
          <w:rFonts w:hint="eastAsia" w:ascii="黑体" w:hAnsi="黑体" w:eastAsia="黑体"/>
          <w:color w:val="000000"/>
          <w:sz w:val="44"/>
          <w:szCs w:val="44"/>
        </w:rPr>
        <w:t>第</w:t>
      </w:r>
      <w:r>
        <w:rPr>
          <w:rStyle w:val="24"/>
          <w:rFonts w:hint="eastAsia" w:ascii="黑体" w:hAnsi="黑体" w:eastAsia="黑体"/>
          <w:b w:val="0"/>
        </w:rPr>
        <w:t>四部分 附件</w:t>
      </w:r>
      <w:bookmarkEnd w:id="57"/>
    </w:p>
    <w:p>
      <w:pPr>
        <w:spacing w:line="600" w:lineRule="exact"/>
        <w:jc w:val="center"/>
        <w:outlineLvl w:val="0"/>
        <w:rPr>
          <w:rStyle w:val="24"/>
        </w:rPr>
      </w:pPr>
    </w:p>
    <w:p>
      <w:pPr>
        <w:pStyle w:val="3"/>
        <w:rPr>
          <w:rStyle w:val="24"/>
          <w:rFonts w:ascii="仿宋" w:hAnsi="仿宋" w:eastAsia="仿宋"/>
          <w:b w:val="0"/>
          <w:bCs w:val="0"/>
          <w:sz w:val="32"/>
          <w:szCs w:val="32"/>
        </w:rPr>
      </w:pPr>
      <w:bookmarkStart w:id="59" w:name="_Toc15396615"/>
      <w:r>
        <w:rPr>
          <w:rStyle w:val="24"/>
          <w:rFonts w:hint="eastAsia" w:ascii="仿宋" w:hAnsi="仿宋" w:eastAsia="仿宋"/>
          <w:b w:val="0"/>
          <w:bCs w:val="0"/>
          <w:sz w:val="32"/>
          <w:szCs w:val="32"/>
        </w:rPr>
        <w:t>附件1</w:t>
      </w:r>
      <w:bookmarkEnd w:id="59"/>
    </w:p>
    <w:p>
      <w:pPr>
        <w:spacing w:line="600" w:lineRule="exact"/>
        <w:jc w:val="center"/>
        <w:outlineLvl w:val="0"/>
        <w:rPr>
          <w:rFonts w:ascii="黑体" w:hAnsi="黑体" w:eastAsia="黑体" w:cs="方正小标宋简体"/>
          <w:sz w:val="36"/>
          <w:szCs w:val="36"/>
        </w:rPr>
      </w:pPr>
      <w:bookmarkStart w:id="60" w:name="_Toc15396616"/>
      <w:r>
        <w:rPr>
          <w:rFonts w:hint="eastAsia" w:ascii="黑体" w:hAnsi="黑体" w:eastAsia="黑体" w:cs="方正小标宋简体"/>
          <w:sz w:val="36"/>
          <w:szCs w:val="36"/>
        </w:rPr>
        <w:t>达州市达川区堡子镇中心卫生院</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lang w:eastAsia="zh-CN"/>
        </w:rPr>
        <w:t>2019</w:t>
      </w:r>
      <w:r>
        <w:rPr>
          <w:rFonts w:hint="eastAsia" w:ascii="黑体" w:hAnsi="黑体" w:eastAsia="黑体" w:cs="方正小标宋简体"/>
          <w:sz w:val="36"/>
          <w:szCs w:val="36"/>
        </w:rPr>
        <w:t>年部门整体支出绩效评价报告</w:t>
      </w:r>
      <w:bookmarkEnd w:id="60"/>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楷体" w:hAnsi="楷体" w:eastAsia="楷体" w:cs="仿宋_GB2312"/>
          <w:sz w:val="32"/>
          <w:szCs w:val="32"/>
        </w:rPr>
      </w:pPr>
      <w:r>
        <w:rPr>
          <w:rFonts w:ascii="楷体" w:hAnsi="楷体" w:eastAsia="楷体" w:cs="仿宋_GB2312"/>
          <w:sz w:val="32"/>
          <w:szCs w:val="32"/>
        </w:rPr>
        <w:t>（一）机构组成。</w:t>
      </w:r>
    </w:p>
    <w:p>
      <w:pPr>
        <w:spacing w:line="580" w:lineRule="exact"/>
        <w:ind w:firstLine="320" w:firstLineChars="100"/>
        <w:rPr>
          <w:rFonts w:ascii="仿宋" w:hAnsi="仿宋" w:eastAsia="仿宋" w:cs="仿宋_GB2312"/>
          <w:sz w:val="32"/>
          <w:szCs w:val="32"/>
        </w:rPr>
      </w:pPr>
      <w:r>
        <w:rPr>
          <w:rFonts w:hint="eastAsia" w:ascii="仿宋" w:hAnsi="仿宋" w:eastAsia="仿宋" w:cs="仿宋_GB2312"/>
          <w:sz w:val="32"/>
          <w:szCs w:val="32"/>
        </w:rPr>
        <w:t>达州市达川区堡子镇中心卫生院是一家财政补助事业单位，无其他下属单位。</w:t>
      </w:r>
    </w:p>
    <w:p>
      <w:pPr>
        <w:spacing w:line="580"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（二）</w:t>
      </w:r>
      <w:r>
        <w:rPr>
          <w:rFonts w:ascii="楷体" w:hAnsi="楷体" w:eastAsia="楷体" w:cs="仿宋_GB2312"/>
          <w:sz w:val="32"/>
          <w:szCs w:val="32"/>
        </w:rPr>
        <w:t>机构职能。</w:t>
      </w:r>
    </w:p>
    <w:p>
      <w:pPr>
        <w:adjustRightInd w:val="0"/>
        <w:snapToGrid w:val="0"/>
        <w:spacing w:line="600" w:lineRule="atLeast"/>
        <w:ind w:firstLine="640" w:firstLineChars="200"/>
        <w:rPr>
          <w:rFonts w:ascii="仿宋" w:hAnsi="仿宋" w:eastAsia="仿宋" w:cs="仿宋_GB2312"/>
          <w:sz w:val="32"/>
          <w:szCs w:val="32"/>
        </w:rPr>
      </w:pPr>
      <w:r>
        <w:rPr>
          <w:rFonts w:hint="eastAsia" w:ascii="仿宋" w:hAnsi="仿宋" w:eastAsia="仿宋" w:cs="仿宋_GB2312"/>
          <w:sz w:val="32"/>
          <w:szCs w:val="32"/>
        </w:rPr>
        <w:t>达州市达川区堡子镇中心卫生院是一所综合性事业医院，为辖区居民提供以预防保健、基本医疗、健康教育、康复为主要内容的综合性服务，全面实施国家基本公共卫生服务和重大公共卫生服务项目，提高全民健康意识。负责对村级卫生机构的技术指导和对乡村医生的培训。</w:t>
      </w:r>
    </w:p>
    <w:p>
      <w:pPr>
        <w:spacing w:line="578"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院拥有DR、B（彩）超、全自动生化分析仪、麻醉呼吸机等辅助设备，现设有内科、外科、妇产科、五官科、骨科、中医科、理疗科等科室。开展了中下腹部手术，剖宫产手术等常规手术。能对常见病，多发病以及部分疑难杂症做出准确的诊断和治疗。</w:t>
      </w:r>
    </w:p>
    <w:p>
      <w:pPr>
        <w:spacing w:line="580"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（三）</w:t>
      </w:r>
      <w:r>
        <w:rPr>
          <w:rFonts w:ascii="楷体" w:hAnsi="楷体" w:eastAsia="楷体" w:cs="仿宋_GB2312"/>
          <w:sz w:val="32"/>
          <w:szCs w:val="32"/>
        </w:rPr>
        <w:t>人员概况。</w:t>
      </w:r>
    </w:p>
    <w:p>
      <w:pPr>
        <w:snapToGrid w:val="0"/>
        <w:spacing w:line="588"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达川区堡子镇中心卫生院年末实有人数56人，其中事业专技人员42人、事业工勤人员3人、临聘人员11人（其中三支一扶4人）；退休人员21人。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2019</w:t>
      </w:r>
      <w:r>
        <w:rPr>
          <w:rFonts w:hint="eastAsia" w:ascii="仿宋" w:hAnsi="仿宋" w:eastAsia="仿宋" w:cs="仿宋_GB2312"/>
          <w:sz w:val="32"/>
          <w:szCs w:val="32"/>
        </w:rPr>
        <w:t>年我院财政拨款收入总计</w:t>
      </w:r>
      <w:r>
        <w:rPr>
          <w:rFonts w:hint="eastAsia" w:ascii="仿宋" w:hAnsi="仿宋" w:eastAsia="仿宋"/>
          <w:color w:val="000000"/>
          <w:sz w:val="32"/>
          <w:szCs w:val="32"/>
          <w:lang w:eastAsia="zh-CN"/>
        </w:rPr>
        <w:t>574.13</w:t>
      </w:r>
      <w:r>
        <w:rPr>
          <w:rFonts w:hint="eastAsia" w:ascii="仿宋" w:hAnsi="仿宋" w:eastAsia="仿宋" w:cs="仿宋_GB2312"/>
          <w:sz w:val="32"/>
          <w:szCs w:val="32"/>
        </w:rPr>
        <w:t>万元，其中一般公共预算财政拨款收入</w:t>
      </w:r>
      <w:r>
        <w:rPr>
          <w:rFonts w:hint="eastAsia" w:ascii="仿宋" w:hAnsi="仿宋" w:eastAsia="仿宋" w:cs="仿宋_GB2312"/>
          <w:sz w:val="32"/>
          <w:szCs w:val="32"/>
          <w:lang w:val="en-US" w:eastAsia="zh-CN"/>
        </w:rPr>
        <w:t>113.92</w:t>
      </w:r>
      <w:r>
        <w:rPr>
          <w:rFonts w:hint="eastAsia" w:ascii="仿宋" w:hAnsi="仿宋" w:eastAsia="仿宋" w:cs="仿宋_GB2312"/>
          <w:sz w:val="32"/>
          <w:szCs w:val="32"/>
        </w:rPr>
        <w:t>万元，年初财政补助结转和结余</w:t>
      </w:r>
      <w:r>
        <w:rPr>
          <w:rFonts w:hint="eastAsia" w:ascii="仿宋" w:hAnsi="仿宋" w:eastAsia="仿宋" w:cs="仿宋_GB2312"/>
          <w:sz w:val="32"/>
          <w:szCs w:val="32"/>
          <w:lang w:val="en-US" w:eastAsia="zh-CN"/>
        </w:rPr>
        <w:t>132.4</w:t>
      </w:r>
      <w:r>
        <w:rPr>
          <w:rFonts w:hint="eastAsia" w:ascii="仿宋" w:hAnsi="仿宋" w:eastAsia="仿宋" w:cs="仿宋_GB2312"/>
          <w:sz w:val="32"/>
          <w:szCs w:val="32"/>
        </w:rPr>
        <w:t>万元。</w:t>
      </w:r>
    </w:p>
    <w:p>
      <w:pPr>
        <w:numPr>
          <w:ilvl w:val="0"/>
          <w:numId w:val="6"/>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部门财政资金支出情况。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2019</w:t>
      </w:r>
      <w:r>
        <w:rPr>
          <w:rFonts w:hint="eastAsia" w:ascii="仿宋" w:hAnsi="仿宋" w:eastAsia="仿宋" w:cs="仿宋_GB2312"/>
          <w:sz w:val="32"/>
          <w:szCs w:val="32"/>
        </w:rPr>
        <w:t>年我院财政拨款支出总计</w:t>
      </w:r>
      <w:r>
        <w:rPr>
          <w:rFonts w:hint="eastAsia" w:ascii="仿宋" w:hAnsi="仿宋" w:eastAsia="仿宋"/>
          <w:color w:val="000000"/>
          <w:sz w:val="32"/>
          <w:szCs w:val="32"/>
          <w:lang w:val="en-US" w:eastAsia="zh-CN"/>
        </w:rPr>
        <w:t>465.31</w:t>
      </w:r>
      <w:r>
        <w:rPr>
          <w:rFonts w:hint="eastAsia" w:ascii="仿宋" w:hAnsi="仿宋" w:eastAsia="仿宋" w:cs="仿宋_GB2312"/>
          <w:sz w:val="32"/>
          <w:szCs w:val="32"/>
        </w:rPr>
        <w:t>万元，其中一般公共预算财政拨款支出</w:t>
      </w:r>
      <w:r>
        <w:rPr>
          <w:rFonts w:hint="eastAsia" w:ascii="仿宋" w:hAnsi="仿宋" w:eastAsia="仿宋" w:cs="仿宋_GB2312"/>
          <w:sz w:val="32"/>
          <w:szCs w:val="32"/>
          <w:lang w:val="en-US" w:eastAsia="zh-CN"/>
        </w:rPr>
        <w:t>113.31</w:t>
      </w:r>
      <w:r>
        <w:rPr>
          <w:rFonts w:hint="eastAsia" w:ascii="仿宋" w:hAnsi="仿宋" w:eastAsia="仿宋" w:cs="仿宋_GB2312"/>
          <w:sz w:val="32"/>
          <w:szCs w:val="32"/>
        </w:rPr>
        <w:t>万元，年末财政补助结转和结余</w:t>
      </w:r>
      <w:r>
        <w:rPr>
          <w:rFonts w:hint="eastAsia" w:ascii="仿宋" w:hAnsi="仿宋" w:eastAsia="仿宋" w:cs="仿宋_GB2312"/>
          <w:sz w:val="32"/>
          <w:szCs w:val="32"/>
          <w:lang w:val="en-US" w:eastAsia="zh-CN"/>
        </w:rPr>
        <w:t>241.26</w:t>
      </w:r>
      <w:r>
        <w:rPr>
          <w:rFonts w:hint="eastAsia" w:ascii="仿宋" w:hAnsi="仿宋" w:eastAsia="仿宋" w:cs="仿宋_GB2312"/>
          <w:sz w:val="32"/>
          <w:szCs w:val="32"/>
        </w:rPr>
        <w:t>万元。</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我院认真落实全面预算管理方针政策，基本支出强化预算统筹，项目支出强化专款专用，切实加强经费管理和预算管理。严格按照区财政局部门预算编制通知及有关要求，充分调查了解，做好前期准备工作，始终遵循部门预算编制的基本要求、程序要求及编制口径，紧紧围绕整体绩效目标，科学量化重点项目绩效目标，确保预算编制的准确性，按照科学的测算依据按时完成 </w:t>
      </w:r>
      <w:r>
        <w:rPr>
          <w:rFonts w:hint="eastAsia" w:ascii="仿宋" w:hAnsi="仿宋" w:eastAsia="仿宋" w:cs="仿宋_GB2312"/>
          <w:sz w:val="32"/>
          <w:szCs w:val="32"/>
          <w:lang w:eastAsia="zh-CN"/>
        </w:rPr>
        <w:t>2019</w:t>
      </w:r>
      <w:r>
        <w:rPr>
          <w:rFonts w:hint="eastAsia" w:ascii="仿宋" w:hAnsi="仿宋" w:eastAsia="仿宋" w:cs="仿宋_GB2312"/>
          <w:sz w:val="32"/>
          <w:szCs w:val="32"/>
        </w:rPr>
        <w:t>年预算编制工作，按时完成基础库、项目库报送工作，并按时提交部门预算草案。绩效目标是预算编制的前提和基础，按照“费随事定”的原则，</w:t>
      </w:r>
      <w:r>
        <w:rPr>
          <w:rFonts w:hint="eastAsia" w:ascii="仿宋" w:hAnsi="仿宋" w:eastAsia="仿宋" w:cs="仿宋_GB2312"/>
          <w:sz w:val="32"/>
          <w:szCs w:val="32"/>
          <w:lang w:eastAsia="zh-CN"/>
        </w:rPr>
        <w:t>2019</w:t>
      </w:r>
      <w:r>
        <w:rPr>
          <w:rFonts w:hint="eastAsia" w:ascii="仿宋" w:hAnsi="仿宋" w:eastAsia="仿宋" w:cs="仿宋_GB2312"/>
          <w:sz w:val="32"/>
          <w:szCs w:val="32"/>
        </w:rPr>
        <w:t xml:space="preserve"> 年我院对项目按要求编制了部门预算项目绩效目标。从项目完成、项目效益、满意度等方面设置了绩效指标，综合反映项目预期完成的数量、成本、时效、质量，预期达到的社会效益、经济效益、生态效益、可持续影响以及服务对象满意度等情况。同时设置了以项目完成数量为核心的指标，用于评价绩效目标实际实现程度，反映与预期目标的偏离度。绩效目标编制要素完整，绩效指标设置做到了细化量化。</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预算执行过程中，我院严格控制公用经费及非定额公用支出，认真开展绩效运行监控，积极推进预算执行进度，提高整体预算执行率。一是坚持将预算执行纳入单位目标考核，强化目标责任，树立预算管理的主体责任意识。二是开展预算执行中期评估调整工作。按照区财政局县级预算调整的要求，对照项目执行进度，及时做好沟通衔接，对经确认的暂不支出、执行留有结余的项目予以合理统筹调整，盘活资金，提高使用效率。三是积极开展绩效评价工作。严格落实基本公共卫生服务项目、基本药物资金补助等项目的绩效评价。</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截至</w:t>
      </w:r>
      <w:r>
        <w:rPr>
          <w:rFonts w:hint="eastAsia" w:ascii="仿宋" w:hAnsi="仿宋" w:eastAsia="仿宋" w:cs="仿宋_GB2312"/>
          <w:sz w:val="32"/>
          <w:szCs w:val="32"/>
        </w:rPr>
        <w:t xml:space="preserve"> </w:t>
      </w:r>
      <w:r>
        <w:rPr>
          <w:rFonts w:hint="eastAsia" w:ascii="仿宋" w:hAnsi="仿宋" w:eastAsia="仿宋" w:cs="仿宋_GB2312"/>
          <w:sz w:val="32"/>
          <w:szCs w:val="32"/>
          <w:lang w:eastAsia="zh-CN"/>
        </w:rPr>
        <w:t>2019</w:t>
      </w:r>
      <w:r>
        <w:rPr>
          <w:rFonts w:hint="eastAsia" w:ascii="仿宋" w:hAnsi="仿宋" w:eastAsia="仿宋" w:cs="仿宋_GB2312"/>
          <w:sz w:val="32"/>
          <w:szCs w:val="32"/>
        </w:rPr>
        <w:t xml:space="preserve"> 年 12 月 31 日，我院 </w:t>
      </w:r>
      <w:r>
        <w:rPr>
          <w:rFonts w:hint="eastAsia" w:ascii="仿宋" w:hAnsi="仿宋" w:eastAsia="仿宋" w:cs="仿宋_GB2312"/>
          <w:sz w:val="32"/>
          <w:szCs w:val="32"/>
          <w:lang w:eastAsia="zh-CN"/>
        </w:rPr>
        <w:t>2019</w:t>
      </w:r>
      <w:r>
        <w:rPr>
          <w:rFonts w:hint="eastAsia" w:ascii="仿宋" w:hAnsi="仿宋" w:eastAsia="仿宋" w:cs="仿宋_GB2312"/>
          <w:sz w:val="32"/>
          <w:szCs w:val="32"/>
        </w:rPr>
        <w:t xml:space="preserve"> 年财政资金一般公共预算财政拨款执行进度为87.25%。</w:t>
      </w:r>
    </w:p>
    <w:p>
      <w:pPr>
        <w:spacing w:before="270" w:line="33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专项项目设立实行项目储备制。除按明确的数量、标准、比例等进行据实计算的实施基本药物制度、基本公共卫生服务包括专项预算项目程序严密、规划合理、结果符合、分配科学、分配及时、专项预算绩效目标完成、实施绩效、违规记录等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我</w:t>
      </w:r>
      <w:r>
        <w:rPr>
          <w:rFonts w:hint="eastAsia" w:ascii="仿宋" w:hAnsi="仿宋" w:eastAsia="仿宋" w:cs="仿宋_GB2312"/>
          <w:sz w:val="32"/>
          <w:szCs w:val="32"/>
        </w:rPr>
        <w:t>单位</w:t>
      </w:r>
      <w:r>
        <w:rPr>
          <w:rFonts w:ascii="仿宋" w:hAnsi="仿宋" w:eastAsia="仿宋" w:cs="仿宋_GB2312"/>
          <w:sz w:val="32"/>
          <w:szCs w:val="32"/>
        </w:rPr>
        <w:t>严格遵循《预算法》等相关法律法规和财政</w:t>
      </w:r>
      <w:r>
        <w:rPr>
          <w:rFonts w:hint="eastAsia" w:ascii="仿宋" w:hAnsi="仿宋" w:eastAsia="仿宋" w:cs="仿宋_GB2312"/>
          <w:sz w:val="32"/>
          <w:szCs w:val="32"/>
        </w:rPr>
        <w:t>局</w:t>
      </w:r>
      <w:r>
        <w:rPr>
          <w:rFonts w:ascii="仿宋" w:hAnsi="仿宋" w:eastAsia="仿宋" w:cs="仿宋_GB2312"/>
          <w:sz w:val="32"/>
          <w:szCs w:val="32"/>
        </w:rPr>
        <w:t>相关要求，在规定时间内随同预决算向社会公开部门绩效目标和部门整体绩效自评情况。针对各单位绩效评价发现的问题，要求各单位建立台账，逐一整改。并根据绩效评价和日常管理中，存在的共性问题，通过完善制度加以改进管理</w:t>
      </w:r>
      <w:r>
        <w:rPr>
          <w:rFonts w:hint="eastAsia" w:ascii="仿宋" w:hAnsi="仿宋" w:eastAsia="仿宋" w:cs="仿宋_GB2312"/>
          <w:sz w:val="32"/>
          <w:szCs w:val="32"/>
        </w:rPr>
        <w:t>。</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KaiTi_GB2312" w:hAnsi="KaiTi_GB2312" w:eastAsia="Times New Roman" w:cs="KaiTi_GB2312"/>
          <w:color w:val="000000"/>
          <w:sz w:val="32"/>
          <w:szCs w:val="22"/>
        </w:rPr>
      </w:pPr>
      <w:r>
        <w:rPr>
          <w:rFonts w:ascii="KaiTi_GB2312" w:hAnsi="KaiTi_GB2312" w:eastAsia="Times New Roman" w:cs="KaiTi_GB2312"/>
          <w:color w:val="000000"/>
          <w:sz w:val="32"/>
          <w:szCs w:val="22"/>
        </w:rPr>
        <w:t>（一）评价结论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2019</w:t>
      </w:r>
      <w:r>
        <w:rPr>
          <w:rFonts w:ascii="仿宋" w:hAnsi="仿宋" w:eastAsia="仿宋" w:cs="仿宋_GB2312"/>
          <w:sz w:val="32"/>
          <w:szCs w:val="32"/>
        </w:rPr>
        <w:t xml:space="preserve"> 年我</w:t>
      </w:r>
      <w:r>
        <w:rPr>
          <w:rFonts w:hint="eastAsia" w:ascii="仿宋" w:hAnsi="仿宋" w:eastAsia="仿宋" w:cs="仿宋_GB2312"/>
          <w:sz w:val="32"/>
          <w:szCs w:val="32"/>
        </w:rPr>
        <w:t>单位</w:t>
      </w:r>
      <w:r>
        <w:rPr>
          <w:rFonts w:ascii="仿宋" w:hAnsi="仿宋" w:eastAsia="仿宋" w:cs="仿宋_GB2312"/>
          <w:sz w:val="32"/>
          <w:szCs w:val="32"/>
        </w:rPr>
        <w:t>整体支出绩效评价自查自评结果良好。财务制度较健全，财务管理较规范，全年基本支出保障了部门的正常运行和日程工作的正常开展，</w:t>
      </w:r>
      <w:r>
        <w:rPr>
          <w:rFonts w:hint="eastAsia" w:ascii="仿宋" w:hAnsi="仿宋" w:eastAsia="仿宋" w:cs="仿宋_GB2312"/>
          <w:sz w:val="32"/>
          <w:szCs w:val="32"/>
        </w:rPr>
        <w:t>全额保障了</w:t>
      </w:r>
      <w:r>
        <w:rPr>
          <w:rFonts w:ascii="仿宋" w:hAnsi="仿宋" w:eastAsia="仿宋" w:cs="仿宋_GB2312"/>
          <w:sz w:val="32"/>
          <w:szCs w:val="32"/>
        </w:rPr>
        <w:t>项目支出工作的开展，履职成效明显，达到了预期绩效目标和预期经济效果。</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（二）存在问题。</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信息化建设不够完善。预算管理绩效监控的动态调整能力有待进一步提高，把绩效监控结果有效应用到预算执行和调整上。</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（三）改进建议。</w:t>
      </w:r>
    </w:p>
    <w:p>
      <w:pPr>
        <w:spacing w:line="580" w:lineRule="exact"/>
        <w:ind w:firstLine="640" w:firstLineChars="200"/>
        <w:rPr>
          <w:rStyle w:val="24"/>
          <w:rFonts w:ascii="仿宋" w:hAnsi="仿宋" w:eastAsia="仿宋"/>
          <w:b w:val="0"/>
          <w:bCs w:val="0"/>
          <w:sz w:val="32"/>
          <w:szCs w:val="32"/>
        </w:rPr>
      </w:pPr>
      <w:r>
        <w:rPr>
          <w:rFonts w:ascii="仿宋" w:hAnsi="仿宋" w:eastAsia="仿宋" w:cs="仿宋_GB2312"/>
          <w:sz w:val="32"/>
          <w:szCs w:val="32"/>
        </w:rPr>
        <w:t>建议</w:t>
      </w:r>
      <w:r>
        <w:rPr>
          <w:rFonts w:hint="eastAsia" w:ascii="仿宋" w:hAnsi="仿宋" w:eastAsia="仿宋" w:cs="仿宋_GB2312"/>
          <w:sz w:val="32"/>
          <w:szCs w:val="32"/>
        </w:rPr>
        <w:t>区财政局</w:t>
      </w:r>
      <w:r>
        <w:rPr>
          <w:rFonts w:ascii="仿宋" w:hAnsi="仿宋" w:eastAsia="仿宋" w:cs="仿宋_GB2312"/>
          <w:sz w:val="32"/>
          <w:szCs w:val="32"/>
        </w:rPr>
        <w:t>根据实际需求，重新核定</w:t>
      </w:r>
      <w:r>
        <w:rPr>
          <w:rFonts w:hint="eastAsia" w:ascii="仿宋" w:hAnsi="仿宋" w:eastAsia="仿宋" w:cs="仿宋_GB2312"/>
          <w:sz w:val="32"/>
          <w:szCs w:val="32"/>
        </w:rPr>
        <w:t>我</w:t>
      </w:r>
      <w:r>
        <w:rPr>
          <w:rFonts w:ascii="仿宋" w:hAnsi="仿宋" w:eastAsia="仿宋" w:cs="仿宋_GB2312"/>
          <w:sz w:val="32"/>
          <w:szCs w:val="32"/>
        </w:rPr>
        <w:t>单位</w:t>
      </w:r>
      <w:r>
        <w:rPr>
          <w:rFonts w:hint="eastAsia" w:ascii="仿宋" w:hAnsi="仿宋" w:eastAsia="仿宋" w:cs="仿宋_GB2312"/>
          <w:sz w:val="32"/>
          <w:szCs w:val="32"/>
        </w:rPr>
        <w:t>医疗收入和</w:t>
      </w:r>
      <w:r>
        <w:rPr>
          <w:rFonts w:ascii="仿宋" w:hAnsi="仿宋" w:eastAsia="仿宋" w:cs="仿宋_GB2312"/>
          <w:sz w:val="32"/>
          <w:szCs w:val="32"/>
        </w:rPr>
        <w:t>基本支出控制数，提高</w:t>
      </w:r>
      <w:r>
        <w:rPr>
          <w:rFonts w:hint="eastAsia" w:ascii="仿宋" w:hAnsi="仿宋" w:eastAsia="仿宋" w:cs="仿宋_GB2312"/>
          <w:sz w:val="32"/>
          <w:szCs w:val="32"/>
        </w:rPr>
        <w:t>财政补助</w:t>
      </w:r>
      <w:r>
        <w:rPr>
          <w:rFonts w:ascii="仿宋" w:hAnsi="仿宋" w:eastAsia="仿宋" w:cs="仿宋_GB2312"/>
          <w:sz w:val="32"/>
          <w:szCs w:val="32"/>
        </w:rPr>
        <w:t>经费定额标准，保证正常工作运转。</w:t>
      </w:r>
      <w:bookmarkStart w:id="61" w:name="_Toc15396617"/>
    </w:p>
    <w:p>
      <w:pPr>
        <w:pStyle w:val="3"/>
        <w:rPr>
          <w:rStyle w:val="24"/>
          <w:rFonts w:hint="eastAsia" w:ascii="仿宋" w:hAnsi="仿宋" w:eastAsia="仿宋"/>
          <w:b w:val="0"/>
          <w:bCs w:val="0"/>
          <w:sz w:val="32"/>
          <w:szCs w:val="32"/>
        </w:rPr>
      </w:pPr>
    </w:p>
    <w:p>
      <w:pPr>
        <w:pStyle w:val="3"/>
        <w:rPr>
          <w:rStyle w:val="24"/>
          <w:rFonts w:ascii="仿宋" w:hAnsi="仿宋" w:eastAsia="仿宋"/>
          <w:b w:val="0"/>
          <w:bCs w:val="0"/>
          <w:sz w:val="32"/>
          <w:szCs w:val="32"/>
        </w:rPr>
      </w:pPr>
      <w:r>
        <w:rPr>
          <w:rStyle w:val="24"/>
          <w:rFonts w:hint="eastAsia" w:ascii="仿宋" w:hAnsi="仿宋" w:eastAsia="仿宋"/>
          <w:b w:val="0"/>
          <w:bCs w:val="0"/>
          <w:sz w:val="32"/>
          <w:szCs w:val="32"/>
        </w:rPr>
        <w:t>附件2</w:t>
      </w:r>
      <w:bookmarkEnd w:id="61"/>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lang w:eastAsia="zh-CN"/>
        </w:rPr>
        <w:t>2019</w:t>
      </w:r>
      <w:r>
        <w:rPr>
          <w:rFonts w:hint="eastAsia" w:ascii="黑体" w:hAnsi="黑体" w:eastAsia="黑体" w:cs="方正小标宋简体"/>
          <w:sz w:val="44"/>
          <w:szCs w:val="44"/>
        </w:rPr>
        <w:t>年堡子镇中心卫生院项目支出绩效评价报告</w:t>
      </w:r>
    </w:p>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仿宋" w:hAnsi="仿宋" w:eastAsia="仿宋" w:cs="仿宋_GB2312"/>
          <w:sz w:val="32"/>
          <w:szCs w:val="32"/>
        </w:rPr>
      </w:pPr>
    </w:p>
    <w:p>
      <w:pPr>
        <w:spacing w:line="580" w:lineRule="exact"/>
        <w:ind w:firstLine="640" w:firstLineChars="200"/>
        <w:rPr>
          <w:rStyle w:val="24"/>
          <w:rFonts w:ascii="仿宋" w:hAnsi="仿宋" w:eastAsia="仿宋" w:cs="仿宋_GB2312"/>
          <w:b w:val="0"/>
          <w:bCs w:val="0"/>
          <w:kern w:val="2"/>
          <w:sz w:val="32"/>
          <w:szCs w:val="32"/>
        </w:rPr>
      </w:pPr>
      <w:r>
        <w:rPr>
          <w:rFonts w:hint="eastAsia" w:ascii="仿宋" w:hAnsi="仿宋" w:eastAsia="仿宋" w:cs="仿宋_GB2312"/>
          <w:sz w:val="32"/>
          <w:szCs w:val="32"/>
        </w:rPr>
        <w:t>无</w:t>
      </w:r>
    </w:p>
    <w:p>
      <w:pPr>
        <w:spacing w:line="600" w:lineRule="exact"/>
        <w:jc w:val="center"/>
        <w:outlineLvl w:val="0"/>
        <w:rPr>
          <w:rFonts w:ascii="黑体" w:hAnsi="黑体" w:eastAsia="黑体"/>
          <w:color w:val="000000"/>
          <w:sz w:val="44"/>
          <w:szCs w:val="44"/>
        </w:rPr>
      </w:pPr>
      <w:bookmarkStart w:id="62" w:name="_Toc15396618"/>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Style w:val="24"/>
          <w:rFonts w:ascii="黑体" w:hAnsi="黑体" w:eastAsia="黑体"/>
          <w:b w:val="0"/>
        </w:rPr>
      </w:pPr>
      <w:r>
        <w:rPr>
          <w:rFonts w:hint="eastAsia" w:ascii="黑体" w:hAnsi="黑体" w:eastAsia="黑体"/>
          <w:color w:val="000000"/>
          <w:sz w:val="44"/>
          <w:szCs w:val="44"/>
        </w:rPr>
        <w:t>第</w:t>
      </w:r>
      <w:r>
        <w:rPr>
          <w:rStyle w:val="24"/>
          <w:rFonts w:hint="eastAsia" w:ascii="黑体" w:hAnsi="黑体" w:eastAsia="黑体"/>
          <w:b w:val="0"/>
        </w:rPr>
        <w:t>五部分 附表</w:t>
      </w:r>
      <w:bookmarkEnd w:id="58"/>
      <w:bookmarkEnd w:id="62"/>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3"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3"/>
    </w:p>
    <w:p>
      <w:pPr>
        <w:pStyle w:val="3"/>
        <w:rPr>
          <w:rFonts w:ascii="仿宋" w:hAnsi="仿宋" w:eastAsia="仿宋"/>
          <w:color w:val="000000"/>
        </w:rPr>
      </w:pPr>
      <w:bookmarkStart w:id="64" w:name="_Toc15396620"/>
      <w:r>
        <w:rPr>
          <w:rFonts w:hint="eastAsia" w:ascii="仿宋" w:hAnsi="仿宋" w:eastAsia="仿宋"/>
          <w:b w:val="0"/>
          <w:color w:val="000000"/>
        </w:rPr>
        <w:t>二、收</w:t>
      </w:r>
      <w:r>
        <w:rPr>
          <w:rStyle w:val="25"/>
          <w:rFonts w:hint="eastAsia" w:ascii="仿宋" w:hAnsi="仿宋" w:eastAsia="仿宋"/>
          <w:b w:val="0"/>
          <w:bCs w:val="0"/>
        </w:rPr>
        <w:t>入总表</w:t>
      </w:r>
      <w:bookmarkEnd w:id="64"/>
    </w:p>
    <w:p>
      <w:pPr>
        <w:pStyle w:val="3"/>
        <w:rPr>
          <w:rFonts w:ascii="仿宋" w:hAnsi="仿宋" w:eastAsia="仿宋"/>
          <w:color w:val="000000"/>
        </w:rPr>
      </w:pPr>
      <w:bookmarkStart w:id="65"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出总表</w:t>
      </w:r>
      <w:bookmarkEnd w:id="65"/>
    </w:p>
    <w:p>
      <w:pPr>
        <w:pStyle w:val="3"/>
        <w:rPr>
          <w:rFonts w:ascii="仿宋" w:hAnsi="仿宋" w:eastAsia="仿宋"/>
          <w:b w:val="0"/>
          <w:color w:val="000000"/>
        </w:rPr>
      </w:pPr>
      <w:bookmarkStart w:id="66"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6"/>
    </w:p>
    <w:p>
      <w:pPr>
        <w:pStyle w:val="3"/>
        <w:rPr>
          <w:rFonts w:ascii="仿宋" w:hAnsi="仿宋" w:eastAsia="仿宋"/>
          <w:color w:val="000000"/>
        </w:rPr>
      </w:pPr>
      <w:bookmarkStart w:id="67"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政拨款支出决算明细表（政府经济分类科目）</w:t>
      </w:r>
      <w:bookmarkEnd w:id="67"/>
    </w:p>
    <w:p>
      <w:pPr>
        <w:pStyle w:val="3"/>
        <w:rPr>
          <w:rFonts w:ascii="仿宋" w:hAnsi="仿宋" w:eastAsia="仿宋"/>
          <w:color w:val="000000"/>
        </w:rPr>
      </w:pPr>
      <w:bookmarkStart w:id="68" w:name="_Toc15396624"/>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8"/>
    </w:p>
    <w:p>
      <w:pPr>
        <w:pStyle w:val="3"/>
        <w:rPr>
          <w:rFonts w:ascii="仿宋" w:hAnsi="仿宋" w:eastAsia="仿宋"/>
          <w:color w:val="000000"/>
        </w:rPr>
      </w:pPr>
      <w:bookmarkStart w:id="69"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9"/>
    </w:p>
    <w:p>
      <w:pPr>
        <w:pStyle w:val="3"/>
        <w:rPr>
          <w:rFonts w:ascii="仿宋" w:hAnsi="仿宋" w:eastAsia="仿宋"/>
          <w:color w:val="000000"/>
        </w:rPr>
      </w:pPr>
      <w:bookmarkStart w:id="70"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70"/>
    </w:p>
    <w:p>
      <w:pPr>
        <w:pStyle w:val="3"/>
        <w:rPr>
          <w:rFonts w:ascii="仿宋" w:hAnsi="仿宋" w:eastAsia="仿宋"/>
          <w:color w:val="000000"/>
        </w:rPr>
      </w:pPr>
      <w:bookmarkStart w:id="71"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71"/>
    </w:p>
    <w:p>
      <w:pPr>
        <w:pStyle w:val="3"/>
        <w:rPr>
          <w:rFonts w:ascii="仿宋" w:hAnsi="仿宋" w:eastAsia="仿宋"/>
          <w:color w:val="000000"/>
        </w:rPr>
      </w:pPr>
      <w:bookmarkStart w:id="72"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72"/>
    </w:p>
    <w:p>
      <w:pPr>
        <w:pStyle w:val="3"/>
        <w:rPr>
          <w:rFonts w:ascii="仿宋" w:hAnsi="仿宋" w:eastAsia="仿宋"/>
          <w:color w:val="000000"/>
        </w:rPr>
      </w:pPr>
      <w:bookmarkStart w:id="73"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3"/>
    </w:p>
    <w:p>
      <w:pPr>
        <w:pStyle w:val="3"/>
        <w:rPr>
          <w:rFonts w:ascii="仿宋" w:hAnsi="仿宋" w:eastAsia="仿宋"/>
          <w:color w:val="000000"/>
        </w:rPr>
      </w:pPr>
      <w:bookmarkStart w:id="74"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4"/>
    </w:p>
    <w:p>
      <w:pPr>
        <w:pStyle w:val="3"/>
        <w:rPr>
          <w:rFonts w:ascii="仿宋" w:hAnsi="仿宋" w:eastAsia="仿宋"/>
          <w:color w:val="000000" w:themeColor="text1"/>
          <w14:textFill>
            <w14:solidFill>
              <w14:schemeClr w14:val="tx1"/>
            </w14:solidFill>
          </w14:textFill>
        </w:rPr>
      </w:pPr>
      <w:bookmarkStart w:id="75"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5"/>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KaiTi_GB2312">
    <w:altName w:val="Segoe Print"/>
    <w:panose1 w:val="02010609060101010101"/>
    <w:charset w:val="01"/>
    <w:family w:val="auto"/>
    <w:pitch w:val="default"/>
    <w:sig w:usb0="00000000" w:usb1="00000000" w:usb2="01010101" w:usb3="01010101" w:csb0="01010101" w:csb1="01010101"/>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14</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5">
    <w:nsid w:val="1BA8B6F6"/>
    <w:multiLevelType w:val="singleLevel"/>
    <w:tmpl w:val="1BA8B6F6"/>
    <w:lvl w:ilvl="0" w:tentative="0">
      <w:start w:val="2"/>
      <w:numFmt w:val="chineseCounting"/>
      <w:suff w:val="nothing"/>
      <w:lvlText w:val="（%1）"/>
      <w:lvlJc w:val="left"/>
      <w:rPr>
        <w:rFonts w:hint="eastAsia"/>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0YjRjMzY4Y2EyMDI4MzcwODVjNmZjZTYyZTdiNzAifQ=="/>
  </w:docVars>
  <w:rsids>
    <w:rsidRoot w:val="00F1361C"/>
    <w:rsid w:val="000222C6"/>
    <w:rsid w:val="0002549F"/>
    <w:rsid w:val="0002716C"/>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47D9"/>
    <w:rsid w:val="00196687"/>
    <w:rsid w:val="001C0962"/>
    <w:rsid w:val="001D7531"/>
    <w:rsid w:val="001E737D"/>
    <w:rsid w:val="001F0592"/>
    <w:rsid w:val="001F7506"/>
    <w:rsid w:val="002006CD"/>
    <w:rsid w:val="00202B36"/>
    <w:rsid w:val="00204B7A"/>
    <w:rsid w:val="0021101A"/>
    <w:rsid w:val="00220536"/>
    <w:rsid w:val="00235629"/>
    <w:rsid w:val="002566DE"/>
    <w:rsid w:val="00260C38"/>
    <w:rsid w:val="002616C0"/>
    <w:rsid w:val="002662AA"/>
    <w:rsid w:val="002707AA"/>
    <w:rsid w:val="00280496"/>
    <w:rsid w:val="00281677"/>
    <w:rsid w:val="00295495"/>
    <w:rsid w:val="002B2613"/>
    <w:rsid w:val="002F1818"/>
    <w:rsid w:val="002F567B"/>
    <w:rsid w:val="003216A9"/>
    <w:rsid w:val="00333E12"/>
    <w:rsid w:val="003451C3"/>
    <w:rsid w:val="00366006"/>
    <w:rsid w:val="0037013F"/>
    <w:rsid w:val="00380C92"/>
    <w:rsid w:val="003A484F"/>
    <w:rsid w:val="003B0BE0"/>
    <w:rsid w:val="003B0C1B"/>
    <w:rsid w:val="003B688C"/>
    <w:rsid w:val="003C0291"/>
    <w:rsid w:val="003C39AE"/>
    <w:rsid w:val="003C7B60"/>
    <w:rsid w:val="003D1FB2"/>
    <w:rsid w:val="003D66DA"/>
    <w:rsid w:val="003E1310"/>
    <w:rsid w:val="003E6F55"/>
    <w:rsid w:val="003F1C7F"/>
    <w:rsid w:val="00406254"/>
    <w:rsid w:val="004223DE"/>
    <w:rsid w:val="00434489"/>
    <w:rsid w:val="00437085"/>
    <w:rsid w:val="00443880"/>
    <w:rsid w:val="004464F4"/>
    <w:rsid w:val="00455DFC"/>
    <w:rsid w:val="00471401"/>
    <w:rsid w:val="00473F31"/>
    <w:rsid w:val="0048263A"/>
    <w:rsid w:val="00487E5D"/>
    <w:rsid w:val="004A46EC"/>
    <w:rsid w:val="004A711F"/>
    <w:rsid w:val="004B199D"/>
    <w:rsid w:val="004B4690"/>
    <w:rsid w:val="004E0A2D"/>
    <w:rsid w:val="004E206B"/>
    <w:rsid w:val="004E6DF7"/>
    <w:rsid w:val="004F0FBD"/>
    <w:rsid w:val="00505A47"/>
    <w:rsid w:val="00512FDA"/>
    <w:rsid w:val="0051630B"/>
    <w:rsid w:val="00520DA0"/>
    <w:rsid w:val="005664BB"/>
    <w:rsid w:val="0057481D"/>
    <w:rsid w:val="0058486E"/>
    <w:rsid w:val="005D1C8B"/>
    <w:rsid w:val="005D5CED"/>
    <w:rsid w:val="005F1A4C"/>
    <w:rsid w:val="00605688"/>
    <w:rsid w:val="00605D5B"/>
    <w:rsid w:val="006070AF"/>
    <w:rsid w:val="00607E6C"/>
    <w:rsid w:val="006101B1"/>
    <w:rsid w:val="00614E44"/>
    <w:rsid w:val="00622830"/>
    <w:rsid w:val="00630AEF"/>
    <w:rsid w:val="006325F8"/>
    <w:rsid w:val="00634C9A"/>
    <w:rsid w:val="006440E4"/>
    <w:rsid w:val="0065103B"/>
    <w:rsid w:val="0066343B"/>
    <w:rsid w:val="00664777"/>
    <w:rsid w:val="006748A4"/>
    <w:rsid w:val="00683E73"/>
    <w:rsid w:val="006A3141"/>
    <w:rsid w:val="006A5E34"/>
    <w:rsid w:val="006B2422"/>
    <w:rsid w:val="006B2B9A"/>
    <w:rsid w:val="006C1937"/>
    <w:rsid w:val="006C2645"/>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E31C0"/>
    <w:rsid w:val="007F1991"/>
    <w:rsid w:val="007F2C2F"/>
    <w:rsid w:val="007F55FC"/>
    <w:rsid w:val="007F5665"/>
    <w:rsid w:val="00800112"/>
    <w:rsid w:val="008253BB"/>
    <w:rsid w:val="0083706E"/>
    <w:rsid w:val="008423A5"/>
    <w:rsid w:val="00850625"/>
    <w:rsid w:val="00851229"/>
    <w:rsid w:val="00853718"/>
    <w:rsid w:val="00855221"/>
    <w:rsid w:val="00860645"/>
    <w:rsid w:val="00871F71"/>
    <w:rsid w:val="00885AF4"/>
    <w:rsid w:val="008939CD"/>
    <w:rsid w:val="008B768C"/>
    <w:rsid w:val="008C4DB1"/>
    <w:rsid w:val="008C4EAF"/>
    <w:rsid w:val="008C5176"/>
    <w:rsid w:val="008C7FD0"/>
    <w:rsid w:val="008D2D2F"/>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7D0"/>
    <w:rsid w:val="009B4EAE"/>
    <w:rsid w:val="009B7573"/>
    <w:rsid w:val="009C22F4"/>
    <w:rsid w:val="009C2E98"/>
    <w:rsid w:val="009D3447"/>
    <w:rsid w:val="009D4711"/>
    <w:rsid w:val="009F1185"/>
    <w:rsid w:val="009F18CD"/>
    <w:rsid w:val="009F2A13"/>
    <w:rsid w:val="00A04EB0"/>
    <w:rsid w:val="00A13CC1"/>
    <w:rsid w:val="00A16847"/>
    <w:rsid w:val="00A17F9D"/>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0482"/>
    <w:rsid w:val="00B310B9"/>
    <w:rsid w:val="00B35E56"/>
    <w:rsid w:val="00B35F3F"/>
    <w:rsid w:val="00B36CBB"/>
    <w:rsid w:val="00B425E0"/>
    <w:rsid w:val="00B440AA"/>
    <w:rsid w:val="00B44B70"/>
    <w:rsid w:val="00B53C56"/>
    <w:rsid w:val="00B72B57"/>
    <w:rsid w:val="00B77EA6"/>
    <w:rsid w:val="00B81598"/>
    <w:rsid w:val="00B841F1"/>
    <w:rsid w:val="00B944D6"/>
    <w:rsid w:val="00BB4DF0"/>
    <w:rsid w:val="00BB634C"/>
    <w:rsid w:val="00BC289F"/>
    <w:rsid w:val="00BC5361"/>
    <w:rsid w:val="00BC5460"/>
    <w:rsid w:val="00BC6B50"/>
    <w:rsid w:val="00BD0E25"/>
    <w:rsid w:val="00BF5BD6"/>
    <w:rsid w:val="00C03E31"/>
    <w:rsid w:val="00C33E72"/>
    <w:rsid w:val="00C354B2"/>
    <w:rsid w:val="00C35554"/>
    <w:rsid w:val="00C42709"/>
    <w:rsid w:val="00C533CC"/>
    <w:rsid w:val="00C5751C"/>
    <w:rsid w:val="00C612AD"/>
    <w:rsid w:val="00C61BFC"/>
    <w:rsid w:val="00C62B85"/>
    <w:rsid w:val="00C65438"/>
    <w:rsid w:val="00C91CBB"/>
    <w:rsid w:val="00C95058"/>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3ACF"/>
    <w:rsid w:val="00DD73B7"/>
    <w:rsid w:val="00DE0A7C"/>
    <w:rsid w:val="00DF28BC"/>
    <w:rsid w:val="00DF34B9"/>
    <w:rsid w:val="00E01053"/>
    <w:rsid w:val="00E07ACF"/>
    <w:rsid w:val="00E228DC"/>
    <w:rsid w:val="00E331A1"/>
    <w:rsid w:val="00E33202"/>
    <w:rsid w:val="00E336A9"/>
    <w:rsid w:val="00E47A61"/>
    <w:rsid w:val="00E50624"/>
    <w:rsid w:val="00E568DF"/>
    <w:rsid w:val="00E61807"/>
    <w:rsid w:val="00E64269"/>
    <w:rsid w:val="00E82267"/>
    <w:rsid w:val="00E8411A"/>
    <w:rsid w:val="00E92390"/>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C2F87"/>
    <w:rsid w:val="00FD3CC1"/>
    <w:rsid w:val="00FF1E02"/>
    <w:rsid w:val="00FF268B"/>
    <w:rsid w:val="00FF30B4"/>
    <w:rsid w:val="07F76083"/>
    <w:rsid w:val="0CE915BB"/>
    <w:rsid w:val="0F1E4869"/>
    <w:rsid w:val="10C055FF"/>
    <w:rsid w:val="16BB723D"/>
    <w:rsid w:val="19FC4171"/>
    <w:rsid w:val="1E6821FE"/>
    <w:rsid w:val="240371BF"/>
    <w:rsid w:val="24D26195"/>
    <w:rsid w:val="29FD04D3"/>
    <w:rsid w:val="2FD85A00"/>
    <w:rsid w:val="2FF31FE8"/>
    <w:rsid w:val="319F7F4E"/>
    <w:rsid w:val="360D15B6"/>
    <w:rsid w:val="36CE44C3"/>
    <w:rsid w:val="375F6E1F"/>
    <w:rsid w:val="3FC63759"/>
    <w:rsid w:val="458178B3"/>
    <w:rsid w:val="464D6ACD"/>
    <w:rsid w:val="4B291A3E"/>
    <w:rsid w:val="4B386A29"/>
    <w:rsid w:val="4C363913"/>
    <w:rsid w:val="51A710D4"/>
    <w:rsid w:val="57EC2217"/>
    <w:rsid w:val="597C5829"/>
    <w:rsid w:val="63F57267"/>
    <w:rsid w:val="6CD9402B"/>
    <w:rsid w:val="6DE8092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22"/>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3">
    <w:name w:val="列出段落1"/>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paragraph" w:styleId="2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Book1.xlsx" TargetMode="External"/></Relationships>
</file>

<file path=word/charts/_rels/chart2.xml.rels><?xml version="1.0" encoding="UTF-8" standalone="yes"?>
<Relationships xmlns="http://schemas.openxmlformats.org/package/2006/relationships"><Relationship Id="rId4" Type="http://schemas.microsoft.com/office/2011/relationships/chartColorStyle" Target="colors5.xml"/><Relationship Id="rId3" Type="http://schemas.microsoft.com/office/2011/relationships/chartStyle" Target="style5.xml"/><Relationship Id="rId2" Type="http://schemas.openxmlformats.org/officeDocument/2006/relationships/themeOverride" Target="../theme/themeOverride3.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5" Type="http://schemas.microsoft.com/office/2011/relationships/chartColorStyle" Target="colors3.xml"/><Relationship Id="rId4" Type="http://schemas.microsoft.com/office/2011/relationships/chartStyle" Target="style3.xml"/><Relationship Id="rId3" Type="http://schemas.openxmlformats.org/officeDocument/2006/relationships/image" Target="../media/image1.png"/><Relationship Id="rId2" Type="http://schemas.openxmlformats.org/officeDocument/2006/relationships/themeOverride" Target="../theme/themeOverride1.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5" Type="http://schemas.microsoft.com/office/2011/relationships/chartColorStyle" Target="colors4.xml"/><Relationship Id="rId4" Type="http://schemas.microsoft.com/office/2011/relationships/chartStyle" Target="style4.xml"/><Relationship Id="rId3" Type="http://schemas.openxmlformats.org/officeDocument/2006/relationships/image" Target="../media/image2.png"/><Relationship Id="rId2" Type="http://schemas.openxmlformats.org/officeDocument/2006/relationships/themeOverride" Target="../theme/themeOverride2.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收入对比图</a:t>
            </a:r>
            <a:endParaRPr lang="zh-CN" altLang="en-US"/>
          </a:p>
        </c:rich>
      </c:tx>
      <c:layout/>
      <c:overlay val="0"/>
    </c:title>
    <c:autoTitleDeleted val="0"/>
    <c:plotArea>
      <c:layout/>
      <c:barChart>
        <c:barDir val="col"/>
        <c:grouping val="clustered"/>
        <c:varyColors val="0"/>
        <c:ser>
          <c:idx val="0"/>
          <c:order val="0"/>
          <c:tx>
            <c:strRef>
              <c:f>Sheet1!$B$4</c:f>
              <c:strCache>
                <c:ptCount val="1"/>
                <c:pt idx="0">
                  <c:v>2018年</c:v>
                </c:pt>
              </c:strCache>
            </c:strRef>
          </c:tx>
          <c:invertIfNegative val="0"/>
          <c:dLbls>
            <c:delete val="1"/>
          </c:dLbls>
          <c:cat>
            <c:strRef>
              <c:f>Sheet1!$C$3:$D$3</c:f>
              <c:strCache>
                <c:ptCount val="2"/>
                <c:pt idx="0">
                  <c:v>财政预算收入</c:v>
                </c:pt>
                <c:pt idx="1">
                  <c:v>事业收入</c:v>
                </c:pt>
              </c:strCache>
            </c:strRef>
          </c:cat>
          <c:val>
            <c:numRef>
              <c:f>Sheet1!$C$4:$D$4</c:f>
              <c:numCache>
                <c:formatCode>General</c:formatCode>
                <c:ptCount val="2"/>
                <c:pt idx="0">
                  <c:v>525.56</c:v>
                </c:pt>
                <c:pt idx="1">
                  <c:v>206.1</c:v>
                </c:pt>
              </c:numCache>
            </c:numRef>
          </c:val>
        </c:ser>
        <c:ser>
          <c:idx val="1"/>
          <c:order val="1"/>
          <c:tx>
            <c:strRef>
              <c:f>Sheet1!$B$5</c:f>
              <c:strCache>
                <c:ptCount val="1"/>
                <c:pt idx="0">
                  <c:v>2019年</c:v>
                </c:pt>
              </c:strCache>
            </c:strRef>
          </c:tx>
          <c:invertIfNegative val="0"/>
          <c:dLbls>
            <c:delete val="1"/>
          </c:dLbls>
          <c:cat>
            <c:strRef>
              <c:f>Sheet1!$C$3:$D$3</c:f>
              <c:strCache>
                <c:ptCount val="2"/>
                <c:pt idx="0">
                  <c:v>财政预算收入</c:v>
                </c:pt>
                <c:pt idx="1">
                  <c:v>事业收入</c:v>
                </c:pt>
              </c:strCache>
            </c:strRef>
          </c:cat>
          <c:val>
            <c:numRef>
              <c:f>Sheet1!$C$5:$D$5</c:f>
              <c:numCache>
                <c:formatCode>General</c:formatCode>
                <c:ptCount val="2"/>
                <c:pt idx="0">
                  <c:v>574.13</c:v>
                </c:pt>
                <c:pt idx="1">
                  <c:v>352.34</c:v>
                </c:pt>
              </c:numCache>
            </c:numRef>
          </c:val>
        </c:ser>
        <c:dLbls>
          <c:showLegendKey val="0"/>
          <c:showVal val="0"/>
          <c:showCatName val="0"/>
          <c:showSerName val="0"/>
          <c:showPercent val="0"/>
          <c:showBubbleSize val="0"/>
        </c:dLbls>
        <c:gapWidth val="150"/>
        <c:axId val="174340736"/>
        <c:axId val="196219264"/>
      </c:barChart>
      <c:catAx>
        <c:axId val="174340736"/>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96219264"/>
        <c:crosses val="autoZero"/>
        <c:auto val="1"/>
        <c:lblAlgn val="ctr"/>
        <c:lblOffset val="100"/>
        <c:noMultiLvlLbl val="0"/>
      </c:catAx>
      <c:valAx>
        <c:axId val="196219264"/>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7434073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0" i="0" u="none" strike="noStrike" kern="1200" spc="0" baseline="0">
                <a:solidFill>
                  <a:schemeClr val="tx2">
                    <a:lumMod val="60000"/>
                    <a:lumOff val="40000"/>
                  </a:schemeClr>
                </a:solidFill>
                <a:latin typeface="微软雅黑 Light" panose="020B0502040204020203" charset="-122"/>
                <a:ea typeface="微软雅黑 Light" panose="020B0502040204020203" charset="-122"/>
                <a:cs typeface="微软雅黑 Light" panose="020B0502040204020203" charset="-122"/>
                <a:sym typeface="微软雅黑 Light" panose="020B0502040204020203" charset="-122"/>
              </a:defRPr>
            </a:pPr>
            <a:r>
              <a:t>收入决算结构图</a:t>
            </a:r>
          </a:p>
        </c:rich>
      </c:tx>
      <c:layout/>
      <c:overlay val="0"/>
      <c:spPr>
        <a:noFill/>
        <a:ln>
          <a:noFill/>
        </a:ln>
        <a:effectLst/>
      </c:spPr>
    </c:title>
    <c:autoTitleDeleted val="0"/>
    <c:plotArea>
      <c:layout>
        <c:manualLayout>
          <c:layoutTarget val="inner"/>
          <c:xMode val="edge"/>
          <c:yMode val="edge"/>
          <c:x val="0.284949046250327"/>
          <c:y val="0.227783902976847"/>
          <c:w val="0.420564410765612"/>
          <c:h val="0.709812568908489"/>
        </c:manualLayout>
      </c:layout>
      <c:pieChart>
        <c:varyColors val="1"/>
        <c:ser>
          <c:idx val="0"/>
          <c:order val="0"/>
          <c:spPr>
            <a:solidFill>
              <a:srgbClr val="6FC471"/>
            </a:solidFill>
            <a:ln>
              <a:noFill/>
            </a:ln>
            <a:effectLst/>
          </c:spPr>
          <c:explosion val="1"/>
          <c:dPt>
            <c:idx val="0"/>
            <c:bubble3D val="0"/>
            <c:spPr>
              <a:solidFill>
                <a:srgbClr val="BFE9A3"/>
              </a:solidFill>
              <a:ln>
                <a:noFill/>
              </a:ln>
              <a:effectLst/>
            </c:spPr>
          </c:dPt>
          <c:dPt>
            <c:idx val="1"/>
            <c:bubble3D val="0"/>
            <c:spPr>
              <a:solidFill>
                <a:srgbClr val="64DBB6"/>
              </a:solidFill>
              <a:ln>
                <a:noFill/>
              </a:ln>
              <a:effectLst/>
            </c:spPr>
          </c:dPt>
          <c:dLbls>
            <c:dLbl>
              <c:idx val="0"/>
              <c:layout/>
              <c:numFmt formatCode="General" sourceLinked="1"/>
              <c:spPr>
                <a:noFill/>
                <a:ln w="12700">
                  <a:solidFill>
                    <a:srgbClr val="BFE9A3">
                      <a:alpha val="50000"/>
                    </a:srgbClr>
                  </a:solid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solidFill>
                      <a:latin typeface="微软雅黑 Light" panose="020B0502040204020203" charset="-122"/>
                      <a:ea typeface="微软雅黑 Light" panose="020B0502040204020203" charset="-122"/>
                      <a:cs typeface="微软雅黑 Light" panose="020B0502040204020203" charset="-122"/>
                      <a:sym typeface="微软雅黑 Light" panose="020B0502040204020203" charset="-122"/>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General" sourceLinked="1"/>
              <c:spPr>
                <a:noFill/>
                <a:ln w="12700">
                  <a:solidFill>
                    <a:srgbClr val="64DBB6">
                      <a:alpha val="50000"/>
                    </a:srgbClr>
                  </a:solid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solidFill>
                      <a:latin typeface="微软雅黑 Light" panose="020B0502040204020203" charset="-122"/>
                      <a:ea typeface="微软雅黑 Light" panose="020B0502040204020203" charset="-122"/>
                      <a:cs typeface="微软雅黑 Light" panose="020B0502040204020203" charset="-122"/>
                      <a:sym typeface="微软雅黑 Light" panose="020B0502040204020203" charset="-122"/>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numFmt formatCode="General" sourceLinked="1"/>
            <c:spPr>
              <a:noFill/>
              <a:ln w="12700">
                <a:solidFill>
                  <a:srgbClr val="BFE9A3">
                    <a:alpha val="30000"/>
                  </a:srgbClr>
                </a:solid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solidFill>
                    <a:latin typeface="微软雅黑 Light" panose="020B0502040204020203" charset="-122"/>
                    <a:ea typeface="微软雅黑 Light" panose="020B0502040204020203" charset="-122"/>
                    <a:cs typeface="微软雅黑 Light" panose="020B0502040204020203" charset="-122"/>
                    <a:sym typeface="微软雅黑 Light" panose="020B0502040204020203" charset="-122"/>
                  </a:defRPr>
                </a:pPr>
              </a:p>
            </c:txPr>
            <c:dLblPos val="outEnd"/>
            <c:showLegendKey val="0"/>
            <c:showVal val="0"/>
            <c:showCatName val="1"/>
            <c:showSerName val="0"/>
            <c:showPercent val="1"/>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[工作簿1]Sheet1!$F$5:$G$5</c:f>
              <c:strCache>
                <c:ptCount val="2"/>
                <c:pt idx="0">
                  <c:v>财政拨款收入</c:v>
                </c:pt>
                <c:pt idx="1">
                  <c:v>事业收入</c:v>
                </c:pt>
              </c:strCache>
            </c:strRef>
          </c:cat>
          <c:val>
            <c:numRef>
              <c:f>[工作簿1]Sheet1!$F$6:$G$6</c:f>
              <c:numCache>
                <c:formatCode>General</c:formatCode>
                <c:ptCount val="2"/>
                <c:pt idx="0">
                  <c:v>574.13</c:v>
                </c:pt>
                <c:pt idx="1">
                  <c:v>352.34</c:v>
                </c:pt>
              </c:numCache>
            </c:numRef>
          </c:val>
        </c:ser>
        <c:dLbls>
          <c:showLegendKey val="0"/>
          <c:showVal val="1"/>
          <c:showCatName val="0"/>
          <c:showSerName val="0"/>
          <c:showPercent val="0"/>
          <c:showBubbleSize val="0"/>
          <c:showLeaderLines val="0"/>
        </c:dLbls>
        <c:firstSliceAng val="190"/>
      </c:pieChart>
      <c:spPr>
        <a:noFill/>
        <a:ln>
          <a:noFill/>
        </a:ln>
        <a:effectLst/>
      </c:spPr>
    </c:plotArea>
    <c:plotVisOnly val="1"/>
    <c:dispBlanksAs val="gap"/>
    <c:showDLblsOverMax val="0"/>
  </c:chart>
  <c:spPr>
    <a:pattFill prst="narHorz">
      <a:fgClr>
        <a:srgbClr val="111E4F"/>
      </a:fgClr>
      <a:bgClr>
        <a:srgbClr val="013C5C"/>
      </a:bgClr>
    </a:patt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latin typeface="微软雅黑 Light" panose="020B0502040204020203" charset="-122"/>
          <a:ea typeface="微软雅黑 Light" panose="020B0502040204020203" charset="-122"/>
          <a:cs typeface="微软雅黑 Light" panose="020B0502040204020203" charset="-122"/>
          <a:sym typeface="微软雅黑 Light" panose="020B0502040204020203"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600" b="0" i="0" u="none" strike="noStrike" kern="1200" spc="0" baseline="0">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r>
              <a:t>支出决算结构图</a:t>
            </a:r>
          </a:p>
        </c:rich>
      </c:tx>
      <c:layout>
        <c:manualLayout>
          <c:xMode val="edge"/>
          <c:yMode val="edge"/>
          <c:x val="0.399049790636554"/>
          <c:y val="0.0248029898418683"/>
        </c:manualLayout>
      </c:layout>
      <c:overlay val="0"/>
      <c:spPr>
        <a:noFill/>
        <a:ln>
          <a:noFill/>
        </a:ln>
        <a:effectLst/>
      </c:spPr>
    </c:title>
    <c:autoTitleDeleted val="0"/>
    <c:plotArea>
      <c:layout>
        <c:manualLayout>
          <c:layoutTarget val="inner"/>
          <c:xMode val="edge"/>
          <c:yMode val="edge"/>
          <c:x val="0.298142456234131"/>
          <c:y val="0.200134669686756"/>
          <c:w val="0.401309635173059"/>
          <c:h val="0.66971454058876"/>
        </c:manualLayout>
      </c:layout>
      <c:pieChart>
        <c:varyColors val="1"/>
        <c:ser>
          <c:idx val="0"/>
          <c:order val="0"/>
          <c:spPr>
            <a:solidFill>
              <a:srgbClr val="1E2223"/>
            </a:solidFill>
            <a:ln w="19050" cap="rnd" cmpd="sng">
              <a:solidFill>
                <a:schemeClr val="tx1">
                  <a:lumMod val="65000"/>
                  <a:lumOff val="35000"/>
                </a:schemeClr>
              </a:solidFill>
              <a:prstDash val="solid"/>
              <a:round/>
            </a:ln>
            <a:effectLst/>
          </c:spPr>
          <c:explosion val="0"/>
          <c:dPt>
            <c:idx val="0"/>
            <c:bubble3D val="0"/>
            <c:spPr>
              <a:solidFill>
                <a:srgbClr val="6CB4FA"/>
              </a:solidFill>
              <a:ln w="19050" cap="rnd" cmpd="sng">
                <a:solidFill>
                  <a:schemeClr val="tx1">
                    <a:lumMod val="65000"/>
                    <a:lumOff val="35000"/>
                  </a:schemeClr>
                </a:solidFill>
                <a:prstDash val="solid"/>
                <a:round/>
              </a:ln>
              <a:effectLst/>
            </c:spPr>
          </c:dPt>
          <c:dPt>
            <c:idx val="1"/>
            <c:bubble3D val="0"/>
            <c:spPr>
              <a:solidFill>
                <a:srgbClr val="BBFCEE"/>
              </a:solidFill>
              <a:ln w="19050" cap="rnd" cmpd="sng">
                <a:solidFill>
                  <a:schemeClr val="tx1">
                    <a:lumMod val="65000"/>
                    <a:lumOff val="35000"/>
                  </a:schemeClr>
                </a:solidFill>
                <a:prstDash val="solid"/>
                <a:round/>
              </a:ln>
              <a:effectLst/>
            </c:spPr>
          </c:dPt>
          <c:dLbls>
            <c:dLbl>
              <c:idx val="0"/>
              <c:layout/>
              <c:numFmt formatCode="General" sourceLinked="1"/>
              <c:spPr>
                <a:solidFill>
                  <a:srgbClr val="6CB4FA"/>
                </a:solidFill>
                <a:ln>
                  <a:solidFill>
                    <a:schemeClr val="tx1">
                      <a:lumMod val="65000"/>
                      <a:lumOff val="35000"/>
                    </a:schemeClr>
                  </a:solid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outEnd"/>
              <c:showLegendKey val="0"/>
              <c:showVal val="0"/>
              <c:showCatName val="0"/>
              <c:showSerName val="0"/>
              <c:showPercent val="1"/>
              <c:showBubbleSize val="0"/>
              <c:extLst>
                <c:ext xmlns:c15="http://schemas.microsoft.com/office/drawing/2012/chart" uri="{CE6537A1-D6FC-4f65-9D91-7224C49458BB}"/>
              </c:extLst>
            </c:dLbl>
            <c:dLbl>
              <c:idx val="1"/>
              <c:layout/>
              <c:numFmt formatCode="General" sourceLinked="1"/>
              <c:spPr>
                <a:solidFill>
                  <a:srgbClr val="79EFD3"/>
                </a:solidFill>
                <a:ln>
                  <a:solidFill>
                    <a:schemeClr val="tx1">
                      <a:lumMod val="65000"/>
                      <a:lumOff val="35000"/>
                    </a:schemeClr>
                  </a:solid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outEnd"/>
              <c:showLegendKey val="0"/>
              <c:showVal val="0"/>
              <c:showCatName val="0"/>
              <c:showSerName val="0"/>
              <c:showPercent val="1"/>
              <c:showBubbleSize val="0"/>
              <c:extLst>
                <c:ext xmlns:c15="http://schemas.microsoft.com/office/drawing/2012/chart" uri="{CE6537A1-D6FC-4f65-9D91-7224C49458BB}"/>
              </c:extLst>
            </c:dLbl>
            <c:numFmt formatCode="General" sourceLinked="1"/>
            <c:spPr>
              <a:solidFill>
                <a:srgbClr val="FFD588"/>
              </a:solidFill>
              <a:ln>
                <a:solidFill>
                  <a:schemeClr val="tx1">
                    <a:lumMod val="65000"/>
                    <a:lumOff val="35000"/>
                  </a:schemeClr>
                </a:solid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outEnd"/>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[工作簿1]Sheet1!$G$37:$H$37</c:f>
              <c:strCache>
                <c:ptCount val="2"/>
                <c:pt idx="0">
                  <c:v>基本支出</c:v>
                </c:pt>
                <c:pt idx="1">
                  <c:v>项目支出</c:v>
                </c:pt>
              </c:strCache>
            </c:strRef>
          </c:cat>
          <c:val>
            <c:numRef>
              <c:f>[工作簿1]Sheet1!$G$38:$H$38</c:f>
              <c:numCache>
                <c:formatCode>General</c:formatCode>
                <c:ptCount val="2"/>
                <c:pt idx="0">
                  <c:v>679.29</c:v>
                </c:pt>
                <c:pt idx="1">
                  <c:v>138.36</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844566318826611"/>
          <c:y val="0.296649108020789"/>
          <c:w val="0.0974115606924251"/>
          <c:h val="0.451567635903919"/>
        </c:manualLayou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legend>
    <c:plotVisOnly val="1"/>
    <c:dispBlanksAs val="gap"/>
    <c:showDLblsOverMax val="0"/>
  </c:chart>
  <c:spPr>
    <a:blipFill rotWithShape="1">
      <a:blip xmlns:r="http://schemas.openxmlformats.org/officeDocument/2006/relationships" r:embed="rId3"/>
      <a:stretch>
        <a:fillRect/>
      </a:stretch>
    </a:blipFill>
    <a:ln w="9525" cap="flat" cmpd="sng" algn="ctr">
      <a:noFill/>
      <a:round/>
    </a:ln>
    <a:effectLst>
      <a:outerShdw blurRad="63500" dist="37357" dir="2700000" sx="0" sy="0" rotWithShape="0">
        <a:scrgbClr r="0" g="0" b="0"/>
      </a:outerShdw>
    </a:effectLst>
  </c:spPr>
  <c:txPr>
    <a:bodyPr/>
    <a:lstStyle/>
    <a:p>
      <a:pPr>
        <a:defRPr lang="zh-CN">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财政拨款收、支决算变动情况表</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[工作簿1]Sheet1!$G$69:$J$69</c:f>
              <c:strCache>
                <c:ptCount val="4"/>
                <c:pt idx="0">
                  <c:v>2018年财政拨款收入</c:v>
                </c:pt>
                <c:pt idx="1">
                  <c:v>2019年财政拨款收入</c:v>
                </c:pt>
                <c:pt idx="2">
                  <c:v>2018年财政拨款支出</c:v>
                </c:pt>
                <c:pt idx="3">
                  <c:v>2019年财政拨款支出</c:v>
                </c:pt>
              </c:strCache>
            </c:strRef>
          </c:cat>
          <c:val>
            <c:numRef>
              <c:f>[工作簿1]Sheet1!$G$70:$J$70</c:f>
              <c:numCache>
                <c:formatCode>General</c:formatCode>
                <c:ptCount val="4"/>
                <c:pt idx="0">
                  <c:v>525.54</c:v>
                </c:pt>
                <c:pt idx="1">
                  <c:v>574.13</c:v>
                </c:pt>
                <c:pt idx="2">
                  <c:v>442.98</c:v>
                </c:pt>
                <c:pt idx="3">
                  <c:v>465.31</c:v>
                </c:pt>
              </c:numCache>
            </c:numRef>
          </c:val>
        </c:ser>
        <c:dLbls>
          <c:showLegendKey val="0"/>
          <c:showVal val="0"/>
          <c:showCatName val="0"/>
          <c:showSerName val="0"/>
          <c:showPercent val="0"/>
          <c:showBubbleSize val="0"/>
        </c:dLbls>
        <c:gapWidth val="219"/>
        <c:overlap val="-27"/>
        <c:axId val="812780325"/>
        <c:axId val="44405500"/>
      </c:barChart>
      <c:catAx>
        <c:axId val="81278032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405500"/>
        <c:crosses val="autoZero"/>
        <c:auto val="1"/>
        <c:lblAlgn val="ctr"/>
        <c:lblOffset val="100"/>
        <c:noMultiLvlLbl val="0"/>
      </c:catAx>
      <c:valAx>
        <c:axId val="444055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278032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solidFill>
                  <a:srgbClr val="00B050"/>
                </a:solidFill>
              </a:rPr>
              <a:t>一般公共预算财政拨款支出决算变动情况表</a:t>
            </a:r>
            <a:endParaRPr>
              <a:solidFill>
                <a:srgbClr val="00B050"/>
              </a:solidFill>
            </a:endParaRPr>
          </a:p>
        </c:rich>
      </c:tx>
      <c:layout/>
      <c:overlay val="0"/>
      <c:spPr>
        <a:noFill/>
        <a:ln>
          <a:noFill/>
        </a:ln>
        <a:effectLst/>
      </c:spPr>
    </c:title>
    <c:autoTitleDeleted val="0"/>
    <c:plotArea>
      <c:layout>
        <c:manualLayout>
          <c:layoutTarget val="inner"/>
          <c:xMode val="edge"/>
          <c:yMode val="edge"/>
          <c:x val="0.0498055555555556"/>
          <c:y val="0.22037037037037"/>
          <c:w val="0.894638888888889"/>
          <c:h val="0.711666666666667"/>
        </c:manualLayout>
      </c:layout>
      <c:barChart>
        <c:barDir val="col"/>
        <c:grouping val="clustered"/>
        <c:varyColors val="0"/>
        <c:ser>
          <c:idx val="0"/>
          <c:order val="0"/>
          <c:spPr>
            <a:solidFill>
              <a:schemeClr val="accent1"/>
            </a:solidFill>
            <a:ln>
              <a:noFill/>
            </a:ln>
            <a:effectLst/>
          </c:spPr>
          <c:invertIfNegative val="0"/>
          <c:dLbls>
            <c:delete val="1"/>
          </c:dLbls>
          <c:cat>
            <c:strRef>
              <c:f>[工作簿1]Sheet1!$G$96:$H$96</c:f>
              <c:strCache>
                <c:ptCount val="2"/>
                <c:pt idx="0">
                  <c:v>2018年</c:v>
                </c:pt>
                <c:pt idx="1">
                  <c:v>2019年</c:v>
                </c:pt>
              </c:strCache>
            </c:strRef>
          </c:cat>
          <c:val>
            <c:numRef>
              <c:f>[工作簿1]Sheet1!$G$97:$H$97</c:f>
              <c:numCache>
                <c:formatCode>General</c:formatCode>
                <c:ptCount val="2"/>
                <c:pt idx="0">
                  <c:v>442.98</c:v>
                </c:pt>
                <c:pt idx="1">
                  <c:v>465.31</c:v>
                </c:pt>
              </c:numCache>
            </c:numRef>
          </c:val>
        </c:ser>
        <c:dLbls>
          <c:showLegendKey val="0"/>
          <c:showVal val="0"/>
          <c:showCatName val="0"/>
          <c:showSerName val="0"/>
          <c:showPercent val="0"/>
          <c:showBubbleSize val="0"/>
        </c:dLbls>
        <c:gapWidth val="219"/>
        <c:overlap val="-27"/>
        <c:axId val="391478674"/>
        <c:axId val="948023752"/>
      </c:barChart>
      <c:catAx>
        <c:axId val="39147867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8023752"/>
        <c:crosses val="autoZero"/>
        <c:auto val="1"/>
        <c:lblAlgn val="ctr"/>
        <c:lblOffset val="100"/>
        <c:noMultiLvlLbl val="0"/>
      </c:catAx>
      <c:valAx>
        <c:axId val="948023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147867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0" i="0" u="none" strike="noStrike" kern="1200" spc="0" baseline="0">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r>
              <a:t>一般公共预算财政拨款支出决算结构图</a:t>
            </a:r>
          </a:p>
        </c:rich>
      </c:tx>
      <c:layout>
        <c:manualLayout>
          <c:xMode val="edge"/>
          <c:yMode val="edge"/>
          <c:x val="0.217916666666667"/>
          <c:y val="0.0208333333333333"/>
        </c:manualLayout>
      </c:layout>
      <c:overlay val="0"/>
      <c:spPr>
        <a:noFill/>
        <a:ln>
          <a:noFill/>
        </a:ln>
        <a:effectLst/>
      </c:spPr>
    </c:title>
    <c:autoTitleDeleted val="0"/>
    <c:plotArea>
      <c:layout>
        <c:manualLayout>
          <c:layoutTarget val="inner"/>
          <c:xMode val="edge"/>
          <c:yMode val="edge"/>
          <c:x val="0.301944444444444"/>
          <c:y val="0.197222222222222"/>
          <c:w val="0.374444444444444"/>
          <c:h val="0.624074074074074"/>
        </c:manualLayout>
      </c:layout>
      <c:pieChart>
        <c:varyColors val="1"/>
        <c:ser>
          <c:idx val="0"/>
          <c:order val="0"/>
          <c:spPr/>
          <c:explosion val="0"/>
          <c:dPt>
            <c:idx val="0"/>
            <c:bubble3D val="0"/>
            <c:spPr>
              <a:solidFill>
                <a:srgbClr val="E87071"/>
              </a:solidFill>
              <a:ln w="19050">
                <a:solidFill>
                  <a:schemeClr val="lt1"/>
                </a:solidFill>
              </a:ln>
              <a:effectLst/>
            </c:spPr>
          </c:dPt>
          <c:dPt>
            <c:idx val="1"/>
            <c:bubble3D val="0"/>
            <c:spPr>
              <a:solidFill>
                <a:srgbClr val="663A77"/>
              </a:solidFill>
              <a:ln w="19050">
                <a:solidFill>
                  <a:schemeClr val="lt1"/>
                </a:solidFill>
              </a:ln>
              <a:effectLst/>
            </c:spPr>
          </c:dPt>
          <c:dPt>
            <c:idx val="2"/>
            <c:bubble3D val="0"/>
            <c:spPr>
              <a:solidFill>
                <a:srgbClr val="01ACBE"/>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[工作簿1]Sheet1!$G$124:$I$124</c:f>
              <c:strCache>
                <c:ptCount val="3"/>
                <c:pt idx="0">
                  <c:v>社会保障和就业</c:v>
                </c:pt>
                <c:pt idx="1">
                  <c:v>医疗卫生</c:v>
                </c:pt>
                <c:pt idx="2">
                  <c:v>住房保障</c:v>
                </c:pt>
              </c:strCache>
            </c:strRef>
          </c:cat>
          <c:val>
            <c:numRef>
              <c:f>[工作簿1]Sheet1!$G$125:$I$125</c:f>
              <c:numCache>
                <c:formatCode>General</c:formatCode>
                <c:ptCount val="3"/>
                <c:pt idx="0">
                  <c:v>53.07</c:v>
                </c:pt>
                <c:pt idx="1">
                  <c:v>383.26</c:v>
                </c:pt>
                <c:pt idx="2">
                  <c:v>28.98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57638888888889"/>
          <c:y val="0.584953703703704"/>
          <c:w val="0.225694444444444"/>
          <c:h val="0.364814814814815"/>
        </c:manualLayou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legend>
    <c:plotVisOnly val="1"/>
    <c:dispBlanksAs val="gap"/>
    <c:showDLblsOverMax val="0"/>
  </c:chart>
  <c:spPr>
    <a:blipFill rotWithShape="1">
      <a:blip xmlns:r="http://schemas.openxmlformats.org/officeDocument/2006/relationships" r:embed="rId3"/>
      <a:stretch>
        <a:fillRect/>
      </a:stretch>
    </a:blip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3CA78-037D-4BF5-A210-F19434AD24C0}">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23</Pages>
  <Words>7105</Words>
  <Characters>7904</Characters>
  <Lines>26</Lines>
  <Paragraphs>20</Paragraphs>
  <TotalTime>2</TotalTime>
  <ScaleCrop>false</ScaleCrop>
  <LinksUpToDate>false</LinksUpToDate>
  <CharactersWithSpaces>7982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2019-09-05T01:10:00Z</dcterms:created>
  <dc:creator>张彬茜</dc:creator>
  <cp:lastModifiedBy>Hakuna matata</cp:lastModifiedBy>
  <cp:lastPrinted>2019-08-01T00:48:00Z</cp:lastPrinted>
  <dcterms:modified xsi:type="dcterms:W3CDTF">2022-12-21T01:14:23Z</dcterms:modified>
  <dc:title>四川省***</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F9A362951A774B4DAC01F8C6F393E5BF</vt:lpwstr>
  </property>
</Properties>
</file>