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245B3D">
      <w:pPr>
        <w:widowControl/>
        <w:spacing w:line="240" w:lineRule="auto"/>
        <w:rPr>
          <w:rFonts w:ascii="宋体" w:hAnsi="宋体"/>
          <w:color w:val="000000" w:themeColor="text1"/>
          <w:sz w:val="72"/>
          <w:szCs w:val="72"/>
          <w14:textFill>
            <w14:solidFill>
              <w14:schemeClr w14:val="tx1"/>
            </w14:solidFill>
          </w14:textFill>
        </w:rPr>
      </w:pPr>
    </w:p>
    <w:p w14:paraId="7AF3E40F">
      <w:pPr>
        <w:widowControl/>
        <w:spacing w:line="240" w:lineRule="auto"/>
        <w:rPr>
          <w:rFonts w:ascii="宋体" w:hAnsi="宋体"/>
          <w:color w:val="000000" w:themeColor="text1"/>
          <w:sz w:val="72"/>
          <w:szCs w:val="72"/>
          <w14:textFill>
            <w14:solidFill>
              <w14:schemeClr w14:val="tx1"/>
            </w14:solidFill>
          </w14:textFill>
        </w:rPr>
      </w:pPr>
      <w:r>
        <w:rPr>
          <w:rFonts w:hint="eastAsia" w:ascii="宋体" w:hAnsi="宋体"/>
          <w:color w:val="000000" w:themeColor="text1"/>
          <w:sz w:val="72"/>
          <w:szCs w:val="72"/>
          <w14:textFill>
            <w14:solidFill>
              <w14:schemeClr w14:val="tx1"/>
            </w14:solidFill>
          </w14:textFill>
        </w:rPr>
        <w:t>建设项目环境影响报告表</w:t>
      </w:r>
    </w:p>
    <w:p w14:paraId="293C1BD9">
      <w:pPr>
        <w:widowControl/>
        <w:spacing w:line="240" w:lineRule="auto"/>
        <w:rPr>
          <w:rFonts w:hint="eastAsia" w:ascii="宋体" w:hAnsi="宋体" w:eastAsia="宋体"/>
          <w:color w:val="000000" w:themeColor="text1"/>
          <w:sz w:val="48"/>
          <w:szCs w:val="48"/>
          <w:lang w:val="en-US" w:eastAsia="zh-CN"/>
          <w14:textFill>
            <w14:solidFill>
              <w14:schemeClr w14:val="tx1"/>
            </w14:solidFill>
          </w14:textFill>
        </w:rPr>
      </w:pPr>
    </w:p>
    <w:p w14:paraId="2B7543D3">
      <w:pPr>
        <w:widowControl/>
        <w:spacing w:line="240" w:lineRule="auto"/>
        <w:rPr>
          <w:rFonts w:hint="eastAsia" w:ascii="宋体" w:hAnsi="宋体"/>
          <w:color w:val="000000" w:themeColor="text1"/>
          <w:sz w:val="48"/>
          <w:szCs w:val="48"/>
          <w14:textFill>
            <w14:solidFill>
              <w14:schemeClr w14:val="tx1"/>
            </w14:solidFill>
          </w14:textFill>
        </w:rPr>
      </w:pPr>
      <w:r>
        <w:rPr>
          <w:rFonts w:hint="eastAsia" w:ascii="宋体" w:hAnsi="宋体"/>
          <w:color w:val="000000" w:themeColor="text1"/>
          <w:sz w:val="48"/>
          <w:szCs w:val="48"/>
          <w14:textFill>
            <w14:solidFill>
              <w14:schemeClr w14:val="tx1"/>
            </w14:solidFill>
          </w14:textFill>
        </w:rPr>
        <w:t>（污染影响类）</w:t>
      </w:r>
    </w:p>
    <w:p w14:paraId="01D61384">
      <w:pPr>
        <w:widowControl/>
        <w:spacing w:line="240" w:lineRule="auto"/>
        <w:rPr>
          <w:rFonts w:hint="eastAsia" w:ascii="宋体" w:hAnsi="宋体"/>
          <w:color w:val="000000" w:themeColor="text1"/>
          <w:sz w:val="48"/>
          <w:szCs w:val="48"/>
          <w:lang w:eastAsia="zh-CN"/>
          <w14:textFill>
            <w14:solidFill>
              <w14:schemeClr w14:val="tx1"/>
            </w14:solidFill>
          </w14:textFill>
        </w:rPr>
      </w:pPr>
    </w:p>
    <w:p w14:paraId="53D4138C">
      <w:pPr>
        <w:widowControl/>
        <w:spacing w:line="240" w:lineRule="auto"/>
        <w:rPr>
          <w:rFonts w:hint="eastAsia" w:ascii="宋体" w:hAnsi="宋体" w:eastAsia="宋体"/>
          <w:color w:val="000000" w:themeColor="text1"/>
          <w:sz w:val="48"/>
          <w:szCs w:val="48"/>
          <w:lang w:eastAsia="zh-CN"/>
          <w14:textFill>
            <w14:solidFill>
              <w14:schemeClr w14:val="tx1"/>
            </w14:solidFill>
          </w14:textFill>
        </w:rPr>
      </w:pPr>
    </w:p>
    <w:p w14:paraId="4A404BC7">
      <w:pPr>
        <w:pStyle w:val="15"/>
        <w:rPr>
          <w:rFonts w:hint="eastAsia"/>
          <w:color w:val="000000" w:themeColor="text1"/>
          <w14:textFill>
            <w14:solidFill>
              <w14:schemeClr w14:val="tx1"/>
            </w14:solidFill>
          </w14:textFill>
        </w:rPr>
      </w:pPr>
    </w:p>
    <w:p w14:paraId="43A94898">
      <w:pPr>
        <w:widowControl/>
        <w:spacing w:line="240" w:lineRule="auto"/>
        <w:jc w:val="left"/>
        <w:rPr>
          <w:rFonts w:ascii="宋体" w:hAnsi="宋体"/>
          <w:color w:val="000000" w:themeColor="text1"/>
          <w14:textFill>
            <w14:solidFill>
              <w14:schemeClr w14:val="tx1"/>
            </w14:solidFill>
          </w14:textFill>
        </w:rPr>
      </w:pPr>
    </w:p>
    <w:p w14:paraId="661F6AB3">
      <w:pPr>
        <w:widowControl/>
        <w:spacing w:line="240" w:lineRule="auto"/>
        <w:jc w:val="left"/>
        <w:rPr>
          <w:rFonts w:ascii="宋体" w:hAnsi="宋体"/>
          <w:color w:val="000000" w:themeColor="text1"/>
          <w14:textFill>
            <w14:solidFill>
              <w14:schemeClr w14:val="tx1"/>
            </w14:solidFill>
          </w14:textFill>
        </w:rPr>
      </w:pPr>
    </w:p>
    <w:p w14:paraId="6CA33CA5">
      <w:pPr>
        <w:widowControl/>
        <w:spacing w:line="240" w:lineRule="auto"/>
        <w:jc w:val="left"/>
        <w:rPr>
          <w:rFonts w:ascii="宋体" w:hAnsi="宋体"/>
          <w:color w:val="000000" w:themeColor="text1"/>
          <w14:textFill>
            <w14:solidFill>
              <w14:schemeClr w14:val="tx1"/>
            </w14:solidFill>
          </w14:textFill>
        </w:rPr>
      </w:pPr>
    </w:p>
    <w:p w14:paraId="13070430">
      <w:pPr>
        <w:widowControl/>
        <w:spacing w:line="240" w:lineRule="auto"/>
        <w:jc w:val="left"/>
        <w:rPr>
          <w:rFonts w:ascii="宋体" w:hAnsi="宋体"/>
          <w:color w:val="000000" w:themeColor="text1"/>
          <w14:textFill>
            <w14:solidFill>
              <w14:schemeClr w14:val="tx1"/>
            </w14:solidFill>
          </w14:textFill>
        </w:rPr>
      </w:pPr>
    </w:p>
    <w:p w14:paraId="4A202943">
      <w:pPr>
        <w:widowControl/>
        <w:spacing w:line="240" w:lineRule="auto"/>
        <w:jc w:val="left"/>
        <w:rPr>
          <w:rFonts w:ascii="宋体" w:hAnsi="宋体"/>
          <w:color w:val="000000" w:themeColor="text1"/>
          <w14:textFill>
            <w14:solidFill>
              <w14:schemeClr w14:val="tx1"/>
            </w14:solidFill>
          </w14:textFill>
        </w:rPr>
      </w:pPr>
    </w:p>
    <w:p w14:paraId="69D28417">
      <w:pPr>
        <w:widowControl/>
        <w:spacing w:line="240" w:lineRule="auto"/>
        <w:jc w:val="left"/>
        <w:rPr>
          <w:rFonts w:ascii="宋体" w:hAnsi="宋体"/>
          <w:color w:val="000000" w:themeColor="text1"/>
          <w14:textFill>
            <w14:solidFill>
              <w14:schemeClr w14:val="tx1"/>
            </w14:solidFill>
          </w14:textFill>
        </w:rPr>
      </w:pPr>
    </w:p>
    <w:p w14:paraId="540D6228">
      <w:pPr>
        <w:widowControl/>
        <w:spacing w:line="240" w:lineRule="auto"/>
        <w:jc w:val="left"/>
        <w:rPr>
          <w:rFonts w:ascii="宋体" w:hAnsi="宋体"/>
          <w:color w:val="000000" w:themeColor="text1"/>
          <w14:textFill>
            <w14:solidFill>
              <w14:schemeClr w14:val="tx1"/>
            </w14:solidFill>
          </w14:textFill>
        </w:rPr>
      </w:pPr>
    </w:p>
    <w:p w14:paraId="7972926A">
      <w:pPr>
        <w:widowControl/>
        <w:spacing w:line="240" w:lineRule="auto"/>
        <w:jc w:val="left"/>
        <w:rPr>
          <w:rFonts w:ascii="宋体" w:hAnsi="宋体"/>
          <w:color w:val="000000" w:themeColor="text1"/>
          <w14:textFill>
            <w14:solidFill>
              <w14:schemeClr w14:val="tx1"/>
            </w14:solidFill>
          </w14:textFill>
        </w:rPr>
      </w:pPr>
    </w:p>
    <w:p w14:paraId="01BD9360">
      <w:pPr>
        <w:widowControl/>
        <w:spacing w:line="240" w:lineRule="auto"/>
        <w:jc w:val="left"/>
        <w:rPr>
          <w:rFonts w:ascii="宋体" w:hAnsi="宋体"/>
          <w:color w:val="000000" w:themeColor="text1"/>
          <w14:textFill>
            <w14:solidFill>
              <w14:schemeClr w14:val="tx1"/>
            </w14:solidFill>
          </w14:textFill>
        </w:rPr>
      </w:pPr>
    </w:p>
    <w:p w14:paraId="51AB6724">
      <w:pPr>
        <w:widowControl/>
        <w:spacing w:line="240" w:lineRule="auto"/>
        <w:jc w:val="left"/>
        <w:rPr>
          <w:rFonts w:ascii="宋体" w:hAnsi="宋体"/>
          <w:color w:val="000000" w:themeColor="text1"/>
          <w14:textFill>
            <w14:solidFill>
              <w14:schemeClr w14:val="tx1"/>
            </w14:solidFill>
          </w14:textFill>
        </w:rPr>
      </w:pPr>
    </w:p>
    <w:p w14:paraId="142D3BD6">
      <w:pPr>
        <w:widowControl/>
        <w:spacing w:line="240" w:lineRule="auto"/>
        <w:jc w:val="left"/>
        <w:rPr>
          <w:rFonts w:ascii="宋体" w:hAnsi="宋体"/>
          <w:color w:val="000000" w:themeColor="text1"/>
          <w14:textFill>
            <w14:solidFill>
              <w14:schemeClr w14:val="tx1"/>
            </w14:solidFill>
          </w14:textFill>
        </w:rPr>
      </w:pPr>
    </w:p>
    <w:p w14:paraId="5A2AC81F">
      <w:pPr>
        <w:widowControl/>
        <w:spacing w:line="240" w:lineRule="auto"/>
        <w:jc w:val="left"/>
        <w:rPr>
          <w:rFonts w:ascii="宋体" w:hAnsi="宋体"/>
          <w:color w:val="000000" w:themeColor="text1"/>
          <w14:textFill>
            <w14:solidFill>
              <w14:schemeClr w14:val="tx1"/>
            </w14:solidFill>
          </w14:textFill>
        </w:rPr>
      </w:pPr>
    </w:p>
    <w:p w14:paraId="796A3BB9">
      <w:pPr>
        <w:widowControl/>
        <w:spacing w:line="240" w:lineRule="auto"/>
        <w:jc w:val="left"/>
        <w:rPr>
          <w:rFonts w:ascii="宋体" w:hAnsi="宋体"/>
          <w:color w:val="000000" w:themeColor="text1"/>
          <w14:textFill>
            <w14:solidFill>
              <w14:schemeClr w14:val="tx1"/>
            </w14:solidFill>
          </w14:textFill>
        </w:rPr>
      </w:pPr>
    </w:p>
    <w:p w14:paraId="47AC8BA5">
      <w:pPr>
        <w:widowControl/>
        <w:spacing w:line="240" w:lineRule="auto"/>
        <w:jc w:val="left"/>
        <w:rPr>
          <w:rFonts w:ascii="宋体" w:hAnsi="宋体"/>
          <w:color w:val="000000" w:themeColor="text1"/>
          <w14:textFill>
            <w14:solidFill>
              <w14:schemeClr w14:val="tx1"/>
            </w14:solidFill>
          </w14:textFill>
        </w:rPr>
      </w:pPr>
    </w:p>
    <w:p w14:paraId="0AFE6469">
      <w:pPr>
        <w:widowControl/>
        <w:spacing w:line="240" w:lineRule="auto"/>
        <w:jc w:val="left"/>
        <w:rPr>
          <w:rFonts w:ascii="宋体" w:hAnsi="宋体"/>
          <w:color w:val="000000" w:themeColor="text1"/>
          <w:highlight w:val="none"/>
          <w14:textFill>
            <w14:solidFill>
              <w14:schemeClr w14:val="tx1"/>
            </w14:solidFill>
          </w14:textFill>
        </w:rPr>
      </w:pPr>
    </w:p>
    <w:p w14:paraId="04A595C6">
      <w:pPr>
        <w:widowControl/>
        <w:spacing w:line="360" w:lineRule="auto"/>
        <w:ind w:left="480" w:leftChars="200"/>
        <w:jc w:val="center"/>
        <w:rPr>
          <w:rFonts w:ascii="宋体" w:hAnsi="宋体"/>
          <w:color w:val="000000" w:themeColor="text1"/>
          <w:sz w:val="32"/>
          <w:szCs w:val="32"/>
          <w:u w:val="single"/>
          <w14:textFill>
            <w14:solidFill>
              <w14:schemeClr w14:val="tx1"/>
            </w14:solidFill>
          </w14:textFill>
        </w:rPr>
      </w:pPr>
      <w:r>
        <w:rPr>
          <w:rFonts w:hint="eastAsia" w:ascii="宋体" w:hAnsi="宋体"/>
          <w:color w:val="000000" w:themeColor="text1"/>
          <w:sz w:val="32"/>
          <w:szCs w:val="32"/>
          <w14:textFill>
            <w14:solidFill>
              <w14:schemeClr w14:val="tx1"/>
            </w14:solidFill>
          </w14:textFill>
        </w:rPr>
        <w:t>项目名称：</w:t>
      </w:r>
      <w:r>
        <w:rPr>
          <w:rFonts w:hint="eastAsia" w:ascii="宋体" w:hAnsi="宋体"/>
          <w:color w:val="000000" w:themeColor="text1"/>
          <w:sz w:val="32"/>
          <w:szCs w:val="32"/>
          <w:u w:val="single"/>
          <w:lang w:val="en-US" w:eastAsia="zh-CN"/>
          <w14:textFill>
            <w14:solidFill>
              <w14:schemeClr w14:val="tx1"/>
            </w14:solidFill>
          </w14:textFill>
        </w:rPr>
        <w:t>荣彩服装牛仔裤清洗项目</w:t>
      </w:r>
    </w:p>
    <w:p w14:paraId="5DD25CDE">
      <w:pPr>
        <w:widowControl/>
        <w:spacing w:line="360" w:lineRule="auto"/>
        <w:ind w:left="480" w:leftChars="200"/>
        <w:jc w:val="center"/>
        <w:rPr>
          <w:rFonts w:hint="eastAsia" w:ascii="宋体" w:hAnsi="宋体" w:eastAsia="宋体"/>
          <w:color w:val="000000" w:themeColor="text1"/>
          <w:sz w:val="32"/>
          <w:szCs w:val="32"/>
          <w:lang w:eastAsia="zh-CN"/>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建设单位：</w:t>
      </w:r>
      <w:r>
        <w:rPr>
          <w:rFonts w:hint="eastAsia" w:ascii="宋体" w:hAnsi="宋体"/>
          <w:color w:val="000000" w:themeColor="text1"/>
          <w:sz w:val="32"/>
          <w:szCs w:val="32"/>
          <w:u w:val="single"/>
          <w:lang w:val="en-US" w:eastAsia="zh-CN"/>
          <w14:textFill>
            <w14:solidFill>
              <w14:schemeClr w14:val="tx1"/>
            </w14:solidFill>
          </w14:textFill>
        </w:rPr>
        <w:t>达州市荣彩服装有限公司</w:t>
      </w:r>
    </w:p>
    <w:p w14:paraId="20EF3767">
      <w:pPr>
        <w:widowControl/>
        <w:spacing w:line="360" w:lineRule="auto"/>
        <w:ind w:left="480" w:leftChars="200"/>
        <w:jc w:val="center"/>
        <w:rPr>
          <w:rFonts w:hint="eastAsia" w:ascii="宋体" w:hAnsi="宋体" w:eastAsia="宋体"/>
          <w:color w:val="000000" w:themeColor="text1"/>
          <w:sz w:val="32"/>
          <w:szCs w:val="32"/>
          <w:lang w:eastAsia="zh-CN"/>
          <w14:textFill>
            <w14:solidFill>
              <w14:schemeClr w14:val="tx1"/>
            </w14:solidFill>
          </w14:textFill>
        </w:rPr>
      </w:pPr>
      <w:r>
        <w:rPr>
          <w:rFonts w:hint="eastAsia" w:ascii="宋体" w:hAnsi="宋体"/>
          <w:color w:val="000000" w:themeColor="text1"/>
          <w:sz w:val="32"/>
          <w:szCs w:val="32"/>
          <w14:textFill>
            <w14:solidFill>
              <w14:schemeClr w14:val="tx1"/>
            </w14:solidFill>
          </w14:textFill>
        </w:rPr>
        <w:t>编制日期：</w:t>
      </w:r>
      <w:r>
        <w:rPr>
          <w:rFonts w:ascii="宋体" w:hAnsi="宋体"/>
          <w:color w:val="000000" w:themeColor="text1"/>
          <w:sz w:val="32"/>
          <w:szCs w:val="32"/>
          <w:u w:val="single"/>
          <w14:textFill>
            <w14:solidFill>
              <w14:schemeClr w14:val="tx1"/>
            </w14:solidFill>
          </w14:textFill>
        </w:rPr>
        <w:t>二〇二</w:t>
      </w:r>
      <w:r>
        <w:rPr>
          <w:rFonts w:hint="eastAsia" w:ascii="宋体" w:hAnsi="宋体"/>
          <w:color w:val="000000" w:themeColor="text1"/>
          <w:sz w:val="32"/>
          <w:szCs w:val="32"/>
          <w:u w:val="single"/>
          <w:lang w:val="en-US" w:eastAsia="zh-CN"/>
          <w14:textFill>
            <w14:solidFill>
              <w14:schemeClr w14:val="tx1"/>
            </w14:solidFill>
          </w14:textFill>
        </w:rPr>
        <w:t>六</w:t>
      </w:r>
      <w:r>
        <w:rPr>
          <w:rFonts w:ascii="宋体" w:hAnsi="宋体"/>
          <w:color w:val="000000" w:themeColor="text1"/>
          <w:sz w:val="32"/>
          <w:szCs w:val="32"/>
          <w:u w:val="single"/>
          <w14:textFill>
            <w14:solidFill>
              <w14:schemeClr w14:val="tx1"/>
            </w14:solidFill>
          </w14:textFill>
        </w:rPr>
        <w:t>年</w:t>
      </w:r>
      <w:r>
        <w:rPr>
          <w:rFonts w:hint="eastAsia" w:ascii="宋体" w:hAnsi="宋体"/>
          <w:color w:val="000000" w:themeColor="text1"/>
          <w:sz w:val="32"/>
          <w:szCs w:val="32"/>
          <w:u w:val="single"/>
          <w:lang w:val="en-US" w:eastAsia="zh-CN"/>
          <w14:textFill>
            <w14:solidFill>
              <w14:schemeClr w14:val="tx1"/>
            </w14:solidFill>
          </w14:textFill>
        </w:rPr>
        <w:t>一</w:t>
      </w:r>
      <w:r>
        <w:rPr>
          <w:rFonts w:ascii="宋体" w:hAnsi="宋体"/>
          <w:color w:val="000000" w:themeColor="text1"/>
          <w:sz w:val="32"/>
          <w:szCs w:val="32"/>
          <w:u w:val="single"/>
          <w14:textFill>
            <w14:solidFill>
              <w14:schemeClr w14:val="tx1"/>
            </w14:solidFill>
          </w14:textFill>
        </w:rPr>
        <w:t>月</w:t>
      </w:r>
    </w:p>
    <w:p w14:paraId="331481E9">
      <w:pPr>
        <w:widowControl/>
        <w:spacing w:line="240" w:lineRule="auto"/>
        <w:jc w:val="left"/>
        <w:rPr>
          <w:rFonts w:ascii="宋体" w:hAnsi="宋体"/>
          <w:color w:val="000000" w:themeColor="text1"/>
          <w:sz w:val="32"/>
          <w:szCs w:val="32"/>
          <w14:textFill>
            <w14:solidFill>
              <w14:schemeClr w14:val="tx1"/>
            </w14:solidFill>
          </w14:textFill>
        </w:rPr>
      </w:pPr>
    </w:p>
    <w:p w14:paraId="303718B1">
      <w:pPr>
        <w:widowControl/>
        <w:spacing w:line="240" w:lineRule="auto"/>
        <w:jc w:val="left"/>
        <w:rPr>
          <w:rFonts w:ascii="宋体" w:hAnsi="宋体"/>
          <w:color w:val="000000" w:themeColor="text1"/>
          <w:sz w:val="32"/>
          <w:szCs w:val="32"/>
          <w14:textFill>
            <w14:solidFill>
              <w14:schemeClr w14:val="tx1"/>
            </w14:solidFill>
          </w14:textFill>
        </w:rPr>
      </w:pPr>
    </w:p>
    <w:p w14:paraId="13CA48B4">
      <w:pPr>
        <w:widowControl/>
        <w:spacing w:line="240" w:lineRule="auto"/>
        <w:rPr>
          <w:rFonts w:ascii="宋体" w:hAnsi="宋体"/>
          <w:color w:val="000000" w:themeColor="text1"/>
          <w14:textFill>
            <w14:solidFill>
              <w14:schemeClr w14:val="tx1"/>
            </w14:solidFill>
          </w14:textFill>
        </w:rPr>
        <w:sectPr>
          <w:pgSz w:w="11906" w:h="16838"/>
          <w:pgMar w:top="1134" w:right="1418"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color w:val="000000" w:themeColor="text1"/>
          <w:sz w:val="32"/>
          <w:szCs w:val="32"/>
          <w14:textFill>
            <w14:solidFill>
              <w14:schemeClr w14:val="tx1"/>
            </w14:solidFill>
          </w14:textFill>
        </w:rPr>
        <w:t>中华人民共和国生态环境部制</w:t>
      </w:r>
    </w:p>
    <w:p w14:paraId="77A8F96A">
      <w:pPr>
        <w:pStyle w:val="2"/>
        <w:spacing w:after="312"/>
        <w:rPr>
          <w:color w:val="000000" w:themeColor="text1"/>
          <w14:textFill>
            <w14:solidFill>
              <w14:schemeClr w14:val="tx1"/>
            </w14:solidFill>
          </w14:textFill>
        </w:rPr>
      </w:pPr>
      <w:r>
        <w:rPr>
          <w:color w:val="000000" w:themeColor="text1"/>
          <w14:textFill>
            <w14:solidFill>
              <w14:schemeClr w14:val="tx1"/>
            </w14:solidFill>
          </w14:textFill>
        </w:rPr>
        <w:t>建设项目基本情况</w:t>
      </w: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8"/>
        <w:gridCol w:w="1301"/>
        <w:gridCol w:w="1800"/>
        <w:gridCol w:w="2193"/>
        <w:gridCol w:w="2888"/>
      </w:tblGrid>
      <w:tr w14:paraId="0F5BD6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79" w:type="dxa"/>
            <w:gridSpan w:val="2"/>
            <w:noWrap w:val="0"/>
            <w:vAlign w:val="center"/>
          </w:tcPr>
          <w:p w14:paraId="215114CD">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建设项目名称</w:t>
            </w:r>
          </w:p>
        </w:tc>
        <w:tc>
          <w:tcPr>
            <w:tcW w:w="6881" w:type="dxa"/>
            <w:gridSpan w:val="3"/>
            <w:noWrap w:val="0"/>
            <w:vAlign w:val="center"/>
          </w:tcPr>
          <w:p w14:paraId="31F1462C">
            <w:pPr>
              <w:spacing w:line="240" w:lineRule="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荣彩服装牛仔裤清洗项目</w:t>
            </w:r>
          </w:p>
        </w:tc>
      </w:tr>
      <w:tr w14:paraId="561227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79" w:type="dxa"/>
            <w:gridSpan w:val="2"/>
            <w:noWrap w:val="0"/>
            <w:vAlign w:val="center"/>
          </w:tcPr>
          <w:p w14:paraId="5C6D8C5F">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项目代码</w:t>
            </w:r>
          </w:p>
        </w:tc>
        <w:tc>
          <w:tcPr>
            <w:tcW w:w="6881" w:type="dxa"/>
            <w:gridSpan w:val="3"/>
            <w:noWrap w:val="0"/>
            <w:vAlign w:val="center"/>
          </w:tcPr>
          <w:p w14:paraId="51B6BDEC">
            <w:pPr>
              <w:widowControl/>
              <w:spacing w:line="240" w:lineRule="auto"/>
              <w:jc w:val="center"/>
              <w:rPr>
                <w:rFonts w:hint="eastAsia" w:eastAsia="宋体"/>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2512-511703-04-01-650277</w:t>
            </w:r>
          </w:p>
        </w:tc>
      </w:tr>
      <w:tr w14:paraId="5272C0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9" w:hRule="atLeast"/>
        </w:trPr>
        <w:tc>
          <w:tcPr>
            <w:tcW w:w="2179" w:type="dxa"/>
            <w:gridSpan w:val="2"/>
            <w:noWrap w:val="0"/>
            <w:vAlign w:val="center"/>
          </w:tcPr>
          <w:p w14:paraId="3B29D100">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建设单位联系人</w:t>
            </w:r>
          </w:p>
        </w:tc>
        <w:tc>
          <w:tcPr>
            <w:tcW w:w="1800" w:type="dxa"/>
            <w:noWrap w:val="0"/>
            <w:vAlign w:val="center"/>
          </w:tcPr>
          <w:p w14:paraId="121A5EE4">
            <w:pPr>
              <w:spacing w:line="240" w:lineRule="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龚河</w:t>
            </w:r>
          </w:p>
        </w:tc>
        <w:tc>
          <w:tcPr>
            <w:tcW w:w="2193" w:type="dxa"/>
            <w:noWrap w:val="0"/>
            <w:vAlign w:val="center"/>
          </w:tcPr>
          <w:p w14:paraId="163A1236">
            <w:p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联系方式</w:t>
            </w:r>
          </w:p>
        </w:tc>
        <w:tc>
          <w:tcPr>
            <w:tcW w:w="2888" w:type="dxa"/>
            <w:noWrap w:val="0"/>
            <w:vAlign w:val="center"/>
          </w:tcPr>
          <w:p w14:paraId="00213175">
            <w:pPr>
              <w:spacing w:line="240" w:lineRule="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18011243777</w:t>
            </w:r>
          </w:p>
        </w:tc>
      </w:tr>
      <w:tr w14:paraId="4E983C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2179" w:type="dxa"/>
            <w:gridSpan w:val="2"/>
            <w:noWrap w:val="0"/>
            <w:vAlign w:val="center"/>
          </w:tcPr>
          <w:p w14:paraId="31E8CCA1">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建设地点</w:t>
            </w:r>
          </w:p>
        </w:tc>
        <w:tc>
          <w:tcPr>
            <w:tcW w:w="6881" w:type="dxa"/>
            <w:gridSpan w:val="3"/>
            <w:noWrap w:val="0"/>
            <w:vAlign w:val="center"/>
          </w:tcPr>
          <w:p w14:paraId="1EF03AAE">
            <w:pPr>
              <w:spacing w:line="240" w:lineRule="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四川省达州市达川百马产业新区俊健标准厂房B</w:t>
            </w:r>
            <w:r>
              <w:rPr>
                <w:rFonts w:hint="eastAsia"/>
                <w:color w:val="000000" w:themeColor="text1"/>
                <w:highlight w:val="none"/>
                <w:lang w:val="en-US" w:eastAsia="zh-CN"/>
                <w14:textFill>
                  <w14:solidFill>
                    <w14:schemeClr w14:val="tx1"/>
                  </w14:solidFill>
                </w14:textFill>
              </w:rPr>
              <w:t>5</w:t>
            </w:r>
            <w:r>
              <w:rPr>
                <w:rFonts w:hint="eastAsia" w:eastAsia="宋体"/>
                <w:color w:val="000000" w:themeColor="text1"/>
                <w:highlight w:val="none"/>
                <w:lang w:eastAsia="zh-CN"/>
                <w14:textFill>
                  <w14:solidFill>
                    <w14:schemeClr w14:val="tx1"/>
                  </w14:solidFill>
                </w14:textFill>
              </w:rPr>
              <w:t>栋</w:t>
            </w:r>
            <w:r>
              <w:rPr>
                <w:rFonts w:hint="eastAsia"/>
                <w:color w:val="000000" w:themeColor="text1"/>
                <w:highlight w:val="none"/>
                <w:lang w:val="en-US" w:eastAsia="zh-CN"/>
                <w14:textFill>
                  <w14:solidFill>
                    <w14:schemeClr w14:val="tx1"/>
                  </w14:solidFill>
                </w14:textFill>
              </w:rPr>
              <w:t>1</w:t>
            </w:r>
            <w:r>
              <w:rPr>
                <w:rFonts w:hint="eastAsia" w:eastAsia="宋体"/>
                <w:color w:val="000000" w:themeColor="text1"/>
                <w:highlight w:val="none"/>
                <w:lang w:eastAsia="zh-CN"/>
                <w14:textFill>
                  <w14:solidFill>
                    <w14:schemeClr w14:val="tx1"/>
                  </w14:solidFill>
                </w14:textFill>
              </w:rPr>
              <w:t>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B6</w:t>
            </w:r>
            <w:r>
              <w:rPr>
                <w:rFonts w:hint="eastAsia" w:eastAsia="宋体"/>
                <w:color w:val="000000" w:themeColor="text1"/>
                <w:highlight w:val="none"/>
                <w:lang w:eastAsia="zh-CN"/>
                <w14:textFill>
                  <w14:solidFill>
                    <w14:schemeClr w14:val="tx1"/>
                  </w14:solidFill>
                </w14:textFill>
              </w:rPr>
              <w:t>栋</w:t>
            </w:r>
            <w:r>
              <w:rPr>
                <w:rFonts w:hint="eastAsia"/>
                <w:color w:val="000000" w:themeColor="text1"/>
                <w:highlight w:val="none"/>
                <w:lang w:val="en-US" w:eastAsia="zh-CN"/>
                <w14:textFill>
                  <w14:solidFill>
                    <w14:schemeClr w14:val="tx1"/>
                  </w14:solidFill>
                </w14:textFill>
              </w:rPr>
              <w:t>1</w:t>
            </w:r>
            <w:r>
              <w:rPr>
                <w:rFonts w:hint="eastAsia" w:eastAsia="宋体"/>
                <w:color w:val="000000" w:themeColor="text1"/>
                <w:highlight w:val="none"/>
                <w:lang w:eastAsia="zh-CN"/>
                <w14:textFill>
                  <w14:solidFill>
                    <w14:schemeClr w14:val="tx1"/>
                  </w14:solidFill>
                </w14:textFill>
              </w:rPr>
              <w:t>层</w:t>
            </w:r>
          </w:p>
        </w:tc>
      </w:tr>
      <w:tr w14:paraId="4FD1D7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79" w:type="dxa"/>
            <w:gridSpan w:val="2"/>
            <w:noWrap w:val="0"/>
            <w:vAlign w:val="center"/>
          </w:tcPr>
          <w:p w14:paraId="45A982C8">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地理坐标</w:t>
            </w:r>
          </w:p>
        </w:tc>
        <w:tc>
          <w:tcPr>
            <w:tcW w:w="6881" w:type="dxa"/>
            <w:gridSpan w:val="3"/>
            <w:noWrap w:val="0"/>
            <w:vAlign w:val="center"/>
          </w:tcPr>
          <w:p w14:paraId="47776D82">
            <w:pPr>
              <w:spacing w:line="240" w:lineRule="auto"/>
              <w:rPr>
                <w:color w:val="000000" w:themeColor="text1"/>
                <w:highlight w:val="yellow"/>
                <w14:textFill>
                  <w14:solidFill>
                    <w14:schemeClr w14:val="tx1"/>
                  </w14:solidFill>
                </w14:textFill>
              </w:rPr>
            </w:pPr>
            <w:r>
              <w:rPr>
                <w:color w:val="000000" w:themeColor="text1"/>
                <w:highlight w:val="none"/>
                <w14:textFill>
                  <w14:solidFill>
                    <w14:schemeClr w14:val="tx1"/>
                  </w14:solidFill>
                </w14:textFill>
              </w:rPr>
              <w:t>（</w:t>
            </w:r>
            <w:r>
              <w:rPr>
                <w:color w:val="000000" w:themeColor="text1"/>
                <w:highlight w:val="none"/>
                <w:u w:val="single"/>
                <w14:textFill>
                  <w14:solidFill>
                    <w14:schemeClr w14:val="tx1"/>
                  </w14:solidFill>
                </w14:textFill>
              </w:rPr>
              <w:t>10</w:t>
            </w:r>
            <w:r>
              <w:rPr>
                <w:rFonts w:hint="eastAsia"/>
                <w:color w:val="000000" w:themeColor="text1"/>
                <w:highlight w:val="none"/>
                <w:u w:val="single"/>
                <w:lang w:val="en-US" w:eastAsia="zh-CN"/>
                <w14:textFill>
                  <w14:solidFill>
                    <w14:schemeClr w14:val="tx1"/>
                  </w14:solidFill>
                </w14:textFill>
              </w:rPr>
              <w:t>7</w:t>
            </w:r>
            <w:r>
              <w:rPr>
                <w:color w:val="000000" w:themeColor="text1"/>
                <w:highlight w:val="none"/>
                <w14:textFill>
                  <w14:solidFill>
                    <w14:schemeClr w14:val="tx1"/>
                  </w14:solidFill>
                </w14:textFill>
              </w:rPr>
              <w:t>度</w:t>
            </w:r>
            <w:r>
              <w:rPr>
                <w:rFonts w:hint="eastAsia"/>
                <w:color w:val="000000" w:themeColor="text1"/>
                <w:highlight w:val="none"/>
                <w:u w:val="single"/>
                <w:lang w:val="en-US" w:eastAsia="zh-CN"/>
                <w14:textFill>
                  <w14:solidFill>
                    <w14:schemeClr w14:val="tx1"/>
                  </w14:solidFill>
                </w14:textFill>
              </w:rPr>
              <w:t>26</w:t>
            </w:r>
            <w:r>
              <w:rPr>
                <w:color w:val="000000" w:themeColor="text1"/>
                <w:highlight w:val="none"/>
                <w14:textFill>
                  <w14:solidFill>
                    <w14:schemeClr w14:val="tx1"/>
                  </w14:solidFill>
                </w14:textFill>
              </w:rPr>
              <w:t>分</w:t>
            </w:r>
            <w:r>
              <w:rPr>
                <w:rFonts w:hint="eastAsia"/>
                <w:color w:val="000000" w:themeColor="text1"/>
                <w:highlight w:val="none"/>
                <w:u w:val="single"/>
                <w:lang w:val="en-US" w:eastAsia="zh-CN"/>
                <w14:textFill>
                  <w14:solidFill>
                    <w14:schemeClr w14:val="tx1"/>
                  </w14:solidFill>
                </w14:textFill>
              </w:rPr>
              <w:t>16.0044</w:t>
            </w:r>
            <w:r>
              <w:rPr>
                <w:color w:val="000000" w:themeColor="text1"/>
                <w:highlight w:val="none"/>
                <w14:textFill>
                  <w14:solidFill>
                    <w14:schemeClr w14:val="tx1"/>
                  </w14:solidFill>
                </w14:textFill>
              </w:rPr>
              <w:t>秒，</w:t>
            </w:r>
            <w:r>
              <w:rPr>
                <w:rFonts w:hint="eastAsia"/>
                <w:color w:val="000000" w:themeColor="text1"/>
                <w:highlight w:val="none"/>
                <w:u w:val="single"/>
                <w:lang w:val="en-US" w:eastAsia="zh-CN"/>
                <w14:textFill>
                  <w14:solidFill>
                    <w14:schemeClr w14:val="tx1"/>
                  </w14:solidFill>
                </w14:textFill>
              </w:rPr>
              <w:t>31</w:t>
            </w:r>
            <w:r>
              <w:rPr>
                <w:color w:val="000000" w:themeColor="text1"/>
                <w:highlight w:val="none"/>
                <w14:textFill>
                  <w14:solidFill>
                    <w14:schemeClr w14:val="tx1"/>
                  </w14:solidFill>
                </w14:textFill>
              </w:rPr>
              <w:t>度</w:t>
            </w:r>
            <w:r>
              <w:rPr>
                <w:rFonts w:hint="eastAsia"/>
                <w:color w:val="000000" w:themeColor="text1"/>
                <w:highlight w:val="none"/>
                <w:u w:val="single"/>
                <w:lang w:val="en-US" w:eastAsia="zh-CN"/>
                <w14:textFill>
                  <w14:solidFill>
                    <w14:schemeClr w14:val="tx1"/>
                  </w14:solidFill>
                </w14:textFill>
              </w:rPr>
              <w:t>0</w:t>
            </w:r>
            <w:r>
              <w:rPr>
                <w:color w:val="000000" w:themeColor="text1"/>
                <w:highlight w:val="none"/>
                <w14:textFill>
                  <w14:solidFill>
                    <w14:schemeClr w14:val="tx1"/>
                  </w14:solidFill>
                </w14:textFill>
              </w:rPr>
              <w:t>分</w:t>
            </w:r>
            <w:r>
              <w:rPr>
                <w:rFonts w:hint="eastAsia"/>
                <w:color w:val="000000" w:themeColor="text1"/>
                <w:highlight w:val="none"/>
                <w:u w:val="single"/>
                <w:lang w:val="en-US" w:eastAsia="zh-CN"/>
                <w14:textFill>
                  <w14:solidFill>
                    <w14:schemeClr w14:val="tx1"/>
                  </w14:solidFill>
                </w14:textFill>
              </w:rPr>
              <w:t>20.4228</w:t>
            </w:r>
            <w:r>
              <w:rPr>
                <w:color w:val="000000" w:themeColor="text1"/>
                <w:highlight w:val="none"/>
                <w14:textFill>
                  <w14:solidFill>
                    <w14:schemeClr w14:val="tx1"/>
                  </w14:solidFill>
                </w14:textFill>
              </w:rPr>
              <w:t>秒）</w:t>
            </w:r>
          </w:p>
        </w:tc>
      </w:tr>
      <w:tr w14:paraId="765EFE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79" w:type="dxa"/>
            <w:gridSpan w:val="2"/>
            <w:noWrap w:val="0"/>
            <w:vAlign w:val="center"/>
          </w:tcPr>
          <w:p w14:paraId="78ED5972">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国民经济行业类别</w:t>
            </w:r>
          </w:p>
        </w:tc>
        <w:tc>
          <w:tcPr>
            <w:tcW w:w="1800" w:type="dxa"/>
            <w:noWrap w:val="0"/>
            <w:vAlign w:val="center"/>
          </w:tcPr>
          <w:p w14:paraId="2A04D5C5">
            <w:pPr>
              <w:spacing w:line="240" w:lineRule="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C1819 其它机制服装制造</w:t>
            </w:r>
          </w:p>
        </w:tc>
        <w:tc>
          <w:tcPr>
            <w:tcW w:w="2193" w:type="dxa"/>
            <w:noWrap w:val="0"/>
            <w:vAlign w:val="center"/>
          </w:tcPr>
          <w:p w14:paraId="2416A08B">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建设项目行业类别</w:t>
            </w:r>
          </w:p>
        </w:tc>
        <w:tc>
          <w:tcPr>
            <w:tcW w:w="2888" w:type="dxa"/>
            <w:noWrap w:val="0"/>
            <w:vAlign w:val="center"/>
          </w:tcPr>
          <w:p w14:paraId="2E38C145">
            <w:pPr>
              <w:spacing w:line="240" w:lineRule="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十五、纺织服装、服饰业 18，29 </w:t>
            </w:r>
            <w:r>
              <w:rPr>
                <w:rFonts w:hint="eastAsia"/>
                <w:color w:val="000000" w:themeColor="text1"/>
                <w:lang w:val="en-US" w:eastAsia="zh-CN"/>
                <w14:textFill>
                  <w14:solidFill>
                    <w14:schemeClr w14:val="tx1"/>
                  </w14:solidFill>
                </w14:textFill>
              </w:rPr>
              <w:t xml:space="preserve">机织服装制造 181  </w:t>
            </w:r>
            <w:r>
              <w:rPr>
                <w:rFonts w:hint="default"/>
                <w:color w:val="000000" w:themeColor="text1"/>
                <w:lang w:val="en-US" w:eastAsia="zh-CN"/>
                <w14:textFill>
                  <w14:solidFill>
                    <w14:schemeClr w14:val="tx1"/>
                  </w14:solidFill>
                </w14:textFill>
              </w:rPr>
              <w:t xml:space="preserve"> 中有喷墨印花或数码印花工艺的；有洗水、砂洗工艺的</w:t>
            </w:r>
          </w:p>
        </w:tc>
      </w:tr>
      <w:tr w14:paraId="4D0B3F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79" w:type="dxa"/>
            <w:gridSpan w:val="2"/>
            <w:noWrap w:val="0"/>
            <w:vAlign w:val="center"/>
          </w:tcPr>
          <w:p w14:paraId="6B187CEE">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建设性质</w:t>
            </w:r>
          </w:p>
        </w:tc>
        <w:tc>
          <w:tcPr>
            <w:tcW w:w="1800" w:type="dxa"/>
            <w:noWrap w:val="0"/>
            <w:vAlign w:val="center"/>
          </w:tcPr>
          <w:p w14:paraId="0FB121BB">
            <w:pPr>
              <w:spacing w:line="240" w:lineRule="auto"/>
              <w:jc w:val="left"/>
              <w:rPr>
                <w:color w:val="000000" w:themeColor="text1"/>
                <w14:textFill>
                  <w14:solidFill>
                    <w14:schemeClr w14:val="tx1"/>
                  </w14:solidFill>
                </w14:textFill>
              </w:rPr>
            </w:pPr>
            <w:r>
              <w:rPr>
                <w:rFonts w:hint="eastAsia" w:ascii="Segoe UI Symbol" w:hAnsi="Segoe UI Symbol"/>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新建（迁建）</w:t>
            </w:r>
          </w:p>
          <w:p w14:paraId="419043F5">
            <w:pPr>
              <w:spacing w:line="240" w:lineRule="auto"/>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改建</w:t>
            </w:r>
          </w:p>
          <w:p w14:paraId="63C5A30A">
            <w:pPr>
              <w:spacing w:line="240" w:lineRule="auto"/>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扩建</w:t>
            </w:r>
          </w:p>
          <w:p w14:paraId="4D8DD055">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□技术改造</w:t>
            </w:r>
          </w:p>
        </w:tc>
        <w:tc>
          <w:tcPr>
            <w:tcW w:w="2193" w:type="dxa"/>
            <w:noWrap w:val="0"/>
            <w:vAlign w:val="center"/>
          </w:tcPr>
          <w:p w14:paraId="3171C36D">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建设项目申报情形</w:t>
            </w:r>
          </w:p>
        </w:tc>
        <w:tc>
          <w:tcPr>
            <w:tcW w:w="2888" w:type="dxa"/>
            <w:noWrap w:val="0"/>
            <w:vAlign w:val="center"/>
          </w:tcPr>
          <w:p w14:paraId="351478AC">
            <w:pPr>
              <w:spacing w:line="240" w:lineRule="auto"/>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☑首次申报项目</w:t>
            </w:r>
          </w:p>
          <w:p w14:paraId="166943BD">
            <w:pPr>
              <w:spacing w:line="240" w:lineRule="auto"/>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不予批准后再次申报项目</w:t>
            </w:r>
          </w:p>
          <w:p w14:paraId="71F23771">
            <w:pPr>
              <w:spacing w:line="240" w:lineRule="auto"/>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超五年重新审核项目</w:t>
            </w:r>
          </w:p>
          <w:p w14:paraId="1C598B9B">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□重大变动重新报批项目</w:t>
            </w:r>
          </w:p>
        </w:tc>
      </w:tr>
      <w:tr w14:paraId="0F97DF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79" w:type="dxa"/>
            <w:gridSpan w:val="2"/>
            <w:noWrap w:val="0"/>
            <w:vAlign w:val="center"/>
          </w:tcPr>
          <w:p w14:paraId="5F8A1FA9">
            <w:p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项目审批（核准/备案）部门（选填）</w:t>
            </w:r>
          </w:p>
        </w:tc>
        <w:tc>
          <w:tcPr>
            <w:tcW w:w="1800" w:type="dxa"/>
            <w:noWrap w:val="0"/>
            <w:vAlign w:val="center"/>
          </w:tcPr>
          <w:p w14:paraId="1E68130F">
            <w:pPr>
              <w:spacing w:line="240" w:lineRule="auto"/>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达川区发展和改革局</w:t>
            </w:r>
          </w:p>
        </w:tc>
        <w:tc>
          <w:tcPr>
            <w:tcW w:w="2193" w:type="dxa"/>
            <w:noWrap w:val="0"/>
            <w:vAlign w:val="center"/>
          </w:tcPr>
          <w:p w14:paraId="6B9DAED8">
            <w:p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项目审批（核准/备案）文号（选填）</w:t>
            </w:r>
          </w:p>
        </w:tc>
        <w:tc>
          <w:tcPr>
            <w:tcW w:w="2888" w:type="dxa"/>
            <w:noWrap w:val="0"/>
            <w:vAlign w:val="center"/>
          </w:tcPr>
          <w:p w14:paraId="16D6201D">
            <w:pPr>
              <w:widowControl/>
              <w:spacing w:line="240" w:lineRule="auto"/>
              <w:jc w:val="left"/>
              <w:rPr>
                <w:rFonts w:hint="eastAsia" w:eastAsia="宋体"/>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2512-511703-04-01-650277</w:t>
            </w:r>
          </w:p>
        </w:tc>
      </w:tr>
      <w:tr w14:paraId="4695AC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79" w:type="dxa"/>
            <w:gridSpan w:val="2"/>
            <w:noWrap w:val="0"/>
            <w:vAlign w:val="center"/>
          </w:tcPr>
          <w:p w14:paraId="64B0D46E">
            <w:p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总投资（万元）</w:t>
            </w:r>
          </w:p>
        </w:tc>
        <w:tc>
          <w:tcPr>
            <w:tcW w:w="1800" w:type="dxa"/>
            <w:noWrap w:val="0"/>
            <w:vAlign w:val="center"/>
          </w:tcPr>
          <w:p w14:paraId="6A2EEE9A">
            <w:pPr>
              <w:spacing w:line="240" w:lineRule="auto"/>
              <w:rPr>
                <w:rFonts w:hint="default"/>
                <w:color w:val="000000" w:themeColor="text1"/>
                <w:highlight w:val="none"/>
                <w:lang w:val="en-US"/>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200</w:t>
            </w:r>
          </w:p>
        </w:tc>
        <w:tc>
          <w:tcPr>
            <w:tcW w:w="2193" w:type="dxa"/>
            <w:noWrap w:val="0"/>
            <w:vAlign w:val="center"/>
          </w:tcPr>
          <w:p w14:paraId="354F465A">
            <w:p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环保投资（万元）</w:t>
            </w:r>
          </w:p>
        </w:tc>
        <w:tc>
          <w:tcPr>
            <w:tcW w:w="2888" w:type="dxa"/>
            <w:noWrap w:val="0"/>
            <w:vAlign w:val="center"/>
          </w:tcPr>
          <w:p w14:paraId="4B839FC8">
            <w:pPr>
              <w:spacing w:line="240" w:lineRule="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r>
      <w:tr w14:paraId="1B55EF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79" w:type="dxa"/>
            <w:gridSpan w:val="2"/>
            <w:noWrap w:val="0"/>
            <w:vAlign w:val="center"/>
          </w:tcPr>
          <w:p w14:paraId="37C06CB0">
            <w:p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环保投资占比（%）</w:t>
            </w:r>
          </w:p>
        </w:tc>
        <w:tc>
          <w:tcPr>
            <w:tcW w:w="1800" w:type="dxa"/>
            <w:noWrap w:val="0"/>
            <w:vAlign w:val="center"/>
          </w:tcPr>
          <w:p w14:paraId="12DA9904">
            <w:pPr>
              <w:spacing w:line="240" w:lineRule="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c>
          <w:tcPr>
            <w:tcW w:w="2193" w:type="dxa"/>
            <w:noWrap w:val="0"/>
            <w:vAlign w:val="center"/>
          </w:tcPr>
          <w:p w14:paraId="34EE7DF1">
            <w:p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施工工期</w:t>
            </w:r>
          </w:p>
        </w:tc>
        <w:tc>
          <w:tcPr>
            <w:tcW w:w="2888" w:type="dxa"/>
            <w:noWrap w:val="0"/>
            <w:vAlign w:val="center"/>
          </w:tcPr>
          <w:p w14:paraId="49715595">
            <w:pPr>
              <w:spacing w:line="240" w:lineRule="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个月</w:t>
            </w:r>
          </w:p>
        </w:tc>
      </w:tr>
      <w:tr w14:paraId="4DFD39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79" w:type="dxa"/>
            <w:gridSpan w:val="2"/>
            <w:noWrap w:val="0"/>
            <w:vAlign w:val="center"/>
          </w:tcPr>
          <w:p w14:paraId="52759B79">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是否开工建设</w:t>
            </w:r>
          </w:p>
        </w:tc>
        <w:tc>
          <w:tcPr>
            <w:tcW w:w="1800" w:type="dxa"/>
            <w:noWrap w:val="0"/>
            <w:vAlign w:val="center"/>
          </w:tcPr>
          <w:p w14:paraId="6A59E0C8">
            <w:pPr>
              <w:spacing w:line="240" w:lineRule="auto"/>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☑否</w:t>
            </w:r>
          </w:p>
          <w:p w14:paraId="2C411B40">
            <w:pPr>
              <w:spacing w:line="240" w:lineRule="auto"/>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□是：</w:t>
            </w:r>
          </w:p>
        </w:tc>
        <w:tc>
          <w:tcPr>
            <w:tcW w:w="2193" w:type="dxa"/>
            <w:noWrap w:val="0"/>
            <w:vAlign w:val="center"/>
          </w:tcPr>
          <w:p w14:paraId="614F3C9C">
            <w:p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用地（用海）面积（m²）</w:t>
            </w:r>
          </w:p>
        </w:tc>
        <w:tc>
          <w:tcPr>
            <w:tcW w:w="2888" w:type="dxa"/>
            <w:noWrap w:val="0"/>
            <w:vAlign w:val="center"/>
          </w:tcPr>
          <w:p w14:paraId="005FC4B5">
            <w:pPr>
              <w:spacing w:line="240" w:lineRule="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2400</w:t>
            </w:r>
          </w:p>
        </w:tc>
      </w:tr>
      <w:tr w14:paraId="207A91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8" w:type="dxa"/>
            <w:noWrap w:val="0"/>
            <w:vAlign w:val="center"/>
          </w:tcPr>
          <w:p w14:paraId="192D072B">
            <w:pPr>
              <w:rPr>
                <w:color w:val="000000" w:themeColor="text1"/>
                <w14:textFill>
                  <w14:solidFill>
                    <w14:schemeClr w14:val="tx1"/>
                  </w14:solidFill>
                </w14:textFill>
              </w:rPr>
            </w:pPr>
            <w:r>
              <w:rPr>
                <w:rFonts w:hint="eastAsia"/>
                <w:color w:val="000000" w:themeColor="text1"/>
                <w14:textFill>
                  <w14:solidFill>
                    <w14:schemeClr w14:val="tx1"/>
                  </w14:solidFill>
                </w14:textFill>
              </w:rPr>
              <w:t>专项评价设置情况</w:t>
            </w:r>
          </w:p>
        </w:tc>
        <w:tc>
          <w:tcPr>
            <w:tcW w:w="8182" w:type="dxa"/>
            <w:gridSpan w:val="4"/>
            <w:noWrap w:val="0"/>
            <w:vAlign w:val="center"/>
          </w:tcPr>
          <w:p w14:paraId="4144EEF3">
            <w:pPr>
              <w:pStyle w:val="6"/>
              <w:numPr>
                <w:ilvl w:val="4"/>
                <w:numId w:val="0"/>
              </w:numPr>
              <w:spacing w:before="156"/>
              <w:ind w:leftChars="0"/>
              <w:jc w:val="center"/>
              <w:outlineLvl w:val="4"/>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表1-1</w:t>
            </w:r>
            <w:r>
              <w:rPr>
                <w:rFonts w:hint="eastAsia"/>
                <w:color w:val="000000" w:themeColor="text1"/>
                <w14:textFill>
                  <w14:solidFill>
                    <w14:schemeClr w14:val="tx1"/>
                  </w14:solidFill>
                </w14:textFill>
              </w:rPr>
              <w:t>专项评价设置原则表</w:t>
            </w:r>
          </w:p>
          <w:tbl>
            <w:tblPr>
              <w:tblStyle w:val="53"/>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05"/>
              <w:gridCol w:w="2587"/>
              <w:gridCol w:w="3026"/>
              <w:gridCol w:w="703"/>
            </w:tblGrid>
            <w:tr w14:paraId="31E96B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05" w:type="dxa"/>
                  <w:noWrap w:val="0"/>
                  <w:vAlign w:val="center"/>
                </w:tcPr>
                <w:p w14:paraId="1DBA559C">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专项评价的类别</w:t>
                  </w:r>
                </w:p>
              </w:tc>
              <w:tc>
                <w:tcPr>
                  <w:tcW w:w="2587" w:type="dxa"/>
                  <w:noWrap w:val="0"/>
                  <w:vAlign w:val="center"/>
                </w:tcPr>
                <w:p w14:paraId="760F91BF">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设置原则</w:t>
                  </w:r>
                </w:p>
              </w:tc>
              <w:tc>
                <w:tcPr>
                  <w:tcW w:w="3026" w:type="dxa"/>
                  <w:noWrap w:val="0"/>
                  <w:vAlign w:val="center"/>
                </w:tcPr>
                <w:p w14:paraId="3E8024F6">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本项目</w:t>
                  </w:r>
                </w:p>
              </w:tc>
              <w:tc>
                <w:tcPr>
                  <w:tcW w:w="703" w:type="dxa"/>
                  <w:noWrap w:val="0"/>
                  <w:vAlign w:val="center"/>
                </w:tcPr>
                <w:p w14:paraId="3EAA8086">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是否设置</w:t>
                  </w:r>
                </w:p>
              </w:tc>
            </w:tr>
            <w:tr w14:paraId="1512E5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05" w:type="dxa"/>
                  <w:noWrap w:val="0"/>
                  <w:vAlign w:val="center"/>
                </w:tcPr>
                <w:p w14:paraId="7387DFEB">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大气</w:t>
                  </w:r>
                </w:p>
              </w:tc>
              <w:tc>
                <w:tcPr>
                  <w:tcW w:w="2587" w:type="dxa"/>
                  <w:noWrap w:val="0"/>
                  <w:vAlign w:val="center"/>
                </w:tcPr>
                <w:p w14:paraId="4BED9AB6">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排放废气含有毒有害污染物1、二噁英、苯并[a]芘、氰化物、氯气且厂界外500米范围内有环境空气保护目标2的建设项目。</w:t>
                  </w:r>
                </w:p>
              </w:tc>
              <w:tc>
                <w:tcPr>
                  <w:tcW w:w="3026" w:type="dxa"/>
                  <w:noWrap w:val="0"/>
                  <w:vAlign w:val="center"/>
                </w:tcPr>
                <w:p w14:paraId="0F16B7E3">
                  <w:pPr>
                    <w:pStyle w:val="56"/>
                    <w:rPr>
                      <w:rFonts w:hint="default"/>
                      <w:color w:val="000000" w:themeColor="text1"/>
                      <w14:textFill>
                        <w14:solidFill>
                          <w14:schemeClr w14:val="tx1"/>
                        </w14:solidFill>
                      </w14:textFill>
                    </w:rPr>
                  </w:pPr>
                  <w:r>
                    <w:rPr>
                      <w:rFonts w:hint="default"/>
                      <w:b w:val="0"/>
                      <w:bCs w:val="0"/>
                      <w:color w:val="000000" w:themeColor="text1"/>
                      <w14:textFill>
                        <w14:solidFill>
                          <w14:schemeClr w14:val="tx1"/>
                        </w14:solidFill>
                      </w14:textFill>
                    </w:rPr>
                    <w:t>本项目排放废气中</w:t>
                  </w:r>
                  <w:r>
                    <w:rPr>
                      <w:rFonts w:hint="eastAsia"/>
                      <w:b w:val="0"/>
                      <w:bCs w:val="0"/>
                      <w:color w:val="000000" w:themeColor="text1"/>
                      <w:lang w:val="en-US" w:eastAsia="zh-CN"/>
                      <w14:textFill>
                        <w14:solidFill>
                          <w14:schemeClr w14:val="tx1"/>
                        </w14:solidFill>
                      </w14:textFill>
                    </w:rPr>
                    <w:t>不</w:t>
                  </w:r>
                  <w:r>
                    <w:rPr>
                      <w:rFonts w:hint="default"/>
                      <w:b w:val="0"/>
                      <w:bCs w:val="0"/>
                      <w:color w:val="000000" w:themeColor="text1"/>
                      <w14:textFill>
                        <w14:solidFill>
                          <w14:schemeClr w14:val="tx1"/>
                        </w14:solidFill>
                      </w14:textFill>
                    </w:rPr>
                    <w:t>含有毒有害污染物1、二噁英、苯并[a]芘、氰化物、氯气。</w:t>
                  </w:r>
                </w:p>
              </w:tc>
              <w:tc>
                <w:tcPr>
                  <w:tcW w:w="703" w:type="dxa"/>
                  <w:noWrap w:val="0"/>
                  <w:vAlign w:val="center"/>
                </w:tcPr>
                <w:p w14:paraId="7096C7C8">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否</w:t>
                  </w:r>
                </w:p>
              </w:tc>
            </w:tr>
            <w:tr w14:paraId="4C47B6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05" w:type="dxa"/>
                  <w:noWrap w:val="0"/>
                  <w:vAlign w:val="center"/>
                </w:tcPr>
                <w:p w14:paraId="26A2868E">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2587" w:type="dxa"/>
                  <w:noWrap w:val="0"/>
                  <w:vAlign w:val="center"/>
                </w:tcPr>
                <w:p w14:paraId="62A96FA0">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新增工业废水直排建设项目（槽罐车外送污水处理厂的除外）；新增废水直排的污水集中处理厂。</w:t>
                  </w:r>
                </w:p>
              </w:tc>
              <w:tc>
                <w:tcPr>
                  <w:tcW w:w="3026" w:type="dxa"/>
                  <w:noWrap w:val="0"/>
                  <w:vAlign w:val="center"/>
                </w:tcPr>
                <w:p w14:paraId="34C0B87C">
                  <w:pPr>
                    <w:pStyle w:val="56"/>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生产和生活</w:t>
                  </w:r>
                  <w:r>
                    <w:rPr>
                      <w:rFonts w:hint="default"/>
                      <w:color w:val="000000" w:themeColor="text1"/>
                      <w14:textFill>
                        <w14:solidFill>
                          <w14:schemeClr w14:val="tx1"/>
                        </w14:solidFill>
                      </w14:textFill>
                    </w:rPr>
                    <w:t>废水为间接排放，不属于新增工业废水直排建设项目（槽罐车外送污水处理厂的除外），也不属于新增废水直排的污水集中处理厂。</w:t>
                  </w:r>
                </w:p>
              </w:tc>
              <w:tc>
                <w:tcPr>
                  <w:tcW w:w="703" w:type="dxa"/>
                  <w:noWrap w:val="0"/>
                  <w:vAlign w:val="center"/>
                </w:tcPr>
                <w:p w14:paraId="2D9C57B5">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否</w:t>
                  </w:r>
                </w:p>
              </w:tc>
            </w:tr>
            <w:tr w14:paraId="61AF40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05" w:type="dxa"/>
                  <w:noWrap w:val="0"/>
                  <w:vAlign w:val="center"/>
                </w:tcPr>
                <w:p w14:paraId="6590F48A">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环境风险</w:t>
                  </w:r>
                </w:p>
              </w:tc>
              <w:tc>
                <w:tcPr>
                  <w:tcW w:w="2587" w:type="dxa"/>
                  <w:noWrap w:val="0"/>
                  <w:vAlign w:val="center"/>
                </w:tcPr>
                <w:p w14:paraId="161B6935">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有毒有害和易燃易爆危险物质存储量超过临界量3的建设项目</w:t>
                  </w:r>
                </w:p>
              </w:tc>
              <w:tc>
                <w:tcPr>
                  <w:tcW w:w="3026" w:type="dxa"/>
                  <w:noWrap w:val="0"/>
                  <w:vAlign w:val="center"/>
                </w:tcPr>
                <w:p w14:paraId="1CE8D14B">
                  <w:pPr>
                    <w:pStyle w:val="56"/>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无风险物质</w:t>
                  </w:r>
                  <w:r>
                    <w:rPr>
                      <w:rFonts w:hint="default"/>
                      <w:color w:val="000000" w:themeColor="text1"/>
                      <w14:textFill>
                        <w14:solidFill>
                          <w14:schemeClr w14:val="tx1"/>
                        </w14:solidFill>
                      </w14:textFill>
                    </w:rPr>
                    <w:t>。</w:t>
                  </w:r>
                </w:p>
              </w:tc>
              <w:tc>
                <w:tcPr>
                  <w:tcW w:w="703" w:type="dxa"/>
                  <w:noWrap w:val="0"/>
                  <w:vAlign w:val="center"/>
                </w:tcPr>
                <w:p w14:paraId="12E70442">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否</w:t>
                  </w:r>
                </w:p>
              </w:tc>
            </w:tr>
            <w:tr w14:paraId="4D2AA8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05" w:type="dxa"/>
                  <w:noWrap w:val="0"/>
                  <w:vAlign w:val="center"/>
                </w:tcPr>
                <w:p w14:paraId="7883D447">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生态</w:t>
                  </w:r>
                </w:p>
              </w:tc>
              <w:tc>
                <w:tcPr>
                  <w:tcW w:w="2587" w:type="dxa"/>
                  <w:noWrap w:val="0"/>
                  <w:vAlign w:val="center"/>
                </w:tcPr>
                <w:p w14:paraId="15079B35">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3026" w:type="dxa"/>
                  <w:noWrap w:val="0"/>
                  <w:vAlign w:val="center"/>
                </w:tcPr>
                <w:p w14:paraId="4C730B1B">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本项目不属于取水口下游500米范围内有重要水生生物的自然产卵场、索饵场、越冬场和洄游通道的新增河道取水的污染类建设项目。</w:t>
                  </w:r>
                </w:p>
              </w:tc>
              <w:tc>
                <w:tcPr>
                  <w:tcW w:w="703" w:type="dxa"/>
                  <w:noWrap w:val="0"/>
                  <w:vAlign w:val="center"/>
                </w:tcPr>
                <w:p w14:paraId="1E3F0AF2">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否</w:t>
                  </w:r>
                </w:p>
              </w:tc>
            </w:tr>
            <w:tr w14:paraId="3340D7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05" w:type="dxa"/>
                  <w:noWrap w:val="0"/>
                  <w:vAlign w:val="center"/>
                </w:tcPr>
                <w:p w14:paraId="75721AB5">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海洋</w:t>
                  </w:r>
                </w:p>
              </w:tc>
              <w:tc>
                <w:tcPr>
                  <w:tcW w:w="2587" w:type="dxa"/>
                  <w:noWrap w:val="0"/>
                  <w:vAlign w:val="center"/>
                </w:tcPr>
                <w:p w14:paraId="615F908E">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直接向海排放污染物的海洋工程建设项目</w:t>
                  </w:r>
                </w:p>
              </w:tc>
              <w:tc>
                <w:tcPr>
                  <w:tcW w:w="3026" w:type="dxa"/>
                  <w:noWrap w:val="0"/>
                  <w:vAlign w:val="center"/>
                </w:tcPr>
                <w:p w14:paraId="6C6E7785">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本项目不属于海洋工程建设项目。</w:t>
                  </w:r>
                </w:p>
              </w:tc>
              <w:tc>
                <w:tcPr>
                  <w:tcW w:w="703" w:type="dxa"/>
                  <w:noWrap w:val="0"/>
                  <w:vAlign w:val="center"/>
                </w:tcPr>
                <w:p w14:paraId="5F55E711">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否</w:t>
                  </w:r>
                </w:p>
              </w:tc>
            </w:tr>
            <w:tr w14:paraId="7A81A4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05" w:type="dxa"/>
                  <w:noWrap w:val="0"/>
                  <w:vAlign w:val="center"/>
                </w:tcPr>
                <w:p w14:paraId="79613D0C">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2587" w:type="dxa"/>
                  <w:noWrap w:val="0"/>
                  <w:vAlign w:val="center"/>
                </w:tcPr>
                <w:p w14:paraId="68400978">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涉及集中式饮用水水源和热水、矿泉水、温泉等特殊地下水资源保护区</w:t>
                  </w:r>
                </w:p>
              </w:tc>
              <w:tc>
                <w:tcPr>
                  <w:tcW w:w="3026" w:type="dxa"/>
                  <w:noWrap w:val="0"/>
                  <w:vAlign w:val="center"/>
                </w:tcPr>
                <w:p w14:paraId="5787944D">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本项目厂界外500m范围内不涉及集中式饮用水水源和热水、矿泉水、温泉等特殊地下水资源保护区。</w:t>
                  </w:r>
                </w:p>
              </w:tc>
              <w:tc>
                <w:tcPr>
                  <w:tcW w:w="703" w:type="dxa"/>
                  <w:noWrap w:val="0"/>
                  <w:vAlign w:val="center"/>
                </w:tcPr>
                <w:p w14:paraId="33E12EE8">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否</w:t>
                  </w:r>
                </w:p>
              </w:tc>
            </w:tr>
            <w:tr w14:paraId="7F2B6E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421" w:type="dxa"/>
                  <w:gridSpan w:val="4"/>
                  <w:noWrap w:val="0"/>
                  <w:vAlign w:val="center"/>
                </w:tcPr>
                <w:p w14:paraId="25A6C547">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注：1、废气中有毒有害污染物指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bl>
          <w:p w14:paraId="2F6F0DC7">
            <w:pPr>
              <w:pStyle w:val="50"/>
              <w:bidi w:val="0"/>
              <w:rPr>
                <w:color w:val="000000" w:themeColor="text1"/>
                <w14:textFill>
                  <w14:solidFill>
                    <w14:schemeClr w14:val="tx1"/>
                  </w14:solidFill>
                </w14:textFill>
              </w:rPr>
            </w:pPr>
            <w:r>
              <w:rPr>
                <w:color w:val="000000" w:themeColor="text1"/>
                <w14:textFill>
                  <w14:solidFill>
                    <w14:schemeClr w14:val="tx1"/>
                  </w14:solidFill>
                </w14:textFill>
              </w:rPr>
              <w:t>因此，本项目</w:t>
            </w:r>
            <w:r>
              <w:rPr>
                <w:rFonts w:hint="eastAsia"/>
                <w:color w:val="000000" w:themeColor="text1"/>
                <w:lang w:eastAsia="zh-CN"/>
                <w14:textFill>
                  <w14:solidFill>
                    <w14:schemeClr w14:val="tx1"/>
                  </w14:solidFill>
                </w14:textFill>
              </w:rPr>
              <w:t>无须设置</w:t>
            </w:r>
            <w:r>
              <w:rPr>
                <w:color w:val="000000" w:themeColor="text1"/>
                <w14:textFill>
                  <w14:solidFill>
                    <w14:schemeClr w14:val="tx1"/>
                  </w14:solidFill>
                </w14:textFill>
              </w:rPr>
              <w:t>专项评价。</w:t>
            </w:r>
          </w:p>
        </w:tc>
      </w:tr>
      <w:tr w14:paraId="35F163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8" w:type="dxa"/>
            <w:noWrap w:val="0"/>
            <w:vAlign w:val="center"/>
          </w:tcPr>
          <w:p w14:paraId="5BE03F57">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规划情况</w:t>
            </w:r>
          </w:p>
        </w:tc>
        <w:tc>
          <w:tcPr>
            <w:tcW w:w="8182" w:type="dxa"/>
            <w:gridSpan w:val="4"/>
            <w:noWrap w:val="0"/>
            <w:vAlign w:val="center"/>
          </w:tcPr>
          <w:p w14:paraId="3F4A029F">
            <w:pPr>
              <w:pStyle w:val="50"/>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规划名称：四川省达州市达川工业园区总体规划</w:t>
            </w:r>
          </w:p>
          <w:p w14:paraId="0717B3D1">
            <w:pPr>
              <w:pStyle w:val="50"/>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审批机关：达州市达川区人民政府</w:t>
            </w:r>
          </w:p>
          <w:p w14:paraId="6EFE00E8">
            <w:pPr>
              <w:pStyle w:val="50"/>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审批文号：达川府函〔2013〕376号</w:t>
            </w:r>
          </w:p>
        </w:tc>
      </w:tr>
      <w:tr w14:paraId="3404BA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8" w:type="dxa"/>
            <w:noWrap w:val="0"/>
            <w:vAlign w:val="center"/>
          </w:tcPr>
          <w:p w14:paraId="1DC04542">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规划环境影响评价情况</w:t>
            </w:r>
          </w:p>
        </w:tc>
        <w:tc>
          <w:tcPr>
            <w:tcW w:w="8182" w:type="dxa"/>
            <w:gridSpan w:val="4"/>
            <w:noWrap w:val="0"/>
            <w:vAlign w:val="center"/>
          </w:tcPr>
          <w:p w14:paraId="689A33D7">
            <w:pPr>
              <w:pStyle w:val="50"/>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规划环评名称：《四川省达州市达川工业园区总体规划环境影响报告书》</w:t>
            </w:r>
          </w:p>
          <w:p w14:paraId="2EF8A60A">
            <w:pPr>
              <w:pStyle w:val="50"/>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审查机关：达州市达川区环境保护局</w:t>
            </w:r>
          </w:p>
          <w:p w14:paraId="2444C481">
            <w:pPr>
              <w:pStyle w:val="50"/>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审查文件及文号：《达州市达川区环境保护局关于达州市达川工业园区总体规划环境影响报告书的审查意见》（达川环函〔2017〕106号）</w:t>
            </w:r>
          </w:p>
        </w:tc>
      </w:tr>
      <w:tr w14:paraId="3CB6C3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78" w:type="dxa"/>
            <w:noWrap w:val="0"/>
            <w:vAlign w:val="center"/>
          </w:tcPr>
          <w:p w14:paraId="7317812E">
            <w:pPr>
              <w:rPr>
                <w:color w:val="000000" w:themeColor="text1"/>
                <w14:textFill>
                  <w14:solidFill>
                    <w14:schemeClr w14:val="tx1"/>
                  </w14:solidFill>
                </w14:textFill>
              </w:rPr>
            </w:pPr>
            <w:r>
              <w:rPr>
                <w:rFonts w:hint="eastAsia"/>
                <w:color w:val="000000" w:themeColor="text1"/>
                <w14:textFill>
                  <w14:solidFill>
                    <w14:schemeClr w14:val="tx1"/>
                  </w14:solidFill>
                </w14:textFill>
              </w:rPr>
              <w:t>规划及规划环境影响评价符合性分析</w:t>
            </w:r>
          </w:p>
        </w:tc>
        <w:tc>
          <w:tcPr>
            <w:tcW w:w="8182" w:type="dxa"/>
            <w:gridSpan w:val="4"/>
            <w:noWrap w:val="0"/>
            <w:vAlign w:val="center"/>
          </w:tcPr>
          <w:p w14:paraId="65BF7DF1">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1</w:t>
            </w:r>
            <w:r>
              <w:rPr>
                <w:rFonts w:hint="default" w:ascii="Times New Roman" w:hAnsi="Times New Roman" w:eastAsia="宋体" w:cs="Times New Roman"/>
                <w:b/>
                <w:szCs w:val="21"/>
                <w:lang w:val="en-US" w:eastAsia="zh-CN"/>
              </w:rPr>
              <w:t>.</w:t>
            </w:r>
            <w:r>
              <w:rPr>
                <w:rFonts w:hint="default" w:ascii="Times New Roman" w:hAnsi="Times New Roman" w:eastAsia="宋体" w:cs="Times New Roman"/>
                <w:b/>
                <w:szCs w:val="21"/>
              </w:rPr>
              <w:t>与《四川省达州市达川工业园区总体规划》符合性分析</w:t>
            </w:r>
          </w:p>
          <w:p w14:paraId="3721D3BF">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left"/>
              <w:textAlignment w:val="auto"/>
              <w:rPr>
                <w:rFonts w:hint="default" w:ascii="Times New Roman" w:hAnsi="Times New Roman" w:eastAsia="宋体" w:cs="Times New Roman"/>
                <w:szCs w:val="21"/>
              </w:rPr>
            </w:pPr>
            <w:r>
              <w:rPr>
                <w:rFonts w:hint="default" w:ascii="Times New Roman" w:hAnsi="Times New Roman" w:eastAsia="宋体" w:cs="Times New Roman"/>
                <w:b/>
                <w:bCs/>
                <w:szCs w:val="21"/>
              </w:rPr>
              <w:t>规划区范围：</w:t>
            </w:r>
            <w:r>
              <w:rPr>
                <w:rFonts w:hint="default" w:ascii="Times New Roman" w:hAnsi="Times New Roman" w:eastAsia="宋体" w:cs="Times New Roman"/>
                <w:szCs w:val="21"/>
              </w:rPr>
              <w:t>四川省达州市达川工业园区（以下部分地方简称“达川工业园区”）包括达州市达川区百节镇、马家镇、赵家镇的部分区域，以国道210线和达渝高速公路为主体走向，以百节镇、马家镇、赵家镇场镇为主体，共涉及3个乡镇和26个行政村（社区）。规划区面积约36.14km</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，其中城镇建设用地25.105km</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，非建设用地11.035km</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w:t>
            </w:r>
          </w:p>
          <w:p w14:paraId="36B131C5">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b/>
                <w:bCs/>
              </w:rPr>
              <w:t>发展定位：</w:t>
            </w:r>
            <w:r>
              <w:rPr>
                <w:rFonts w:hint="default" w:ascii="Times New Roman" w:hAnsi="Times New Roman" w:eastAsia="宋体" w:cs="Times New Roman"/>
              </w:rPr>
              <w:t>规划区域建设遵循“生态、活力、示范、宜居、和谐”，“配套重庆、空港引领、两化互动、产城一体、绿色发展”的理念，推进产业集群化、新区现代化、环境生态化和城乡一体化，着力打造为秦巴地区生产性服务基地、四川省“两化”互动建设示范区、川东北旅游养生区和达州市城区南门户。建设生态之城、活力之城、宜居之城、产业之城、文化之城、旅游之城和品牌之城，以现代制造业为核心、现代服务业集聚、宜业宜居宜游的生态型产业新城。主要发展“现代机电、绿色包装、现代物流和休闲旅游”四大主导产业。核心功能概括为“</w:t>
            </w:r>
            <w:r>
              <w:rPr>
                <w:rFonts w:hint="default" w:ascii="Times New Roman" w:hAnsi="Times New Roman" w:eastAsia="宋体" w:cs="Times New Roman"/>
                <w:b/>
                <w:bCs/>
              </w:rPr>
              <w:t>一基地、两区、一门户</w:t>
            </w:r>
            <w:r>
              <w:rPr>
                <w:rFonts w:hint="default" w:ascii="Times New Roman" w:hAnsi="Times New Roman" w:eastAsia="宋体" w:cs="Times New Roman"/>
              </w:rPr>
              <w:t>”。</w:t>
            </w:r>
          </w:p>
          <w:p w14:paraId="4A4A42B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“一基地”：秦巴地区生产性服务基地</w:t>
            </w:r>
          </w:p>
          <w:p w14:paraId="23444F9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依托其优越地理区位，强化其交通枢纽地位，做大做强航空物流，大力发展以现代物流、金融保险、商务会展、研发设计、科研培训、商务办公等为核心功能的秦巴地区生产性服务基地。</w:t>
            </w:r>
          </w:p>
          <w:p w14:paraId="6635292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“两区”：一是四川省“两化”互动建设示范区</w:t>
            </w:r>
          </w:p>
          <w:p w14:paraId="1051B22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——新型工业化方面：发展以现代机电业和绿色包装业为主的新型工业，如机械电子、新材料包装等；</w:t>
            </w:r>
          </w:p>
          <w:p w14:paraId="4A6C639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——新型城镇化方面：大力发展以现代（空港）物流、养生旅游、养生休闲、研发设计等为主的现代服务业，推进以“产业之城、生态之城、宜居之城”为核心的新型城镇建设。</w:t>
            </w:r>
          </w:p>
          <w:p w14:paraId="334B2A6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二是川东北旅游养生区</w:t>
            </w:r>
          </w:p>
          <w:p w14:paraId="052D0AA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依托真佛山4A级景区、仙女山温泉，以温泉养生、休闲度假为核心建设川东北地区旅游集散中心、旅游度假中心、养生养老中心。</w:t>
            </w:r>
          </w:p>
          <w:p w14:paraId="698ACC1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“一门户”：达州城市南大门</w:t>
            </w:r>
          </w:p>
          <w:p w14:paraId="7888AD7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通过对规划区域景观、城市形象和城市标志的集中建设，打造达州城市的南部门户，构建达州与省内外经济、技术、信息、文化交流与合作的通道和平台。</w:t>
            </w:r>
          </w:p>
          <w:p w14:paraId="79FF7B8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Cs/>
                <w:color w:val="000000"/>
                <w:szCs w:val="21"/>
                <w:highlight w:val="none"/>
              </w:rPr>
            </w:pPr>
            <w:r>
              <w:rPr>
                <w:rFonts w:hint="default" w:ascii="Times New Roman" w:hAnsi="Times New Roman" w:eastAsia="宋体" w:cs="Times New Roman"/>
                <w:bCs/>
                <w:color w:val="000000"/>
                <w:szCs w:val="21"/>
                <w:highlight w:val="none"/>
              </w:rPr>
              <w:t>本项目属于</w:t>
            </w:r>
            <w:r>
              <w:rPr>
                <w:rFonts w:hint="default" w:ascii="Times New Roman" w:hAnsi="Times New Roman" w:eastAsia="宋体" w:cs="Times New Roman"/>
                <w:bCs/>
                <w:color w:val="000000"/>
                <w:szCs w:val="21"/>
                <w:highlight w:val="none"/>
              </w:rPr>
              <w:t>C1819 其它机制服装制造</w:t>
            </w:r>
            <w:r>
              <w:rPr>
                <w:rFonts w:hint="default" w:ascii="Times New Roman" w:hAnsi="Times New Roman" w:eastAsia="宋体" w:cs="Times New Roman"/>
                <w:bCs/>
                <w:color w:val="000000"/>
                <w:szCs w:val="21"/>
                <w:highlight w:val="none"/>
              </w:rPr>
              <w:t>，对比达川工业园区规划—土地利用规划图，项目所在区域为工业用地，因此项目与《四川省达州市达川工业园区总体规划》不冲突。</w:t>
            </w:r>
          </w:p>
          <w:p w14:paraId="52B077BC">
            <w:pPr>
              <w:pStyle w:val="24"/>
              <w:spacing w:line="24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color w:val="0000FF"/>
              </w:rPr>
              <mc:AlternateContent>
                <mc:Choice Requires="wps">
                  <w:drawing>
                    <wp:anchor distT="0" distB="0" distL="114300" distR="114300" simplePos="0" relativeHeight="251672576" behindDoc="0" locked="0" layoutInCell="1" allowOverlap="1">
                      <wp:simplePos x="0" y="0"/>
                      <wp:positionH relativeFrom="column">
                        <wp:posOffset>2058035</wp:posOffset>
                      </wp:positionH>
                      <wp:positionV relativeFrom="paragraph">
                        <wp:posOffset>813435</wp:posOffset>
                      </wp:positionV>
                      <wp:extent cx="901065" cy="371475"/>
                      <wp:effectExtent l="4445" t="4445" r="161290" b="309880"/>
                      <wp:wrapNone/>
                      <wp:docPr id="9" name="圆角矩形标注 9"/>
                      <wp:cNvGraphicFramePr/>
                      <a:graphic xmlns:a="http://schemas.openxmlformats.org/drawingml/2006/main">
                        <a:graphicData uri="http://schemas.microsoft.com/office/word/2010/wordprocessingShape">
                          <wps:wsp>
                            <wps:cNvSpPr/>
                            <wps:spPr>
                              <a:xfrm flipH="1">
                                <a:off x="0" y="0"/>
                                <a:ext cx="901065" cy="371475"/>
                              </a:xfrm>
                              <a:prstGeom prst="wedgeRoundRectCallout">
                                <a:avLst>
                                  <a:gd name="adj1" fmla="val -64658"/>
                                  <a:gd name="adj2" fmla="val 125000"/>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14:paraId="36272596">
                                  <w:pPr>
                                    <w:jc w:val="center"/>
                                    <w:rPr>
                                      <w:rFonts w:hint="eastAsia" w:ascii="宋体" w:hAnsi="宋体" w:cs="宋体"/>
                                      <w:spacing w:val="-11"/>
                                      <w:szCs w:val="21"/>
                                    </w:rPr>
                                  </w:pPr>
                                  <w:r>
                                    <w:rPr>
                                      <w:rFonts w:hint="eastAsia" w:ascii="宋体" w:hAnsi="宋体" w:cs="宋体"/>
                                      <w:spacing w:val="-11"/>
                                      <w:szCs w:val="21"/>
                                    </w:rPr>
                                    <w:t>项目所在地</w:t>
                                  </w:r>
                                </w:p>
                              </w:txbxContent>
                            </wps:txbx>
                            <wps:bodyPr upright="1"/>
                          </wps:wsp>
                        </a:graphicData>
                      </a:graphic>
                    </wp:anchor>
                  </w:drawing>
                </mc:Choice>
                <mc:Fallback>
                  <w:pict>
                    <v:shape id="_x0000_s1026" o:spid="_x0000_s1026" o:spt="62" type="#_x0000_t62" style="position:absolute;left:0pt;flip:x;margin-left:162.05pt;margin-top:64.05pt;height:29.25pt;width:70.95pt;z-index:251672576;mso-width-relative:page;mso-height-relative:page;" fillcolor="#FFFFFF" filled="t" stroked="t" coordsize="21600,21600" o:gfxdata="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9eE1dkAAAALAQAADwAAAAAAAAABACAAAAAiAAAAZHJzL2Rvd25yZXYueG1sUEsBAhQA&#10;FAAAAAgAh07iQOkUyGtjAgAA1AQAAA4AAAAAAAAAAQAgAAAAKAEAAGRycy9lMm9Eb2MueG1sUEsF&#10;BgAAAAAGAAYAWQEAAP0FAAAAAA==&#10;" adj="-3166,37800,14400">
                      <v:fill on="t" focussize="0,0"/>
                      <v:stroke color="#000000" joinstyle="miter"/>
                      <v:imagedata o:title=""/>
                      <o:lock v:ext="edit" aspectratio="f"/>
                      <v:textbox>
                        <w:txbxContent>
                          <w:p w14:paraId="36272596">
                            <w:pPr>
                              <w:jc w:val="center"/>
                              <w:rPr>
                                <w:rFonts w:hint="eastAsia" w:ascii="宋体" w:hAnsi="宋体" w:cs="宋体"/>
                                <w:spacing w:val="-11"/>
                                <w:szCs w:val="21"/>
                              </w:rPr>
                            </w:pPr>
                            <w:r>
                              <w:rPr>
                                <w:rFonts w:hint="eastAsia" w:ascii="宋体" w:hAnsi="宋体" w:cs="宋体"/>
                                <w:spacing w:val="-11"/>
                                <w:szCs w:val="21"/>
                              </w:rPr>
                              <w:t>项目所在地</w:t>
                            </w:r>
                          </w:p>
                        </w:txbxContent>
                      </v:textbox>
                    </v:shape>
                  </w:pict>
                </mc:Fallback>
              </mc:AlternateContent>
            </w:r>
            <w:r>
              <w:rPr>
                <w:rFonts w:hint="default" w:ascii="Times New Roman" w:hAnsi="Times New Roman" w:eastAsia="宋体" w:cs="Times New Roman"/>
              </w:rPr>
              <w:drawing>
                <wp:inline distT="0" distB="0" distL="114300" distR="114300">
                  <wp:extent cx="4338320" cy="5005070"/>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338320" cy="5005070"/>
                          </a:xfrm>
                          <a:prstGeom prst="rect">
                            <a:avLst/>
                          </a:prstGeom>
                          <a:noFill/>
                          <a:ln>
                            <a:noFill/>
                          </a:ln>
                        </pic:spPr>
                      </pic:pic>
                    </a:graphicData>
                  </a:graphic>
                </wp:inline>
              </w:drawing>
            </w:r>
          </w:p>
          <w:p w14:paraId="16A40222">
            <w:pPr>
              <w:spacing w:line="240" w:lineRule="exact"/>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图1-1本项目与园区范围的位置关系图</w:t>
            </w:r>
          </w:p>
          <w:p w14:paraId="214DD6B7">
            <w:pPr>
              <w:rPr>
                <w:rFonts w:hint="default" w:ascii="Times New Roman" w:hAnsi="Times New Roman" w:eastAsia="宋体" w:cs="Times New Roman"/>
              </w:rPr>
            </w:pPr>
          </w:p>
          <w:p w14:paraId="3CB5EF72">
            <w:pPr>
              <w:pStyle w:val="13"/>
              <w:rPr>
                <w:rFonts w:hint="default" w:ascii="Times New Roman" w:hAnsi="Times New Roman" w:eastAsia="宋体" w:cs="Times New Roman"/>
              </w:rPr>
            </w:pPr>
          </w:p>
          <w:p w14:paraId="7DE85A60">
            <w:pPr>
              <w:rPr>
                <w:rFonts w:hint="default" w:ascii="Times New Roman" w:hAnsi="Times New Roman" w:eastAsia="宋体" w:cs="Times New Roman"/>
              </w:rPr>
            </w:pPr>
          </w:p>
          <w:p w14:paraId="6BDA0890">
            <w:pPr>
              <w:pStyle w:val="13"/>
              <w:rPr>
                <w:rFonts w:hint="default" w:ascii="Times New Roman" w:hAnsi="Times New Roman" w:eastAsia="宋体" w:cs="Times New Roman"/>
              </w:rPr>
            </w:pPr>
          </w:p>
          <w:p w14:paraId="023F12DE">
            <w:pPr>
              <w:rPr>
                <w:rFonts w:hint="default" w:ascii="Times New Roman" w:hAnsi="Times New Roman" w:eastAsia="宋体" w:cs="Times New Roman"/>
              </w:rPr>
            </w:pPr>
          </w:p>
          <w:p w14:paraId="3F45005D">
            <w:pPr>
              <w:pStyle w:val="13"/>
              <w:rPr>
                <w:rFonts w:hint="default" w:ascii="Times New Roman" w:hAnsi="Times New Roman" w:eastAsia="宋体" w:cs="Times New Roman"/>
              </w:rPr>
            </w:pPr>
          </w:p>
          <w:p w14:paraId="27BE6A67">
            <w:pPr>
              <w:rPr>
                <w:rFonts w:hint="default" w:ascii="Times New Roman" w:hAnsi="Times New Roman" w:eastAsia="宋体" w:cs="Times New Roman"/>
              </w:rPr>
            </w:pPr>
          </w:p>
          <w:p w14:paraId="79AFBFD9">
            <w:pPr>
              <w:pStyle w:val="13"/>
              <w:rPr>
                <w:rFonts w:hint="default" w:ascii="Times New Roman" w:hAnsi="Times New Roman" w:eastAsia="宋体" w:cs="Times New Roman"/>
              </w:rPr>
            </w:pPr>
          </w:p>
          <w:p w14:paraId="370B5C3A">
            <w:pPr>
              <w:rPr>
                <w:rFonts w:hint="default" w:ascii="Times New Roman" w:hAnsi="Times New Roman" w:eastAsia="宋体" w:cs="Times New Roman"/>
              </w:rPr>
            </w:pPr>
          </w:p>
          <w:p w14:paraId="68415A43">
            <w:pPr>
              <w:jc w:val="both"/>
              <w:rPr>
                <w:rFonts w:hint="default" w:ascii="Times New Roman" w:hAnsi="Times New Roman" w:eastAsia="宋体" w:cs="Times New Roman"/>
              </w:rPr>
            </w:pPr>
          </w:p>
          <w:p w14:paraId="659C5295">
            <w:pPr>
              <w:pStyle w:val="13"/>
              <w:rPr>
                <w:rFonts w:hint="default" w:ascii="Times New Roman" w:hAnsi="Times New Roman" w:eastAsia="宋体" w:cs="Times New Roman"/>
              </w:rPr>
            </w:pPr>
          </w:p>
          <w:p w14:paraId="1260E01F">
            <w:pPr>
              <w:rPr>
                <w:rFonts w:hint="default" w:ascii="Times New Roman" w:hAnsi="Times New Roman" w:eastAsia="宋体" w:cs="Times New Roman"/>
              </w:rPr>
            </w:pPr>
          </w:p>
          <w:p w14:paraId="71DC3438">
            <w:pPr>
              <w:pStyle w:val="13"/>
              <w:rPr>
                <w:rFonts w:hint="default" w:ascii="Times New Roman" w:hAnsi="Times New Roman" w:eastAsia="宋体" w:cs="Times New Roman"/>
              </w:rPr>
            </w:pPr>
          </w:p>
          <w:p w14:paraId="5CF028AB">
            <w:pPr>
              <w:rPr>
                <w:rFonts w:hint="default"/>
              </w:rPr>
            </w:pPr>
          </w:p>
          <w:p w14:paraId="4F5084CA">
            <w:pPr>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74624" behindDoc="1" locked="0" layoutInCell="1" allowOverlap="1">
                  <wp:simplePos x="0" y="0"/>
                  <wp:positionH relativeFrom="column">
                    <wp:posOffset>419100</wp:posOffset>
                  </wp:positionH>
                  <wp:positionV relativeFrom="paragraph">
                    <wp:posOffset>12700</wp:posOffset>
                  </wp:positionV>
                  <wp:extent cx="4278630" cy="3459480"/>
                  <wp:effectExtent l="0" t="0" r="7620" b="762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4278630" cy="3459480"/>
                          </a:xfrm>
                          <a:prstGeom prst="rect">
                            <a:avLst/>
                          </a:prstGeom>
                          <a:noFill/>
                          <a:ln>
                            <a:noFill/>
                          </a:ln>
                        </pic:spPr>
                      </pic:pic>
                    </a:graphicData>
                  </a:graphic>
                </wp:anchor>
              </w:drawing>
            </w:r>
          </w:p>
          <w:p w14:paraId="5D1C0349">
            <w:pPr>
              <w:pStyle w:val="13"/>
              <w:rPr>
                <w:rFonts w:hint="default" w:ascii="Times New Roman" w:hAnsi="Times New Roman" w:eastAsia="宋体" w:cs="Times New Roman"/>
              </w:rPr>
            </w:pPr>
            <w:r>
              <w:rPr>
                <w:rFonts w:hint="default" w:ascii="Times New Roman" w:hAnsi="Times New Roman" w:eastAsia="宋体" w:cs="Times New Roman"/>
                <w:color w:val="0000FF"/>
              </w:rPr>
              <mc:AlternateContent>
                <mc:Choice Requires="wps">
                  <w:drawing>
                    <wp:anchor distT="0" distB="0" distL="114300" distR="114300" simplePos="0" relativeHeight="251673600" behindDoc="0" locked="0" layoutInCell="1" allowOverlap="1">
                      <wp:simplePos x="0" y="0"/>
                      <wp:positionH relativeFrom="column">
                        <wp:posOffset>3134360</wp:posOffset>
                      </wp:positionH>
                      <wp:positionV relativeFrom="paragraph">
                        <wp:posOffset>83185</wp:posOffset>
                      </wp:positionV>
                      <wp:extent cx="901065" cy="428625"/>
                      <wp:effectExtent l="667385" t="4445" r="12700" b="309880"/>
                      <wp:wrapNone/>
                      <wp:docPr id="12" name="圆角矩形标注 12"/>
                      <wp:cNvGraphicFramePr/>
                      <a:graphic xmlns:a="http://schemas.openxmlformats.org/drawingml/2006/main">
                        <a:graphicData uri="http://schemas.microsoft.com/office/word/2010/wordprocessingShape">
                          <wps:wsp>
                            <wps:cNvSpPr/>
                            <wps:spPr>
                              <a:xfrm flipH="1">
                                <a:off x="0" y="0"/>
                                <a:ext cx="901065" cy="428625"/>
                              </a:xfrm>
                              <a:prstGeom prst="wedgeRoundRectCallout">
                                <a:avLst>
                                  <a:gd name="adj1" fmla="val 120331"/>
                                  <a:gd name="adj2" fmla="val 115625"/>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14:paraId="75712D85">
                                  <w:pPr>
                                    <w:jc w:val="center"/>
                                    <w:rPr>
                                      <w:rFonts w:hint="eastAsia" w:ascii="宋体" w:hAnsi="宋体" w:cs="宋体"/>
                                      <w:spacing w:val="-11"/>
                                      <w:szCs w:val="21"/>
                                    </w:rPr>
                                  </w:pPr>
                                  <w:r>
                                    <w:rPr>
                                      <w:rFonts w:hint="eastAsia" w:ascii="宋体" w:hAnsi="宋体" w:cs="宋体"/>
                                      <w:spacing w:val="-11"/>
                                      <w:szCs w:val="21"/>
                                    </w:rPr>
                                    <w:t>项目所在地</w:t>
                                  </w:r>
                                </w:p>
                              </w:txbxContent>
                            </wps:txbx>
                            <wps:bodyPr upright="1"/>
                          </wps:wsp>
                        </a:graphicData>
                      </a:graphic>
                    </wp:anchor>
                  </w:drawing>
                </mc:Choice>
                <mc:Fallback>
                  <w:pict>
                    <v:shape id="_x0000_s1026" o:spid="_x0000_s1026" o:spt="62" type="#_x0000_t62" style="position:absolute;left:0pt;flip:x;margin-left:246.8pt;margin-top:6.55pt;height:33.75pt;width:70.95pt;z-index:251673600;mso-width-relative:page;mso-height-relative:page;" fillcolor="#FFFFFF" filled="t" stroked="t" coordsize="21600,21600" o:gfxdata="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Od8pfZAAAACQEAAA8AAAAAAAAAAQAgAAAAIgAAAGRycy9kb3ducmV2LnhtbFBLAQIUABQAAAAI&#10;AIdO4kD5HX9NXgIAANYEAAAOAAAAAAAAAAEAIAAAACgBAABkcnMvZTJvRG9jLnhtbFBLBQYAAAAA&#10;BgAGAFkBAAD4BQAAAAA=&#10;" adj="36791,35775,14400">
                      <v:fill on="t" focussize="0,0"/>
                      <v:stroke color="#000000" joinstyle="miter"/>
                      <v:imagedata o:title=""/>
                      <o:lock v:ext="edit" aspectratio="f"/>
                      <v:textbox>
                        <w:txbxContent>
                          <w:p w14:paraId="75712D85">
                            <w:pPr>
                              <w:jc w:val="center"/>
                              <w:rPr>
                                <w:rFonts w:hint="eastAsia" w:ascii="宋体" w:hAnsi="宋体" w:cs="宋体"/>
                                <w:spacing w:val="-11"/>
                                <w:szCs w:val="21"/>
                              </w:rPr>
                            </w:pPr>
                            <w:r>
                              <w:rPr>
                                <w:rFonts w:hint="eastAsia" w:ascii="宋体" w:hAnsi="宋体" w:cs="宋体"/>
                                <w:spacing w:val="-11"/>
                                <w:szCs w:val="21"/>
                              </w:rPr>
                              <w:t>项目所在地</w:t>
                            </w:r>
                          </w:p>
                        </w:txbxContent>
                      </v:textbox>
                    </v:shape>
                  </w:pict>
                </mc:Fallback>
              </mc:AlternateContent>
            </w:r>
          </w:p>
          <w:p w14:paraId="2A08079D">
            <w:pPr>
              <w:rPr>
                <w:rFonts w:hint="default" w:ascii="Times New Roman" w:hAnsi="Times New Roman" w:eastAsia="宋体" w:cs="Times New Roman"/>
              </w:rPr>
            </w:pPr>
          </w:p>
          <w:p w14:paraId="79E293F5">
            <w:pPr>
              <w:rPr>
                <w:rFonts w:hint="default" w:ascii="Times New Roman" w:hAnsi="Times New Roman" w:eastAsia="宋体" w:cs="Times New Roman"/>
              </w:rPr>
            </w:pPr>
          </w:p>
          <w:p w14:paraId="3F023179">
            <w:pPr>
              <w:pStyle w:val="13"/>
              <w:rPr>
                <w:rFonts w:hint="default" w:ascii="Times New Roman" w:hAnsi="Times New Roman" w:eastAsia="宋体" w:cs="Times New Roman"/>
              </w:rPr>
            </w:pPr>
          </w:p>
          <w:p w14:paraId="3F074DCF">
            <w:pPr>
              <w:rPr>
                <w:rFonts w:hint="default" w:ascii="Times New Roman" w:hAnsi="Times New Roman" w:eastAsia="宋体" w:cs="Times New Roman"/>
              </w:rPr>
            </w:pPr>
          </w:p>
          <w:p w14:paraId="19B03A23">
            <w:pPr>
              <w:pStyle w:val="13"/>
              <w:rPr>
                <w:rFonts w:hint="default" w:ascii="Times New Roman" w:hAnsi="Times New Roman" w:eastAsia="宋体" w:cs="Times New Roman"/>
              </w:rPr>
            </w:pPr>
          </w:p>
          <w:p w14:paraId="4FBEA4E9">
            <w:pPr>
              <w:rPr>
                <w:rFonts w:hint="default" w:ascii="Times New Roman" w:hAnsi="Times New Roman" w:eastAsia="宋体" w:cs="Times New Roman"/>
              </w:rPr>
            </w:pPr>
          </w:p>
          <w:p w14:paraId="7BF1552B">
            <w:pPr>
              <w:jc w:val="both"/>
              <w:rPr>
                <w:rFonts w:hint="default" w:ascii="Times New Roman" w:hAnsi="Times New Roman" w:eastAsia="宋体" w:cs="Times New Roman"/>
              </w:rPr>
            </w:pPr>
          </w:p>
          <w:p w14:paraId="0734C62A">
            <w:pPr>
              <w:pStyle w:val="4"/>
              <w:numPr>
                <w:ilvl w:val="2"/>
                <w:numId w:val="0"/>
              </w:numPr>
              <w:bidi w:val="0"/>
              <w:ind w:leftChars="0"/>
              <w:jc w:val="left"/>
              <w:rPr>
                <w:rFonts w:hint="default" w:ascii="Times New Roman" w:hAnsi="Times New Roman" w:eastAsia="宋体" w:cs="Times New Roman"/>
                <w:color w:val="000000" w:themeColor="text1"/>
                <w14:textFill>
                  <w14:solidFill>
                    <w14:schemeClr w14:val="tx1"/>
                  </w14:solidFill>
                </w14:textFill>
              </w:rPr>
            </w:pPr>
          </w:p>
          <w:p w14:paraId="6A104B79">
            <w:pPr>
              <w:pStyle w:val="4"/>
              <w:numPr>
                <w:ilvl w:val="2"/>
                <w:numId w:val="0"/>
              </w:numPr>
              <w:bidi w:val="0"/>
              <w:ind w:leftChars="0"/>
              <w:jc w:val="left"/>
              <w:rPr>
                <w:rFonts w:hint="default" w:ascii="Times New Roman" w:hAnsi="Times New Roman" w:eastAsia="宋体" w:cs="Times New Roman"/>
                <w:color w:val="000000" w:themeColor="text1"/>
                <w14:textFill>
                  <w14:solidFill>
                    <w14:schemeClr w14:val="tx1"/>
                  </w14:solidFill>
                </w14:textFill>
              </w:rPr>
            </w:pPr>
          </w:p>
          <w:p w14:paraId="5197B7D4">
            <w:pPr>
              <w:rPr>
                <w:rFonts w:hint="default" w:ascii="Times New Roman" w:hAnsi="Times New Roman" w:eastAsia="宋体" w:cs="Times New Roman"/>
              </w:rPr>
            </w:pPr>
          </w:p>
          <w:p w14:paraId="619311BC">
            <w:pPr>
              <w:pStyle w:val="4"/>
              <w:numPr>
                <w:ilvl w:val="2"/>
                <w:numId w:val="0"/>
              </w:numPr>
              <w:bidi w:val="0"/>
              <w:ind w:leftChars="0"/>
              <w:jc w:val="left"/>
              <w:rPr>
                <w:rFonts w:hint="default" w:ascii="Times New Roman" w:hAnsi="Times New Roman" w:eastAsia="宋体" w:cs="Times New Roman"/>
                <w:color w:val="000000" w:themeColor="text1"/>
                <w14:textFill>
                  <w14:solidFill>
                    <w14:schemeClr w14:val="tx1"/>
                  </w14:solidFill>
                </w14:textFill>
              </w:rPr>
            </w:pPr>
          </w:p>
          <w:p w14:paraId="48A6C786">
            <w:pPr>
              <w:spacing w:line="240" w:lineRule="exact"/>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图1-2本项目用地性质</w:t>
            </w:r>
          </w:p>
          <w:p w14:paraId="39423A36">
            <w:pPr>
              <w:spacing w:line="360" w:lineRule="auto"/>
              <w:jc w:val="lef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2</w:t>
            </w:r>
            <w:r>
              <w:rPr>
                <w:rFonts w:hint="eastAsia" w:asciiTheme="minorEastAsia" w:hAnsiTheme="minorEastAsia" w:eastAsiaTheme="minorEastAsia" w:cstheme="minorEastAsia"/>
                <w:b/>
                <w:szCs w:val="21"/>
                <w:lang w:eastAsia="zh-CN"/>
              </w:rPr>
              <w:t>.</w:t>
            </w:r>
            <w:r>
              <w:rPr>
                <w:rFonts w:hint="eastAsia" w:asciiTheme="minorEastAsia" w:hAnsiTheme="minorEastAsia" w:eastAsiaTheme="minorEastAsia" w:cstheme="minorEastAsia"/>
                <w:b/>
                <w:szCs w:val="21"/>
              </w:rPr>
              <w:t>与《四川省达州市达川工业园区总体规划环境影响报告书》及审查意见的符合性分析</w:t>
            </w:r>
          </w:p>
          <w:p w14:paraId="432D8EC0">
            <w:pPr>
              <w:spacing w:line="360" w:lineRule="auto"/>
              <w:ind w:firstLine="480" w:firstLineChars="200"/>
              <w:jc w:val="lef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根据《四川省达州市达川工业园区总体规划环境影响报告书》及审查意见，达川工业园区鼓励、禁止及限制入驻企业类型见下表。</w:t>
            </w:r>
          </w:p>
          <w:p w14:paraId="01BC7DE8">
            <w:pPr>
              <w:spacing w:line="360" w:lineRule="auto"/>
              <w:ind w:firstLine="482" w:firstLineChars="20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表1-</w:t>
            </w:r>
            <w:r>
              <w:rPr>
                <w:rFonts w:hint="eastAsia" w:asciiTheme="minorEastAsia" w:hAnsiTheme="minorEastAsia" w:eastAsiaTheme="minorEastAsia" w:cstheme="minorEastAsia"/>
                <w:b/>
                <w:szCs w:val="21"/>
                <w:lang w:val="en-US" w:eastAsia="zh-CN"/>
              </w:rPr>
              <w:t>2</w:t>
            </w:r>
            <w:r>
              <w:rPr>
                <w:rFonts w:hint="eastAsia" w:asciiTheme="minorEastAsia" w:hAnsiTheme="minorEastAsia" w:eastAsiaTheme="minorEastAsia" w:cstheme="minorEastAsia"/>
                <w:b/>
                <w:szCs w:val="21"/>
              </w:rPr>
              <w:t>达川工业园区功能划分及入园企业要求</w:t>
            </w:r>
          </w:p>
          <w:tbl>
            <w:tblPr>
              <w:tblStyle w:val="28"/>
              <w:tblW w:w="799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7191"/>
            </w:tblGrid>
            <w:tr w14:paraId="54A8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l2br w:val="nil"/>
                    <w:tr2bl w:val="nil"/>
                  </w:tcBorders>
                  <w:noWrap w:val="0"/>
                  <w:vAlign w:val="top"/>
                </w:tcPr>
                <w:p w14:paraId="68AA2EFF">
                  <w:pPr>
                    <w:pStyle w:val="66"/>
                    <w:kinsoku w:val="0"/>
                    <w:overflowPunct w:val="0"/>
                    <w:spacing w:before="15"/>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类别</w:t>
                  </w:r>
                </w:p>
              </w:tc>
              <w:tc>
                <w:tcPr>
                  <w:tcW w:w="7191" w:type="dxa"/>
                  <w:tcBorders>
                    <w:tl2br w:val="nil"/>
                    <w:tr2bl w:val="nil"/>
                  </w:tcBorders>
                  <w:noWrap w:val="0"/>
                  <w:vAlign w:val="top"/>
                </w:tcPr>
                <w:p w14:paraId="0B1A688B">
                  <w:pPr>
                    <w:spacing w:line="276" w:lineRule="auto"/>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禁止入驻企业类型</w:t>
                  </w:r>
                </w:p>
              </w:tc>
            </w:tr>
            <w:tr w14:paraId="50C9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l2br w:val="nil"/>
                    <w:tr2bl w:val="nil"/>
                  </w:tcBorders>
                  <w:noWrap w:val="0"/>
                  <w:vAlign w:val="center"/>
                </w:tcPr>
                <w:p w14:paraId="18C1B09A">
                  <w:pPr>
                    <w:pStyle w:val="66"/>
                    <w:kinsoku w:val="0"/>
                    <w:overflowPunct w:val="0"/>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鼓励类企业</w:t>
                  </w:r>
                </w:p>
              </w:tc>
              <w:tc>
                <w:tcPr>
                  <w:tcW w:w="7191" w:type="dxa"/>
                  <w:tcBorders>
                    <w:tl2br w:val="nil"/>
                    <w:tr2bl w:val="nil"/>
                  </w:tcBorders>
                  <w:noWrap w:val="0"/>
                  <w:vAlign w:val="center"/>
                </w:tcPr>
                <w:p w14:paraId="41250B5A">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①既符合国家产业政策又符合区域产业发展定位；</w:t>
                  </w:r>
                </w:p>
                <w:p w14:paraId="01D2E4A1">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②符合区域规划且环境相容性好；</w:t>
                  </w:r>
                </w:p>
                <w:p w14:paraId="46F33FC8">
                  <w:pPr>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③有利于区域循环经济发展、为新区服务的第三产业和与之相配套的基础设施等行业和项目。</w:t>
                  </w:r>
                </w:p>
              </w:tc>
            </w:tr>
            <w:tr w14:paraId="6682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l2br w:val="nil"/>
                    <w:tr2bl w:val="nil"/>
                  </w:tcBorders>
                  <w:noWrap w:val="0"/>
                  <w:vAlign w:val="center"/>
                </w:tcPr>
                <w:p w14:paraId="59F3CA25">
                  <w:pPr>
                    <w:pStyle w:val="66"/>
                    <w:kinsoku w:val="0"/>
                    <w:overflowPunct w:val="0"/>
                    <w:spacing w:line="229" w:lineRule="exact"/>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限制类企业</w:t>
                  </w:r>
                </w:p>
              </w:tc>
              <w:tc>
                <w:tcPr>
                  <w:tcW w:w="7191" w:type="dxa"/>
                  <w:tcBorders>
                    <w:tl2br w:val="nil"/>
                    <w:tr2bl w:val="nil"/>
                  </w:tcBorders>
                  <w:noWrap w:val="0"/>
                  <w:vAlign w:val="center"/>
                </w:tcPr>
                <w:p w14:paraId="4F313BD0">
                  <w:pPr>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在引进工业企业时，限制污水排放量大的企业入驻，特别是排放化学需氧量和氨氮量大的行业一定要慎重考虑。</w:t>
                  </w:r>
                </w:p>
              </w:tc>
            </w:tr>
            <w:tr w14:paraId="7653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l2br w:val="nil"/>
                    <w:tr2bl w:val="nil"/>
                  </w:tcBorders>
                  <w:noWrap w:val="0"/>
                  <w:vAlign w:val="center"/>
                </w:tcPr>
                <w:p w14:paraId="79DD6598">
                  <w:pPr>
                    <w:pStyle w:val="66"/>
                    <w:kinsoku w:val="0"/>
                    <w:overflowPunct w:val="0"/>
                    <w:spacing w:before="15"/>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禁止类企业</w:t>
                  </w:r>
                </w:p>
              </w:tc>
              <w:tc>
                <w:tcPr>
                  <w:tcW w:w="7191" w:type="dxa"/>
                  <w:tcBorders>
                    <w:tl2br w:val="nil"/>
                    <w:tr2bl w:val="nil"/>
                  </w:tcBorders>
                  <w:noWrap w:val="0"/>
                  <w:vAlign w:val="center"/>
                </w:tcPr>
                <w:p w14:paraId="2548DDD5">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①凡产业定位涉及天然气开发、石化、化工、印染、电镀、酿造、制浆造纸等可能带来严重环境污染的行业（项目）。</w:t>
                  </w:r>
                </w:p>
                <w:p w14:paraId="24CE7FFA">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②不符合国家产业政策，凡采用《产业结构调整指导目录》明令淘汰的落后工艺技术，装备或者生产明令淘汰产品的建设项目。</w:t>
                  </w:r>
                </w:p>
                <w:p w14:paraId="4DD32978">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③凡列入国土资源部、国家发展和改革委员会《禁止用地项目目录（2012年本）》的建设项目或者采用所列工艺技术、装备、规模的建设项目。</w:t>
                  </w:r>
                </w:p>
                <w:p w14:paraId="13F7F295">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产能过剩、重复建设行业的项目，特别是“两高一资”（高耗能、高污染、资源性）项目，主要分布在钢铁、水泥、造纸、化工、火电、铸造、电镀、平板玻璃、印染、制革、有色冶炼、焦化、氯碱、采矿等14个劣势行业。</w:t>
                  </w:r>
                </w:p>
                <w:p w14:paraId="71E4AE8C">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⑤虽符合国家产业政策，但不符合《规划区域产业发展规划》和产业定位的。如苎麻脱胶、制浆造纸、煤炭洗选、松香生产、松脂加工、胶合板和细木工板生产、石化化工、建材生产等。</w:t>
                  </w:r>
                </w:p>
                <w:p w14:paraId="4C4D6FE4">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⑥与规划区域产业不配套且环境相容性差的项目，如碳酸钙、皮革、印染、酿造、电镀、烧碱、淀粉制造、焦炭、电解铝、氧化铝等行业。尤其不能入驻冶炼、熔炼、压延、煤化工、农药、橡胶、化学药、皮革等产生较重粉尘、恶臭、异味、胶味、烟气等废气污染的企业和产生含汞、铬、砷、铅、镉、氰、酚的企业。</w:t>
                  </w:r>
                </w:p>
                <w:p w14:paraId="0F693686">
                  <w:pPr>
                    <w:spacing w:line="276" w:lineRule="auto"/>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⑦高毒性、高危险性、高污染性或不能达到行业清洁生产标准和环保要求的。</w:t>
                  </w:r>
                </w:p>
              </w:tc>
            </w:tr>
            <w:tr w14:paraId="3888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l2br w:val="nil"/>
                    <w:tr2bl w:val="nil"/>
                  </w:tcBorders>
                  <w:noWrap w:val="0"/>
                  <w:vAlign w:val="center"/>
                </w:tcPr>
                <w:p w14:paraId="65EE0B4A">
                  <w:pPr>
                    <w:pStyle w:val="66"/>
                    <w:kinsoku w:val="0"/>
                    <w:overflowPunct w:val="0"/>
                    <w:spacing w:before="15"/>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允许类企业</w:t>
                  </w:r>
                </w:p>
              </w:tc>
              <w:tc>
                <w:tcPr>
                  <w:tcW w:w="7191" w:type="dxa"/>
                  <w:tcBorders>
                    <w:tl2br w:val="nil"/>
                    <w:tr2bl w:val="nil"/>
                  </w:tcBorders>
                  <w:noWrap w:val="0"/>
                  <w:vAlign w:val="center"/>
                </w:tcPr>
                <w:p w14:paraId="667E795E">
                  <w:pPr>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不属于规划区域产业类型、限制类以及禁止类，且符合国家有关法律法规和政策规定的，为规划区允许类行业。</w:t>
                  </w:r>
                </w:p>
              </w:tc>
            </w:tr>
            <w:tr w14:paraId="763E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l2br w:val="nil"/>
                    <w:tr2bl w:val="nil"/>
                  </w:tcBorders>
                  <w:noWrap w:val="0"/>
                  <w:vAlign w:val="center"/>
                </w:tcPr>
                <w:p w14:paraId="3DD0DF59">
                  <w:pPr>
                    <w:pStyle w:val="66"/>
                    <w:kinsoku w:val="0"/>
                    <w:overflowPunct w:val="0"/>
                    <w:spacing w:line="229" w:lineRule="exact"/>
                    <w:jc w:val="left"/>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sz w:val="21"/>
                      <w:szCs w:val="21"/>
                      <w:highlight w:val="none"/>
                    </w:rPr>
                    <w:t>本项目</w:t>
                  </w:r>
                </w:p>
              </w:tc>
              <w:tc>
                <w:tcPr>
                  <w:tcW w:w="7191" w:type="dxa"/>
                  <w:tcBorders>
                    <w:tl2br w:val="nil"/>
                    <w:tr2bl w:val="nil"/>
                  </w:tcBorders>
                  <w:noWrap w:val="0"/>
                  <w:vAlign w:val="center"/>
                </w:tcPr>
                <w:p w14:paraId="2911B20A">
                  <w:pPr>
                    <w:jc w:val="left"/>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sz w:val="21"/>
                      <w:szCs w:val="21"/>
                      <w:highlight w:val="none"/>
                    </w:rPr>
                    <w:t>本项目为</w:t>
                  </w:r>
                  <w:r>
                    <w:rPr>
                      <w:rFonts w:hint="eastAsia" w:asciiTheme="minorEastAsia" w:hAnsiTheme="minorEastAsia" w:eastAsiaTheme="minorEastAsia" w:cstheme="minorEastAsia"/>
                      <w:sz w:val="21"/>
                      <w:szCs w:val="21"/>
                      <w:highlight w:val="none"/>
                    </w:rPr>
                    <w:t>C1819 其它机制服装制造</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color w:val="000000"/>
                      <w:sz w:val="21"/>
                      <w:szCs w:val="21"/>
                      <w:highlight w:val="none"/>
                      <w:lang w:val="en-US" w:eastAsia="zh-CN"/>
                    </w:rPr>
                    <w:t>是园区</w:t>
                  </w:r>
                  <w:r>
                    <w:rPr>
                      <w:rFonts w:hint="eastAsia" w:asciiTheme="minorEastAsia" w:hAnsiTheme="minorEastAsia" w:eastAsiaTheme="minorEastAsia" w:cstheme="minorEastAsia"/>
                      <w:sz w:val="21"/>
                      <w:szCs w:val="21"/>
                      <w:highlight w:val="none"/>
                      <w:lang w:val="en-US" w:eastAsia="zh-CN"/>
                    </w:rPr>
                    <w:t>允许类企业</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因此，本项目与《四川省达州市达川工业园区总体规划环境影响报告书》及其</w:t>
                  </w:r>
                  <w:r>
                    <w:rPr>
                      <w:rFonts w:hint="eastAsia" w:asciiTheme="minorEastAsia" w:hAnsiTheme="minorEastAsia" w:eastAsiaTheme="minorEastAsia" w:cstheme="minorEastAsia"/>
                      <w:sz w:val="21"/>
                      <w:szCs w:val="21"/>
                      <w:highlight w:val="none"/>
                      <w:lang w:val="en-US" w:eastAsia="zh-CN"/>
                    </w:rPr>
                    <w:t>审查意见</w:t>
                  </w:r>
                  <w:r>
                    <w:rPr>
                      <w:rFonts w:hint="eastAsia" w:asciiTheme="minorEastAsia" w:hAnsiTheme="minorEastAsia" w:eastAsiaTheme="minorEastAsia" w:cstheme="minorEastAsia"/>
                      <w:sz w:val="21"/>
                      <w:szCs w:val="21"/>
                      <w:highlight w:val="none"/>
                    </w:rPr>
                    <w:t>要求是相容的。</w:t>
                  </w:r>
                </w:p>
              </w:tc>
            </w:tr>
          </w:tbl>
          <w:p w14:paraId="070F0B8C">
            <w:pPr>
              <w:spacing w:line="360" w:lineRule="auto"/>
              <w:jc w:val="left"/>
              <w:rPr>
                <w:rFonts w:hint="default" w:ascii="Times New Roman" w:hAnsi="Times New Roman" w:eastAsia="宋体" w:cs="Times New Roman"/>
                <w:b/>
                <w:szCs w:val="21"/>
              </w:rPr>
            </w:pPr>
            <w:r>
              <w:rPr>
                <w:rFonts w:hint="default" w:ascii="Times New Roman" w:hAnsi="Times New Roman" w:eastAsia="宋体" w:cs="Times New Roman"/>
                <w:b/>
                <w:szCs w:val="21"/>
              </w:rPr>
              <w:t>3</w:t>
            </w:r>
            <w:r>
              <w:rPr>
                <w:rFonts w:hint="default" w:ascii="Times New Roman" w:hAnsi="Times New Roman" w:eastAsia="宋体" w:cs="Times New Roman"/>
                <w:b/>
                <w:szCs w:val="21"/>
                <w:lang w:eastAsia="zh-CN"/>
              </w:rPr>
              <w:t>.</w:t>
            </w:r>
            <w:r>
              <w:rPr>
                <w:rFonts w:hint="default" w:ascii="Times New Roman" w:hAnsi="Times New Roman" w:eastAsia="宋体" w:cs="Times New Roman"/>
                <w:b/>
                <w:szCs w:val="21"/>
              </w:rPr>
              <w:t>功能分区符合性分析</w:t>
            </w:r>
          </w:p>
          <w:p w14:paraId="15B78B6B">
            <w:pPr>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rPr>
              <w:t>达川工业园区主要发展“现代机电、绿色包装、现代物流和休闲旅游”四大主导产业。总体布局上形成“四轴、五片、多中心”的空间结构。</w:t>
            </w:r>
          </w:p>
          <w:p w14:paraId="2C08A43C">
            <w:pPr>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rPr>
              <w:t>（1）“四轴”：指沿国道210和铜钵河形成的两条纵向发展轴；以及两条分别沿规划金鑫路、中心南街形成的横向发展轴。</w:t>
            </w:r>
          </w:p>
          <w:p w14:paraId="3B882768">
            <w:pPr>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rPr>
              <w:t>（2）“五片”：指沿轴线与功能布局发展的综合服务区、生态旅游服务区、临港产业服务区、现代工业集聚区和现代生活居住区。</w:t>
            </w:r>
          </w:p>
          <w:p w14:paraId="0C839D2A">
            <w:pPr>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rPr>
              <w:t>（3）“多中心”：指片区的核心，包括城市发展的主核心以及次核心。</w:t>
            </w:r>
          </w:p>
          <w:p w14:paraId="5CF0A06D">
            <w:pPr>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rPr>
              <w:t>（4）功能分区：在整体布局上划分为十大功能片区：赵家生活居住组团、现代机电产业组团、绿色包装产业组团、现代物流组团、城市综合服务组团、综合产业组团、百节生活居住组团、生态文化产业组团、旅游服务组团、马家生活居住组团。</w:t>
            </w:r>
          </w:p>
          <w:p w14:paraId="0148B1FC">
            <w:pPr>
              <w:spacing w:line="360" w:lineRule="auto"/>
              <w:ind w:firstLine="480" w:firstLineChars="200"/>
              <w:jc w:val="left"/>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本项目为</w:t>
            </w:r>
            <w:r>
              <w:rPr>
                <w:rFonts w:hint="default" w:ascii="Times New Roman" w:hAnsi="Times New Roman" w:eastAsia="宋体" w:cs="Times New Roman"/>
                <w:color w:val="000000"/>
                <w:highlight w:val="none"/>
              </w:rPr>
              <w:t>C1819 其它机制服装制造</w:t>
            </w:r>
            <w:r>
              <w:rPr>
                <w:rFonts w:hint="default" w:ascii="Times New Roman" w:hAnsi="Times New Roman" w:eastAsia="宋体" w:cs="Times New Roman"/>
                <w:color w:val="000000"/>
                <w:highlight w:val="none"/>
              </w:rPr>
              <w:t>，</w:t>
            </w:r>
            <w:r>
              <w:rPr>
                <w:rFonts w:hint="default" w:ascii="Times New Roman" w:hAnsi="Times New Roman" w:eastAsia="宋体" w:cs="Times New Roman"/>
                <w:color w:val="000000"/>
                <w:highlight w:val="none"/>
                <w:lang w:val="en-US" w:eastAsia="zh-CN"/>
              </w:rPr>
              <w:t>用地</w:t>
            </w:r>
            <w:r>
              <w:rPr>
                <w:rFonts w:hint="default" w:ascii="Times New Roman" w:hAnsi="Times New Roman" w:eastAsia="宋体" w:cs="Times New Roman"/>
                <w:color w:val="000000"/>
                <w:highlight w:val="none"/>
              </w:rPr>
              <w:t>是工业用地</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color w:val="000000"/>
                <w:highlight w:val="none"/>
              </w:rPr>
              <w:t>属于达川工业园区功能分区规划的</w:t>
            </w:r>
            <w:r>
              <w:rPr>
                <w:rFonts w:hint="default" w:ascii="Times New Roman" w:hAnsi="Times New Roman" w:eastAsia="宋体" w:cs="Times New Roman"/>
                <w:color w:val="000000"/>
                <w:highlight w:val="none"/>
                <w:lang w:val="en-US" w:eastAsia="zh-CN"/>
              </w:rPr>
              <w:t>允许</w:t>
            </w:r>
            <w:r>
              <w:rPr>
                <w:rFonts w:hint="default" w:ascii="Times New Roman" w:hAnsi="Times New Roman" w:eastAsia="宋体" w:cs="Times New Roman"/>
                <w:color w:val="000000"/>
                <w:highlight w:val="none"/>
              </w:rPr>
              <w:t>类项目。</w:t>
            </w:r>
          </w:p>
          <w:p w14:paraId="05E4C945">
            <w:pPr>
              <w:spacing w:line="360" w:lineRule="auto"/>
              <w:ind w:firstLine="48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highlight w:val="none"/>
              </w:rPr>
              <w:t>因此，本项目与达川工业园区功能分区总体规划不冲突。</w:t>
            </w:r>
          </w:p>
        </w:tc>
      </w:tr>
    </w:tbl>
    <w:p w14:paraId="02A1E5F6">
      <w:pPr>
        <w:ind w:firstLine="480"/>
        <w:rPr>
          <w:color w:val="000000" w:themeColor="text1"/>
          <w14:textFill>
            <w14:solidFill>
              <w14:schemeClr w14:val="tx1"/>
            </w14:solidFill>
          </w14:textFill>
        </w:rPr>
        <w:sectPr>
          <w:footerReference r:id="rId5" w:type="default"/>
          <w:pgSz w:w="11906" w:h="16838"/>
          <w:pgMar w:top="1134" w:right="1418"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55"/>
        <w:tblW w:w="0" w:type="auto"/>
        <w:tblInd w:w="0" w:type="dxa"/>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Layout w:type="fixed"/>
        <w:tblCellMar>
          <w:top w:w="0" w:type="dxa"/>
          <w:left w:w="108" w:type="dxa"/>
          <w:bottom w:w="0" w:type="dxa"/>
          <w:right w:w="108" w:type="dxa"/>
        </w:tblCellMar>
      </w:tblPr>
      <w:tblGrid>
        <w:gridCol w:w="763"/>
        <w:gridCol w:w="8514"/>
      </w:tblGrid>
      <w:tr w14:paraId="5101CDB7">
        <w:tblPrEx>
          <w:tblBorders>
            <w:top w:val="single" w:color="auto" w:sz="8" w:space="0"/>
            <w:left w:val="single" w:color="auto" w:sz="8" w:space="0"/>
            <w:bottom w:val="single" w:color="auto" w:sz="8" w:space="0"/>
            <w:right w:val="single" w:color="auto" w:sz="8" w:space="0"/>
            <w:insideH w:val="none" w:color="auto" w:sz="0" w:space="0"/>
            <w:insideV w:val="single" w:color="auto" w:sz="8" w:space="0"/>
          </w:tblBorders>
          <w:tblCellMar>
            <w:top w:w="0" w:type="dxa"/>
            <w:left w:w="108" w:type="dxa"/>
            <w:bottom w:w="0" w:type="dxa"/>
            <w:right w:w="108" w:type="dxa"/>
          </w:tblCellMar>
        </w:tblPrEx>
        <w:trPr>
          <w:trHeight w:val="12027" w:hRule="atLeast"/>
        </w:trPr>
        <w:tc>
          <w:tcPr>
            <w:tcW w:w="763" w:type="dxa"/>
            <w:tcBorders>
              <w:bottom w:val="single" w:color="7E7E7E" w:sz="4" w:space="0"/>
              <w:right w:val="nil"/>
              <w:tl2br w:val="nil"/>
              <w:tr2bl w:val="nil"/>
            </w:tcBorders>
            <w:noWrap w:val="0"/>
            <w:vAlign w:val="center"/>
          </w:tcPr>
          <w:p w14:paraId="055A384E">
            <w:pPr>
              <w:rPr>
                <w:b w:val="0"/>
                <w:bCs w:val="0"/>
                <w:caps/>
                <w:color w:val="000000" w:themeColor="text1"/>
                <w14:textFill>
                  <w14:solidFill>
                    <w14:schemeClr w14:val="tx1"/>
                  </w14:solidFill>
                </w14:textFill>
              </w:rPr>
            </w:pPr>
            <w:r>
              <w:rPr>
                <w:rFonts w:hint="eastAsia"/>
                <w:b w:val="0"/>
                <w:bCs w:val="0"/>
                <w:caps/>
                <w:color w:val="000000" w:themeColor="text1"/>
                <w14:textFill>
                  <w14:solidFill>
                    <w14:schemeClr w14:val="tx1"/>
                  </w14:solidFill>
                </w14:textFill>
              </w:rPr>
              <w:t>其他符合性分析</w:t>
            </w:r>
          </w:p>
        </w:tc>
        <w:tc>
          <w:tcPr>
            <w:tcW w:w="8514" w:type="dxa"/>
            <w:tcBorders>
              <w:bottom w:val="single" w:color="7E7E7E" w:sz="4" w:space="0"/>
              <w:tl2br w:val="nil"/>
              <w:tr2bl w:val="nil"/>
            </w:tcBorders>
            <w:noWrap w:val="0"/>
            <w:vAlign w:val="top"/>
          </w:tcPr>
          <w:p w14:paraId="13B302C2">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left"/>
              <w:textAlignment w:val="auto"/>
              <w:rPr>
                <w:rFonts w:hint="eastAsia" w:asciiTheme="minorEastAsia" w:hAnsiTheme="minorEastAsia" w:eastAsiaTheme="minorEastAsia" w:cstheme="minorEastAsia"/>
                <w:b/>
                <w:szCs w:val="21"/>
                <w:highlight w:val="none"/>
              </w:rPr>
            </w:pPr>
            <w:r>
              <w:rPr>
                <w:rFonts w:hint="eastAsia" w:asciiTheme="minorEastAsia" w:hAnsiTheme="minorEastAsia" w:eastAsiaTheme="minorEastAsia" w:cstheme="minorEastAsia"/>
                <w:b/>
                <w:szCs w:val="21"/>
                <w:highlight w:val="none"/>
              </w:rPr>
              <w:t>1</w:t>
            </w:r>
            <w:r>
              <w:rPr>
                <w:rFonts w:hint="eastAsia" w:asciiTheme="minorEastAsia" w:hAnsiTheme="minorEastAsia" w:eastAsiaTheme="minorEastAsia" w:cstheme="minorEastAsia"/>
                <w:b/>
                <w:szCs w:val="21"/>
                <w:highlight w:val="none"/>
                <w:lang w:eastAsia="zh-CN"/>
              </w:rPr>
              <w:t>.</w:t>
            </w:r>
            <w:r>
              <w:rPr>
                <w:rFonts w:hint="eastAsia" w:asciiTheme="minorEastAsia" w:hAnsiTheme="minorEastAsia" w:eastAsiaTheme="minorEastAsia" w:cstheme="minorEastAsia"/>
                <w:b/>
                <w:szCs w:val="21"/>
                <w:highlight w:val="none"/>
                <w:lang w:val="en-US" w:eastAsia="zh-CN"/>
              </w:rPr>
              <w:t>产业政策</w:t>
            </w:r>
            <w:r>
              <w:rPr>
                <w:rFonts w:hint="eastAsia" w:asciiTheme="minorEastAsia" w:hAnsiTheme="minorEastAsia" w:eastAsiaTheme="minorEastAsia" w:cstheme="minorEastAsia"/>
                <w:b/>
                <w:szCs w:val="21"/>
                <w:highlight w:val="none"/>
              </w:rPr>
              <w:t>符合性分析</w:t>
            </w:r>
          </w:p>
          <w:p w14:paraId="21D416D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heme="minorEastAsia" w:hAnsiTheme="minorEastAsia" w:eastAsiaTheme="minorEastAsia" w:cstheme="minorEastAsia"/>
                <w:bCs/>
                <w:color w:val="000000"/>
                <w:szCs w:val="21"/>
                <w:highlight w:val="none"/>
              </w:rPr>
            </w:pPr>
            <w:r>
              <w:rPr>
                <w:rFonts w:hint="eastAsia" w:asciiTheme="minorEastAsia" w:hAnsiTheme="minorEastAsia" w:eastAsiaTheme="minorEastAsia" w:cstheme="minorEastAsia"/>
                <w:bCs/>
                <w:color w:val="000000"/>
                <w:szCs w:val="21"/>
                <w:highlight w:val="none"/>
              </w:rPr>
              <w:t>根据《国民经济行业分类》 (GB/T4754-2017）修订版，本项目属于“C1819 其它机制服装制造”，根据《产业结构调整指导目录（2024 年本）》，本项目不属于鼓励类、限制类和淘汰类范围，根据国务院《促进产业结构调整暂行规定》（国发〔2005〕40 号）中的第十三条，“不属于鼓励类、限制类及淘汰类，且符合国家有关法律、法规和政策规定的为允许类”，因此，本项目为允许类。</w:t>
            </w:r>
          </w:p>
          <w:p w14:paraId="7CB49C2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heme="minorEastAsia" w:hAnsiTheme="minorEastAsia" w:eastAsiaTheme="minorEastAsia" w:cstheme="minorEastAsia"/>
                <w:bCs/>
                <w:szCs w:val="21"/>
                <w:highlight w:val="none"/>
                <w:lang w:eastAsia="zh-CN"/>
              </w:rPr>
            </w:pPr>
            <w:r>
              <w:rPr>
                <w:rFonts w:hint="eastAsia" w:asciiTheme="minorEastAsia" w:hAnsiTheme="minorEastAsia" w:eastAsiaTheme="minorEastAsia" w:cstheme="minorEastAsia"/>
                <w:bCs/>
                <w:szCs w:val="21"/>
                <w:highlight w:val="none"/>
                <w:lang w:val="en-US" w:eastAsia="zh-CN"/>
              </w:rPr>
              <w:t>本</w:t>
            </w:r>
            <w:r>
              <w:rPr>
                <w:rFonts w:hint="eastAsia" w:asciiTheme="minorEastAsia" w:hAnsiTheme="minorEastAsia" w:eastAsiaTheme="minorEastAsia" w:cstheme="minorEastAsia"/>
                <w:bCs/>
                <w:szCs w:val="21"/>
                <w:highlight w:val="none"/>
              </w:rPr>
              <w:t>项目于202</w:t>
            </w:r>
            <w:r>
              <w:rPr>
                <w:rFonts w:hint="eastAsia" w:asciiTheme="minorEastAsia" w:hAnsiTheme="minorEastAsia" w:eastAsiaTheme="minorEastAsia" w:cstheme="minorEastAsia"/>
                <w:bCs/>
                <w:szCs w:val="21"/>
                <w:highlight w:val="none"/>
                <w:lang w:val="en-US" w:eastAsia="zh-CN"/>
              </w:rPr>
              <w:t>5</w:t>
            </w:r>
            <w:r>
              <w:rPr>
                <w:rFonts w:hint="eastAsia" w:asciiTheme="minorEastAsia" w:hAnsiTheme="minorEastAsia" w:eastAsiaTheme="minorEastAsia" w:cstheme="minorEastAsia"/>
                <w:bCs/>
                <w:szCs w:val="21"/>
                <w:highlight w:val="none"/>
              </w:rPr>
              <w:t>年</w:t>
            </w:r>
            <w:r>
              <w:rPr>
                <w:rFonts w:hint="eastAsia" w:asciiTheme="minorEastAsia" w:hAnsiTheme="minorEastAsia" w:eastAsiaTheme="minorEastAsia" w:cstheme="minorEastAsia"/>
                <w:bCs/>
                <w:szCs w:val="21"/>
                <w:highlight w:val="none"/>
                <w:lang w:val="en-US" w:eastAsia="zh-CN"/>
              </w:rPr>
              <w:t>12</w:t>
            </w:r>
            <w:r>
              <w:rPr>
                <w:rFonts w:hint="eastAsia" w:asciiTheme="minorEastAsia" w:hAnsiTheme="minorEastAsia" w:eastAsiaTheme="minorEastAsia" w:cstheme="minorEastAsia"/>
                <w:bCs/>
                <w:szCs w:val="21"/>
                <w:highlight w:val="none"/>
              </w:rPr>
              <w:t>月</w:t>
            </w:r>
            <w:r>
              <w:rPr>
                <w:rFonts w:hint="eastAsia" w:asciiTheme="minorEastAsia" w:hAnsiTheme="minorEastAsia" w:eastAsiaTheme="minorEastAsia" w:cstheme="minorEastAsia"/>
                <w:bCs/>
                <w:szCs w:val="21"/>
                <w:highlight w:val="none"/>
                <w:lang w:val="en-US" w:eastAsia="zh-CN"/>
              </w:rPr>
              <w:t>24</w:t>
            </w:r>
            <w:r>
              <w:rPr>
                <w:rFonts w:hint="eastAsia" w:asciiTheme="minorEastAsia" w:hAnsiTheme="minorEastAsia" w:eastAsiaTheme="minorEastAsia" w:cstheme="minorEastAsia"/>
                <w:bCs/>
                <w:szCs w:val="21"/>
                <w:highlight w:val="none"/>
              </w:rPr>
              <w:t>日</w:t>
            </w:r>
            <w:r>
              <w:rPr>
                <w:rFonts w:hint="eastAsia" w:asciiTheme="minorEastAsia" w:hAnsiTheme="minorEastAsia" w:eastAsiaTheme="minorEastAsia" w:cstheme="minorEastAsia"/>
                <w:bCs/>
                <w:szCs w:val="21"/>
                <w:highlight w:val="none"/>
                <w:lang w:val="en-US" w:eastAsia="zh-CN"/>
              </w:rPr>
              <w:t>取得了</w:t>
            </w:r>
            <w:r>
              <w:rPr>
                <w:rFonts w:hint="eastAsia" w:asciiTheme="minorEastAsia" w:hAnsiTheme="minorEastAsia" w:eastAsiaTheme="minorEastAsia" w:cstheme="minorEastAsia"/>
                <w:bCs/>
                <w:szCs w:val="21"/>
                <w:highlight w:val="none"/>
              </w:rPr>
              <w:t>达川区发展和改革局予以备案，备案号：川投资备【2512-511703-04-01-650277】FGQB-1852 号</w:t>
            </w:r>
            <w:r>
              <w:rPr>
                <w:rFonts w:hint="eastAsia" w:asciiTheme="minorEastAsia" w:hAnsiTheme="minorEastAsia" w:eastAsiaTheme="minorEastAsia" w:cstheme="minorEastAsia"/>
                <w:bCs/>
                <w:szCs w:val="21"/>
                <w:highlight w:val="none"/>
                <w:lang w:eastAsia="zh-CN"/>
              </w:rPr>
              <w:t>。</w:t>
            </w:r>
          </w:p>
          <w:p w14:paraId="1294E65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heme="minorEastAsia" w:hAnsiTheme="minorEastAsia" w:eastAsiaTheme="minorEastAsia" w:cstheme="minorEastAsia"/>
                <w:bCs/>
                <w:color w:val="000000"/>
                <w:szCs w:val="21"/>
                <w:highlight w:val="none"/>
              </w:rPr>
            </w:pPr>
            <w:r>
              <w:rPr>
                <w:rFonts w:hint="eastAsia" w:asciiTheme="minorEastAsia" w:hAnsiTheme="minorEastAsia" w:eastAsiaTheme="minorEastAsia" w:cstheme="minorEastAsia"/>
                <w:bCs/>
                <w:szCs w:val="21"/>
                <w:highlight w:val="none"/>
              </w:rPr>
              <w:t>因此，本项目的建设符合国家的产业政策。</w:t>
            </w:r>
          </w:p>
          <w:p w14:paraId="1C989788">
            <w:pPr>
              <w:keepNext w:val="0"/>
              <w:keepLines w:val="0"/>
              <w:pageBreakBefore w:val="0"/>
              <w:widowControl w:val="0"/>
              <w:kinsoku/>
              <w:wordWrap/>
              <w:overflowPunct/>
              <w:topLinePunct w:val="0"/>
              <w:bidi w:val="0"/>
              <w:adjustRightInd/>
              <w:snapToGrid/>
              <w:spacing w:line="480" w:lineRule="exact"/>
              <w:ind w:firstLine="482" w:firstLineChars="200"/>
              <w:jc w:val="left"/>
              <w:textAlignment w:val="auto"/>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rPr>
              <w:t>2</w:t>
            </w:r>
            <w:r>
              <w:rPr>
                <w:rFonts w:hint="default" w:ascii="Times New Roman" w:hAnsi="Times New Roman" w:eastAsia="宋体" w:cs="Times New Roman"/>
                <w:b/>
                <w:sz w:val="24"/>
                <w:szCs w:val="24"/>
                <w:lang w:eastAsia="zh-CN"/>
              </w:rPr>
              <w:t>.</w:t>
            </w:r>
            <w:r>
              <w:rPr>
                <w:rFonts w:hint="default" w:ascii="Times New Roman" w:hAnsi="Times New Roman" w:eastAsia="宋体" w:cs="Times New Roman"/>
                <w:b/>
                <w:sz w:val="24"/>
                <w:szCs w:val="24"/>
              </w:rPr>
              <w:t>用地规划符合性分析</w:t>
            </w:r>
          </w:p>
          <w:p w14:paraId="4E93E620">
            <w:pPr>
              <w:keepNext w:val="0"/>
              <w:keepLines w:val="0"/>
              <w:pageBreakBefore w:val="0"/>
              <w:widowControl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Cs/>
                <w:color w:val="000000"/>
                <w:sz w:val="24"/>
                <w:szCs w:val="24"/>
              </w:rPr>
              <w:t>本项目选址</w:t>
            </w:r>
            <w:r>
              <w:rPr>
                <w:rFonts w:hint="default" w:ascii="Times New Roman" w:hAnsi="Times New Roman" w:eastAsia="宋体" w:cs="Times New Roman"/>
                <w:bCs/>
                <w:color w:val="000000"/>
                <w:sz w:val="24"/>
                <w:szCs w:val="24"/>
                <w:lang w:val="en-US" w:eastAsia="zh-CN"/>
              </w:rPr>
              <w:t>于四川省达州市达川区百节镇</w:t>
            </w:r>
            <w:r>
              <w:rPr>
                <w:rFonts w:hint="eastAsia" w:cs="Times New Roman"/>
                <w:bCs/>
                <w:color w:val="000000"/>
                <w:sz w:val="24"/>
                <w:szCs w:val="24"/>
                <w:lang w:val="en-US" w:eastAsia="zh-CN"/>
              </w:rPr>
              <w:t>，</w:t>
            </w:r>
            <w:r>
              <w:rPr>
                <w:rFonts w:hint="default" w:ascii="Times New Roman" w:hAnsi="Times New Roman" w:eastAsia="宋体" w:cs="Times New Roman"/>
                <w:bCs/>
                <w:color w:val="000000"/>
                <w:sz w:val="24"/>
                <w:szCs w:val="24"/>
              </w:rPr>
              <w:t>根据四川省达州市达川工业园区总体规划图，本项目用地性质为工业用地</w:t>
            </w:r>
            <w:r>
              <w:rPr>
                <w:rFonts w:hint="default" w:ascii="Times New Roman" w:hAnsi="Times New Roman" w:eastAsia="宋体" w:cs="Times New Roman"/>
                <w:color w:val="000000"/>
                <w:sz w:val="24"/>
                <w:szCs w:val="24"/>
              </w:rPr>
              <w:t>，项目建设符合规划要求，选址合理。</w:t>
            </w:r>
          </w:p>
          <w:p w14:paraId="2BB3B5FD">
            <w:pPr>
              <w:keepNext w:val="0"/>
              <w:keepLines w:val="0"/>
              <w:pageBreakBefore w:val="0"/>
              <w:widowControl w:val="0"/>
              <w:kinsoku/>
              <w:wordWrap/>
              <w:overflowPunct/>
              <w:topLinePunct w:val="0"/>
              <w:bidi w:val="0"/>
              <w:adjustRightInd/>
              <w:snapToGrid/>
              <w:spacing w:line="480" w:lineRule="exact"/>
              <w:ind w:firstLine="480" w:firstLineChars="200"/>
              <w:jc w:val="left"/>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因此，本项目符合现有的土地利用规划。</w:t>
            </w:r>
          </w:p>
          <w:p w14:paraId="2FB55068">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jc w:val="left"/>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3</w:t>
            </w:r>
            <w:r>
              <w:rPr>
                <w:rFonts w:hint="default"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rPr>
              <w:t>与《长江经济带发展负面清单指南（试行，2022年版）》、四川省推动长江经济带发展领导小组办公室重庆市推动长江经济带发展领导小组办公室关于印发《四川省、重庆市长江经济带发展负面清单实施细则（试行，2022年版）》的通知（川长江办[2022]17号）的符合性分析</w:t>
            </w:r>
          </w:p>
          <w:p w14:paraId="1280D655">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（1）推动长江经济带发展领导小组办公室于2022年1月19日印发了《长江经济带发展负面清单指南（试行，2022年版）》的通知（长江办[2022]7号），本项目与该通知的符合性分析如下：</w:t>
            </w:r>
          </w:p>
          <w:p w14:paraId="7CCC33E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①本项目位于</w:t>
            </w:r>
            <w:r>
              <w:rPr>
                <w:rFonts w:hint="default" w:ascii="Times New Roman" w:hAnsi="Times New Roman" w:eastAsia="宋体" w:cs="Times New Roman"/>
                <w:sz w:val="24"/>
                <w:szCs w:val="24"/>
              </w:rPr>
              <w:t>达川工业园区百节镇</w:t>
            </w:r>
            <w:r>
              <w:rPr>
                <w:rFonts w:hint="default" w:ascii="Times New Roman" w:hAnsi="Times New Roman" w:eastAsia="宋体" w:cs="Times New Roman"/>
                <w:color w:val="auto"/>
                <w:sz w:val="24"/>
                <w:szCs w:val="24"/>
              </w:rPr>
              <w:t>，不属于自然保护区、风景名胜区、饮用水源保护区、水产种质资源保护区、国家湿地公园、《长江岸线保护和开发利用总体规划》划定的岸线保护区和保留区等区域，亦不属于《全国重要江河湖泊水功能区划》划定的河段及湖泊保护区、保留区。</w:t>
            </w:r>
          </w:p>
          <w:p w14:paraId="19C8144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②本项目不涉及在长江干支流及湖泊新设、改设或扩大排污口。</w:t>
            </w:r>
          </w:p>
          <w:p w14:paraId="203B0286">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Cs/>
                <w:color w:val="000000"/>
                <w:szCs w:val="21"/>
                <w:highlight w:val="none"/>
              </w:rPr>
              <w:t>C1819其它机制服装制造</w:t>
            </w:r>
            <w:r>
              <w:rPr>
                <w:rFonts w:hint="default" w:ascii="Times New Roman" w:hAnsi="Times New Roman" w:eastAsia="宋体" w:cs="Times New Roman"/>
                <w:color w:val="auto"/>
                <w:sz w:val="24"/>
                <w:szCs w:val="24"/>
                <w:highlight w:val="none"/>
              </w:rPr>
              <w:t>，不属于该指南中的“禁止在长江干支流、重要湖泊岸线一公里范围〔指长江干支流、重要湖泊岸线边界（即水利部门河湖管理范围边界）向陆域纵深1公里〕范围内新建、扩建化工园区和化工项目”。</w:t>
            </w:r>
          </w:p>
          <w:p w14:paraId="0B04353A">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④本项目</w:t>
            </w:r>
            <w:r>
              <w:rPr>
                <w:rFonts w:hint="eastAsia" w:cs="Times New Roman"/>
                <w:color w:val="auto"/>
                <w:sz w:val="24"/>
                <w:szCs w:val="24"/>
                <w:highlight w:val="none"/>
                <w:lang w:val="en-US" w:eastAsia="zh-CN"/>
              </w:rPr>
              <w:t>为</w:t>
            </w:r>
            <w:r>
              <w:rPr>
                <w:rFonts w:hint="default" w:ascii="Times New Roman" w:hAnsi="Times New Roman" w:eastAsia="宋体" w:cs="Times New Roman"/>
                <w:bCs/>
                <w:color w:val="000000"/>
                <w:szCs w:val="21"/>
                <w:highlight w:val="none"/>
              </w:rPr>
              <w:t>C1819 其它机制服装制造</w:t>
            </w:r>
            <w:r>
              <w:rPr>
                <w:rFonts w:hint="default" w:ascii="Times New Roman" w:hAnsi="Times New Roman" w:eastAsia="宋体" w:cs="Times New Roman"/>
                <w:color w:val="auto"/>
                <w:sz w:val="24"/>
                <w:szCs w:val="24"/>
                <w:highlight w:val="none"/>
              </w:rPr>
              <w:t>，不属于法律法规和相关政策明令禁止的落后产能项目，不属于不符合国家产能置换要求的严重过剩产能行业的项目，不属于不符合要求的高耗能高排放项目。因此，本项目不属于该指南中的“禁止新建、扩建法律法规和相关政策明令禁止的落后产能项目。禁止新建、扩建不符合国家产能置换要求的严重过剩产能行业的项目。禁止新建、扩建不符合要求的高耗能高排放项目。</w:t>
            </w:r>
          </w:p>
          <w:p w14:paraId="4767683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与四川省推动长江经济带发展领导小组办公室重庆市推动长江经济带发展领导小组办公室关于印发《四川省、重庆市长江经济带发展负面清单实施细则（试行，2022年版）》的通知（川长江办[2022]17号）的符合性分析</w:t>
            </w:r>
          </w:p>
          <w:p w14:paraId="46D28A56">
            <w:pPr>
              <w:pStyle w:val="16"/>
              <w:keepNext w:val="0"/>
              <w:keepLines w:val="0"/>
              <w:pageBreakBefore w:val="0"/>
              <w:widowControl w:val="0"/>
              <w:kinsoku/>
              <w:wordWrap/>
              <w:overflowPunct/>
              <w:topLinePunct w:val="0"/>
              <w:bidi w:val="0"/>
              <w:adjustRightInd/>
              <w:snapToGrid/>
              <w:spacing w:after="0" w:line="480" w:lineRule="exact"/>
              <w:ind w:left="0" w:leftChars="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表1-</w:t>
            </w:r>
            <w:r>
              <w:rPr>
                <w:rFonts w:hint="eastAsia" w:asciiTheme="minorEastAsia" w:hAnsiTheme="minorEastAsia" w:eastAsiaTheme="minorEastAsia" w:cstheme="minorEastAsia"/>
                <w:b/>
                <w:color w:val="auto"/>
                <w:sz w:val="24"/>
                <w:szCs w:val="24"/>
                <w:lang w:val="en-US" w:eastAsia="zh-CN"/>
              </w:rPr>
              <w:t>3</w:t>
            </w:r>
            <w:r>
              <w:rPr>
                <w:rFonts w:hint="eastAsia" w:asciiTheme="minorEastAsia" w:hAnsiTheme="minorEastAsia" w:eastAsiaTheme="minorEastAsia" w:cstheme="minorEastAsia"/>
                <w:b/>
                <w:color w:val="auto"/>
                <w:sz w:val="24"/>
                <w:szCs w:val="24"/>
              </w:rPr>
              <w:t>项目与“川长江办[2022]17号”文件（摘录）的符合性分析一览表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4"/>
              <w:gridCol w:w="1751"/>
              <w:gridCol w:w="1036"/>
            </w:tblGrid>
            <w:tr w14:paraId="091D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6" w:type="pct"/>
                  <w:tcBorders>
                    <w:tl2br w:val="nil"/>
                    <w:tr2bl w:val="nil"/>
                  </w:tcBorders>
                  <w:noWrap w:val="0"/>
                  <w:vAlign w:val="center"/>
                </w:tcPr>
                <w:p w14:paraId="2B54F3F8">
                  <w:pPr>
                    <w:adjustRightInd w:val="0"/>
                    <w:snapToGrid w:val="0"/>
                    <w:jc w:val="center"/>
                    <w:outlineLvl w:val="0"/>
                    <w:rPr>
                      <w:rFonts w:hint="default" w:ascii="Times New Roman" w:hAnsi="Times New Roman" w:cs="Times New Roman"/>
                      <w:bCs/>
                      <w:color w:val="auto"/>
                      <w:sz w:val="21"/>
                      <w:szCs w:val="21"/>
                      <w:highlight w:val="none"/>
                    </w:rPr>
                  </w:pPr>
                  <w:bookmarkStart w:id="0" w:name="_Toc25869"/>
                  <w:r>
                    <w:rPr>
                      <w:rFonts w:hint="default" w:ascii="Times New Roman" w:hAnsi="Times New Roman" w:cs="Times New Roman"/>
                      <w:bCs/>
                      <w:color w:val="auto"/>
                      <w:sz w:val="21"/>
                      <w:szCs w:val="21"/>
                      <w:highlight w:val="none"/>
                    </w:rPr>
                    <w:t>川长江办[2022]17号文件要求</w:t>
                  </w:r>
                  <w:bookmarkEnd w:id="0"/>
                </w:p>
              </w:tc>
              <w:tc>
                <w:tcPr>
                  <w:tcW w:w="1057" w:type="pct"/>
                  <w:tcBorders>
                    <w:tl2br w:val="nil"/>
                    <w:tr2bl w:val="nil"/>
                  </w:tcBorders>
                  <w:noWrap w:val="0"/>
                  <w:vAlign w:val="center"/>
                </w:tcPr>
                <w:p w14:paraId="6A357039">
                  <w:pPr>
                    <w:adjustRightInd w:val="0"/>
                    <w:snapToGrid w:val="0"/>
                    <w:jc w:val="center"/>
                    <w:outlineLvl w:val="0"/>
                    <w:rPr>
                      <w:rFonts w:hint="default" w:ascii="Times New Roman" w:hAnsi="Times New Roman" w:cs="Times New Roman"/>
                      <w:bCs/>
                      <w:color w:val="auto"/>
                      <w:sz w:val="21"/>
                      <w:szCs w:val="21"/>
                      <w:highlight w:val="none"/>
                    </w:rPr>
                  </w:pPr>
                  <w:bookmarkStart w:id="1" w:name="_Toc9309"/>
                  <w:r>
                    <w:rPr>
                      <w:rFonts w:hint="default" w:ascii="Times New Roman" w:hAnsi="Times New Roman" w:cs="Times New Roman"/>
                      <w:bCs/>
                      <w:color w:val="auto"/>
                      <w:sz w:val="21"/>
                      <w:szCs w:val="21"/>
                      <w:highlight w:val="none"/>
                    </w:rPr>
                    <w:t>本项目情况</w:t>
                  </w:r>
                  <w:bookmarkEnd w:id="1"/>
                </w:p>
              </w:tc>
              <w:tc>
                <w:tcPr>
                  <w:tcW w:w="625" w:type="pct"/>
                  <w:tcBorders>
                    <w:tl2br w:val="nil"/>
                    <w:tr2bl w:val="nil"/>
                  </w:tcBorders>
                  <w:noWrap w:val="0"/>
                  <w:vAlign w:val="center"/>
                </w:tcPr>
                <w:p w14:paraId="0EB9FF2B">
                  <w:pPr>
                    <w:adjustRightInd w:val="0"/>
                    <w:snapToGrid w:val="0"/>
                    <w:jc w:val="center"/>
                    <w:outlineLvl w:val="0"/>
                    <w:rPr>
                      <w:rFonts w:hint="default" w:ascii="Times New Roman" w:hAnsi="Times New Roman" w:cs="Times New Roman"/>
                      <w:bCs/>
                      <w:color w:val="auto"/>
                      <w:sz w:val="21"/>
                      <w:szCs w:val="21"/>
                      <w:highlight w:val="none"/>
                    </w:rPr>
                  </w:pPr>
                  <w:bookmarkStart w:id="2" w:name="_Toc2802"/>
                  <w:r>
                    <w:rPr>
                      <w:rFonts w:hint="default" w:ascii="Times New Roman" w:hAnsi="Times New Roman" w:cs="Times New Roman"/>
                      <w:bCs/>
                      <w:color w:val="auto"/>
                      <w:sz w:val="21"/>
                      <w:szCs w:val="21"/>
                      <w:highlight w:val="none"/>
                    </w:rPr>
                    <w:t>是否涉及</w:t>
                  </w:r>
                  <w:bookmarkEnd w:id="2"/>
                </w:p>
              </w:tc>
            </w:tr>
            <w:tr w14:paraId="6B37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6" w:type="pct"/>
                  <w:tcBorders>
                    <w:tl2br w:val="nil"/>
                    <w:tr2bl w:val="nil"/>
                  </w:tcBorders>
                  <w:noWrap w:val="0"/>
                  <w:vAlign w:val="center"/>
                </w:tcPr>
                <w:p w14:paraId="12617217">
                  <w:pPr>
                    <w:adjustRightInd w:val="0"/>
                    <w:snapToGrid w:val="0"/>
                    <w:outlineLvl w:val="0"/>
                    <w:rPr>
                      <w:rFonts w:hint="default" w:ascii="Times New Roman" w:hAnsi="Times New Roman" w:cs="Times New Roman"/>
                      <w:color w:val="auto"/>
                      <w:sz w:val="21"/>
                      <w:szCs w:val="21"/>
                      <w:highlight w:val="none"/>
                    </w:rPr>
                  </w:pPr>
                  <w:bookmarkStart w:id="3" w:name="_Toc17810"/>
                  <w:r>
                    <w:rPr>
                      <w:rFonts w:hint="default" w:ascii="Times New Roman" w:hAnsi="Times New Roman" w:cs="Times New Roman"/>
                      <w:color w:val="auto"/>
                      <w:sz w:val="21"/>
                      <w:szCs w:val="21"/>
                      <w:highlight w:val="none"/>
                    </w:rPr>
                    <w:t>第九条禁止在饮用水水源准保护区的岸线和河段范围内新建、扩建对水体污染严重的建设项目，禁止改建增加排污量的建设项目。</w:t>
                  </w:r>
                  <w:bookmarkEnd w:id="3"/>
                </w:p>
              </w:tc>
              <w:tc>
                <w:tcPr>
                  <w:tcW w:w="1057" w:type="pct"/>
                  <w:vMerge w:val="restart"/>
                  <w:tcBorders>
                    <w:tl2br w:val="nil"/>
                    <w:tr2bl w:val="nil"/>
                  </w:tcBorders>
                  <w:noWrap w:val="0"/>
                  <w:vAlign w:val="center"/>
                </w:tcPr>
                <w:p w14:paraId="24DD075E">
                  <w:pPr>
                    <w:adjustRightInd w:val="0"/>
                    <w:snapToGrid w:val="0"/>
                    <w:jc w:val="center"/>
                    <w:outlineLvl w:val="0"/>
                    <w:rPr>
                      <w:rFonts w:hint="default" w:ascii="Times New Roman" w:hAnsi="Times New Roman" w:cs="Times New Roman"/>
                      <w:bCs/>
                      <w:color w:val="auto"/>
                      <w:sz w:val="21"/>
                      <w:szCs w:val="21"/>
                      <w:highlight w:val="none"/>
                    </w:rPr>
                  </w:pPr>
                  <w:bookmarkStart w:id="4" w:name="_Toc30410"/>
                  <w:r>
                    <w:rPr>
                      <w:rFonts w:hint="default" w:ascii="Times New Roman" w:hAnsi="Times New Roman" w:cs="Times New Roman"/>
                      <w:bCs/>
                      <w:color w:val="auto"/>
                      <w:sz w:val="21"/>
                      <w:szCs w:val="21"/>
                      <w:highlight w:val="none"/>
                    </w:rPr>
                    <w:t>本项目位于达川工业园区百节镇，为C1819 其它机制服装制造，未在饮用水水源准保护区的岸线和河段范围内。项目产品不属于落后产能和过剩产能。</w:t>
                  </w:r>
                  <w:bookmarkEnd w:id="4"/>
                </w:p>
              </w:tc>
              <w:tc>
                <w:tcPr>
                  <w:tcW w:w="625" w:type="pct"/>
                  <w:tcBorders>
                    <w:tl2br w:val="nil"/>
                    <w:tr2bl w:val="nil"/>
                  </w:tcBorders>
                  <w:noWrap w:val="0"/>
                  <w:vAlign w:val="center"/>
                </w:tcPr>
                <w:p w14:paraId="08E62006">
                  <w:pPr>
                    <w:adjustRightInd w:val="0"/>
                    <w:snapToGrid w:val="0"/>
                    <w:jc w:val="center"/>
                    <w:outlineLvl w:val="0"/>
                    <w:rPr>
                      <w:rFonts w:hint="default" w:ascii="Times New Roman" w:hAnsi="Times New Roman" w:cs="Times New Roman"/>
                      <w:bCs/>
                      <w:color w:val="auto"/>
                      <w:sz w:val="21"/>
                      <w:szCs w:val="21"/>
                      <w:highlight w:val="none"/>
                    </w:rPr>
                  </w:pPr>
                  <w:bookmarkStart w:id="5" w:name="_Toc31560"/>
                  <w:r>
                    <w:rPr>
                      <w:rFonts w:hint="default" w:ascii="Times New Roman" w:hAnsi="Times New Roman" w:cs="Times New Roman"/>
                      <w:bCs/>
                      <w:color w:val="auto"/>
                      <w:sz w:val="21"/>
                      <w:szCs w:val="21"/>
                      <w:highlight w:val="none"/>
                    </w:rPr>
                    <w:t>不涉及</w:t>
                  </w:r>
                  <w:bookmarkEnd w:id="5"/>
                </w:p>
              </w:tc>
            </w:tr>
            <w:tr w14:paraId="6D38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6" w:type="pct"/>
                  <w:tcBorders>
                    <w:tl2br w:val="nil"/>
                    <w:tr2bl w:val="nil"/>
                  </w:tcBorders>
                  <w:noWrap w:val="0"/>
                  <w:vAlign w:val="center"/>
                </w:tcPr>
                <w:p w14:paraId="0069769F">
                  <w:pPr>
                    <w:adjustRightInd w:val="0"/>
                    <w:snapToGrid w:val="0"/>
                    <w:outlineLvl w:val="0"/>
                    <w:rPr>
                      <w:rFonts w:hint="default" w:ascii="Times New Roman" w:hAnsi="Times New Roman" w:cs="Times New Roman"/>
                      <w:bCs/>
                      <w:color w:val="auto"/>
                      <w:sz w:val="21"/>
                      <w:szCs w:val="21"/>
                      <w:highlight w:val="none"/>
                    </w:rPr>
                  </w:pPr>
                  <w:bookmarkStart w:id="6" w:name="_Toc13064"/>
                  <w:r>
                    <w:rPr>
                      <w:rFonts w:hint="default" w:ascii="Times New Roman" w:hAnsi="Times New Roman" w:cs="Times New Roman"/>
                      <w:bCs/>
                      <w:color w:val="auto"/>
                      <w:sz w:val="21"/>
                      <w:szCs w:val="21"/>
                      <w:highlight w:val="none"/>
                    </w:rPr>
                    <w:t>第十条饮用水水源二级保护区的岸线和河段范围内，除遵守准保护区规定外，禁止新建、改建、扩建排放污染物的投资建设项目；禁止从事对水体有污染的水产养殖等活动。</w:t>
                  </w:r>
                  <w:bookmarkEnd w:id="6"/>
                </w:p>
              </w:tc>
              <w:tc>
                <w:tcPr>
                  <w:tcW w:w="1057" w:type="pct"/>
                  <w:vMerge w:val="continue"/>
                  <w:tcBorders>
                    <w:tl2br w:val="nil"/>
                    <w:tr2bl w:val="nil"/>
                  </w:tcBorders>
                  <w:noWrap w:val="0"/>
                  <w:vAlign w:val="center"/>
                </w:tcPr>
                <w:p w14:paraId="0FD3C927">
                  <w:pPr>
                    <w:adjustRightInd w:val="0"/>
                    <w:snapToGrid w:val="0"/>
                    <w:jc w:val="center"/>
                    <w:rPr>
                      <w:rFonts w:hint="default" w:ascii="Times New Roman" w:hAnsi="Times New Roman" w:cs="Times New Roman"/>
                      <w:bCs/>
                      <w:color w:val="auto"/>
                      <w:sz w:val="21"/>
                      <w:szCs w:val="21"/>
                      <w:highlight w:val="none"/>
                    </w:rPr>
                  </w:pPr>
                </w:p>
              </w:tc>
              <w:tc>
                <w:tcPr>
                  <w:tcW w:w="625" w:type="pct"/>
                  <w:tcBorders>
                    <w:tl2br w:val="nil"/>
                    <w:tr2bl w:val="nil"/>
                  </w:tcBorders>
                  <w:noWrap w:val="0"/>
                  <w:vAlign w:val="center"/>
                </w:tcPr>
                <w:p w14:paraId="4F39239B">
                  <w:pPr>
                    <w:adjustRightInd w:val="0"/>
                    <w:snapToGrid w:val="0"/>
                    <w:jc w:val="center"/>
                    <w:outlineLvl w:val="0"/>
                    <w:rPr>
                      <w:rFonts w:hint="default" w:ascii="Times New Roman" w:hAnsi="Times New Roman" w:cs="Times New Roman"/>
                      <w:bCs/>
                      <w:color w:val="auto"/>
                      <w:sz w:val="21"/>
                      <w:szCs w:val="21"/>
                      <w:highlight w:val="none"/>
                    </w:rPr>
                  </w:pPr>
                  <w:bookmarkStart w:id="7" w:name="_Toc21261"/>
                  <w:r>
                    <w:rPr>
                      <w:rFonts w:hint="default" w:ascii="Times New Roman" w:hAnsi="Times New Roman" w:cs="Times New Roman"/>
                      <w:bCs/>
                      <w:color w:val="auto"/>
                      <w:sz w:val="21"/>
                      <w:szCs w:val="21"/>
                      <w:highlight w:val="none"/>
                    </w:rPr>
                    <w:t>不涉及</w:t>
                  </w:r>
                  <w:bookmarkEnd w:id="7"/>
                </w:p>
              </w:tc>
            </w:tr>
            <w:tr w14:paraId="0AC3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6" w:type="pct"/>
                  <w:tcBorders>
                    <w:tl2br w:val="nil"/>
                    <w:tr2bl w:val="nil"/>
                  </w:tcBorders>
                  <w:noWrap w:val="0"/>
                  <w:vAlign w:val="center"/>
                </w:tcPr>
                <w:p w14:paraId="00819568">
                  <w:pPr>
                    <w:adjustRightInd w:val="0"/>
                    <w:snapToGrid w:val="0"/>
                    <w:outlineLvl w:val="0"/>
                    <w:rPr>
                      <w:rFonts w:hint="default" w:ascii="Times New Roman" w:hAnsi="Times New Roman" w:cs="Times New Roman"/>
                      <w:bCs/>
                      <w:color w:val="auto"/>
                      <w:sz w:val="21"/>
                      <w:szCs w:val="21"/>
                      <w:highlight w:val="none"/>
                    </w:rPr>
                  </w:pPr>
                  <w:bookmarkStart w:id="8" w:name="_Toc6239"/>
                  <w:r>
                    <w:rPr>
                      <w:rFonts w:hint="default" w:ascii="Times New Roman" w:hAnsi="Times New Roman" w:cs="Times New Roman"/>
                      <w:bCs/>
                      <w:color w:val="auto"/>
                      <w:sz w:val="21"/>
                      <w:szCs w:val="21"/>
                      <w:highlight w:val="none"/>
                    </w:rPr>
                    <w:t>第十六条禁止在长江流域江河、湖泊新设、改设或者扩大排污口，经有管辖权的生态环境主管部门或者长江流域生态环境监督管理机构同意的除外。</w:t>
                  </w:r>
                  <w:bookmarkEnd w:id="8"/>
                </w:p>
              </w:tc>
              <w:tc>
                <w:tcPr>
                  <w:tcW w:w="1057" w:type="pct"/>
                  <w:vMerge w:val="continue"/>
                  <w:tcBorders>
                    <w:tl2br w:val="nil"/>
                    <w:tr2bl w:val="nil"/>
                  </w:tcBorders>
                  <w:noWrap w:val="0"/>
                  <w:vAlign w:val="center"/>
                </w:tcPr>
                <w:p w14:paraId="203A0474">
                  <w:pPr>
                    <w:adjustRightInd w:val="0"/>
                    <w:snapToGrid w:val="0"/>
                    <w:jc w:val="center"/>
                    <w:rPr>
                      <w:rFonts w:hint="default" w:ascii="Times New Roman" w:hAnsi="Times New Roman" w:cs="Times New Roman"/>
                      <w:bCs/>
                      <w:color w:val="auto"/>
                      <w:sz w:val="21"/>
                      <w:szCs w:val="21"/>
                      <w:highlight w:val="none"/>
                    </w:rPr>
                  </w:pPr>
                </w:p>
              </w:tc>
              <w:tc>
                <w:tcPr>
                  <w:tcW w:w="625" w:type="pct"/>
                  <w:tcBorders>
                    <w:tl2br w:val="nil"/>
                    <w:tr2bl w:val="nil"/>
                  </w:tcBorders>
                  <w:noWrap w:val="0"/>
                  <w:vAlign w:val="center"/>
                </w:tcPr>
                <w:p w14:paraId="2E4D859E">
                  <w:pPr>
                    <w:adjustRightInd w:val="0"/>
                    <w:snapToGrid w:val="0"/>
                    <w:jc w:val="center"/>
                    <w:outlineLvl w:val="0"/>
                    <w:rPr>
                      <w:rFonts w:hint="default" w:ascii="Times New Roman" w:hAnsi="Times New Roman" w:cs="Times New Roman"/>
                      <w:bCs/>
                      <w:color w:val="auto"/>
                      <w:sz w:val="21"/>
                      <w:szCs w:val="21"/>
                      <w:highlight w:val="none"/>
                    </w:rPr>
                  </w:pPr>
                  <w:bookmarkStart w:id="9" w:name="_Toc9909"/>
                  <w:r>
                    <w:rPr>
                      <w:rFonts w:hint="default" w:ascii="Times New Roman" w:hAnsi="Times New Roman" w:cs="Times New Roman"/>
                      <w:bCs/>
                      <w:color w:val="auto"/>
                      <w:sz w:val="21"/>
                      <w:szCs w:val="21"/>
                      <w:highlight w:val="none"/>
                    </w:rPr>
                    <w:t>不涉及</w:t>
                  </w:r>
                  <w:bookmarkEnd w:id="9"/>
                </w:p>
              </w:tc>
            </w:tr>
            <w:tr w14:paraId="6C4F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6" w:type="pct"/>
                  <w:tcBorders>
                    <w:tl2br w:val="nil"/>
                    <w:tr2bl w:val="nil"/>
                  </w:tcBorders>
                  <w:noWrap w:val="0"/>
                  <w:vAlign w:val="center"/>
                </w:tcPr>
                <w:p w14:paraId="31DA6BF1">
                  <w:pPr>
                    <w:adjustRightInd w:val="0"/>
                    <w:snapToGrid w:val="0"/>
                    <w:outlineLvl w:val="0"/>
                    <w:rPr>
                      <w:rFonts w:hint="default" w:ascii="Times New Roman" w:hAnsi="Times New Roman" w:cs="Times New Roman"/>
                      <w:bCs/>
                      <w:color w:val="auto"/>
                      <w:sz w:val="21"/>
                      <w:szCs w:val="21"/>
                      <w:highlight w:val="none"/>
                    </w:rPr>
                  </w:pPr>
                  <w:bookmarkStart w:id="10" w:name="_Toc13691"/>
                  <w:r>
                    <w:rPr>
                      <w:rFonts w:hint="default" w:ascii="Times New Roman" w:hAnsi="Times New Roman" w:cs="Times New Roman"/>
                      <w:bCs/>
                      <w:color w:val="auto"/>
                      <w:sz w:val="21"/>
                      <w:szCs w:val="21"/>
                      <w:highlight w:val="none"/>
                    </w:rPr>
                    <w:t>第十八条禁止在长江干支流、重要湖泊岸线一公里范围内新建、扩建化工园区和化工项目。</w:t>
                  </w:r>
                  <w:bookmarkEnd w:id="10"/>
                </w:p>
              </w:tc>
              <w:tc>
                <w:tcPr>
                  <w:tcW w:w="1057" w:type="pct"/>
                  <w:vMerge w:val="continue"/>
                  <w:tcBorders>
                    <w:tl2br w:val="nil"/>
                    <w:tr2bl w:val="nil"/>
                  </w:tcBorders>
                  <w:noWrap w:val="0"/>
                  <w:vAlign w:val="center"/>
                </w:tcPr>
                <w:p w14:paraId="026DF107">
                  <w:pPr>
                    <w:adjustRightInd w:val="0"/>
                    <w:snapToGrid w:val="0"/>
                    <w:jc w:val="center"/>
                    <w:rPr>
                      <w:rFonts w:hint="default" w:ascii="Times New Roman" w:hAnsi="Times New Roman" w:cs="Times New Roman"/>
                      <w:bCs/>
                      <w:color w:val="auto"/>
                      <w:sz w:val="21"/>
                      <w:szCs w:val="21"/>
                      <w:highlight w:val="none"/>
                    </w:rPr>
                  </w:pPr>
                </w:p>
              </w:tc>
              <w:tc>
                <w:tcPr>
                  <w:tcW w:w="625" w:type="pct"/>
                  <w:tcBorders>
                    <w:tl2br w:val="nil"/>
                    <w:tr2bl w:val="nil"/>
                  </w:tcBorders>
                  <w:noWrap w:val="0"/>
                  <w:vAlign w:val="center"/>
                </w:tcPr>
                <w:p w14:paraId="392534CC">
                  <w:pPr>
                    <w:adjustRightInd w:val="0"/>
                    <w:snapToGrid w:val="0"/>
                    <w:jc w:val="center"/>
                    <w:outlineLvl w:val="0"/>
                    <w:rPr>
                      <w:rFonts w:hint="default" w:ascii="Times New Roman" w:hAnsi="Times New Roman" w:cs="Times New Roman"/>
                      <w:bCs/>
                      <w:color w:val="auto"/>
                      <w:sz w:val="21"/>
                      <w:szCs w:val="21"/>
                      <w:highlight w:val="none"/>
                    </w:rPr>
                  </w:pPr>
                  <w:bookmarkStart w:id="11" w:name="_Toc7619"/>
                  <w:r>
                    <w:rPr>
                      <w:rFonts w:hint="default" w:ascii="Times New Roman" w:hAnsi="Times New Roman" w:cs="Times New Roman"/>
                      <w:bCs/>
                      <w:color w:val="auto"/>
                      <w:sz w:val="21"/>
                      <w:szCs w:val="21"/>
                      <w:highlight w:val="none"/>
                    </w:rPr>
                    <w:t>不涉及</w:t>
                  </w:r>
                  <w:bookmarkEnd w:id="11"/>
                </w:p>
              </w:tc>
            </w:tr>
            <w:tr w14:paraId="7C26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6" w:type="pct"/>
                  <w:tcBorders>
                    <w:tl2br w:val="nil"/>
                    <w:tr2bl w:val="nil"/>
                  </w:tcBorders>
                  <w:noWrap w:val="0"/>
                  <w:vAlign w:val="center"/>
                </w:tcPr>
                <w:p w14:paraId="15BFE1F6">
                  <w:pPr>
                    <w:adjustRightInd w:val="0"/>
                    <w:snapToGrid w:val="0"/>
                    <w:outlineLvl w:val="0"/>
                    <w:rPr>
                      <w:rFonts w:hint="default" w:ascii="Times New Roman" w:hAnsi="Times New Roman" w:cs="Times New Roman"/>
                      <w:bCs/>
                      <w:color w:val="auto"/>
                      <w:sz w:val="21"/>
                      <w:szCs w:val="21"/>
                      <w:highlight w:val="none"/>
                    </w:rPr>
                  </w:pPr>
                  <w:bookmarkStart w:id="12" w:name="_Toc8530"/>
                  <w:r>
                    <w:rPr>
                      <w:rFonts w:hint="default" w:ascii="Times New Roman" w:hAnsi="Times New Roman" w:cs="Times New Roman"/>
                      <w:bCs/>
                      <w:color w:val="auto"/>
                      <w:sz w:val="21"/>
                      <w:szCs w:val="21"/>
                      <w:highlight w:val="none"/>
                    </w:rPr>
                    <w:t>第十九条﹑禁止在长江干流岸线三公里范围内和重要支流岸线一公里范围内新建、改建、扩建尾矿库、冶炼渣库、磷石膏库，以提升安全、生态环境保护水平为目的的改建除外。</w:t>
                  </w:r>
                  <w:bookmarkEnd w:id="12"/>
                </w:p>
              </w:tc>
              <w:tc>
                <w:tcPr>
                  <w:tcW w:w="1057" w:type="pct"/>
                  <w:vMerge w:val="continue"/>
                  <w:tcBorders>
                    <w:tl2br w:val="nil"/>
                    <w:tr2bl w:val="nil"/>
                  </w:tcBorders>
                  <w:noWrap w:val="0"/>
                  <w:vAlign w:val="center"/>
                </w:tcPr>
                <w:p w14:paraId="0DD84E8F">
                  <w:pPr>
                    <w:adjustRightInd w:val="0"/>
                    <w:snapToGrid w:val="0"/>
                    <w:jc w:val="center"/>
                    <w:rPr>
                      <w:rFonts w:hint="default" w:ascii="Times New Roman" w:hAnsi="Times New Roman" w:cs="Times New Roman"/>
                      <w:bCs/>
                      <w:color w:val="auto"/>
                      <w:sz w:val="21"/>
                      <w:szCs w:val="21"/>
                      <w:highlight w:val="none"/>
                    </w:rPr>
                  </w:pPr>
                </w:p>
              </w:tc>
              <w:tc>
                <w:tcPr>
                  <w:tcW w:w="625" w:type="pct"/>
                  <w:tcBorders>
                    <w:tl2br w:val="nil"/>
                    <w:tr2bl w:val="nil"/>
                  </w:tcBorders>
                  <w:noWrap w:val="0"/>
                  <w:vAlign w:val="center"/>
                </w:tcPr>
                <w:p w14:paraId="5D0E3806">
                  <w:pPr>
                    <w:adjustRightInd w:val="0"/>
                    <w:snapToGrid w:val="0"/>
                    <w:jc w:val="center"/>
                    <w:outlineLvl w:val="0"/>
                    <w:rPr>
                      <w:rFonts w:hint="default" w:ascii="Times New Roman" w:hAnsi="Times New Roman" w:cs="Times New Roman"/>
                      <w:bCs/>
                      <w:color w:val="auto"/>
                      <w:sz w:val="21"/>
                      <w:szCs w:val="21"/>
                      <w:highlight w:val="none"/>
                    </w:rPr>
                  </w:pPr>
                  <w:bookmarkStart w:id="13" w:name="_Toc13026"/>
                  <w:r>
                    <w:rPr>
                      <w:rFonts w:hint="default" w:ascii="Times New Roman" w:hAnsi="Times New Roman" w:cs="Times New Roman"/>
                      <w:bCs/>
                      <w:color w:val="auto"/>
                      <w:sz w:val="21"/>
                      <w:szCs w:val="21"/>
                      <w:highlight w:val="none"/>
                    </w:rPr>
                    <w:t>不涉及</w:t>
                  </w:r>
                  <w:bookmarkEnd w:id="13"/>
                </w:p>
              </w:tc>
            </w:tr>
            <w:tr w14:paraId="6201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6" w:type="pct"/>
                  <w:tcBorders>
                    <w:tl2br w:val="nil"/>
                    <w:tr2bl w:val="nil"/>
                  </w:tcBorders>
                  <w:noWrap w:val="0"/>
                  <w:vAlign w:val="center"/>
                </w:tcPr>
                <w:p w14:paraId="64912C7D">
                  <w:pPr>
                    <w:adjustRightInd w:val="0"/>
                    <w:snapToGrid w:val="0"/>
                    <w:jc w:val="left"/>
                    <w:outlineLvl w:val="0"/>
                    <w:rPr>
                      <w:rFonts w:hint="default" w:ascii="Times New Roman" w:hAnsi="Times New Roman" w:cs="Times New Roman"/>
                      <w:bCs/>
                      <w:color w:val="auto"/>
                      <w:sz w:val="21"/>
                      <w:szCs w:val="21"/>
                      <w:highlight w:val="none"/>
                    </w:rPr>
                  </w:pPr>
                  <w:bookmarkStart w:id="14" w:name="_Toc29989"/>
                  <w:r>
                    <w:rPr>
                      <w:rFonts w:hint="default" w:ascii="Times New Roman" w:hAnsi="Times New Roman" w:cs="Times New Roman"/>
                      <w:bCs/>
                      <w:color w:val="auto"/>
                      <w:sz w:val="21"/>
                      <w:szCs w:val="21"/>
                      <w:highlight w:val="none"/>
                    </w:rPr>
                    <w:t>第二十一条禁止在合规园区外新建、扩建钢铁、石化、化工、焦化、建材、有色、制浆造纸等高污染项目。</w:t>
                  </w:r>
                  <w:bookmarkEnd w:id="14"/>
                </w:p>
              </w:tc>
              <w:tc>
                <w:tcPr>
                  <w:tcW w:w="1057" w:type="pct"/>
                  <w:vMerge w:val="continue"/>
                  <w:tcBorders>
                    <w:tl2br w:val="nil"/>
                    <w:tr2bl w:val="nil"/>
                  </w:tcBorders>
                  <w:noWrap w:val="0"/>
                  <w:vAlign w:val="center"/>
                </w:tcPr>
                <w:p w14:paraId="0DFA2D46">
                  <w:pPr>
                    <w:adjustRightInd w:val="0"/>
                    <w:snapToGrid w:val="0"/>
                    <w:jc w:val="center"/>
                    <w:rPr>
                      <w:rFonts w:hint="default" w:ascii="Times New Roman" w:hAnsi="Times New Roman" w:cs="Times New Roman"/>
                      <w:bCs/>
                      <w:color w:val="auto"/>
                      <w:sz w:val="21"/>
                      <w:szCs w:val="21"/>
                      <w:highlight w:val="none"/>
                    </w:rPr>
                  </w:pPr>
                </w:p>
              </w:tc>
              <w:tc>
                <w:tcPr>
                  <w:tcW w:w="625" w:type="pct"/>
                  <w:tcBorders>
                    <w:tl2br w:val="nil"/>
                    <w:tr2bl w:val="nil"/>
                  </w:tcBorders>
                  <w:noWrap w:val="0"/>
                  <w:vAlign w:val="center"/>
                </w:tcPr>
                <w:p w14:paraId="379FFA39">
                  <w:pPr>
                    <w:adjustRightInd w:val="0"/>
                    <w:snapToGrid w:val="0"/>
                    <w:jc w:val="center"/>
                    <w:outlineLvl w:val="0"/>
                    <w:rPr>
                      <w:rFonts w:hint="default" w:ascii="Times New Roman" w:hAnsi="Times New Roman" w:cs="Times New Roman"/>
                      <w:bCs/>
                      <w:color w:val="auto"/>
                      <w:sz w:val="21"/>
                      <w:szCs w:val="21"/>
                      <w:highlight w:val="none"/>
                    </w:rPr>
                  </w:pPr>
                  <w:bookmarkStart w:id="15" w:name="_Toc9844"/>
                  <w:r>
                    <w:rPr>
                      <w:rFonts w:hint="default" w:ascii="Times New Roman" w:hAnsi="Times New Roman" w:cs="Times New Roman"/>
                      <w:bCs/>
                      <w:color w:val="auto"/>
                      <w:sz w:val="21"/>
                      <w:szCs w:val="21"/>
                      <w:highlight w:val="none"/>
                    </w:rPr>
                    <w:t>不涉及</w:t>
                  </w:r>
                  <w:bookmarkEnd w:id="15"/>
                </w:p>
              </w:tc>
            </w:tr>
            <w:tr w14:paraId="1378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6" w:type="pct"/>
                  <w:tcBorders>
                    <w:tl2br w:val="nil"/>
                    <w:tr2bl w:val="nil"/>
                  </w:tcBorders>
                  <w:noWrap w:val="0"/>
                  <w:vAlign w:val="center"/>
                </w:tcPr>
                <w:p w14:paraId="2DE75603">
                  <w:pPr>
                    <w:adjustRightInd w:val="0"/>
                    <w:snapToGrid w:val="0"/>
                    <w:jc w:val="left"/>
                    <w:outlineLvl w:val="0"/>
                    <w:rPr>
                      <w:rFonts w:hint="default" w:ascii="Times New Roman" w:hAnsi="Times New Roman" w:cs="Times New Roman"/>
                      <w:bCs/>
                      <w:color w:val="auto"/>
                      <w:sz w:val="21"/>
                      <w:szCs w:val="21"/>
                      <w:highlight w:val="none"/>
                    </w:rPr>
                  </w:pPr>
                  <w:bookmarkStart w:id="16" w:name="_Toc21358"/>
                  <w:r>
                    <w:rPr>
                      <w:rFonts w:hint="default" w:ascii="Times New Roman" w:hAnsi="Times New Roman" w:cs="Times New Roman"/>
                      <w:bCs/>
                      <w:color w:val="auto"/>
                      <w:sz w:val="21"/>
                      <w:szCs w:val="21"/>
                      <w:highlight w:val="none"/>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bookmarkEnd w:id="16"/>
                </w:p>
              </w:tc>
              <w:tc>
                <w:tcPr>
                  <w:tcW w:w="1057" w:type="pct"/>
                  <w:vMerge w:val="continue"/>
                  <w:tcBorders>
                    <w:tl2br w:val="nil"/>
                    <w:tr2bl w:val="nil"/>
                  </w:tcBorders>
                  <w:noWrap w:val="0"/>
                  <w:vAlign w:val="center"/>
                </w:tcPr>
                <w:p w14:paraId="54120C5C">
                  <w:pPr>
                    <w:adjustRightInd w:val="0"/>
                    <w:snapToGrid w:val="0"/>
                    <w:jc w:val="center"/>
                    <w:rPr>
                      <w:rFonts w:hint="default" w:ascii="Times New Roman" w:hAnsi="Times New Roman" w:cs="Times New Roman"/>
                      <w:bCs/>
                      <w:color w:val="auto"/>
                      <w:sz w:val="21"/>
                      <w:szCs w:val="21"/>
                      <w:highlight w:val="none"/>
                    </w:rPr>
                  </w:pPr>
                </w:p>
              </w:tc>
              <w:tc>
                <w:tcPr>
                  <w:tcW w:w="625" w:type="pct"/>
                  <w:tcBorders>
                    <w:tl2br w:val="nil"/>
                    <w:tr2bl w:val="nil"/>
                  </w:tcBorders>
                  <w:noWrap w:val="0"/>
                  <w:vAlign w:val="center"/>
                </w:tcPr>
                <w:p w14:paraId="06190585">
                  <w:pPr>
                    <w:adjustRightInd w:val="0"/>
                    <w:snapToGrid w:val="0"/>
                    <w:jc w:val="center"/>
                    <w:outlineLvl w:val="0"/>
                    <w:rPr>
                      <w:rFonts w:hint="default" w:ascii="Times New Roman" w:hAnsi="Times New Roman" w:cs="Times New Roman"/>
                      <w:bCs/>
                      <w:color w:val="auto"/>
                      <w:sz w:val="21"/>
                      <w:szCs w:val="21"/>
                      <w:highlight w:val="none"/>
                    </w:rPr>
                  </w:pPr>
                  <w:bookmarkStart w:id="17" w:name="_Toc20030"/>
                  <w:r>
                    <w:rPr>
                      <w:rFonts w:hint="default" w:ascii="Times New Roman" w:hAnsi="Times New Roman" w:cs="Times New Roman"/>
                      <w:bCs/>
                      <w:color w:val="auto"/>
                      <w:sz w:val="21"/>
                      <w:szCs w:val="21"/>
                      <w:highlight w:val="none"/>
                    </w:rPr>
                    <w:t>不涉及</w:t>
                  </w:r>
                  <w:bookmarkEnd w:id="17"/>
                </w:p>
              </w:tc>
            </w:tr>
            <w:tr w14:paraId="212D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6" w:type="pct"/>
                  <w:tcBorders>
                    <w:tl2br w:val="nil"/>
                    <w:tr2bl w:val="nil"/>
                  </w:tcBorders>
                  <w:noWrap w:val="0"/>
                  <w:vAlign w:val="center"/>
                </w:tcPr>
                <w:p w14:paraId="39FF3A92">
                  <w:pPr>
                    <w:adjustRightInd w:val="0"/>
                    <w:snapToGrid w:val="0"/>
                    <w:jc w:val="left"/>
                    <w:outlineLvl w:val="0"/>
                    <w:rPr>
                      <w:rFonts w:hint="default" w:ascii="Times New Roman" w:hAnsi="Times New Roman" w:cs="Times New Roman"/>
                      <w:bCs/>
                      <w:color w:val="auto"/>
                      <w:sz w:val="21"/>
                      <w:szCs w:val="21"/>
                      <w:highlight w:val="none"/>
                    </w:rPr>
                  </w:pPr>
                  <w:bookmarkStart w:id="18" w:name="_Toc19271"/>
                  <w:r>
                    <w:rPr>
                      <w:rFonts w:hint="default" w:ascii="Times New Roman" w:hAnsi="Times New Roman" w:cs="Times New Roman"/>
                      <w:bCs/>
                      <w:color w:val="auto"/>
                      <w:sz w:val="21"/>
                      <w:szCs w:val="21"/>
                      <w:highlight w:val="none"/>
                    </w:rPr>
                    <w:t>第二十六条禁止新建、扩建不符合要求的高耗能、高排放、低水平项目。</w:t>
                  </w:r>
                  <w:bookmarkEnd w:id="18"/>
                </w:p>
              </w:tc>
              <w:tc>
                <w:tcPr>
                  <w:tcW w:w="1057" w:type="pct"/>
                  <w:vMerge w:val="continue"/>
                  <w:tcBorders>
                    <w:tl2br w:val="nil"/>
                    <w:tr2bl w:val="nil"/>
                  </w:tcBorders>
                  <w:noWrap w:val="0"/>
                  <w:vAlign w:val="center"/>
                </w:tcPr>
                <w:p w14:paraId="34C27204">
                  <w:pPr>
                    <w:adjustRightInd w:val="0"/>
                    <w:snapToGrid w:val="0"/>
                    <w:jc w:val="center"/>
                    <w:rPr>
                      <w:rFonts w:hint="default" w:ascii="Times New Roman" w:hAnsi="Times New Roman" w:cs="Times New Roman"/>
                      <w:bCs/>
                      <w:color w:val="auto"/>
                      <w:sz w:val="21"/>
                      <w:szCs w:val="21"/>
                      <w:highlight w:val="none"/>
                    </w:rPr>
                  </w:pPr>
                </w:p>
              </w:tc>
              <w:tc>
                <w:tcPr>
                  <w:tcW w:w="625" w:type="pct"/>
                  <w:tcBorders>
                    <w:tl2br w:val="nil"/>
                    <w:tr2bl w:val="nil"/>
                  </w:tcBorders>
                  <w:noWrap w:val="0"/>
                  <w:vAlign w:val="center"/>
                </w:tcPr>
                <w:p w14:paraId="4D45BF1E">
                  <w:pPr>
                    <w:adjustRightInd w:val="0"/>
                    <w:snapToGrid w:val="0"/>
                    <w:jc w:val="center"/>
                    <w:outlineLvl w:val="0"/>
                    <w:rPr>
                      <w:rFonts w:hint="default" w:ascii="Times New Roman" w:hAnsi="Times New Roman" w:cs="Times New Roman"/>
                      <w:bCs/>
                      <w:color w:val="auto"/>
                      <w:sz w:val="21"/>
                      <w:szCs w:val="21"/>
                      <w:highlight w:val="none"/>
                    </w:rPr>
                  </w:pPr>
                  <w:bookmarkStart w:id="19" w:name="_Toc29617"/>
                  <w:r>
                    <w:rPr>
                      <w:rFonts w:hint="default" w:ascii="Times New Roman" w:hAnsi="Times New Roman" w:cs="Times New Roman"/>
                      <w:bCs/>
                      <w:color w:val="auto"/>
                      <w:sz w:val="21"/>
                      <w:szCs w:val="21"/>
                      <w:highlight w:val="none"/>
                    </w:rPr>
                    <w:t>不涉及</w:t>
                  </w:r>
                  <w:bookmarkEnd w:id="19"/>
                </w:p>
              </w:tc>
            </w:tr>
          </w:tbl>
          <w:p w14:paraId="33B4AC83">
            <w:pPr>
              <w:autoSpaceDE w:val="0"/>
              <w:autoSpaceDN w:val="0"/>
              <w:spacing w:line="360" w:lineRule="auto"/>
              <w:ind w:firstLine="480" w:firstLineChars="200"/>
              <w:contextualSpacing/>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highlight w:val="none"/>
              </w:rPr>
              <w:t>综上，本项目不属于《长江经济带发展负面清单指南（试行，2</w:t>
            </w:r>
            <w:r>
              <w:rPr>
                <w:rFonts w:hint="eastAsia" w:asciiTheme="minorEastAsia" w:hAnsiTheme="minorEastAsia" w:eastAsiaTheme="minorEastAsia" w:cstheme="minorEastAsia"/>
                <w:color w:val="auto"/>
                <w:sz w:val="24"/>
                <w:szCs w:val="24"/>
              </w:rPr>
              <w:t>022年版）》的通知（长江办[2022]7号）和四川省推动长江经济带发展领导小组办公室重庆市推动长江经济带发展领导小组办公室关于印发《四川省、重庆市长江经济带发展负面清单实施细则（试行，2022年版）》的通知（川长江办[2022]17号）中管控项目。</w:t>
            </w:r>
          </w:p>
          <w:p w14:paraId="433C9F9C">
            <w:pPr>
              <w:spacing w:line="360" w:lineRule="auto"/>
              <w:ind w:firstLine="480" w:firstLineChars="200"/>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b/>
                <w:color w:val="000000"/>
                <w:szCs w:val="21"/>
                <w:lang w:val="en-US" w:eastAsia="zh-CN"/>
              </w:rPr>
              <w:t>、</w:t>
            </w:r>
            <w:r>
              <w:rPr>
                <w:rFonts w:hint="eastAsia" w:asciiTheme="minorEastAsia" w:hAnsiTheme="minorEastAsia" w:eastAsiaTheme="minorEastAsia" w:cstheme="minorEastAsia"/>
                <w:b/>
                <w:color w:val="000000"/>
                <w:szCs w:val="21"/>
              </w:rPr>
              <w:t>选址合理性分析</w:t>
            </w:r>
          </w:p>
          <w:p w14:paraId="546890F4">
            <w:pPr>
              <w:spacing w:line="360" w:lineRule="auto"/>
              <w:ind w:firstLine="480" w:firstLineChars="200"/>
              <w:jc w:val="left"/>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本项目位于达川工业园区-达川百马产业新区百节镇，本项目已达川区发展和改革局完成了备案，备案号：</w:t>
            </w:r>
            <w:r>
              <w:rPr>
                <w:rFonts w:hint="default" w:ascii="Times New Roman" w:hAnsi="Times New Roman" w:eastAsia="宋体" w:cs="Times New Roman"/>
                <w:bCs/>
                <w:szCs w:val="21"/>
                <w:highlight w:val="none"/>
              </w:rPr>
              <w:t>川投资备【2512-511703-04-01-650277】FGQB-1852 号</w:t>
            </w:r>
            <w:r>
              <w:rPr>
                <w:rFonts w:hint="default" w:ascii="Times New Roman" w:hAnsi="Times New Roman" w:eastAsia="宋体" w:cs="Times New Roman"/>
                <w:color w:val="000000"/>
                <w:highlight w:val="none"/>
              </w:rPr>
              <w:t>。其选址合理性</w:t>
            </w:r>
            <w:r>
              <w:rPr>
                <w:rFonts w:hint="default" w:ascii="Times New Roman" w:hAnsi="Times New Roman" w:eastAsia="宋体" w:cs="Times New Roman"/>
                <w:color w:val="000000"/>
                <w:highlight w:val="none"/>
                <w:lang w:val="en-US" w:eastAsia="zh-CN"/>
              </w:rPr>
              <w:t>分析如下</w:t>
            </w:r>
            <w:r>
              <w:rPr>
                <w:rFonts w:hint="default" w:ascii="Times New Roman" w:hAnsi="Times New Roman" w:eastAsia="宋体" w:cs="Times New Roman"/>
                <w:color w:val="000000"/>
                <w:highlight w:val="none"/>
              </w:rPr>
              <w:t>：</w:t>
            </w:r>
          </w:p>
          <w:p w14:paraId="1ED71032">
            <w:pPr>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（1）项目符合《四川省达州市达川工业园区总体规划》功能定位</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color w:val="000000"/>
                <w:highlight w:val="none"/>
              </w:rPr>
              <w:t>属于达川工业园区功能分区规划的</w:t>
            </w:r>
            <w:r>
              <w:rPr>
                <w:rFonts w:hint="default" w:ascii="Times New Roman" w:hAnsi="Times New Roman" w:eastAsia="宋体" w:cs="Times New Roman"/>
                <w:color w:val="000000"/>
                <w:highlight w:val="none"/>
                <w:lang w:val="en-US" w:eastAsia="zh-CN"/>
              </w:rPr>
              <w:t>允许类</w:t>
            </w:r>
            <w:r>
              <w:rPr>
                <w:rFonts w:hint="default" w:ascii="Times New Roman" w:hAnsi="Times New Roman" w:eastAsia="宋体" w:cs="Times New Roman"/>
                <w:color w:val="000000"/>
                <w:highlight w:val="none"/>
              </w:rPr>
              <w:t>项目</w:t>
            </w:r>
            <w:r>
              <w:rPr>
                <w:rFonts w:hint="default" w:ascii="Times New Roman" w:hAnsi="Times New Roman" w:eastAsia="宋体" w:cs="Times New Roman"/>
                <w:color w:val="000000"/>
                <w:highlight w:val="none"/>
                <w:lang w:eastAsia="zh-CN"/>
              </w:rPr>
              <w:t>，</w:t>
            </w:r>
            <w:r>
              <w:rPr>
                <w:rFonts w:hint="default" w:ascii="Times New Roman" w:hAnsi="Times New Roman" w:eastAsia="宋体" w:cs="Times New Roman"/>
                <w:highlight w:val="none"/>
              </w:rPr>
              <w:t>与达川工业园区总体规划是相容的。</w:t>
            </w:r>
          </w:p>
          <w:p w14:paraId="40E20E3E">
            <w:pPr>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（2）项目占地不涉及生态保护红线、污染物排放满足环境质量底线要求、能源消耗不会突破区域资源利用上线、也不属于区域环境准入负面清单行业，符合“三线一单”管理机制要求。</w:t>
            </w:r>
          </w:p>
          <w:p w14:paraId="36B9D0BB">
            <w:pPr>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（3）项目不属于高能耗、高污染项目，建成</w:t>
            </w:r>
            <w:r>
              <w:rPr>
                <w:rFonts w:hint="default" w:ascii="Times New Roman" w:hAnsi="Times New Roman" w:eastAsia="宋体" w:cs="Times New Roman"/>
                <w:color w:val="auto"/>
                <w:highlight w:val="none"/>
              </w:rPr>
              <w:t>投入使用后，项目废水</w:t>
            </w:r>
            <w:r>
              <w:rPr>
                <w:rFonts w:hint="default" w:ascii="Times New Roman" w:hAnsi="Times New Roman" w:eastAsia="宋体" w:cs="Times New Roman"/>
                <w:color w:val="auto"/>
                <w:highlight w:val="none"/>
                <w:lang w:val="en-US" w:eastAsia="zh-CN"/>
              </w:rPr>
              <w:t>排入园区污水厂处理</w:t>
            </w:r>
            <w:r>
              <w:rPr>
                <w:rFonts w:hint="default" w:ascii="Times New Roman" w:hAnsi="Times New Roman" w:eastAsia="宋体" w:cs="Times New Roman"/>
                <w:color w:val="auto"/>
                <w:highlight w:val="none"/>
              </w:rPr>
              <w:t>；生产噪声达</w:t>
            </w:r>
            <w:r>
              <w:rPr>
                <w:rFonts w:hint="default" w:ascii="Times New Roman" w:hAnsi="Times New Roman" w:eastAsia="宋体" w:cs="Times New Roman"/>
                <w:highlight w:val="none"/>
              </w:rPr>
              <w:t>标排放。项目建成后对区域环境影响较小，不会改变区域环境功能类别，符合区域环境功能区划要求。</w:t>
            </w:r>
          </w:p>
          <w:p w14:paraId="51F16582">
            <w:pPr>
              <w:spacing w:line="360" w:lineRule="auto"/>
              <w:ind w:firstLine="480" w:firstLineChars="200"/>
              <w:jc w:val="left"/>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（4）外环境概况</w:t>
            </w:r>
          </w:p>
          <w:p w14:paraId="73B573A5">
            <w:pPr>
              <w:spacing w:line="360" w:lineRule="auto"/>
              <w:ind w:firstLine="480" w:firstLineChars="200"/>
              <w:jc w:val="left"/>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本项目</w:t>
            </w:r>
            <w:r>
              <w:rPr>
                <w:rFonts w:hint="default" w:ascii="Times New Roman" w:hAnsi="Times New Roman" w:eastAsia="宋体" w:cs="Times New Roman"/>
                <w:bCs/>
                <w:szCs w:val="21"/>
                <w:highlight w:val="none"/>
                <w:lang w:val="en-US" w:eastAsia="zh-CN"/>
              </w:rPr>
              <w:t>运营</w:t>
            </w:r>
            <w:r>
              <w:rPr>
                <w:rFonts w:hint="default" w:ascii="Times New Roman" w:hAnsi="Times New Roman" w:eastAsia="宋体" w:cs="Times New Roman"/>
                <w:bCs/>
                <w:szCs w:val="21"/>
                <w:highlight w:val="none"/>
              </w:rPr>
              <w:t>不会对周围企业的正常生产造成较大影响，周围企业生产也不会影响本项目的正常生产。根据现场</w:t>
            </w:r>
            <w:r>
              <w:rPr>
                <w:rFonts w:hint="default" w:ascii="Times New Roman" w:hAnsi="Times New Roman" w:eastAsia="宋体" w:cs="Times New Roman"/>
                <w:bCs/>
                <w:color w:val="auto"/>
                <w:szCs w:val="21"/>
                <w:highlight w:val="none"/>
              </w:rPr>
              <w:t>调查，项目周边目前有少量农户，随</w:t>
            </w:r>
            <w:r>
              <w:rPr>
                <w:rFonts w:hint="default" w:ascii="Times New Roman" w:hAnsi="Times New Roman" w:eastAsia="宋体" w:cs="Times New Roman"/>
                <w:bCs/>
                <w:szCs w:val="21"/>
                <w:highlight w:val="none"/>
              </w:rPr>
              <w:t>着规划区逐步建设和发展，规划区散居农户逐步搬迁到对应的居民组团。</w:t>
            </w:r>
          </w:p>
          <w:p w14:paraId="41F3EB17">
            <w:pPr>
              <w:spacing w:line="360" w:lineRule="auto"/>
              <w:ind w:firstLine="48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en-US" w:eastAsia="zh-CN"/>
              </w:rPr>
              <w:t>本项目</w:t>
            </w:r>
            <w:r>
              <w:rPr>
                <w:rFonts w:hint="default" w:ascii="Times New Roman" w:hAnsi="Times New Roman" w:eastAsia="宋体" w:cs="Times New Roman"/>
                <w:szCs w:val="21"/>
                <w:highlight w:val="none"/>
              </w:rPr>
              <w:t>通过采取相应的措施后，可以将本项目的废气、废水、噪声和固废等对周围环境的影响减到最低，控制在可以接受的水平，且确保不会对周围的环境造成环境影响和破坏。</w:t>
            </w:r>
            <w:r>
              <w:rPr>
                <w:rFonts w:hint="default" w:ascii="Times New Roman" w:hAnsi="Times New Roman" w:eastAsia="宋体" w:cs="Times New Roman"/>
                <w:bCs/>
                <w:szCs w:val="21"/>
                <w:highlight w:val="none"/>
              </w:rPr>
              <w:t>本项目符合</w:t>
            </w:r>
            <w:r>
              <w:rPr>
                <w:rFonts w:hint="default" w:ascii="Times New Roman" w:hAnsi="Times New Roman" w:eastAsia="宋体" w:cs="Times New Roman"/>
                <w:highlight w:val="none"/>
              </w:rPr>
              <w:t>达川工业园区</w:t>
            </w:r>
            <w:r>
              <w:rPr>
                <w:rFonts w:hint="default" w:ascii="Times New Roman" w:hAnsi="Times New Roman" w:eastAsia="宋体" w:cs="Times New Roman"/>
                <w:bCs/>
                <w:szCs w:val="21"/>
                <w:highlight w:val="none"/>
              </w:rPr>
              <w:t>产业规划、用地规划，符合园区准入条件，与区域环境相融。</w:t>
            </w:r>
          </w:p>
          <w:p w14:paraId="5F7E6DF6">
            <w:pPr>
              <w:spacing w:line="360" w:lineRule="auto"/>
              <w:ind w:firstLine="48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本项目不属于基本农田保护区，项目所在地周围0.5km范围内无风景名胜、旅游景区、军事管理区、水厂以及水源保护区等，外环境无重大环境制约因素。</w:t>
            </w:r>
          </w:p>
          <w:p w14:paraId="4E1BB27B">
            <w:pPr>
              <w:spacing w:line="360" w:lineRule="auto"/>
              <w:ind w:firstLine="480" w:firstLineChars="200"/>
              <w:jc w:val="left"/>
              <w:rPr>
                <w:rFonts w:hint="default" w:ascii="Times New Roman" w:hAnsi="Times New Roman" w:eastAsia="宋体" w:cs="Times New Roman"/>
                <w:szCs w:val="21"/>
                <w:highlight w:val="yellow"/>
              </w:rPr>
            </w:pPr>
            <w:r>
              <w:rPr>
                <w:rFonts w:hint="default" w:ascii="Times New Roman" w:hAnsi="Times New Roman" w:eastAsia="宋体" w:cs="Times New Roman"/>
                <w:szCs w:val="21"/>
                <w:highlight w:val="none"/>
              </w:rPr>
              <w:t>综上，从环境保护角度分析</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rPr>
              <w:t>本项目选址合理可行。</w:t>
            </w:r>
          </w:p>
          <w:p w14:paraId="52E35D00">
            <w:pPr>
              <w:pStyle w:val="60"/>
              <w:spacing w:before="180" w:line="220" w:lineRule="auto"/>
              <w:ind w:left="588"/>
              <w:jc w:val="left"/>
              <w:rPr>
                <w:rFonts w:hint="default" w:ascii="Times New Roman" w:hAnsi="Times New Roman" w:eastAsia="宋体" w:cs="Times New Roman"/>
              </w:rPr>
            </w:pPr>
            <w:r>
              <w:rPr>
                <w:rFonts w:hint="eastAsia" w:ascii="Times New Roman" w:hAnsi="Times New Roman" w:cs="Times New Roman"/>
                <w:b/>
                <w:bCs/>
                <w:spacing w:val="-4"/>
                <w:lang w:val="en-US" w:eastAsia="zh-CN"/>
              </w:rPr>
              <w:t>5</w:t>
            </w:r>
            <w:r>
              <w:rPr>
                <w:rFonts w:hint="default" w:ascii="Times New Roman" w:hAnsi="Times New Roman" w:eastAsia="宋体" w:cs="Times New Roman"/>
                <w:b/>
                <w:bCs/>
                <w:spacing w:val="-4"/>
              </w:rPr>
              <w:t>、与《中华人民共和国长江保护法》符合性分析</w:t>
            </w:r>
          </w:p>
          <w:p w14:paraId="2C9D07AF">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0"/>
              <w:jc w:val="left"/>
              <w:textAlignment w:val="auto"/>
              <w:rPr>
                <w:rFonts w:hint="default" w:ascii="Times New Roman" w:hAnsi="Times New Roman" w:eastAsia="宋体" w:cs="Times New Roman"/>
                <w:spacing w:val="-2"/>
              </w:rPr>
            </w:pPr>
            <w:r>
              <w:rPr>
                <w:rFonts w:hint="default" w:ascii="Times New Roman" w:hAnsi="Times New Roman" w:eastAsia="宋体" w:cs="Times New Roman"/>
                <w:spacing w:val="-1"/>
              </w:rPr>
              <w:t>本项目与《中华人民共和国长江保护法》的符合</w:t>
            </w:r>
            <w:r>
              <w:rPr>
                <w:rFonts w:hint="default" w:ascii="Times New Roman" w:hAnsi="Times New Roman" w:eastAsia="宋体" w:cs="Times New Roman"/>
                <w:spacing w:val="-2"/>
              </w:rPr>
              <w:t>性分析见下表</w:t>
            </w:r>
            <w:r>
              <w:rPr>
                <w:rFonts w:hint="default" w:ascii="Times New Roman" w:hAnsi="Times New Roman" w:eastAsia="宋体" w:cs="Times New Roman"/>
                <w:spacing w:val="-2"/>
                <w:lang w:val="en-US" w:eastAsia="zh-CN"/>
              </w:rPr>
              <w:t>1</w:t>
            </w:r>
            <w:r>
              <w:rPr>
                <w:rFonts w:hint="default" w:ascii="Times New Roman" w:hAnsi="Times New Roman" w:eastAsia="宋体" w:cs="Times New Roman"/>
                <w:spacing w:val="-2"/>
              </w:rPr>
              <w:t>-</w:t>
            </w:r>
            <w:r>
              <w:rPr>
                <w:rFonts w:hint="default" w:ascii="Times New Roman" w:hAnsi="Times New Roman" w:eastAsia="宋体" w:cs="Times New Roman"/>
                <w:spacing w:val="-2"/>
                <w:lang w:val="en-US" w:eastAsia="zh-CN"/>
              </w:rPr>
              <w:t>4</w:t>
            </w:r>
            <w:r>
              <w:rPr>
                <w:rFonts w:hint="default" w:ascii="Times New Roman" w:hAnsi="Times New Roman" w:eastAsia="宋体" w:cs="Times New Roman"/>
                <w:spacing w:val="-2"/>
              </w:rPr>
              <w:t>。</w:t>
            </w:r>
          </w:p>
          <w:p w14:paraId="773C855F">
            <w:pPr>
              <w:pStyle w:val="60"/>
              <w:keepNext w:val="0"/>
              <w:keepLines w:val="0"/>
              <w:pageBreakBefore w:val="0"/>
              <w:widowControl w:val="0"/>
              <w:kinsoku/>
              <w:wordWrap/>
              <w:overflowPunct/>
              <w:topLinePunct w:val="0"/>
              <w:autoSpaceDE/>
              <w:autoSpaceDN/>
              <w:bidi w:val="0"/>
              <w:adjustRightInd/>
              <w:snapToGrid/>
              <w:spacing w:line="360" w:lineRule="exact"/>
              <w:ind w:left="0" w:right="0" w:hanging="744"/>
              <w:jc w:val="center"/>
              <w:textAlignment w:val="auto"/>
              <w:rPr>
                <w:rFonts w:hint="default" w:ascii="Times New Roman" w:hAnsi="Times New Roman" w:eastAsia="宋体" w:cs="Times New Roman"/>
              </w:rPr>
            </w:pPr>
            <w:r>
              <w:rPr>
                <w:rFonts w:hint="default" w:ascii="Times New Roman" w:hAnsi="Times New Roman" w:eastAsia="宋体" w:cs="Times New Roman"/>
                <w:b/>
                <w:bCs/>
                <w:spacing w:val="-3"/>
              </w:rPr>
              <w:t>表1-</w:t>
            </w:r>
            <w:r>
              <w:rPr>
                <w:rFonts w:hint="default" w:ascii="Times New Roman" w:hAnsi="Times New Roman" w:eastAsia="宋体" w:cs="Times New Roman"/>
                <w:b/>
                <w:bCs/>
                <w:spacing w:val="-3"/>
                <w:lang w:val="en-US" w:eastAsia="zh-CN"/>
              </w:rPr>
              <w:t>4</w:t>
            </w:r>
            <w:r>
              <w:rPr>
                <w:rFonts w:hint="default" w:ascii="Times New Roman" w:hAnsi="Times New Roman" w:eastAsia="宋体" w:cs="Times New Roman"/>
                <w:b/>
                <w:bCs/>
                <w:spacing w:val="-3"/>
              </w:rPr>
              <w:t>项目与《中华人民共和国长江保护法》的符合性分析</w:t>
            </w:r>
          </w:p>
          <w:tbl>
            <w:tblPr>
              <w:tblStyle w:val="57"/>
              <w:tblW w:w="7937"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1"/>
              <w:gridCol w:w="4158"/>
              <w:gridCol w:w="2597"/>
              <w:gridCol w:w="661"/>
            </w:tblGrid>
            <w:tr w14:paraId="4E1B5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521" w:type="dxa"/>
                  <w:tcBorders>
                    <w:left w:val="nil"/>
                  </w:tcBorders>
                  <w:vAlign w:val="top"/>
                </w:tcPr>
                <w:p w14:paraId="385C0A93">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position w:val="1"/>
                      <w:sz w:val="18"/>
                      <w:szCs w:val="18"/>
                      <w:lang w:val="en-US" w:eastAsia="zh-CN"/>
                    </w:rPr>
                  </w:pPr>
                  <w:r>
                    <w:rPr>
                      <w:rFonts w:hint="eastAsia" w:eastAsia="宋体" w:cs="Times New Roman"/>
                      <w:position w:val="1"/>
                      <w:sz w:val="18"/>
                      <w:szCs w:val="18"/>
                      <w:lang w:val="en-US" w:eastAsia="zh-CN"/>
                    </w:rPr>
                    <w:t>序号</w:t>
                  </w:r>
                </w:p>
              </w:tc>
              <w:tc>
                <w:tcPr>
                  <w:tcW w:w="4158" w:type="dxa"/>
                  <w:vAlign w:val="top"/>
                </w:tcPr>
                <w:p w14:paraId="5687CCED">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position w:val="1"/>
                      <w:sz w:val="18"/>
                      <w:szCs w:val="18"/>
                      <w:lang w:val="en-US" w:eastAsia="zh-CN"/>
                    </w:rPr>
                  </w:pPr>
                  <w:r>
                    <w:rPr>
                      <w:rFonts w:hint="eastAsia" w:eastAsia="宋体" w:cs="Times New Roman"/>
                      <w:position w:val="1"/>
                      <w:sz w:val="18"/>
                      <w:szCs w:val="18"/>
                      <w:lang w:val="en-US" w:eastAsia="zh-CN"/>
                    </w:rPr>
                    <w:t>相关内容</w:t>
                  </w:r>
                </w:p>
              </w:tc>
              <w:tc>
                <w:tcPr>
                  <w:tcW w:w="2597" w:type="dxa"/>
                  <w:vAlign w:val="top"/>
                </w:tcPr>
                <w:p w14:paraId="4A0B17E3">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position w:val="1"/>
                      <w:sz w:val="18"/>
                      <w:szCs w:val="18"/>
                      <w:lang w:val="en-US" w:eastAsia="zh-CN"/>
                    </w:rPr>
                  </w:pPr>
                  <w:r>
                    <w:rPr>
                      <w:rFonts w:hint="eastAsia" w:eastAsia="宋体" w:cs="Times New Roman"/>
                      <w:position w:val="1"/>
                      <w:sz w:val="18"/>
                      <w:szCs w:val="18"/>
                      <w:lang w:val="en-US" w:eastAsia="zh-CN"/>
                    </w:rPr>
                    <w:t>本项情况</w:t>
                  </w:r>
                </w:p>
              </w:tc>
              <w:tc>
                <w:tcPr>
                  <w:tcW w:w="661" w:type="dxa"/>
                  <w:tcBorders>
                    <w:right w:val="nil"/>
                  </w:tcBorders>
                  <w:vAlign w:val="top"/>
                </w:tcPr>
                <w:p w14:paraId="132D95CA">
                  <w:pPr>
                    <w:pStyle w:val="60"/>
                    <w:spacing w:before="58" w:line="220" w:lineRule="auto"/>
                    <w:ind w:left="285"/>
                    <w:jc w:val="center"/>
                    <w:rPr>
                      <w:rFonts w:hint="eastAsia" w:eastAsia="宋体"/>
                      <w:spacing w:val="-5"/>
                      <w:sz w:val="18"/>
                      <w:szCs w:val="18"/>
                      <w:lang w:val="en-US" w:eastAsia="zh-CN"/>
                    </w:rPr>
                  </w:pPr>
                  <w:r>
                    <w:rPr>
                      <w:rFonts w:hint="eastAsia"/>
                      <w:spacing w:val="-5"/>
                      <w:sz w:val="18"/>
                      <w:szCs w:val="18"/>
                      <w:lang w:val="en-US" w:eastAsia="zh-CN"/>
                    </w:rPr>
                    <w:t>符合性</w:t>
                  </w:r>
                </w:p>
              </w:tc>
            </w:tr>
            <w:tr w14:paraId="0A418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521" w:type="dxa"/>
                  <w:tcBorders>
                    <w:left w:val="nil"/>
                  </w:tcBorders>
                  <w:vAlign w:val="top"/>
                </w:tcPr>
                <w:p w14:paraId="32E33B1F">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1</w:t>
                  </w:r>
                </w:p>
              </w:tc>
              <w:tc>
                <w:tcPr>
                  <w:tcW w:w="4158" w:type="dxa"/>
                  <w:vAlign w:val="top"/>
                </w:tcPr>
                <w:p w14:paraId="1E247BAB">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第二十一条长江流域水质超标的水功能区，应当实施更严格的污染物排放总量削减要求。企业事业单位应当按照要求，采取污染物排放总量控制措施。</w:t>
                  </w:r>
                </w:p>
              </w:tc>
              <w:tc>
                <w:tcPr>
                  <w:tcW w:w="2597" w:type="dxa"/>
                  <w:vAlign w:val="top"/>
                </w:tcPr>
                <w:p w14:paraId="4C99880C">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项目所在区域水环境质量满足相应功能区要求，且本项目</w:t>
                  </w:r>
                  <w:r>
                    <w:rPr>
                      <w:rFonts w:hint="eastAsia" w:eastAsia="宋体" w:cs="Times New Roman"/>
                      <w:position w:val="1"/>
                      <w:sz w:val="18"/>
                      <w:szCs w:val="18"/>
                      <w:lang w:val="en-US" w:eastAsia="zh-CN"/>
                    </w:rPr>
                    <w:t>生活废水和生产废水经污水处理设施</w:t>
                  </w:r>
                  <w:r>
                    <w:rPr>
                      <w:rFonts w:hint="eastAsia" w:ascii="Times New Roman" w:hAnsi="Times New Roman" w:eastAsia="Times New Roman" w:cs="Times New Roman"/>
                      <w:position w:val="1"/>
                      <w:sz w:val="18"/>
                      <w:szCs w:val="18"/>
                      <w:lang w:val="en-US" w:eastAsia="zh-CN"/>
                    </w:rPr>
                    <w:t>处理后</w:t>
                  </w:r>
                  <w:r>
                    <w:rPr>
                      <w:rFonts w:ascii="Times New Roman" w:hAnsi="Times New Roman" w:eastAsia="Times New Roman" w:cs="Times New Roman"/>
                      <w:position w:val="1"/>
                      <w:sz w:val="18"/>
                      <w:szCs w:val="18"/>
                    </w:rPr>
                    <w:t>排入园区污水处理厂。</w:t>
                  </w:r>
                </w:p>
              </w:tc>
              <w:tc>
                <w:tcPr>
                  <w:tcW w:w="661" w:type="dxa"/>
                  <w:tcBorders>
                    <w:right w:val="nil"/>
                  </w:tcBorders>
                  <w:vAlign w:val="top"/>
                </w:tcPr>
                <w:p w14:paraId="681908AB">
                  <w:pPr>
                    <w:pStyle w:val="60"/>
                    <w:spacing w:before="58" w:line="220" w:lineRule="auto"/>
                    <w:ind w:left="285"/>
                    <w:jc w:val="left"/>
                    <w:rPr>
                      <w:sz w:val="18"/>
                      <w:szCs w:val="18"/>
                    </w:rPr>
                  </w:pPr>
                  <w:r>
                    <w:rPr>
                      <w:spacing w:val="-5"/>
                      <w:sz w:val="18"/>
                      <w:szCs w:val="18"/>
                    </w:rPr>
                    <w:t>符合</w:t>
                  </w:r>
                </w:p>
              </w:tc>
            </w:tr>
            <w:tr w14:paraId="66806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1" w:type="dxa"/>
                  <w:tcBorders>
                    <w:left w:val="nil"/>
                  </w:tcBorders>
                  <w:vAlign w:val="top"/>
                </w:tcPr>
                <w:p w14:paraId="199AE48B">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2</w:t>
                  </w:r>
                </w:p>
              </w:tc>
              <w:tc>
                <w:tcPr>
                  <w:tcW w:w="4158" w:type="dxa"/>
                  <w:vAlign w:val="top"/>
                </w:tcPr>
                <w:p w14:paraId="1D9AAE46">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第二十二条长江流域产业结构和布局应当与长江流域生态系统和资源环境承载能力相适应。禁止在长江流域重点生态功能区布局对生态系统有严重影响的产业。禁止重污染企业和项目向长江中上游转移。</w:t>
                  </w:r>
                </w:p>
              </w:tc>
              <w:tc>
                <w:tcPr>
                  <w:tcW w:w="2597" w:type="dxa"/>
                  <w:vAlign w:val="top"/>
                </w:tcPr>
                <w:p w14:paraId="6847C1EC">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项目所在地不属于长江流域重点生态功能区，对生态系统不会造成严重影响，也不属于重污染项目。</w:t>
                  </w:r>
                </w:p>
              </w:tc>
              <w:tc>
                <w:tcPr>
                  <w:tcW w:w="661" w:type="dxa"/>
                  <w:tcBorders>
                    <w:right w:val="nil"/>
                  </w:tcBorders>
                  <w:vAlign w:val="top"/>
                </w:tcPr>
                <w:p w14:paraId="68BEA09D">
                  <w:pPr>
                    <w:pStyle w:val="60"/>
                    <w:spacing w:before="59" w:line="220" w:lineRule="auto"/>
                    <w:ind w:left="285"/>
                    <w:jc w:val="left"/>
                    <w:rPr>
                      <w:sz w:val="18"/>
                      <w:szCs w:val="18"/>
                    </w:rPr>
                  </w:pPr>
                  <w:r>
                    <w:rPr>
                      <w:spacing w:val="-5"/>
                      <w:sz w:val="18"/>
                      <w:szCs w:val="18"/>
                    </w:rPr>
                    <w:t>符合</w:t>
                  </w:r>
                </w:p>
              </w:tc>
            </w:tr>
            <w:tr w14:paraId="6D23F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1" w:type="dxa"/>
                  <w:tcBorders>
                    <w:left w:val="nil"/>
                  </w:tcBorders>
                  <w:vAlign w:val="top"/>
                </w:tcPr>
                <w:p w14:paraId="1558D7ED">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3</w:t>
                  </w:r>
                </w:p>
              </w:tc>
              <w:tc>
                <w:tcPr>
                  <w:tcW w:w="4158" w:type="dxa"/>
                  <w:vAlign w:val="top"/>
                </w:tcPr>
                <w:p w14:paraId="22B40CD0">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第二十六条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597" w:type="dxa"/>
                  <w:vAlign w:val="top"/>
                </w:tcPr>
                <w:p w14:paraId="08C97980">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本项目不属于化工项目或尾矿库项目。</w:t>
                  </w:r>
                </w:p>
              </w:tc>
              <w:tc>
                <w:tcPr>
                  <w:tcW w:w="661" w:type="dxa"/>
                  <w:tcBorders>
                    <w:right w:val="nil"/>
                  </w:tcBorders>
                  <w:vAlign w:val="top"/>
                </w:tcPr>
                <w:p w14:paraId="6549FB52">
                  <w:pPr>
                    <w:pStyle w:val="60"/>
                    <w:spacing w:before="58" w:line="220" w:lineRule="auto"/>
                    <w:ind w:left="285"/>
                    <w:jc w:val="left"/>
                    <w:rPr>
                      <w:sz w:val="18"/>
                      <w:szCs w:val="18"/>
                    </w:rPr>
                  </w:pPr>
                  <w:r>
                    <w:rPr>
                      <w:spacing w:val="-5"/>
                      <w:sz w:val="18"/>
                      <w:szCs w:val="18"/>
                    </w:rPr>
                    <w:t>符合</w:t>
                  </w:r>
                </w:p>
              </w:tc>
            </w:tr>
            <w:tr w14:paraId="0171F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1" w:type="dxa"/>
                  <w:tcBorders>
                    <w:left w:val="nil"/>
                  </w:tcBorders>
                  <w:vAlign w:val="top"/>
                </w:tcPr>
                <w:p w14:paraId="7AD7D87B">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4</w:t>
                  </w:r>
                </w:p>
              </w:tc>
              <w:tc>
                <w:tcPr>
                  <w:tcW w:w="4158" w:type="dxa"/>
                  <w:vAlign w:val="top"/>
                </w:tcPr>
                <w:p w14:paraId="79341C37">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第三十八条加强对高耗水行业、重点用水单位的用水定额管理，严格控制高耗水项目建设。</w:t>
                  </w:r>
                </w:p>
              </w:tc>
              <w:tc>
                <w:tcPr>
                  <w:tcW w:w="2597" w:type="dxa"/>
                  <w:vAlign w:val="top"/>
                </w:tcPr>
                <w:p w14:paraId="311FB6F0">
                  <w:pPr>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rFonts w:ascii="Times New Roman" w:hAnsi="Times New Roman" w:eastAsia="Times New Roman" w:cs="Times New Roman"/>
                      <w:position w:val="1"/>
                      <w:sz w:val="18"/>
                      <w:szCs w:val="18"/>
                    </w:rPr>
                  </w:pPr>
                  <w:r>
                    <w:rPr>
                      <w:rFonts w:ascii="Times New Roman" w:hAnsi="Times New Roman" w:eastAsia="Times New Roman" w:cs="Times New Roman"/>
                      <w:position w:val="1"/>
                      <w:sz w:val="18"/>
                      <w:szCs w:val="18"/>
                    </w:rPr>
                    <w:t>本项目不属于高耗水项目。</w:t>
                  </w:r>
                </w:p>
              </w:tc>
              <w:tc>
                <w:tcPr>
                  <w:tcW w:w="661" w:type="dxa"/>
                  <w:tcBorders>
                    <w:right w:val="nil"/>
                  </w:tcBorders>
                  <w:vAlign w:val="top"/>
                </w:tcPr>
                <w:p w14:paraId="1C507402">
                  <w:pPr>
                    <w:pStyle w:val="60"/>
                    <w:spacing w:before="205" w:line="220" w:lineRule="auto"/>
                    <w:ind w:left="285"/>
                    <w:jc w:val="left"/>
                    <w:rPr>
                      <w:sz w:val="18"/>
                      <w:szCs w:val="18"/>
                    </w:rPr>
                  </w:pPr>
                  <w:r>
                    <w:rPr>
                      <w:spacing w:val="-5"/>
                      <w:sz w:val="18"/>
                      <w:szCs w:val="18"/>
                    </w:rPr>
                    <w:t>符合</w:t>
                  </w:r>
                </w:p>
              </w:tc>
            </w:tr>
          </w:tbl>
          <w:p w14:paraId="0EDE13E3">
            <w:pPr>
              <w:pStyle w:val="60"/>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highlight w:val="none"/>
              </w:rPr>
            </w:pPr>
            <w:r>
              <w:rPr>
                <w:rFonts w:hint="default" w:ascii="Times New Roman" w:hAnsi="Times New Roman" w:eastAsia="宋体" w:cs="Times New Roman"/>
                <w:b/>
                <w:bCs/>
                <w:spacing w:val="-3"/>
                <w:lang w:val="en-US" w:eastAsia="zh-CN"/>
              </w:rPr>
              <w:t>6</w:t>
            </w:r>
            <w:r>
              <w:rPr>
                <w:rFonts w:hint="default" w:ascii="Times New Roman" w:hAnsi="Times New Roman" w:eastAsia="宋体" w:cs="Times New Roman"/>
                <w:b/>
                <w:bCs/>
                <w:spacing w:val="-3"/>
              </w:rPr>
              <w:t>、</w:t>
            </w:r>
            <w:r>
              <w:rPr>
                <w:rFonts w:hint="default" w:ascii="Times New Roman" w:hAnsi="Times New Roman" w:eastAsia="宋体" w:cs="Times New Roman"/>
                <w:b/>
                <w:bCs/>
                <w:spacing w:val="-3"/>
                <w:highlight w:val="none"/>
              </w:rPr>
              <w:t>与《四川省嘉陵江流域生态环境保护条例》符合性分析</w:t>
            </w:r>
          </w:p>
          <w:p w14:paraId="7D44CE28">
            <w:pPr>
              <w:pStyle w:val="60"/>
              <w:keepNext w:val="0"/>
              <w:keepLines w:val="0"/>
              <w:pageBreakBefore w:val="0"/>
              <w:widowControl w:val="0"/>
              <w:kinsoku/>
              <w:wordWrap/>
              <w:overflowPunct/>
              <w:topLinePunct w:val="0"/>
              <w:autoSpaceDE/>
              <w:autoSpaceDN/>
              <w:bidi w:val="0"/>
              <w:adjustRightInd/>
              <w:snapToGrid/>
              <w:spacing w:line="360" w:lineRule="exact"/>
              <w:ind w:left="0" w:right="0" w:firstLine="476"/>
              <w:jc w:val="left"/>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pacing w:val="-1"/>
                <w:highlight w:val="none"/>
              </w:rPr>
              <w:t>本项目位于达州市达川区百马产业新区，属于嘉陵江流域范围，项目与《四川省嘉陵江流域生态环境保护条例》的符合性分析见下表1-</w:t>
            </w:r>
            <w:r>
              <w:rPr>
                <w:rFonts w:hint="default" w:ascii="Times New Roman" w:hAnsi="Times New Roman" w:eastAsia="宋体" w:cs="Times New Roman"/>
                <w:spacing w:val="-1"/>
                <w:highlight w:val="none"/>
                <w:lang w:val="en-US" w:eastAsia="zh-CN"/>
              </w:rPr>
              <w:t>5</w:t>
            </w:r>
            <w:r>
              <w:rPr>
                <w:rFonts w:hint="default" w:ascii="Times New Roman" w:hAnsi="Times New Roman" w:eastAsia="宋体" w:cs="Times New Roman"/>
                <w:spacing w:val="-1"/>
                <w:highlight w:val="none"/>
              </w:rPr>
              <w:t>。</w:t>
            </w:r>
          </w:p>
          <w:p w14:paraId="00955BD0">
            <w:pPr>
              <w:pStyle w:val="60"/>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b/>
                <w:bCs/>
                <w:spacing w:val="-2"/>
                <w:highlight w:val="none"/>
              </w:rPr>
              <w:t>表1-</w:t>
            </w:r>
            <w:r>
              <w:rPr>
                <w:rFonts w:hint="default" w:ascii="Times New Roman" w:hAnsi="Times New Roman" w:eastAsia="宋体" w:cs="Times New Roman"/>
                <w:b/>
                <w:bCs/>
                <w:spacing w:val="-2"/>
                <w:highlight w:val="none"/>
                <w:lang w:val="en-US" w:eastAsia="zh-CN"/>
              </w:rPr>
              <w:t>5</w:t>
            </w:r>
            <w:r>
              <w:rPr>
                <w:rFonts w:hint="default" w:ascii="Times New Roman" w:hAnsi="Times New Roman" w:eastAsia="宋体" w:cs="Times New Roman"/>
                <w:b/>
                <w:bCs/>
                <w:spacing w:val="-2"/>
                <w:highlight w:val="none"/>
              </w:rPr>
              <w:t>项目与《四川省嘉陵江流域生态环</w:t>
            </w:r>
            <w:r>
              <w:rPr>
                <w:rFonts w:hint="default" w:ascii="Times New Roman" w:hAnsi="Times New Roman" w:eastAsia="宋体" w:cs="Times New Roman"/>
                <w:b/>
                <w:bCs/>
                <w:spacing w:val="-3"/>
                <w:highlight w:val="none"/>
              </w:rPr>
              <w:t>境保护条例》的符合性分析</w:t>
            </w:r>
          </w:p>
          <w:tbl>
            <w:tblPr>
              <w:tblStyle w:val="57"/>
              <w:tblW w:w="7937"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1"/>
              <w:gridCol w:w="4534"/>
              <w:gridCol w:w="2053"/>
              <w:gridCol w:w="829"/>
            </w:tblGrid>
            <w:tr w14:paraId="4F348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521" w:type="dxa"/>
                  <w:tcBorders>
                    <w:left w:val="nil"/>
                  </w:tcBorders>
                  <w:vAlign w:val="top"/>
                </w:tcPr>
                <w:p w14:paraId="691C7E5B">
                  <w:pPr>
                    <w:keepNext w:val="0"/>
                    <w:keepLines w:val="0"/>
                    <w:pageBreakBefore w:val="0"/>
                    <w:widowControl w:val="0"/>
                    <w:kinsoku/>
                    <w:wordWrap/>
                    <w:overflowPunct/>
                    <w:topLinePunct w:val="0"/>
                    <w:autoSpaceDE/>
                    <w:autoSpaceDN/>
                    <w:bidi w:val="0"/>
                    <w:adjustRightInd/>
                    <w:snapToGrid/>
                    <w:spacing w:line="240" w:lineRule="atLeast"/>
                    <w:ind w:left="0" w:right="0"/>
                    <w:textAlignment w:val="auto"/>
                    <w:rPr>
                      <w:rFonts w:hint="eastAsia" w:ascii="Times New Roman" w:hAnsi="Times New Roman" w:eastAsia="宋体" w:cs="Times New Roman"/>
                      <w:position w:val="1"/>
                      <w:sz w:val="21"/>
                      <w:szCs w:val="21"/>
                      <w:highlight w:val="none"/>
                      <w:lang w:val="en-US" w:eastAsia="zh-CN"/>
                    </w:rPr>
                  </w:pPr>
                  <w:r>
                    <w:rPr>
                      <w:rFonts w:hint="eastAsia" w:eastAsia="宋体" w:cs="Times New Roman"/>
                      <w:position w:val="1"/>
                      <w:sz w:val="21"/>
                      <w:szCs w:val="21"/>
                      <w:highlight w:val="none"/>
                      <w:lang w:val="en-US" w:eastAsia="zh-CN"/>
                    </w:rPr>
                    <w:t>序号</w:t>
                  </w:r>
                </w:p>
              </w:tc>
              <w:tc>
                <w:tcPr>
                  <w:tcW w:w="4534" w:type="dxa"/>
                  <w:vAlign w:val="top"/>
                </w:tcPr>
                <w:p w14:paraId="74538061">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eastAsia="宋体"/>
                      <w:spacing w:val="-3"/>
                      <w:sz w:val="21"/>
                      <w:szCs w:val="21"/>
                      <w:highlight w:val="none"/>
                      <w:lang w:val="en-US" w:eastAsia="zh-CN"/>
                    </w:rPr>
                  </w:pPr>
                  <w:r>
                    <w:rPr>
                      <w:rFonts w:hint="eastAsia"/>
                      <w:spacing w:val="-3"/>
                      <w:sz w:val="21"/>
                      <w:szCs w:val="21"/>
                      <w:highlight w:val="none"/>
                      <w:lang w:val="en-US" w:eastAsia="zh-CN"/>
                    </w:rPr>
                    <w:t>相关内容</w:t>
                  </w:r>
                </w:p>
              </w:tc>
              <w:tc>
                <w:tcPr>
                  <w:tcW w:w="2053" w:type="dxa"/>
                  <w:vAlign w:val="top"/>
                </w:tcPr>
                <w:p w14:paraId="766D5A06">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1"/>
                    <w:jc w:val="center"/>
                    <w:textAlignment w:val="auto"/>
                    <w:rPr>
                      <w:rFonts w:hint="default" w:eastAsia="宋体"/>
                      <w:spacing w:val="-1"/>
                      <w:sz w:val="21"/>
                      <w:szCs w:val="21"/>
                      <w:highlight w:val="none"/>
                      <w:lang w:val="en-US" w:eastAsia="zh-CN"/>
                    </w:rPr>
                  </w:pPr>
                  <w:r>
                    <w:rPr>
                      <w:rFonts w:hint="eastAsia"/>
                      <w:spacing w:val="-1"/>
                      <w:sz w:val="21"/>
                      <w:szCs w:val="21"/>
                      <w:highlight w:val="none"/>
                      <w:lang w:val="en-US" w:eastAsia="zh-CN"/>
                    </w:rPr>
                    <w:t>本项目情况</w:t>
                  </w:r>
                </w:p>
              </w:tc>
              <w:tc>
                <w:tcPr>
                  <w:tcW w:w="829" w:type="dxa"/>
                  <w:tcBorders>
                    <w:right w:val="nil"/>
                  </w:tcBorders>
                  <w:vAlign w:val="top"/>
                </w:tcPr>
                <w:p w14:paraId="7EC792FE">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eastAsia="宋体"/>
                      <w:spacing w:val="-5"/>
                      <w:sz w:val="21"/>
                      <w:szCs w:val="21"/>
                      <w:highlight w:val="none"/>
                      <w:lang w:val="en-US" w:eastAsia="zh-CN"/>
                    </w:rPr>
                  </w:pPr>
                  <w:r>
                    <w:rPr>
                      <w:rFonts w:hint="eastAsia"/>
                      <w:spacing w:val="-5"/>
                      <w:sz w:val="21"/>
                      <w:szCs w:val="21"/>
                      <w:highlight w:val="none"/>
                      <w:lang w:val="en-US" w:eastAsia="zh-CN"/>
                    </w:rPr>
                    <w:t>符合性</w:t>
                  </w:r>
                </w:p>
              </w:tc>
            </w:tr>
            <w:tr w14:paraId="328C2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521" w:type="dxa"/>
                  <w:tcBorders>
                    <w:left w:val="nil"/>
                  </w:tcBorders>
                  <w:vAlign w:val="top"/>
                </w:tcPr>
                <w:p w14:paraId="486F6916">
                  <w:pPr>
                    <w:keepNext w:val="0"/>
                    <w:keepLines w:val="0"/>
                    <w:pageBreakBefore w:val="0"/>
                    <w:widowControl w:val="0"/>
                    <w:kinsoku/>
                    <w:wordWrap/>
                    <w:overflowPunct/>
                    <w:topLinePunct w:val="0"/>
                    <w:autoSpaceDE/>
                    <w:autoSpaceDN/>
                    <w:bidi w:val="0"/>
                    <w:adjustRightInd/>
                    <w:snapToGrid/>
                    <w:spacing w:line="240" w:lineRule="atLeast"/>
                    <w:ind w:left="0" w:right="0"/>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position w:val="1"/>
                      <w:sz w:val="21"/>
                      <w:szCs w:val="21"/>
                      <w:highlight w:val="none"/>
                    </w:rPr>
                    <w:t>1</w:t>
                  </w:r>
                </w:p>
              </w:tc>
              <w:tc>
                <w:tcPr>
                  <w:tcW w:w="4534" w:type="dxa"/>
                  <w:vAlign w:val="top"/>
                </w:tcPr>
                <w:p w14:paraId="29475800">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sz w:val="21"/>
                      <w:szCs w:val="21"/>
                      <w:highlight w:val="none"/>
                    </w:rPr>
                  </w:pPr>
                  <w:r>
                    <w:rPr>
                      <w:spacing w:val="-3"/>
                      <w:sz w:val="21"/>
                      <w:szCs w:val="21"/>
                      <w:highlight w:val="none"/>
                    </w:rPr>
                    <w:t>第十七条禁止在嘉陵江干支流岸线一公里范围内新建、扩建化工园区和化工项目。</w:t>
                  </w:r>
                </w:p>
              </w:tc>
              <w:tc>
                <w:tcPr>
                  <w:tcW w:w="2053" w:type="dxa"/>
                  <w:vAlign w:val="top"/>
                </w:tcPr>
                <w:p w14:paraId="76077BC3">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1"/>
                    <w:jc w:val="left"/>
                    <w:textAlignment w:val="auto"/>
                    <w:rPr>
                      <w:sz w:val="21"/>
                      <w:szCs w:val="21"/>
                      <w:highlight w:val="none"/>
                    </w:rPr>
                  </w:pPr>
                  <w:r>
                    <w:rPr>
                      <w:spacing w:val="-1"/>
                      <w:sz w:val="21"/>
                      <w:szCs w:val="21"/>
                      <w:highlight w:val="none"/>
                    </w:rPr>
                    <w:t>本项目不属于化工项目。</w:t>
                  </w:r>
                </w:p>
              </w:tc>
              <w:tc>
                <w:tcPr>
                  <w:tcW w:w="829" w:type="dxa"/>
                  <w:tcBorders>
                    <w:right w:val="nil"/>
                  </w:tcBorders>
                  <w:vAlign w:val="top"/>
                </w:tcPr>
                <w:p w14:paraId="64A3FAD6">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sz w:val="21"/>
                      <w:szCs w:val="21"/>
                      <w:highlight w:val="none"/>
                    </w:rPr>
                  </w:pPr>
                  <w:r>
                    <w:rPr>
                      <w:spacing w:val="-5"/>
                      <w:sz w:val="21"/>
                      <w:szCs w:val="21"/>
                      <w:highlight w:val="none"/>
                    </w:rPr>
                    <w:t>符合</w:t>
                  </w:r>
                </w:p>
              </w:tc>
            </w:tr>
            <w:tr w14:paraId="08977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1" w:type="dxa"/>
                  <w:tcBorders>
                    <w:left w:val="nil"/>
                  </w:tcBorders>
                  <w:vAlign w:val="top"/>
                </w:tcPr>
                <w:p w14:paraId="44E4E315">
                  <w:pPr>
                    <w:keepNext w:val="0"/>
                    <w:keepLines w:val="0"/>
                    <w:pageBreakBefore w:val="0"/>
                    <w:widowControl w:val="0"/>
                    <w:kinsoku/>
                    <w:wordWrap/>
                    <w:overflowPunct/>
                    <w:topLinePunct w:val="0"/>
                    <w:autoSpaceDE/>
                    <w:autoSpaceDN/>
                    <w:bidi w:val="0"/>
                    <w:adjustRightInd/>
                    <w:snapToGrid/>
                    <w:spacing w:line="240" w:lineRule="atLeast"/>
                    <w:ind w:left="0" w:right="0"/>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position w:val="1"/>
                      <w:sz w:val="21"/>
                      <w:szCs w:val="21"/>
                      <w:highlight w:val="none"/>
                    </w:rPr>
                    <w:t>2</w:t>
                  </w:r>
                </w:p>
              </w:tc>
              <w:tc>
                <w:tcPr>
                  <w:tcW w:w="4534" w:type="dxa"/>
                  <w:vAlign w:val="top"/>
                </w:tcPr>
                <w:p w14:paraId="6E3E89CB">
                  <w:pPr>
                    <w:pStyle w:val="60"/>
                    <w:keepNext w:val="0"/>
                    <w:keepLines w:val="0"/>
                    <w:pageBreakBefore w:val="0"/>
                    <w:widowControl w:val="0"/>
                    <w:kinsoku/>
                    <w:wordWrap/>
                    <w:overflowPunct/>
                    <w:topLinePunct w:val="0"/>
                    <w:autoSpaceDE/>
                    <w:autoSpaceDN/>
                    <w:bidi w:val="0"/>
                    <w:adjustRightInd/>
                    <w:snapToGrid/>
                    <w:spacing w:line="240" w:lineRule="atLeast"/>
                    <w:ind w:left="0" w:right="0" w:hanging="4"/>
                    <w:jc w:val="left"/>
                    <w:textAlignment w:val="auto"/>
                    <w:rPr>
                      <w:sz w:val="21"/>
                      <w:szCs w:val="21"/>
                      <w:highlight w:val="none"/>
                    </w:rPr>
                  </w:pPr>
                  <w:r>
                    <w:rPr>
                      <w:spacing w:val="-1"/>
                      <w:sz w:val="21"/>
                      <w:szCs w:val="21"/>
                      <w:highlight w:val="none"/>
                    </w:rPr>
                    <w:t>第二十一条按照排污许可证的规定排放污染物</w:t>
                  </w:r>
                  <w:r>
                    <w:rPr>
                      <w:spacing w:val="-2"/>
                      <w:sz w:val="21"/>
                      <w:szCs w:val="21"/>
                      <w:highlight w:val="none"/>
                    </w:rPr>
                    <w:t>；禁止未取得排污许</w:t>
                  </w:r>
                  <w:r>
                    <w:rPr>
                      <w:spacing w:val="1"/>
                      <w:sz w:val="21"/>
                      <w:szCs w:val="21"/>
                      <w:highlight w:val="none"/>
                    </w:rPr>
                    <w:t>可证或者违反排污许可证的规定排放污染物。</w:t>
                  </w:r>
                </w:p>
              </w:tc>
              <w:tc>
                <w:tcPr>
                  <w:tcW w:w="2053" w:type="dxa"/>
                  <w:vAlign w:val="top"/>
                </w:tcPr>
                <w:p w14:paraId="16B68E58">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2"/>
                    <w:jc w:val="left"/>
                    <w:textAlignment w:val="auto"/>
                    <w:rPr>
                      <w:sz w:val="21"/>
                      <w:szCs w:val="21"/>
                      <w:highlight w:val="none"/>
                    </w:rPr>
                  </w:pPr>
                  <w:r>
                    <w:rPr>
                      <w:spacing w:val="-2"/>
                      <w:sz w:val="21"/>
                      <w:szCs w:val="21"/>
                      <w:highlight w:val="none"/>
                    </w:rPr>
                    <w:t>项目建成后将按要求完善排</w:t>
                  </w:r>
                  <w:r>
                    <w:rPr>
                      <w:sz w:val="21"/>
                      <w:szCs w:val="21"/>
                      <w:highlight w:val="none"/>
                    </w:rPr>
                    <w:t>污许可证的手续。</w:t>
                  </w:r>
                </w:p>
              </w:tc>
              <w:tc>
                <w:tcPr>
                  <w:tcW w:w="829" w:type="dxa"/>
                  <w:tcBorders>
                    <w:right w:val="nil"/>
                  </w:tcBorders>
                  <w:vAlign w:val="top"/>
                </w:tcPr>
                <w:p w14:paraId="721A5FD3">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sz w:val="21"/>
                      <w:szCs w:val="21"/>
                      <w:highlight w:val="none"/>
                    </w:rPr>
                  </w:pPr>
                  <w:r>
                    <w:rPr>
                      <w:spacing w:val="-5"/>
                      <w:sz w:val="21"/>
                      <w:szCs w:val="21"/>
                      <w:highlight w:val="none"/>
                    </w:rPr>
                    <w:t>符合</w:t>
                  </w:r>
                </w:p>
              </w:tc>
            </w:tr>
            <w:tr w14:paraId="2DCC5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1" w:type="dxa"/>
                  <w:tcBorders>
                    <w:left w:val="nil"/>
                  </w:tcBorders>
                  <w:vAlign w:val="top"/>
                </w:tcPr>
                <w:p w14:paraId="76660107">
                  <w:pPr>
                    <w:keepNext w:val="0"/>
                    <w:keepLines w:val="0"/>
                    <w:pageBreakBefore w:val="0"/>
                    <w:widowControl w:val="0"/>
                    <w:kinsoku/>
                    <w:wordWrap/>
                    <w:overflowPunct/>
                    <w:topLinePunct w:val="0"/>
                    <w:autoSpaceDE/>
                    <w:autoSpaceDN/>
                    <w:bidi w:val="0"/>
                    <w:adjustRightInd/>
                    <w:snapToGrid/>
                    <w:spacing w:line="240" w:lineRule="atLeast"/>
                    <w:ind w:left="0" w:right="0"/>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position w:val="1"/>
                      <w:sz w:val="21"/>
                      <w:szCs w:val="21"/>
                      <w:highlight w:val="none"/>
                    </w:rPr>
                    <w:t>3</w:t>
                  </w:r>
                </w:p>
              </w:tc>
              <w:tc>
                <w:tcPr>
                  <w:tcW w:w="4534" w:type="dxa"/>
                  <w:vAlign w:val="top"/>
                </w:tcPr>
                <w:p w14:paraId="51E23D69">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sz w:val="21"/>
                      <w:szCs w:val="21"/>
                      <w:highlight w:val="none"/>
                    </w:rPr>
                  </w:pPr>
                  <w:r>
                    <w:rPr>
                      <w:spacing w:val="-1"/>
                      <w:sz w:val="21"/>
                      <w:szCs w:val="21"/>
                      <w:highlight w:val="none"/>
                    </w:rPr>
                    <w:t>第七十三条禁止在嘉陵江流域河湖管理范围内</w:t>
                  </w:r>
                  <w:r>
                    <w:rPr>
                      <w:spacing w:val="-2"/>
                      <w:sz w:val="21"/>
                      <w:szCs w:val="21"/>
                      <w:highlight w:val="none"/>
                    </w:rPr>
                    <w:t>倾倒、填埋、堆放、本项目固体废物严格按照相</w:t>
                  </w:r>
                  <w:r>
                    <w:rPr>
                      <w:spacing w:val="-6"/>
                      <w:sz w:val="21"/>
                      <w:szCs w:val="21"/>
                      <w:highlight w:val="none"/>
                    </w:rPr>
                    <w:t>符合</w:t>
                  </w:r>
                </w:p>
                <w:p w14:paraId="53157945">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sz w:val="21"/>
                      <w:szCs w:val="21"/>
                      <w:highlight w:val="none"/>
                    </w:rPr>
                  </w:pPr>
                  <w:r>
                    <w:rPr>
                      <w:spacing w:val="1"/>
                      <w:sz w:val="21"/>
                      <w:szCs w:val="21"/>
                      <w:highlight w:val="none"/>
                    </w:rPr>
                    <w:t>弃置、处理固体废物。</w:t>
                  </w:r>
                </w:p>
              </w:tc>
              <w:tc>
                <w:tcPr>
                  <w:tcW w:w="2053" w:type="dxa"/>
                  <w:vAlign w:val="top"/>
                </w:tcPr>
                <w:p w14:paraId="58666626">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1"/>
                    <w:jc w:val="left"/>
                    <w:textAlignment w:val="auto"/>
                    <w:rPr>
                      <w:sz w:val="21"/>
                      <w:szCs w:val="21"/>
                      <w:highlight w:val="none"/>
                    </w:rPr>
                  </w:pPr>
                  <w:r>
                    <w:rPr>
                      <w:spacing w:val="-2"/>
                      <w:sz w:val="21"/>
                      <w:szCs w:val="21"/>
                      <w:highlight w:val="none"/>
                    </w:rPr>
                    <w:t>本项目固体废物严格按照相</w:t>
                  </w:r>
                  <w:r>
                    <w:rPr>
                      <w:sz w:val="21"/>
                      <w:szCs w:val="21"/>
                      <w:highlight w:val="none"/>
                    </w:rPr>
                    <w:t>关要求进行收集和处置。</w:t>
                  </w:r>
                </w:p>
              </w:tc>
              <w:tc>
                <w:tcPr>
                  <w:tcW w:w="829" w:type="dxa"/>
                  <w:tcBorders>
                    <w:right w:val="nil"/>
                  </w:tcBorders>
                  <w:vAlign w:val="top"/>
                </w:tcPr>
                <w:p w14:paraId="58D36D26">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sz w:val="21"/>
                      <w:szCs w:val="21"/>
                      <w:highlight w:val="none"/>
                    </w:rPr>
                  </w:pPr>
                  <w:r>
                    <w:rPr>
                      <w:spacing w:val="-5"/>
                      <w:sz w:val="21"/>
                      <w:szCs w:val="21"/>
                      <w:highlight w:val="none"/>
                    </w:rPr>
                    <w:t>符合</w:t>
                  </w:r>
                </w:p>
              </w:tc>
            </w:tr>
            <w:tr w14:paraId="56671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1" w:type="dxa"/>
                  <w:tcBorders>
                    <w:left w:val="nil"/>
                  </w:tcBorders>
                  <w:vAlign w:val="top"/>
                </w:tcPr>
                <w:p w14:paraId="479159D0">
                  <w:pPr>
                    <w:keepNext w:val="0"/>
                    <w:keepLines w:val="0"/>
                    <w:pageBreakBefore w:val="0"/>
                    <w:widowControl w:val="0"/>
                    <w:kinsoku/>
                    <w:wordWrap/>
                    <w:overflowPunct/>
                    <w:topLinePunct w:val="0"/>
                    <w:autoSpaceDE/>
                    <w:autoSpaceDN/>
                    <w:bidi w:val="0"/>
                    <w:adjustRightInd/>
                    <w:snapToGrid/>
                    <w:spacing w:line="240" w:lineRule="atLeast"/>
                    <w:ind w:left="0" w:right="0"/>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position w:val="1"/>
                      <w:sz w:val="21"/>
                      <w:szCs w:val="21"/>
                      <w:highlight w:val="none"/>
                    </w:rPr>
                    <w:t>4</w:t>
                  </w:r>
                </w:p>
              </w:tc>
              <w:tc>
                <w:tcPr>
                  <w:tcW w:w="4534" w:type="dxa"/>
                  <w:vAlign w:val="top"/>
                </w:tcPr>
                <w:p w14:paraId="17C078F7">
                  <w:pPr>
                    <w:pStyle w:val="60"/>
                    <w:keepNext w:val="0"/>
                    <w:keepLines w:val="0"/>
                    <w:pageBreakBefore w:val="0"/>
                    <w:widowControl w:val="0"/>
                    <w:kinsoku/>
                    <w:wordWrap/>
                    <w:overflowPunct/>
                    <w:topLinePunct w:val="0"/>
                    <w:autoSpaceDE/>
                    <w:autoSpaceDN/>
                    <w:bidi w:val="0"/>
                    <w:adjustRightInd/>
                    <w:snapToGrid/>
                    <w:spacing w:line="240" w:lineRule="atLeast"/>
                    <w:ind w:left="0" w:right="0" w:hanging="2"/>
                    <w:jc w:val="left"/>
                    <w:textAlignment w:val="auto"/>
                    <w:rPr>
                      <w:sz w:val="21"/>
                      <w:szCs w:val="21"/>
                      <w:highlight w:val="none"/>
                    </w:rPr>
                  </w:pPr>
                  <w:r>
                    <w:rPr>
                      <w:sz w:val="21"/>
                      <w:szCs w:val="21"/>
                      <w:highlight w:val="none"/>
                    </w:rPr>
                    <w:t>第七十七条嘉陵江流域产业结构和布局应</w:t>
                  </w:r>
                  <w:r>
                    <w:rPr>
                      <w:spacing w:val="-1"/>
                      <w:sz w:val="21"/>
                      <w:szCs w:val="21"/>
                      <w:highlight w:val="none"/>
                    </w:rPr>
                    <w:t>当与流域生态系统和资</w:t>
                  </w:r>
                  <w:r>
                    <w:rPr>
                      <w:sz w:val="21"/>
                      <w:szCs w:val="21"/>
                      <w:highlight w:val="none"/>
                    </w:rPr>
                    <w:t>源环境承载能力相适应。禁止在嘉陵江流域重点</w:t>
                  </w:r>
                  <w:r>
                    <w:rPr>
                      <w:spacing w:val="-1"/>
                      <w:sz w:val="21"/>
                      <w:szCs w:val="21"/>
                      <w:highlight w:val="none"/>
                    </w:rPr>
                    <w:t>生态功能区布局对</w:t>
                  </w:r>
                  <w:r>
                    <w:rPr>
                      <w:sz w:val="21"/>
                      <w:szCs w:val="21"/>
                      <w:highlight w:val="none"/>
                    </w:rPr>
                    <w:t>生态系统有严重影响的产业。禁止重污染企业和</w:t>
                  </w:r>
                  <w:r>
                    <w:rPr>
                      <w:spacing w:val="-1"/>
                      <w:sz w:val="21"/>
                      <w:szCs w:val="21"/>
                      <w:highlight w:val="none"/>
                    </w:rPr>
                    <w:t>项目向嘉陵江流域</w:t>
                  </w:r>
                  <w:r>
                    <w:rPr>
                      <w:spacing w:val="-3"/>
                      <w:sz w:val="21"/>
                      <w:szCs w:val="21"/>
                      <w:highlight w:val="none"/>
                    </w:rPr>
                    <w:t>转移。</w:t>
                  </w:r>
                </w:p>
              </w:tc>
              <w:tc>
                <w:tcPr>
                  <w:tcW w:w="2053" w:type="dxa"/>
                  <w:vAlign w:val="top"/>
                </w:tcPr>
                <w:p w14:paraId="685AC1C3">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sz w:val="21"/>
                      <w:szCs w:val="21"/>
                      <w:highlight w:val="none"/>
                    </w:rPr>
                  </w:pPr>
                  <w:r>
                    <w:rPr>
                      <w:spacing w:val="-1"/>
                      <w:sz w:val="21"/>
                      <w:szCs w:val="21"/>
                      <w:highlight w:val="none"/>
                    </w:rPr>
                    <w:t>本项目</w:t>
                  </w:r>
                  <w:r>
                    <w:rPr>
                      <w:spacing w:val="-4"/>
                      <w:sz w:val="21"/>
                      <w:szCs w:val="21"/>
                      <w:highlight w:val="none"/>
                    </w:rPr>
                    <w:t>不</w:t>
                  </w:r>
                  <w:r>
                    <w:rPr>
                      <w:spacing w:val="-1"/>
                      <w:sz w:val="21"/>
                      <w:szCs w:val="21"/>
                      <w:highlight w:val="none"/>
                    </w:rPr>
                    <w:t>属于重污染企业和项目。</w:t>
                  </w:r>
                </w:p>
              </w:tc>
              <w:tc>
                <w:tcPr>
                  <w:tcW w:w="829" w:type="dxa"/>
                  <w:tcBorders>
                    <w:right w:val="nil"/>
                  </w:tcBorders>
                  <w:vAlign w:val="top"/>
                </w:tcPr>
                <w:p w14:paraId="54A4079F">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sz w:val="21"/>
                      <w:szCs w:val="21"/>
                      <w:highlight w:val="none"/>
                    </w:rPr>
                  </w:pPr>
                  <w:r>
                    <w:rPr>
                      <w:spacing w:val="-5"/>
                      <w:sz w:val="21"/>
                      <w:szCs w:val="21"/>
                      <w:highlight w:val="none"/>
                    </w:rPr>
                    <w:t>符合</w:t>
                  </w:r>
                </w:p>
              </w:tc>
            </w:tr>
            <w:tr w14:paraId="30C71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521" w:type="dxa"/>
                  <w:tcBorders>
                    <w:left w:val="nil"/>
                  </w:tcBorders>
                  <w:vAlign w:val="top"/>
                </w:tcPr>
                <w:p w14:paraId="4479B9D4">
                  <w:pPr>
                    <w:keepNext w:val="0"/>
                    <w:keepLines w:val="0"/>
                    <w:pageBreakBefore w:val="0"/>
                    <w:widowControl w:val="0"/>
                    <w:kinsoku/>
                    <w:wordWrap/>
                    <w:overflowPunct/>
                    <w:topLinePunct w:val="0"/>
                    <w:autoSpaceDE/>
                    <w:autoSpaceDN/>
                    <w:bidi w:val="0"/>
                    <w:adjustRightInd/>
                    <w:snapToGrid/>
                    <w:spacing w:line="240" w:lineRule="atLeast"/>
                    <w:ind w:left="0" w:right="0"/>
                    <w:textAlignment w:val="auto"/>
                    <w:rPr>
                      <w:rFonts w:hint="eastAsia" w:ascii="Times New Roman" w:hAnsi="Times New Roman" w:eastAsia="宋体" w:cs="Times New Roman"/>
                      <w:position w:val="1"/>
                      <w:sz w:val="21"/>
                      <w:szCs w:val="21"/>
                      <w:highlight w:val="none"/>
                      <w:lang w:val="en-US" w:eastAsia="zh-CN"/>
                    </w:rPr>
                  </w:pPr>
                  <w:r>
                    <w:rPr>
                      <w:rFonts w:hint="eastAsia" w:ascii="Times New Roman" w:hAnsi="Times New Roman" w:eastAsia="宋体" w:cs="Times New Roman"/>
                      <w:position w:val="1"/>
                      <w:sz w:val="21"/>
                      <w:szCs w:val="21"/>
                      <w:highlight w:val="none"/>
                      <w:lang w:val="en-US" w:eastAsia="zh-CN"/>
                    </w:rPr>
                    <w:t>5</w:t>
                  </w:r>
                </w:p>
              </w:tc>
              <w:tc>
                <w:tcPr>
                  <w:tcW w:w="4534" w:type="dxa"/>
                  <w:vAlign w:val="top"/>
                </w:tcPr>
                <w:p w14:paraId="4D9DD97E">
                  <w:pPr>
                    <w:pStyle w:val="60"/>
                    <w:keepNext w:val="0"/>
                    <w:keepLines w:val="0"/>
                    <w:pageBreakBefore w:val="0"/>
                    <w:widowControl w:val="0"/>
                    <w:kinsoku/>
                    <w:wordWrap/>
                    <w:overflowPunct/>
                    <w:topLinePunct w:val="0"/>
                    <w:autoSpaceDE/>
                    <w:autoSpaceDN/>
                    <w:bidi w:val="0"/>
                    <w:adjustRightInd/>
                    <w:snapToGrid/>
                    <w:spacing w:line="240" w:lineRule="atLeast"/>
                    <w:ind w:left="0" w:right="0" w:hanging="2"/>
                    <w:jc w:val="left"/>
                    <w:textAlignment w:val="auto"/>
                    <w:rPr>
                      <w:sz w:val="21"/>
                      <w:szCs w:val="21"/>
                      <w:highlight w:val="none"/>
                    </w:rPr>
                  </w:pPr>
                  <w:r>
                    <w:rPr>
                      <w:spacing w:val="-3"/>
                      <w:sz w:val="21"/>
                      <w:szCs w:val="21"/>
                      <w:highlight w:val="none"/>
                    </w:rPr>
                    <w:t>第八十条限期禁止生产、销售、进口、使用、转让严重污染水环境</w:t>
                  </w:r>
                  <w:r>
                    <w:rPr>
                      <w:spacing w:val="-4"/>
                      <w:sz w:val="21"/>
                      <w:szCs w:val="21"/>
                      <w:highlight w:val="none"/>
                    </w:rPr>
                    <w:t>的工艺和设备。</w:t>
                  </w:r>
                </w:p>
              </w:tc>
              <w:tc>
                <w:tcPr>
                  <w:tcW w:w="2053" w:type="dxa"/>
                  <w:vAlign w:val="top"/>
                </w:tcPr>
                <w:p w14:paraId="0F3BC362">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left"/>
                    <w:textAlignment w:val="auto"/>
                    <w:rPr>
                      <w:sz w:val="21"/>
                      <w:szCs w:val="21"/>
                      <w:highlight w:val="none"/>
                    </w:rPr>
                  </w:pPr>
                  <w:r>
                    <w:rPr>
                      <w:spacing w:val="-4"/>
                      <w:sz w:val="21"/>
                      <w:szCs w:val="21"/>
                      <w:highlight w:val="none"/>
                    </w:rPr>
                    <w:t>项目所用的设备、工艺不属于</w:t>
                  </w:r>
                  <w:r>
                    <w:rPr>
                      <w:spacing w:val="-1"/>
                      <w:sz w:val="21"/>
                      <w:szCs w:val="21"/>
                      <w:highlight w:val="none"/>
                    </w:rPr>
                    <w:t>严重污染水环境的工艺和设</w:t>
                  </w:r>
                  <w:r>
                    <w:rPr>
                      <w:spacing w:val="-5"/>
                      <w:sz w:val="21"/>
                      <w:szCs w:val="21"/>
                      <w:highlight w:val="none"/>
                    </w:rPr>
                    <w:t>备。</w:t>
                  </w:r>
                </w:p>
              </w:tc>
              <w:tc>
                <w:tcPr>
                  <w:tcW w:w="829" w:type="dxa"/>
                  <w:tcBorders>
                    <w:right w:val="nil"/>
                  </w:tcBorders>
                  <w:vAlign w:val="top"/>
                </w:tcPr>
                <w:p w14:paraId="468A572B">
                  <w:pPr>
                    <w:pStyle w:val="60"/>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spacing w:val="-5"/>
                      <w:sz w:val="21"/>
                      <w:szCs w:val="21"/>
                      <w:highlight w:val="none"/>
                    </w:rPr>
                  </w:pPr>
                  <w:r>
                    <w:rPr>
                      <w:spacing w:val="-5"/>
                      <w:sz w:val="21"/>
                      <w:szCs w:val="21"/>
                      <w:highlight w:val="none"/>
                    </w:rPr>
                    <w:t>符合</w:t>
                  </w:r>
                </w:p>
              </w:tc>
            </w:tr>
          </w:tbl>
          <w:p w14:paraId="74F51337">
            <w:pPr>
              <w:pStyle w:val="60"/>
              <w:spacing w:before="35" w:line="220" w:lineRule="auto"/>
              <w:jc w:val="left"/>
              <w:rPr>
                <w:rFonts w:hint="eastAsia" w:ascii="Times New Roman" w:hAnsi="Times New Roman" w:eastAsia="宋体" w:cs="Times New Roman"/>
                <w:b/>
                <w:bCs/>
                <w:spacing w:val="-4"/>
                <w:lang w:val="en-US" w:eastAsia="zh-CN"/>
              </w:rPr>
            </w:pPr>
          </w:p>
          <w:p w14:paraId="7A20DEE1">
            <w:pPr>
              <w:pStyle w:val="60"/>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Theme="minorEastAsia" w:hAnsiTheme="minorEastAsia" w:eastAsiaTheme="minorEastAsia" w:cstheme="minorEastAsia"/>
              </w:rPr>
            </w:pPr>
            <w:r>
              <w:rPr>
                <w:rFonts w:hint="eastAsia" w:ascii="Times New Roman" w:hAnsi="Times New Roman" w:eastAsia="宋体" w:cs="Times New Roman"/>
                <w:b/>
                <w:bCs/>
                <w:spacing w:val="-4"/>
                <w:lang w:val="en-US" w:eastAsia="zh-CN"/>
              </w:rPr>
              <w:t>7</w:t>
            </w:r>
            <w:r>
              <w:rPr>
                <w:b/>
                <w:bCs/>
                <w:spacing w:val="-4"/>
              </w:rPr>
              <w:t>、</w:t>
            </w:r>
            <w:r>
              <w:rPr>
                <w:rFonts w:hint="eastAsia" w:asciiTheme="minorEastAsia" w:hAnsiTheme="minorEastAsia" w:eastAsiaTheme="minorEastAsia" w:cstheme="minorEastAsia"/>
                <w:b/>
                <w:bCs/>
                <w:szCs w:val="21"/>
              </w:rPr>
              <w:t>项目与生态环境分区管控符合性分析</w:t>
            </w:r>
          </w:p>
          <w:p w14:paraId="1212DDAB">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464" w:firstLineChars="200"/>
              <w:jc w:val="left"/>
              <w:textAlignment w:val="auto"/>
              <w:rPr>
                <w:rFonts w:hint="eastAsia" w:asciiTheme="minorEastAsia" w:hAnsiTheme="minorEastAsia" w:eastAsiaTheme="minorEastAsia" w:cstheme="minorEastAsia"/>
                <w:b w:val="0"/>
                <w:bCs w:val="0"/>
                <w:spacing w:val="-4"/>
              </w:rPr>
            </w:pPr>
            <w:r>
              <w:rPr>
                <w:rFonts w:hint="eastAsia" w:asciiTheme="minorEastAsia" w:hAnsiTheme="minorEastAsia" w:eastAsiaTheme="minorEastAsia" w:cstheme="minorEastAsia"/>
                <w:b w:val="0"/>
                <w:bCs w:val="0"/>
                <w:spacing w:val="-4"/>
              </w:rPr>
              <w:t>根据生态环境部办公厅《关于印发(2023年生态环境分区管控成果动态更新工作方案)的通知》（环办环评函〔2023〕81号）和四川省生态环境保护委员会办公室《关于印发〈四川省2023年生态环境分区管控成果动态更新工作方案〉的通知》（川环办委办〔2023〕11号）要求，达州市人民政府办公室于2024年4月28日发布了《达州市人民政府办公室关于加强生态环境分区管控的通知》（达市府办函〔2024〕31号），开展项目与生态环境分区管控符合性分析。</w:t>
            </w:r>
          </w:p>
          <w:p w14:paraId="1CE7895A">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464" w:firstLineChars="200"/>
              <w:jc w:val="left"/>
              <w:textAlignment w:val="auto"/>
              <w:rPr>
                <w:rFonts w:hint="eastAsia"/>
                <w:b w:val="0"/>
                <w:bCs w:val="0"/>
                <w:spacing w:val="-4"/>
              </w:rPr>
            </w:pPr>
            <w:r>
              <w:rPr>
                <w:rFonts w:hint="eastAsia" w:asciiTheme="minorEastAsia" w:hAnsiTheme="minorEastAsia" w:eastAsiaTheme="minorEastAsia" w:cstheme="minorEastAsia"/>
                <w:b w:val="0"/>
                <w:bCs w:val="0"/>
                <w:spacing w:val="-4"/>
              </w:rPr>
              <w:t>根据达州市生态环境管控单元分布图（详见下图），项目所在管控单元为要素重点管控单元，所在地不涉及达州市生态保护红线及一般生态空间。</w:t>
            </w:r>
          </w:p>
          <w:p w14:paraId="2489305B">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480" w:firstLineChars="200"/>
              <w:jc w:val="left"/>
              <w:textAlignment w:val="auto"/>
              <w:rPr>
                <w:rFonts w:hint="eastAsia"/>
                <w:b w:val="0"/>
                <w:bCs w:val="0"/>
                <w:spacing w:val="-4"/>
              </w:rPr>
            </w:pPr>
            <w:r>
              <w:drawing>
                <wp:anchor distT="0" distB="0" distL="114300" distR="114300" simplePos="0" relativeHeight="251674624" behindDoc="1" locked="0" layoutInCell="1" allowOverlap="1">
                  <wp:simplePos x="0" y="0"/>
                  <wp:positionH relativeFrom="column">
                    <wp:posOffset>140970</wp:posOffset>
                  </wp:positionH>
                  <wp:positionV relativeFrom="paragraph">
                    <wp:posOffset>194310</wp:posOffset>
                  </wp:positionV>
                  <wp:extent cx="5142230" cy="3883025"/>
                  <wp:effectExtent l="0" t="0" r="1270" b="3175"/>
                  <wp:wrapNone/>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9"/>
                          <a:stretch>
                            <a:fillRect/>
                          </a:stretch>
                        </pic:blipFill>
                        <pic:spPr>
                          <a:xfrm>
                            <a:off x="0" y="0"/>
                            <a:ext cx="5142230" cy="3883025"/>
                          </a:xfrm>
                          <a:prstGeom prst="rect">
                            <a:avLst/>
                          </a:prstGeom>
                          <a:noFill/>
                          <a:ln>
                            <a:noFill/>
                          </a:ln>
                        </pic:spPr>
                      </pic:pic>
                    </a:graphicData>
                  </a:graphic>
                </wp:anchor>
              </w:drawing>
            </w:r>
          </w:p>
          <w:p w14:paraId="21FCF06D">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464" w:firstLineChars="200"/>
              <w:jc w:val="left"/>
              <w:textAlignment w:val="auto"/>
              <w:rPr>
                <w:rFonts w:hint="eastAsia"/>
                <w:b w:val="0"/>
                <w:bCs w:val="0"/>
                <w:spacing w:val="-4"/>
              </w:rPr>
            </w:pPr>
          </w:p>
          <w:p w14:paraId="1D891554">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464" w:firstLineChars="200"/>
              <w:jc w:val="left"/>
              <w:textAlignment w:val="auto"/>
              <w:rPr>
                <w:rFonts w:hint="eastAsia"/>
                <w:b w:val="0"/>
                <w:bCs w:val="0"/>
                <w:spacing w:val="-4"/>
              </w:rPr>
            </w:pPr>
          </w:p>
          <w:p w14:paraId="0A8E3BD8">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464" w:firstLineChars="200"/>
              <w:jc w:val="left"/>
              <w:textAlignment w:val="auto"/>
              <w:rPr>
                <w:rFonts w:hint="eastAsia"/>
                <w:b w:val="0"/>
                <w:bCs w:val="0"/>
                <w:spacing w:val="-4"/>
              </w:rPr>
            </w:pPr>
          </w:p>
          <w:p w14:paraId="2EB7EA52">
            <w:pPr>
              <w:spacing w:line="6213" w:lineRule="exact"/>
              <w:ind w:firstLine="132"/>
              <w:jc w:val="center"/>
              <w:rPr>
                <w:rFonts w:ascii="黑体" w:hAnsi="黑体" w:eastAsia="黑体" w:cs="黑体"/>
                <w:sz w:val="18"/>
                <w:szCs w:val="18"/>
              </w:rPr>
            </w:pPr>
            <w:r>
              <w:rPr>
                <w:sz w:val="24"/>
              </w:rPr>
              <mc:AlternateContent>
                <mc:Choice Requires="wps">
                  <w:drawing>
                    <wp:anchor distT="0" distB="0" distL="114300" distR="114300" simplePos="0" relativeHeight="251674624" behindDoc="0" locked="0" layoutInCell="1" allowOverlap="1">
                      <wp:simplePos x="0" y="0"/>
                      <wp:positionH relativeFrom="column">
                        <wp:posOffset>2331720</wp:posOffset>
                      </wp:positionH>
                      <wp:positionV relativeFrom="paragraph">
                        <wp:posOffset>1472565</wp:posOffset>
                      </wp:positionV>
                      <wp:extent cx="915670" cy="441325"/>
                      <wp:effectExtent l="234950" t="6350" r="11430" b="104775"/>
                      <wp:wrapNone/>
                      <wp:docPr id="27" name="矩形标注 27"/>
                      <wp:cNvGraphicFramePr/>
                      <a:graphic xmlns:a="http://schemas.openxmlformats.org/drawingml/2006/main">
                        <a:graphicData uri="http://schemas.microsoft.com/office/word/2010/wordprocessingShape">
                          <wps:wsp>
                            <wps:cNvSpPr/>
                            <wps:spPr>
                              <a:xfrm>
                                <a:off x="3378200" y="3213100"/>
                                <a:ext cx="915670" cy="441325"/>
                              </a:xfrm>
                              <a:prstGeom prst="wedgeRectCallout">
                                <a:avLst>
                                  <a:gd name="adj1" fmla="val -74985"/>
                                  <a:gd name="adj2" fmla="val 68840"/>
                                </a:avLst>
                              </a:prstGeom>
                              <a:noFill/>
                              <a:ln w="12700">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C792D1D">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3.6pt;margin-top:115.95pt;height:34.75pt;width:72.1pt;z-index:251674624;v-text-anchor:middle;mso-width-relative:page;mso-height-relative:page;" filled="f" stroked="t" coordsize="21600,21600" o:gfxdata="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mp1APaAAAACwEAAA8AAAAAAAAAAQAgAAAAIgAAAGRycy9kb3du&#10;cmV2LnhtbFBLAQIUABQAAAAIAIdO4kAp0TQOqAIAADAFAAAOAAAAAAAAAAEAIAAAACkBAABkcnMv&#10;ZTJvRG9jLnhtbFBLBQYAAAAABgAGAFkBAABDBgAAAAA=&#10;" adj="-5397,25669">
                      <v:fill on="f" focussize="0,0"/>
                      <v:stroke weight="1pt" color="#C00000 [2404]" joinstyle="round"/>
                      <v:imagedata o:title=""/>
                      <o:lock v:ext="edit" aspectratio="f"/>
                      <v:textbox>
                        <w:txbxContent>
                          <w:p w14:paraId="3C792D1D">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本项目所在地</w:t>
                            </w:r>
                          </w:p>
                        </w:txbxContent>
                      </v:textbox>
                    </v:shape>
                  </w:pict>
                </mc:Fallback>
              </mc:AlternateContent>
            </w:r>
            <w:r>
              <w:rPr>
                <w:rFonts w:ascii="黑体" w:hAnsi="黑体" w:eastAsia="黑体" w:cs="黑体"/>
                <w:spacing w:val="-2"/>
                <w:position w:val="2"/>
                <w:sz w:val="18"/>
                <w:szCs w:val="18"/>
              </w:rPr>
              <w:t>图</w:t>
            </w:r>
            <w:r>
              <w:rPr>
                <w:rFonts w:ascii="Times New Roman" w:hAnsi="Times New Roman" w:eastAsia="Times New Roman" w:cs="Times New Roman"/>
                <w:spacing w:val="-2"/>
                <w:position w:val="2"/>
                <w:sz w:val="18"/>
                <w:szCs w:val="18"/>
              </w:rPr>
              <w:t>1-3</w:t>
            </w:r>
            <w:r>
              <w:rPr>
                <w:rFonts w:ascii="黑体" w:hAnsi="黑体" w:eastAsia="黑体" w:cs="黑体"/>
                <w:spacing w:val="-2"/>
                <w:position w:val="2"/>
                <w:sz w:val="18"/>
                <w:szCs w:val="18"/>
              </w:rPr>
              <w:t>：项目与达州市生态保护红线分布位置关系示意图</w:t>
            </w:r>
          </w:p>
          <w:p w14:paraId="074ABAF8">
            <w:pPr>
              <w:pStyle w:val="15"/>
              <w:spacing w:before="167" w:line="222" w:lineRule="auto"/>
              <w:jc w:val="center"/>
              <w:rPr>
                <w:rFonts w:hint="eastAsia"/>
                <w:b/>
                <w:bCs/>
                <w:spacing w:val="6"/>
                <w:sz w:val="20"/>
                <w:szCs w:val="20"/>
                <w:lang w:val="en-US" w:eastAsia="zh-CN"/>
              </w:rPr>
            </w:pPr>
          </w:p>
          <w:p w14:paraId="0AADB7FC">
            <w:pPr>
              <w:pStyle w:val="15"/>
              <w:spacing w:before="167" w:line="222" w:lineRule="auto"/>
              <w:jc w:val="center"/>
              <w:rPr>
                <w:rFonts w:hint="eastAsia"/>
                <w:b/>
                <w:bCs/>
                <w:spacing w:val="6"/>
                <w:sz w:val="20"/>
                <w:szCs w:val="20"/>
                <w:lang w:val="en-US" w:eastAsia="zh-CN"/>
              </w:rPr>
            </w:pPr>
          </w:p>
          <w:p w14:paraId="71612D04">
            <w:pPr>
              <w:pStyle w:val="15"/>
              <w:spacing w:before="167" w:line="222" w:lineRule="auto"/>
              <w:jc w:val="center"/>
              <w:rPr>
                <w:rFonts w:hint="eastAsia"/>
                <w:b/>
                <w:bCs/>
                <w:spacing w:val="6"/>
                <w:sz w:val="20"/>
                <w:szCs w:val="20"/>
                <w:lang w:val="en-US" w:eastAsia="zh-CN"/>
              </w:rPr>
            </w:pPr>
          </w:p>
          <w:p w14:paraId="449160F8">
            <w:pPr>
              <w:pStyle w:val="15"/>
              <w:spacing w:before="167" w:line="222" w:lineRule="auto"/>
              <w:jc w:val="center"/>
              <w:rPr>
                <w:rFonts w:hint="eastAsia"/>
                <w:b/>
                <w:bCs/>
                <w:spacing w:val="6"/>
                <w:sz w:val="20"/>
                <w:szCs w:val="20"/>
                <w:lang w:val="en-US" w:eastAsia="zh-CN"/>
              </w:rPr>
            </w:pPr>
          </w:p>
          <w:p w14:paraId="18B3F86A">
            <w:pPr>
              <w:pStyle w:val="15"/>
              <w:keepNext w:val="0"/>
              <w:keepLines w:val="0"/>
              <w:pageBreakBefore w:val="0"/>
              <w:widowControl/>
              <w:kinsoku/>
              <w:wordWrap/>
              <w:overflowPunct/>
              <w:topLinePunct w:val="0"/>
              <w:autoSpaceDE/>
              <w:autoSpaceDN/>
              <w:bidi w:val="0"/>
              <w:adjustRightInd/>
              <w:snapToGrid w:val="0"/>
              <w:spacing w:before="0" w:after="0" w:line="480" w:lineRule="exact"/>
              <w:ind w:right="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6"/>
                <w:sz w:val="24"/>
                <w:szCs w:val="24"/>
                <w:lang w:val="en-US" w:eastAsia="zh-CN"/>
              </w:rPr>
              <w:tab/>
            </w:r>
            <w:r>
              <w:rPr>
                <w:rFonts w:hint="eastAsia" w:asciiTheme="minorEastAsia" w:hAnsiTheme="minorEastAsia" w:eastAsiaTheme="minorEastAsia" w:cstheme="minorEastAsia"/>
                <w:b/>
                <w:bCs/>
                <w:spacing w:val="6"/>
                <w:sz w:val="24"/>
                <w:szCs w:val="24"/>
                <w:lang w:val="en-US" w:eastAsia="zh-CN"/>
              </w:rPr>
              <w:tab/>
            </w:r>
            <w:r>
              <w:rPr>
                <w:rFonts w:hint="eastAsia" w:asciiTheme="minorEastAsia" w:hAnsiTheme="minorEastAsia" w:eastAsiaTheme="minorEastAsia" w:cstheme="minorEastAsia"/>
                <w:b/>
                <w:bCs/>
                <w:spacing w:val="6"/>
                <w:sz w:val="24"/>
                <w:szCs w:val="24"/>
              </w:rPr>
              <w:t>表</w:t>
            </w:r>
            <w:r>
              <w:rPr>
                <w:rFonts w:hint="eastAsia" w:asciiTheme="minorEastAsia" w:hAnsiTheme="minorEastAsia" w:eastAsiaTheme="minorEastAsia" w:cstheme="minorEastAsia"/>
                <w:b/>
                <w:bCs/>
                <w:spacing w:val="6"/>
                <w:sz w:val="24"/>
                <w:szCs w:val="24"/>
                <w:lang w:val="en-US" w:eastAsia="zh-CN"/>
              </w:rPr>
              <w:t>1-6</w:t>
            </w:r>
            <w:r>
              <w:rPr>
                <w:rFonts w:hint="eastAsia" w:asciiTheme="minorEastAsia" w:hAnsiTheme="minorEastAsia" w:eastAsiaTheme="minorEastAsia" w:cstheme="minorEastAsia"/>
                <w:b/>
                <w:bCs/>
                <w:spacing w:val="6"/>
                <w:sz w:val="24"/>
                <w:szCs w:val="24"/>
              </w:rPr>
              <w:t>项目建设与区域生态环境分区管控要求符合性分析</w:t>
            </w:r>
          </w:p>
          <w:tbl>
            <w:tblPr>
              <w:tblStyle w:val="57"/>
              <w:tblW w:w="7937" w:type="dxa"/>
              <w:tblInd w:w="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9"/>
              <w:gridCol w:w="4374"/>
              <w:gridCol w:w="1846"/>
              <w:gridCol w:w="808"/>
            </w:tblGrid>
            <w:tr w14:paraId="1742D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034" w:type="dxa"/>
                  <w:vAlign w:val="top"/>
                </w:tcPr>
                <w:p w14:paraId="47EED781">
                  <w:pPr>
                    <w:pStyle w:val="60"/>
                    <w:spacing w:before="36" w:line="217" w:lineRule="auto"/>
                    <w:ind w:left="326"/>
                    <w:rPr>
                      <w:sz w:val="21"/>
                      <w:szCs w:val="21"/>
                    </w:rPr>
                  </w:pPr>
                  <w:r>
                    <w:rPr>
                      <w:b/>
                      <w:bCs/>
                      <w:spacing w:val="-4"/>
                      <w:sz w:val="21"/>
                      <w:szCs w:val="21"/>
                    </w:rPr>
                    <w:t>区域</w:t>
                  </w:r>
                </w:p>
              </w:tc>
              <w:tc>
                <w:tcPr>
                  <w:tcW w:w="4978" w:type="dxa"/>
                  <w:vAlign w:val="top"/>
                </w:tcPr>
                <w:p w14:paraId="0EB93645">
                  <w:pPr>
                    <w:pStyle w:val="60"/>
                    <w:spacing w:before="36" w:line="217" w:lineRule="auto"/>
                    <w:ind w:left="1652"/>
                    <w:rPr>
                      <w:sz w:val="21"/>
                      <w:szCs w:val="21"/>
                    </w:rPr>
                  </w:pPr>
                  <w:r>
                    <w:rPr>
                      <w:b/>
                      <w:bCs/>
                      <w:spacing w:val="7"/>
                      <w:sz w:val="21"/>
                      <w:szCs w:val="21"/>
                    </w:rPr>
                    <w:t>生态环境管控要求</w:t>
                  </w:r>
                </w:p>
              </w:tc>
              <w:tc>
                <w:tcPr>
                  <w:tcW w:w="2100" w:type="dxa"/>
                  <w:vAlign w:val="top"/>
                </w:tcPr>
                <w:p w14:paraId="2D2A6B8F">
                  <w:pPr>
                    <w:pStyle w:val="60"/>
                    <w:spacing w:before="36" w:line="217" w:lineRule="auto"/>
                    <w:ind w:left="530"/>
                    <w:rPr>
                      <w:sz w:val="21"/>
                      <w:szCs w:val="21"/>
                    </w:rPr>
                  </w:pPr>
                  <w:r>
                    <w:rPr>
                      <w:b/>
                      <w:bCs/>
                      <w:spacing w:val="6"/>
                      <w:sz w:val="21"/>
                      <w:szCs w:val="21"/>
                    </w:rPr>
                    <w:t>本项目情况</w:t>
                  </w:r>
                </w:p>
              </w:tc>
              <w:tc>
                <w:tcPr>
                  <w:tcW w:w="918" w:type="dxa"/>
                  <w:vAlign w:val="top"/>
                </w:tcPr>
                <w:p w14:paraId="52635ACE">
                  <w:pPr>
                    <w:pStyle w:val="60"/>
                    <w:spacing w:before="36" w:line="217" w:lineRule="auto"/>
                    <w:ind w:left="149"/>
                    <w:rPr>
                      <w:sz w:val="21"/>
                      <w:szCs w:val="21"/>
                    </w:rPr>
                  </w:pPr>
                  <w:r>
                    <w:rPr>
                      <w:b/>
                      <w:bCs/>
                      <w:spacing w:val="5"/>
                      <w:sz w:val="21"/>
                      <w:szCs w:val="21"/>
                    </w:rPr>
                    <w:t>符合性</w:t>
                  </w:r>
                </w:p>
              </w:tc>
            </w:tr>
            <w:tr w14:paraId="1A24E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4" w:hRule="atLeast"/>
              </w:trPr>
              <w:tc>
                <w:tcPr>
                  <w:tcW w:w="1034" w:type="dxa"/>
                  <w:vAlign w:val="top"/>
                </w:tcPr>
                <w:p w14:paraId="681D8CCF">
                  <w:pPr>
                    <w:pStyle w:val="60"/>
                    <w:spacing w:before="65" w:line="227" w:lineRule="auto"/>
                    <w:ind w:left="101"/>
                    <w:rPr>
                      <w:sz w:val="21"/>
                      <w:szCs w:val="21"/>
                    </w:rPr>
                  </w:pPr>
                  <w:r>
                    <w:rPr>
                      <w:spacing w:val="7"/>
                      <w:sz w:val="21"/>
                      <w:szCs w:val="21"/>
                    </w:rPr>
                    <w:t>达州市总体管控要</w:t>
                  </w:r>
                  <w:r>
                    <w:rPr>
                      <w:sz w:val="21"/>
                      <w:szCs w:val="21"/>
                    </w:rPr>
                    <w:t>求</w:t>
                  </w:r>
                </w:p>
              </w:tc>
              <w:tc>
                <w:tcPr>
                  <w:tcW w:w="4978" w:type="dxa"/>
                  <w:vAlign w:val="top"/>
                </w:tcPr>
                <w:p w14:paraId="3C3CDE7C">
                  <w:pPr>
                    <w:pStyle w:val="60"/>
                    <w:spacing w:before="31" w:line="239" w:lineRule="auto"/>
                    <w:ind w:left="31" w:right="25" w:firstLine="14"/>
                    <w:jc w:val="left"/>
                    <w:rPr>
                      <w:sz w:val="21"/>
                      <w:szCs w:val="21"/>
                    </w:rPr>
                  </w:pPr>
                  <w:r>
                    <w:rPr>
                      <w:spacing w:val="16"/>
                      <w:sz w:val="21"/>
                      <w:szCs w:val="21"/>
                    </w:rPr>
                    <w:t>1.长江干支流岸线1千米范围内，不得新建、扩建</w:t>
                  </w:r>
                  <w:r>
                    <w:rPr>
                      <w:spacing w:val="7"/>
                      <w:sz w:val="21"/>
                      <w:szCs w:val="21"/>
                    </w:rPr>
                    <w:t>化工园区和化工项目。</w:t>
                  </w:r>
                </w:p>
                <w:p w14:paraId="25EF5335">
                  <w:pPr>
                    <w:pStyle w:val="60"/>
                    <w:spacing w:before="25" w:line="228" w:lineRule="auto"/>
                    <w:ind w:left="33"/>
                    <w:jc w:val="left"/>
                    <w:rPr>
                      <w:sz w:val="21"/>
                      <w:szCs w:val="21"/>
                    </w:rPr>
                  </w:pPr>
                  <w:r>
                    <w:rPr>
                      <w:spacing w:val="7"/>
                      <w:sz w:val="21"/>
                      <w:szCs w:val="21"/>
                    </w:rPr>
                    <w:t>2.严控产业转移环境准入。</w:t>
                  </w:r>
                </w:p>
                <w:p w14:paraId="5C0B942E">
                  <w:pPr>
                    <w:pStyle w:val="60"/>
                    <w:spacing w:before="27" w:line="239" w:lineRule="auto"/>
                    <w:ind w:left="32" w:right="25" w:firstLine="2"/>
                    <w:jc w:val="left"/>
                    <w:rPr>
                      <w:sz w:val="21"/>
                      <w:szCs w:val="21"/>
                    </w:rPr>
                  </w:pPr>
                  <w:r>
                    <w:rPr>
                      <w:spacing w:val="17"/>
                      <w:sz w:val="21"/>
                      <w:szCs w:val="21"/>
                    </w:rPr>
                    <w:t>3.引进项目应符合园区规划环评和区域产业准入清</w:t>
                  </w:r>
                  <w:r>
                    <w:rPr>
                      <w:spacing w:val="4"/>
                      <w:sz w:val="21"/>
                      <w:szCs w:val="21"/>
                    </w:rPr>
                    <w:t>单要求。</w:t>
                  </w:r>
                </w:p>
                <w:p w14:paraId="1ADE0299">
                  <w:pPr>
                    <w:pStyle w:val="60"/>
                    <w:spacing w:before="25" w:line="246" w:lineRule="auto"/>
                    <w:ind w:left="29" w:right="25"/>
                    <w:jc w:val="left"/>
                    <w:rPr>
                      <w:sz w:val="21"/>
                      <w:szCs w:val="21"/>
                    </w:rPr>
                  </w:pPr>
                  <w:r>
                    <w:rPr>
                      <w:spacing w:val="17"/>
                      <w:sz w:val="21"/>
                      <w:szCs w:val="21"/>
                    </w:rPr>
                    <w:t>4.造纸等产业污染治理和环境管理应达到国内先进</w:t>
                  </w:r>
                  <w:r>
                    <w:rPr>
                      <w:spacing w:val="13"/>
                      <w:sz w:val="21"/>
                      <w:szCs w:val="21"/>
                    </w:rPr>
                    <w:t>水平。优化制浆造纸产业布局，提升行业清洁生产水</w:t>
                  </w:r>
                  <w:r>
                    <w:rPr>
                      <w:spacing w:val="21"/>
                      <w:sz w:val="21"/>
                      <w:szCs w:val="21"/>
                    </w:rPr>
                    <w:t>平，推动制浆造纸工业向节能、环保、绿色方向发</w:t>
                  </w:r>
                  <w:r>
                    <w:rPr>
                      <w:sz w:val="21"/>
                      <w:szCs w:val="21"/>
                    </w:rPr>
                    <w:t>展。</w:t>
                  </w:r>
                </w:p>
                <w:p w14:paraId="14D1FEB4">
                  <w:pPr>
                    <w:pStyle w:val="60"/>
                    <w:spacing w:before="23" w:line="246" w:lineRule="auto"/>
                    <w:ind w:left="29" w:right="25" w:firstLine="5"/>
                    <w:jc w:val="left"/>
                    <w:rPr>
                      <w:sz w:val="21"/>
                      <w:szCs w:val="21"/>
                    </w:rPr>
                  </w:pPr>
                  <w:r>
                    <w:rPr>
                      <w:spacing w:val="17"/>
                      <w:sz w:val="21"/>
                      <w:szCs w:val="21"/>
                    </w:rPr>
                    <w:t>5.深化成都平原、川南、川东北地区大气污染联防</w:t>
                  </w:r>
                  <w:r>
                    <w:rPr>
                      <w:spacing w:val="13"/>
                      <w:sz w:val="21"/>
                      <w:szCs w:val="21"/>
                    </w:rPr>
                    <w:t>联控工作机制，加强川渝地区联防联控。强化重污染天气区域应急联动机制，深化区域重污染天气联合应</w:t>
                  </w:r>
                  <w:r>
                    <w:rPr>
                      <w:sz w:val="21"/>
                      <w:szCs w:val="21"/>
                    </w:rPr>
                    <w:t>对。</w:t>
                  </w:r>
                </w:p>
                <w:p w14:paraId="1952D121">
                  <w:pPr>
                    <w:pStyle w:val="60"/>
                    <w:spacing w:before="23" w:line="243" w:lineRule="auto"/>
                    <w:ind w:left="29" w:right="25" w:firstLine="2"/>
                    <w:jc w:val="left"/>
                    <w:rPr>
                      <w:sz w:val="21"/>
                      <w:szCs w:val="21"/>
                    </w:rPr>
                  </w:pPr>
                  <w:r>
                    <w:rPr>
                      <w:spacing w:val="15"/>
                      <w:sz w:val="21"/>
                      <w:szCs w:val="21"/>
                    </w:rPr>
                    <w:t>6.钢铁行业项目新建应参考达州市“三线一单”生</w:t>
                  </w:r>
                  <w:r>
                    <w:rPr>
                      <w:spacing w:val="13"/>
                      <w:sz w:val="21"/>
                      <w:szCs w:val="21"/>
                    </w:rPr>
                    <w:t>态环境分区管控中钢铁行业资源环境绩效准入门槛；达钢等高污染企业限期退城入园；普光气田开发污染</w:t>
                  </w:r>
                  <w:r>
                    <w:rPr>
                      <w:spacing w:val="8"/>
                      <w:sz w:val="21"/>
                      <w:szCs w:val="21"/>
                    </w:rPr>
                    <w:t>防治和环境管理等方面要达国内先进水平。</w:t>
                  </w:r>
                </w:p>
              </w:tc>
              <w:tc>
                <w:tcPr>
                  <w:tcW w:w="2100" w:type="dxa"/>
                  <w:vAlign w:val="top"/>
                </w:tcPr>
                <w:p w14:paraId="4C0BB086">
                  <w:pPr>
                    <w:pStyle w:val="60"/>
                    <w:spacing w:before="302" w:line="228" w:lineRule="auto"/>
                    <w:ind w:left="115"/>
                    <w:jc w:val="left"/>
                    <w:rPr>
                      <w:sz w:val="21"/>
                      <w:szCs w:val="21"/>
                    </w:rPr>
                  </w:pPr>
                  <w:r>
                    <w:rPr>
                      <w:spacing w:val="7"/>
                      <w:sz w:val="21"/>
                      <w:szCs w:val="21"/>
                    </w:rPr>
                    <w:t>项目</w:t>
                  </w:r>
                  <w:r>
                    <w:rPr>
                      <w:rFonts w:hint="eastAsia"/>
                      <w:spacing w:val="7"/>
                      <w:sz w:val="21"/>
                      <w:szCs w:val="21"/>
                      <w:lang w:val="en-US" w:eastAsia="zh-CN"/>
                    </w:rPr>
                    <w:t>不</w:t>
                  </w:r>
                  <w:r>
                    <w:rPr>
                      <w:spacing w:val="7"/>
                      <w:sz w:val="21"/>
                      <w:szCs w:val="21"/>
                    </w:rPr>
                    <w:t>属于化工项目，</w:t>
                  </w:r>
                  <w:r>
                    <w:rPr>
                      <w:spacing w:val="8"/>
                      <w:sz w:val="21"/>
                      <w:szCs w:val="21"/>
                    </w:rPr>
                    <w:t>项目符合园区规</w:t>
                  </w:r>
                  <w:r>
                    <w:rPr>
                      <w:spacing w:val="9"/>
                      <w:sz w:val="21"/>
                      <w:szCs w:val="21"/>
                    </w:rPr>
                    <w:t>划环评和区域产业准入清单要求。项目废</w:t>
                  </w:r>
                  <w:r>
                    <w:rPr>
                      <w:spacing w:val="8"/>
                      <w:sz w:val="21"/>
                      <w:szCs w:val="21"/>
                    </w:rPr>
                    <w:t>气采取严格的大气污染治理措施，确保实现达标排放。项目不属于钢铁、造纸行</w:t>
                  </w:r>
                  <w:r>
                    <w:rPr>
                      <w:sz w:val="21"/>
                      <w:szCs w:val="21"/>
                    </w:rPr>
                    <w:t>业。</w:t>
                  </w:r>
                </w:p>
              </w:tc>
              <w:tc>
                <w:tcPr>
                  <w:tcW w:w="918" w:type="dxa"/>
                  <w:vAlign w:val="top"/>
                </w:tcPr>
                <w:p w14:paraId="047F542B">
                  <w:pPr>
                    <w:spacing w:line="266" w:lineRule="auto"/>
                    <w:rPr>
                      <w:rFonts w:ascii="Arial"/>
                      <w:sz w:val="21"/>
                      <w:szCs w:val="21"/>
                    </w:rPr>
                  </w:pPr>
                </w:p>
                <w:p w14:paraId="0D3953E9">
                  <w:pPr>
                    <w:spacing w:line="266" w:lineRule="auto"/>
                    <w:rPr>
                      <w:rFonts w:ascii="Arial"/>
                      <w:sz w:val="21"/>
                      <w:szCs w:val="21"/>
                    </w:rPr>
                  </w:pPr>
                </w:p>
                <w:p w14:paraId="6A430F34">
                  <w:pPr>
                    <w:spacing w:line="266" w:lineRule="auto"/>
                    <w:rPr>
                      <w:rFonts w:ascii="Arial"/>
                      <w:sz w:val="21"/>
                      <w:szCs w:val="21"/>
                    </w:rPr>
                  </w:pPr>
                </w:p>
                <w:p w14:paraId="426215CA">
                  <w:pPr>
                    <w:spacing w:line="266" w:lineRule="auto"/>
                    <w:rPr>
                      <w:rFonts w:ascii="Arial"/>
                      <w:sz w:val="21"/>
                      <w:szCs w:val="21"/>
                    </w:rPr>
                  </w:pPr>
                </w:p>
                <w:p w14:paraId="7E6B2542">
                  <w:pPr>
                    <w:spacing w:line="266" w:lineRule="auto"/>
                    <w:rPr>
                      <w:rFonts w:ascii="Arial"/>
                      <w:sz w:val="21"/>
                      <w:szCs w:val="21"/>
                    </w:rPr>
                  </w:pPr>
                </w:p>
                <w:p w14:paraId="650242EF">
                  <w:pPr>
                    <w:spacing w:line="267" w:lineRule="auto"/>
                    <w:rPr>
                      <w:rFonts w:ascii="Arial"/>
                      <w:sz w:val="21"/>
                      <w:szCs w:val="21"/>
                    </w:rPr>
                  </w:pPr>
                </w:p>
                <w:p w14:paraId="4EA067EA">
                  <w:pPr>
                    <w:spacing w:line="267" w:lineRule="auto"/>
                    <w:rPr>
                      <w:rFonts w:ascii="Arial"/>
                      <w:sz w:val="21"/>
                      <w:szCs w:val="21"/>
                    </w:rPr>
                  </w:pPr>
                </w:p>
                <w:p w14:paraId="1AAA2463">
                  <w:pPr>
                    <w:spacing w:line="267" w:lineRule="auto"/>
                    <w:rPr>
                      <w:rFonts w:ascii="Arial"/>
                      <w:sz w:val="21"/>
                      <w:szCs w:val="21"/>
                    </w:rPr>
                  </w:pPr>
                </w:p>
                <w:p w14:paraId="7F940357">
                  <w:pPr>
                    <w:pStyle w:val="60"/>
                    <w:spacing w:before="65" w:line="228" w:lineRule="auto"/>
                    <w:ind w:left="257"/>
                    <w:rPr>
                      <w:sz w:val="21"/>
                      <w:szCs w:val="21"/>
                    </w:rPr>
                  </w:pPr>
                  <w:r>
                    <w:rPr>
                      <w:spacing w:val="3"/>
                      <w:sz w:val="21"/>
                      <w:szCs w:val="21"/>
                    </w:rPr>
                    <w:t>符合</w:t>
                  </w:r>
                </w:p>
              </w:tc>
            </w:tr>
          </w:tbl>
          <w:p w14:paraId="010AFF9B">
            <w:pPr>
              <w:pStyle w:val="15"/>
              <w:spacing w:before="35" w:line="360" w:lineRule="auto"/>
              <w:ind w:left="121" w:right="415" w:firstLine="482"/>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为调查项目所在管控单元，本评价在四川政务</w:t>
            </w:r>
            <w:r>
              <w:rPr>
                <w:rFonts w:hint="default" w:ascii="Times New Roman" w:hAnsi="Times New Roman" w:eastAsia="宋体" w:cs="Times New Roman"/>
                <w:spacing w:val="-1"/>
                <w:sz w:val="24"/>
                <w:szCs w:val="24"/>
              </w:rPr>
              <w:t>服务网一四川省生态环境厅“生态环境分区管控符合性分析”应用平台进行了线上查询。</w:t>
            </w:r>
          </w:p>
          <w:p w14:paraId="50A20CC2">
            <w:pPr>
              <w:pStyle w:val="15"/>
              <w:spacing w:line="219" w:lineRule="auto"/>
              <w:ind w:left="601"/>
              <w:jc w:val="left"/>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根据查询结果，该项目涉及环境管控单元6个，管控单元见下表。</w:t>
            </w:r>
          </w:p>
          <w:p w14:paraId="73876D67">
            <w:pPr>
              <w:pStyle w:val="15"/>
              <w:keepNext w:val="0"/>
              <w:keepLines w:val="0"/>
              <w:pageBreakBefore w:val="0"/>
              <w:widowControl/>
              <w:kinsoku/>
              <w:wordWrap/>
              <w:overflowPunct/>
              <w:topLinePunct w:val="0"/>
              <w:autoSpaceDE/>
              <w:autoSpaceDN/>
              <w:bidi w:val="0"/>
              <w:adjustRightInd/>
              <w:snapToGrid w:val="0"/>
              <w:spacing w:before="0" w:after="0" w:line="480" w:lineRule="exact"/>
              <w:ind w:right="0"/>
              <w:jc w:val="center"/>
              <w:textAlignment w:val="auto"/>
              <w:rPr>
                <w:rFonts w:hint="default" w:ascii="Times New Roman" w:hAnsi="Times New Roman" w:eastAsia="宋体" w:cs="Times New Roman"/>
                <w:b/>
                <w:bCs/>
                <w:spacing w:val="-4"/>
                <w:sz w:val="24"/>
                <w:szCs w:val="24"/>
              </w:rPr>
            </w:pPr>
            <w:r>
              <w:rPr>
                <w:rFonts w:hint="default" w:ascii="Times New Roman" w:hAnsi="Times New Roman" w:eastAsia="宋体" w:cs="Times New Roman"/>
                <w:b/>
                <w:bCs/>
                <w:spacing w:val="6"/>
                <w:sz w:val="24"/>
                <w:szCs w:val="24"/>
              </w:rPr>
              <w:t>表</w:t>
            </w:r>
            <w:r>
              <w:rPr>
                <w:rFonts w:hint="default" w:ascii="Times New Roman" w:hAnsi="Times New Roman" w:eastAsia="宋体" w:cs="Times New Roman"/>
                <w:b/>
                <w:bCs/>
                <w:spacing w:val="6"/>
                <w:sz w:val="24"/>
                <w:szCs w:val="24"/>
                <w:lang w:val="en-US" w:eastAsia="zh-CN"/>
              </w:rPr>
              <w:t>1-</w:t>
            </w:r>
            <w:r>
              <w:rPr>
                <w:rFonts w:hint="eastAsia" w:cs="Times New Roman"/>
                <w:b/>
                <w:bCs/>
                <w:spacing w:val="6"/>
                <w:sz w:val="24"/>
                <w:szCs w:val="24"/>
                <w:lang w:val="en-US" w:eastAsia="zh-CN"/>
              </w:rPr>
              <w:t>7</w:t>
            </w:r>
            <w:r>
              <w:rPr>
                <w:rFonts w:hint="default" w:ascii="Times New Roman" w:hAnsi="Times New Roman" w:eastAsia="宋体" w:cs="Times New Roman"/>
                <w:b/>
                <w:bCs/>
                <w:spacing w:val="6"/>
                <w:sz w:val="24"/>
                <w:szCs w:val="24"/>
              </w:rPr>
              <w:t>项目涉及的管控单元</w:t>
            </w:r>
          </w:p>
          <w:tbl>
            <w:tblPr>
              <w:tblStyle w:val="57"/>
              <w:tblW w:w="850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9"/>
              <w:gridCol w:w="1680"/>
              <w:gridCol w:w="1034"/>
              <w:gridCol w:w="733"/>
              <w:gridCol w:w="1162"/>
              <w:gridCol w:w="2026"/>
            </w:tblGrid>
            <w:tr w14:paraId="3FA6D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69" w:type="dxa"/>
                  <w:vAlign w:val="top"/>
                </w:tcPr>
                <w:p w14:paraId="330447FB">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7"/>
                      <w:sz w:val="21"/>
                      <w:szCs w:val="21"/>
                    </w:rPr>
                    <w:t>环境管控单元编</w:t>
                  </w:r>
                  <w:r>
                    <w:rPr>
                      <w:rFonts w:hint="default" w:ascii="Times New Roman" w:hAnsi="Times New Roman" w:eastAsia="宋体" w:cs="Times New Roman"/>
                      <w:b/>
                      <w:bCs/>
                      <w:spacing w:val="-1"/>
                      <w:sz w:val="21"/>
                      <w:szCs w:val="21"/>
                    </w:rPr>
                    <w:t>码</w:t>
                  </w:r>
                </w:p>
              </w:tc>
              <w:tc>
                <w:tcPr>
                  <w:tcW w:w="1680" w:type="dxa"/>
                  <w:vAlign w:val="top"/>
                </w:tcPr>
                <w:p w14:paraId="3C24792B">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7"/>
                      <w:sz w:val="21"/>
                      <w:szCs w:val="21"/>
                    </w:rPr>
                    <w:t>环境管控单元名</w:t>
                  </w:r>
                  <w:r>
                    <w:rPr>
                      <w:rFonts w:hint="default" w:ascii="Times New Roman" w:hAnsi="Times New Roman" w:eastAsia="宋体" w:cs="Times New Roman"/>
                      <w:b/>
                      <w:bCs/>
                      <w:spacing w:val="-1"/>
                      <w:sz w:val="21"/>
                      <w:szCs w:val="21"/>
                    </w:rPr>
                    <w:t>称</w:t>
                  </w:r>
                </w:p>
              </w:tc>
              <w:tc>
                <w:tcPr>
                  <w:tcW w:w="1034" w:type="dxa"/>
                  <w:vAlign w:val="top"/>
                </w:tcPr>
                <w:p w14:paraId="4D08F80E">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所属市</w:t>
                  </w:r>
                </w:p>
                <w:p w14:paraId="29977511">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（州）</w:t>
                  </w:r>
                </w:p>
              </w:tc>
              <w:tc>
                <w:tcPr>
                  <w:tcW w:w="733" w:type="dxa"/>
                  <w:vAlign w:val="top"/>
                </w:tcPr>
                <w:p w14:paraId="5BEF9341">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3"/>
                      <w:sz w:val="21"/>
                      <w:szCs w:val="21"/>
                    </w:rPr>
                    <w:t>所属</w:t>
                  </w:r>
                </w:p>
                <w:p w14:paraId="5F57D5C3">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4"/>
                      <w:sz w:val="21"/>
                      <w:szCs w:val="21"/>
                    </w:rPr>
                    <w:t>区县</w:t>
                  </w:r>
                </w:p>
              </w:tc>
              <w:tc>
                <w:tcPr>
                  <w:tcW w:w="1162" w:type="dxa"/>
                  <w:vAlign w:val="top"/>
                </w:tcPr>
                <w:p w14:paraId="583146C1">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6"/>
                      <w:sz w:val="21"/>
                      <w:szCs w:val="21"/>
                    </w:rPr>
                    <w:t>准入清单</w:t>
                  </w:r>
                </w:p>
                <w:p w14:paraId="7131FA7E">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3"/>
                      <w:sz w:val="21"/>
                      <w:szCs w:val="21"/>
                    </w:rPr>
                    <w:t>类型</w:t>
                  </w:r>
                </w:p>
              </w:tc>
              <w:tc>
                <w:tcPr>
                  <w:tcW w:w="2026" w:type="dxa"/>
                  <w:vAlign w:val="top"/>
                </w:tcPr>
                <w:p w14:paraId="6D66ABBA">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5"/>
                      <w:sz w:val="21"/>
                      <w:szCs w:val="21"/>
                    </w:rPr>
                    <w:t>管控类型</w:t>
                  </w:r>
                </w:p>
              </w:tc>
            </w:tr>
            <w:tr w14:paraId="097F4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869" w:type="dxa"/>
                  <w:vAlign w:val="top"/>
                </w:tcPr>
                <w:p w14:paraId="31CBF69A">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YS5117033110001</w:t>
                  </w:r>
                </w:p>
              </w:tc>
              <w:tc>
                <w:tcPr>
                  <w:tcW w:w="1680" w:type="dxa"/>
                  <w:shd w:val="clear" w:color="auto" w:fill="auto"/>
                  <w:vAlign w:val="top"/>
                </w:tcPr>
                <w:p w14:paraId="4A0B8B74">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达川区其他区域</w:t>
                  </w:r>
                </w:p>
              </w:tc>
              <w:tc>
                <w:tcPr>
                  <w:tcW w:w="1034" w:type="dxa"/>
                  <w:vAlign w:val="top"/>
                </w:tcPr>
                <w:p w14:paraId="15ED447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达州市</w:t>
                  </w:r>
                </w:p>
              </w:tc>
              <w:tc>
                <w:tcPr>
                  <w:tcW w:w="733" w:type="dxa"/>
                  <w:vAlign w:val="top"/>
                </w:tcPr>
                <w:p w14:paraId="425064ED">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达川区</w:t>
                  </w:r>
                </w:p>
              </w:tc>
              <w:tc>
                <w:tcPr>
                  <w:tcW w:w="1162" w:type="dxa"/>
                  <w:vAlign w:val="top"/>
                </w:tcPr>
                <w:p w14:paraId="1590D325">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生态</w:t>
                  </w:r>
                </w:p>
              </w:tc>
              <w:tc>
                <w:tcPr>
                  <w:tcW w:w="2026" w:type="dxa"/>
                  <w:vAlign w:val="top"/>
                </w:tcPr>
                <w:p w14:paraId="270CFAAF">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一般管控区</w:t>
                  </w:r>
                </w:p>
              </w:tc>
            </w:tr>
            <w:tr w14:paraId="69699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869" w:type="dxa"/>
                  <w:vAlign w:val="top"/>
                </w:tcPr>
                <w:p w14:paraId="798F8563">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YS5117032210002</w:t>
                  </w:r>
                </w:p>
                <w:p w14:paraId="230CA43C">
                  <w:pPr>
                    <w:keepNext w:val="0"/>
                    <w:keepLines w:val="0"/>
                    <w:pageBreakBefore w:val="0"/>
                    <w:widowControl w:val="0"/>
                    <w:kinsoku/>
                    <w:wordWrap/>
                    <w:overflowPunct/>
                    <w:topLinePunct w:val="0"/>
                    <w:autoSpaceDE/>
                    <w:autoSpaceDN/>
                    <w:bidi w:val="0"/>
                    <w:adjustRightInd/>
                    <w:snapToGrid/>
                    <w:spacing w:line="240" w:lineRule="atLeast"/>
                    <w:ind w:left="0" w:right="0" w:firstLine="0"/>
                    <w:jc w:val="left"/>
                    <w:textAlignment w:val="auto"/>
                    <w:rPr>
                      <w:rFonts w:hint="default" w:ascii="Times New Roman" w:hAnsi="Times New Roman" w:eastAsia="宋体" w:cs="Times New Roman"/>
                      <w:sz w:val="21"/>
                      <w:szCs w:val="21"/>
                    </w:rPr>
                  </w:pPr>
                </w:p>
              </w:tc>
              <w:tc>
                <w:tcPr>
                  <w:tcW w:w="1680" w:type="dxa"/>
                  <w:shd w:val="clear" w:color="auto" w:fill="auto"/>
                  <w:vAlign w:val="top"/>
                </w:tcPr>
                <w:p w14:paraId="329F54A5">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铜钵河-达川区-观音桥-控制单元</w:t>
                  </w:r>
                </w:p>
              </w:tc>
              <w:tc>
                <w:tcPr>
                  <w:tcW w:w="1034" w:type="dxa"/>
                  <w:vAlign w:val="top"/>
                </w:tcPr>
                <w:p w14:paraId="0DA4BE7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达州市</w:t>
                  </w:r>
                </w:p>
              </w:tc>
              <w:tc>
                <w:tcPr>
                  <w:tcW w:w="733" w:type="dxa"/>
                  <w:vAlign w:val="top"/>
                </w:tcPr>
                <w:p w14:paraId="154E8543">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达川区</w:t>
                  </w:r>
                </w:p>
              </w:tc>
              <w:tc>
                <w:tcPr>
                  <w:tcW w:w="1162" w:type="dxa"/>
                  <w:vAlign w:val="top"/>
                </w:tcPr>
                <w:p w14:paraId="7F039FD2">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水</w:t>
                  </w:r>
                </w:p>
                <w:p w14:paraId="36F613D9">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jc w:val="left"/>
                    <w:textAlignment w:val="auto"/>
                    <w:rPr>
                      <w:rFonts w:hint="default" w:ascii="Times New Roman" w:hAnsi="Times New Roman" w:eastAsia="宋体" w:cs="Times New Roman"/>
                      <w:sz w:val="21"/>
                      <w:szCs w:val="21"/>
                    </w:rPr>
                  </w:pPr>
                </w:p>
              </w:tc>
              <w:tc>
                <w:tcPr>
                  <w:tcW w:w="2026" w:type="dxa"/>
                  <w:vAlign w:val="top"/>
                </w:tcPr>
                <w:p w14:paraId="407A11DE">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水环境工业污染重点</w:t>
                  </w:r>
                </w:p>
                <w:p w14:paraId="335B459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管控区</w:t>
                  </w:r>
                </w:p>
              </w:tc>
            </w:tr>
            <w:tr w14:paraId="63F7C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869" w:type="dxa"/>
                  <w:vAlign w:val="top"/>
                </w:tcPr>
                <w:p w14:paraId="1A4FD8A9">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YS5117032310001</w:t>
                  </w:r>
                </w:p>
              </w:tc>
              <w:tc>
                <w:tcPr>
                  <w:tcW w:w="1680" w:type="dxa"/>
                  <w:shd w:val="clear" w:color="auto" w:fill="auto"/>
                  <w:vAlign w:val="top"/>
                </w:tcPr>
                <w:p w14:paraId="6666A139">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达川工业园区</w:t>
                  </w:r>
                </w:p>
              </w:tc>
              <w:tc>
                <w:tcPr>
                  <w:tcW w:w="1034" w:type="dxa"/>
                  <w:vAlign w:val="top"/>
                </w:tcPr>
                <w:p w14:paraId="34E0550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达州市</w:t>
                  </w:r>
                </w:p>
              </w:tc>
              <w:tc>
                <w:tcPr>
                  <w:tcW w:w="733" w:type="dxa"/>
                  <w:vAlign w:val="top"/>
                </w:tcPr>
                <w:p w14:paraId="33AE745F">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达川区</w:t>
                  </w:r>
                </w:p>
              </w:tc>
              <w:tc>
                <w:tcPr>
                  <w:tcW w:w="1162" w:type="dxa"/>
                  <w:vAlign w:val="top"/>
                </w:tcPr>
                <w:p w14:paraId="79891A9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大气</w:t>
                  </w:r>
                </w:p>
              </w:tc>
              <w:tc>
                <w:tcPr>
                  <w:tcW w:w="2026" w:type="dxa"/>
                  <w:vAlign w:val="top"/>
                </w:tcPr>
                <w:p w14:paraId="6A998BC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大气环境高排放重点</w:t>
                  </w:r>
                </w:p>
                <w:p w14:paraId="2FC7115E">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管控区</w:t>
                  </w:r>
                </w:p>
                <w:p w14:paraId="545A41AD">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jc w:val="left"/>
                    <w:textAlignment w:val="auto"/>
                    <w:rPr>
                      <w:rFonts w:hint="default" w:ascii="Times New Roman" w:hAnsi="Times New Roman" w:eastAsia="宋体" w:cs="Times New Roman"/>
                      <w:sz w:val="21"/>
                      <w:szCs w:val="21"/>
                    </w:rPr>
                  </w:pPr>
                </w:p>
              </w:tc>
            </w:tr>
            <w:tr w14:paraId="55701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869" w:type="dxa"/>
                  <w:vAlign w:val="top"/>
                </w:tcPr>
                <w:p w14:paraId="012A344C">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YS5117032550001</w:t>
                  </w:r>
                </w:p>
              </w:tc>
              <w:tc>
                <w:tcPr>
                  <w:tcW w:w="1680" w:type="dxa"/>
                  <w:shd w:val="clear" w:color="auto" w:fill="auto"/>
                  <w:vAlign w:val="top"/>
                </w:tcPr>
                <w:p w14:paraId="7056FEE9">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达川区自然资源重点管控区</w:t>
                  </w:r>
                </w:p>
              </w:tc>
              <w:tc>
                <w:tcPr>
                  <w:tcW w:w="1034" w:type="dxa"/>
                  <w:vAlign w:val="top"/>
                </w:tcPr>
                <w:p w14:paraId="09DACF08">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达州市</w:t>
                  </w:r>
                </w:p>
              </w:tc>
              <w:tc>
                <w:tcPr>
                  <w:tcW w:w="733" w:type="dxa"/>
                  <w:vAlign w:val="top"/>
                </w:tcPr>
                <w:p w14:paraId="099D9322">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达川区</w:t>
                  </w:r>
                </w:p>
              </w:tc>
              <w:tc>
                <w:tcPr>
                  <w:tcW w:w="1162" w:type="dxa"/>
                  <w:vAlign w:val="top"/>
                </w:tcPr>
                <w:p w14:paraId="1CB8AF26">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自然资源</w:t>
                  </w:r>
                </w:p>
              </w:tc>
              <w:tc>
                <w:tcPr>
                  <w:tcW w:w="2026" w:type="dxa"/>
                  <w:vAlign w:val="top"/>
                </w:tcPr>
                <w:p w14:paraId="7F98EAD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自然资源重点管控区</w:t>
                  </w:r>
                </w:p>
              </w:tc>
            </w:tr>
            <w:tr w14:paraId="04043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869" w:type="dxa"/>
                  <w:vAlign w:val="top"/>
                </w:tcPr>
                <w:p w14:paraId="09C2F78D">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YS5117032530001</w:t>
                  </w:r>
                </w:p>
              </w:tc>
              <w:tc>
                <w:tcPr>
                  <w:tcW w:w="1680" w:type="dxa"/>
                  <w:shd w:val="clear" w:color="auto" w:fill="auto"/>
                  <w:vAlign w:val="top"/>
                </w:tcPr>
                <w:p w14:paraId="1B7A198B">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达川区城镇开发边界</w:t>
                  </w:r>
                </w:p>
              </w:tc>
              <w:tc>
                <w:tcPr>
                  <w:tcW w:w="1034" w:type="dxa"/>
                  <w:vAlign w:val="top"/>
                </w:tcPr>
                <w:p w14:paraId="71AA2280">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达州市</w:t>
                  </w:r>
                </w:p>
              </w:tc>
              <w:tc>
                <w:tcPr>
                  <w:tcW w:w="733" w:type="dxa"/>
                  <w:vAlign w:val="top"/>
                </w:tcPr>
                <w:p w14:paraId="1F2932A0">
                  <w:pPr>
                    <w:pStyle w:val="60"/>
                    <w:keepNext w:val="0"/>
                    <w:keepLines w:val="0"/>
                    <w:pageBreakBefore w:val="0"/>
                    <w:widowControl w:val="0"/>
                    <w:kinsoku/>
                    <w:wordWrap/>
                    <w:overflowPunct/>
                    <w:topLinePunct w:val="0"/>
                    <w:autoSpaceDE/>
                    <w:autoSpaceDN/>
                    <w:bidi w:val="0"/>
                    <w:adjustRightInd/>
                    <w:snapToGrid/>
                    <w:spacing w:line="240" w:lineRule="atLeast"/>
                    <w:ind w:left="0" w:right="0" w:firstLine="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达川区</w:t>
                  </w:r>
                </w:p>
              </w:tc>
              <w:tc>
                <w:tcPr>
                  <w:tcW w:w="1162" w:type="dxa"/>
                  <w:vAlign w:val="top"/>
                </w:tcPr>
                <w:p w14:paraId="7775737B">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自然资源</w:t>
                  </w:r>
                </w:p>
              </w:tc>
              <w:tc>
                <w:tcPr>
                  <w:tcW w:w="2026" w:type="dxa"/>
                  <w:vAlign w:val="top"/>
                </w:tcPr>
                <w:p w14:paraId="72959817">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土地资源重点管控区</w:t>
                  </w:r>
                </w:p>
              </w:tc>
            </w:tr>
          </w:tbl>
          <w:p w14:paraId="3AA78D6A">
            <w:pPr>
              <w:pStyle w:val="60"/>
              <w:spacing w:before="26" w:line="359" w:lineRule="auto"/>
              <w:ind w:left="109" w:right="104" w:firstLine="492"/>
              <w:jc w:val="center"/>
              <w:rPr>
                <w:b/>
                <w:bCs/>
                <w:spacing w:val="-4"/>
              </w:rPr>
            </w:pPr>
            <w:r>
              <w:drawing>
                <wp:inline distT="0" distB="0" distL="114300" distR="114300">
                  <wp:extent cx="4781550" cy="6188710"/>
                  <wp:effectExtent l="0" t="0" r="0" b="254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0"/>
                          <a:stretch>
                            <a:fillRect/>
                          </a:stretch>
                        </pic:blipFill>
                        <pic:spPr>
                          <a:xfrm>
                            <a:off x="0" y="0"/>
                            <a:ext cx="4781550" cy="6188710"/>
                          </a:xfrm>
                          <a:prstGeom prst="rect">
                            <a:avLst/>
                          </a:prstGeom>
                          <a:noFill/>
                          <a:ln>
                            <a:noFill/>
                          </a:ln>
                        </pic:spPr>
                      </pic:pic>
                    </a:graphicData>
                  </a:graphic>
                </wp:inline>
              </w:drawing>
            </w:r>
          </w:p>
          <w:p w14:paraId="79E30A21">
            <w:pPr>
              <w:pStyle w:val="15"/>
              <w:spacing w:before="168" w:line="358" w:lineRule="auto"/>
              <w:ind w:left="132" w:right="244" w:firstLine="468"/>
              <w:jc w:val="left"/>
              <w:rPr>
                <w:rFonts w:hint="default" w:ascii="Times New Roman" w:hAnsi="Times New Roman" w:eastAsia="宋体" w:cs="Times New Roman"/>
                <w:b/>
                <w:bCs/>
                <w:spacing w:val="-4"/>
                <w:sz w:val="24"/>
                <w:szCs w:val="24"/>
              </w:rPr>
            </w:pPr>
            <w:r>
              <w:rPr>
                <w:rFonts w:hint="default" w:ascii="Times New Roman" w:hAnsi="Times New Roman" w:eastAsia="宋体" w:cs="Times New Roman"/>
                <w:sz w:val="24"/>
                <w:szCs w:val="24"/>
              </w:rPr>
              <w:t>根据查询结果，本项目位于达州市达川区环境综合管</w:t>
            </w:r>
            <w:r>
              <w:rPr>
                <w:rFonts w:hint="default" w:ascii="Times New Roman" w:hAnsi="Times New Roman" w:eastAsia="宋体" w:cs="Times New Roman"/>
                <w:spacing w:val="-1"/>
                <w:sz w:val="24"/>
                <w:szCs w:val="24"/>
              </w:rPr>
              <w:t>控单元工业重点管控单元（管控单元名称：达川工业园区，管控单元编号：ZH51170320002</w:t>
            </w:r>
            <w:r>
              <w:rPr>
                <w:rFonts w:hint="default" w:ascii="Times New Roman" w:hAnsi="Times New Roman" w:eastAsia="宋体" w:cs="Times New Roman"/>
                <w:spacing w:val="9"/>
                <w:sz w:val="24"/>
                <w:szCs w:val="24"/>
              </w:rPr>
              <w:t>），</w:t>
            </w:r>
            <w:r>
              <w:rPr>
                <w:rFonts w:hint="default" w:ascii="Times New Roman" w:hAnsi="Times New Roman" w:eastAsia="宋体" w:cs="Times New Roman"/>
                <w:spacing w:val="-1"/>
                <w:sz w:val="24"/>
                <w:szCs w:val="24"/>
              </w:rPr>
              <w:t>项目</w:t>
            </w:r>
            <w:r>
              <w:rPr>
                <w:rFonts w:hint="default" w:ascii="Times New Roman" w:hAnsi="Times New Roman" w:eastAsia="宋体" w:cs="Times New Roman"/>
                <w:spacing w:val="1"/>
                <w:sz w:val="24"/>
                <w:szCs w:val="24"/>
              </w:rPr>
              <w:t>与管控单元相对位置如下图所示</w:t>
            </w:r>
            <w:r>
              <w:rPr>
                <w:rFonts w:hint="default" w:ascii="Times New Roman" w:hAnsi="Times New Roman" w:eastAsia="宋体" w:cs="Times New Roman"/>
                <w:spacing w:val="-18"/>
                <w:sz w:val="24"/>
                <w:szCs w:val="24"/>
              </w:rPr>
              <w:t>：</w:t>
            </w:r>
          </w:p>
          <w:p w14:paraId="28C2C6BF">
            <w:pPr>
              <w:pStyle w:val="60"/>
              <w:spacing w:before="26" w:line="359" w:lineRule="auto"/>
              <w:ind w:left="109" w:right="104" w:firstLine="492"/>
              <w:rPr>
                <w:rFonts w:hint="default" w:ascii="Times New Roman" w:hAnsi="Times New Roman" w:eastAsia="宋体" w:cs="Times New Roman"/>
                <w:b/>
                <w:bCs/>
                <w:spacing w:val="-4"/>
              </w:rPr>
            </w:pPr>
          </w:p>
          <w:p w14:paraId="52353DEB">
            <w:pPr>
              <w:pStyle w:val="60"/>
              <w:spacing w:before="26" w:line="359" w:lineRule="auto"/>
              <w:ind w:left="109" w:right="104" w:firstLine="492"/>
              <w:rPr>
                <w:rFonts w:hint="default" w:ascii="Times New Roman" w:hAnsi="Times New Roman" w:eastAsia="宋体" w:cs="Times New Roman"/>
                <w:b/>
                <w:bCs/>
                <w:spacing w:val="-4"/>
              </w:rPr>
            </w:pPr>
            <w:r>
              <w:rPr>
                <w:rFonts w:hint="default" w:ascii="Times New Roman" w:hAnsi="Times New Roman" w:eastAsia="宋体" w:cs="Times New Roman"/>
              </w:rPr>
              <w:drawing>
                <wp:inline distT="0" distB="0" distL="114300" distR="114300">
                  <wp:extent cx="5572125" cy="2529205"/>
                  <wp:effectExtent l="0" t="0" r="9525" b="444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1"/>
                          <a:stretch>
                            <a:fillRect/>
                          </a:stretch>
                        </pic:blipFill>
                        <pic:spPr>
                          <a:xfrm>
                            <a:off x="0" y="0"/>
                            <a:ext cx="5572125" cy="2529205"/>
                          </a:xfrm>
                          <a:prstGeom prst="rect">
                            <a:avLst/>
                          </a:prstGeom>
                          <a:noFill/>
                          <a:ln>
                            <a:noFill/>
                          </a:ln>
                        </pic:spPr>
                      </pic:pic>
                    </a:graphicData>
                  </a:graphic>
                </wp:inline>
              </w:drawing>
            </w:r>
          </w:p>
          <w:p w14:paraId="0EC32E72">
            <w:pPr>
              <w:pStyle w:val="60"/>
              <w:pageBreakBefore w:val="0"/>
              <w:widowControl w:val="0"/>
              <w:kinsoku/>
              <w:wordWrap/>
              <w:overflowPunct/>
              <w:topLinePunct w:val="0"/>
              <w:autoSpaceDE/>
              <w:autoSpaceDN/>
              <w:bidi w:val="0"/>
              <w:adjustRightInd/>
              <w:spacing w:line="480" w:lineRule="exact"/>
              <w:ind w:left="0" w:right="0" w:firstLine="492"/>
              <w:jc w:val="left"/>
              <w:textAlignment w:val="auto"/>
              <w:rPr>
                <w:rFonts w:hint="default" w:ascii="Times New Roman" w:hAnsi="Times New Roman" w:eastAsia="宋体" w:cs="Times New Roman"/>
                <w:b w:val="0"/>
                <w:bCs w:val="0"/>
                <w:spacing w:val="-4"/>
              </w:rPr>
            </w:pPr>
            <w:r>
              <w:rPr>
                <w:rFonts w:hint="default" w:ascii="Times New Roman" w:hAnsi="Times New Roman" w:eastAsia="宋体" w:cs="Times New Roman"/>
                <w:b w:val="0"/>
                <w:bCs w:val="0"/>
                <w:spacing w:val="-4"/>
              </w:rPr>
              <w:t>根据四川省生态环境厅办公室关于印发《产业园区规划环评“三线一单”符合性分析技术要点(试行)》和《项目环评“三线一单”符合性分析技术要点(试行)》的通知（川环办函〔2021〕469号），位于“如建设项目位于产业园区内，且产业园区规划环境影响评价中已经开展了园区与“三线一单”符合性分析，则项目环评只需分析与产业园区规划环评生态环境准入要求的符合性”。</w:t>
            </w:r>
          </w:p>
          <w:p w14:paraId="23A943DD">
            <w:pPr>
              <w:pStyle w:val="60"/>
              <w:pageBreakBefore w:val="0"/>
              <w:widowControl w:val="0"/>
              <w:kinsoku/>
              <w:wordWrap/>
              <w:overflowPunct/>
              <w:topLinePunct w:val="0"/>
              <w:autoSpaceDE/>
              <w:autoSpaceDN/>
              <w:bidi w:val="0"/>
              <w:adjustRightInd/>
              <w:spacing w:line="480" w:lineRule="exact"/>
              <w:ind w:left="0" w:right="0" w:firstLine="492"/>
              <w:jc w:val="left"/>
              <w:textAlignment w:val="auto"/>
              <w:rPr>
                <w:rFonts w:hint="default" w:ascii="Times New Roman" w:hAnsi="Times New Roman" w:eastAsia="宋体" w:cs="Times New Roman"/>
                <w:szCs w:val="21"/>
              </w:rPr>
            </w:pPr>
            <w:r>
              <w:rPr>
                <w:rFonts w:hint="default" w:ascii="Times New Roman" w:hAnsi="Times New Roman" w:eastAsia="宋体" w:cs="Times New Roman"/>
                <w:b w:val="0"/>
                <w:bCs w:val="0"/>
                <w:spacing w:val="-4"/>
                <w:lang w:val="en-US" w:eastAsia="zh-CN"/>
              </w:rPr>
              <w:t>本</w:t>
            </w:r>
            <w:r>
              <w:rPr>
                <w:rFonts w:hint="default" w:ascii="Times New Roman" w:hAnsi="Times New Roman" w:eastAsia="宋体" w:cs="Times New Roman"/>
                <w:b w:val="0"/>
                <w:bCs w:val="0"/>
                <w:spacing w:val="-4"/>
              </w:rPr>
              <w:t>项目位于</w:t>
            </w:r>
            <w:r>
              <w:rPr>
                <w:rFonts w:hint="default" w:ascii="Times New Roman" w:hAnsi="Times New Roman" w:eastAsia="宋体" w:cs="Times New Roman"/>
                <w:szCs w:val="21"/>
              </w:rPr>
              <w:t>达川工业园区</w:t>
            </w:r>
            <w:r>
              <w:rPr>
                <w:rFonts w:hint="default" w:ascii="Times New Roman" w:hAnsi="Times New Roman" w:eastAsia="宋体" w:cs="Times New Roman"/>
                <w:szCs w:val="21"/>
                <w:lang w:val="en-US" w:eastAsia="zh-CN"/>
              </w:rPr>
              <w:t>内</w:t>
            </w:r>
            <w:r>
              <w:rPr>
                <w:rFonts w:hint="default" w:ascii="Times New Roman" w:hAnsi="Times New Roman" w:eastAsia="宋体" w:cs="Times New Roman"/>
                <w:b w:val="0"/>
                <w:bCs w:val="0"/>
                <w:spacing w:val="-4"/>
              </w:rPr>
              <w:t>，</w:t>
            </w:r>
            <w:r>
              <w:rPr>
                <w:rFonts w:hint="default" w:ascii="Times New Roman" w:hAnsi="Times New Roman" w:eastAsia="宋体" w:cs="Times New Roman"/>
                <w:b w:val="0"/>
                <w:bCs w:val="0"/>
                <w:spacing w:val="-4"/>
                <w:lang w:val="en-US" w:eastAsia="zh-CN"/>
              </w:rPr>
              <w:t>2017年5月31日</w:t>
            </w:r>
            <w:r>
              <w:rPr>
                <w:rFonts w:hint="default" w:ascii="Times New Roman" w:hAnsi="Times New Roman" w:eastAsia="宋体" w:cs="Times New Roman"/>
                <w:b w:val="0"/>
                <w:bCs w:val="0"/>
                <w:spacing w:val="-4"/>
              </w:rPr>
              <w:t>达州市达川区环境保护局出具了关于印发《达州市达川工业园区总体规划环境影响报告书》审查意见的函</w:t>
            </w:r>
            <w:r>
              <w:rPr>
                <w:rFonts w:hint="default" w:ascii="Times New Roman" w:hAnsi="Times New Roman" w:eastAsia="宋体" w:cs="Times New Roman"/>
                <w:b w:val="0"/>
                <w:bCs w:val="0"/>
                <w:spacing w:val="-4"/>
                <w:lang w:eastAsia="zh-CN"/>
              </w:rPr>
              <w:t>（</w:t>
            </w:r>
            <w:r>
              <w:rPr>
                <w:rFonts w:hint="default" w:ascii="Times New Roman" w:hAnsi="Times New Roman" w:eastAsia="宋体" w:cs="Times New Roman"/>
                <w:b w:val="0"/>
                <w:bCs w:val="0"/>
                <w:spacing w:val="-4"/>
              </w:rPr>
              <w:t>达川环函(2017〕106号</w:t>
            </w:r>
            <w:r>
              <w:rPr>
                <w:rFonts w:hint="default" w:ascii="Times New Roman" w:hAnsi="Times New Roman" w:eastAsia="宋体" w:cs="Times New Roman"/>
                <w:b w:val="0"/>
                <w:bCs w:val="0"/>
                <w:spacing w:val="-4"/>
                <w:lang w:eastAsia="zh-CN"/>
              </w:rPr>
              <w:t>）</w:t>
            </w:r>
            <w:r>
              <w:rPr>
                <w:rFonts w:hint="default" w:ascii="Times New Roman" w:hAnsi="Times New Roman" w:eastAsia="宋体" w:cs="Times New Roman"/>
                <w:b w:val="0"/>
                <w:bCs w:val="0"/>
                <w:spacing w:val="-4"/>
              </w:rPr>
              <w:t>，该园区规划环境影响评价中已经开展了园区与“三线一单”符合性分析，因此，本次评价主要开展与园区规划环评生态环境准入要求的符合性分析</w:t>
            </w:r>
            <w:r>
              <w:rPr>
                <w:rFonts w:hint="default" w:ascii="Times New Roman" w:hAnsi="Times New Roman" w:eastAsia="宋体" w:cs="Times New Roman"/>
                <w:b w:val="0"/>
                <w:bCs w:val="0"/>
                <w:spacing w:val="-4"/>
                <w:lang w:eastAsia="zh-CN"/>
              </w:rPr>
              <w:t>。</w:t>
            </w:r>
            <w:r>
              <w:rPr>
                <w:rFonts w:hint="default" w:ascii="Times New Roman" w:hAnsi="Times New Roman" w:eastAsia="宋体" w:cs="Times New Roman"/>
                <w:b w:val="0"/>
                <w:bCs w:val="0"/>
                <w:spacing w:val="-4"/>
              </w:rPr>
              <w:t>根据前文分析，项目符合《达州市达川工业园区总体规划环境影响报告书》生态环境准入要求。</w:t>
            </w:r>
          </w:p>
          <w:p w14:paraId="79A07E9D">
            <w:pPr>
              <w:pStyle w:val="4"/>
              <w:keepNext/>
              <w:keepLines/>
              <w:pageBreakBefore w:val="0"/>
              <w:widowControl w:val="0"/>
              <w:numPr>
                <w:ilvl w:val="2"/>
                <w:numId w:val="0"/>
              </w:numPr>
              <w:kinsoku/>
              <w:wordWrap/>
              <w:overflowPunct/>
              <w:topLinePunct w:val="0"/>
              <w:autoSpaceDE/>
              <w:autoSpaceDN/>
              <w:bidi w:val="0"/>
              <w:adjustRightInd/>
              <w:snapToGrid w:val="0"/>
              <w:spacing w:line="480" w:lineRule="exact"/>
              <w:ind w:left="0" w:leftChars="0" w:right="0" w:firstLine="482"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、《高污染燃料目录》（国环规大气〔2017〕2号）符合性分析</w:t>
            </w:r>
          </w:p>
          <w:p w14:paraId="2E675C9B">
            <w:pPr>
              <w:pStyle w:val="50"/>
              <w:pageBreakBefore w:val="0"/>
              <w:widowControl w:val="0"/>
              <w:kinsoku/>
              <w:wordWrap/>
              <w:overflowPunct/>
              <w:topLinePunct w:val="0"/>
              <w:autoSpaceDE/>
              <w:autoSpaceDN/>
              <w:bidi w:val="0"/>
              <w:adjustRightInd/>
              <w:spacing w:line="480" w:lineRule="exact"/>
              <w:ind w:left="0" w:right="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根据《高污染燃料目录》（国环规大气〔2017〕2号）：</w:t>
            </w:r>
          </w:p>
          <w:p w14:paraId="6D64B70E">
            <w:pPr>
              <w:pStyle w:val="50"/>
              <w:pageBreakBefore w:val="0"/>
              <w:widowControl w:val="0"/>
              <w:kinsoku/>
              <w:wordWrap/>
              <w:overflowPunct/>
              <w:topLinePunct w:val="0"/>
              <w:autoSpaceDE/>
              <w:autoSpaceDN/>
              <w:bidi w:val="0"/>
              <w:adjustRightInd/>
              <w:spacing w:line="480" w:lineRule="exact"/>
              <w:ind w:left="0" w:right="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二、本目录所指燃料是根据产品品质、燃用方式、环境影响等因素确定的需要强化管理的燃料，仅适用于城市人民政府依法划定的高污染燃料禁燃区（以下简称禁燃区）的管理，</w:t>
            </w:r>
            <w:r>
              <w:rPr>
                <w:rFonts w:hint="default" w:ascii="Times New Roman" w:hAnsi="Times New Roman" w:eastAsia="宋体" w:cs="Times New Roman"/>
                <w:b/>
                <w:bCs/>
                <w:color w:val="000000" w:themeColor="text1"/>
                <w:lang w:val="en-US" w:eastAsia="zh-CN"/>
                <w14:textFill>
                  <w14:solidFill>
                    <w14:schemeClr w14:val="tx1"/>
                  </w14:solidFill>
                </w14:textFill>
              </w:rPr>
              <w:t>不作为禁燃区外燃料的禁燃管理依据。</w:t>
            </w:r>
          </w:p>
          <w:p w14:paraId="681213BD">
            <w:pPr>
              <w:pStyle w:val="50"/>
              <w:pageBreakBefore w:val="0"/>
              <w:widowControl w:val="0"/>
              <w:kinsoku/>
              <w:wordWrap/>
              <w:overflowPunct/>
              <w:topLinePunct w:val="0"/>
              <w:autoSpaceDE/>
              <w:autoSpaceDN/>
              <w:bidi w:val="0"/>
              <w:adjustRightInd/>
              <w:spacing w:line="480" w:lineRule="exact"/>
              <w:ind w:left="0" w:right="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三、“将禁燃区内禁止燃用的燃料组合分为Ⅰ类（一般）、Ⅱ类（较严）和Ⅲ类（严格）。城市人民政府根据大气环境质量改善要求、能源消费结构、经济承受能力，在禁燃区管理中，因地制宜选择其中一类”。高污染燃料分类详见下表：</w:t>
            </w:r>
          </w:p>
          <w:p w14:paraId="67713F44">
            <w:pPr>
              <w:pStyle w:val="50"/>
              <w:bidi w:val="0"/>
              <w:rPr>
                <w:rFonts w:hint="default" w:ascii="Times New Roman" w:hAnsi="Times New Roman" w:eastAsia="宋体" w:cs="Times New Roman"/>
                <w:color w:val="000000" w:themeColor="text1"/>
                <w:lang w:val="en-US" w:eastAsia="zh-CN"/>
                <w14:textFill>
                  <w14:solidFill>
                    <w14:schemeClr w14:val="tx1"/>
                  </w14:solidFill>
                </w14:textFill>
              </w:rPr>
            </w:pPr>
          </w:p>
          <w:p w14:paraId="48EE3AF3">
            <w:pPr>
              <w:pStyle w:val="6"/>
              <w:numPr>
                <w:ilvl w:val="4"/>
                <w:numId w:val="0"/>
              </w:numPr>
              <w:bidi w:val="0"/>
              <w:ind w:leftChars="0"/>
              <w:jc w:val="center"/>
              <w:rPr>
                <w:rFonts w:hint="default" w:ascii="Times New Roman" w:hAnsi="Times New Roman" w:eastAsia="宋体" w:cs="Times New Roman"/>
                <w:color w:val="000000" w:themeColor="text1"/>
                <w:lang w:val="en-US" w:eastAsia="zh-CN"/>
                <w14:textFill>
                  <w14:solidFill>
                    <w14:schemeClr w14:val="tx1"/>
                  </w14:solidFill>
                </w14:textFill>
              </w:rPr>
            </w:pPr>
          </w:p>
          <w:p w14:paraId="291288BC">
            <w:pPr>
              <w:pStyle w:val="6"/>
              <w:numPr>
                <w:ilvl w:val="4"/>
                <w:numId w:val="0"/>
              </w:numPr>
              <w:bidi w:val="0"/>
              <w:ind w:lef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表1-</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 xml:space="preserve"> 禁燃区内禁止燃用的燃料组合类别</w:t>
            </w:r>
          </w:p>
          <w:tbl>
            <w:tblPr>
              <w:tblStyle w:val="2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436"/>
              <w:gridCol w:w="2242"/>
              <w:gridCol w:w="1902"/>
            </w:tblGrid>
            <w:tr w14:paraId="2E1C3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tl2br w:val="nil"/>
                    <w:tr2bl w:val="nil"/>
                  </w:tcBorders>
                  <w:vAlign w:val="center"/>
                </w:tcPr>
                <w:p w14:paraId="204AAD93">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类别</w:t>
                  </w:r>
                </w:p>
              </w:tc>
              <w:tc>
                <w:tcPr>
                  <w:tcW w:w="7580" w:type="dxa"/>
                  <w:gridSpan w:val="3"/>
                  <w:tcBorders>
                    <w:tl2br w:val="nil"/>
                    <w:tr2bl w:val="nil"/>
                  </w:tcBorders>
                  <w:vAlign w:val="center"/>
                </w:tcPr>
                <w:p w14:paraId="2AA78935">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燃料种类</w:t>
                  </w:r>
                </w:p>
              </w:tc>
            </w:tr>
            <w:tr w14:paraId="5BC30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tl2br w:val="nil"/>
                    <w:tr2bl w:val="nil"/>
                  </w:tcBorders>
                  <w:vAlign w:val="center"/>
                </w:tcPr>
                <w:p w14:paraId="71373EC3">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I类</w:t>
                  </w:r>
                </w:p>
              </w:tc>
              <w:tc>
                <w:tcPr>
                  <w:tcW w:w="3436" w:type="dxa"/>
                  <w:tcBorders>
                    <w:tl2br w:val="nil"/>
                    <w:tr2bl w:val="nil"/>
                  </w:tcBorders>
                  <w:vAlign w:val="center"/>
                </w:tcPr>
                <w:p w14:paraId="30AAD834">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单台出力小于20蒸吨/小时的锅炉和民用燃煤设备燃用的含硫量大于0.5%、灰分大于10%的煤炭及其制品（其中，型煤、焦炭、兰炭的组分含量大于表2中规定的限值）</w:t>
                  </w:r>
                </w:p>
              </w:tc>
              <w:tc>
                <w:tcPr>
                  <w:tcW w:w="2242" w:type="dxa"/>
                  <w:vMerge w:val="restart"/>
                  <w:tcBorders>
                    <w:tl2br w:val="nil"/>
                    <w:tr2bl w:val="nil"/>
                  </w:tcBorders>
                  <w:vAlign w:val="center"/>
                </w:tcPr>
                <w:p w14:paraId="3DC65380">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石油焦、油页岩、原油、重油、渣油、煤焦油</w:t>
                  </w:r>
                </w:p>
              </w:tc>
              <w:tc>
                <w:tcPr>
                  <w:tcW w:w="1902" w:type="dxa"/>
                  <w:vMerge w:val="restart"/>
                  <w:tcBorders>
                    <w:tl2br w:val="nil"/>
                    <w:tr2bl w:val="nil"/>
                  </w:tcBorders>
                  <w:vAlign w:val="center"/>
                </w:tcPr>
                <w:p w14:paraId="35E42CB4">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465A1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tl2br w:val="nil"/>
                    <w:tr2bl w:val="nil"/>
                  </w:tcBorders>
                  <w:vAlign w:val="center"/>
                </w:tcPr>
                <w:p w14:paraId="1479812A">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II类</w:t>
                  </w:r>
                </w:p>
              </w:tc>
              <w:tc>
                <w:tcPr>
                  <w:tcW w:w="3436" w:type="dxa"/>
                  <w:tcBorders>
                    <w:tl2br w:val="nil"/>
                    <w:tr2bl w:val="nil"/>
                  </w:tcBorders>
                  <w:vAlign w:val="center"/>
                </w:tcPr>
                <w:p w14:paraId="4739A1D0">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除单台出力大于等于20蒸吨/小时锅炉以外燃用的煤炭及其制品</w:t>
                  </w:r>
                </w:p>
              </w:tc>
              <w:tc>
                <w:tcPr>
                  <w:tcW w:w="2242" w:type="dxa"/>
                  <w:vMerge w:val="continue"/>
                  <w:tcBorders>
                    <w:tl2br w:val="nil"/>
                    <w:tr2bl w:val="nil"/>
                  </w:tcBorders>
                  <w:vAlign w:val="center"/>
                </w:tcPr>
                <w:p w14:paraId="70F57E69">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902" w:type="dxa"/>
                  <w:vMerge w:val="continue"/>
                  <w:tcBorders>
                    <w:tl2br w:val="nil"/>
                    <w:tr2bl w:val="nil"/>
                  </w:tcBorders>
                  <w:vAlign w:val="center"/>
                </w:tcPr>
                <w:p w14:paraId="69B5BB79">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30330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tl2br w:val="nil"/>
                    <w:tr2bl w:val="nil"/>
                  </w:tcBorders>
                  <w:vAlign w:val="center"/>
                </w:tcPr>
                <w:p w14:paraId="11575E42">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III类</w:t>
                  </w:r>
                </w:p>
              </w:tc>
              <w:tc>
                <w:tcPr>
                  <w:tcW w:w="3436" w:type="dxa"/>
                  <w:tcBorders>
                    <w:tl2br w:val="nil"/>
                    <w:tr2bl w:val="nil"/>
                  </w:tcBorders>
                  <w:vAlign w:val="center"/>
                </w:tcPr>
                <w:p w14:paraId="16C68CD4">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煤炭及其制品</w:t>
                  </w:r>
                </w:p>
              </w:tc>
              <w:tc>
                <w:tcPr>
                  <w:tcW w:w="2242" w:type="dxa"/>
                  <w:vMerge w:val="continue"/>
                  <w:tcBorders>
                    <w:tl2br w:val="nil"/>
                    <w:tr2bl w:val="nil"/>
                  </w:tcBorders>
                  <w:vAlign w:val="center"/>
                </w:tcPr>
                <w:p w14:paraId="7921B179">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902" w:type="dxa"/>
                  <w:tcBorders>
                    <w:tl2br w:val="nil"/>
                    <w:tr2bl w:val="nil"/>
                  </w:tcBorders>
                  <w:vAlign w:val="center"/>
                </w:tcPr>
                <w:p w14:paraId="7EBE491B">
                  <w:pPr>
                    <w:pStyle w:val="56"/>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非专用锅炉或未配置高效除尘设施的专用锅炉燃用的生物质成型燃料。</w:t>
                  </w:r>
                </w:p>
              </w:tc>
            </w:tr>
          </w:tbl>
          <w:p w14:paraId="78E716CD">
            <w:pPr>
              <w:pStyle w:val="50"/>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w:t>
            </w:r>
            <w:r>
              <w:rPr>
                <w:rFonts w:hint="default" w:ascii="Times New Roman" w:hAnsi="Times New Roman" w:eastAsia="宋体" w:cs="Times New Roman"/>
                <w:color w:val="000000" w:themeColor="text1"/>
                <w14:textFill>
                  <w14:solidFill>
                    <w14:schemeClr w14:val="tx1"/>
                  </w14:solidFill>
                </w14:textFill>
              </w:rPr>
              <w:t>达川百马产业新区</w:t>
            </w:r>
            <w:r>
              <w:rPr>
                <w:rFonts w:hint="default" w:ascii="Times New Roman" w:hAnsi="Times New Roman" w:eastAsia="宋体" w:cs="Times New Roman"/>
                <w:color w:val="000000" w:themeColor="text1"/>
                <w:lang w:val="en-US" w:eastAsia="zh-CN"/>
                <w14:textFill>
                  <w14:solidFill>
                    <w14:schemeClr w14:val="tx1"/>
                  </w14:solidFill>
                </w14:textFill>
              </w:rPr>
              <w:t>，不属于高污染燃料禁燃区</w:t>
            </w:r>
            <w:r>
              <w:rPr>
                <w:rFonts w:hint="eastAsia" w:cs="Times New Roman"/>
                <w:color w:val="000000" w:themeColor="text1"/>
                <w:lang w:val="en-US" w:eastAsia="zh-CN"/>
                <w14:textFill>
                  <w14:solidFill>
                    <w14:schemeClr w14:val="tx1"/>
                  </w14:solidFill>
                </w14:textFill>
              </w:rPr>
              <w:t>。本项目</w:t>
            </w:r>
            <w:r>
              <w:rPr>
                <w:rFonts w:hint="default" w:ascii="Times New Roman" w:hAnsi="Times New Roman" w:eastAsia="宋体" w:cs="Times New Roman"/>
                <w:color w:val="000000" w:themeColor="text1"/>
                <w:lang w:val="en-US" w:eastAsia="zh-CN"/>
                <w14:textFill>
                  <w14:solidFill>
                    <w14:schemeClr w14:val="tx1"/>
                  </w14:solidFill>
                </w14:textFill>
              </w:rPr>
              <w:t>使用</w:t>
            </w:r>
            <w:r>
              <w:rPr>
                <w:rFonts w:hint="eastAsia" w:cs="Times New Roman"/>
                <w:color w:val="000000" w:themeColor="text1"/>
                <w:lang w:val="en-US" w:eastAsia="zh-CN"/>
                <w14:textFill>
                  <w14:solidFill>
                    <w14:schemeClr w14:val="tx1"/>
                  </w14:solidFill>
                </w14:textFill>
              </w:rPr>
              <w:t>成型</w:t>
            </w:r>
            <w:r>
              <w:rPr>
                <w:rFonts w:hint="default" w:ascii="Times New Roman" w:hAnsi="Times New Roman" w:eastAsia="宋体" w:cs="Times New Roman"/>
                <w:color w:val="000000" w:themeColor="text1"/>
                <w:lang w:val="en-US" w:eastAsia="zh-CN"/>
                <w14:textFill>
                  <w14:solidFill>
                    <w14:schemeClr w14:val="tx1"/>
                  </w14:solidFill>
                </w14:textFill>
              </w:rPr>
              <w:t>生物质</w:t>
            </w:r>
            <w:r>
              <w:rPr>
                <w:rFonts w:hint="eastAsia" w:cs="Times New Roman"/>
                <w:color w:val="000000" w:themeColor="text1"/>
                <w:lang w:val="en-US" w:eastAsia="zh-CN"/>
                <w14:textFill>
                  <w14:solidFill>
                    <w14:schemeClr w14:val="tx1"/>
                  </w14:solidFill>
                </w14:textFill>
              </w:rPr>
              <w:t>燃料</w:t>
            </w:r>
            <w:r>
              <w:rPr>
                <w:rFonts w:hint="default" w:ascii="Times New Roman" w:hAnsi="Times New Roman" w:eastAsia="宋体" w:cs="Times New Roman"/>
                <w:color w:val="000000" w:themeColor="text1"/>
                <w:lang w:val="en-US" w:eastAsia="zh-CN"/>
                <w14:textFill>
                  <w14:solidFill>
                    <w14:schemeClr w14:val="tx1"/>
                  </w14:solidFill>
                </w14:textFill>
              </w:rPr>
              <w:t>作为燃料，同时，本项目配备了高效治理措施，生物质燃料燃烧废气经处理后对大气环境影响较小。因此，在禁燃区外本项目使用的生物质燃料不纳入III类高污染燃料管理。</w:t>
            </w:r>
          </w:p>
          <w:p w14:paraId="31845338">
            <w:pPr>
              <w:pStyle w:val="50"/>
              <w:bidi w:val="0"/>
              <w:ind w:left="0" w:leftChars="0" w:firstLine="0" w:firstLineChars="0"/>
              <w:rPr>
                <w:rFonts w:hint="eastAsia" w:ascii="宋体" w:hAnsi="宋体"/>
                <w:sz w:val="28"/>
                <w:szCs w:val="28"/>
                <w:highlight w:val="none"/>
                <w:lang w:val="en-US" w:eastAsia="zh-CN"/>
              </w:rPr>
            </w:pPr>
            <w:r>
              <w:rPr>
                <w:rFonts w:hint="eastAsia" w:ascii="宋体" w:hAnsi="宋体"/>
                <w:b/>
                <w:bCs/>
                <w:sz w:val="28"/>
                <w:szCs w:val="28"/>
                <w:lang w:val="en-US" w:eastAsia="zh-CN"/>
              </w:rPr>
              <w:t>9、</w:t>
            </w:r>
            <w:r>
              <w:rPr>
                <w:rFonts w:hint="eastAsia" w:ascii="宋体" w:hAnsi="宋体"/>
                <w:sz w:val="28"/>
                <w:szCs w:val="28"/>
                <w:highlight w:val="none"/>
              </w:rPr>
              <w:t>与达州市打赢蓝天保卫战实施方案的符合性分析</w:t>
            </w:r>
          </w:p>
          <w:p w14:paraId="2B1611ED">
            <w:pPr>
              <w:pStyle w:val="50"/>
              <w:bidi w:val="0"/>
              <w:ind w:left="0" w:leftChars="0" w:firstLine="0" w:firstLineChars="0"/>
              <w:jc w:val="center"/>
              <w:rPr>
                <w:rFonts w:hint="eastAsia" w:ascii="宋体" w:hAnsi="宋体"/>
                <w:sz w:val="28"/>
                <w:szCs w:val="28"/>
                <w:highlight w:val="none"/>
              </w:rPr>
            </w:pPr>
            <w:r>
              <w:rPr>
                <w:rFonts w:hint="eastAsia" w:ascii="宋体" w:hAnsi="宋体"/>
                <w:sz w:val="28"/>
                <w:szCs w:val="28"/>
                <w:highlight w:val="none"/>
                <w:lang w:val="en-US" w:eastAsia="zh-CN"/>
              </w:rPr>
              <w:t xml:space="preserve">表1-9 </w:t>
            </w:r>
            <w:r>
              <w:rPr>
                <w:rFonts w:hint="eastAsia" w:ascii="宋体" w:hAnsi="宋体"/>
                <w:sz w:val="28"/>
                <w:szCs w:val="28"/>
                <w:highlight w:val="none"/>
              </w:rPr>
              <w:t>与达州市打赢蓝天保卫战实施方案的符合性分析</w:t>
            </w:r>
          </w:p>
          <w:tbl>
            <w:tblPr>
              <w:tblStyle w:val="29"/>
              <w:tblW w:w="828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4410"/>
              <w:gridCol w:w="2335"/>
              <w:gridCol w:w="507"/>
            </w:tblGrid>
            <w:tr w14:paraId="51CF9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6" w:type="dxa"/>
                  <w:tcBorders>
                    <w:tl2br w:val="nil"/>
                    <w:tr2bl w:val="nil"/>
                  </w:tcBorders>
                  <w:vAlign w:val="center"/>
                </w:tcPr>
                <w:p w14:paraId="318AC7EA">
                  <w:pPr>
                    <w:pStyle w:val="56"/>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文件</w:t>
                  </w:r>
                </w:p>
              </w:tc>
              <w:tc>
                <w:tcPr>
                  <w:tcW w:w="4410" w:type="dxa"/>
                  <w:tcBorders>
                    <w:tl2br w:val="nil"/>
                    <w:tr2bl w:val="nil"/>
                  </w:tcBorders>
                  <w:vAlign w:val="center"/>
                </w:tcPr>
                <w:p w14:paraId="4550720E">
                  <w:pPr>
                    <w:pStyle w:val="56"/>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具体要求</w:t>
                  </w:r>
                </w:p>
              </w:tc>
              <w:tc>
                <w:tcPr>
                  <w:tcW w:w="2335" w:type="dxa"/>
                  <w:tcBorders>
                    <w:tl2br w:val="nil"/>
                    <w:tr2bl w:val="nil"/>
                  </w:tcBorders>
                  <w:vAlign w:val="center"/>
                </w:tcPr>
                <w:p w14:paraId="6072B719">
                  <w:pPr>
                    <w:pStyle w:val="56"/>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w:t>
                  </w:r>
                </w:p>
              </w:tc>
              <w:tc>
                <w:tcPr>
                  <w:tcW w:w="507" w:type="dxa"/>
                  <w:tcBorders>
                    <w:tl2br w:val="nil"/>
                    <w:tr2bl w:val="nil"/>
                  </w:tcBorders>
                  <w:vAlign w:val="center"/>
                </w:tcPr>
                <w:p w14:paraId="290E0306">
                  <w:pPr>
                    <w:pStyle w:val="56"/>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符合性</w:t>
                  </w:r>
                </w:p>
              </w:tc>
            </w:tr>
            <w:tr w14:paraId="131E4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6" w:type="dxa"/>
                  <w:tcBorders>
                    <w:tl2br w:val="nil"/>
                    <w:tr2bl w:val="nil"/>
                  </w:tcBorders>
                  <w:shd w:val="clear" w:color="auto" w:fill="auto"/>
                  <w:vAlign w:val="center"/>
                </w:tcPr>
                <w:p w14:paraId="22CA81B8">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四川省打赢蓝天保卫战实施方案</w:t>
                  </w:r>
                </w:p>
              </w:tc>
              <w:tc>
                <w:tcPr>
                  <w:tcW w:w="4410" w:type="dxa"/>
                  <w:tcBorders>
                    <w:tl2br w:val="nil"/>
                    <w:tr2bl w:val="nil"/>
                  </w:tcBorders>
                  <w:shd w:val="clear" w:color="auto" w:fill="auto"/>
                  <w:vAlign w:val="center"/>
                </w:tcPr>
                <w:p w14:paraId="182FD46F">
                  <w:pPr>
                    <w:pStyle w:val="56"/>
                    <w:bidi w:val="0"/>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1、新、改、扩建钢铁、石化、化工、焦化、建材、有色等项目的环境影响评价应满足区域、规划环境影响评价要求。</w:t>
                  </w:r>
                </w:p>
                <w:p w14:paraId="4A500070">
                  <w:pPr>
                    <w:pStyle w:val="56"/>
                    <w:bidi w:val="0"/>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重点区域执行大气污染物特别排放限值，严禁新增钢铁、电力、水泥、玻璃、砖瓦、陶瓷、焦化、电解铝、有色等重点行业大气污染物排放；落实覆盖所有固定污染源的企业排放许可制度，到2020年，完成排污许可管理名录规定的行业许可证核发。</w:t>
                  </w:r>
                </w:p>
                <w:p w14:paraId="0E86EF3E">
                  <w:pPr>
                    <w:pStyle w:val="56"/>
                    <w:bidi w:val="0"/>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各市（州）组织开展钢铁、建材、有色、火电、焦化、铸造等重点行业和燃煤锅炉无组织排放排查，建立管理台账，对物料（含废渣）运输、装卸、储存、转移与输送以及生产工艺过程等无组织排放实施分类治理，2020年年底前基本完成。</w:t>
                  </w:r>
                </w:p>
                <w:p w14:paraId="5334A978">
                  <w:pPr>
                    <w:pStyle w:val="56"/>
                    <w:bidi w:val="0"/>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鼓励工业炉窑使用电、天然气等清洁能源或周边热电厂供热。加大燃煤小锅炉淘汰力度。</w:t>
                  </w:r>
                </w:p>
                <w:p w14:paraId="62308493">
                  <w:pPr>
                    <w:pStyle w:val="56"/>
                    <w:bidi w:val="0"/>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淘汰每小时10蒸吨及以下燃煤锅炉,原则上不再新建每小时35蒸吨以下的燃煤锅炉:其他地区原则上不再新建每小时10蒸吨以下的燃煤锅炉。鼓励每小时65蒸吨及以上燃煤锅炉实施节能和超低排放改造,燃气锅炉实施低氨改造,城市建成区生物质锅炉实施超低排放改造。</w:t>
                  </w:r>
                </w:p>
                <w:p w14:paraId="05AD7FE4">
                  <w:pPr>
                    <w:pStyle w:val="56"/>
                    <w:bidi w:val="0"/>
                    <w:jc w:val="lef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335" w:type="dxa"/>
                  <w:tcBorders>
                    <w:tl2br w:val="nil"/>
                    <w:tr2bl w:val="nil"/>
                  </w:tcBorders>
                  <w:vAlign w:val="center"/>
                </w:tcPr>
                <w:p w14:paraId="5CF631E8">
                  <w:pPr>
                    <w:pStyle w:val="56"/>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本项目采用</w:t>
                  </w:r>
                  <w:r>
                    <w:rPr>
                      <w:rFonts w:hint="eastAsia" w:cs="Times New Roman"/>
                      <w:color w:val="000000" w:themeColor="text1"/>
                      <w:highlight w:val="none"/>
                      <w:lang w:val="en-US" w:eastAsia="zh-CN"/>
                      <w14:textFill>
                        <w14:solidFill>
                          <w14:schemeClr w14:val="tx1"/>
                        </w14:solidFill>
                      </w14:textFill>
                    </w:rPr>
                    <w:t>2.5t/h</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生</w:t>
                  </w:r>
                  <w:r>
                    <w:rPr>
                      <w:rFonts w:hint="eastAsia" w:cs="Times New Roman"/>
                      <w:color w:val="000000" w:themeColor="text1"/>
                      <w:highlight w:val="none"/>
                      <w:lang w:val="en-US" w:eastAsia="zh-CN"/>
                      <w14:textFill>
                        <w14:solidFill>
                          <w14:schemeClr w14:val="tx1"/>
                        </w14:solidFill>
                      </w14:textFill>
                    </w:rPr>
                    <w:t>成型</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物质燃料</w:t>
                  </w:r>
                  <w:r>
                    <w:rPr>
                      <w:rFonts w:hint="eastAsia" w:cs="Times New Roman"/>
                      <w:color w:val="000000" w:themeColor="text1"/>
                      <w:highlight w:val="none"/>
                      <w:lang w:val="en-US" w:eastAsia="zh-CN"/>
                      <w14:textFill>
                        <w14:solidFill>
                          <w14:schemeClr w14:val="tx1"/>
                        </w14:solidFill>
                      </w14:textFill>
                    </w:rPr>
                    <w:t>蒸汽发生器，采用低氮燃烧+布袋除尘</w:t>
                  </w:r>
                </w:p>
              </w:tc>
              <w:tc>
                <w:tcPr>
                  <w:tcW w:w="507" w:type="dxa"/>
                  <w:tcBorders>
                    <w:tl2br w:val="nil"/>
                    <w:tr2bl w:val="nil"/>
                  </w:tcBorders>
                  <w:vAlign w:val="center"/>
                </w:tcPr>
                <w:p w14:paraId="045DD2BA">
                  <w:pPr>
                    <w:pStyle w:val="56"/>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4F3EB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6" w:type="dxa"/>
                  <w:tcBorders>
                    <w:tl2br w:val="nil"/>
                    <w:tr2bl w:val="nil"/>
                  </w:tcBorders>
                  <w:shd w:val="clear" w:color="auto" w:fill="auto"/>
                  <w:vAlign w:val="center"/>
                </w:tcPr>
                <w:p w14:paraId="62F12277">
                  <w:pPr>
                    <w:pStyle w:val="56"/>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四川省打好长江保护修复攻坚战</w:t>
                  </w:r>
                </w:p>
                <w:p w14:paraId="41CD5F0B">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实施方案</w:t>
                  </w:r>
                </w:p>
              </w:tc>
              <w:tc>
                <w:tcPr>
                  <w:tcW w:w="4410" w:type="dxa"/>
                  <w:tcBorders>
                    <w:tl2br w:val="nil"/>
                    <w:tr2bl w:val="nil"/>
                  </w:tcBorders>
                  <w:shd w:val="clear" w:color="auto" w:fill="auto"/>
                  <w:vAlign w:val="center"/>
                </w:tcPr>
                <w:p w14:paraId="56A10BA9">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七）深入实施工业污染治理。开展工业园区水污染整治专项行动，深入排查整治污水管网老旧破损、混接错接等问题，推动提升园区污水收集处理效能。推进化工行业企业排污许可管理，加大园区外化工企业监管力度，确保达标排放，鼓励有条件的化工园区开展初期雨水污染控制试点示范，实施化工企业“一企一管、明管输送、实时监测”，防范环境风险。到2023年年底，长江经济带所有化工园区完成认定工作。到2025年年底，长江经济带省级及以上工业园区污水收集处理效能明显提升，沿江化工产业污染源得到有效控制和全面治理，主要污染物排放总量持续下降</w:t>
                  </w:r>
                </w:p>
              </w:tc>
              <w:tc>
                <w:tcPr>
                  <w:tcW w:w="2335" w:type="dxa"/>
                  <w:tcBorders>
                    <w:tl2br w:val="nil"/>
                    <w:tr2bl w:val="nil"/>
                  </w:tcBorders>
                  <w:vAlign w:val="center"/>
                </w:tcPr>
                <w:p w14:paraId="4DC610BF">
                  <w:pPr>
                    <w:pStyle w:val="56"/>
                    <w:bidi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项目所在园区配套建成了</w:t>
                  </w:r>
                  <w:r>
                    <w:rPr>
                      <w:highlight w:val="none"/>
                    </w:rPr>
                    <w:t>达川工业园区污水处理厂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；项目产生</w:t>
                  </w:r>
                  <w:r>
                    <w:rPr>
                      <w:rFonts w:hint="eastAsia" w:cs="Times New Roman"/>
                      <w:color w:val="000000" w:themeColor="text1"/>
                      <w:highlight w:val="none"/>
                      <w:lang w:val="en-US" w:eastAsia="zh-CN"/>
                      <w14:textFill>
                        <w14:solidFill>
                          <w14:schemeClr w14:val="tx1"/>
                        </w14:solidFill>
                      </w14:textFill>
                    </w:rPr>
                    <w:t>废水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经有效治理后实现达标排放。</w:t>
                  </w:r>
                </w:p>
              </w:tc>
              <w:tc>
                <w:tcPr>
                  <w:tcW w:w="507" w:type="dxa"/>
                  <w:tcBorders>
                    <w:tl2br w:val="nil"/>
                    <w:tr2bl w:val="nil"/>
                  </w:tcBorders>
                  <w:vAlign w:val="center"/>
                </w:tcPr>
                <w:p w14:paraId="68F8E619">
                  <w:pPr>
                    <w:pStyle w:val="56"/>
                    <w:bidi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r>
            <w:tr w14:paraId="67E9D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6" w:type="dxa"/>
                  <w:tcBorders>
                    <w:tl2br w:val="nil"/>
                    <w:tr2bl w:val="nil"/>
                  </w:tcBorders>
                  <w:shd w:val="clear" w:color="auto" w:fill="auto"/>
                  <w:vAlign w:val="center"/>
                </w:tcPr>
                <w:p w14:paraId="42C8B676">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四川省打好城市黑臭水体治理攻坚战实施方案</w:t>
                  </w:r>
                </w:p>
              </w:tc>
              <w:tc>
                <w:tcPr>
                  <w:tcW w:w="4410" w:type="dxa"/>
                  <w:tcBorders>
                    <w:tl2br w:val="nil"/>
                    <w:tr2bl w:val="nil"/>
                  </w:tcBorders>
                  <w:shd w:val="clear" w:color="auto" w:fill="auto"/>
                  <w:vAlign w:val="center"/>
                </w:tcPr>
                <w:p w14:paraId="366974CE">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强化工业企业污染控制。排入环境的工业污水要符合国家或地方排放标准。工业园区应建成污水集中处理设施并稳定达标运行，对废水分类收集、分质处理、应收尽收，禁止偷排漏排行为，入园企业应当按照国家有关规定进行预处理，达到工艺要求后，接入污水集中处理设施处理。</w:t>
                  </w:r>
                </w:p>
              </w:tc>
              <w:tc>
                <w:tcPr>
                  <w:tcW w:w="2335" w:type="dxa"/>
                  <w:tcBorders>
                    <w:tl2br w:val="nil"/>
                    <w:tr2bl w:val="nil"/>
                  </w:tcBorders>
                  <w:vAlign w:val="center"/>
                </w:tcPr>
                <w:p w14:paraId="70EE8CA9">
                  <w:pPr>
                    <w:pStyle w:val="56"/>
                    <w:bidi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项目生活污水经</w:t>
                  </w:r>
                  <w:r>
                    <w:rPr>
                      <w:rFonts w:hint="eastAsia" w:cs="Times New Roman"/>
                      <w:color w:val="000000" w:themeColor="text1"/>
                      <w:highlight w:val="none"/>
                      <w:lang w:val="en-US" w:eastAsia="zh-CN"/>
                      <w14:textFill>
                        <w14:solidFill>
                          <w14:schemeClr w14:val="tx1"/>
                        </w14:solidFill>
                      </w14:textFill>
                    </w:rPr>
                    <w:t>生化池</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处理达《污水综合排放标准》（GB8978-1996）三级标准</w:t>
                  </w:r>
                  <w:r>
                    <w:rPr>
                      <w:rFonts w:hint="eastAsia" w:cs="Times New Roman"/>
                      <w:color w:val="000000" w:themeColor="text1"/>
                      <w:highlight w:val="none"/>
                      <w:lang w:val="en-US" w:eastAsia="zh-CN"/>
                      <w14:textFill>
                        <w14:solidFill>
                          <w14:schemeClr w14:val="tx1"/>
                        </w14:solidFill>
                      </w14:textFill>
                    </w:rPr>
                    <w:t>；洗涤废水经污水处理设施处理达《纺织染整工业水污染物排放标准》（GB 4287-2012）及其修改单后排入园区污水处理厂处理达《城镇污水处理厂污染物排放标准》（GB18918-2002）一级A标准后排入铜钵</w:t>
                  </w:r>
                </w:p>
              </w:tc>
              <w:tc>
                <w:tcPr>
                  <w:tcW w:w="507" w:type="dxa"/>
                  <w:tcBorders>
                    <w:tl2br w:val="nil"/>
                    <w:tr2bl w:val="nil"/>
                  </w:tcBorders>
                  <w:vAlign w:val="center"/>
                </w:tcPr>
                <w:p w14:paraId="00A19B58">
                  <w:pPr>
                    <w:pStyle w:val="56"/>
                    <w:bidi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r>
          </w:tbl>
          <w:p w14:paraId="4D3B9473">
            <w:pPr>
              <w:pStyle w:val="50"/>
              <w:bidi w:val="0"/>
              <w:ind w:left="0" w:leftChars="0" w:firstLine="0" w:firstLineChars="0"/>
              <w:rPr>
                <w:rFonts w:hint="default" w:ascii="宋体" w:hAnsi="宋体"/>
                <w:sz w:val="28"/>
                <w:szCs w:val="28"/>
                <w:lang w:val="en-US" w:eastAsia="zh-CN"/>
              </w:rPr>
            </w:pPr>
          </w:p>
        </w:tc>
      </w:tr>
    </w:tbl>
    <w:p w14:paraId="163A527B">
      <w:pPr>
        <w:jc w:val="both"/>
        <w:rPr>
          <w:color w:val="000000" w:themeColor="text1"/>
          <w14:textFill>
            <w14:solidFill>
              <w14:schemeClr w14:val="tx1"/>
            </w14:solidFill>
          </w14:textFill>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C3DC888">
      <w:pPr>
        <w:pStyle w:val="2"/>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建设项目工程分析</w:t>
      </w: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6"/>
        <w:gridCol w:w="8284"/>
      </w:tblGrid>
      <w:tr w14:paraId="32F269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8" w:hRule="atLeast"/>
        </w:trPr>
        <w:tc>
          <w:tcPr>
            <w:tcW w:w="766" w:type="dxa"/>
            <w:noWrap w:val="0"/>
            <w:vAlign w:val="center"/>
          </w:tcPr>
          <w:p w14:paraId="37B8B633">
            <w:pPr>
              <w:rPr>
                <w:color w:val="000000" w:themeColor="text1"/>
                <w14:textFill>
                  <w14:solidFill>
                    <w14:schemeClr w14:val="tx1"/>
                  </w14:solidFill>
                </w14:textFill>
              </w:rPr>
            </w:pPr>
            <w:r>
              <w:rPr>
                <w:rFonts w:hint="eastAsia"/>
                <w:color w:val="000000" w:themeColor="text1"/>
                <w14:textFill>
                  <w14:solidFill>
                    <w14:schemeClr w14:val="tx1"/>
                  </w14:solidFill>
                </w14:textFill>
              </w:rPr>
              <w:t>建设内容</w:t>
            </w:r>
          </w:p>
        </w:tc>
        <w:tc>
          <w:tcPr>
            <w:tcW w:w="8284" w:type="dxa"/>
            <w:noWrap w:val="0"/>
            <w:vAlign w:val="center"/>
          </w:tcPr>
          <w:p w14:paraId="1C37A150">
            <w:pPr>
              <w:pStyle w:val="3"/>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建设内容</w:t>
            </w:r>
          </w:p>
          <w:p w14:paraId="4FF4E64B">
            <w:pPr>
              <w:pStyle w:val="4"/>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项目由来</w:t>
            </w:r>
          </w:p>
          <w:p w14:paraId="61A62337">
            <w:pPr>
              <w:pStyle w:val="5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达州市荣彩服装有限公司拟</w:t>
            </w:r>
            <w:r>
              <w:rPr>
                <w:rFonts w:hint="default" w:ascii="Times New Roman" w:hAnsi="Times New Roman" w:eastAsia="宋体" w:cs="Times New Roman"/>
                <w:color w:val="000000" w:themeColor="text1"/>
                <w:highlight w:val="none"/>
                <w14:textFill>
                  <w14:solidFill>
                    <w14:schemeClr w14:val="tx1"/>
                  </w14:solidFill>
                </w14:textFill>
              </w:rPr>
              <w:t>租赁四川省达州市达川百马产业新区俊健标准厂房</w:t>
            </w:r>
            <w:r>
              <w:rPr>
                <w:rFonts w:hint="eastAsia" w:cs="Times New Roman"/>
                <w:color w:val="000000" w:themeColor="text1"/>
                <w:highlight w:val="none"/>
                <w:lang w:val="en-US" w:eastAsia="zh-CN"/>
                <w14:textFill>
                  <w14:solidFill>
                    <w14:schemeClr w14:val="tx1"/>
                  </w14:solidFill>
                </w14:textFill>
              </w:rPr>
              <w:t>B5和</w:t>
            </w:r>
            <w:r>
              <w:rPr>
                <w:rFonts w:hint="default" w:ascii="Times New Roman" w:hAnsi="Times New Roman" w:eastAsia="宋体" w:cs="Times New Roman"/>
                <w:color w:val="000000" w:themeColor="text1"/>
                <w:highlight w:val="none"/>
                <w14:textFill>
                  <w14:solidFill>
                    <w14:schemeClr w14:val="tx1"/>
                  </w14:solidFill>
                </w14:textFill>
              </w:rPr>
              <w:t>B6栋</w:t>
            </w:r>
            <w:r>
              <w:rPr>
                <w:rFonts w:hint="eastAsia" w:cs="Times New Roman"/>
                <w:color w:val="000000" w:themeColor="text1"/>
                <w:highlight w:val="none"/>
                <w:lang w:val="en-US" w:eastAsia="zh-CN"/>
                <w14:textFill>
                  <w14:solidFill>
                    <w14:schemeClr w14:val="tx1"/>
                  </w14:solidFill>
                </w14:textFill>
              </w:rPr>
              <w:t>第</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层</w:t>
            </w:r>
            <w:r>
              <w:rPr>
                <w:rFonts w:hint="default" w:ascii="Times New Roman" w:hAnsi="Times New Roman" w:eastAsia="宋体" w:cs="Times New Roman"/>
                <w:color w:val="000000" w:themeColor="text1"/>
                <w:highlight w:val="none"/>
                <w:lang w:val="en-US" w:eastAsia="zh-CN"/>
                <w14:textFill>
                  <w14:solidFill>
                    <w14:schemeClr w14:val="tx1"/>
                  </w14:solidFill>
                </w14:textFill>
              </w:rPr>
              <w:t>新建洗涤厂</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本项目总</w:t>
            </w:r>
            <w:r>
              <w:rPr>
                <w:rFonts w:hint="default" w:ascii="Times New Roman" w:hAnsi="Times New Roman" w:eastAsia="宋体" w:cs="Times New Roman"/>
                <w:color w:val="000000" w:themeColor="text1"/>
                <w:highlight w:val="none"/>
                <w:lang w:eastAsia="zh-CN"/>
                <w14:textFill>
                  <w14:solidFill>
                    <w14:schemeClr w14:val="tx1"/>
                  </w14:solidFill>
                </w14:textFill>
              </w:rPr>
              <w:t>投资</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eastAsia="zh-CN"/>
                <w14:textFill>
                  <w14:solidFill>
                    <w14:schemeClr w14:val="tx1"/>
                  </w14:solidFill>
                </w14:textFill>
              </w:rPr>
              <w:t>00万元，</w:t>
            </w:r>
            <w:r>
              <w:rPr>
                <w:rFonts w:hint="default" w:ascii="Times New Roman" w:hAnsi="Times New Roman" w:eastAsia="宋体" w:cs="Times New Roman"/>
                <w:color w:val="000000" w:themeColor="text1"/>
                <w:highlight w:val="none"/>
                <w:lang w:val="en-US" w:eastAsia="zh-CN"/>
                <w14:textFill>
                  <w14:solidFill>
                    <w14:schemeClr w14:val="tx1"/>
                  </w14:solidFill>
                </w14:textFill>
              </w:rPr>
              <w:t>租用厂房建筑面积约</w:t>
            </w:r>
            <w:r>
              <w:rPr>
                <w:rFonts w:hint="eastAsia" w:cs="Times New Roman"/>
                <w:color w:val="000000" w:themeColor="text1"/>
                <w:highlight w:val="none"/>
                <w:lang w:val="en-US" w:eastAsia="zh-CN"/>
                <w14:textFill>
                  <w14:solidFill>
                    <w14:schemeClr w14:val="tx1"/>
                  </w14:solidFill>
                </w14:textFill>
              </w:rPr>
              <w:t>2400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其中</w:t>
            </w:r>
            <w:r>
              <w:rPr>
                <w:rFonts w:hint="eastAsia" w:cs="Times New Roman"/>
                <w:color w:val="000000" w:themeColor="text1"/>
                <w:highlight w:val="none"/>
                <w:lang w:val="en-US" w:eastAsia="zh-CN"/>
                <w14:textFill>
                  <w14:solidFill>
                    <w14:schemeClr w14:val="tx1"/>
                  </w14:solidFill>
                </w14:textFill>
              </w:rPr>
              <w:t>B5</w:t>
            </w:r>
            <w:r>
              <w:rPr>
                <w:rFonts w:hint="eastAsia" w:cs="Times New Roman"/>
                <w:color w:val="000000" w:themeColor="text1"/>
                <w:highlight w:val="none"/>
                <w:lang w:val="en-US" w:eastAsia="zh-CN"/>
                <w14:textFill>
                  <w14:solidFill>
                    <w14:schemeClr w14:val="tx1"/>
                  </w14:solidFill>
                </w14:textFill>
              </w:rPr>
              <w:t>栋</w:t>
            </w:r>
            <w:r>
              <w:rPr>
                <w:rFonts w:hint="eastAsia" w:cs="Times New Roman"/>
                <w:color w:val="000000" w:themeColor="text1"/>
                <w:highlight w:val="none"/>
                <w:lang w:val="en-US" w:eastAsia="zh-CN"/>
                <w14:textFill>
                  <w14:solidFill>
                    <w14:schemeClr w14:val="tx1"/>
                  </w14:solidFill>
                </w14:textFill>
              </w:rPr>
              <w:t>1200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B6</w:t>
            </w:r>
            <w:r>
              <w:rPr>
                <w:rFonts w:hint="eastAsia" w:cs="Times New Roman"/>
                <w:color w:val="000000" w:themeColor="text1"/>
                <w:highlight w:val="none"/>
                <w:lang w:val="en-US" w:eastAsia="zh-CN"/>
                <w14:textFill>
                  <w14:solidFill>
                    <w14:schemeClr w14:val="tx1"/>
                  </w14:solidFill>
                </w14:textFill>
              </w:rPr>
              <w:t>栋</w:t>
            </w:r>
            <w:r>
              <w:rPr>
                <w:rFonts w:hint="eastAsia" w:cs="Times New Roman"/>
                <w:color w:val="000000" w:themeColor="text1"/>
                <w:highlight w:val="none"/>
                <w:lang w:val="en-US" w:eastAsia="zh-CN"/>
                <w14:textFill>
                  <w14:solidFill>
                    <w14:schemeClr w14:val="tx1"/>
                  </w14:solidFill>
                </w14:textFill>
              </w:rPr>
              <w:t>1200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，建设滚筒洗衣机12台、烘干机24台</w:t>
            </w:r>
            <w:r>
              <w:rPr>
                <w:rFonts w:hint="eastAsia" w:cs="Times New Roman"/>
                <w:color w:val="000000" w:themeColor="text1"/>
                <w:highlight w:val="none"/>
                <w:lang w:val="en-US" w:eastAsia="zh-CN"/>
                <w14:textFill>
                  <w14:solidFill>
                    <w14:schemeClr w14:val="tx1"/>
                  </w14:solidFill>
                </w14:textFill>
              </w:rPr>
              <w:t>、反裤机6台和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2.5t生物质燃料</w:t>
            </w:r>
            <w:r>
              <w:rPr>
                <w:rFonts w:hint="eastAsia" w:cs="Times New Roman"/>
                <w:color w:val="000000" w:themeColor="text1"/>
                <w:highlight w:val="none"/>
                <w:lang w:val="en-US" w:eastAsia="zh-CN"/>
                <w14:textFill>
                  <w14:solidFill>
                    <w14:schemeClr w14:val="tx1"/>
                  </w14:solidFill>
                </w14:textFill>
              </w:rPr>
              <w:t>蒸汽发生器</w:t>
            </w:r>
            <w:r>
              <w:rPr>
                <w:rFonts w:hint="default" w:ascii="Times New Roman" w:hAnsi="Times New Roman" w:eastAsia="宋体" w:cs="Times New Roman"/>
                <w:color w:val="000000" w:themeColor="text1"/>
                <w:highlight w:val="none"/>
                <w:lang w:val="en-US" w:eastAsia="zh-CN"/>
                <w14:textFill>
                  <w14:solidFill>
                    <w14:schemeClr w14:val="tx1"/>
                  </w14:solidFill>
                </w14:textFill>
              </w:rPr>
              <w:t>1台</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本项目服务对象为制衣厂，建成后可实现</w:t>
            </w:r>
            <w:r>
              <w:rPr>
                <w:rFonts w:hint="default" w:ascii="Times New Roman" w:hAnsi="Times New Roman" w:eastAsia="宋体" w:cs="Times New Roman"/>
                <w:color w:val="000000" w:themeColor="text1"/>
                <w:highlight w:val="none"/>
                <w:lang w:eastAsia="zh-CN"/>
                <w14:textFill>
                  <w14:solidFill>
                    <w14:schemeClr w14:val="tx1"/>
                  </w14:solidFill>
                </w14:textFill>
              </w:rPr>
              <w:t>年</w:t>
            </w:r>
            <w:r>
              <w:rPr>
                <w:rFonts w:hint="default" w:ascii="Times New Roman" w:hAnsi="Times New Roman" w:eastAsia="宋体" w:cs="Times New Roman"/>
                <w:color w:val="000000" w:themeColor="text1"/>
                <w:highlight w:val="none"/>
                <w:lang w:val="en-US" w:eastAsia="zh-CN"/>
                <w14:textFill>
                  <w14:solidFill>
                    <w14:schemeClr w14:val="tx1"/>
                  </w14:solidFill>
                </w14:textFill>
              </w:rPr>
              <w:t>洗涤牛仔裤240万件</w:t>
            </w:r>
            <w:r>
              <w:rPr>
                <w:rFonts w:hint="eastAsia" w:cs="Times New Roman"/>
                <w:color w:val="000000" w:themeColor="text1"/>
                <w:highlight w:val="none"/>
                <w:lang w:val="en-US" w:eastAsia="zh-CN"/>
                <w14:textFill>
                  <w14:solidFill>
                    <w14:schemeClr w14:val="tx1"/>
                  </w14:solidFill>
                </w14:textFill>
              </w:rPr>
              <w:t>的生产规模</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66F960A0">
            <w:pPr>
              <w:pStyle w:val="5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根据《建设项目环境影响评价分类管理名录》（2021年版），</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highlight w:val="none"/>
                <w14:textFill>
                  <w14:solidFill>
                    <w14:schemeClr w14:val="tx1"/>
                  </w14:solidFill>
                </w14:textFill>
              </w:rPr>
              <w:t>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highlight w:val="none"/>
                <w14:textFill>
                  <w14:solidFill>
                    <w14:schemeClr w14:val="tx1"/>
                  </w14:solidFill>
                </w14:textFill>
              </w:rPr>
              <w:t>“十五、纺织服装、服饰业18，29</w:t>
            </w:r>
            <w:r>
              <w:rPr>
                <w:rFonts w:hint="eastAsia" w:cs="Times New Roman"/>
                <w:color w:val="000000" w:themeColor="text1"/>
                <w:highlight w:val="none"/>
                <w:lang w:val="en-US" w:eastAsia="zh-CN"/>
                <w14:textFill>
                  <w14:solidFill>
                    <w14:schemeClr w14:val="tx1"/>
                  </w14:solidFill>
                </w14:textFill>
              </w:rPr>
              <w:t>机织服装制造181</w:t>
            </w:r>
            <w:r>
              <w:rPr>
                <w:rFonts w:hint="default" w:ascii="Times New Roman" w:hAnsi="Times New Roman" w:eastAsia="宋体" w:cs="Times New Roman"/>
                <w:color w:val="000000" w:themeColor="text1"/>
                <w:highlight w:val="none"/>
                <w14:textFill>
                  <w14:solidFill>
                    <w14:schemeClr w14:val="tx1"/>
                  </w14:solidFill>
                </w14:textFill>
              </w:rPr>
              <w:t>中有喷墨印花或数码印花工艺的；有洗水、砂洗工艺的</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应编制环境影响报告表。</w:t>
            </w:r>
          </w:p>
          <w:p w14:paraId="116DAFFE">
            <w:pPr>
              <w:pStyle w:val="5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为此，</w:t>
            </w:r>
            <w:r>
              <w:rPr>
                <w:rFonts w:hint="default" w:ascii="Times New Roman" w:hAnsi="Times New Roman" w:eastAsia="宋体" w:cs="Times New Roman"/>
                <w:color w:val="000000" w:themeColor="text1"/>
                <w:highlight w:val="none"/>
                <w:lang w:val="en-US" w:eastAsia="zh-CN"/>
                <w14:textFill>
                  <w14:solidFill>
                    <w14:schemeClr w14:val="tx1"/>
                  </w14:solidFill>
                </w14:textFill>
              </w:rPr>
              <w:t>建设单位</w:t>
            </w:r>
            <w:r>
              <w:rPr>
                <w:rFonts w:hint="default" w:ascii="Times New Roman" w:hAnsi="Times New Roman" w:eastAsia="宋体" w:cs="Times New Roman"/>
                <w:color w:val="000000" w:themeColor="text1"/>
                <w:highlight w:val="none"/>
                <w14:textFill>
                  <w14:solidFill>
                    <w14:schemeClr w14:val="tx1"/>
                  </w14:solidFill>
                </w14:textFill>
              </w:rPr>
              <w:t>委托我公司开展本项目的环境影响评价工作，我单位接受委托后，立即开展了现场踏勘、资料收集及监测工作，在掌握了充分的资料数据基础上，对有关环境现状和可能产生的环境影响进行分析，编制了《达州市荣彩服装有限公司</w:t>
            </w:r>
            <w:r>
              <w:rPr>
                <w:rFonts w:hint="eastAsia" w:eastAsia="宋体"/>
                <w:color w:val="000000" w:themeColor="text1"/>
                <w:highlight w:val="none"/>
                <w:lang w:eastAsia="zh-CN"/>
                <w14:textFill>
                  <w14:solidFill>
                    <w14:schemeClr w14:val="tx1"/>
                  </w14:solidFill>
                </w14:textFill>
              </w:rPr>
              <w:t>荣彩服装牛仔裤清洗项目</w:t>
            </w:r>
            <w:r>
              <w:rPr>
                <w:rFonts w:hint="default" w:ascii="Times New Roman" w:hAnsi="Times New Roman" w:eastAsia="宋体" w:cs="Times New Roman"/>
                <w:color w:val="000000" w:themeColor="text1"/>
                <w:highlight w:val="none"/>
                <w14:textFill>
                  <w14:solidFill>
                    <w14:schemeClr w14:val="tx1"/>
                  </w14:solidFill>
                </w14:textFill>
              </w:rPr>
              <w:t>环境影响报告表》。</w:t>
            </w:r>
          </w:p>
          <w:p w14:paraId="0FBD627B">
            <w:pPr>
              <w:pStyle w:val="4"/>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项目概况</w:t>
            </w:r>
          </w:p>
          <w:p w14:paraId="14475703">
            <w:pPr>
              <w:pStyle w:val="5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项目名称：荣彩服装牛仔裤清洗项目；</w:t>
            </w:r>
          </w:p>
          <w:p w14:paraId="55FA2012">
            <w:pPr>
              <w:pStyle w:val="5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建设单位：达州市荣彩服装有限公司；</w:t>
            </w:r>
          </w:p>
          <w:p w14:paraId="19BA750C">
            <w:pPr>
              <w:pStyle w:val="5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建设地点：</w:t>
            </w:r>
            <w:r>
              <w:rPr>
                <w:rFonts w:hint="default" w:ascii="Times New Roman" w:hAnsi="Times New Roman" w:eastAsia="宋体" w:cs="Times New Roman"/>
                <w:color w:val="000000" w:themeColor="text1"/>
                <w:highlight w:val="none"/>
                <w:lang w:eastAsia="zh-CN"/>
                <w14:textFill>
                  <w14:solidFill>
                    <w14:schemeClr w14:val="tx1"/>
                  </w14:solidFill>
                </w14:textFill>
              </w:rPr>
              <w:t>四川省达州市达川百马产业新区俊健标准厂房</w:t>
            </w:r>
            <w:r>
              <w:rPr>
                <w:rFonts w:hint="eastAsia" w:cs="Times New Roman"/>
                <w:color w:val="000000" w:themeColor="text1"/>
                <w:highlight w:val="none"/>
                <w:lang w:val="en-US" w:eastAsia="zh-CN"/>
                <w14:textFill>
                  <w14:solidFill>
                    <w14:schemeClr w14:val="tx1"/>
                  </w14:solidFill>
                </w14:textFill>
              </w:rPr>
              <w:t>B5和</w:t>
            </w:r>
            <w:r>
              <w:rPr>
                <w:rFonts w:hint="default" w:ascii="Times New Roman" w:hAnsi="Times New Roman" w:eastAsia="宋体" w:cs="Times New Roman"/>
                <w:color w:val="000000" w:themeColor="text1"/>
                <w:highlight w:val="none"/>
                <w14:textFill>
                  <w14:solidFill>
                    <w14:schemeClr w14:val="tx1"/>
                  </w14:solidFill>
                </w14:textFill>
              </w:rPr>
              <w:t>B6栋</w:t>
            </w:r>
            <w:r>
              <w:rPr>
                <w:rFonts w:hint="eastAsia" w:cs="Times New Roman"/>
                <w:color w:val="000000" w:themeColor="text1"/>
                <w:highlight w:val="none"/>
                <w:lang w:val="en-US" w:eastAsia="zh-CN"/>
                <w14:textFill>
                  <w14:solidFill>
                    <w14:schemeClr w14:val="tx1"/>
                  </w14:solidFill>
                </w14:textFill>
              </w:rPr>
              <w:t>第</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层；</w:t>
            </w:r>
          </w:p>
          <w:p w14:paraId="08121CF6">
            <w:pPr>
              <w:pStyle w:val="5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建设性质：</w:t>
            </w:r>
            <w:r>
              <w:rPr>
                <w:rFonts w:hint="default" w:ascii="Times New Roman" w:hAnsi="Times New Roman" w:eastAsia="宋体" w:cs="Times New Roman"/>
                <w:color w:val="000000" w:themeColor="text1"/>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highlight w:val="none"/>
                <w14:textFill>
                  <w14:solidFill>
                    <w14:schemeClr w14:val="tx1"/>
                  </w14:solidFill>
                </w14:textFill>
              </w:rPr>
              <w:t>；</w:t>
            </w:r>
          </w:p>
          <w:p w14:paraId="1F7362E7">
            <w:pPr>
              <w:pStyle w:val="5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行业类别：</w:t>
            </w:r>
            <w:r>
              <w:rPr>
                <w:rFonts w:hint="eastAsia" w:eastAsia="宋体"/>
                <w:color w:val="000000" w:themeColor="text1"/>
                <w:highlight w:val="none"/>
                <w:lang w:eastAsia="zh-CN"/>
                <w14:textFill>
                  <w14:solidFill>
                    <w14:schemeClr w14:val="tx1"/>
                  </w14:solidFill>
                </w14:textFill>
              </w:rPr>
              <w:t>C1819其它机制服装制造</w:t>
            </w:r>
            <w:r>
              <w:rPr>
                <w:rFonts w:hint="default" w:ascii="Times New Roman" w:hAnsi="Times New Roman" w:eastAsia="宋体" w:cs="Times New Roman"/>
                <w:color w:val="000000" w:themeColor="text1"/>
                <w:highlight w:val="none"/>
                <w14:textFill>
                  <w14:solidFill>
                    <w14:schemeClr w14:val="tx1"/>
                  </w14:solidFill>
                </w14:textFill>
              </w:rPr>
              <w:t>；</w:t>
            </w:r>
          </w:p>
          <w:p w14:paraId="154DA8EA">
            <w:pPr>
              <w:pStyle w:val="5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占地面积：</w:t>
            </w:r>
            <w:r>
              <w:rPr>
                <w:rFonts w:hint="eastAsia" w:cs="Times New Roman"/>
                <w:color w:val="000000" w:themeColor="text1"/>
                <w:highlight w:val="none"/>
                <w:lang w:val="en-US" w:eastAsia="zh-CN"/>
                <w14:textFill>
                  <w14:solidFill>
                    <w14:schemeClr w14:val="tx1"/>
                  </w14:solidFill>
                </w14:textFill>
              </w:rPr>
              <w:t>2400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p>
          <w:p w14:paraId="1F7122C5">
            <w:pPr>
              <w:pStyle w:val="5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投资计划：总投资</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highlight w:val="none"/>
                <w14:textFill>
                  <w14:solidFill>
                    <w14:schemeClr w14:val="tx1"/>
                  </w14:solidFill>
                </w14:textFill>
              </w:rPr>
              <w:t>万元，其中环保工程投资</w:t>
            </w:r>
            <w:r>
              <w:rPr>
                <w:rFonts w:hint="default" w:ascii="Times New Roman" w:hAnsi="Times New Roman" w:eastAsia="宋体" w:cs="Times New Roman"/>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highlight w:val="none"/>
                <w14:textFill>
                  <w14:solidFill>
                    <w14:schemeClr w14:val="tx1"/>
                  </w14:solidFill>
                </w14:textFill>
              </w:rPr>
              <w:t>万元，占总投资的</w:t>
            </w:r>
            <w:r>
              <w:rPr>
                <w:rFonts w:hint="eastAsia" w:cs="Times New Roman"/>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highlight w:val="none"/>
                <w14:textFill>
                  <w14:solidFill>
                    <w14:schemeClr w14:val="tx1"/>
                  </w14:solidFill>
                </w14:textFill>
              </w:rPr>
              <w:t>%；</w:t>
            </w:r>
          </w:p>
          <w:p w14:paraId="22005B84">
            <w:pPr>
              <w:pStyle w:val="5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建设内容及规模：</w:t>
            </w:r>
            <w:r>
              <w:rPr>
                <w:rFonts w:hint="default" w:ascii="Times New Roman" w:hAnsi="Times New Roman" w:eastAsia="宋体" w:cs="Times New Roman"/>
                <w:color w:val="000000" w:themeColor="text1"/>
                <w:highlight w:val="none"/>
                <w:lang w:val="en-US" w:eastAsia="zh-CN"/>
                <w14:textFill>
                  <w14:solidFill>
                    <w14:schemeClr w14:val="tx1"/>
                  </w14:solidFill>
                </w14:textFill>
              </w:rPr>
              <w:t>租用厂房建筑面积约</w:t>
            </w:r>
            <w:r>
              <w:rPr>
                <w:rFonts w:hint="eastAsia" w:cs="Times New Roman"/>
                <w:color w:val="000000" w:themeColor="text1"/>
                <w:highlight w:val="none"/>
                <w:lang w:val="en-US" w:eastAsia="zh-CN"/>
                <w14:textFill>
                  <w14:solidFill>
                    <w14:schemeClr w14:val="tx1"/>
                  </w14:solidFill>
                </w14:textFill>
              </w:rPr>
              <w:t>2400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其中</w:t>
            </w:r>
            <w:r>
              <w:rPr>
                <w:rFonts w:hint="eastAsia" w:cs="Times New Roman"/>
                <w:color w:val="000000" w:themeColor="text1"/>
                <w:highlight w:val="none"/>
                <w:lang w:val="en-US" w:eastAsia="zh-CN"/>
                <w14:textFill>
                  <w14:solidFill>
                    <w14:schemeClr w14:val="tx1"/>
                  </w14:solidFill>
                </w14:textFill>
              </w:rPr>
              <w:t>B5</w:t>
            </w:r>
            <w:r>
              <w:rPr>
                <w:rFonts w:hint="eastAsia" w:cs="Times New Roman"/>
                <w:color w:val="000000" w:themeColor="text1"/>
                <w:highlight w:val="none"/>
                <w:lang w:val="en-US" w:eastAsia="zh-CN"/>
                <w14:textFill>
                  <w14:solidFill>
                    <w14:schemeClr w14:val="tx1"/>
                  </w14:solidFill>
                </w14:textFill>
              </w:rPr>
              <w:t>栋</w:t>
            </w:r>
            <w:r>
              <w:rPr>
                <w:rFonts w:hint="eastAsia" w:cs="Times New Roman"/>
                <w:color w:val="000000" w:themeColor="text1"/>
                <w:highlight w:val="none"/>
                <w:lang w:val="en-US" w:eastAsia="zh-CN"/>
                <w14:textFill>
                  <w14:solidFill>
                    <w14:schemeClr w14:val="tx1"/>
                  </w14:solidFill>
                </w14:textFill>
              </w:rPr>
              <w:t>1200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B6</w:t>
            </w:r>
            <w:r>
              <w:rPr>
                <w:rFonts w:hint="eastAsia" w:cs="Times New Roman"/>
                <w:color w:val="000000" w:themeColor="text1"/>
                <w:highlight w:val="none"/>
                <w:lang w:val="en-US" w:eastAsia="zh-CN"/>
                <w14:textFill>
                  <w14:solidFill>
                    <w14:schemeClr w14:val="tx1"/>
                  </w14:solidFill>
                </w14:textFill>
              </w:rPr>
              <w:t>栋</w:t>
            </w:r>
            <w:r>
              <w:rPr>
                <w:rFonts w:hint="eastAsia" w:cs="Times New Roman"/>
                <w:color w:val="000000" w:themeColor="text1"/>
                <w:highlight w:val="none"/>
                <w:lang w:val="en-US" w:eastAsia="zh-CN"/>
                <w14:textFill>
                  <w14:solidFill>
                    <w14:schemeClr w14:val="tx1"/>
                  </w14:solidFill>
                </w14:textFill>
              </w:rPr>
              <w:t>1200</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，建设滚筒洗衣机12台、烘干机24台</w:t>
            </w:r>
            <w:r>
              <w:rPr>
                <w:rFonts w:hint="eastAsia" w:cs="Times New Roman"/>
                <w:color w:val="000000" w:themeColor="text1"/>
                <w:highlight w:val="none"/>
                <w:lang w:val="en-US" w:eastAsia="zh-CN"/>
                <w14:textFill>
                  <w14:solidFill>
                    <w14:schemeClr w14:val="tx1"/>
                  </w14:solidFill>
                </w14:textFill>
              </w:rPr>
              <w:t>、反裤机6台和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2.5t生物质燃料</w:t>
            </w:r>
            <w:r>
              <w:rPr>
                <w:rFonts w:hint="eastAsia" w:cs="Times New Roman"/>
                <w:color w:val="000000" w:themeColor="text1"/>
                <w:highlight w:val="none"/>
                <w:lang w:val="en-US" w:eastAsia="zh-CN"/>
                <w14:textFill>
                  <w14:solidFill>
                    <w14:schemeClr w14:val="tx1"/>
                  </w14:solidFill>
                </w14:textFill>
              </w:rPr>
              <w:t>蒸汽发生器</w:t>
            </w:r>
            <w:r>
              <w:rPr>
                <w:rFonts w:hint="default" w:ascii="Times New Roman" w:hAnsi="Times New Roman" w:eastAsia="宋体" w:cs="Times New Roman"/>
                <w:color w:val="000000" w:themeColor="text1"/>
                <w:highlight w:val="none"/>
                <w:lang w:val="en-US" w:eastAsia="zh-CN"/>
                <w14:textFill>
                  <w14:solidFill>
                    <w14:schemeClr w14:val="tx1"/>
                  </w14:solidFill>
                </w14:textFill>
              </w:rPr>
              <w:t>1台建设</w:t>
            </w:r>
            <w:r>
              <w:rPr>
                <w:rFonts w:hint="eastAsia" w:cs="Times New Roman"/>
                <w:color w:val="000000" w:themeColor="text1"/>
                <w:highlight w:val="none"/>
                <w:lang w:val="en-US" w:eastAsia="zh-CN"/>
                <w14:textFill>
                  <w14:solidFill>
                    <w14:schemeClr w14:val="tx1"/>
                  </w14:solidFill>
                </w14:textFill>
              </w:rPr>
              <w:t>牛仔裤</w:t>
            </w:r>
            <w:r>
              <w:rPr>
                <w:rFonts w:hint="default" w:ascii="Times New Roman" w:hAnsi="Times New Roman" w:eastAsia="宋体" w:cs="Times New Roman"/>
                <w:color w:val="000000" w:themeColor="text1"/>
                <w:highlight w:val="none"/>
                <w:lang w:val="en-US" w:eastAsia="zh-CN"/>
                <w14:textFill>
                  <w14:solidFill>
                    <w14:schemeClr w14:val="tx1"/>
                  </w14:solidFill>
                </w14:textFill>
              </w:rPr>
              <w:t>洗涤服务</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本项目建成后可实现</w:t>
            </w:r>
            <w:r>
              <w:rPr>
                <w:rFonts w:hint="default" w:ascii="Times New Roman" w:hAnsi="Times New Roman" w:eastAsia="宋体" w:cs="Times New Roman"/>
                <w:color w:val="000000" w:themeColor="text1"/>
                <w:highlight w:val="none"/>
                <w:lang w:eastAsia="zh-CN"/>
                <w14:textFill>
                  <w14:solidFill>
                    <w14:schemeClr w14:val="tx1"/>
                  </w14:solidFill>
                </w14:textFill>
              </w:rPr>
              <w:t>年</w:t>
            </w:r>
            <w:r>
              <w:rPr>
                <w:rFonts w:hint="default" w:ascii="Times New Roman" w:hAnsi="Times New Roman" w:eastAsia="宋体" w:cs="Times New Roman"/>
                <w:color w:val="000000" w:themeColor="text1"/>
                <w:highlight w:val="none"/>
                <w:lang w:val="en-US" w:eastAsia="zh-CN"/>
                <w14:textFill>
                  <w14:solidFill>
                    <w14:schemeClr w14:val="tx1"/>
                  </w14:solidFill>
                </w14:textFill>
              </w:rPr>
              <w:t>洗涤牛仔裤240万条。</w:t>
            </w:r>
          </w:p>
          <w:p w14:paraId="595A7051">
            <w:pPr>
              <w:pStyle w:val="5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劳动定员：工作人员</w:t>
            </w:r>
            <w:r>
              <w:rPr>
                <w:rFonts w:hint="default" w:ascii="Times New Roman" w:hAnsi="Times New Roman" w:eastAsia="宋体" w:cs="Times New Roman"/>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highlight w:val="none"/>
                <w14:textFill>
                  <w14:solidFill>
                    <w14:schemeClr w14:val="tx1"/>
                  </w14:solidFill>
                </w14:textFill>
              </w:rPr>
              <w:t>人，厂区内不设住宿</w:t>
            </w:r>
            <w:r>
              <w:rPr>
                <w:rFonts w:hint="default" w:ascii="Times New Roman" w:hAnsi="Times New Roman" w:eastAsia="宋体" w:cs="Times New Roman"/>
                <w:color w:val="000000" w:themeColor="text1"/>
                <w:highlight w:val="none"/>
                <w:lang w:val="en-US" w:eastAsia="zh-CN"/>
                <w14:textFill>
                  <w14:solidFill>
                    <w14:schemeClr w14:val="tx1"/>
                  </w14:solidFill>
                </w14:textFill>
              </w:rPr>
              <w:t>和食堂</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0350CEE7">
            <w:pPr>
              <w:pStyle w:val="50"/>
              <w:keepNext w:val="0"/>
              <w:keepLines w:val="0"/>
              <w:pageBreakBefore w:val="0"/>
              <w:widowControl w:val="0"/>
              <w:kinsoku/>
              <w:wordWrap/>
              <w:overflowPunct/>
              <w:topLinePunct w:val="0"/>
              <w:autoSpaceDE/>
              <w:autoSpaceDN/>
              <w:bidi w:val="0"/>
              <w:adjustRightInd/>
              <w:snapToGrid/>
              <w:spacing w:line="360" w:lineRule="exact"/>
              <w:ind w:left="0" w:leftChars="0"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工作时间：本项目年工作</w:t>
            </w:r>
            <w:r>
              <w:rPr>
                <w:rFonts w:hint="default" w:ascii="Times New Roman" w:hAnsi="Times New Roman" w:eastAsia="宋体" w:cs="Times New Roman"/>
                <w:color w:val="000000" w:themeColor="text1"/>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highlight w:val="none"/>
                <w14:textFill>
                  <w14:solidFill>
                    <w14:schemeClr w14:val="tx1"/>
                  </w14:solidFill>
                </w14:textFill>
              </w:rPr>
              <w:t>d，</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班制，每班</w:t>
            </w:r>
            <w:r>
              <w:rPr>
                <w:rFonts w:hint="default" w:ascii="Times New Roman" w:hAnsi="Times New Roman" w:eastAsia="宋体" w:cs="Times New Roman"/>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highlight w:val="none"/>
                <w14:textFill>
                  <w14:solidFill>
                    <w14:schemeClr w14:val="tx1"/>
                  </w14:solidFill>
                </w14:textFill>
              </w:rPr>
              <w:t>小时。</w:t>
            </w:r>
          </w:p>
          <w:p w14:paraId="43421C78">
            <w:pPr>
              <w:pStyle w:val="4"/>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项目建设内容</w:t>
            </w:r>
          </w:p>
          <w:p w14:paraId="3F506EF0">
            <w:pPr>
              <w:pStyle w:val="5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（1）主要建设内容</w:t>
            </w:r>
          </w:p>
          <w:p w14:paraId="5839951A">
            <w:pPr>
              <w:keepNext w:val="0"/>
              <w:keepLines w:val="0"/>
              <w:pageBreakBefore w:val="0"/>
              <w:widowControl w:val="0"/>
              <w:kinsoku/>
              <w:wordWrap/>
              <w:overflowPunct/>
              <w:topLinePunct w:val="0"/>
              <w:autoSpaceDE/>
              <w:autoSpaceDN/>
              <w:bidi w:val="0"/>
              <w:adjustRightInd/>
              <w:snapToGrid/>
              <w:spacing w:line="360" w:lineRule="exact"/>
              <w:ind w:firstLine="48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项目由主体工程、辅助工程、公用工程、储运工程、环保工程组成。</w:t>
            </w:r>
            <w:r>
              <w:rPr>
                <w:rFonts w:hint="default" w:ascii="Times New Roman" w:hAnsi="Times New Roman" w:eastAsia="宋体" w:cs="Times New Roman"/>
                <w:color w:val="000000" w:themeColor="text1"/>
                <w:highlight w:val="none"/>
                <w14:textFill>
                  <w14:solidFill>
                    <w14:schemeClr w14:val="tx1"/>
                  </w14:solidFill>
                </w14:textFill>
              </w:rPr>
              <w:t>主要建设内容详见下表。</w:t>
            </w:r>
          </w:p>
          <w:p w14:paraId="0ABE79EC">
            <w:pPr>
              <w:pStyle w:val="6"/>
              <w:numPr>
                <w:ilvl w:val="4"/>
                <w:numId w:val="0"/>
              </w:numPr>
              <w:bidi w:val="0"/>
              <w:ind w:leftChars="0"/>
              <w:jc w:val="both"/>
              <w:rPr>
                <w:rFonts w:hint="eastAsia"/>
                <w:color w:val="000000" w:themeColor="text1"/>
                <w:highlight w:val="none"/>
                <w:lang w:val="en-US" w:eastAsia="zh-CN"/>
                <w14:textFill>
                  <w14:solidFill>
                    <w14:schemeClr w14:val="tx1"/>
                  </w14:solidFill>
                </w14:textFill>
              </w:rPr>
            </w:pPr>
          </w:p>
          <w:p w14:paraId="157725C7">
            <w:pPr>
              <w:pStyle w:val="6"/>
              <w:numPr>
                <w:ilvl w:val="4"/>
                <w:numId w:val="0"/>
              </w:numPr>
              <w:bidi w:val="0"/>
              <w:ind w:leftChars="0"/>
              <w:jc w:val="center"/>
              <w:rPr>
                <w:rFonts w:hint="eastAsia"/>
                <w:color w:val="000000" w:themeColor="text1"/>
                <w:highlight w:val="none"/>
                <w:lang w:val="en-US" w:eastAsia="zh-CN"/>
                <w14:textFill>
                  <w14:solidFill>
                    <w14:schemeClr w14:val="tx1"/>
                  </w14:solidFill>
                </w14:textFill>
              </w:rPr>
            </w:pPr>
          </w:p>
          <w:p w14:paraId="0D1071A0">
            <w:pPr>
              <w:rPr>
                <w:rFonts w:hint="eastAsia"/>
                <w:highlight w:val="none"/>
                <w:lang w:val="en-US" w:eastAsia="zh-CN"/>
              </w:rPr>
            </w:pPr>
          </w:p>
          <w:p w14:paraId="2EE00127">
            <w:pPr>
              <w:pStyle w:val="6"/>
              <w:numPr>
                <w:ilvl w:val="4"/>
                <w:numId w:val="0"/>
              </w:numPr>
              <w:bidi w:val="0"/>
              <w:ind w:left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表2-1</w:t>
            </w:r>
            <w:r>
              <w:rPr>
                <w:rFonts w:hint="eastAsia"/>
                <w:color w:val="000000" w:themeColor="text1"/>
                <w:highlight w:val="none"/>
                <w14:textFill>
                  <w14:solidFill>
                    <w14:schemeClr w14:val="tx1"/>
                  </w14:solidFill>
                </w14:textFill>
              </w:rPr>
              <w:t>项目主要建设内容一览表</w:t>
            </w:r>
          </w:p>
          <w:tbl>
            <w:tblPr>
              <w:tblStyle w:val="28"/>
              <w:tblW w:w="491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0"/>
              <w:gridCol w:w="398"/>
              <w:gridCol w:w="286"/>
              <w:gridCol w:w="5087"/>
              <w:gridCol w:w="559"/>
              <w:gridCol w:w="583"/>
              <w:gridCol w:w="473"/>
            </w:tblGrid>
            <w:tr w14:paraId="5DD5B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77" w:type="pct"/>
                  <w:gridSpan w:val="3"/>
                  <w:vMerge w:val="restart"/>
                  <w:tcBorders>
                    <w:tl2br w:val="nil"/>
                    <w:tr2bl w:val="nil"/>
                  </w:tcBorders>
                  <w:noWrap w:val="0"/>
                  <w:tcMar>
                    <w:top w:w="28" w:type="dxa"/>
                    <w:left w:w="28" w:type="dxa"/>
                    <w:bottom w:w="28" w:type="dxa"/>
                    <w:right w:w="28" w:type="dxa"/>
                  </w:tcMar>
                  <w:vAlign w:val="center"/>
                </w:tcPr>
                <w:p w14:paraId="228069AB">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项目组成</w:t>
                  </w:r>
                </w:p>
              </w:tc>
              <w:tc>
                <w:tcPr>
                  <w:tcW w:w="3205" w:type="pct"/>
                  <w:vMerge w:val="restart"/>
                  <w:tcBorders>
                    <w:tl2br w:val="nil"/>
                    <w:tr2bl w:val="nil"/>
                  </w:tcBorders>
                  <w:noWrap w:val="0"/>
                  <w:tcMar>
                    <w:top w:w="28" w:type="dxa"/>
                    <w:left w:w="28" w:type="dxa"/>
                    <w:bottom w:w="28" w:type="dxa"/>
                    <w:right w:w="28" w:type="dxa"/>
                  </w:tcMar>
                  <w:vAlign w:val="center"/>
                </w:tcPr>
                <w:p w14:paraId="35B78B6B">
                  <w:pPr>
                    <w:pStyle w:val="5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建设内容</w:t>
                  </w:r>
                </w:p>
              </w:tc>
              <w:tc>
                <w:tcPr>
                  <w:tcW w:w="719" w:type="pct"/>
                  <w:gridSpan w:val="2"/>
                  <w:tcBorders>
                    <w:tl2br w:val="nil"/>
                    <w:tr2bl w:val="nil"/>
                  </w:tcBorders>
                  <w:noWrap w:val="0"/>
                  <w:tcMar>
                    <w:top w:w="28" w:type="dxa"/>
                    <w:left w:w="28" w:type="dxa"/>
                    <w:bottom w:w="28" w:type="dxa"/>
                    <w:right w:w="28" w:type="dxa"/>
                  </w:tcMar>
                  <w:vAlign w:val="center"/>
                </w:tcPr>
                <w:p w14:paraId="26B5F0A6">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sz w:val="21"/>
                      <w:szCs w:val="21"/>
                      <w:highlight w:val="none"/>
                      <w:lang w:val="en-US"/>
                    </w:rPr>
                    <w:t>可能产生环境问题</w:t>
                  </w:r>
                </w:p>
              </w:tc>
              <w:tc>
                <w:tcPr>
                  <w:tcW w:w="298" w:type="pct"/>
                  <w:vMerge w:val="restart"/>
                  <w:tcBorders>
                    <w:tl2br w:val="nil"/>
                    <w:tr2bl w:val="nil"/>
                  </w:tcBorders>
                  <w:noWrap w:val="0"/>
                  <w:tcMar>
                    <w:top w:w="28" w:type="dxa"/>
                    <w:left w:w="28" w:type="dxa"/>
                    <w:bottom w:w="28" w:type="dxa"/>
                    <w:right w:w="28" w:type="dxa"/>
                  </w:tcMar>
                  <w:vAlign w:val="center"/>
                </w:tcPr>
                <w:p w14:paraId="78A9D19A">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备注</w:t>
                  </w:r>
                </w:p>
              </w:tc>
            </w:tr>
            <w:tr w14:paraId="3F1F1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77" w:type="pct"/>
                  <w:gridSpan w:val="3"/>
                  <w:vMerge w:val="continue"/>
                  <w:tcBorders>
                    <w:tl2br w:val="nil"/>
                    <w:tr2bl w:val="nil"/>
                  </w:tcBorders>
                  <w:noWrap w:val="0"/>
                  <w:tcMar>
                    <w:top w:w="28" w:type="dxa"/>
                    <w:left w:w="28" w:type="dxa"/>
                    <w:bottom w:w="28" w:type="dxa"/>
                    <w:right w:w="28" w:type="dxa"/>
                  </w:tcMar>
                  <w:vAlign w:val="center"/>
                </w:tcPr>
                <w:p w14:paraId="1E53ECC6">
                  <w:pPr>
                    <w:pStyle w:val="56"/>
                    <w:bidi w:val="0"/>
                    <w:rPr>
                      <w:highlight w:val="none"/>
                    </w:rPr>
                  </w:pPr>
                </w:p>
              </w:tc>
              <w:tc>
                <w:tcPr>
                  <w:tcW w:w="3205" w:type="pct"/>
                  <w:vMerge w:val="continue"/>
                  <w:tcBorders>
                    <w:tl2br w:val="nil"/>
                    <w:tr2bl w:val="nil"/>
                  </w:tcBorders>
                  <w:noWrap w:val="0"/>
                  <w:tcMar>
                    <w:top w:w="28" w:type="dxa"/>
                    <w:left w:w="28" w:type="dxa"/>
                    <w:bottom w:w="28" w:type="dxa"/>
                    <w:right w:w="28" w:type="dxa"/>
                  </w:tcMar>
                  <w:vAlign w:val="center"/>
                </w:tcPr>
                <w:p w14:paraId="53454824">
                  <w:pPr>
                    <w:pStyle w:val="56"/>
                    <w:bidi w:val="0"/>
                    <w:rPr>
                      <w:highlight w:val="none"/>
                    </w:rPr>
                  </w:pPr>
                </w:p>
              </w:tc>
              <w:tc>
                <w:tcPr>
                  <w:tcW w:w="352" w:type="pct"/>
                  <w:tcBorders>
                    <w:tl2br w:val="nil"/>
                    <w:tr2bl w:val="nil"/>
                  </w:tcBorders>
                  <w:shd w:val="clear" w:color="auto" w:fill="auto"/>
                  <w:noWrap w:val="0"/>
                  <w:tcMar>
                    <w:top w:w="28" w:type="dxa"/>
                    <w:left w:w="28" w:type="dxa"/>
                    <w:bottom w:w="28" w:type="dxa"/>
                    <w:right w:w="28" w:type="dxa"/>
                  </w:tcMar>
                  <w:vAlign w:val="center"/>
                </w:tcPr>
                <w:p w14:paraId="2D1103B2">
                  <w:pPr>
                    <w:pStyle w:val="66"/>
                    <w:jc w:val="center"/>
                    <w:rPr>
                      <w:rFonts w:hint="default" w:ascii="Times New Roman" w:hAnsi="Times New Roman" w:eastAsia="宋体" w:cs="Times New Roman"/>
                      <w:b/>
                      <w:bCs w:val="0"/>
                      <w:color w:val="000000"/>
                      <w:kern w:val="2"/>
                      <w:sz w:val="21"/>
                      <w:szCs w:val="21"/>
                      <w:highlight w:val="none"/>
                      <w:lang w:val="en-US" w:eastAsia="zh-CN" w:bidi="ar-SA"/>
                    </w:rPr>
                  </w:pPr>
                  <w:r>
                    <w:rPr>
                      <w:rFonts w:hint="default" w:ascii="Times New Roman" w:hAnsi="Times New Roman" w:cs="Times New Roman"/>
                      <w:b/>
                      <w:bCs w:val="0"/>
                      <w:color w:val="000000"/>
                      <w:sz w:val="21"/>
                      <w:szCs w:val="21"/>
                      <w:highlight w:val="none"/>
                      <w:lang w:val="en-US" w:eastAsia="zh-CN"/>
                    </w:rPr>
                    <w:t>施工期</w:t>
                  </w:r>
                </w:p>
              </w:tc>
              <w:tc>
                <w:tcPr>
                  <w:tcW w:w="367" w:type="pct"/>
                  <w:tcBorders>
                    <w:tl2br w:val="nil"/>
                    <w:tr2bl w:val="nil"/>
                  </w:tcBorders>
                  <w:shd w:val="clear" w:color="auto" w:fill="auto"/>
                  <w:noWrap w:val="0"/>
                  <w:tcMar>
                    <w:top w:w="28" w:type="dxa"/>
                    <w:left w:w="28" w:type="dxa"/>
                    <w:bottom w:w="28" w:type="dxa"/>
                    <w:right w:w="28" w:type="dxa"/>
                  </w:tcMar>
                  <w:vAlign w:val="center"/>
                </w:tcPr>
                <w:p w14:paraId="75607342">
                  <w:pPr>
                    <w:pStyle w:val="66"/>
                    <w:jc w:val="center"/>
                    <w:rPr>
                      <w:rFonts w:hint="default" w:ascii="Times New Roman" w:hAnsi="Times New Roman" w:eastAsia="宋体" w:cs="Times New Roman"/>
                      <w:b/>
                      <w:bCs w:val="0"/>
                      <w:color w:val="000000"/>
                      <w:kern w:val="2"/>
                      <w:sz w:val="21"/>
                      <w:szCs w:val="21"/>
                      <w:highlight w:val="none"/>
                      <w:lang w:val="en-US" w:eastAsia="zh-CN" w:bidi="ar-SA"/>
                    </w:rPr>
                  </w:pPr>
                  <w:r>
                    <w:rPr>
                      <w:rFonts w:hint="default" w:ascii="Times New Roman" w:hAnsi="Times New Roman" w:cs="Times New Roman"/>
                      <w:b/>
                      <w:bCs w:val="0"/>
                      <w:color w:val="000000"/>
                      <w:sz w:val="21"/>
                      <w:szCs w:val="21"/>
                      <w:highlight w:val="none"/>
                      <w:lang w:val="en-US" w:eastAsia="zh-CN"/>
                    </w:rPr>
                    <w:t>运营期</w:t>
                  </w:r>
                </w:p>
              </w:tc>
              <w:tc>
                <w:tcPr>
                  <w:tcW w:w="298" w:type="pct"/>
                  <w:vMerge w:val="continue"/>
                  <w:tcBorders>
                    <w:tl2br w:val="nil"/>
                    <w:tr2bl w:val="nil"/>
                  </w:tcBorders>
                  <w:noWrap w:val="0"/>
                  <w:tcMar>
                    <w:top w:w="28" w:type="dxa"/>
                    <w:left w:w="28" w:type="dxa"/>
                    <w:bottom w:w="28" w:type="dxa"/>
                    <w:right w:w="28" w:type="dxa"/>
                  </w:tcMar>
                  <w:vAlign w:val="center"/>
                </w:tcPr>
                <w:p w14:paraId="506789F9">
                  <w:pPr>
                    <w:pStyle w:val="56"/>
                    <w:bidi w:val="0"/>
                    <w:rPr>
                      <w:highlight w:val="none"/>
                    </w:rPr>
                  </w:pPr>
                </w:p>
              </w:tc>
            </w:tr>
            <w:tr w14:paraId="3453C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tcBorders>
                    <w:tl2br w:val="nil"/>
                    <w:tr2bl w:val="nil"/>
                  </w:tcBorders>
                  <w:noWrap w:val="0"/>
                  <w:tcMar>
                    <w:top w:w="28" w:type="dxa"/>
                    <w:left w:w="28" w:type="dxa"/>
                    <w:bottom w:w="28" w:type="dxa"/>
                    <w:right w:w="28" w:type="dxa"/>
                  </w:tcMar>
                  <w:vAlign w:val="center"/>
                </w:tcPr>
                <w:p w14:paraId="06F6A034">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主体工程</w:t>
                  </w:r>
                </w:p>
              </w:tc>
              <w:tc>
                <w:tcPr>
                  <w:tcW w:w="430" w:type="pct"/>
                  <w:gridSpan w:val="2"/>
                  <w:tcBorders>
                    <w:tl2br w:val="nil"/>
                    <w:tr2bl w:val="nil"/>
                  </w:tcBorders>
                  <w:noWrap w:val="0"/>
                  <w:tcMar>
                    <w:top w:w="28" w:type="dxa"/>
                    <w:left w:w="28" w:type="dxa"/>
                    <w:bottom w:w="28" w:type="dxa"/>
                    <w:right w:w="28" w:type="dxa"/>
                  </w:tcMar>
                  <w:vAlign w:val="center"/>
                </w:tcPr>
                <w:p w14:paraId="19F57F52">
                  <w:pPr>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洗涤</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车间</w:t>
                  </w:r>
                </w:p>
              </w:tc>
              <w:tc>
                <w:tcPr>
                  <w:tcW w:w="3205" w:type="pct"/>
                  <w:tcBorders>
                    <w:tl2br w:val="nil"/>
                    <w:tr2bl w:val="nil"/>
                  </w:tcBorders>
                  <w:noWrap w:val="0"/>
                  <w:tcMar>
                    <w:top w:w="28" w:type="dxa"/>
                    <w:left w:w="28" w:type="dxa"/>
                    <w:bottom w:w="28" w:type="dxa"/>
                    <w:right w:w="28" w:type="dxa"/>
                  </w:tcMar>
                  <w:vAlign w:val="center"/>
                </w:tcPr>
                <w:p w14:paraId="4C69B5BF">
                  <w:pPr>
                    <w:spacing w:line="240" w:lineRule="auto"/>
                    <w:jc w:val="both"/>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B5栋</w:t>
                  </w:r>
                  <w:r>
                    <w:rPr>
                      <w:rFonts w:hint="eastAsia" w:cs="Times New Roman"/>
                      <w:color w:val="000000" w:themeColor="text1"/>
                      <w:sz w:val="21"/>
                      <w:szCs w:val="21"/>
                      <w:highlight w:val="none"/>
                      <w:lang w:val="en-US" w:eastAsia="zh-CN"/>
                      <w14:textFill>
                        <w14:solidFill>
                          <w14:schemeClr w14:val="tx1"/>
                        </w14:solidFill>
                      </w14:textFill>
                    </w:rPr>
                    <w:t>1F</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建筑面积约</w:t>
                  </w:r>
                  <w:r>
                    <w:rPr>
                      <w:rFonts w:hint="eastAsia" w:cs="Times New Roman"/>
                      <w:color w:val="000000" w:themeColor="text1"/>
                      <w:sz w:val="21"/>
                      <w:szCs w:val="21"/>
                      <w:highlight w:val="none"/>
                      <w:lang w:val="en-US" w:eastAsia="zh-CN"/>
                      <w14:textFill>
                        <w14:solidFill>
                          <w14:schemeClr w14:val="tx1"/>
                        </w14:solidFill>
                      </w14:textFill>
                    </w:rPr>
                    <w:t>1200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主要放置滚筒洗衣机6台、全自动烘干机12、反裤机3台。牛仔裤堆放区，成品堆放区</w:t>
                  </w:r>
                </w:p>
                <w:p w14:paraId="3AEB9DBF">
                  <w:pPr>
                    <w:spacing w:line="240" w:lineRule="auto"/>
                    <w:jc w:val="both"/>
                    <w:rPr>
                      <w:rFonts w:hint="default"/>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B6栋</w:t>
                  </w:r>
                  <w:r>
                    <w:rPr>
                      <w:rFonts w:hint="eastAsia" w:cs="Times New Roman"/>
                      <w:color w:val="000000" w:themeColor="text1"/>
                      <w:sz w:val="21"/>
                      <w:szCs w:val="21"/>
                      <w:highlight w:val="none"/>
                      <w:lang w:val="en-US" w:eastAsia="zh-CN"/>
                      <w14:textFill>
                        <w14:solidFill>
                          <w14:schemeClr w14:val="tx1"/>
                        </w14:solidFill>
                      </w14:textFill>
                    </w:rPr>
                    <w:t>1F</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建筑面积约1200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主要放置滚筒洗衣机6台、全自动烘干机12台、反裤机3台。牛仔裤堆放区，成品堆放区，生物质燃料蒸汽发生器1台</w:t>
                  </w:r>
                </w:p>
              </w:tc>
              <w:tc>
                <w:tcPr>
                  <w:tcW w:w="352" w:type="pct"/>
                  <w:tcBorders>
                    <w:tl2br w:val="nil"/>
                    <w:tr2bl w:val="nil"/>
                  </w:tcBorders>
                  <w:noWrap w:val="0"/>
                  <w:tcMar>
                    <w:top w:w="28" w:type="dxa"/>
                    <w:left w:w="28" w:type="dxa"/>
                    <w:bottom w:w="28" w:type="dxa"/>
                    <w:right w:w="28" w:type="dxa"/>
                  </w:tcMar>
                  <w:vAlign w:val="center"/>
                </w:tcPr>
                <w:p w14:paraId="74C39104">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噪声</w:t>
                  </w:r>
                </w:p>
              </w:tc>
              <w:tc>
                <w:tcPr>
                  <w:tcW w:w="367" w:type="pct"/>
                  <w:tcBorders>
                    <w:tl2br w:val="nil"/>
                    <w:tr2bl w:val="nil"/>
                  </w:tcBorders>
                  <w:noWrap w:val="0"/>
                  <w:tcMar>
                    <w:top w:w="28" w:type="dxa"/>
                    <w:left w:w="28" w:type="dxa"/>
                    <w:bottom w:w="28" w:type="dxa"/>
                    <w:right w:w="28" w:type="dxa"/>
                  </w:tcMar>
                  <w:vAlign w:val="center"/>
                </w:tcPr>
                <w:p w14:paraId="348285AC">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废气、废水、噪声、固废</w:t>
                  </w:r>
                </w:p>
              </w:tc>
              <w:tc>
                <w:tcPr>
                  <w:tcW w:w="298" w:type="pct"/>
                  <w:tcBorders>
                    <w:tl2br w:val="nil"/>
                    <w:tr2bl w:val="nil"/>
                  </w:tcBorders>
                  <w:noWrap w:val="0"/>
                  <w:tcMar>
                    <w:top w:w="28" w:type="dxa"/>
                    <w:left w:w="28" w:type="dxa"/>
                    <w:bottom w:w="28" w:type="dxa"/>
                    <w:right w:w="28" w:type="dxa"/>
                  </w:tcMar>
                  <w:vAlign w:val="center"/>
                </w:tcPr>
                <w:p w14:paraId="7D57F902">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0E8BA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restart"/>
                  <w:tcBorders>
                    <w:tl2br w:val="nil"/>
                    <w:tr2bl w:val="nil"/>
                  </w:tcBorders>
                  <w:noWrap w:val="0"/>
                  <w:tcMar>
                    <w:top w:w="28" w:type="dxa"/>
                    <w:left w:w="28" w:type="dxa"/>
                    <w:bottom w:w="28" w:type="dxa"/>
                    <w:right w:w="28" w:type="dxa"/>
                  </w:tcMar>
                  <w:vAlign w:val="center"/>
                </w:tcPr>
                <w:p w14:paraId="0507A60E">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辅助工程</w:t>
                  </w:r>
                </w:p>
              </w:tc>
              <w:tc>
                <w:tcPr>
                  <w:tcW w:w="430" w:type="pct"/>
                  <w:gridSpan w:val="2"/>
                  <w:tcBorders>
                    <w:tl2br w:val="nil"/>
                    <w:tr2bl w:val="nil"/>
                  </w:tcBorders>
                  <w:noWrap w:val="0"/>
                  <w:tcMar>
                    <w:top w:w="28" w:type="dxa"/>
                    <w:left w:w="28" w:type="dxa"/>
                    <w:bottom w:w="28" w:type="dxa"/>
                    <w:right w:w="28" w:type="dxa"/>
                  </w:tcMar>
                  <w:vAlign w:val="center"/>
                </w:tcPr>
                <w:p w14:paraId="6964A06B">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办公区</w:t>
                  </w:r>
                </w:p>
              </w:tc>
              <w:tc>
                <w:tcPr>
                  <w:tcW w:w="3205" w:type="pct"/>
                  <w:tcBorders>
                    <w:tl2br w:val="nil"/>
                    <w:tr2bl w:val="nil"/>
                  </w:tcBorders>
                  <w:noWrap w:val="0"/>
                  <w:tcMar>
                    <w:top w:w="28" w:type="dxa"/>
                    <w:left w:w="28" w:type="dxa"/>
                    <w:bottom w:w="28" w:type="dxa"/>
                    <w:right w:w="28" w:type="dxa"/>
                  </w:tcMar>
                  <w:vAlign w:val="center"/>
                </w:tcPr>
                <w:p w14:paraId="4804C479">
                  <w:pPr>
                    <w:pStyle w:val="56"/>
                    <w:bidi w:val="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位于</w:t>
                  </w:r>
                  <w:r>
                    <w:rPr>
                      <w:rFonts w:hint="eastAsia" w:cs="Times New Roman"/>
                      <w:color w:val="000000" w:themeColor="text1"/>
                      <w:sz w:val="21"/>
                      <w:szCs w:val="21"/>
                      <w:highlight w:val="none"/>
                      <w:lang w:val="en-US" w:eastAsia="zh-CN"/>
                      <w14:textFill>
                        <w14:solidFill>
                          <w14:schemeClr w14:val="tx1"/>
                        </w14:solidFill>
                      </w14:textFill>
                    </w:rPr>
                    <w:t>B6栋</w:t>
                  </w:r>
                  <w:r>
                    <w:rPr>
                      <w:rFonts w:hint="eastAsia" w:cs="Times New Roman"/>
                      <w:color w:val="000000" w:themeColor="text1"/>
                      <w:sz w:val="21"/>
                      <w:szCs w:val="21"/>
                      <w:highlight w:val="none"/>
                      <w:lang w:val="en-US" w:eastAsia="zh-CN"/>
                      <w14:textFill>
                        <w14:solidFill>
                          <w14:schemeClr w14:val="tx1"/>
                        </w14:solidFill>
                      </w14:textFill>
                    </w:rPr>
                    <w:t>厂房</w:t>
                  </w:r>
                  <w:r>
                    <w:rPr>
                      <w:rFonts w:hint="eastAsia" w:cs="Times New Roman"/>
                      <w:color w:val="000000" w:themeColor="text1"/>
                      <w:sz w:val="21"/>
                      <w:szCs w:val="21"/>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面积约</w:t>
                  </w:r>
                  <w:r>
                    <w:rPr>
                      <w:rFonts w:hint="eastAsia"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布置了办公室、会议室、接待室等功能区域，用于员工行政办公</w:t>
                  </w:r>
                </w:p>
              </w:tc>
              <w:tc>
                <w:tcPr>
                  <w:tcW w:w="352" w:type="pct"/>
                  <w:vMerge w:val="restart"/>
                  <w:tcBorders>
                    <w:tl2br w:val="nil"/>
                    <w:tr2bl w:val="nil"/>
                  </w:tcBorders>
                  <w:noWrap w:val="0"/>
                  <w:tcMar>
                    <w:top w:w="28" w:type="dxa"/>
                    <w:left w:w="28" w:type="dxa"/>
                    <w:bottom w:w="28" w:type="dxa"/>
                    <w:right w:w="28" w:type="dxa"/>
                  </w:tcMar>
                  <w:vAlign w:val="center"/>
                </w:tcPr>
                <w:p w14:paraId="32109E81">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367" w:type="pct"/>
                  <w:tcBorders>
                    <w:tl2br w:val="nil"/>
                    <w:tr2bl w:val="nil"/>
                  </w:tcBorders>
                  <w:noWrap w:val="0"/>
                  <w:tcMar>
                    <w:top w:w="28" w:type="dxa"/>
                    <w:left w:w="28" w:type="dxa"/>
                    <w:bottom w:w="28" w:type="dxa"/>
                    <w:right w:w="28" w:type="dxa"/>
                  </w:tcMar>
                  <w:vAlign w:val="center"/>
                </w:tcPr>
                <w:p w14:paraId="07297E9F">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生活垃圾</w:t>
                  </w:r>
                </w:p>
              </w:tc>
              <w:tc>
                <w:tcPr>
                  <w:tcW w:w="298" w:type="pct"/>
                  <w:tcBorders>
                    <w:tl2br w:val="nil"/>
                    <w:tr2bl w:val="nil"/>
                  </w:tcBorders>
                  <w:noWrap w:val="0"/>
                  <w:tcMar>
                    <w:top w:w="28" w:type="dxa"/>
                    <w:left w:w="28" w:type="dxa"/>
                    <w:bottom w:w="28" w:type="dxa"/>
                    <w:right w:w="28" w:type="dxa"/>
                  </w:tcMar>
                  <w:vAlign w:val="center"/>
                </w:tcPr>
                <w:p w14:paraId="6A01D280">
                  <w:pPr>
                    <w:pStyle w:val="56"/>
                    <w:bidi w:val="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46FC3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tcBorders>
                    <w:tl2br w:val="nil"/>
                    <w:tr2bl w:val="nil"/>
                  </w:tcBorders>
                  <w:noWrap w:val="0"/>
                  <w:tcMar>
                    <w:top w:w="28" w:type="dxa"/>
                    <w:left w:w="28" w:type="dxa"/>
                    <w:bottom w:w="28" w:type="dxa"/>
                    <w:right w:w="28" w:type="dxa"/>
                  </w:tcMar>
                  <w:vAlign w:val="center"/>
                </w:tcPr>
                <w:p w14:paraId="5DF51CF2">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30" w:type="pct"/>
                  <w:gridSpan w:val="2"/>
                  <w:tcBorders>
                    <w:tl2br w:val="nil"/>
                    <w:tr2bl w:val="nil"/>
                  </w:tcBorders>
                  <w:noWrap w:val="0"/>
                  <w:tcMar>
                    <w:top w:w="28" w:type="dxa"/>
                    <w:left w:w="28" w:type="dxa"/>
                    <w:bottom w:w="28" w:type="dxa"/>
                    <w:right w:w="28" w:type="dxa"/>
                  </w:tcMar>
                  <w:vAlign w:val="center"/>
                </w:tcPr>
                <w:p w14:paraId="7887935E">
                  <w:pPr>
                    <w:pStyle w:val="56"/>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供热房</w:t>
                  </w:r>
                </w:p>
              </w:tc>
              <w:tc>
                <w:tcPr>
                  <w:tcW w:w="3205" w:type="pct"/>
                  <w:tcBorders>
                    <w:tl2br w:val="nil"/>
                    <w:tr2bl w:val="nil"/>
                  </w:tcBorders>
                  <w:noWrap w:val="0"/>
                  <w:tcMar>
                    <w:top w:w="28" w:type="dxa"/>
                    <w:left w:w="28" w:type="dxa"/>
                    <w:bottom w:w="28" w:type="dxa"/>
                    <w:right w:w="28" w:type="dxa"/>
                  </w:tcMar>
                  <w:vAlign w:val="center"/>
                </w:tcPr>
                <w:p w14:paraId="39AD40CD">
                  <w:pPr>
                    <w:pStyle w:val="56"/>
                    <w:bidi w:val="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位于B6栋厂房东北角，安装1台2.5t生物质燃料蒸汽发生器</w:t>
                  </w:r>
                </w:p>
              </w:tc>
              <w:tc>
                <w:tcPr>
                  <w:tcW w:w="352" w:type="pct"/>
                  <w:vMerge w:val="continue"/>
                  <w:tcBorders>
                    <w:tl2br w:val="nil"/>
                    <w:tr2bl w:val="nil"/>
                  </w:tcBorders>
                  <w:noWrap w:val="0"/>
                  <w:tcMar>
                    <w:top w:w="28" w:type="dxa"/>
                    <w:left w:w="28" w:type="dxa"/>
                    <w:bottom w:w="28" w:type="dxa"/>
                    <w:right w:w="28" w:type="dxa"/>
                  </w:tcMar>
                  <w:vAlign w:val="center"/>
                </w:tcPr>
                <w:p w14:paraId="70E755B2">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67" w:type="pct"/>
                  <w:tcBorders>
                    <w:tl2br w:val="nil"/>
                    <w:tr2bl w:val="nil"/>
                  </w:tcBorders>
                  <w:noWrap w:val="0"/>
                  <w:tcMar>
                    <w:top w:w="28" w:type="dxa"/>
                    <w:left w:w="28" w:type="dxa"/>
                    <w:bottom w:w="28" w:type="dxa"/>
                    <w:right w:w="28" w:type="dxa"/>
                  </w:tcMar>
                  <w:vAlign w:val="center"/>
                </w:tcPr>
                <w:p w14:paraId="64FE0094">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噪声、固废</w:t>
                  </w:r>
                </w:p>
              </w:tc>
              <w:tc>
                <w:tcPr>
                  <w:tcW w:w="298" w:type="pct"/>
                  <w:tcBorders>
                    <w:tl2br w:val="nil"/>
                    <w:tr2bl w:val="nil"/>
                  </w:tcBorders>
                  <w:noWrap w:val="0"/>
                  <w:tcMar>
                    <w:top w:w="28" w:type="dxa"/>
                    <w:left w:w="28" w:type="dxa"/>
                    <w:bottom w:w="28" w:type="dxa"/>
                    <w:right w:w="28" w:type="dxa"/>
                  </w:tcMar>
                  <w:vAlign w:val="center"/>
                </w:tcPr>
                <w:p w14:paraId="52265ED8">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34C69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restart"/>
                  <w:tcBorders>
                    <w:tl2br w:val="nil"/>
                    <w:tr2bl w:val="nil"/>
                  </w:tcBorders>
                  <w:noWrap w:val="0"/>
                  <w:tcMar>
                    <w:top w:w="28" w:type="dxa"/>
                    <w:left w:w="28" w:type="dxa"/>
                    <w:bottom w:w="28" w:type="dxa"/>
                    <w:right w:w="28" w:type="dxa"/>
                  </w:tcMar>
                  <w:vAlign w:val="center"/>
                </w:tcPr>
                <w:p w14:paraId="689A9CB5">
                  <w:pPr>
                    <w:pStyle w:val="56"/>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储运工程</w:t>
                  </w:r>
                </w:p>
              </w:tc>
              <w:tc>
                <w:tcPr>
                  <w:tcW w:w="430" w:type="pct"/>
                  <w:gridSpan w:val="2"/>
                  <w:tcBorders>
                    <w:tl2br w:val="nil"/>
                    <w:tr2bl w:val="nil"/>
                  </w:tcBorders>
                  <w:noWrap w:val="0"/>
                  <w:tcMar>
                    <w:top w:w="28" w:type="dxa"/>
                    <w:left w:w="28" w:type="dxa"/>
                    <w:bottom w:w="28" w:type="dxa"/>
                    <w:right w:w="28" w:type="dxa"/>
                  </w:tcMar>
                  <w:vAlign w:val="center"/>
                </w:tcPr>
                <w:p w14:paraId="485EDFC2">
                  <w:pPr>
                    <w:pStyle w:val="56"/>
                    <w:bidi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原料区</w:t>
                  </w:r>
                </w:p>
              </w:tc>
              <w:tc>
                <w:tcPr>
                  <w:tcW w:w="3205" w:type="pct"/>
                  <w:tcBorders>
                    <w:tl2br w:val="nil"/>
                    <w:tr2bl w:val="nil"/>
                  </w:tcBorders>
                  <w:noWrap w:val="0"/>
                  <w:tcMar>
                    <w:top w:w="28" w:type="dxa"/>
                    <w:left w:w="28" w:type="dxa"/>
                    <w:bottom w:w="28" w:type="dxa"/>
                    <w:right w:w="28" w:type="dxa"/>
                  </w:tcMar>
                  <w:vAlign w:val="center"/>
                </w:tcPr>
                <w:p w14:paraId="704DABB3">
                  <w:pPr>
                    <w:pStyle w:val="56"/>
                    <w:jc w:val="both"/>
                    <w:rPr>
                      <w:rFonts w:hint="default"/>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共设2个原料区，分别位于B5栋厂房北侧和B6栋厂房北侧，面积均为1</w:t>
                  </w:r>
                  <w:r>
                    <w:rPr>
                      <w:rFonts w:hint="eastAsia" w:cs="Times New Roman"/>
                      <w:color w:val="000000" w:themeColor="text1"/>
                      <w:highlight w:val="none"/>
                      <w:lang w:val="en-US" w:eastAsia="zh-CN"/>
                      <w14:textFill>
                        <w14:solidFill>
                          <w14:schemeClr w14:val="tx1"/>
                        </w14:solidFill>
                      </w14:textFill>
                    </w:rPr>
                    <w:t>00</w:t>
                  </w:r>
                  <w:r>
                    <w:rPr>
                      <w:rFonts w:hint="default" w:ascii="Times New Roman" w:hAnsi="Times New Roman" w:eastAsia="Therese"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用于存放需要清洗的牛仔裤</w:t>
                  </w:r>
                </w:p>
              </w:tc>
              <w:tc>
                <w:tcPr>
                  <w:tcW w:w="352" w:type="pct"/>
                  <w:vMerge w:val="continue"/>
                  <w:tcBorders>
                    <w:tl2br w:val="nil"/>
                    <w:tr2bl w:val="nil"/>
                  </w:tcBorders>
                  <w:noWrap w:val="0"/>
                  <w:tcMar>
                    <w:top w:w="28" w:type="dxa"/>
                    <w:left w:w="28" w:type="dxa"/>
                    <w:bottom w:w="28" w:type="dxa"/>
                    <w:right w:w="28" w:type="dxa"/>
                  </w:tcMar>
                  <w:vAlign w:val="center"/>
                </w:tcPr>
                <w:p w14:paraId="06764CF5">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67" w:type="pct"/>
                  <w:tcBorders>
                    <w:tl2br w:val="nil"/>
                    <w:tr2bl w:val="nil"/>
                  </w:tcBorders>
                  <w:noWrap w:val="0"/>
                  <w:tcMar>
                    <w:top w:w="28" w:type="dxa"/>
                    <w:left w:w="28" w:type="dxa"/>
                    <w:bottom w:w="28" w:type="dxa"/>
                    <w:right w:w="28" w:type="dxa"/>
                  </w:tcMar>
                  <w:vAlign w:val="center"/>
                </w:tcPr>
                <w:p w14:paraId="49B0ABD5">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98" w:type="pct"/>
                  <w:tcBorders>
                    <w:tl2br w:val="nil"/>
                    <w:tr2bl w:val="nil"/>
                  </w:tcBorders>
                  <w:noWrap w:val="0"/>
                  <w:tcMar>
                    <w:top w:w="28" w:type="dxa"/>
                    <w:left w:w="28" w:type="dxa"/>
                    <w:bottom w:w="28" w:type="dxa"/>
                    <w:right w:w="28" w:type="dxa"/>
                  </w:tcMar>
                  <w:vAlign w:val="center"/>
                </w:tcPr>
                <w:p w14:paraId="34D2D1B8">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27806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tcBorders>
                    <w:tl2br w:val="nil"/>
                    <w:tr2bl w:val="nil"/>
                  </w:tcBorders>
                  <w:noWrap w:val="0"/>
                  <w:tcMar>
                    <w:top w:w="28" w:type="dxa"/>
                    <w:left w:w="28" w:type="dxa"/>
                    <w:bottom w:w="28" w:type="dxa"/>
                    <w:right w:w="28" w:type="dxa"/>
                  </w:tcMar>
                  <w:vAlign w:val="center"/>
                </w:tcPr>
                <w:p w14:paraId="2EA85B87">
                  <w:pPr>
                    <w:pStyle w:val="56"/>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30" w:type="pct"/>
                  <w:gridSpan w:val="2"/>
                  <w:tcBorders>
                    <w:tl2br w:val="nil"/>
                    <w:tr2bl w:val="nil"/>
                  </w:tcBorders>
                  <w:noWrap w:val="0"/>
                  <w:tcMar>
                    <w:top w:w="28" w:type="dxa"/>
                    <w:left w:w="28" w:type="dxa"/>
                    <w:bottom w:w="28" w:type="dxa"/>
                    <w:right w:w="28" w:type="dxa"/>
                  </w:tcMar>
                  <w:vAlign w:val="center"/>
                </w:tcPr>
                <w:p w14:paraId="45F3B5A6">
                  <w:pPr>
                    <w:pStyle w:val="56"/>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辅料区</w:t>
                  </w:r>
                </w:p>
              </w:tc>
              <w:tc>
                <w:tcPr>
                  <w:tcW w:w="3205" w:type="pct"/>
                  <w:tcBorders>
                    <w:tl2br w:val="nil"/>
                    <w:tr2bl w:val="nil"/>
                  </w:tcBorders>
                  <w:noWrap w:val="0"/>
                  <w:tcMar>
                    <w:top w:w="28" w:type="dxa"/>
                    <w:left w:w="28" w:type="dxa"/>
                    <w:bottom w:w="28" w:type="dxa"/>
                    <w:right w:w="28" w:type="dxa"/>
                  </w:tcMar>
                  <w:vAlign w:val="center"/>
                </w:tcPr>
                <w:p w14:paraId="76403302">
                  <w:pPr>
                    <w:pStyle w:val="56"/>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位于</w:t>
                  </w:r>
                  <w:r>
                    <w:rPr>
                      <w:rFonts w:hint="eastAsia" w:cs="Times New Roman"/>
                      <w:color w:val="000000" w:themeColor="text1"/>
                      <w:sz w:val="21"/>
                      <w:szCs w:val="21"/>
                      <w:highlight w:val="none"/>
                      <w:lang w:val="en-US" w:eastAsia="zh-CN"/>
                      <w14:textFill>
                        <w14:solidFill>
                          <w14:schemeClr w14:val="tx1"/>
                        </w14:solidFill>
                      </w14:textFill>
                    </w:rPr>
                    <w:t>B6栋</w:t>
                  </w:r>
                  <w:r>
                    <w:rPr>
                      <w:rFonts w:hint="eastAsia" w:cs="Times New Roman"/>
                      <w:color w:val="000000" w:themeColor="text1"/>
                      <w:sz w:val="21"/>
                      <w:szCs w:val="21"/>
                      <w:highlight w:val="none"/>
                      <w:lang w:val="en-US" w:eastAsia="zh-CN"/>
                      <w14:textFill>
                        <w14:solidFill>
                          <w14:schemeClr w14:val="tx1"/>
                        </w14:solidFill>
                      </w14:textFill>
                    </w:rPr>
                    <w:t>厂房</w:t>
                  </w:r>
                  <w:r>
                    <w:rPr>
                      <w:rFonts w:hint="default" w:ascii="Times New Roman" w:hAnsi="Times New Roman" w:cs="Times New Roman"/>
                      <w:color w:val="000000" w:themeColor="text1"/>
                      <w:highlight w:val="none"/>
                      <w14:textFill>
                        <w14:solidFill>
                          <w14:schemeClr w14:val="tx1"/>
                        </w14:solidFill>
                      </w14:textFill>
                    </w:rPr>
                    <w:t>东</w:t>
                  </w:r>
                  <w:r>
                    <w:rPr>
                      <w:rFonts w:hint="eastAsia" w:cs="Times New Roman"/>
                      <w:color w:val="000000" w:themeColor="text1"/>
                      <w:highlight w:val="none"/>
                      <w:lang w:val="en-US" w:eastAsia="zh-CN"/>
                      <w14:textFill>
                        <w14:solidFill>
                          <w14:schemeClr w14:val="tx1"/>
                        </w14:solidFill>
                      </w14:textFill>
                    </w:rPr>
                    <w:t>南</w:t>
                  </w:r>
                  <w:r>
                    <w:rPr>
                      <w:rFonts w:hint="default" w:ascii="Times New Roman" w:hAnsi="Times New Roman" w:cs="Times New Roman"/>
                      <w:color w:val="000000" w:themeColor="text1"/>
                      <w:highlight w:val="none"/>
                      <w14:textFill>
                        <w14:solidFill>
                          <w14:schemeClr w14:val="tx1"/>
                        </w14:solidFill>
                      </w14:textFill>
                    </w:rPr>
                    <w:t>侧，面积约</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200</w:t>
                  </w:r>
                  <w:r>
                    <w:rPr>
                      <w:rFonts w:hint="default" w:ascii="Times New Roman" w:hAnsi="Times New Roman" w:eastAsia="Therese"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，用于暂存</w:t>
                  </w:r>
                  <w:r>
                    <w:rPr>
                      <w:rFonts w:hint="default" w:ascii="Times New Roman" w:hAnsi="Times New Roman" w:cs="Times New Roman"/>
                      <w:color w:val="000000" w:themeColor="text1"/>
                      <w:highlight w:val="none"/>
                      <w:lang w:val="en-US" w:eastAsia="zh-CN"/>
                      <w14:textFill>
                        <w14:solidFill>
                          <w14:schemeClr w14:val="tx1"/>
                        </w14:solidFill>
                      </w14:textFill>
                    </w:rPr>
                    <w:t>生物质颗粒及其他</w:t>
                  </w:r>
                  <w:r>
                    <w:rPr>
                      <w:rFonts w:hint="eastAsia" w:cs="Times New Roman"/>
                      <w:color w:val="000000" w:themeColor="text1"/>
                      <w:highlight w:val="none"/>
                      <w:lang w:val="en-US" w:eastAsia="zh-CN"/>
                      <w14:textFill>
                        <w14:solidFill>
                          <w14:schemeClr w14:val="tx1"/>
                        </w14:solidFill>
                      </w14:textFill>
                    </w:rPr>
                    <w:t>洗衣液、硅油、柔顺剂</w:t>
                  </w:r>
                </w:p>
              </w:tc>
              <w:tc>
                <w:tcPr>
                  <w:tcW w:w="352" w:type="pct"/>
                  <w:vMerge w:val="continue"/>
                  <w:tcBorders>
                    <w:tl2br w:val="nil"/>
                    <w:tr2bl w:val="nil"/>
                  </w:tcBorders>
                  <w:noWrap w:val="0"/>
                  <w:tcMar>
                    <w:top w:w="28" w:type="dxa"/>
                    <w:left w:w="28" w:type="dxa"/>
                    <w:bottom w:w="28" w:type="dxa"/>
                    <w:right w:w="28" w:type="dxa"/>
                  </w:tcMar>
                  <w:vAlign w:val="center"/>
                </w:tcPr>
                <w:p w14:paraId="0F9E4846">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67" w:type="pct"/>
                  <w:tcBorders>
                    <w:tl2br w:val="nil"/>
                    <w:tr2bl w:val="nil"/>
                  </w:tcBorders>
                  <w:noWrap w:val="0"/>
                  <w:tcMar>
                    <w:top w:w="28" w:type="dxa"/>
                    <w:left w:w="28" w:type="dxa"/>
                    <w:bottom w:w="28" w:type="dxa"/>
                    <w:right w:w="28" w:type="dxa"/>
                  </w:tcMar>
                  <w:vAlign w:val="center"/>
                </w:tcPr>
                <w:p w14:paraId="1D3A050D">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98" w:type="pct"/>
                  <w:tcBorders>
                    <w:tl2br w:val="nil"/>
                    <w:tr2bl w:val="nil"/>
                  </w:tcBorders>
                  <w:noWrap w:val="0"/>
                  <w:tcMar>
                    <w:top w:w="28" w:type="dxa"/>
                    <w:left w:w="28" w:type="dxa"/>
                    <w:bottom w:w="28" w:type="dxa"/>
                    <w:right w:w="28" w:type="dxa"/>
                  </w:tcMar>
                  <w:vAlign w:val="center"/>
                </w:tcPr>
                <w:p w14:paraId="1778C40F">
                  <w:pPr>
                    <w:pStyle w:val="5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44278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tcBorders>
                    <w:tl2br w:val="nil"/>
                    <w:tr2bl w:val="nil"/>
                  </w:tcBorders>
                  <w:noWrap w:val="0"/>
                  <w:tcMar>
                    <w:top w:w="28" w:type="dxa"/>
                    <w:left w:w="28" w:type="dxa"/>
                    <w:bottom w:w="28" w:type="dxa"/>
                    <w:right w:w="28" w:type="dxa"/>
                  </w:tcMar>
                  <w:vAlign w:val="center"/>
                </w:tcPr>
                <w:p w14:paraId="2FBBAA44">
                  <w:pPr>
                    <w:pStyle w:val="56"/>
                    <w:bidi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430" w:type="pct"/>
                  <w:gridSpan w:val="2"/>
                  <w:tcBorders>
                    <w:tl2br w:val="nil"/>
                    <w:tr2bl w:val="nil"/>
                  </w:tcBorders>
                  <w:noWrap w:val="0"/>
                  <w:tcMar>
                    <w:top w:w="28" w:type="dxa"/>
                    <w:left w:w="28" w:type="dxa"/>
                    <w:bottom w:w="28" w:type="dxa"/>
                    <w:right w:w="28" w:type="dxa"/>
                  </w:tcMar>
                  <w:vAlign w:val="center"/>
                </w:tcPr>
                <w:p w14:paraId="66E4F1DF">
                  <w:pPr>
                    <w:pStyle w:val="56"/>
                    <w:bidi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成品堆放区</w:t>
                  </w:r>
                </w:p>
              </w:tc>
              <w:tc>
                <w:tcPr>
                  <w:tcW w:w="3205" w:type="pct"/>
                  <w:tcBorders>
                    <w:tl2br w:val="nil"/>
                    <w:tr2bl w:val="nil"/>
                  </w:tcBorders>
                  <w:noWrap w:val="0"/>
                  <w:tcMar>
                    <w:top w:w="28" w:type="dxa"/>
                    <w:left w:w="28" w:type="dxa"/>
                    <w:bottom w:w="28" w:type="dxa"/>
                    <w:right w:w="28" w:type="dxa"/>
                  </w:tcMar>
                  <w:vAlign w:val="center"/>
                </w:tcPr>
                <w:p w14:paraId="58DF10A2">
                  <w:pPr>
                    <w:pStyle w:val="56"/>
                    <w:jc w:val="both"/>
                    <w:rPr>
                      <w:rFonts w:hint="default"/>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共设2个原料区，分别位于B5栋厂房东南侧和B6栋厂房东南侧，面积均为1</w:t>
                  </w:r>
                  <w:r>
                    <w:rPr>
                      <w:rFonts w:hint="eastAsia" w:cs="Times New Roman"/>
                      <w:color w:val="000000" w:themeColor="text1"/>
                      <w:highlight w:val="none"/>
                      <w:lang w:val="en-US" w:eastAsia="zh-CN"/>
                      <w14:textFill>
                        <w14:solidFill>
                          <w14:schemeClr w14:val="tx1"/>
                        </w14:solidFill>
                      </w14:textFill>
                    </w:rPr>
                    <w:t>00</w:t>
                  </w:r>
                  <w:r>
                    <w:rPr>
                      <w:rFonts w:hint="default" w:ascii="Times New Roman" w:hAnsi="Times New Roman" w:eastAsia="Therese"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用于存放洗涤完的牛仔裤</w:t>
                  </w:r>
                </w:p>
              </w:tc>
              <w:tc>
                <w:tcPr>
                  <w:tcW w:w="352" w:type="pct"/>
                  <w:vMerge w:val="continue"/>
                  <w:tcBorders>
                    <w:tl2br w:val="nil"/>
                    <w:tr2bl w:val="nil"/>
                  </w:tcBorders>
                  <w:noWrap w:val="0"/>
                  <w:tcMar>
                    <w:top w:w="28" w:type="dxa"/>
                    <w:left w:w="28" w:type="dxa"/>
                    <w:bottom w:w="28" w:type="dxa"/>
                    <w:right w:w="28" w:type="dxa"/>
                  </w:tcMar>
                  <w:vAlign w:val="center"/>
                </w:tcPr>
                <w:p w14:paraId="4D829DC7">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67" w:type="pct"/>
                  <w:tcBorders>
                    <w:tl2br w:val="nil"/>
                    <w:tr2bl w:val="nil"/>
                  </w:tcBorders>
                  <w:noWrap w:val="0"/>
                  <w:tcMar>
                    <w:top w:w="28" w:type="dxa"/>
                    <w:left w:w="28" w:type="dxa"/>
                    <w:bottom w:w="28" w:type="dxa"/>
                    <w:right w:w="28" w:type="dxa"/>
                  </w:tcMar>
                  <w:vAlign w:val="center"/>
                </w:tcPr>
                <w:p w14:paraId="186E9CBC">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98" w:type="pct"/>
                  <w:tcBorders>
                    <w:tl2br w:val="nil"/>
                    <w:tr2bl w:val="nil"/>
                  </w:tcBorders>
                  <w:noWrap w:val="0"/>
                  <w:tcMar>
                    <w:top w:w="28" w:type="dxa"/>
                    <w:left w:w="28" w:type="dxa"/>
                    <w:bottom w:w="28" w:type="dxa"/>
                    <w:right w:w="28" w:type="dxa"/>
                  </w:tcMar>
                  <w:vAlign w:val="center"/>
                </w:tcPr>
                <w:p w14:paraId="71E6C74B">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1B4CC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restart"/>
                  <w:tcBorders>
                    <w:tl2br w:val="nil"/>
                    <w:tr2bl w:val="nil"/>
                  </w:tcBorders>
                  <w:noWrap w:val="0"/>
                  <w:tcMar>
                    <w:top w:w="28" w:type="dxa"/>
                    <w:left w:w="28" w:type="dxa"/>
                    <w:bottom w:w="28" w:type="dxa"/>
                    <w:right w:w="28" w:type="dxa"/>
                  </w:tcMar>
                  <w:vAlign w:val="center"/>
                </w:tcPr>
                <w:p w14:paraId="530F64AF">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公用工程</w:t>
                  </w:r>
                </w:p>
              </w:tc>
              <w:tc>
                <w:tcPr>
                  <w:tcW w:w="430" w:type="pct"/>
                  <w:gridSpan w:val="2"/>
                  <w:tcBorders>
                    <w:tl2br w:val="nil"/>
                    <w:tr2bl w:val="nil"/>
                  </w:tcBorders>
                  <w:noWrap w:val="0"/>
                  <w:tcMar>
                    <w:top w:w="28" w:type="dxa"/>
                    <w:left w:w="28" w:type="dxa"/>
                    <w:bottom w:w="28" w:type="dxa"/>
                    <w:right w:w="28" w:type="dxa"/>
                  </w:tcMar>
                  <w:vAlign w:val="center"/>
                </w:tcPr>
                <w:p w14:paraId="33CE331E">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给水</w:t>
                  </w:r>
                </w:p>
              </w:tc>
              <w:tc>
                <w:tcPr>
                  <w:tcW w:w="3205" w:type="pct"/>
                  <w:tcBorders>
                    <w:tl2br w:val="nil"/>
                    <w:tr2bl w:val="nil"/>
                  </w:tcBorders>
                  <w:noWrap w:val="0"/>
                  <w:tcMar>
                    <w:top w:w="28" w:type="dxa"/>
                    <w:left w:w="28" w:type="dxa"/>
                    <w:bottom w:w="28" w:type="dxa"/>
                    <w:right w:w="28" w:type="dxa"/>
                  </w:tcMar>
                  <w:vAlign w:val="center"/>
                </w:tcPr>
                <w:p w14:paraId="225BA7F5">
                  <w:pPr>
                    <w:pStyle w:val="56"/>
                    <w:bidi w:val="0"/>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依托市政给水系统供水</w:t>
                  </w:r>
                </w:p>
              </w:tc>
              <w:tc>
                <w:tcPr>
                  <w:tcW w:w="352" w:type="pct"/>
                  <w:vMerge w:val="continue"/>
                  <w:tcBorders>
                    <w:tl2br w:val="nil"/>
                    <w:tr2bl w:val="nil"/>
                  </w:tcBorders>
                  <w:noWrap w:val="0"/>
                  <w:tcMar>
                    <w:top w:w="28" w:type="dxa"/>
                    <w:left w:w="28" w:type="dxa"/>
                    <w:bottom w:w="28" w:type="dxa"/>
                    <w:right w:w="28" w:type="dxa"/>
                  </w:tcMar>
                  <w:vAlign w:val="center"/>
                </w:tcPr>
                <w:p w14:paraId="4DE619EA">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367" w:type="pct"/>
                  <w:tcBorders>
                    <w:tl2br w:val="nil"/>
                    <w:tr2bl w:val="nil"/>
                  </w:tcBorders>
                  <w:noWrap w:val="0"/>
                  <w:tcMar>
                    <w:top w:w="28" w:type="dxa"/>
                    <w:left w:w="28" w:type="dxa"/>
                    <w:bottom w:w="28" w:type="dxa"/>
                    <w:right w:w="28" w:type="dxa"/>
                  </w:tcMar>
                  <w:vAlign w:val="center"/>
                </w:tcPr>
                <w:p w14:paraId="401A20B9">
                  <w:pPr>
                    <w:pStyle w:val="56"/>
                    <w:bidi w:val="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98" w:type="pct"/>
                  <w:tcBorders>
                    <w:tl2br w:val="nil"/>
                    <w:tr2bl w:val="nil"/>
                  </w:tcBorders>
                  <w:noWrap w:val="0"/>
                  <w:tcMar>
                    <w:top w:w="28" w:type="dxa"/>
                    <w:left w:w="28" w:type="dxa"/>
                    <w:bottom w:w="28" w:type="dxa"/>
                    <w:right w:w="28" w:type="dxa"/>
                  </w:tcMar>
                  <w:vAlign w:val="center"/>
                </w:tcPr>
                <w:p w14:paraId="39B67294">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依托</w:t>
                  </w:r>
                </w:p>
              </w:tc>
            </w:tr>
            <w:tr w14:paraId="0AE5C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tcBorders>
                    <w:tl2br w:val="nil"/>
                    <w:tr2bl w:val="nil"/>
                  </w:tcBorders>
                  <w:noWrap w:val="0"/>
                  <w:tcMar>
                    <w:top w:w="28" w:type="dxa"/>
                    <w:left w:w="28" w:type="dxa"/>
                    <w:bottom w:w="28" w:type="dxa"/>
                    <w:right w:w="28" w:type="dxa"/>
                  </w:tcMar>
                  <w:vAlign w:val="center"/>
                </w:tcPr>
                <w:p w14:paraId="1841C2F2">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30" w:type="pct"/>
                  <w:gridSpan w:val="2"/>
                  <w:tcBorders>
                    <w:tl2br w:val="nil"/>
                    <w:tr2bl w:val="nil"/>
                  </w:tcBorders>
                  <w:noWrap w:val="0"/>
                  <w:tcMar>
                    <w:top w:w="28" w:type="dxa"/>
                    <w:left w:w="28" w:type="dxa"/>
                    <w:bottom w:w="28" w:type="dxa"/>
                    <w:right w:w="28" w:type="dxa"/>
                  </w:tcMar>
                  <w:vAlign w:val="center"/>
                </w:tcPr>
                <w:p w14:paraId="740F63FE">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排水</w:t>
                  </w:r>
                </w:p>
              </w:tc>
              <w:tc>
                <w:tcPr>
                  <w:tcW w:w="3205" w:type="pct"/>
                  <w:tcBorders>
                    <w:tl2br w:val="nil"/>
                    <w:tr2bl w:val="nil"/>
                  </w:tcBorders>
                  <w:noWrap w:val="0"/>
                  <w:tcMar>
                    <w:top w:w="28" w:type="dxa"/>
                    <w:left w:w="28" w:type="dxa"/>
                    <w:bottom w:w="28" w:type="dxa"/>
                    <w:right w:w="28" w:type="dxa"/>
                  </w:tcMar>
                  <w:vAlign w:val="center"/>
                </w:tcPr>
                <w:p w14:paraId="35877A6E">
                  <w:pPr>
                    <w:pStyle w:val="56"/>
                    <w:bidi w:val="0"/>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采用雨、污分流的排水体制。雨水排入市政雨水管网</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生活污水</w:t>
                  </w:r>
                  <w:r>
                    <w:rPr>
                      <w:rFonts w:hint="eastAsia" w:cs="Times New Roman"/>
                      <w:color w:val="000000" w:themeColor="text1"/>
                      <w:sz w:val="21"/>
                      <w:szCs w:val="21"/>
                      <w:highlight w:val="none"/>
                      <w:lang w:val="en-US" w:eastAsia="zh-CN"/>
                      <w14:textFill>
                        <w14:solidFill>
                          <w14:schemeClr w14:val="tx1"/>
                        </w14:solidFill>
                      </w14:textFill>
                    </w:rPr>
                    <w:t>依托厂区已建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生化池处理后排入市政污水管网</w:t>
                  </w:r>
                  <w:r>
                    <w:rPr>
                      <w:rFonts w:hint="eastAsia" w:cs="Times New Roman"/>
                      <w:color w:val="000000" w:themeColor="text1"/>
                      <w:sz w:val="21"/>
                      <w:szCs w:val="21"/>
                      <w:highlight w:val="none"/>
                      <w:lang w:val="en-US" w:eastAsia="zh-CN"/>
                      <w14:textFill>
                        <w14:solidFill>
                          <w14:schemeClr w14:val="tx1"/>
                        </w14:solidFill>
                      </w14:textFill>
                    </w:rPr>
                    <w:t>；洗涤污水经</w:t>
                  </w:r>
                  <w:r>
                    <w:rPr>
                      <w:rFonts w:hint="eastAsia" w:cs="Times New Roman"/>
                      <w:color w:val="000000" w:themeColor="text1"/>
                      <w:sz w:val="21"/>
                      <w:szCs w:val="21"/>
                      <w:highlight w:val="none"/>
                      <w:lang w:val="en-US" w:eastAsia="zh-CN"/>
                      <w14:textFill>
                        <w14:solidFill>
                          <w14:schemeClr w14:val="tx1"/>
                        </w14:solidFill>
                      </w14:textFill>
                    </w:rPr>
                    <w:t>自建的</w:t>
                  </w:r>
                  <w:r>
                    <w:rPr>
                      <w:rFonts w:hint="eastAsia" w:cs="Times New Roman"/>
                      <w:color w:val="000000" w:themeColor="text1"/>
                      <w:sz w:val="21"/>
                      <w:szCs w:val="21"/>
                      <w:highlight w:val="none"/>
                      <w:lang w:val="en-US" w:eastAsia="zh-CN"/>
                      <w14:textFill>
                        <w14:solidFill>
                          <w14:schemeClr w14:val="tx1"/>
                        </w14:solidFill>
                      </w14:textFill>
                    </w:rPr>
                    <w:t>污水处理设施处理</w:t>
                  </w:r>
                  <w:r>
                    <w:rPr>
                      <w:rFonts w:hint="eastAsia" w:cs="Times New Roman"/>
                      <w:color w:val="000000" w:themeColor="text1"/>
                      <w:sz w:val="21"/>
                      <w:szCs w:val="21"/>
                      <w:highlight w:val="none"/>
                      <w:lang w:val="en-US" w:eastAsia="zh-CN"/>
                      <w14:textFill>
                        <w14:solidFill>
                          <w14:schemeClr w14:val="tx1"/>
                        </w14:solidFill>
                      </w14:textFill>
                    </w:rPr>
                    <w:t>达标</w:t>
                  </w:r>
                  <w:r>
                    <w:rPr>
                      <w:rFonts w:hint="eastAsia" w:cs="Times New Roman"/>
                      <w:color w:val="000000" w:themeColor="text1"/>
                      <w:sz w:val="21"/>
                      <w:szCs w:val="21"/>
                      <w:highlight w:val="none"/>
                      <w:lang w:val="en-US" w:eastAsia="zh-CN"/>
                      <w14:textFill>
                        <w14:solidFill>
                          <w14:schemeClr w14:val="tx1"/>
                        </w14:solidFill>
                      </w14:textFill>
                    </w:rPr>
                    <w:t>后排入</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市政污水管网</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生物质燃料蒸汽发生器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排放的废水排入雨水管网</w:t>
                  </w:r>
                </w:p>
              </w:tc>
              <w:tc>
                <w:tcPr>
                  <w:tcW w:w="352" w:type="pct"/>
                  <w:vMerge w:val="continue"/>
                  <w:tcBorders>
                    <w:tl2br w:val="nil"/>
                    <w:tr2bl w:val="nil"/>
                  </w:tcBorders>
                  <w:noWrap w:val="0"/>
                  <w:tcMar>
                    <w:top w:w="28" w:type="dxa"/>
                    <w:left w:w="28" w:type="dxa"/>
                    <w:bottom w:w="28" w:type="dxa"/>
                    <w:right w:w="28" w:type="dxa"/>
                  </w:tcMar>
                  <w:vAlign w:val="center"/>
                </w:tcPr>
                <w:p w14:paraId="520AF91D">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367" w:type="pct"/>
                  <w:tcBorders>
                    <w:tl2br w:val="nil"/>
                    <w:tr2bl w:val="nil"/>
                  </w:tcBorders>
                  <w:noWrap w:val="0"/>
                  <w:tcMar>
                    <w:top w:w="28" w:type="dxa"/>
                    <w:left w:w="28" w:type="dxa"/>
                    <w:bottom w:w="28" w:type="dxa"/>
                    <w:right w:w="28" w:type="dxa"/>
                  </w:tcMar>
                  <w:vAlign w:val="center"/>
                </w:tcPr>
                <w:p w14:paraId="1583FB14">
                  <w:pPr>
                    <w:pStyle w:val="5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废水</w:t>
                  </w:r>
                </w:p>
              </w:tc>
              <w:tc>
                <w:tcPr>
                  <w:tcW w:w="298" w:type="pct"/>
                  <w:tcBorders>
                    <w:tl2br w:val="nil"/>
                    <w:tr2bl w:val="nil"/>
                  </w:tcBorders>
                  <w:noWrap w:val="0"/>
                  <w:tcMar>
                    <w:top w:w="28" w:type="dxa"/>
                    <w:left w:w="28" w:type="dxa"/>
                    <w:bottom w:w="28" w:type="dxa"/>
                    <w:right w:w="28" w:type="dxa"/>
                  </w:tcMar>
                  <w:vAlign w:val="center"/>
                </w:tcPr>
                <w:p w14:paraId="397534BE">
                  <w:pPr>
                    <w:pStyle w:val="5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依托</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2AB22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tcBorders>
                    <w:tl2br w:val="nil"/>
                    <w:tr2bl w:val="nil"/>
                  </w:tcBorders>
                  <w:noWrap w:val="0"/>
                  <w:tcMar>
                    <w:top w:w="28" w:type="dxa"/>
                    <w:left w:w="28" w:type="dxa"/>
                    <w:bottom w:w="28" w:type="dxa"/>
                    <w:right w:w="28" w:type="dxa"/>
                  </w:tcMar>
                  <w:vAlign w:val="center"/>
                </w:tcPr>
                <w:p w14:paraId="119E5096">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30" w:type="pct"/>
                  <w:gridSpan w:val="2"/>
                  <w:tcBorders>
                    <w:tl2br w:val="nil"/>
                    <w:tr2bl w:val="nil"/>
                  </w:tcBorders>
                  <w:noWrap w:val="0"/>
                  <w:tcMar>
                    <w:top w:w="28" w:type="dxa"/>
                    <w:left w:w="28" w:type="dxa"/>
                    <w:bottom w:w="28" w:type="dxa"/>
                    <w:right w:w="28" w:type="dxa"/>
                  </w:tcMar>
                  <w:vAlign w:val="center"/>
                </w:tcPr>
                <w:p w14:paraId="3170FD34">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供配电</w:t>
                  </w:r>
                </w:p>
              </w:tc>
              <w:tc>
                <w:tcPr>
                  <w:tcW w:w="3205" w:type="pct"/>
                  <w:tcBorders>
                    <w:tl2br w:val="nil"/>
                    <w:tr2bl w:val="nil"/>
                  </w:tcBorders>
                  <w:noWrap w:val="0"/>
                  <w:tcMar>
                    <w:top w:w="28" w:type="dxa"/>
                    <w:left w:w="28" w:type="dxa"/>
                    <w:bottom w:w="28" w:type="dxa"/>
                    <w:right w:w="28" w:type="dxa"/>
                  </w:tcMar>
                  <w:vAlign w:val="center"/>
                </w:tcPr>
                <w:p w14:paraId="6C082592">
                  <w:pPr>
                    <w:pStyle w:val="56"/>
                    <w:bidi w:val="0"/>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依托市政供电管网供电</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不设置柴油发电机</w:t>
                  </w:r>
                </w:p>
              </w:tc>
              <w:tc>
                <w:tcPr>
                  <w:tcW w:w="352" w:type="pct"/>
                  <w:vMerge w:val="continue"/>
                  <w:tcBorders>
                    <w:tl2br w:val="nil"/>
                    <w:tr2bl w:val="nil"/>
                  </w:tcBorders>
                  <w:noWrap w:val="0"/>
                  <w:tcMar>
                    <w:top w:w="28" w:type="dxa"/>
                    <w:left w:w="28" w:type="dxa"/>
                    <w:bottom w:w="28" w:type="dxa"/>
                    <w:right w:w="28" w:type="dxa"/>
                  </w:tcMar>
                  <w:vAlign w:val="center"/>
                </w:tcPr>
                <w:p w14:paraId="6C9931F2">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367" w:type="pct"/>
                  <w:tcBorders>
                    <w:tl2br w:val="nil"/>
                    <w:tr2bl w:val="nil"/>
                  </w:tcBorders>
                  <w:noWrap w:val="0"/>
                  <w:tcMar>
                    <w:top w:w="28" w:type="dxa"/>
                    <w:left w:w="28" w:type="dxa"/>
                    <w:bottom w:w="28" w:type="dxa"/>
                    <w:right w:w="28" w:type="dxa"/>
                  </w:tcMar>
                  <w:vAlign w:val="center"/>
                </w:tcPr>
                <w:p w14:paraId="6191E714">
                  <w:pPr>
                    <w:pStyle w:val="5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98" w:type="pct"/>
                  <w:tcBorders>
                    <w:tl2br w:val="nil"/>
                    <w:tr2bl w:val="nil"/>
                  </w:tcBorders>
                  <w:noWrap w:val="0"/>
                  <w:tcMar>
                    <w:top w:w="28" w:type="dxa"/>
                    <w:left w:w="28" w:type="dxa"/>
                    <w:bottom w:w="28" w:type="dxa"/>
                    <w:right w:w="28" w:type="dxa"/>
                  </w:tcMar>
                  <w:vAlign w:val="center"/>
                </w:tcPr>
                <w:p w14:paraId="18161EF2">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依托</w:t>
                  </w:r>
                </w:p>
              </w:tc>
            </w:tr>
            <w:tr w14:paraId="42B77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restart"/>
                  <w:tcBorders>
                    <w:tl2br w:val="nil"/>
                    <w:tr2bl w:val="nil"/>
                  </w:tcBorders>
                  <w:noWrap w:val="0"/>
                  <w:tcMar>
                    <w:top w:w="28" w:type="dxa"/>
                    <w:left w:w="28" w:type="dxa"/>
                    <w:bottom w:w="28" w:type="dxa"/>
                    <w:right w:w="28" w:type="dxa"/>
                  </w:tcMar>
                  <w:vAlign w:val="center"/>
                </w:tcPr>
                <w:p w14:paraId="5292E184">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环保工程</w:t>
                  </w:r>
                </w:p>
              </w:tc>
              <w:tc>
                <w:tcPr>
                  <w:tcW w:w="430" w:type="pct"/>
                  <w:gridSpan w:val="2"/>
                  <w:tcBorders>
                    <w:tl2br w:val="nil"/>
                    <w:tr2bl w:val="nil"/>
                  </w:tcBorders>
                  <w:noWrap w:val="0"/>
                  <w:tcMar>
                    <w:top w:w="28" w:type="dxa"/>
                    <w:left w:w="28" w:type="dxa"/>
                    <w:bottom w:w="28" w:type="dxa"/>
                    <w:right w:w="28" w:type="dxa"/>
                  </w:tcMar>
                  <w:vAlign w:val="center"/>
                </w:tcPr>
                <w:p w14:paraId="353B4CD4">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废水治理</w:t>
                  </w:r>
                </w:p>
              </w:tc>
              <w:tc>
                <w:tcPr>
                  <w:tcW w:w="3205" w:type="pct"/>
                  <w:tcBorders>
                    <w:tl2br w:val="nil"/>
                    <w:tr2bl w:val="nil"/>
                  </w:tcBorders>
                  <w:noWrap w:val="0"/>
                  <w:tcMar>
                    <w:top w:w="28" w:type="dxa"/>
                    <w:left w:w="28" w:type="dxa"/>
                    <w:bottom w:w="28" w:type="dxa"/>
                    <w:right w:w="28" w:type="dxa"/>
                  </w:tcMar>
                  <w:vAlign w:val="center"/>
                </w:tcPr>
                <w:p w14:paraId="716AF668">
                  <w:pPr>
                    <w:pStyle w:val="56"/>
                    <w:bidi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生活污水依托</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厂区</w:t>
                  </w:r>
                  <w:r>
                    <w:rPr>
                      <w:rFonts w:hint="default" w:ascii="Times New Roman" w:hAnsi="Times New Roman" w:eastAsia="宋体" w:cs="Times New Roman"/>
                      <w:bCs/>
                      <w:color w:val="000000" w:themeColor="text1"/>
                      <w:sz w:val="21"/>
                      <w:szCs w:val="21"/>
                      <w:highlight w:val="none"/>
                      <w14:textFill>
                        <w14:solidFill>
                          <w14:schemeClr w14:val="tx1"/>
                        </w14:solidFill>
                      </w14:textFill>
                    </w:rPr>
                    <w:t>已建</w:t>
                  </w:r>
                  <w:r>
                    <w:rPr>
                      <w:rFonts w:hint="eastAsia" w:cs="Times New Roman"/>
                      <w:bCs/>
                      <w:color w:val="000000" w:themeColor="text1"/>
                      <w:sz w:val="21"/>
                      <w:szCs w:val="21"/>
                      <w:highlight w:val="none"/>
                      <w:lang w:val="en-US" w:eastAsia="zh-CN"/>
                      <w14:textFill>
                        <w14:solidFill>
                          <w14:schemeClr w14:val="tx1"/>
                        </w14:solidFill>
                      </w14:textFill>
                    </w:rPr>
                    <w:t>生化池，洗涤废水</w:t>
                  </w:r>
                  <w:r>
                    <w:rPr>
                      <w:rFonts w:hint="eastAsia" w:cs="Times New Roman"/>
                      <w:color w:val="000000" w:themeColor="text1"/>
                      <w:sz w:val="21"/>
                      <w:szCs w:val="21"/>
                      <w:highlight w:val="none"/>
                      <w:lang w:val="en-US" w:eastAsia="zh-CN"/>
                      <w14:textFill>
                        <w14:solidFill>
                          <w14:schemeClr w14:val="tx1"/>
                        </w14:solidFill>
                      </w14:textFill>
                    </w:rPr>
                    <w:t>经</w:t>
                  </w:r>
                  <w:r>
                    <w:rPr>
                      <w:rFonts w:hint="eastAsia" w:cs="Times New Roman"/>
                      <w:color w:val="000000" w:themeColor="text1"/>
                      <w:sz w:val="21"/>
                      <w:szCs w:val="21"/>
                      <w:highlight w:val="none"/>
                      <w:lang w:val="en-US" w:eastAsia="zh-CN"/>
                      <w14:textFill>
                        <w14:solidFill>
                          <w14:schemeClr w14:val="tx1"/>
                        </w14:solidFill>
                      </w14:textFill>
                    </w:rPr>
                    <w:t>自建的</w:t>
                  </w:r>
                  <w:r>
                    <w:rPr>
                      <w:rFonts w:hint="eastAsia" w:cs="Times New Roman"/>
                      <w:color w:val="000000" w:themeColor="text1"/>
                      <w:sz w:val="21"/>
                      <w:szCs w:val="21"/>
                      <w:highlight w:val="none"/>
                      <w:lang w:val="en-US" w:eastAsia="zh-CN"/>
                      <w14:textFill>
                        <w14:solidFill>
                          <w14:schemeClr w14:val="tx1"/>
                        </w14:solidFill>
                      </w14:textFill>
                    </w:rPr>
                    <w:t>污水处理设施（</w:t>
                  </w:r>
                  <w:r>
                    <w:rPr>
                      <w:rFonts w:hint="eastAsia" w:cs="Times New Roman"/>
                      <w:color w:val="000000" w:themeColor="text1"/>
                      <w:sz w:val="21"/>
                      <w:szCs w:val="21"/>
                      <w:highlight w:val="none"/>
                      <w:lang w:val="en-US" w:eastAsia="zh-CN"/>
                      <w14:textFill>
                        <w14:solidFill>
                          <w14:schemeClr w14:val="tx1"/>
                        </w14:solidFill>
                      </w14:textFill>
                    </w:rPr>
                    <w:t>气浮+A/O</w:t>
                  </w:r>
                  <w:r>
                    <w:rPr>
                      <w:rFonts w:hint="eastAsia" w:cs="Times New Roman"/>
                      <w:color w:val="000000" w:themeColor="text1"/>
                      <w:sz w:val="21"/>
                      <w:szCs w:val="21"/>
                      <w:highlight w:val="none"/>
                      <w:lang w:val="en-US" w:eastAsia="zh-CN"/>
                      <w14:textFill>
                        <w14:solidFill>
                          <w14:schemeClr w14:val="tx1"/>
                        </w14:solidFill>
                      </w14:textFill>
                    </w:rPr>
                    <w:t>）处理</w:t>
                  </w:r>
                  <w:r>
                    <w:rPr>
                      <w:rFonts w:hint="default" w:ascii="Times New Roman" w:hAnsi="Times New Roman" w:eastAsia="宋体" w:cs="Times New Roman"/>
                      <w:bCs/>
                      <w:color w:val="000000" w:themeColor="text1"/>
                      <w:sz w:val="21"/>
                      <w:szCs w:val="21"/>
                      <w:highlight w:val="none"/>
                      <w14:textFill>
                        <w14:solidFill>
                          <w14:schemeClr w14:val="tx1"/>
                        </w14:solidFill>
                      </w14:textFill>
                    </w:rPr>
                    <w:t>达</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纺织染整工业水污染物排放标准》（GB 4287-2012）及其修改单</w:t>
                  </w:r>
                  <w:r>
                    <w:rPr>
                      <w:rFonts w:hint="eastAsia" w:cs="Times New Roman"/>
                      <w:bCs/>
                      <w:color w:val="000000" w:themeColor="text1"/>
                      <w:sz w:val="21"/>
                      <w:szCs w:val="21"/>
                      <w:highlight w:val="none"/>
                      <w:lang w:val="en-US" w:eastAsia="zh-CN"/>
                      <w14:textFill>
                        <w14:solidFill>
                          <w14:schemeClr w14:val="tx1"/>
                        </w14:solidFill>
                      </w14:textFill>
                    </w:rPr>
                    <w:t>标准后</w:t>
                  </w:r>
                  <w:r>
                    <w:rPr>
                      <w:rFonts w:hint="default" w:ascii="Times New Roman" w:hAnsi="Times New Roman" w:cs="Times New Roman"/>
                      <w:color w:val="000000" w:themeColor="text1"/>
                      <w:sz w:val="21"/>
                      <w:szCs w:val="21"/>
                      <w:highlight w:val="none"/>
                      <w14:textFill>
                        <w14:solidFill>
                          <w14:schemeClr w14:val="tx1"/>
                        </w14:solidFill>
                      </w14:textFill>
                    </w:rPr>
                    <w:t>排入园区污水处理厂处理达《城镇污水处理厂污染物排放标准》（GB18918-2002）一级A标准后排入铜钵河</w:t>
                  </w:r>
                </w:p>
              </w:tc>
              <w:tc>
                <w:tcPr>
                  <w:tcW w:w="352" w:type="pct"/>
                  <w:vMerge w:val="continue"/>
                  <w:tcBorders>
                    <w:tl2br w:val="nil"/>
                    <w:tr2bl w:val="nil"/>
                  </w:tcBorders>
                  <w:noWrap w:val="0"/>
                  <w:tcMar>
                    <w:top w:w="28" w:type="dxa"/>
                    <w:left w:w="28" w:type="dxa"/>
                    <w:bottom w:w="28" w:type="dxa"/>
                    <w:right w:w="28" w:type="dxa"/>
                  </w:tcMar>
                  <w:vAlign w:val="center"/>
                </w:tcPr>
                <w:p w14:paraId="11E53E96">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67" w:type="pct"/>
                  <w:tcBorders>
                    <w:tl2br w:val="nil"/>
                    <w:tr2bl w:val="nil"/>
                  </w:tcBorders>
                  <w:noWrap w:val="0"/>
                  <w:tcMar>
                    <w:top w:w="28" w:type="dxa"/>
                    <w:left w:w="28" w:type="dxa"/>
                    <w:bottom w:w="28" w:type="dxa"/>
                    <w:right w:w="28" w:type="dxa"/>
                  </w:tcMar>
                  <w:vAlign w:val="center"/>
                </w:tcPr>
                <w:p w14:paraId="3CB591F2">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废水</w:t>
                  </w:r>
                </w:p>
              </w:tc>
              <w:tc>
                <w:tcPr>
                  <w:tcW w:w="298" w:type="pct"/>
                  <w:tcBorders>
                    <w:tl2br w:val="nil"/>
                    <w:tr2bl w:val="nil"/>
                  </w:tcBorders>
                  <w:noWrap w:val="0"/>
                  <w:tcMar>
                    <w:top w:w="28" w:type="dxa"/>
                    <w:left w:w="28" w:type="dxa"/>
                    <w:bottom w:w="28" w:type="dxa"/>
                    <w:right w:w="28" w:type="dxa"/>
                  </w:tcMar>
                  <w:vAlign w:val="center"/>
                </w:tcPr>
                <w:p w14:paraId="1DD26A3F">
                  <w:pPr>
                    <w:pStyle w:val="5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依托+新建</w:t>
                  </w:r>
                </w:p>
              </w:tc>
            </w:tr>
            <w:tr w14:paraId="5CB89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tcBorders>
                    <w:tl2br w:val="nil"/>
                    <w:tr2bl w:val="nil"/>
                  </w:tcBorders>
                  <w:noWrap w:val="0"/>
                  <w:tcMar>
                    <w:top w:w="28" w:type="dxa"/>
                    <w:left w:w="28" w:type="dxa"/>
                    <w:bottom w:w="28" w:type="dxa"/>
                    <w:right w:w="28" w:type="dxa"/>
                  </w:tcMar>
                  <w:vAlign w:val="center"/>
                </w:tcPr>
                <w:p w14:paraId="1E329B12">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30" w:type="pct"/>
                  <w:gridSpan w:val="2"/>
                  <w:tcBorders>
                    <w:tl2br w:val="nil"/>
                    <w:tr2bl w:val="nil"/>
                  </w:tcBorders>
                  <w:noWrap w:val="0"/>
                  <w:tcMar>
                    <w:top w:w="28" w:type="dxa"/>
                    <w:left w:w="28" w:type="dxa"/>
                    <w:bottom w:w="28" w:type="dxa"/>
                    <w:right w:w="28" w:type="dxa"/>
                  </w:tcMar>
                  <w:vAlign w:val="center"/>
                </w:tcPr>
                <w:p w14:paraId="5FD11157">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废气治理</w:t>
                  </w:r>
                </w:p>
              </w:tc>
              <w:tc>
                <w:tcPr>
                  <w:tcW w:w="3205" w:type="pct"/>
                  <w:tcBorders>
                    <w:tl2br w:val="nil"/>
                    <w:tr2bl w:val="nil"/>
                  </w:tcBorders>
                  <w:noWrap w:val="0"/>
                  <w:tcMar>
                    <w:top w:w="28" w:type="dxa"/>
                    <w:left w:w="28" w:type="dxa"/>
                    <w:bottom w:w="28" w:type="dxa"/>
                    <w:right w:w="28" w:type="dxa"/>
                  </w:tcMar>
                  <w:vAlign w:val="center"/>
                </w:tcPr>
                <w:p w14:paraId="69CB8041">
                  <w:pPr>
                    <w:pStyle w:val="56"/>
                    <w:bidi w:val="0"/>
                    <w:spacing w:line="240" w:lineRule="auto"/>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生物质燃料蒸汽发生器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燃烧废气经</w:t>
                  </w:r>
                  <w:r>
                    <w:rPr>
                      <w:rFonts w:hint="eastAsia" w:cs="Times New Roman"/>
                      <w:color w:val="000000" w:themeColor="text1"/>
                      <w:sz w:val="21"/>
                      <w:szCs w:val="21"/>
                      <w:highlight w:val="none"/>
                      <w:lang w:val="en-US" w:eastAsia="zh-CN"/>
                      <w14:textFill>
                        <w14:solidFill>
                          <w14:schemeClr w14:val="tx1"/>
                        </w14:solidFill>
                      </w14:textFill>
                    </w:rPr>
                    <w:t>设备</w:t>
                  </w:r>
                  <w:r>
                    <w:rPr>
                      <w:rFonts w:hint="eastAsia" w:cs="Times New Roman"/>
                      <w:color w:val="000000" w:themeColor="text1"/>
                      <w:sz w:val="21"/>
                      <w:szCs w:val="21"/>
                      <w:highlight w:val="none"/>
                      <w:lang w:val="en-US" w:eastAsia="zh-CN"/>
                      <w14:textFill>
                        <w14:solidFill>
                          <w14:schemeClr w14:val="tx1"/>
                        </w14:solidFill>
                      </w14:textFill>
                    </w:rPr>
                    <w:t>布袋</w:t>
                  </w:r>
                  <w:r>
                    <w:rPr>
                      <w:rFonts w:hint="eastAsia" w:cs="Times New Roman"/>
                      <w:color w:val="000000" w:themeColor="text1"/>
                      <w:sz w:val="21"/>
                      <w:szCs w:val="21"/>
                      <w:highlight w:val="none"/>
                      <w:lang w:val="en-US" w:eastAsia="zh-CN"/>
                      <w14:textFill>
                        <w14:solidFill>
                          <w14:schemeClr w14:val="tx1"/>
                        </w14:solidFill>
                      </w14:textFill>
                    </w:rPr>
                    <w:t>除尘处理后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，经1根</w:t>
                  </w:r>
                  <w:r>
                    <w:rPr>
                      <w:rFonts w:hint="eastAsia" w:cs="Times New Roman"/>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m高排气简高空排放(D</w:t>
                  </w:r>
                  <w:r>
                    <w:rPr>
                      <w:rFonts w:hint="eastAsia"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4973CD34">
                  <w:pPr>
                    <w:pStyle w:val="56"/>
                    <w:bidi w:val="0"/>
                    <w:spacing w:line="240" w:lineRule="auto"/>
                    <w:jc w:val="both"/>
                    <w:rPr>
                      <w:rFonts w:hint="default"/>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B5栋和B6栋</w:t>
                  </w:r>
                  <w:r>
                    <w:rPr>
                      <w:rFonts w:hint="eastAsia" w:cs="Times New Roman"/>
                      <w:color w:val="000000" w:themeColor="text1"/>
                      <w:sz w:val="21"/>
                      <w:szCs w:val="21"/>
                      <w:highlight w:val="none"/>
                      <w:lang w:val="en-US" w:eastAsia="zh-CN"/>
                      <w14:textFill>
                        <w14:solidFill>
                          <w14:schemeClr w14:val="tx1"/>
                        </w14:solidFill>
                      </w14:textFill>
                    </w:rPr>
                    <w:t>烘干废气分别经布袋除尘处理后，通过1根30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m高排气简高空排放(D</w:t>
                  </w:r>
                  <w:r>
                    <w:rPr>
                      <w:rFonts w:hint="eastAsia"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2、DA003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52" w:type="pct"/>
                  <w:vMerge w:val="continue"/>
                  <w:tcBorders>
                    <w:tl2br w:val="nil"/>
                    <w:tr2bl w:val="nil"/>
                  </w:tcBorders>
                  <w:noWrap w:val="0"/>
                  <w:tcMar>
                    <w:top w:w="28" w:type="dxa"/>
                    <w:left w:w="28" w:type="dxa"/>
                    <w:bottom w:w="28" w:type="dxa"/>
                    <w:right w:w="28" w:type="dxa"/>
                  </w:tcMar>
                  <w:vAlign w:val="center"/>
                </w:tcPr>
                <w:p w14:paraId="510BB358">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67" w:type="pct"/>
                  <w:tcBorders>
                    <w:tl2br w:val="nil"/>
                    <w:tr2bl w:val="nil"/>
                  </w:tcBorders>
                  <w:noWrap w:val="0"/>
                  <w:tcMar>
                    <w:top w:w="28" w:type="dxa"/>
                    <w:left w:w="28" w:type="dxa"/>
                    <w:bottom w:w="28" w:type="dxa"/>
                    <w:right w:w="28" w:type="dxa"/>
                  </w:tcMar>
                  <w:vAlign w:val="center"/>
                </w:tcPr>
                <w:p w14:paraId="07362CE0">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废气</w:t>
                  </w:r>
                </w:p>
              </w:tc>
              <w:tc>
                <w:tcPr>
                  <w:tcW w:w="298" w:type="pct"/>
                  <w:tcBorders>
                    <w:tl2br w:val="nil"/>
                    <w:tr2bl w:val="nil"/>
                  </w:tcBorders>
                  <w:noWrap w:val="0"/>
                  <w:tcMar>
                    <w:top w:w="28" w:type="dxa"/>
                    <w:left w:w="28" w:type="dxa"/>
                    <w:bottom w:w="28" w:type="dxa"/>
                    <w:right w:w="28" w:type="dxa"/>
                  </w:tcMar>
                  <w:vAlign w:val="center"/>
                </w:tcPr>
                <w:p w14:paraId="1CDE13FB">
                  <w:pPr>
                    <w:pStyle w:val="5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1D060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tcBorders>
                    <w:tl2br w:val="nil"/>
                    <w:tr2bl w:val="nil"/>
                  </w:tcBorders>
                  <w:noWrap w:val="0"/>
                  <w:tcMar>
                    <w:top w:w="28" w:type="dxa"/>
                    <w:left w:w="28" w:type="dxa"/>
                    <w:bottom w:w="28" w:type="dxa"/>
                    <w:right w:w="28" w:type="dxa"/>
                  </w:tcMar>
                  <w:vAlign w:val="center"/>
                </w:tcPr>
                <w:p w14:paraId="78B58E2A">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0" w:type="pct"/>
                  <w:vMerge w:val="restart"/>
                  <w:tcBorders>
                    <w:tl2br w:val="nil"/>
                    <w:tr2bl w:val="nil"/>
                  </w:tcBorders>
                  <w:noWrap w:val="0"/>
                  <w:tcMar>
                    <w:top w:w="28" w:type="dxa"/>
                    <w:left w:w="28" w:type="dxa"/>
                    <w:bottom w:w="28" w:type="dxa"/>
                    <w:right w:w="28" w:type="dxa"/>
                  </w:tcMar>
                  <w:vAlign w:val="center"/>
                </w:tcPr>
                <w:p w14:paraId="6B8EC85E">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固废治理</w:t>
                  </w:r>
                </w:p>
              </w:tc>
              <w:tc>
                <w:tcPr>
                  <w:tcW w:w="180" w:type="pct"/>
                  <w:tcBorders>
                    <w:tl2br w:val="nil"/>
                    <w:tr2bl w:val="nil"/>
                  </w:tcBorders>
                  <w:noWrap w:val="0"/>
                  <w:tcMar>
                    <w:top w:w="28" w:type="dxa"/>
                    <w:left w:w="28" w:type="dxa"/>
                    <w:bottom w:w="28" w:type="dxa"/>
                    <w:right w:w="28" w:type="dxa"/>
                  </w:tcMar>
                  <w:vAlign w:val="center"/>
                </w:tcPr>
                <w:p w14:paraId="40B3BDC7">
                  <w:pPr>
                    <w:pStyle w:val="56"/>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一般</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工业固废</w:t>
                  </w:r>
                </w:p>
              </w:tc>
              <w:tc>
                <w:tcPr>
                  <w:tcW w:w="3205" w:type="pct"/>
                  <w:tcBorders>
                    <w:tl2br w:val="nil"/>
                    <w:tr2bl w:val="nil"/>
                  </w:tcBorders>
                  <w:noWrap w:val="0"/>
                  <w:tcMar>
                    <w:top w:w="28" w:type="dxa"/>
                    <w:left w:w="28" w:type="dxa"/>
                    <w:bottom w:w="28" w:type="dxa"/>
                    <w:right w:w="28" w:type="dxa"/>
                  </w:tcMar>
                  <w:vAlign w:val="center"/>
                </w:tcPr>
                <w:p w14:paraId="69BF6BA3">
                  <w:pPr>
                    <w:pStyle w:val="56"/>
                    <w:bidi w:val="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在</w:t>
                  </w:r>
                  <w:r>
                    <w:rPr>
                      <w:rFonts w:hint="eastAsia" w:cs="Times New Roman"/>
                      <w:snapToGrid w:val="0"/>
                      <w:color w:val="000000" w:themeColor="text1"/>
                      <w:sz w:val="21"/>
                      <w:szCs w:val="21"/>
                      <w:highlight w:val="none"/>
                      <w:lang w:val="en-US" w:eastAsia="zh-CN"/>
                      <w14:textFill>
                        <w14:solidFill>
                          <w14:schemeClr w14:val="tx1"/>
                        </w14:solidFill>
                      </w14:textFill>
                    </w:rPr>
                    <w:t>B6栋厂房</w:t>
                  </w:r>
                  <w:r>
                    <w:rPr>
                      <w:rFonts w:hint="eastAsia" w:cs="Times New Roman"/>
                      <w:snapToGrid w:val="0"/>
                      <w:color w:val="000000" w:themeColor="text1"/>
                      <w:sz w:val="21"/>
                      <w:szCs w:val="21"/>
                      <w:highlight w:val="none"/>
                      <w:lang w:val="en-US" w:eastAsia="zh-CN"/>
                      <w14:textFill>
                        <w14:solidFill>
                          <w14:schemeClr w14:val="tx1"/>
                        </w14:solidFill>
                      </w14:textFill>
                    </w:rPr>
                    <w:t>东</w:t>
                  </w: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南侧设置1个</w:t>
                  </w:r>
                  <w:r>
                    <w:rPr>
                      <w:rFonts w:hint="eastAsia" w:cs="Times New Roman"/>
                      <w:snapToGrid w:val="0"/>
                      <w:color w:val="000000" w:themeColor="text1"/>
                      <w:szCs w:val="21"/>
                      <w:highlight w:val="none"/>
                      <w:lang w:eastAsia="zh-CN"/>
                      <w14:textFill>
                        <w14:solidFill>
                          <w14:schemeClr w14:val="tx1"/>
                        </w14:solidFill>
                      </w14:textFill>
                    </w:rPr>
                    <w:t>一般固废贮存点</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w:t>
                  </w:r>
                  <w:r>
                    <w:rPr>
                      <w:rFonts w:hint="eastAsia" w:cs="Times New Roman"/>
                      <w:snapToGrid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snapToGrid w:val="0"/>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）暂存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一般工业固废</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暂存</w:t>
                  </w:r>
                  <w:r>
                    <w:rPr>
                      <w:rFonts w:hint="default" w:ascii="Times New Roman" w:hAnsi="Times New Roman" w:cs="Times New Roman"/>
                      <w:color w:val="000000" w:themeColor="text1"/>
                      <w:highlight w:val="none"/>
                      <w:lang w:val="en-US" w:eastAsia="zh-CN"/>
                      <w14:textFill>
                        <w14:solidFill>
                          <w14:schemeClr w14:val="tx1"/>
                        </w14:solidFill>
                      </w14:textFill>
                    </w:rPr>
                    <w:t>区</w:t>
                  </w:r>
                  <w:r>
                    <w:rPr>
                      <w:rFonts w:hint="default" w:ascii="Times New Roman" w:hAnsi="Times New Roman" w:cs="Times New Roman"/>
                      <w:color w:val="000000" w:themeColor="text1"/>
                      <w:highlight w:val="none"/>
                      <w14:textFill>
                        <w14:solidFill>
                          <w14:schemeClr w14:val="tx1"/>
                        </w14:solidFill>
                      </w14:textFill>
                    </w:rPr>
                    <w:t>满足防粉尘污染、防流失、防雨水</w:t>
                  </w:r>
                  <w:r>
                    <w:rPr>
                      <w:rFonts w:hint="default" w:ascii="Times New Roman" w:hAnsi="Times New Roman" w:cs="Times New Roman"/>
                      <w:color w:val="000000" w:themeColor="text1"/>
                      <w:highlight w:val="none"/>
                      <w:lang w:val="en-US" w:eastAsia="zh-CN"/>
                      <w14:textFill>
                        <w14:solidFill>
                          <w14:schemeClr w14:val="tx1"/>
                        </w14:solidFill>
                      </w14:textFill>
                    </w:rPr>
                    <w:t>相关要求</w:t>
                  </w:r>
                </w:p>
              </w:tc>
              <w:tc>
                <w:tcPr>
                  <w:tcW w:w="352" w:type="pct"/>
                  <w:vMerge w:val="continue"/>
                  <w:tcBorders>
                    <w:tl2br w:val="nil"/>
                    <w:tr2bl w:val="nil"/>
                  </w:tcBorders>
                  <w:noWrap w:val="0"/>
                  <w:tcMar>
                    <w:top w:w="28" w:type="dxa"/>
                    <w:left w:w="28" w:type="dxa"/>
                    <w:bottom w:w="28" w:type="dxa"/>
                    <w:right w:w="28" w:type="dxa"/>
                  </w:tcMar>
                  <w:vAlign w:val="center"/>
                </w:tcPr>
                <w:p w14:paraId="6EC2D17A">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67" w:type="pct"/>
                  <w:vMerge w:val="restart"/>
                  <w:tcBorders>
                    <w:tl2br w:val="nil"/>
                    <w:tr2bl w:val="nil"/>
                  </w:tcBorders>
                  <w:noWrap w:val="0"/>
                  <w:tcMar>
                    <w:top w:w="28" w:type="dxa"/>
                    <w:left w:w="28" w:type="dxa"/>
                    <w:bottom w:w="28" w:type="dxa"/>
                    <w:right w:w="28" w:type="dxa"/>
                  </w:tcMar>
                  <w:vAlign w:val="center"/>
                </w:tcPr>
                <w:p w14:paraId="59F489FC">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固废</w:t>
                  </w:r>
                </w:p>
              </w:tc>
              <w:tc>
                <w:tcPr>
                  <w:tcW w:w="298" w:type="pct"/>
                  <w:tcBorders>
                    <w:tl2br w:val="nil"/>
                    <w:tr2bl w:val="nil"/>
                  </w:tcBorders>
                  <w:noWrap w:val="0"/>
                  <w:tcMar>
                    <w:top w:w="28" w:type="dxa"/>
                    <w:left w:w="28" w:type="dxa"/>
                    <w:bottom w:w="28" w:type="dxa"/>
                    <w:right w:w="28" w:type="dxa"/>
                  </w:tcMar>
                  <w:vAlign w:val="center"/>
                </w:tcPr>
                <w:p w14:paraId="3385EA83">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187AE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tcBorders>
                    <w:tl2br w:val="nil"/>
                    <w:tr2bl w:val="nil"/>
                  </w:tcBorders>
                  <w:noWrap w:val="0"/>
                  <w:tcMar>
                    <w:top w:w="28" w:type="dxa"/>
                    <w:left w:w="28" w:type="dxa"/>
                    <w:bottom w:w="28" w:type="dxa"/>
                    <w:right w:w="28" w:type="dxa"/>
                  </w:tcMar>
                  <w:vAlign w:val="center"/>
                </w:tcPr>
                <w:p w14:paraId="2C7F19D3">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0" w:type="pct"/>
                  <w:vMerge w:val="continue"/>
                  <w:tcBorders>
                    <w:tl2br w:val="nil"/>
                    <w:tr2bl w:val="nil"/>
                  </w:tcBorders>
                  <w:noWrap w:val="0"/>
                  <w:tcMar>
                    <w:top w:w="28" w:type="dxa"/>
                    <w:left w:w="28" w:type="dxa"/>
                    <w:bottom w:w="28" w:type="dxa"/>
                    <w:right w:w="28" w:type="dxa"/>
                  </w:tcMar>
                  <w:vAlign w:val="center"/>
                </w:tcPr>
                <w:p w14:paraId="71C29E00">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80" w:type="pct"/>
                  <w:tcBorders>
                    <w:tl2br w:val="nil"/>
                    <w:tr2bl w:val="nil"/>
                  </w:tcBorders>
                  <w:noWrap w:val="0"/>
                  <w:tcMar>
                    <w:top w:w="28" w:type="dxa"/>
                    <w:left w:w="28" w:type="dxa"/>
                    <w:bottom w:w="28" w:type="dxa"/>
                    <w:right w:w="28" w:type="dxa"/>
                  </w:tcMar>
                  <w:vAlign w:val="center"/>
                </w:tcPr>
                <w:p w14:paraId="12970196">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生活垃圾</w:t>
                  </w:r>
                </w:p>
              </w:tc>
              <w:tc>
                <w:tcPr>
                  <w:tcW w:w="3205" w:type="pct"/>
                  <w:tcBorders>
                    <w:tl2br w:val="nil"/>
                    <w:tr2bl w:val="nil"/>
                  </w:tcBorders>
                  <w:noWrap w:val="0"/>
                  <w:tcMar>
                    <w:top w:w="28" w:type="dxa"/>
                    <w:left w:w="28" w:type="dxa"/>
                    <w:bottom w:w="28" w:type="dxa"/>
                    <w:right w:w="28" w:type="dxa"/>
                  </w:tcMar>
                  <w:vAlign w:val="center"/>
                </w:tcPr>
                <w:p w14:paraId="3475FF02">
                  <w:pPr>
                    <w:pStyle w:val="56"/>
                    <w:bidi w:val="0"/>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设垃圾桶收集生活垃圾，垃圾定期由环卫部门处理</w:t>
                  </w:r>
                </w:p>
              </w:tc>
              <w:tc>
                <w:tcPr>
                  <w:tcW w:w="352" w:type="pct"/>
                  <w:vMerge w:val="continue"/>
                  <w:tcBorders>
                    <w:tl2br w:val="nil"/>
                    <w:tr2bl w:val="nil"/>
                  </w:tcBorders>
                  <w:noWrap w:val="0"/>
                  <w:tcMar>
                    <w:top w:w="28" w:type="dxa"/>
                    <w:left w:w="28" w:type="dxa"/>
                    <w:bottom w:w="28" w:type="dxa"/>
                    <w:right w:w="28" w:type="dxa"/>
                  </w:tcMar>
                  <w:vAlign w:val="center"/>
                </w:tcPr>
                <w:p w14:paraId="27F8F444">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67" w:type="pct"/>
                  <w:vMerge w:val="continue"/>
                  <w:tcBorders>
                    <w:tl2br w:val="nil"/>
                    <w:tr2bl w:val="nil"/>
                  </w:tcBorders>
                  <w:noWrap w:val="0"/>
                  <w:tcMar>
                    <w:top w:w="28" w:type="dxa"/>
                    <w:left w:w="28" w:type="dxa"/>
                    <w:bottom w:w="28" w:type="dxa"/>
                    <w:right w:w="28" w:type="dxa"/>
                  </w:tcMar>
                  <w:vAlign w:val="center"/>
                </w:tcPr>
                <w:p w14:paraId="6F7374D6">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98" w:type="pct"/>
                  <w:tcBorders>
                    <w:tl2br w:val="nil"/>
                    <w:tr2bl w:val="nil"/>
                  </w:tcBorders>
                  <w:noWrap w:val="0"/>
                  <w:tcMar>
                    <w:top w:w="28" w:type="dxa"/>
                    <w:left w:w="28" w:type="dxa"/>
                    <w:bottom w:w="28" w:type="dxa"/>
                    <w:right w:w="28" w:type="dxa"/>
                  </w:tcMar>
                  <w:vAlign w:val="center"/>
                </w:tcPr>
                <w:p w14:paraId="3D4C4A0B">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0763A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tcBorders>
                    <w:tl2br w:val="nil"/>
                    <w:tr2bl w:val="nil"/>
                  </w:tcBorders>
                  <w:noWrap w:val="0"/>
                  <w:tcMar>
                    <w:top w:w="28" w:type="dxa"/>
                    <w:left w:w="28" w:type="dxa"/>
                    <w:bottom w:w="28" w:type="dxa"/>
                    <w:right w:w="28" w:type="dxa"/>
                  </w:tcMar>
                  <w:vAlign w:val="center"/>
                </w:tcPr>
                <w:p w14:paraId="7E6BEF93">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30" w:type="pct"/>
                  <w:gridSpan w:val="2"/>
                  <w:tcBorders>
                    <w:tl2br w:val="nil"/>
                    <w:tr2bl w:val="nil"/>
                  </w:tcBorders>
                  <w:noWrap w:val="0"/>
                  <w:tcMar>
                    <w:top w:w="28" w:type="dxa"/>
                    <w:left w:w="28" w:type="dxa"/>
                    <w:bottom w:w="28" w:type="dxa"/>
                    <w:right w:w="28" w:type="dxa"/>
                  </w:tcMar>
                  <w:vAlign w:val="center"/>
                </w:tcPr>
                <w:p w14:paraId="1BBAE35B">
                  <w:pPr>
                    <w:pStyle w:val="56"/>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噪声</w:t>
                  </w:r>
                </w:p>
              </w:tc>
              <w:tc>
                <w:tcPr>
                  <w:tcW w:w="3205" w:type="pct"/>
                  <w:tcBorders>
                    <w:tl2br w:val="nil"/>
                    <w:tr2bl w:val="nil"/>
                  </w:tcBorders>
                  <w:noWrap w:val="0"/>
                  <w:tcMar>
                    <w:top w:w="28" w:type="dxa"/>
                    <w:left w:w="28" w:type="dxa"/>
                    <w:bottom w:w="28" w:type="dxa"/>
                    <w:right w:w="28" w:type="dxa"/>
                  </w:tcMar>
                  <w:vAlign w:val="center"/>
                </w:tcPr>
                <w:p w14:paraId="732C8570">
                  <w:pPr>
                    <w:pStyle w:val="56"/>
                    <w:bidi w:val="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选用低噪声设施</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采取基础减振、隔声、合理布局等措施</w:t>
                  </w:r>
                </w:p>
              </w:tc>
              <w:tc>
                <w:tcPr>
                  <w:tcW w:w="352" w:type="pct"/>
                  <w:vMerge w:val="continue"/>
                  <w:tcBorders>
                    <w:tl2br w:val="nil"/>
                    <w:tr2bl w:val="nil"/>
                  </w:tcBorders>
                  <w:noWrap w:val="0"/>
                  <w:tcMar>
                    <w:top w:w="28" w:type="dxa"/>
                    <w:left w:w="28" w:type="dxa"/>
                    <w:bottom w:w="28" w:type="dxa"/>
                    <w:right w:w="28" w:type="dxa"/>
                  </w:tcMar>
                  <w:vAlign w:val="center"/>
                </w:tcPr>
                <w:p w14:paraId="7438E21E">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367" w:type="pct"/>
                  <w:tcBorders>
                    <w:tl2br w:val="nil"/>
                    <w:tr2bl w:val="nil"/>
                  </w:tcBorders>
                  <w:noWrap w:val="0"/>
                  <w:tcMar>
                    <w:top w:w="28" w:type="dxa"/>
                    <w:left w:w="28" w:type="dxa"/>
                    <w:bottom w:w="28" w:type="dxa"/>
                    <w:right w:w="28" w:type="dxa"/>
                  </w:tcMar>
                  <w:vAlign w:val="center"/>
                </w:tcPr>
                <w:p w14:paraId="0C5687A2">
                  <w:pPr>
                    <w:pStyle w:val="56"/>
                    <w:bidi w:val="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噪声</w:t>
                  </w:r>
                </w:p>
              </w:tc>
              <w:tc>
                <w:tcPr>
                  <w:tcW w:w="298" w:type="pct"/>
                  <w:tcBorders>
                    <w:tl2br w:val="nil"/>
                    <w:tr2bl w:val="nil"/>
                  </w:tcBorders>
                  <w:noWrap w:val="0"/>
                  <w:tcMar>
                    <w:top w:w="28" w:type="dxa"/>
                    <w:left w:w="28" w:type="dxa"/>
                    <w:bottom w:w="28" w:type="dxa"/>
                    <w:right w:w="28" w:type="dxa"/>
                  </w:tcMar>
                  <w:vAlign w:val="center"/>
                </w:tcPr>
                <w:p w14:paraId="4CC40C14">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bl>
          <w:p w14:paraId="3C56E9BB">
            <w:pPr>
              <w:pStyle w:val="50"/>
              <w:pageBreakBefore w:val="0"/>
              <w:widowControl w:val="0"/>
              <w:kinsoku/>
              <w:wordWrap/>
              <w:overflowPunct/>
              <w:topLinePunct w:val="0"/>
              <w:autoSpaceDE/>
              <w:autoSpaceDN/>
              <w:bidi w:val="0"/>
              <w:snapToGrid/>
              <w:textAlignment w:val="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（2）依托工程</w:t>
            </w:r>
          </w:p>
          <w:p w14:paraId="67EE1E7D">
            <w:pPr>
              <w:pStyle w:val="50"/>
              <w:pageBreakBefore w:val="0"/>
              <w:widowControl w:val="0"/>
              <w:kinsoku/>
              <w:wordWrap/>
              <w:overflowPunct/>
              <w:topLinePunct w:val="0"/>
              <w:autoSpaceDE/>
              <w:autoSpaceDN/>
              <w:bidi w:val="0"/>
              <w:snapToGrid/>
              <w:spacing w:line="46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本项目依托关系详见下表。</w:t>
            </w:r>
          </w:p>
          <w:p w14:paraId="228FF680">
            <w:pPr>
              <w:pStyle w:val="6"/>
              <w:numPr>
                <w:ilvl w:val="4"/>
                <w:numId w:val="0"/>
              </w:numPr>
              <w:bidi w:val="0"/>
              <w:ind w:left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表2-2</w:t>
            </w:r>
            <w:r>
              <w:rPr>
                <w:rFonts w:hint="eastAsia"/>
                <w:color w:val="000000" w:themeColor="text1"/>
                <w:highlight w:val="none"/>
                <w14:textFill>
                  <w14:solidFill>
                    <w14:schemeClr w14:val="tx1"/>
                  </w14:solidFill>
                </w14:textFill>
              </w:rPr>
              <w:t>本项目依托关系一览表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1509"/>
              <w:gridCol w:w="1799"/>
              <w:gridCol w:w="4103"/>
            </w:tblGrid>
            <w:tr w14:paraId="1891334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tcBorders>
                    <w:tl2br w:val="nil"/>
                    <w:tr2bl w:val="nil"/>
                  </w:tcBorders>
                  <w:noWrap w:val="0"/>
                  <w:vAlign w:val="center"/>
                </w:tcPr>
                <w:p w14:paraId="6E594276">
                  <w:pPr>
                    <w:pStyle w:val="56"/>
                    <w:bidi w:val="0"/>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935" w:type="pct"/>
                  <w:tcBorders>
                    <w:tl2br w:val="nil"/>
                    <w:tr2bl w:val="nil"/>
                  </w:tcBorders>
                  <w:noWrap w:val="0"/>
                  <w:vAlign w:val="center"/>
                </w:tcPr>
                <w:p w14:paraId="0A14CC6B">
                  <w:pPr>
                    <w:pStyle w:val="56"/>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依托工程</w:t>
                  </w:r>
                </w:p>
              </w:tc>
              <w:tc>
                <w:tcPr>
                  <w:tcW w:w="1115" w:type="pct"/>
                  <w:tcBorders>
                    <w:tl2br w:val="nil"/>
                    <w:tr2bl w:val="nil"/>
                  </w:tcBorders>
                  <w:noWrap w:val="0"/>
                  <w:vAlign w:val="center"/>
                </w:tcPr>
                <w:p w14:paraId="152EBE0A">
                  <w:pPr>
                    <w:pStyle w:val="56"/>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依托内容</w:t>
                  </w:r>
                </w:p>
              </w:tc>
              <w:tc>
                <w:tcPr>
                  <w:tcW w:w="2543" w:type="pct"/>
                  <w:tcBorders>
                    <w:tl2br w:val="nil"/>
                    <w:tr2bl w:val="nil"/>
                  </w:tcBorders>
                  <w:noWrap w:val="0"/>
                  <w:vAlign w:val="center"/>
                </w:tcPr>
                <w:p w14:paraId="48E17DC0">
                  <w:pPr>
                    <w:pStyle w:val="56"/>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依托可行</w:t>
                  </w:r>
                  <w:r>
                    <w:rPr>
                      <w:color w:val="000000" w:themeColor="text1"/>
                      <w:highlight w:val="none"/>
                      <w14:textFill>
                        <w14:solidFill>
                          <w14:schemeClr w14:val="tx1"/>
                        </w14:solidFill>
                      </w14:textFill>
                    </w:rPr>
                    <w:cr/>
                  </w:r>
                  <w:r>
                    <w:rPr>
                      <w:color w:val="000000" w:themeColor="text1"/>
                      <w:highlight w:val="none"/>
                      <w14:textFill>
                        <w14:solidFill>
                          <w14:schemeClr w14:val="tx1"/>
                        </w14:solidFill>
                      </w14:textFill>
                    </w:rPr>
                    <w:t>性分析</w:t>
                  </w:r>
                </w:p>
              </w:tc>
            </w:tr>
            <w:tr w14:paraId="2468199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tcBorders>
                    <w:tl2br w:val="nil"/>
                    <w:tr2bl w:val="nil"/>
                  </w:tcBorders>
                  <w:noWrap w:val="0"/>
                  <w:vAlign w:val="center"/>
                </w:tcPr>
                <w:p w14:paraId="66223CA0">
                  <w:pPr>
                    <w:pStyle w:val="56"/>
                    <w:numPr>
                      <w:ilvl w:val="0"/>
                      <w:numId w:val="4"/>
                    </w:numPr>
                    <w:bidi w:val="0"/>
                    <w:jc w:val="left"/>
                    <w:rPr>
                      <w:rFonts w:hint="eastAsia"/>
                      <w:color w:val="000000" w:themeColor="text1"/>
                      <w:highlight w:val="none"/>
                      <w:lang w:eastAsia="zh-CN"/>
                      <w14:textFill>
                        <w14:solidFill>
                          <w14:schemeClr w14:val="tx1"/>
                        </w14:solidFill>
                      </w14:textFill>
                    </w:rPr>
                  </w:pPr>
                </w:p>
              </w:tc>
              <w:tc>
                <w:tcPr>
                  <w:tcW w:w="935" w:type="pct"/>
                  <w:tcBorders>
                    <w:tl2br w:val="nil"/>
                    <w:tr2bl w:val="nil"/>
                  </w:tcBorders>
                  <w:noWrap w:val="0"/>
                  <w:vAlign w:val="center"/>
                </w:tcPr>
                <w:p w14:paraId="105FE94F">
                  <w:pPr>
                    <w:pStyle w:val="56"/>
                    <w:jc w:val="left"/>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洗涤</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车间</w:t>
                  </w:r>
                </w:p>
              </w:tc>
              <w:tc>
                <w:tcPr>
                  <w:tcW w:w="1115" w:type="pct"/>
                  <w:tcBorders>
                    <w:tl2br w:val="nil"/>
                    <w:tr2bl w:val="nil"/>
                  </w:tcBorders>
                  <w:noWrap w:val="0"/>
                  <w:vAlign w:val="center"/>
                </w:tcPr>
                <w:p w14:paraId="3E2078C4">
                  <w:pPr>
                    <w:pStyle w:val="56"/>
                    <w:jc w:val="lef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租赁</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已建成的</w:t>
                  </w:r>
                  <w:r>
                    <w:rPr>
                      <w:rFonts w:hint="default" w:ascii="Times New Roman" w:hAnsi="Times New Roman" w:eastAsia="宋体" w:cs="Times New Roman"/>
                      <w:color w:val="000000" w:themeColor="text1"/>
                      <w:highlight w:val="none"/>
                      <w14:textFill>
                        <w14:solidFill>
                          <w14:schemeClr w14:val="tx1"/>
                        </w14:solidFill>
                      </w14:textFill>
                    </w:rPr>
                    <w:t>厂房</w:t>
                  </w:r>
                </w:p>
              </w:tc>
              <w:tc>
                <w:tcPr>
                  <w:tcW w:w="2543" w:type="pct"/>
                  <w:tcBorders>
                    <w:tl2br w:val="nil"/>
                    <w:tr2bl w:val="nil"/>
                  </w:tcBorders>
                  <w:noWrap w:val="0"/>
                  <w:vAlign w:val="center"/>
                </w:tcPr>
                <w:p w14:paraId="33F596EE">
                  <w:pPr>
                    <w:pStyle w:val="56"/>
                    <w:jc w:val="left"/>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该厂房结构完好，</w:t>
                  </w:r>
                  <w:r>
                    <w:rPr>
                      <w:rFonts w:hint="eastAsia"/>
                      <w:color w:val="000000" w:themeColor="text1"/>
                      <w:highlight w:val="none"/>
                      <w:lang w:val="en-US" w:eastAsia="zh-CN"/>
                      <w14:textFill>
                        <w14:solidFill>
                          <w14:schemeClr w14:val="tx1"/>
                        </w14:solidFill>
                      </w14:textFill>
                    </w:rPr>
                    <w:t>2025年建设单位签订了租赁合同，租赁面积约2400m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（B5、B6第一层）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厂房钢筋混凝土，主体结构完好，满足依托所需</w:t>
                  </w:r>
                  <w:r>
                    <w:rPr>
                      <w:color w:val="000000" w:themeColor="text1"/>
                      <w:highlight w:val="none"/>
                      <w14:textFill>
                        <w14:solidFill>
                          <w14:schemeClr w14:val="tx1"/>
                        </w14:solidFill>
                      </w14:textFill>
                    </w:rPr>
                    <w:t>。</w:t>
                  </w:r>
                </w:p>
              </w:tc>
            </w:tr>
            <w:tr w14:paraId="6415D01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tcBorders>
                    <w:tl2br w:val="nil"/>
                    <w:tr2bl w:val="nil"/>
                  </w:tcBorders>
                  <w:noWrap w:val="0"/>
                  <w:vAlign w:val="center"/>
                </w:tcPr>
                <w:p w14:paraId="67E256D9">
                  <w:pPr>
                    <w:pStyle w:val="56"/>
                    <w:numPr>
                      <w:ilvl w:val="0"/>
                      <w:numId w:val="4"/>
                    </w:numPr>
                    <w:bidi w:val="0"/>
                    <w:jc w:val="left"/>
                    <w:rPr>
                      <w:rFonts w:hint="eastAsia"/>
                      <w:color w:val="000000" w:themeColor="text1"/>
                      <w:highlight w:val="none"/>
                      <w:lang w:eastAsia="zh-CN"/>
                      <w14:textFill>
                        <w14:solidFill>
                          <w14:schemeClr w14:val="tx1"/>
                        </w14:solidFill>
                      </w14:textFill>
                    </w:rPr>
                  </w:pPr>
                </w:p>
              </w:tc>
              <w:tc>
                <w:tcPr>
                  <w:tcW w:w="935" w:type="pct"/>
                  <w:tcBorders>
                    <w:tl2br w:val="nil"/>
                    <w:tr2bl w:val="nil"/>
                  </w:tcBorders>
                  <w:noWrap w:val="0"/>
                  <w:vAlign w:val="center"/>
                </w:tcPr>
                <w:p w14:paraId="72A842FC">
                  <w:pPr>
                    <w:pStyle w:val="56"/>
                    <w:jc w:val="left"/>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公用工程（供水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供电</w:t>
                  </w:r>
                  <w:r>
                    <w:rPr>
                      <w:color w:val="000000" w:themeColor="text1"/>
                      <w:highlight w:val="none"/>
                      <w14:textFill>
                        <w14:solidFill>
                          <w14:schemeClr w14:val="tx1"/>
                        </w14:solidFill>
                      </w14:textFill>
                    </w:rPr>
                    <w:t>）</w:t>
                  </w:r>
                </w:p>
              </w:tc>
              <w:tc>
                <w:tcPr>
                  <w:tcW w:w="1115" w:type="pct"/>
                  <w:tcBorders>
                    <w:tl2br w:val="nil"/>
                    <w:tr2bl w:val="nil"/>
                  </w:tcBorders>
                  <w:noWrap w:val="0"/>
                  <w:vAlign w:val="center"/>
                </w:tcPr>
                <w:p w14:paraId="32C2BF75">
                  <w:pPr>
                    <w:pStyle w:val="56"/>
                    <w:jc w:val="left"/>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依托市政供水、供电系统</w:t>
                  </w:r>
                </w:p>
              </w:tc>
              <w:tc>
                <w:tcPr>
                  <w:tcW w:w="2543" w:type="pct"/>
                  <w:tcBorders>
                    <w:tl2br w:val="nil"/>
                    <w:tr2bl w:val="nil"/>
                  </w:tcBorders>
                  <w:noWrap w:val="0"/>
                  <w:vAlign w:val="center"/>
                </w:tcPr>
                <w:p w14:paraId="62B4F352">
                  <w:pPr>
                    <w:pStyle w:val="56"/>
                    <w:jc w:val="left"/>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color w:val="000000" w:themeColor="text1"/>
                      <w:highlight w:val="none"/>
                      <w14:textFill>
                        <w14:solidFill>
                          <w14:schemeClr w14:val="tx1"/>
                        </w14:solidFill>
                      </w14:textFill>
                    </w:rPr>
                    <w:t>项目厂区给水系统、供电系统已与园区市政设施接通，可依托。</w:t>
                  </w:r>
                </w:p>
              </w:tc>
            </w:tr>
            <w:tr w14:paraId="64FDFB9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tcBorders>
                    <w:tl2br w:val="nil"/>
                    <w:tr2bl w:val="nil"/>
                  </w:tcBorders>
                  <w:noWrap w:val="0"/>
                  <w:vAlign w:val="center"/>
                </w:tcPr>
                <w:p w14:paraId="03221C19">
                  <w:pPr>
                    <w:pStyle w:val="56"/>
                    <w:numPr>
                      <w:ilvl w:val="0"/>
                      <w:numId w:val="4"/>
                    </w:numPr>
                    <w:bidi w:val="0"/>
                    <w:jc w:val="left"/>
                    <w:rPr>
                      <w:rFonts w:hint="eastAsia"/>
                      <w:color w:val="000000" w:themeColor="text1"/>
                      <w:highlight w:val="none"/>
                      <w:lang w:eastAsia="zh-CN"/>
                      <w14:textFill>
                        <w14:solidFill>
                          <w14:schemeClr w14:val="tx1"/>
                        </w14:solidFill>
                      </w14:textFill>
                    </w:rPr>
                  </w:pPr>
                </w:p>
              </w:tc>
              <w:tc>
                <w:tcPr>
                  <w:tcW w:w="935" w:type="pct"/>
                  <w:tcBorders>
                    <w:tl2br w:val="nil"/>
                    <w:tr2bl w:val="nil"/>
                  </w:tcBorders>
                  <w:noWrap w:val="0"/>
                  <w:vAlign w:val="center"/>
                </w:tcPr>
                <w:p w14:paraId="30181632">
                  <w:pPr>
                    <w:pStyle w:val="56"/>
                    <w:jc w:val="left"/>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公用工程（排水）</w:t>
                  </w:r>
                </w:p>
              </w:tc>
              <w:tc>
                <w:tcPr>
                  <w:tcW w:w="1115" w:type="pct"/>
                  <w:tcBorders>
                    <w:tl2br w:val="nil"/>
                    <w:tr2bl w:val="nil"/>
                  </w:tcBorders>
                  <w:noWrap w:val="0"/>
                  <w:vAlign w:val="center"/>
                </w:tcPr>
                <w:p w14:paraId="2B74E307">
                  <w:pPr>
                    <w:pStyle w:val="56"/>
                    <w:jc w:val="left"/>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依托厂区已建成雨污分流系统。</w:t>
                  </w:r>
                </w:p>
              </w:tc>
              <w:tc>
                <w:tcPr>
                  <w:tcW w:w="2543" w:type="pct"/>
                  <w:tcBorders>
                    <w:tl2br w:val="nil"/>
                    <w:tr2bl w:val="nil"/>
                  </w:tcBorders>
                  <w:noWrap w:val="0"/>
                  <w:vAlign w:val="center"/>
                </w:tcPr>
                <w:p w14:paraId="4EB5F771">
                  <w:pPr>
                    <w:pStyle w:val="56"/>
                    <w:jc w:val="left"/>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厂区已建成雨污分流管网，可依托。</w:t>
                  </w:r>
                </w:p>
              </w:tc>
            </w:tr>
            <w:tr w14:paraId="29325AB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tcBorders>
                    <w:tl2br w:val="nil"/>
                    <w:tr2bl w:val="nil"/>
                  </w:tcBorders>
                  <w:noWrap w:val="0"/>
                  <w:vAlign w:val="center"/>
                </w:tcPr>
                <w:p w14:paraId="06FB70D2">
                  <w:pPr>
                    <w:pStyle w:val="56"/>
                    <w:numPr>
                      <w:ilvl w:val="0"/>
                      <w:numId w:val="4"/>
                    </w:numPr>
                    <w:bidi w:val="0"/>
                    <w:jc w:val="left"/>
                    <w:rPr>
                      <w:rFonts w:hint="default"/>
                      <w:color w:val="000000" w:themeColor="text1"/>
                      <w:highlight w:val="none"/>
                      <w:lang w:val="en-US" w:eastAsia="zh-CN"/>
                      <w14:textFill>
                        <w14:solidFill>
                          <w14:schemeClr w14:val="tx1"/>
                        </w14:solidFill>
                      </w14:textFill>
                    </w:rPr>
                  </w:pPr>
                </w:p>
              </w:tc>
              <w:tc>
                <w:tcPr>
                  <w:tcW w:w="935" w:type="pct"/>
                  <w:tcBorders>
                    <w:tl2br w:val="nil"/>
                    <w:tr2bl w:val="nil"/>
                  </w:tcBorders>
                  <w:noWrap w:val="0"/>
                  <w:vAlign w:val="center"/>
                </w:tcPr>
                <w:p w14:paraId="04B6D696">
                  <w:pPr>
                    <w:pStyle w:val="56"/>
                    <w:jc w:val="lef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环保工程（废水）</w:t>
                  </w:r>
                </w:p>
              </w:tc>
              <w:tc>
                <w:tcPr>
                  <w:tcW w:w="1115" w:type="pct"/>
                  <w:tcBorders>
                    <w:tl2br w:val="nil"/>
                    <w:tr2bl w:val="nil"/>
                  </w:tcBorders>
                  <w:noWrap w:val="0"/>
                  <w:vAlign w:val="center"/>
                </w:tcPr>
                <w:p w14:paraId="11455946">
                  <w:pPr>
                    <w:pStyle w:val="56"/>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依托已建</w:t>
                  </w:r>
                  <w:r>
                    <w:rPr>
                      <w:rFonts w:hint="eastAsia"/>
                      <w:color w:val="000000" w:themeColor="text1"/>
                      <w:highlight w:val="none"/>
                      <w:lang w:val="en-US" w:eastAsia="zh-CN"/>
                      <w14:textFill>
                        <w14:solidFill>
                          <w14:schemeClr w14:val="tx1"/>
                        </w14:solidFill>
                      </w14:textFill>
                    </w:rPr>
                    <w:t>生化池</w:t>
                  </w:r>
                </w:p>
              </w:tc>
              <w:tc>
                <w:tcPr>
                  <w:tcW w:w="2543" w:type="pct"/>
                  <w:tcBorders>
                    <w:tl2br w:val="nil"/>
                    <w:tr2bl w:val="nil"/>
                  </w:tcBorders>
                  <w:noWrap w:val="0"/>
                  <w:vAlign w:val="center"/>
                </w:tcPr>
                <w:p w14:paraId="4F84497E">
                  <w:pPr>
                    <w:pStyle w:val="56"/>
                    <w:jc w:val="left"/>
                    <w:rPr>
                      <w:rFonts w:hint="default" w:eastAsia="宋体"/>
                      <w:color w:val="000000" w:themeColor="text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厂区</w:t>
                  </w:r>
                  <w:r>
                    <w:rPr>
                      <w:rFonts w:hint="default" w:ascii="Times New Roman" w:hAnsi="Times New Roman" w:eastAsia="宋体" w:cs="Times New Roman"/>
                      <w:color w:val="000000" w:themeColor="text1"/>
                      <w:sz w:val="21"/>
                      <w:szCs w:val="21"/>
                      <w:highlight w:val="none"/>
                      <w14:textFill>
                        <w14:solidFill>
                          <w14:schemeClr w14:val="tx1"/>
                        </w14:solidFill>
                      </w14:textFill>
                    </w:rPr>
                    <w:t>已建</w:t>
                  </w:r>
                  <w:r>
                    <w:rPr>
                      <w:rFonts w:hint="eastAsia" w:cs="Times New Roman"/>
                      <w:color w:val="000000" w:themeColor="text1"/>
                      <w:sz w:val="21"/>
                      <w:szCs w:val="21"/>
                      <w:highlight w:val="none"/>
                      <w:lang w:val="en-US" w:eastAsia="zh-CN"/>
                      <w14:textFill>
                        <w14:solidFill>
                          <w14:schemeClr w14:val="tx1"/>
                        </w14:solidFill>
                      </w14:textFill>
                    </w:rPr>
                    <w:t>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生化池</w:t>
                  </w:r>
                  <w:r>
                    <w:rPr>
                      <w:rFonts w:hint="default" w:ascii="Times New Roman" w:hAnsi="Times New Roman" w:eastAsia="宋体" w:cs="Times New Roman"/>
                      <w:color w:val="000000" w:themeColor="text1"/>
                      <w:sz w:val="21"/>
                      <w:szCs w:val="21"/>
                      <w:highlight w:val="none"/>
                      <w14:textFill>
                        <w14:solidFill>
                          <w14:schemeClr w14:val="tx1"/>
                        </w14:solidFill>
                      </w14:textFill>
                    </w:rPr>
                    <w:t>及管网</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生化池</w:t>
                  </w:r>
                  <w:r>
                    <w:rPr>
                      <w:rFonts w:hint="eastAsia"/>
                      <w:color w:val="000000" w:themeColor="text1"/>
                      <w:highlight w:val="none"/>
                      <w14:textFill>
                        <w14:solidFill>
                          <w14:schemeClr w14:val="tx1"/>
                        </w14:solidFill>
                      </w14:textFill>
                    </w:rPr>
                    <w:t>处理能力为</w:t>
                  </w: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/d，剩余处理能力约</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本</w:t>
                  </w:r>
                  <w:r>
                    <w:rPr>
                      <w:rFonts w:hint="eastAsia"/>
                      <w:color w:val="000000" w:themeColor="text1"/>
                      <w:highlight w:val="none"/>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生活废水</w:t>
                  </w:r>
                  <w:r>
                    <w:rPr>
                      <w:rFonts w:hint="eastAsia"/>
                      <w:color w:val="000000" w:themeColor="text1"/>
                      <w:highlight w:val="none"/>
                      <w14:textFill>
                        <w14:solidFill>
                          <w14:schemeClr w14:val="tx1"/>
                        </w14:solidFill>
                      </w14:textFill>
                    </w:rPr>
                    <w:t>排入</w:t>
                  </w:r>
                  <w:r>
                    <w:rPr>
                      <w:rFonts w:hint="eastAsia" w:cs="Times New Roman"/>
                      <w:color w:val="000000" w:themeColor="text1"/>
                      <w:sz w:val="21"/>
                      <w:szCs w:val="21"/>
                      <w:highlight w:val="none"/>
                      <w:lang w:val="en-US" w:eastAsia="zh-CN"/>
                      <w14:textFill>
                        <w14:solidFill>
                          <w14:schemeClr w14:val="tx1"/>
                        </w14:solidFill>
                      </w14:textFill>
                    </w:rPr>
                    <w:t>厂区</w:t>
                  </w:r>
                  <w:r>
                    <w:rPr>
                      <w:rFonts w:hint="default" w:ascii="Times New Roman" w:hAnsi="Times New Roman" w:eastAsia="宋体" w:cs="Times New Roman"/>
                      <w:color w:val="000000" w:themeColor="text1"/>
                      <w:sz w:val="21"/>
                      <w:szCs w:val="21"/>
                      <w:highlight w:val="none"/>
                      <w14:textFill>
                        <w14:solidFill>
                          <w14:schemeClr w14:val="tx1"/>
                        </w14:solidFill>
                      </w14:textFill>
                    </w:rPr>
                    <w:t>已建</w:t>
                  </w:r>
                  <w:r>
                    <w:rPr>
                      <w:rFonts w:hint="eastAsia" w:cs="Times New Roman"/>
                      <w:color w:val="000000" w:themeColor="text1"/>
                      <w:sz w:val="21"/>
                      <w:szCs w:val="21"/>
                      <w:highlight w:val="none"/>
                      <w:lang w:val="en-US" w:eastAsia="zh-CN"/>
                      <w14:textFill>
                        <w14:solidFill>
                          <w14:schemeClr w14:val="tx1"/>
                        </w14:solidFill>
                      </w14:textFill>
                    </w:rPr>
                    <w:t>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生化池</w:t>
                  </w:r>
                  <w:r>
                    <w:rPr>
                      <w:rFonts w:hint="eastAsia"/>
                      <w:color w:val="000000" w:themeColor="text1"/>
                      <w:highlight w:val="none"/>
                      <w14:textFill>
                        <w14:solidFill>
                          <w14:schemeClr w14:val="tx1"/>
                        </w14:solidFill>
                      </w14:textFill>
                    </w:rPr>
                    <w:t>最大废水量约</w:t>
                  </w:r>
                  <w:r>
                    <w:rPr>
                      <w:rFonts w:hint="eastAsia"/>
                      <w:color w:val="000000" w:themeColor="text1"/>
                      <w:highlight w:val="none"/>
                      <w:lang w:val="en-US" w:eastAsia="zh-CN"/>
                      <w14:textFill>
                        <w14:solidFill>
                          <w14:schemeClr w14:val="tx1"/>
                        </w14:solidFill>
                      </w14:textFill>
                    </w:rPr>
                    <w:t>0.45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w:t>
                  </w:r>
                  <w:r>
                    <w:rPr>
                      <w:rFonts w:hint="eastAsia"/>
                      <w:color w:val="000000" w:themeColor="text1"/>
                      <w:highlight w:val="none"/>
                      <w14:textFill>
                        <w14:solidFill>
                          <w14:schemeClr w14:val="tx1"/>
                        </w14:solidFill>
                      </w14:textFill>
                    </w:rPr>
                    <w:t>，未超过</w:t>
                  </w:r>
                  <w:r>
                    <w:rPr>
                      <w:rFonts w:hint="eastAsia"/>
                      <w:color w:val="000000" w:themeColor="text1"/>
                      <w:highlight w:val="none"/>
                      <w:lang w:val="en-US" w:eastAsia="zh-CN"/>
                      <w14:textFill>
                        <w14:solidFill>
                          <w14:schemeClr w14:val="tx1"/>
                        </w14:solidFill>
                      </w14:textFill>
                    </w:rPr>
                    <w:t>污水处理站</w:t>
                  </w:r>
                  <w:r>
                    <w:rPr>
                      <w:rFonts w:hint="eastAsia"/>
                      <w:color w:val="000000" w:themeColor="text1"/>
                      <w:highlight w:val="none"/>
                      <w14:textFill>
                        <w14:solidFill>
                          <w14:schemeClr w14:val="tx1"/>
                        </w14:solidFill>
                      </w14:textFill>
                    </w:rPr>
                    <w:t>剩余处理能力</w:t>
                  </w:r>
                  <w:r>
                    <w:rPr>
                      <w:rFonts w:hint="eastAsia"/>
                      <w:color w:val="000000" w:themeColor="text1"/>
                      <w:highlight w:val="none"/>
                      <w:lang w:eastAsia="zh-CN"/>
                      <w14:textFill>
                        <w14:solidFill>
                          <w14:schemeClr w14:val="tx1"/>
                        </w14:solidFill>
                      </w14:textFill>
                    </w:rPr>
                    <w:t>。</w:t>
                  </w:r>
                </w:p>
              </w:tc>
            </w:tr>
          </w:tbl>
          <w:p w14:paraId="2BB1ABCA">
            <w:pPr>
              <w:pStyle w:val="36"/>
              <w:jc w:val="center"/>
              <w:rPr>
                <w:rFonts w:hint="default"/>
                <w:highlight w:val="none"/>
                <w:lang w:val="en-US" w:eastAsia="zh-CN"/>
              </w:rPr>
            </w:pPr>
          </w:p>
          <w:p w14:paraId="68C5AC25">
            <w:pPr>
              <w:pStyle w:val="4"/>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清洗规模</w:t>
            </w:r>
          </w:p>
          <w:p w14:paraId="759ABFF5">
            <w:pPr>
              <w:pStyle w:val="6"/>
              <w:numPr>
                <w:ilvl w:val="4"/>
                <w:numId w:val="0"/>
              </w:numPr>
              <w:bidi w:val="0"/>
              <w:ind w:left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表2-3清洗规模</w:t>
            </w:r>
          </w:p>
          <w:tbl>
            <w:tblPr>
              <w:tblStyle w:val="28"/>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87"/>
              <w:gridCol w:w="3820"/>
            </w:tblGrid>
            <w:tr w14:paraId="5F555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4" w:type="pct"/>
                  <w:tcBorders>
                    <w:tl2br w:val="nil"/>
                    <w:tr2bl w:val="nil"/>
                  </w:tcBorders>
                  <w:noWrap w:val="0"/>
                  <w:vAlign w:val="center"/>
                </w:tcPr>
                <w:p w14:paraId="602C556D">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清洗物品</w:t>
                  </w:r>
                </w:p>
              </w:tc>
              <w:tc>
                <w:tcPr>
                  <w:tcW w:w="2415" w:type="pct"/>
                  <w:tcBorders>
                    <w:tl2br w:val="nil"/>
                    <w:tr2bl w:val="nil"/>
                  </w:tcBorders>
                  <w:noWrap w:val="0"/>
                  <w:vAlign w:val="center"/>
                </w:tcPr>
                <w:p w14:paraId="293D72A5">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清洗能力</w:t>
                  </w:r>
                </w:p>
              </w:tc>
            </w:tr>
            <w:tr w14:paraId="37089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4" w:type="pct"/>
                  <w:tcBorders>
                    <w:tl2br w:val="nil"/>
                    <w:tr2bl w:val="nil"/>
                  </w:tcBorders>
                  <w:noWrap w:val="0"/>
                  <w:vAlign w:val="center"/>
                </w:tcPr>
                <w:p w14:paraId="7E8BA3BA">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牛仔裤（0.3kg/件）</w:t>
                  </w:r>
                </w:p>
              </w:tc>
              <w:tc>
                <w:tcPr>
                  <w:tcW w:w="2415" w:type="pct"/>
                  <w:tcBorders>
                    <w:tl2br w:val="nil"/>
                    <w:tr2bl w:val="nil"/>
                  </w:tcBorders>
                  <w:noWrap w:val="0"/>
                  <w:vAlign w:val="center"/>
                </w:tcPr>
                <w:p w14:paraId="2EA4AD3D">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240万件（720t）</w:t>
                  </w:r>
                </w:p>
              </w:tc>
            </w:tr>
          </w:tbl>
          <w:p w14:paraId="4300F332">
            <w:pPr>
              <w:pStyle w:val="4"/>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w:t>
            </w:r>
            <w:r>
              <w:rPr>
                <w:rFonts w:hint="eastAsia"/>
                <w:color w:val="000000" w:themeColor="text1"/>
                <w:highlight w:val="none"/>
                <w:lang w:val="en-US" w:eastAsia="zh-CN"/>
                <w14:textFill>
                  <w14:solidFill>
                    <w14:schemeClr w14:val="tx1"/>
                  </w14:solidFill>
                </w14:textFill>
              </w:rPr>
              <w:t>生产</w:t>
            </w:r>
            <w:r>
              <w:rPr>
                <w:rFonts w:hint="eastAsia"/>
                <w:color w:val="000000" w:themeColor="text1"/>
                <w:highlight w:val="none"/>
                <w14:textFill>
                  <w14:solidFill>
                    <w14:schemeClr w14:val="tx1"/>
                  </w14:solidFill>
                </w14:textFill>
              </w:rPr>
              <w:t>设备</w:t>
            </w:r>
          </w:p>
          <w:p w14:paraId="16AC2382">
            <w:pPr>
              <w:pStyle w:val="6"/>
              <w:numPr>
                <w:ilvl w:val="4"/>
                <w:numId w:val="0"/>
              </w:numPr>
              <w:bidi w:val="0"/>
              <w:ind w:left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表2-4</w:t>
            </w:r>
            <w:r>
              <w:rPr>
                <w:rFonts w:hint="eastAsia"/>
                <w:color w:val="000000" w:themeColor="text1"/>
                <w:highlight w:val="none"/>
                <w14:textFill>
                  <w14:solidFill>
                    <w14:schemeClr w14:val="tx1"/>
                  </w14:solidFill>
                </w14:textFill>
              </w:rPr>
              <w:t>本项目主要</w:t>
            </w:r>
            <w:r>
              <w:rPr>
                <w:rFonts w:hint="eastAsia"/>
                <w:color w:val="000000" w:themeColor="text1"/>
                <w:highlight w:val="none"/>
                <w:lang w:val="en-US" w:eastAsia="zh-CN"/>
                <w14:textFill>
                  <w14:solidFill>
                    <w14:schemeClr w14:val="tx1"/>
                  </w14:solidFill>
                </w14:textFill>
              </w:rPr>
              <w:t>生产</w:t>
            </w:r>
            <w:r>
              <w:rPr>
                <w:rFonts w:hint="eastAsia"/>
                <w:color w:val="000000" w:themeColor="text1"/>
                <w:highlight w:val="none"/>
                <w14:textFill>
                  <w14:solidFill>
                    <w14:schemeClr w14:val="tx1"/>
                  </w14:solidFill>
                </w14:textFill>
              </w:rPr>
              <w:t>设备一览表</w:t>
            </w:r>
          </w:p>
          <w:tbl>
            <w:tblPr>
              <w:tblStyle w:val="28"/>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2381"/>
              <w:gridCol w:w="2224"/>
              <w:gridCol w:w="1159"/>
              <w:gridCol w:w="1058"/>
            </w:tblGrid>
            <w:tr w14:paraId="34578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tcBorders>
                    <w:tl2br w:val="nil"/>
                    <w:tr2bl w:val="nil"/>
                  </w:tcBorders>
                  <w:noWrap w:val="0"/>
                  <w:vAlign w:val="center"/>
                </w:tcPr>
                <w:p w14:paraId="538ECDA6">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505" w:type="pct"/>
                  <w:tcBorders>
                    <w:tl2br w:val="nil"/>
                    <w:tr2bl w:val="nil"/>
                  </w:tcBorders>
                  <w:noWrap w:val="0"/>
                  <w:vAlign w:val="center"/>
                </w:tcPr>
                <w:p w14:paraId="14ED673B">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主要设施（备）名称</w:t>
                  </w:r>
                </w:p>
              </w:tc>
              <w:tc>
                <w:tcPr>
                  <w:tcW w:w="1406" w:type="pct"/>
                  <w:tcBorders>
                    <w:tl2br w:val="nil"/>
                    <w:tr2bl w:val="nil"/>
                  </w:tcBorders>
                  <w:noWrap w:val="0"/>
                  <w:vAlign w:val="center"/>
                </w:tcPr>
                <w:p w14:paraId="637D79EE">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规格型号</w:t>
                  </w:r>
                </w:p>
              </w:tc>
              <w:tc>
                <w:tcPr>
                  <w:tcW w:w="732" w:type="pct"/>
                  <w:tcBorders>
                    <w:tl2br w:val="nil"/>
                    <w:tr2bl w:val="nil"/>
                  </w:tcBorders>
                  <w:noWrap w:val="0"/>
                  <w:vAlign w:val="center"/>
                </w:tcPr>
                <w:p w14:paraId="06BC30FD">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数量</w:t>
                  </w:r>
                </w:p>
              </w:tc>
              <w:tc>
                <w:tcPr>
                  <w:tcW w:w="669" w:type="pct"/>
                  <w:tcBorders>
                    <w:tl2br w:val="nil"/>
                    <w:tr2bl w:val="nil"/>
                  </w:tcBorders>
                  <w:noWrap w:val="0"/>
                  <w:vAlign w:val="center"/>
                </w:tcPr>
                <w:p w14:paraId="1C1B7F53">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单位</w:t>
                  </w:r>
                </w:p>
              </w:tc>
            </w:tr>
            <w:tr w14:paraId="78896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noWrap w:val="0"/>
                  <w:vAlign w:val="center"/>
                </w:tcPr>
                <w:p w14:paraId="4BA9CC91">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B5栋厂房</w:t>
                  </w:r>
                </w:p>
              </w:tc>
            </w:tr>
            <w:tr w14:paraId="5F544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tcBorders>
                    <w:tl2br w:val="nil"/>
                    <w:tr2bl w:val="nil"/>
                  </w:tcBorders>
                  <w:noWrap w:val="0"/>
                  <w:vAlign w:val="center"/>
                </w:tcPr>
                <w:p w14:paraId="5CCF2874">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505" w:type="pct"/>
                  <w:tcBorders>
                    <w:tl2br w:val="nil"/>
                    <w:tr2bl w:val="nil"/>
                  </w:tcBorders>
                  <w:noWrap w:val="0"/>
                  <w:vAlign w:val="center"/>
                </w:tcPr>
                <w:p w14:paraId="5DCE1BE4">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滚筒洗衣机</w:t>
                  </w:r>
                </w:p>
              </w:tc>
              <w:tc>
                <w:tcPr>
                  <w:tcW w:w="1406" w:type="pct"/>
                  <w:tcBorders>
                    <w:tl2br w:val="nil"/>
                    <w:tr2bl w:val="nil"/>
                  </w:tcBorders>
                  <w:noWrap w:val="0"/>
                  <w:vAlign w:val="center"/>
                </w:tcPr>
                <w:p w14:paraId="024152DA">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59" w:type="dxa"/>
                  <w:tcBorders>
                    <w:tl2br w:val="nil"/>
                    <w:tr2bl w:val="nil"/>
                  </w:tcBorders>
                  <w:noWrap w:val="0"/>
                  <w:vAlign w:val="center"/>
                </w:tcPr>
                <w:p w14:paraId="1D248B79">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669" w:type="pct"/>
                  <w:tcBorders>
                    <w:tl2br w:val="nil"/>
                    <w:tr2bl w:val="nil"/>
                  </w:tcBorders>
                  <w:noWrap w:val="0"/>
                  <w:vAlign w:val="center"/>
                </w:tcPr>
                <w:p w14:paraId="61B3E291">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r>
            <w:tr w14:paraId="6D954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pct"/>
                  <w:tcBorders>
                    <w:tl2br w:val="nil"/>
                    <w:tr2bl w:val="nil"/>
                  </w:tcBorders>
                  <w:noWrap w:val="0"/>
                  <w:vAlign w:val="center"/>
                </w:tcPr>
                <w:p w14:paraId="7E082413">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505" w:type="pct"/>
                  <w:tcBorders>
                    <w:tl2br w:val="nil"/>
                    <w:tr2bl w:val="nil"/>
                  </w:tcBorders>
                  <w:noWrap w:val="0"/>
                  <w:vAlign w:val="center"/>
                </w:tcPr>
                <w:p w14:paraId="1AF23871">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全自动烘干机</w:t>
                  </w:r>
                </w:p>
              </w:tc>
              <w:tc>
                <w:tcPr>
                  <w:tcW w:w="1406" w:type="pct"/>
                  <w:tcBorders>
                    <w:tl2br w:val="nil"/>
                    <w:tr2bl w:val="nil"/>
                  </w:tcBorders>
                  <w:noWrap w:val="0"/>
                  <w:vAlign w:val="center"/>
                </w:tcPr>
                <w:p w14:paraId="7B02FBC2">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59" w:type="dxa"/>
                  <w:tcBorders>
                    <w:tl2br w:val="nil"/>
                    <w:tr2bl w:val="nil"/>
                  </w:tcBorders>
                  <w:noWrap w:val="0"/>
                  <w:vAlign w:val="center"/>
                </w:tcPr>
                <w:p w14:paraId="1A3C2ADE">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w:t>
                  </w:r>
                </w:p>
              </w:tc>
              <w:tc>
                <w:tcPr>
                  <w:tcW w:w="669" w:type="pct"/>
                  <w:tcBorders>
                    <w:tl2br w:val="nil"/>
                    <w:tr2bl w:val="nil"/>
                  </w:tcBorders>
                  <w:noWrap w:val="0"/>
                  <w:vAlign w:val="center"/>
                </w:tcPr>
                <w:p w14:paraId="52CF7637">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r>
            <w:tr w14:paraId="5B13D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pct"/>
                  <w:tcBorders>
                    <w:tl2br w:val="nil"/>
                    <w:tr2bl w:val="nil"/>
                  </w:tcBorders>
                  <w:noWrap w:val="0"/>
                  <w:vAlign w:val="center"/>
                </w:tcPr>
                <w:p w14:paraId="21662835">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505" w:type="pct"/>
                  <w:tcBorders>
                    <w:tl2br w:val="nil"/>
                    <w:tr2bl w:val="nil"/>
                  </w:tcBorders>
                  <w:noWrap w:val="0"/>
                  <w:vAlign w:val="center"/>
                </w:tcPr>
                <w:p w14:paraId="3C98345A">
                  <w:pPr>
                    <w:spacing w:line="240" w:lineRule="auto"/>
                    <w:jc w:val="center"/>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翻裤机</w:t>
                  </w:r>
                </w:p>
              </w:tc>
              <w:tc>
                <w:tcPr>
                  <w:tcW w:w="1406" w:type="pct"/>
                  <w:tcBorders>
                    <w:tl2br w:val="nil"/>
                    <w:tr2bl w:val="nil"/>
                  </w:tcBorders>
                  <w:noWrap w:val="0"/>
                  <w:vAlign w:val="center"/>
                </w:tcPr>
                <w:p w14:paraId="620893B5">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59" w:type="dxa"/>
                  <w:tcBorders>
                    <w:tl2br w:val="nil"/>
                    <w:tr2bl w:val="nil"/>
                  </w:tcBorders>
                  <w:noWrap w:val="0"/>
                  <w:vAlign w:val="center"/>
                </w:tcPr>
                <w:p w14:paraId="5204C8DE">
                  <w:pPr>
                    <w:spacing w:line="240" w:lineRule="auto"/>
                    <w:jc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w:t>
                  </w:r>
                </w:p>
              </w:tc>
              <w:tc>
                <w:tcPr>
                  <w:tcW w:w="669" w:type="pct"/>
                  <w:tcBorders>
                    <w:tl2br w:val="nil"/>
                    <w:tr2bl w:val="nil"/>
                  </w:tcBorders>
                  <w:noWrap w:val="0"/>
                  <w:vAlign w:val="center"/>
                </w:tcPr>
                <w:p w14:paraId="0A01027F">
                  <w:pPr>
                    <w:spacing w:line="240" w:lineRule="auto"/>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r>
            <w:tr w14:paraId="3C93D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pct"/>
                  <w:tcBorders>
                    <w:tl2br w:val="nil"/>
                    <w:tr2bl w:val="nil"/>
                  </w:tcBorders>
                  <w:noWrap w:val="0"/>
                  <w:vAlign w:val="center"/>
                </w:tcPr>
                <w:p w14:paraId="3701047A">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1505" w:type="pct"/>
                  <w:tcBorders>
                    <w:tl2br w:val="nil"/>
                    <w:tr2bl w:val="nil"/>
                  </w:tcBorders>
                  <w:noWrap w:val="0"/>
                  <w:vAlign w:val="center"/>
                </w:tcPr>
                <w:p w14:paraId="18AB33F3">
                  <w:pPr>
                    <w:spacing w:line="240" w:lineRule="auto"/>
                    <w:jc w:val="center"/>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生物质燃料</w:t>
                  </w:r>
                  <w:r>
                    <w:rPr>
                      <w:rFonts w:hint="eastAsia" w:cs="Times New Roman"/>
                      <w:b w:val="0"/>
                      <w:bCs w:val="0"/>
                      <w:color w:val="000000" w:themeColor="text1"/>
                      <w:sz w:val="21"/>
                      <w:szCs w:val="21"/>
                      <w:highlight w:val="none"/>
                      <w:lang w:val="en-US" w:eastAsia="zh-CN"/>
                      <w14:textFill>
                        <w14:solidFill>
                          <w14:schemeClr w14:val="tx1"/>
                        </w14:solidFill>
                      </w14:textFill>
                    </w:rPr>
                    <w:t>蒸汽发生器</w:t>
                  </w:r>
                </w:p>
              </w:tc>
              <w:tc>
                <w:tcPr>
                  <w:tcW w:w="1406" w:type="pct"/>
                  <w:tcBorders>
                    <w:tl2br w:val="nil"/>
                    <w:tr2bl w:val="nil"/>
                  </w:tcBorders>
                  <w:noWrap w:val="0"/>
                  <w:vAlign w:val="center"/>
                </w:tcPr>
                <w:p w14:paraId="744B4B5D">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2.5t/h</w:t>
                  </w:r>
                </w:p>
              </w:tc>
              <w:tc>
                <w:tcPr>
                  <w:tcW w:w="732" w:type="pct"/>
                  <w:tcBorders>
                    <w:tl2br w:val="nil"/>
                    <w:tr2bl w:val="nil"/>
                  </w:tcBorders>
                  <w:noWrap w:val="0"/>
                  <w:vAlign w:val="center"/>
                </w:tcPr>
                <w:p w14:paraId="26A53B26">
                  <w:pPr>
                    <w:spacing w:line="240" w:lineRule="auto"/>
                    <w:jc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w:t>
                  </w:r>
                </w:p>
              </w:tc>
              <w:tc>
                <w:tcPr>
                  <w:tcW w:w="669" w:type="pct"/>
                  <w:tcBorders>
                    <w:tl2br w:val="nil"/>
                    <w:tr2bl w:val="nil"/>
                  </w:tcBorders>
                  <w:noWrap w:val="0"/>
                  <w:vAlign w:val="center"/>
                </w:tcPr>
                <w:p w14:paraId="11E41960">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r>
            <w:tr w14:paraId="1C859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tcBorders>
                    <w:tl2br w:val="nil"/>
                    <w:tr2bl w:val="nil"/>
                  </w:tcBorders>
                  <w:noWrap w:val="0"/>
                  <w:vAlign w:val="center"/>
                </w:tcPr>
                <w:p w14:paraId="5C1BDA5C">
                  <w:pPr>
                    <w:spacing w:line="240" w:lineRule="auto"/>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B6栋厂房</w:t>
                  </w:r>
                </w:p>
              </w:tc>
            </w:tr>
            <w:tr w14:paraId="1A941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pct"/>
                  <w:tcBorders>
                    <w:tl2br w:val="nil"/>
                    <w:tr2bl w:val="nil"/>
                  </w:tcBorders>
                  <w:shd w:val="clear" w:color="auto" w:fill="auto"/>
                  <w:noWrap w:val="0"/>
                  <w:vAlign w:val="center"/>
                </w:tcPr>
                <w:p w14:paraId="195CFBF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505" w:type="pct"/>
                  <w:tcBorders>
                    <w:tl2br w:val="nil"/>
                    <w:tr2bl w:val="nil"/>
                  </w:tcBorders>
                  <w:shd w:val="clear" w:color="auto" w:fill="auto"/>
                  <w:noWrap w:val="0"/>
                  <w:vAlign w:val="center"/>
                </w:tcPr>
                <w:p w14:paraId="016A35F3">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滚筒洗衣机</w:t>
                  </w:r>
                </w:p>
              </w:tc>
              <w:tc>
                <w:tcPr>
                  <w:tcW w:w="1406" w:type="pct"/>
                  <w:tcBorders>
                    <w:tl2br w:val="nil"/>
                    <w:tr2bl w:val="nil"/>
                  </w:tcBorders>
                  <w:shd w:val="clear" w:color="auto" w:fill="auto"/>
                  <w:noWrap w:val="0"/>
                  <w:vAlign w:val="center"/>
                </w:tcPr>
                <w:p w14:paraId="02DB486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32" w:type="pct"/>
                  <w:tcBorders>
                    <w:tl2br w:val="nil"/>
                    <w:tr2bl w:val="nil"/>
                  </w:tcBorders>
                  <w:shd w:val="clear" w:color="auto" w:fill="auto"/>
                  <w:noWrap w:val="0"/>
                  <w:vAlign w:val="center"/>
                </w:tcPr>
                <w:p w14:paraId="63BC8A52">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669" w:type="pct"/>
                  <w:tcBorders>
                    <w:tl2br w:val="nil"/>
                    <w:tr2bl w:val="nil"/>
                  </w:tcBorders>
                  <w:shd w:val="clear" w:color="auto" w:fill="auto"/>
                  <w:noWrap w:val="0"/>
                  <w:vAlign w:val="center"/>
                </w:tcPr>
                <w:p w14:paraId="08F06D1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r>
            <w:tr w14:paraId="26C3B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pct"/>
                  <w:tcBorders>
                    <w:tl2br w:val="nil"/>
                    <w:tr2bl w:val="nil"/>
                  </w:tcBorders>
                  <w:shd w:val="clear" w:color="auto" w:fill="auto"/>
                  <w:noWrap w:val="0"/>
                  <w:vAlign w:val="center"/>
                </w:tcPr>
                <w:p w14:paraId="1026A069">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505" w:type="pct"/>
                  <w:tcBorders>
                    <w:tl2br w:val="nil"/>
                    <w:tr2bl w:val="nil"/>
                  </w:tcBorders>
                  <w:shd w:val="clear" w:color="auto" w:fill="auto"/>
                  <w:noWrap w:val="0"/>
                  <w:vAlign w:val="center"/>
                </w:tcPr>
                <w:p w14:paraId="6051DD83">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全自动烘干机</w:t>
                  </w:r>
                </w:p>
              </w:tc>
              <w:tc>
                <w:tcPr>
                  <w:tcW w:w="1406" w:type="pct"/>
                  <w:tcBorders>
                    <w:tl2br w:val="nil"/>
                    <w:tr2bl w:val="nil"/>
                  </w:tcBorders>
                  <w:shd w:val="clear" w:color="auto" w:fill="auto"/>
                  <w:noWrap w:val="0"/>
                  <w:vAlign w:val="center"/>
                </w:tcPr>
                <w:p w14:paraId="7BE4CA12">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32" w:type="pct"/>
                  <w:tcBorders>
                    <w:tl2br w:val="nil"/>
                    <w:tr2bl w:val="nil"/>
                  </w:tcBorders>
                  <w:shd w:val="clear" w:color="auto" w:fill="auto"/>
                  <w:noWrap w:val="0"/>
                  <w:vAlign w:val="center"/>
                </w:tcPr>
                <w:p w14:paraId="1C8DD89A">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12</w:t>
                  </w:r>
                </w:p>
              </w:tc>
              <w:tc>
                <w:tcPr>
                  <w:tcW w:w="669" w:type="pct"/>
                  <w:tcBorders>
                    <w:tl2br w:val="nil"/>
                    <w:tr2bl w:val="nil"/>
                  </w:tcBorders>
                  <w:shd w:val="clear" w:color="auto" w:fill="auto"/>
                  <w:noWrap w:val="0"/>
                  <w:vAlign w:val="center"/>
                </w:tcPr>
                <w:p w14:paraId="683720ED">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r>
            <w:tr w14:paraId="2CD7D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pct"/>
                  <w:tcBorders>
                    <w:tl2br w:val="nil"/>
                    <w:tr2bl w:val="nil"/>
                  </w:tcBorders>
                  <w:shd w:val="clear" w:color="auto" w:fill="auto"/>
                  <w:noWrap w:val="0"/>
                  <w:vAlign w:val="center"/>
                </w:tcPr>
                <w:p w14:paraId="61B55B0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505" w:type="pct"/>
                  <w:tcBorders>
                    <w:tl2br w:val="nil"/>
                    <w:tr2bl w:val="nil"/>
                  </w:tcBorders>
                  <w:shd w:val="clear" w:color="auto" w:fill="auto"/>
                  <w:noWrap w:val="0"/>
                  <w:vAlign w:val="center"/>
                </w:tcPr>
                <w:p w14:paraId="091583A4">
                  <w:pPr>
                    <w:spacing w:line="240" w:lineRule="auto"/>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翻裤机</w:t>
                  </w:r>
                </w:p>
              </w:tc>
              <w:tc>
                <w:tcPr>
                  <w:tcW w:w="1406" w:type="pct"/>
                  <w:tcBorders>
                    <w:tl2br w:val="nil"/>
                    <w:tr2bl w:val="nil"/>
                  </w:tcBorders>
                  <w:shd w:val="clear" w:color="auto" w:fill="auto"/>
                  <w:noWrap w:val="0"/>
                  <w:vAlign w:val="center"/>
                </w:tcPr>
                <w:p w14:paraId="6F1D233F">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32" w:type="pct"/>
                  <w:tcBorders>
                    <w:tl2br w:val="nil"/>
                    <w:tr2bl w:val="nil"/>
                  </w:tcBorders>
                  <w:shd w:val="clear" w:color="auto" w:fill="auto"/>
                  <w:noWrap w:val="0"/>
                  <w:vAlign w:val="center"/>
                </w:tcPr>
                <w:p w14:paraId="56531D2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w:t>
                  </w:r>
                </w:p>
              </w:tc>
              <w:tc>
                <w:tcPr>
                  <w:tcW w:w="669" w:type="pct"/>
                  <w:tcBorders>
                    <w:tl2br w:val="nil"/>
                    <w:tr2bl w:val="nil"/>
                  </w:tcBorders>
                  <w:shd w:val="clear" w:color="auto" w:fill="auto"/>
                  <w:noWrap w:val="0"/>
                  <w:vAlign w:val="center"/>
                </w:tcPr>
                <w:p w14:paraId="0E88DBF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r>
          </w:tbl>
          <w:p w14:paraId="15389D86">
            <w:pPr>
              <w:pStyle w:val="4"/>
              <w:pageBreakBefore w:val="0"/>
              <w:widowControl w:val="0"/>
              <w:kinsoku/>
              <w:wordWrap/>
              <w:overflowPunct/>
              <w:topLinePunct w:val="0"/>
              <w:autoSpaceDE/>
              <w:autoSpaceDN/>
              <w:bidi w:val="0"/>
              <w:spacing w:line="46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主要原辅料及能源消耗</w:t>
            </w:r>
          </w:p>
          <w:p w14:paraId="7798D911">
            <w:pPr>
              <w:pStyle w:val="50"/>
              <w:pageBreakBefore w:val="0"/>
              <w:widowControl w:val="0"/>
              <w:kinsoku/>
              <w:wordWrap/>
              <w:overflowPunct/>
              <w:topLinePunct w:val="0"/>
              <w:autoSpaceDE/>
              <w:autoSpaceDN/>
              <w:bidi w:val="0"/>
              <w:spacing w:line="460" w:lineRule="exact"/>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原辅料清单</w:t>
            </w:r>
          </w:p>
          <w:p w14:paraId="6DD34189">
            <w:pPr>
              <w:pStyle w:val="50"/>
              <w:pageBreakBefore w:val="0"/>
              <w:widowControl w:val="0"/>
              <w:kinsoku/>
              <w:wordWrap/>
              <w:overflowPunct/>
              <w:topLinePunct w:val="0"/>
              <w:autoSpaceDE/>
              <w:autoSpaceDN/>
              <w:bidi w:val="0"/>
              <w:spacing w:line="4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本项目主要原辅材料</w:t>
            </w:r>
            <w:r>
              <w:rPr>
                <w:rFonts w:hint="eastAsia"/>
                <w:color w:val="000000" w:themeColor="text1"/>
                <w:highlight w:val="none"/>
                <w:lang w:val="en-US" w:eastAsia="zh-CN"/>
                <w14:textFill>
                  <w14:solidFill>
                    <w14:schemeClr w14:val="tx1"/>
                  </w14:solidFill>
                </w14:textFill>
              </w:rPr>
              <w:t>及能源</w:t>
            </w:r>
            <w:r>
              <w:rPr>
                <w:rFonts w:hint="eastAsia"/>
                <w:color w:val="000000" w:themeColor="text1"/>
                <w:highlight w:val="none"/>
                <w14:textFill>
                  <w14:solidFill>
                    <w14:schemeClr w14:val="tx1"/>
                  </w14:solidFill>
                </w14:textFill>
              </w:rPr>
              <w:t>消耗</w:t>
            </w:r>
            <w:r>
              <w:rPr>
                <w:rFonts w:hint="eastAsia"/>
                <w:color w:val="000000" w:themeColor="text1"/>
                <w:highlight w:val="none"/>
                <w:lang w:eastAsia="zh-CN"/>
                <w14:textFill>
                  <w14:solidFill>
                    <w14:schemeClr w14:val="tx1"/>
                  </w14:solidFill>
                </w14:textFill>
              </w:rPr>
              <w:t>量</w:t>
            </w:r>
            <w:r>
              <w:rPr>
                <w:rFonts w:hint="eastAsia"/>
                <w:color w:val="000000" w:themeColor="text1"/>
                <w:highlight w:val="none"/>
                <w14:textFill>
                  <w14:solidFill>
                    <w14:schemeClr w14:val="tx1"/>
                  </w14:solidFill>
                </w14:textFill>
              </w:rPr>
              <w:t>详见下表。</w:t>
            </w:r>
          </w:p>
          <w:p w14:paraId="70F3B34D">
            <w:pPr>
              <w:pStyle w:val="6"/>
              <w:pageBreakBefore w:val="0"/>
              <w:widowControl w:val="0"/>
              <w:numPr>
                <w:ilvl w:val="4"/>
                <w:numId w:val="0"/>
              </w:numPr>
              <w:kinsoku/>
              <w:wordWrap/>
              <w:overflowPunct/>
              <w:topLinePunct w:val="0"/>
              <w:autoSpaceDE/>
              <w:autoSpaceDN/>
              <w:bidi w:val="0"/>
              <w:spacing w:line="460" w:lineRule="exact"/>
              <w:ind w:leftChars="0"/>
              <w:jc w:val="center"/>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表2-5</w:t>
            </w:r>
            <w:r>
              <w:rPr>
                <w:rFonts w:hint="eastAsia"/>
                <w:color w:val="000000" w:themeColor="text1"/>
                <w:highlight w:val="none"/>
                <w14:textFill>
                  <w14:solidFill>
                    <w14:schemeClr w14:val="tx1"/>
                  </w14:solidFill>
                </w14:textFill>
              </w:rPr>
              <w:t>项目主要原辅材料用量一览表</w:t>
            </w:r>
          </w:p>
          <w:tbl>
            <w:tblPr>
              <w:tblStyle w:val="28"/>
              <w:tblW w:w="49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82"/>
              <w:gridCol w:w="1155"/>
              <w:gridCol w:w="859"/>
              <w:gridCol w:w="1156"/>
              <w:gridCol w:w="1289"/>
              <w:gridCol w:w="1610"/>
            </w:tblGrid>
            <w:tr w14:paraId="529D1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82" w:type="dxa"/>
                  <w:tcBorders>
                    <w:tl2br w:val="nil"/>
                    <w:tr2bl w:val="nil"/>
                  </w:tcBorders>
                  <w:noWrap w:val="0"/>
                  <w:vAlign w:val="center"/>
                </w:tcPr>
                <w:p w14:paraId="2F89EFF8">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282" w:type="dxa"/>
                  <w:tcBorders>
                    <w:tl2br w:val="nil"/>
                    <w:tr2bl w:val="nil"/>
                  </w:tcBorders>
                  <w:noWrap w:val="0"/>
                  <w:vAlign w:val="center"/>
                </w:tcPr>
                <w:p w14:paraId="105EB995">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w:t>
                  </w:r>
                </w:p>
              </w:tc>
              <w:tc>
                <w:tcPr>
                  <w:tcW w:w="1155" w:type="dxa"/>
                  <w:tcBorders>
                    <w:tl2br w:val="nil"/>
                    <w:tr2bl w:val="nil"/>
                  </w:tcBorders>
                  <w:noWrap w:val="0"/>
                  <w:vAlign w:val="center"/>
                </w:tcPr>
                <w:p w14:paraId="5A4AA46A">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形态</w:t>
                  </w:r>
                </w:p>
              </w:tc>
              <w:tc>
                <w:tcPr>
                  <w:tcW w:w="859" w:type="dxa"/>
                  <w:tcBorders>
                    <w:tl2br w:val="nil"/>
                    <w:tr2bl w:val="nil"/>
                  </w:tcBorders>
                  <w:noWrap w:val="0"/>
                  <w:vAlign w:val="center"/>
                </w:tcPr>
                <w:p w14:paraId="5B4A5B11">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单位</w:t>
                  </w:r>
                </w:p>
              </w:tc>
              <w:tc>
                <w:tcPr>
                  <w:tcW w:w="1156" w:type="dxa"/>
                  <w:tcBorders>
                    <w:tl2br w:val="nil"/>
                    <w:tr2bl w:val="nil"/>
                  </w:tcBorders>
                  <w:noWrap w:val="0"/>
                  <w:vAlign w:val="center"/>
                </w:tcPr>
                <w:p w14:paraId="63923E36">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年耗量</w:t>
                  </w:r>
                </w:p>
              </w:tc>
              <w:tc>
                <w:tcPr>
                  <w:tcW w:w="1289" w:type="dxa"/>
                  <w:tcBorders>
                    <w:tl2br w:val="nil"/>
                    <w:tr2bl w:val="nil"/>
                  </w:tcBorders>
                  <w:noWrap w:val="0"/>
                  <w:vAlign w:val="center"/>
                </w:tcPr>
                <w:p w14:paraId="53B0CF00">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最大储存量</w:t>
                  </w:r>
                </w:p>
              </w:tc>
              <w:tc>
                <w:tcPr>
                  <w:tcW w:w="1610" w:type="dxa"/>
                  <w:tcBorders>
                    <w:tl2br w:val="nil"/>
                    <w:tr2bl w:val="nil"/>
                  </w:tcBorders>
                  <w:noWrap w:val="0"/>
                  <w:vAlign w:val="center"/>
                </w:tcPr>
                <w:p w14:paraId="100A2688">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备注</w:t>
                  </w:r>
                </w:p>
              </w:tc>
            </w:tr>
            <w:tr w14:paraId="145D2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82" w:type="dxa"/>
                  <w:tcBorders>
                    <w:tl2br w:val="nil"/>
                    <w:tr2bl w:val="nil"/>
                  </w:tcBorders>
                  <w:noWrap w:val="0"/>
                  <w:vAlign w:val="center"/>
                </w:tcPr>
                <w:p w14:paraId="10AED385">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282" w:type="dxa"/>
                  <w:tcBorders>
                    <w:tl2br w:val="nil"/>
                    <w:tr2bl w:val="nil"/>
                  </w:tcBorders>
                  <w:noWrap w:val="0"/>
                  <w:vAlign w:val="center"/>
                </w:tcPr>
                <w:p w14:paraId="3DA9F629">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洗衣液</w:t>
                  </w:r>
                </w:p>
              </w:tc>
              <w:tc>
                <w:tcPr>
                  <w:tcW w:w="1155" w:type="dxa"/>
                  <w:tcBorders>
                    <w:tl2br w:val="nil"/>
                    <w:tr2bl w:val="nil"/>
                  </w:tcBorders>
                  <w:noWrap w:val="0"/>
                  <w:vAlign w:val="center"/>
                </w:tcPr>
                <w:p w14:paraId="39E30014">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液体</w:t>
                  </w:r>
                </w:p>
              </w:tc>
              <w:tc>
                <w:tcPr>
                  <w:tcW w:w="859" w:type="dxa"/>
                  <w:tcBorders>
                    <w:tl2br w:val="nil"/>
                    <w:tr2bl w:val="nil"/>
                  </w:tcBorders>
                  <w:noWrap w:val="0"/>
                  <w:vAlign w:val="center"/>
                </w:tcPr>
                <w:p w14:paraId="42F8FB9E">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w:t>
                  </w:r>
                </w:p>
              </w:tc>
              <w:tc>
                <w:tcPr>
                  <w:tcW w:w="1156" w:type="dxa"/>
                  <w:tcBorders>
                    <w:tl2br w:val="nil"/>
                    <w:tr2bl w:val="nil"/>
                  </w:tcBorders>
                  <w:noWrap w:val="0"/>
                  <w:vAlign w:val="center"/>
                </w:tcPr>
                <w:p w14:paraId="45768FD1">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1289" w:type="dxa"/>
                  <w:tcBorders>
                    <w:tl2br w:val="nil"/>
                    <w:tr2bl w:val="nil"/>
                  </w:tcBorders>
                  <w:noWrap w:val="0"/>
                  <w:vAlign w:val="center"/>
                </w:tcPr>
                <w:p w14:paraId="055AC46A">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610" w:type="dxa"/>
                  <w:tcBorders>
                    <w:tl2br w:val="nil"/>
                    <w:tr2bl w:val="nil"/>
                  </w:tcBorders>
                  <w:noWrap w:val="0"/>
                  <w:vAlign w:val="center"/>
                </w:tcPr>
                <w:p w14:paraId="295D514C">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10kg/箱</w:t>
                  </w:r>
                </w:p>
              </w:tc>
            </w:tr>
            <w:tr w14:paraId="16E51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82" w:type="dxa"/>
                  <w:tcBorders>
                    <w:tl2br w:val="nil"/>
                    <w:tr2bl w:val="nil"/>
                  </w:tcBorders>
                  <w:noWrap w:val="0"/>
                  <w:vAlign w:val="center"/>
                </w:tcPr>
                <w:p w14:paraId="69360202">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282" w:type="dxa"/>
                  <w:tcBorders>
                    <w:tl2br w:val="nil"/>
                    <w:tr2bl w:val="nil"/>
                  </w:tcBorders>
                  <w:noWrap w:val="0"/>
                  <w:vAlign w:val="center"/>
                </w:tcPr>
                <w:p w14:paraId="4CDFCD04">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成型的生物质颗粒</w:t>
                  </w:r>
                </w:p>
              </w:tc>
              <w:tc>
                <w:tcPr>
                  <w:tcW w:w="1155" w:type="dxa"/>
                  <w:tcBorders>
                    <w:tl2br w:val="nil"/>
                    <w:tr2bl w:val="nil"/>
                  </w:tcBorders>
                  <w:noWrap w:val="0"/>
                  <w:vAlign w:val="center"/>
                </w:tcPr>
                <w:p w14:paraId="226E786B">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859" w:type="dxa"/>
                  <w:tcBorders>
                    <w:tl2br w:val="nil"/>
                    <w:tr2bl w:val="nil"/>
                  </w:tcBorders>
                  <w:noWrap w:val="0"/>
                  <w:vAlign w:val="center"/>
                </w:tcPr>
                <w:p w14:paraId="66C97889">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w:t>
                  </w:r>
                </w:p>
              </w:tc>
              <w:tc>
                <w:tcPr>
                  <w:tcW w:w="1156" w:type="dxa"/>
                  <w:tcBorders>
                    <w:tl2br w:val="nil"/>
                    <w:tr2bl w:val="nil"/>
                  </w:tcBorders>
                  <w:noWrap w:val="0"/>
                  <w:vAlign w:val="center"/>
                </w:tcPr>
                <w:p w14:paraId="67745AE1">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1197</w:t>
                  </w:r>
                </w:p>
              </w:tc>
              <w:tc>
                <w:tcPr>
                  <w:tcW w:w="1289" w:type="dxa"/>
                  <w:tcBorders>
                    <w:tl2br w:val="nil"/>
                    <w:tr2bl w:val="nil"/>
                  </w:tcBorders>
                  <w:noWrap w:val="0"/>
                  <w:vAlign w:val="center"/>
                </w:tcPr>
                <w:p w14:paraId="46B8B4C9">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w:t>
                  </w:r>
                </w:p>
              </w:tc>
              <w:tc>
                <w:tcPr>
                  <w:tcW w:w="1610" w:type="dxa"/>
                  <w:tcBorders>
                    <w:tl2br w:val="nil"/>
                    <w:tr2bl w:val="nil"/>
                  </w:tcBorders>
                  <w:noWrap w:val="0"/>
                  <w:vAlign w:val="center"/>
                </w:tcPr>
                <w:p w14:paraId="6891A6FA">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50kg/箱</w:t>
                  </w:r>
                </w:p>
              </w:tc>
            </w:tr>
            <w:tr w14:paraId="284C6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82" w:type="dxa"/>
                  <w:tcBorders>
                    <w:tl2br w:val="nil"/>
                    <w:tr2bl w:val="nil"/>
                  </w:tcBorders>
                  <w:noWrap w:val="0"/>
                  <w:vAlign w:val="center"/>
                </w:tcPr>
                <w:p w14:paraId="34DD11B1">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282" w:type="dxa"/>
                  <w:tcBorders>
                    <w:tl2br w:val="nil"/>
                    <w:tr2bl w:val="nil"/>
                  </w:tcBorders>
                  <w:noWrap w:val="0"/>
                  <w:vAlign w:val="center"/>
                </w:tcPr>
                <w:p w14:paraId="02DB9001">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硅油</w:t>
                  </w:r>
                </w:p>
              </w:tc>
              <w:tc>
                <w:tcPr>
                  <w:tcW w:w="1155" w:type="dxa"/>
                  <w:tcBorders>
                    <w:tl2br w:val="nil"/>
                    <w:tr2bl w:val="nil"/>
                  </w:tcBorders>
                  <w:noWrap w:val="0"/>
                  <w:vAlign w:val="center"/>
                </w:tcPr>
                <w:p w14:paraId="32DCA7B1">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液体</w:t>
                  </w:r>
                </w:p>
              </w:tc>
              <w:tc>
                <w:tcPr>
                  <w:tcW w:w="859" w:type="dxa"/>
                  <w:tcBorders>
                    <w:tl2br w:val="nil"/>
                    <w:tr2bl w:val="nil"/>
                  </w:tcBorders>
                  <w:noWrap w:val="0"/>
                  <w:vAlign w:val="center"/>
                </w:tcPr>
                <w:p w14:paraId="6A25EDD5">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w:t>
                  </w:r>
                </w:p>
              </w:tc>
              <w:tc>
                <w:tcPr>
                  <w:tcW w:w="1156" w:type="dxa"/>
                  <w:tcBorders>
                    <w:tl2br w:val="nil"/>
                    <w:tr2bl w:val="nil"/>
                  </w:tcBorders>
                  <w:noWrap w:val="0"/>
                  <w:vAlign w:val="center"/>
                </w:tcPr>
                <w:p w14:paraId="79471536">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1289" w:type="dxa"/>
                  <w:tcBorders>
                    <w:tl2br w:val="nil"/>
                    <w:tr2bl w:val="nil"/>
                  </w:tcBorders>
                  <w:noWrap w:val="0"/>
                  <w:vAlign w:val="center"/>
                </w:tcPr>
                <w:p w14:paraId="5380EA29">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610" w:type="dxa"/>
                  <w:tcBorders>
                    <w:tl2br w:val="nil"/>
                    <w:tr2bl w:val="nil"/>
                  </w:tcBorders>
                  <w:noWrap w:val="0"/>
                  <w:vAlign w:val="center"/>
                </w:tcPr>
                <w:p w14:paraId="683B0772">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120公斤/桶</w:t>
                  </w:r>
                </w:p>
              </w:tc>
            </w:tr>
            <w:tr w14:paraId="6F8C9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82" w:type="dxa"/>
                  <w:tcBorders>
                    <w:tl2br w:val="nil"/>
                    <w:tr2bl w:val="nil"/>
                  </w:tcBorders>
                  <w:noWrap w:val="0"/>
                  <w:vAlign w:val="center"/>
                </w:tcPr>
                <w:p w14:paraId="29D5903A">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1282" w:type="dxa"/>
                  <w:tcBorders>
                    <w:tl2br w:val="nil"/>
                    <w:tr2bl w:val="nil"/>
                  </w:tcBorders>
                  <w:noWrap w:val="0"/>
                  <w:vAlign w:val="center"/>
                </w:tcPr>
                <w:p w14:paraId="126D5A63">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柔顺剂</w:t>
                  </w:r>
                </w:p>
              </w:tc>
              <w:tc>
                <w:tcPr>
                  <w:tcW w:w="1155" w:type="dxa"/>
                  <w:tcBorders>
                    <w:tl2br w:val="nil"/>
                    <w:tr2bl w:val="nil"/>
                  </w:tcBorders>
                  <w:noWrap w:val="0"/>
                  <w:vAlign w:val="center"/>
                </w:tcPr>
                <w:p w14:paraId="0E56394F">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液体</w:t>
                  </w:r>
                </w:p>
              </w:tc>
              <w:tc>
                <w:tcPr>
                  <w:tcW w:w="859" w:type="dxa"/>
                  <w:tcBorders>
                    <w:tl2br w:val="nil"/>
                    <w:tr2bl w:val="nil"/>
                  </w:tcBorders>
                  <w:noWrap w:val="0"/>
                  <w:vAlign w:val="center"/>
                </w:tcPr>
                <w:p w14:paraId="3AC412CF">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w:t>
                  </w:r>
                </w:p>
              </w:tc>
              <w:tc>
                <w:tcPr>
                  <w:tcW w:w="1156" w:type="dxa"/>
                  <w:tcBorders>
                    <w:tl2br w:val="nil"/>
                    <w:tr2bl w:val="nil"/>
                  </w:tcBorders>
                  <w:noWrap w:val="0"/>
                  <w:vAlign w:val="center"/>
                </w:tcPr>
                <w:p w14:paraId="45D5D3C4">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1289" w:type="dxa"/>
                  <w:tcBorders>
                    <w:tl2br w:val="nil"/>
                    <w:tr2bl w:val="nil"/>
                  </w:tcBorders>
                  <w:noWrap w:val="0"/>
                  <w:vAlign w:val="center"/>
                </w:tcPr>
                <w:p w14:paraId="1D5A14EB">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610" w:type="dxa"/>
                  <w:tcBorders>
                    <w:tl2br w:val="nil"/>
                    <w:tr2bl w:val="nil"/>
                  </w:tcBorders>
                  <w:noWrap w:val="0"/>
                  <w:vAlign w:val="center"/>
                </w:tcPr>
                <w:p w14:paraId="23B4ED6B">
                  <w:pPr>
                    <w:spacing w:line="240" w:lineRule="auto"/>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120公斤/桶</w:t>
                  </w:r>
                </w:p>
              </w:tc>
            </w:tr>
            <w:tr w14:paraId="4E95A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82" w:type="dxa"/>
                  <w:tcBorders>
                    <w:tl2br w:val="nil"/>
                    <w:tr2bl w:val="nil"/>
                  </w:tcBorders>
                  <w:noWrap w:val="0"/>
                  <w:vAlign w:val="center"/>
                </w:tcPr>
                <w:p w14:paraId="7B931AC6">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282" w:type="dxa"/>
                  <w:tcBorders>
                    <w:tl2br w:val="nil"/>
                    <w:tr2bl w:val="nil"/>
                  </w:tcBorders>
                  <w:noWrap w:val="0"/>
                  <w:vAlign w:val="center"/>
                </w:tcPr>
                <w:p w14:paraId="5482E994">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塑料绳</w:t>
                  </w:r>
                </w:p>
              </w:tc>
              <w:tc>
                <w:tcPr>
                  <w:tcW w:w="1155" w:type="dxa"/>
                  <w:tcBorders>
                    <w:tl2br w:val="nil"/>
                    <w:tr2bl w:val="nil"/>
                  </w:tcBorders>
                  <w:noWrap w:val="0"/>
                  <w:vAlign w:val="center"/>
                </w:tcPr>
                <w:p w14:paraId="175A0022">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859" w:type="dxa"/>
                  <w:tcBorders>
                    <w:tl2br w:val="nil"/>
                    <w:tr2bl w:val="nil"/>
                  </w:tcBorders>
                  <w:noWrap w:val="0"/>
                  <w:vAlign w:val="center"/>
                </w:tcPr>
                <w:p w14:paraId="1C9DA715">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w:t>
                  </w:r>
                </w:p>
              </w:tc>
              <w:tc>
                <w:tcPr>
                  <w:tcW w:w="1156" w:type="dxa"/>
                  <w:tcBorders>
                    <w:tl2br w:val="nil"/>
                    <w:tr2bl w:val="nil"/>
                  </w:tcBorders>
                  <w:noWrap w:val="0"/>
                  <w:vAlign w:val="center"/>
                </w:tcPr>
                <w:p w14:paraId="7AF987A0">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289" w:type="dxa"/>
                  <w:tcBorders>
                    <w:tl2br w:val="nil"/>
                    <w:tr2bl w:val="nil"/>
                  </w:tcBorders>
                  <w:noWrap w:val="0"/>
                  <w:vAlign w:val="center"/>
                </w:tcPr>
                <w:p w14:paraId="18C546D3">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610" w:type="dxa"/>
                  <w:tcBorders>
                    <w:tl2br w:val="nil"/>
                    <w:tr2bl w:val="nil"/>
                  </w:tcBorders>
                  <w:noWrap w:val="0"/>
                  <w:vAlign w:val="center"/>
                </w:tcPr>
                <w:p w14:paraId="6F9B7221">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捆</w:t>
                  </w:r>
                </w:p>
              </w:tc>
            </w:tr>
            <w:tr w14:paraId="505C9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82" w:type="dxa"/>
                  <w:tcBorders>
                    <w:tl2br w:val="nil"/>
                    <w:tr2bl w:val="nil"/>
                  </w:tcBorders>
                  <w:noWrap w:val="0"/>
                  <w:vAlign w:val="center"/>
                </w:tcPr>
                <w:p w14:paraId="27A46CC8">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282" w:type="dxa"/>
                  <w:tcBorders>
                    <w:tl2br w:val="nil"/>
                    <w:tr2bl w:val="nil"/>
                  </w:tcBorders>
                  <w:shd w:val="clear" w:color="auto" w:fill="auto"/>
                  <w:noWrap w:val="0"/>
                  <w:vAlign w:val="center"/>
                </w:tcPr>
                <w:p w14:paraId="6873621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w:t>
                  </w:r>
                </w:p>
              </w:tc>
              <w:tc>
                <w:tcPr>
                  <w:tcW w:w="1155" w:type="dxa"/>
                  <w:tcBorders>
                    <w:tl2br w:val="nil"/>
                    <w:tr2bl w:val="nil"/>
                  </w:tcBorders>
                  <w:shd w:val="clear" w:color="auto" w:fill="auto"/>
                  <w:noWrap w:val="0"/>
                  <w:vAlign w:val="center"/>
                </w:tcPr>
                <w:p w14:paraId="186053B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59" w:type="dxa"/>
                  <w:tcBorders>
                    <w:tl2br w:val="nil"/>
                    <w:tr2bl w:val="nil"/>
                  </w:tcBorders>
                  <w:shd w:val="clear" w:color="auto" w:fill="auto"/>
                  <w:noWrap w:val="0"/>
                  <w:vAlign w:val="center"/>
                </w:tcPr>
                <w:p w14:paraId="4550108F">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156" w:type="dxa"/>
                  <w:tcBorders>
                    <w:tl2br w:val="nil"/>
                    <w:tr2bl w:val="nil"/>
                  </w:tcBorders>
                  <w:shd w:val="clear" w:color="auto" w:fill="auto"/>
                  <w:noWrap w:val="0"/>
                  <w:vAlign w:val="center"/>
                </w:tcPr>
                <w:p w14:paraId="5A799A1C">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9516</w:t>
                  </w:r>
                </w:p>
              </w:tc>
              <w:tc>
                <w:tcPr>
                  <w:tcW w:w="1289" w:type="dxa"/>
                  <w:tcBorders>
                    <w:tl2br w:val="nil"/>
                    <w:tr2bl w:val="nil"/>
                  </w:tcBorders>
                  <w:shd w:val="clear" w:color="auto" w:fill="auto"/>
                  <w:noWrap w:val="0"/>
                  <w:vAlign w:val="center"/>
                </w:tcPr>
                <w:p w14:paraId="58B46E41">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610" w:type="dxa"/>
                  <w:tcBorders>
                    <w:tl2br w:val="nil"/>
                    <w:tr2bl w:val="nil"/>
                  </w:tcBorders>
                  <w:shd w:val="clear" w:color="auto" w:fill="auto"/>
                  <w:noWrap w:val="0"/>
                  <w:vAlign w:val="center"/>
                </w:tcPr>
                <w:p w14:paraId="522B816D">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市政供水</w:t>
                  </w:r>
                </w:p>
              </w:tc>
            </w:tr>
            <w:tr w14:paraId="2E7DC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82" w:type="dxa"/>
                  <w:tcBorders>
                    <w:tl2br w:val="nil"/>
                    <w:tr2bl w:val="nil"/>
                  </w:tcBorders>
                  <w:noWrap w:val="0"/>
                  <w:vAlign w:val="center"/>
                </w:tcPr>
                <w:p w14:paraId="0B84D01E">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1282" w:type="dxa"/>
                  <w:tcBorders>
                    <w:tl2br w:val="nil"/>
                    <w:tr2bl w:val="nil"/>
                  </w:tcBorders>
                  <w:shd w:val="clear" w:color="auto" w:fill="auto"/>
                  <w:noWrap w:val="0"/>
                  <w:vAlign w:val="center"/>
                </w:tcPr>
                <w:p w14:paraId="6648AD0A">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w:t>
                  </w:r>
                </w:p>
              </w:tc>
              <w:tc>
                <w:tcPr>
                  <w:tcW w:w="1155" w:type="dxa"/>
                  <w:tcBorders>
                    <w:tl2br w:val="nil"/>
                    <w:tr2bl w:val="nil"/>
                  </w:tcBorders>
                  <w:shd w:val="clear" w:color="auto" w:fill="auto"/>
                  <w:noWrap w:val="0"/>
                  <w:vAlign w:val="center"/>
                </w:tcPr>
                <w:p w14:paraId="19AD7E28">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59" w:type="dxa"/>
                  <w:tcBorders>
                    <w:tl2br w:val="nil"/>
                    <w:tr2bl w:val="nil"/>
                  </w:tcBorders>
                  <w:shd w:val="clear" w:color="auto" w:fill="auto"/>
                  <w:noWrap w:val="0"/>
                  <w:vAlign w:val="center"/>
                </w:tcPr>
                <w:p w14:paraId="50CB541B">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kW·h</w:t>
                  </w:r>
                </w:p>
              </w:tc>
              <w:tc>
                <w:tcPr>
                  <w:tcW w:w="1156" w:type="dxa"/>
                  <w:tcBorders>
                    <w:tl2br w:val="nil"/>
                    <w:tr2bl w:val="nil"/>
                  </w:tcBorders>
                  <w:shd w:val="clear" w:color="auto" w:fill="auto"/>
                  <w:noWrap w:val="0"/>
                  <w:vAlign w:val="center"/>
                </w:tcPr>
                <w:p w14:paraId="1266EBBA">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0000</w:t>
                  </w:r>
                </w:p>
              </w:tc>
              <w:tc>
                <w:tcPr>
                  <w:tcW w:w="1289" w:type="dxa"/>
                  <w:tcBorders>
                    <w:tl2br w:val="nil"/>
                    <w:tr2bl w:val="nil"/>
                  </w:tcBorders>
                  <w:shd w:val="clear" w:color="auto" w:fill="auto"/>
                  <w:noWrap w:val="0"/>
                  <w:vAlign w:val="center"/>
                </w:tcPr>
                <w:p w14:paraId="01D1BDA1">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610" w:type="dxa"/>
                  <w:tcBorders>
                    <w:tl2br w:val="nil"/>
                    <w:tr2bl w:val="nil"/>
                  </w:tcBorders>
                  <w:shd w:val="clear" w:color="auto" w:fill="auto"/>
                  <w:noWrap w:val="0"/>
                  <w:vAlign w:val="center"/>
                </w:tcPr>
                <w:p w14:paraId="6828CB18">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市政供电</w:t>
                  </w:r>
                </w:p>
              </w:tc>
            </w:tr>
          </w:tbl>
          <w:p w14:paraId="4101644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exact"/>
              <w:jc w:val="center"/>
              <w:textAlignment w:val="auto"/>
              <w:rPr>
                <w:rFonts w:hint="eastAsia" w:ascii="Times New Roman" w:hAnsi="Times New Roman" w:eastAsia="黑体" w:cs="Times New Roman"/>
                <w:color w:val="auto"/>
                <w:kern w:val="0"/>
                <w:sz w:val="24"/>
                <w:szCs w:val="24"/>
                <w:highlight w:val="none"/>
                <w:lang w:val="en-US" w:eastAsia="zh-CN"/>
              </w:rPr>
            </w:pPr>
            <w:r>
              <w:rPr>
                <w:rFonts w:hint="eastAsia" w:ascii="Times New Roman" w:hAnsi="Times New Roman" w:eastAsia="黑体" w:cs="Times New Roman"/>
                <w:color w:val="auto"/>
                <w:kern w:val="0"/>
                <w:sz w:val="24"/>
                <w:szCs w:val="24"/>
                <w:highlight w:val="none"/>
                <w:lang w:val="en-US" w:eastAsia="zh-CN"/>
              </w:rPr>
              <w:t>表2-6  原辅材料理化性质一览表</w:t>
            </w:r>
          </w:p>
          <w:tbl>
            <w:tblPr>
              <w:tblStyle w:val="29"/>
              <w:tblW w:w="7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312"/>
              <w:gridCol w:w="5907"/>
            </w:tblGrid>
            <w:tr w14:paraId="3781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dxa"/>
                  <w:noWrap w:val="0"/>
                  <w:vAlign w:val="center"/>
                </w:tcPr>
                <w:p w14:paraId="252461C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序号</w:t>
                  </w:r>
                </w:p>
              </w:tc>
              <w:tc>
                <w:tcPr>
                  <w:tcW w:w="1312" w:type="dxa"/>
                  <w:noWrap w:val="0"/>
                  <w:vAlign w:val="center"/>
                </w:tcPr>
                <w:p w14:paraId="7D3E82F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名称</w:t>
                  </w:r>
                </w:p>
              </w:tc>
              <w:tc>
                <w:tcPr>
                  <w:tcW w:w="5907" w:type="dxa"/>
                  <w:noWrap w:val="0"/>
                  <w:vAlign w:val="center"/>
                </w:tcPr>
                <w:p w14:paraId="4AD3DBD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理化性质</w:t>
                  </w:r>
                </w:p>
              </w:tc>
            </w:tr>
            <w:tr w14:paraId="1000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dxa"/>
                  <w:noWrap w:val="0"/>
                  <w:vAlign w:val="center"/>
                </w:tcPr>
                <w:p w14:paraId="68BD9D0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w:t>
                  </w:r>
                </w:p>
              </w:tc>
              <w:tc>
                <w:tcPr>
                  <w:tcW w:w="1312" w:type="dxa"/>
                  <w:noWrap w:val="0"/>
                  <w:vAlign w:val="center"/>
                </w:tcPr>
                <w:p w14:paraId="04CBDBA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洗衣</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液</w:t>
                  </w:r>
                </w:p>
              </w:tc>
              <w:tc>
                <w:tcPr>
                  <w:tcW w:w="5907" w:type="dxa"/>
                  <w:noWrap w:val="0"/>
                  <w:vAlign w:val="center"/>
                </w:tcPr>
                <w:p w14:paraId="195C1CE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主要成分为脂肪醇聚氧乙烯醚。pH为3~11</w:t>
                  </w:r>
                  <w:r>
                    <w:rPr>
                      <w:rFonts w:hint="eastAsia" w:ascii="Times New Roman" w:hAnsi="Times New Roman" w:cs="Times New Roman"/>
                      <w:color w:val="auto"/>
                      <w:kern w:val="0"/>
                      <w:sz w:val="21"/>
                      <w:szCs w:val="21"/>
                      <w:highlight w:val="none"/>
                      <w:vertAlign w:val="baseline"/>
                      <w:lang w:val="en-US" w:eastAsia="zh-CN"/>
                    </w:rPr>
                    <w:t>，</w:t>
                  </w:r>
                  <w:r>
                    <w:rPr>
                      <w:rFonts w:hint="default" w:ascii="Times New Roman" w:hAnsi="Times New Roman" w:cs="Times New Roman"/>
                      <w:color w:val="auto"/>
                      <w:kern w:val="0"/>
                      <w:sz w:val="21"/>
                      <w:szCs w:val="21"/>
                      <w:highlight w:val="none"/>
                      <w:vertAlign w:val="baseline"/>
                      <w:lang w:val="en-US" w:eastAsia="zh-CN"/>
                    </w:rPr>
                    <w:t>稳定性较高，水溶性较好，耐电解质，易于生物降解。</w:t>
                  </w:r>
                </w:p>
              </w:tc>
            </w:tr>
            <w:tr w14:paraId="03D1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dxa"/>
                  <w:noWrap w:val="0"/>
                  <w:vAlign w:val="center"/>
                </w:tcPr>
                <w:p w14:paraId="2199027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2</w:t>
                  </w:r>
                </w:p>
              </w:tc>
              <w:tc>
                <w:tcPr>
                  <w:tcW w:w="1312" w:type="dxa"/>
                  <w:noWrap w:val="0"/>
                  <w:vAlign w:val="center"/>
                </w:tcPr>
                <w:p w14:paraId="66314B5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柔顺剂</w:t>
                  </w:r>
                </w:p>
              </w:tc>
              <w:tc>
                <w:tcPr>
                  <w:tcW w:w="5907" w:type="dxa"/>
                  <w:noWrap w:val="0"/>
                  <w:vAlign w:val="center"/>
                </w:tcPr>
                <w:p w14:paraId="2C9C642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主要成分为阳离子表面活性剂、防腐剂和香精。白色不透明液体，具有特有香味，pH4-9，相对密度（水=1）0.98-1.02，易溶于水中。</w:t>
                  </w:r>
                </w:p>
              </w:tc>
            </w:tr>
            <w:tr w14:paraId="3404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dxa"/>
                  <w:noWrap w:val="0"/>
                  <w:vAlign w:val="center"/>
                </w:tcPr>
                <w:p w14:paraId="0778CDC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3</w:t>
                  </w:r>
                </w:p>
              </w:tc>
              <w:tc>
                <w:tcPr>
                  <w:tcW w:w="1312" w:type="dxa"/>
                  <w:noWrap w:val="0"/>
                  <w:vAlign w:val="center"/>
                </w:tcPr>
                <w:p w14:paraId="0034285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硅油</w:t>
                  </w:r>
                </w:p>
              </w:tc>
              <w:tc>
                <w:tcPr>
                  <w:tcW w:w="5907" w:type="dxa"/>
                  <w:noWrap w:val="0"/>
                  <w:vAlign w:val="center"/>
                </w:tcPr>
                <w:p w14:paraId="0297940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left"/>
                    <w:textAlignment w:val="auto"/>
                    <w:rPr>
                      <w:rFonts w:hint="eastAsia"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主要成分为</w:t>
                  </w:r>
                  <w:r>
                    <w:rPr>
                      <w:rFonts w:hint="eastAsia" w:ascii="Times New Roman" w:hAnsi="Times New Roman" w:cs="Times New Roman"/>
                      <w:color w:val="auto"/>
                      <w:kern w:val="0"/>
                      <w:sz w:val="21"/>
                      <w:szCs w:val="21"/>
                      <w:highlight w:val="none"/>
                      <w:vertAlign w:val="baseline"/>
                      <w:lang w:val="en-US" w:eastAsia="zh-CN"/>
                    </w:rPr>
                    <w:t>聚二甲基硅氧烷乳液，聚二甲基硅氧烷10%~30%、脂肪醇聚氧乙烯醚（AEO-9，乳化剂）2%~5%、去离子水65%~88%、防腐剂（异噻唑啉酮）≤0.1%。</w:t>
                  </w:r>
                </w:p>
              </w:tc>
            </w:tr>
          </w:tbl>
          <w:p w14:paraId="7E6DCB04">
            <w:pPr>
              <w:pStyle w:val="61"/>
              <w:jc w:val="left"/>
              <w:rPr>
                <w:b/>
                <w:highlight w:val="none"/>
              </w:rPr>
            </w:pPr>
            <w:r>
              <w:rPr>
                <w:rFonts w:hint="eastAsia"/>
                <w:highlight w:val="none"/>
              </w:rPr>
              <w:t>本项目生物质燃料为成型的生物质颗粒（主要成分为木屑），生物质燃料成分分析数据见表</w:t>
            </w:r>
            <w:r>
              <w:rPr>
                <w:rFonts w:hint="eastAsia"/>
                <w:highlight w:val="none"/>
                <w:lang w:val="en-US" w:eastAsia="zh-CN"/>
              </w:rPr>
              <w:t>2-7</w:t>
            </w:r>
            <w:r>
              <w:rPr>
                <w:rFonts w:hint="eastAsia"/>
                <w:highlight w:val="none"/>
              </w:rPr>
              <w:t>。</w:t>
            </w:r>
          </w:p>
          <w:p w14:paraId="3D5E4FF6">
            <w:pPr>
              <w:pStyle w:val="64"/>
              <w:spacing w:before="156"/>
              <w:jc w:val="center"/>
              <w:rPr>
                <w:highlight w:val="none"/>
              </w:rPr>
            </w:pPr>
            <w:r>
              <w:rPr>
                <w:rFonts w:hint="eastAsia"/>
                <w:highlight w:val="none"/>
                <w:lang w:val="en-US" w:eastAsia="zh-CN"/>
              </w:rPr>
              <w:t>表2-7</w:t>
            </w:r>
            <w:r>
              <w:rPr>
                <w:rFonts w:hint="default"/>
                <w:color w:val="000000" w:themeColor="text1"/>
                <w:highlight w:val="none"/>
                <w14:textFill>
                  <w14:solidFill>
                    <w14:schemeClr w14:val="tx1"/>
                  </w14:solidFill>
                </w14:textFill>
              </w:rPr>
              <w:t>生物质成型燃料成分表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720"/>
              <w:gridCol w:w="1365"/>
              <w:gridCol w:w="1486"/>
              <w:gridCol w:w="1349"/>
              <w:gridCol w:w="1181"/>
            </w:tblGrid>
            <w:tr w14:paraId="49FA2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8" w:type="pct"/>
                  <w:vMerge w:val="restart"/>
                  <w:tcBorders>
                    <w:tl2br w:val="nil"/>
                    <w:tr2bl w:val="nil"/>
                  </w:tcBorders>
                  <w:noWrap w:val="0"/>
                  <w:vAlign w:val="center"/>
                </w:tcPr>
                <w:p w14:paraId="53A76B1C">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原料名称</w:t>
                  </w:r>
                </w:p>
              </w:tc>
              <w:tc>
                <w:tcPr>
                  <w:tcW w:w="1066" w:type="pct"/>
                  <w:vMerge w:val="restart"/>
                  <w:tcBorders>
                    <w:tl2br w:val="nil"/>
                    <w:tr2bl w:val="nil"/>
                  </w:tcBorders>
                  <w:noWrap w:val="0"/>
                  <w:vAlign w:val="center"/>
                </w:tcPr>
                <w:p w14:paraId="42B8A6FB">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p>
              </w:tc>
              <w:tc>
                <w:tcPr>
                  <w:tcW w:w="846" w:type="pct"/>
                  <w:vMerge w:val="restart"/>
                  <w:tcBorders>
                    <w:tl2br w:val="nil"/>
                    <w:tr2bl w:val="nil"/>
                  </w:tcBorders>
                  <w:noWrap w:val="0"/>
                  <w:vAlign w:val="center"/>
                </w:tcPr>
                <w:p w14:paraId="01EDBCBF">
                  <w:pPr>
                    <w:pStyle w:val="56"/>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检测值</w:t>
                  </w:r>
                </w:p>
              </w:tc>
              <w:tc>
                <w:tcPr>
                  <w:tcW w:w="2489" w:type="pct"/>
                  <w:gridSpan w:val="3"/>
                  <w:tcBorders>
                    <w:tl2br w:val="nil"/>
                    <w:tr2bl w:val="nil"/>
                  </w:tcBorders>
                  <w:noWrap w:val="0"/>
                  <w:vAlign w:val="center"/>
                </w:tcPr>
                <w:p w14:paraId="3E95C80F">
                  <w:pPr>
                    <w:pStyle w:val="56"/>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标准限值（林业生物质颗粒燃料分级指标）</w:t>
                  </w:r>
                </w:p>
              </w:tc>
            </w:tr>
            <w:tr w14:paraId="3CE4F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8" w:type="pct"/>
                  <w:vMerge w:val="continue"/>
                  <w:tcBorders>
                    <w:tl2br w:val="nil"/>
                    <w:tr2bl w:val="nil"/>
                  </w:tcBorders>
                  <w:noWrap w:val="0"/>
                  <w:vAlign w:val="center"/>
                </w:tcPr>
                <w:p w14:paraId="64D1BF45">
                  <w:pPr>
                    <w:pStyle w:val="56"/>
                    <w:bidi w:val="0"/>
                    <w:rPr>
                      <w:color w:val="000000" w:themeColor="text1"/>
                      <w:highlight w:val="none"/>
                      <w14:textFill>
                        <w14:solidFill>
                          <w14:schemeClr w14:val="tx1"/>
                        </w14:solidFill>
                      </w14:textFill>
                    </w:rPr>
                  </w:pPr>
                </w:p>
              </w:tc>
              <w:tc>
                <w:tcPr>
                  <w:tcW w:w="1066" w:type="pct"/>
                  <w:vMerge w:val="continue"/>
                  <w:tcBorders>
                    <w:tl2br w:val="nil"/>
                    <w:tr2bl w:val="nil"/>
                  </w:tcBorders>
                  <w:noWrap w:val="0"/>
                  <w:vAlign w:val="center"/>
                </w:tcPr>
                <w:p w14:paraId="2943026D">
                  <w:pPr>
                    <w:pStyle w:val="56"/>
                    <w:bidi w:val="0"/>
                    <w:rPr>
                      <w:color w:val="000000" w:themeColor="text1"/>
                      <w:highlight w:val="none"/>
                      <w14:textFill>
                        <w14:solidFill>
                          <w14:schemeClr w14:val="tx1"/>
                        </w14:solidFill>
                      </w14:textFill>
                    </w:rPr>
                  </w:pPr>
                </w:p>
              </w:tc>
              <w:tc>
                <w:tcPr>
                  <w:tcW w:w="846" w:type="pct"/>
                  <w:vMerge w:val="continue"/>
                  <w:tcBorders>
                    <w:tl2br w:val="nil"/>
                    <w:tr2bl w:val="nil"/>
                  </w:tcBorders>
                  <w:noWrap w:val="0"/>
                  <w:vAlign w:val="center"/>
                </w:tcPr>
                <w:p w14:paraId="3672F4AF">
                  <w:pPr>
                    <w:pStyle w:val="56"/>
                    <w:bidi w:val="0"/>
                    <w:rPr>
                      <w:rFonts w:hint="eastAsia"/>
                      <w:color w:val="000000" w:themeColor="text1"/>
                      <w:highlight w:val="none"/>
                      <w:lang w:val="en-US" w:eastAsia="zh-CN"/>
                      <w14:textFill>
                        <w14:solidFill>
                          <w14:schemeClr w14:val="tx1"/>
                        </w14:solidFill>
                      </w14:textFill>
                    </w:rPr>
                  </w:pPr>
                </w:p>
              </w:tc>
              <w:tc>
                <w:tcPr>
                  <w:tcW w:w="921" w:type="pct"/>
                  <w:tcBorders>
                    <w:tl2br w:val="nil"/>
                    <w:tr2bl w:val="nil"/>
                  </w:tcBorders>
                  <w:noWrap w:val="0"/>
                  <w:vAlign w:val="center"/>
                </w:tcPr>
                <w:p w14:paraId="37D8A848">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1级</w:t>
                  </w:r>
                </w:p>
              </w:tc>
              <w:tc>
                <w:tcPr>
                  <w:tcW w:w="836" w:type="pct"/>
                  <w:tcBorders>
                    <w:tl2br w:val="nil"/>
                    <w:tr2bl w:val="nil"/>
                  </w:tcBorders>
                  <w:noWrap w:val="0"/>
                  <w:vAlign w:val="center"/>
                </w:tcPr>
                <w:p w14:paraId="1CD402C1">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2级</w:t>
                  </w:r>
                </w:p>
              </w:tc>
              <w:tc>
                <w:tcPr>
                  <w:tcW w:w="730" w:type="pct"/>
                  <w:tcBorders>
                    <w:tl2br w:val="nil"/>
                    <w:tr2bl w:val="nil"/>
                  </w:tcBorders>
                  <w:noWrap w:val="0"/>
                  <w:vAlign w:val="center"/>
                </w:tcPr>
                <w:p w14:paraId="4FC709DD">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3级</w:t>
                  </w:r>
                </w:p>
              </w:tc>
            </w:tr>
            <w:tr w14:paraId="6BC54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8" w:type="pct"/>
                  <w:vMerge w:val="restart"/>
                  <w:tcBorders>
                    <w:tl2br w:val="nil"/>
                    <w:tr2bl w:val="nil"/>
                  </w:tcBorders>
                  <w:noWrap w:val="0"/>
                  <w:vAlign w:val="center"/>
                </w:tcPr>
                <w:p w14:paraId="7C6743D8">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生物质成型燃料</w:t>
                  </w:r>
                </w:p>
              </w:tc>
              <w:tc>
                <w:tcPr>
                  <w:tcW w:w="1066" w:type="pct"/>
                  <w:tcBorders>
                    <w:tl2br w:val="nil"/>
                    <w:tr2bl w:val="nil"/>
                  </w:tcBorders>
                  <w:noWrap w:val="0"/>
                  <w:vAlign w:val="center"/>
                </w:tcPr>
                <w:p w14:paraId="38A157AD">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全水分（Mt）</w:t>
                  </w:r>
                </w:p>
              </w:tc>
              <w:tc>
                <w:tcPr>
                  <w:tcW w:w="846" w:type="pct"/>
                  <w:tcBorders>
                    <w:tl2br w:val="nil"/>
                    <w:tr2bl w:val="nil"/>
                  </w:tcBorders>
                  <w:noWrap w:val="0"/>
                  <w:vAlign w:val="center"/>
                </w:tcPr>
                <w:p w14:paraId="5E56AAB8">
                  <w:pPr>
                    <w:pStyle w:val="56"/>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9.2%</w:t>
                  </w:r>
                </w:p>
              </w:tc>
              <w:tc>
                <w:tcPr>
                  <w:tcW w:w="921" w:type="pct"/>
                  <w:tcBorders>
                    <w:tl2br w:val="nil"/>
                    <w:tr2bl w:val="nil"/>
                  </w:tcBorders>
                  <w:noWrap w:val="0"/>
                  <w:vAlign w:val="center"/>
                </w:tcPr>
                <w:p w14:paraId="6C421B62">
                  <w:pPr>
                    <w:pStyle w:val="56"/>
                    <w:bidi w:val="0"/>
                    <w:jc w:val="center"/>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836" w:type="pct"/>
                  <w:tcBorders>
                    <w:tl2br w:val="nil"/>
                    <w:tr2bl w:val="nil"/>
                  </w:tcBorders>
                  <w:noWrap w:val="0"/>
                  <w:vAlign w:val="center"/>
                </w:tcPr>
                <w:p w14:paraId="6694EEFE">
                  <w:pPr>
                    <w:pStyle w:val="56"/>
                    <w:bidi w:val="0"/>
                    <w:rPr>
                      <w:rFonts w:hint="default"/>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10</w:t>
                  </w:r>
                </w:p>
              </w:tc>
              <w:tc>
                <w:tcPr>
                  <w:tcW w:w="730" w:type="pct"/>
                  <w:tcBorders>
                    <w:tl2br w:val="nil"/>
                    <w:tr2bl w:val="nil"/>
                  </w:tcBorders>
                  <w:noWrap w:val="0"/>
                  <w:vAlign w:val="center"/>
                </w:tcPr>
                <w:p w14:paraId="4C066FD1">
                  <w:pPr>
                    <w:pStyle w:val="56"/>
                    <w:bidi w:val="0"/>
                    <w:rPr>
                      <w:rFonts w:hint="default"/>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12</w:t>
                  </w:r>
                </w:p>
              </w:tc>
            </w:tr>
            <w:tr w14:paraId="19D7F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8" w:type="pct"/>
                  <w:vMerge w:val="continue"/>
                  <w:tcBorders>
                    <w:tl2br w:val="nil"/>
                    <w:tr2bl w:val="nil"/>
                  </w:tcBorders>
                  <w:noWrap w:val="0"/>
                  <w:vAlign w:val="center"/>
                </w:tcPr>
                <w:p w14:paraId="0776FDD3">
                  <w:pPr>
                    <w:pStyle w:val="56"/>
                    <w:bidi w:val="0"/>
                    <w:rPr>
                      <w:color w:val="000000" w:themeColor="text1"/>
                      <w:highlight w:val="none"/>
                      <w14:textFill>
                        <w14:solidFill>
                          <w14:schemeClr w14:val="tx1"/>
                        </w14:solidFill>
                      </w14:textFill>
                    </w:rPr>
                  </w:pPr>
                </w:p>
              </w:tc>
              <w:tc>
                <w:tcPr>
                  <w:tcW w:w="1066" w:type="pct"/>
                  <w:tcBorders>
                    <w:tl2br w:val="nil"/>
                    <w:tr2bl w:val="nil"/>
                  </w:tcBorders>
                  <w:noWrap w:val="0"/>
                  <w:vAlign w:val="center"/>
                </w:tcPr>
                <w:p w14:paraId="3A1CA237">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灰分（Aad）</w:t>
                  </w:r>
                </w:p>
              </w:tc>
              <w:tc>
                <w:tcPr>
                  <w:tcW w:w="846" w:type="pct"/>
                  <w:tcBorders>
                    <w:tl2br w:val="nil"/>
                    <w:tr2bl w:val="nil"/>
                  </w:tcBorders>
                  <w:noWrap w:val="0"/>
                  <w:vAlign w:val="center"/>
                </w:tcPr>
                <w:p w14:paraId="4C1E64B7">
                  <w:pPr>
                    <w:pStyle w:val="56"/>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p>
              </w:tc>
              <w:tc>
                <w:tcPr>
                  <w:tcW w:w="921" w:type="pct"/>
                  <w:tcBorders>
                    <w:tl2br w:val="nil"/>
                    <w:tr2bl w:val="nil"/>
                  </w:tcBorders>
                  <w:noWrap w:val="0"/>
                  <w:vAlign w:val="center"/>
                </w:tcPr>
                <w:p w14:paraId="7642E3E0">
                  <w:pPr>
                    <w:pStyle w:val="56"/>
                    <w:bidi w:val="0"/>
                    <w:rPr>
                      <w:rFonts w:hint="default"/>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1.5</w:t>
                  </w:r>
                </w:p>
              </w:tc>
              <w:tc>
                <w:tcPr>
                  <w:tcW w:w="836" w:type="pct"/>
                  <w:tcBorders>
                    <w:tl2br w:val="nil"/>
                    <w:tr2bl w:val="nil"/>
                  </w:tcBorders>
                  <w:noWrap w:val="0"/>
                  <w:vAlign w:val="center"/>
                </w:tcPr>
                <w:p w14:paraId="4D9F4A0E">
                  <w:pPr>
                    <w:pStyle w:val="56"/>
                    <w:bidi w:val="0"/>
                    <w:rPr>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3</w:t>
                  </w:r>
                </w:p>
              </w:tc>
              <w:tc>
                <w:tcPr>
                  <w:tcW w:w="730" w:type="pct"/>
                  <w:tcBorders>
                    <w:tl2br w:val="nil"/>
                    <w:tr2bl w:val="nil"/>
                  </w:tcBorders>
                  <w:noWrap w:val="0"/>
                  <w:vAlign w:val="center"/>
                </w:tcPr>
                <w:p w14:paraId="0F148D29">
                  <w:pPr>
                    <w:pStyle w:val="56"/>
                    <w:bidi w:val="0"/>
                    <w:rPr>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6</w:t>
                  </w:r>
                </w:p>
              </w:tc>
            </w:tr>
            <w:tr w14:paraId="4597D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8" w:type="pct"/>
                  <w:vMerge w:val="continue"/>
                  <w:tcBorders>
                    <w:tl2br w:val="nil"/>
                    <w:tr2bl w:val="nil"/>
                  </w:tcBorders>
                  <w:noWrap w:val="0"/>
                  <w:vAlign w:val="center"/>
                </w:tcPr>
                <w:p w14:paraId="1C7E7888">
                  <w:pPr>
                    <w:pStyle w:val="56"/>
                    <w:bidi w:val="0"/>
                    <w:rPr>
                      <w:color w:val="000000" w:themeColor="text1"/>
                      <w:highlight w:val="none"/>
                      <w14:textFill>
                        <w14:solidFill>
                          <w14:schemeClr w14:val="tx1"/>
                        </w14:solidFill>
                      </w14:textFill>
                    </w:rPr>
                  </w:pPr>
                </w:p>
              </w:tc>
              <w:tc>
                <w:tcPr>
                  <w:tcW w:w="1066" w:type="pct"/>
                  <w:tcBorders>
                    <w:tl2br w:val="nil"/>
                    <w:tr2bl w:val="nil"/>
                  </w:tcBorders>
                  <w:noWrap w:val="0"/>
                  <w:vAlign w:val="center"/>
                </w:tcPr>
                <w:p w14:paraId="0C56A9FE">
                  <w:pPr>
                    <w:pStyle w:val="56"/>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堆积密度</w:t>
                  </w:r>
                </w:p>
              </w:tc>
              <w:tc>
                <w:tcPr>
                  <w:tcW w:w="846" w:type="pct"/>
                  <w:tcBorders>
                    <w:tl2br w:val="nil"/>
                    <w:tr2bl w:val="nil"/>
                  </w:tcBorders>
                  <w:noWrap w:val="0"/>
                  <w:vAlign w:val="center"/>
                </w:tcPr>
                <w:p w14:paraId="70BB3914">
                  <w:pPr>
                    <w:pStyle w:val="56"/>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640.9kg/m</w:t>
                  </w:r>
                  <w:r>
                    <w:rPr>
                      <w:rFonts w:hint="eastAsia"/>
                      <w:color w:val="000000" w:themeColor="text1"/>
                      <w:highlight w:val="none"/>
                      <w:vertAlign w:val="superscript"/>
                      <w:lang w:val="en-US" w:eastAsia="zh-CN"/>
                      <w14:textFill>
                        <w14:solidFill>
                          <w14:schemeClr w14:val="tx1"/>
                        </w14:solidFill>
                      </w14:textFill>
                    </w:rPr>
                    <w:t>3</w:t>
                  </w:r>
                </w:p>
              </w:tc>
              <w:tc>
                <w:tcPr>
                  <w:tcW w:w="921" w:type="pct"/>
                  <w:tcBorders>
                    <w:tl2br w:val="nil"/>
                    <w:tr2bl w:val="nil"/>
                  </w:tcBorders>
                  <w:noWrap w:val="0"/>
                  <w:vAlign w:val="center"/>
                </w:tcPr>
                <w:p w14:paraId="5DE2A577">
                  <w:pPr>
                    <w:pStyle w:val="56"/>
                    <w:bidi w:val="0"/>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≥600</w:t>
                  </w:r>
                </w:p>
              </w:tc>
              <w:tc>
                <w:tcPr>
                  <w:tcW w:w="836" w:type="pct"/>
                  <w:tcBorders>
                    <w:tl2br w:val="nil"/>
                    <w:tr2bl w:val="nil"/>
                  </w:tcBorders>
                  <w:noWrap w:val="0"/>
                  <w:vAlign w:val="center"/>
                </w:tcPr>
                <w:p w14:paraId="000989A3">
                  <w:pPr>
                    <w:pStyle w:val="56"/>
                    <w:bidi w:val="0"/>
                    <w:rPr>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00</w:t>
                  </w:r>
                </w:p>
              </w:tc>
              <w:tc>
                <w:tcPr>
                  <w:tcW w:w="730" w:type="pct"/>
                  <w:tcBorders>
                    <w:tl2br w:val="nil"/>
                    <w:tr2bl w:val="nil"/>
                  </w:tcBorders>
                  <w:noWrap w:val="0"/>
                  <w:vAlign w:val="center"/>
                </w:tcPr>
                <w:p w14:paraId="625E7358">
                  <w:pPr>
                    <w:pStyle w:val="56"/>
                    <w:bidi w:val="0"/>
                    <w:rPr>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00</w:t>
                  </w:r>
                </w:p>
              </w:tc>
            </w:tr>
            <w:tr w14:paraId="6C4E8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8" w:type="pct"/>
                  <w:vMerge w:val="continue"/>
                  <w:tcBorders>
                    <w:tl2br w:val="nil"/>
                    <w:tr2bl w:val="nil"/>
                  </w:tcBorders>
                  <w:noWrap w:val="0"/>
                  <w:vAlign w:val="center"/>
                </w:tcPr>
                <w:p w14:paraId="1711F233">
                  <w:pPr>
                    <w:pStyle w:val="56"/>
                    <w:bidi w:val="0"/>
                    <w:rPr>
                      <w:color w:val="000000" w:themeColor="text1"/>
                      <w:highlight w:val="none"/>
                      <w14:textFill>
                        <w14:solidFill>
                          <w14:schemeClr w14:val="tx1"/>
                        </w14:solidFill>
                      </w14:textFill>
                    </w:rPr>
                  </w:pPr>
                </w:p>
              </w:tc>
              <w:tc>
                <w:tcPr>
                  <w:tcW w:w="1066" w:type="pct"/>
                  <w:tcBorders>
                    <w:tl2br w:val="nil"/>
                    <w:tr2bl w:val="nil"/>
                  </w:tcBorders>
                  <w:noWrap w:val="0"/>
                  <w:vAlign w:val="center"/>
                </w:tcPr>
                <w:p w14:paraId="0F4A1B04">
                  <w:pPr>
                    <w:pStyle w:val="56"/>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氮（N，干燥基）</w:t>
                  </w:r>
                </w:p>
              </w:tc>
              <w:tc>
                <w:tcPr>
                  <w:tcW w:w="846" w:type="pct"/>
                  <w:tcBorders>
                    <w:tl2br w:val="nil"/>
                    <w:tr2bl w:val="nil"/>
                  </w:tcBorders>
                  <w:noWrap w:val="0"/>
                  <w:vAlign w:val="center"/>
                </w:tcPr>
                <w:p w14:paraId="69B06565">
                  <w:pPr>
                    <w:pStyle w:val="56"/>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0.12%</w:t>
                  </w:r>
                </w:p>
              </w:tc>
              <w:tc>
                <w:tcPr>
                  <w:tcW w:w="921" w:type="pct"/>
                  <w:tcBorders>
                    <w:tl2br w:val="nil"/>
                    <w:tr2bl w:val="nil"/>
                  </w:tcBorders>
                  <w:noWrap w:val="0"/>
                  <w:vAlign w:val="center"/>
                </w:tcPr>
                <w:p w14:paraId="3FF811D5">
                  <w:pPr>
                    <w:pStyle w:val="56"/>
                    <w:bidi w:val="0"/>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0.3</w:t>
                  </w:r>
                </w:p>
              </w:tc>
              <w:tc>
                <w:tcPr>
                  <w:tcW w:w="836" w:type="pct"/>
                  <w:tcBorders>
                    <w:tl2br w:val="nil"/>
                    <w:tr2bl w:val="nil"/>
                  </w:tcBorders>
                  <w:noWrap w:val="0"/>
                  <w:vAlign w:val="center"/>
                </w:tcPr>
                <w:p w14:paraId="3B2AF3C0">
                  <w:pPr>
                    <w:pStyle w:val="56"/>
                    <w:bidi w:val="0"/>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0.5</w:t>
                  </w:r>
                </w:p>
              </w:tc>
              <w:tc>
                <w:tcPr>
                  <w:tcW w:w="730" w:type="pct"/>
                  <w:tcBorders>
                    <w:tl2br w:val="nil"/>
                    <w:tr2bl w:val="nil"/>
                  </w:tcBorders>
                  <w:noWrap w:val="0"/>
                  <w:vAlign w:val="center"/>
                </w:tcPr>
                <w:p w14:paraId="15E8B1CB">
                  <w:pPr>
                    <w:pStyle w:val="56"/>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1.0</w:t>
                  </w:r>
                </w:p>
              </w:tc>
            </w:tr>
            <w:tr w14:paraId="05C8D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8" w:type="pct"/>
                  <w:vMerge w:val="continue"/>
                  <w:tcBorders>
                    <w:tl2br w:val="nil"/>
                    <w:tr2bl w:val="nil"/>
                  </w:tcBorders>
                  <w:noWrap w:val="0"/>
                  <w:vAlign w:val="center"/>
                </w:tcPr>
                <w:p w14:paraId="21CD7D22">
                  <w:pPr>
                    <w:pStyle w:val="56"/>
                    <w:bidi w:val="0"/>
                    <w:rPr>
                      <w:color w:val="000000" w:themeColor="text1"/>
                      <w:highlight w:val="none"/>
                      <w14:textFill>
                        <w14:solidFill>
                          <w14:schemeClr w14:val="tx1"/>
                        </w14:solidFill>
                      </w14:textFill>
                    </w:rPr>
                  </w:pPr>
                </w:p>
              </w:tc>
              <w:tc>
                <w:tcPr>
                  <w:tcW w:w="1066" w:type="pct"/>
                  <w:tcBorders>
                    <w:tl2br w:val="nil"/>
                    <w:tr2bl w:val="nil"/>
                  </w:tcBorders>
                  <w:shd w:val="clear" w:color="auto" w:fill="auto"/>
                  <w:noWrap w:val="0"/>
                  <w:vAlign w:val="center"/>
                </w:tcPr>
                <w:p w14:paraId="314499B8">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硫（S，干燥基）</w:t>
                  </w:r>
                </w:p>
              </w:tc>
              <w:tc>
                <w:tcPr>
                  <w:tcW w:w="846" w:type="pct"/>
                  <w:tcBorders>
                    <w:tl2br w:val="nil"/>
                    <w:tr2bl w:val="nil"/>
                  </w:tcBorders>
                  <w:shd w:val="clear" w:color="auto" w:fill="auto"/>
                  <w:noWrap w:val="0"/>
                  <w:vAlign w:val="center"/>
                </w:tcPr>
                <w:p w14:paraId="08F7EF12">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0.02%</w:t>
                  </w:r>
                </w:p>
              </w:tc>
              <w:tc>
                <w:tcPr>
                  <w:tcW w:w="921" w:type="pct"/>
                  <w:tcBorders>
                    <w:tl2br w:val="nil"/>
                    <w:tr2bl w:val="nil"/>
                  </w:tcBorders>
                  <w:noWrap w:val="0"/>
                  <w:vAlign w:val="center"/>
                </w:tcPr>
                <w:p w14:paraId="6AC9DCB1">
                  <w:pPr>
                    <w:pStyle w:val="56"/>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0.05</w:t>
                  </w:r>
                </w:p>
              </w:tc>
              <w:tc>
                <w:tcPr>
                  <w:tcW w:w="836" w:type="pct"/>
                  <w:tcBorders>
                    <w:tl2br w:val="nil"/>
                    <w:tr2bl w:val="nil"/>
                  </w:tcBorders>
                  <w:noWrap w:val="0"/>
                  <w:vAlign w:val="center"/>
                </w:tcPr>
                <w:p w14:paraId="57381269">
                  <w:pPr>
                    <w:pStyle w:val="56"/>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0.08</w:t>
                  </w:r>
                </w:p>
              </w:tc>
              <w:tc>
                <w:tcPr>
                  <w:tcW w:w="730" w:type="pct"/>
                  <w:tcBorders>
                    <w:tl2br w:val="nil"/>
                    <w:tr2bl w:val="nil"/>
                  </w:tcBorders>
                  <w:noWrap w:val="0"/>
                  <w:vAlign w:val="center"/>
                </w:tcPr>
                <w:p w14:paraId="59A416CD">
                  <w:pPr>
                    <w:pStyle w:val="56"/>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0.1</w:t>
                  </w:r>
                </w:p>
              </w:tc>
            </w:tr>
            <w:tr w14:paraId="2AD29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8" w:type="pct"/>
                  <w:vMerge w:val="continue"/>
                  <w:tcBorders>
                    <w:tl2br w:val="nil"/>
                    <w:tr2bl w:val="nil"/>
                  </w:tcBorders>
                  <w:noWrap w:val="0"/>
                  <w:vAlign w:val="center"/>
                </w:tcPr>
                <w:p w14:paraId="5D6F109E">
                  <w:pPr>
                    <w:pStyle w:val="56"/>
                    <w:bidi w:val="0"/>
                    <w:rPr>
                      <w:color w:val="000000" w:themeColor="text1"/>
                      <w:highlight w:val="none"/>
                      <w14:textFill>
                        <w14:solidFill>
                          <w14:schemeClr w14:val="tx1"/>
                        </w14:solidFill>
                      </w14:textFill>
                    </w:rPr>
                  </w:pPr>
                </w:p>
              </w:tc>
              <w:tc>
                <w:tcPr>
                  <w:tcW w:w="1066" w:type="pct"/>
                  <w:tcBorders>
                    <w:tl2br w:val="nil"/>
                    <w:tr2bl w:val="nil"/>
                  </w:tcBorders>
                  <w:shd w:val="clear" w:color="auto" w:fill="auto"/>
                  <w:noWrap w:val="0"/>
                  <w:vAlign w:val="center"/>
                </w:tcPr>
                <w:p w14:paraId="09CCBF3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氯（Cl，干燥基）</w:t>
                  </w:r>
                </w:p>
              </w:tc>
              <w:tc>
                <w:tcPr>
                  <w:tcW w:w="846" w:type="pct"/>
                  <w:tcBorders>
                    <w:tl2br w:val="nil"/>
                    <w:tr2bl w:val="nil"/>
                  </w:tcBorders>
                  <w:shd w:val="clear" w:color="auto" w:fill="auto"/>
                  <w:noWrap w:val="0"/>
                  <w:vAlign w:val="center"/>
                </w:tcPr>
                <w:p w14:paraId="759557B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0.012%</w:t>
                  </w:r>
                </w:p>
              </w:tc>
              <w:tc>
                <w:tcPr>
                  <w:tcW w:w="921" w:type="pct"/>
                  <w:tcBorders>
                    <w:tl2br w:val="nil"/>
                    <w:tr2bl w:val="nil"/>
                  </w:tcBorders>
                  <w:noWrap w:val="0"/>
                  <w:vAlign w:val="center"/>
                </w:tcPr>
                <w:p w14:paraId="1DE0B3FF">
                  <w:pPr>
                    <w:pStyle w:val="56"/>
                    <w:bidi w:val="0"/>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0.03</w:t>
                  </w:r>
                </w:p>
              </w:tc>
              <w:tc>
                <w:tcPr>
                  <w:tcW w:w="836" w:type="pct"/>
                  <w:tcBorders>
                    <w:tl2br w:val="nil"/>
                    <w:tr2bl w:val="nil"/>
                  </w:tcBorders>
                  <w:noWrap w:val="0"/>
                  <w:vAlign w:val="center"/>
                </w:tcPr>
                <w:p w14:paraId="5D32F370">
                  <w:pPr>
                    <w:pStyle w:val="56"/>
                    <w:bidi w:val="0"/>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0.03</w:t>
                  </w:r>
                </w:p>
              </w:tc>
              <w:tc>
                <w:tcPr>
                  <w:tcW w:w="730" w:type="pct"/>
                  <w:tcBorders>
                    <w:tl2br w:val="nil"/>
                    <w:tr2bl w:val="nil"/>
                  </w:tcBorders>
                  <w:noWrap w:val="0"/>
                  <w:vAlign w:val="center"/>
                </w:tcPr>
                <w:p w14:paraId="2457AD14">
                  <w:pPr>
                    <w:pStyle w:val="56"/>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0.03</w:t>
                  </w:r>
                </w:p>
              </w:tc>
            </w:tr>
            <w:tr w14:paraId="277A1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98" w:type="pct"/>
                  <w:vMerge w:val="continue"/>
                  <w:tcBorders>
                    <w:tl2br w:val="nil"/>
                    <w:tr2bl w:val="nil"/>
                  </w:tcBorders>
                  <w:noWrap w:val="0"/>
                  <w:vAlign w:val="center"/>
                </w:tcPr>
                <w:p w14:paraId="1B133B7D">
                  <w:pPr>
                    <w:pStyle w:val="56"/>
                    <w:bidi w:val="0"/>
                    <w:rPr>
                      <w:color w:val="000000" w:themeColor="text1"/>
                      <w:highlight w:val="none"/>
                      <w14:textFill>
                        <w14:solidFill>
                          <w14:schemeClr w14:val="tx1"/>
                        </w14:solidFill>
                      </w14:textFill>
                    </w:rPr>
                  </w:pPr>
                </w:p>
              </w:tc>
              <w:tc>
                <w:tcPr>
                  <w:tcW w:w="1066" w:type="pct"/>
                  <w:tcBorders>
                    <w:tl2br w:val="nil"/>
                    <w:tr2bl w:val="nil"/>
                  </w:tcBorders>
                  <w:shd w:val="clear" w:color="auto" w:fill="auto"/>
                  <w:noWrap w:val="0"/>
                  <w:vAlign w:val="center"/>
                </w:tcPr>
                <w:p w14:paraId="4DDA3E92">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收到基低位发热量（Qnet,ar）</w:t>
                  </w:r>
                </w:p>
              </w:tc>
              <w:tc>
                <w:tcPr>
                  <w:tcW w:w="846" w:type="pct"/>
                  <w:tcBorders>
                    <w:tl2br w:val="nil"/>
                    <w:tr2bl w:val="nil"/>
                  </w:tcBorders>
                  <w:shd w:val="clear" w:color="auto" w:fill="auto"/>
                  <w:noWrap w:val="0"/>
                  <w:vAlign w:val="center"/>
                </w:tcPr>
                <w:p w14:paraId="73F69E6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15.78MJ/kg</w:t>
                  </w:r>
                </w:p>
              </w:tc>
              <w:tc>
                <w:tcPr>
                  <w:tcW w:w="921" w:type="pct"/>
                  <w:tcBorders>
                    <w:tl2br w:val="nil"/>
                    <w:tr2bl w:val="nil"/>
                  </w:tcBorders>
                  <w:noWrap w:val="0"/>
                  <w:vAlign w:val="center"/>
                </w:tcPr>
                <w:p w14:paraId="3E1A1B1D">
                  <w:pPr>
                    <w:pStyle w:val="56"/>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16.9</w:t>
                  </w:r>
                </w:p>
              </w:tc>
              <w:tc>
                <w:tcPr>
                  <w:tcW w:w="836" w:type="pct"/>
                  <w:tcBorders>
                    <w:tl2br w:val="nil"/>
                    <w:tr2bl w:val="nil"/>
                  </w:tcBorders>
                  <w:noWrap w:val="0"/>
                  <w:vAlign w:val="center"/>
                </w:tcPr>
                <w:p w14:paraId="283206E1">
                  <w:pPr>
                    <w:pStyle w:val="56"/>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15.9</w:t>
                  </w:r>
                </w:p>
              </w:tc>
              <w:tc>
                <w:tcPr>
                  <w:tcW w:w="730" w:type="pct"/>
                  <w:tcBorders>
                    <w:tl2br w:val="nil"/>
                    <w:tr2bl w:val="nil"/>
                  </w:tcBorders>
                  <w:noWrap w:val="0"/>
                  <w:vAlign w:val="center"/>
                </w:tcPr>
                <w:p w14:paraId="0E7D7668">
                  <w:pPr>
                    <w:pStyle w:val="56"/>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14.6</w:t>
                  </w:r>
                </w:p>
              </w:tc>
            </w:tr>
          </w:tbl>
          <w:p w14:paraId="3D598BB9">
            <w:pPr>
              <w:pStyle w:val="50"/>
              <w:numPr>
                <w:ilvl w:val="0"/>
                <w:numId w:val="0"/>
              </w:numPr>
              <w:bidi w:val="0"/>
              <w:ind w:firstLine="480" w:firstLineChars="200"/>
              <w:rPr>
                <w:rFonts w:hint="default" w:ascii="Times New Roman" w:hAnsi="Times New Roman" w:eastAsia="宋体"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本项目采用的生物质成型燃料</w:t>
            </w:r>
            <w:r>
              <w:rPr>
                <w:rFonts w:hint="eastAsia" w:cs="Times New Roman"/>
                <w:color w:val="000000" w:themeColor="text1"/>
                <w:highlight w:val="none"/>
                <w:lang w:val="en-US" w:eastAsia="zh-CN"/>
                <w14:textFill>
                  <w14:solidFill>
                    <w14:schemeClr w14:val="tx1"/>
                  </w14:solidFill>
                </w14:textFill>
              </w:rPr>
              <w:t>属于林业生物质成型燃料，</w:t>
            </w:r>
            <w:r>
              <w:rPr>
                <w:rFonts w:hint="default" w:ascii="Times New Roman" w:hAnsi="Times New Roman" w:cs="Times New Roman"/>
                <w:color w:val="000000" w:themeColor="text1"/>
                <w:highlight w:val="none"/>
                <w:lang w:val="en-US" w:eastAsia="zh-CN"/>
                <w14:textFill>
                  <w14:solidFill>
                    <w14:schemeClr w14:val="tx1"/>
                  </w14:solidFill>
                </w14:textFill>
              </w:rPr>
              <w:t>满足</w:t>
            </w:r>
            <w:r>
              <w:rPr>
                <w:rFonts w:hint="default" w:ascii="Times New Roman" w:hAnsi="Times New Roman" w:eastAsia="Segoe UI" w:cs="Times New Roman"/>
                <w:i w:val="0"/>
                <w:iCs w:val="0"/>
                <w:caps w:val="0"/>
                <w:color w:val="000000" w:themeColor="text1"/>
                <w:spacing w:val="0"/>
                <w:sz w:val="24"/>
                <w:szCs w:val="24"/>
                <w:highlight w:val="none"/>
                <w:shd w:val="clear" w:fill="FFFFFF"/>
                <w14:textFill>
                  <w14:solidFill>
                    <w14:schemeClr w14:val="tx1"/>
                  </w14:solidFill>
                </w14:textFill>
              </w:rPr>
              <w:t>《生物质成型燃料质量</w:t>
            </w:r>
            <w:r>
              <w:rPr>
                <w:rFonts w:hint="eastAsia" w:eastAsia="宋体"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要求及</w:t>
            </w:r>
            <w:r>
              <w:rPr>
                <w:rFonts w:hint="default" w:ascii="Times New Roman" w:hAnsi="Times New Roman" w:eastAsia="Segoe UI" w:cs="Times New Roman"/>
                <w:i w:val="0"/>
                <w:iCs w:val="0"/>
                <w:caps w:val="0"/>
                <w:color w:val="000000" w:themeColor="text1"/>
                <w:spacing w:val="0"/>
                <w:sz w:val="24"/>
                <w:szCs w:val="24"/>
                <w:highlight w:val="none"/>
                <w:shd w:val="clear" w:fill="FFFFFF"/>
                <w14:textFill>
                  <w14:solidFill>
                    <w14:schemeClr w14:val="tx1"/>
                  </w14:solidFill>
                </w14:textFill>
              </w:rPr>
              <w:t>分级》</w:t>
            </w:r>
            <w:r>
              <w:rPr>
                <w:rFonts w:hint="default" w:ascii="Times New Roman" w:hAnsi="Times New Roman" w:eastAsia="宋体" w:cs="Times New Roman"/>
                <w:i w:val="0"/>
                <w:iCs w:val="0"/>
                <w:caps w:val="0"/>
                <w:color w:val="000000" w:themeColor="text1"/>
                <w:spacing w:val="0"/>
                <w:sz w:val="24"/>
                <w:szCs w:val="24"/>
                <w:highlight w:val="none"/>
                <w:shd w:val="clear" w:fill="FFFFFF"/>
                <w:lang w:eastAsia="zh-CN"/>
                <w14:textFill>
                  <w14:solidFill>
                    <w14:schemeClr w14:val="tx1"/>
                  </w14:solidFill>
                </w14:textFill>
              </w:rPr>
              <w:t>（NB/T34024</w:t>
            </w:r>
            <w:r>
              <w:rPr>
                <w:rFonts w:hint="eastAsia" w:ascii="Times New Roman" w:hAnsi="Times New Roman" w:eastAsia="宋体"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highlight w:val="none"/>
                <w:shd w:val="clear" w:fill="FFFFFF"/>
                <w:lang w:eastAsia="zh-CN"/>
                <w14:textFill>
                  <w14:solidFill>
                    <w14:schemeClr w14:val="tx1"/>
                  </w14:solidFill>
                </w14:textFill>
              </w:rPr>
              <w:t>2015）</w:t>
            </w:r>
            <w:r>
              <w:rPr>
                <w:rFonts w:hint="eastAsia"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3级质量</w:t>
            </w:r>
            <w:r>
              <w:rPr>
                <w:rFonts w:hint="default" w:ascii="Times New Roman" w:hAnsi="Times New Roman" w:eastAsia="宋体" w:cs="Times New Roman"/>
                <w:i w:val="0"/>
                <w:iCs w:val="0"/>
                <w:caps w:val="0"/>
                <w:color w:val="000000" w:themeColor="text1"/>
                <w:spacing w:val="0"/>
                <w:sz w:val="24"/>
                <w:szCs w:val="24"/>
                <w:highlight w:val="none"/>
                <w:shd w:val="clear" w:fill="FFFFFF"/>
                <w:lang w:val="en-US" w:eastAsia="zh-CN"/>
                <w14:textFill>
                  <w14:solidFill>
                    <w14:schemeClr w14:val="tx1"/>
                  </w14:solidFill>
                </w14:textFill>
              </w:rPr>
              <w:t>要求。</w:t>
            </w:r>
          </w:p>
          <w:p w14:paraId="27D8EB14">
            <w:pPr>
              <w:pStyle w:val="50"/>
              <w:pageBreakBefore w:val="0"/>
              <w:widowControl w:val="0"/>
              <w:kinsoku/>
              <w:wordWrap/>
              <w:overflowPunct/>
              <w:topLinePunct w:val="0"/>
              <w:autoSpaceDE/>
              <w:autoSpaceDN/>
              <w:bidi w:val="0"/>
              <w:spacing w:line="460" w:lineRule="exact"/>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生物质用量核算：</w:t>
            </w:r>
          </w:p>
          <w:p w14:paraId="5837CAD9">
            <w:pPr>
              <w:pStyle w:val="50"/>
              <w:pageBreakBefore w:val="0"/>
              <w:widowControl w:val="0"/>
              <w:kinsoku/>
              <w:wordWrap/>
              <w:overflowPunct/>
              <w:topLinePunct w:val="0"/>
              <w:autoSpaceDE/>
              <w:autoSpaceDN/>
              <w:bidi w:val="0"/>
              <w:spacing w:line="4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生物质燃料蒸汽发生器燃料来源通过以生物质成型燃料供给，全厂热负荷为</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t/h（1.25MPa），年蒸汽产量：</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t/h*</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00h=</w:t>
            </w:r>
            <w:r>
              <w:rPr>
                <w:rFonts w:hint="eastAsia"/>
                <w:color w:val="000000" w:themeColor="text1"/>
                <w:highlight w:val="none"/>
                <w:lang w:val="en-US" w:eastAsia="zh-CN"/>
                <w14:textFill>
                  <w14:solidFill>
                    <w14:schemeClr w14:val="tx1"/>
                  </w14:solidFill>
                </w14:textFill>
              </w:rPr>
              <w:t>6000t/a</w:t>
            </w:r>
            <w:r>
              <w:rPr>
                <w:rFonts w:hint="eastAsia"/>
                <w:color w:val="000000" w:themeColor="text1"/>
                <w:highlight w:val="none"/>
                <w14:textFill>
                  <w14:solidFill>
                    <w14:schemeClr w14:val="tx1"/>
                  </w14:solidFill>
                </w14:textFill>
              </w:rPr>
              <w:t>，饱和蒸汽焓hg=2769kJ/kg(fromsteamtables)，给水假设20°C，hf=84kJ/kg</w:t>
            </w:r>
          </w:p>
          <w:p w14:paraId="1B04317E">
            <w:pPr>
              <w:pStyle w:val="50"/>
              <w:pageBreakBefore w:val="0"/>
              <w:widowControl w:val="0"/>
              <w:kinsoku/>
              <w:wordWrap/>
              <w:overflowPunct/>
              <w:topLinePunct w:val="0"/>
              <w:autoSpaceDE/>
              <w:autoSpaceDN/>
              <w:bidi w:val="0"/>
              <w:spacing w:line="4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所以，热增加perkg蒸汽=2769-84=2685kJ/kg</w:t>
            </w:r>
          </w:p>
          <w:p w14:paraId="40F0DC99">
            <w:pPr>
              <w:pStyle w:val="50"/>
              <w:pageBreakBefore w:val="0"/>
              <w:widowControl w:val="0"/>
              <w:kinsoku/>
              <w:wordWrap/>
              <w:overflowPunct/>
              <w:topLinePunct w:val="0"/>
              <w:autoSpaceDE/>
              <w:autoSpaceDN/>
              <w:bidi w:val="0"/>
              <w:spacing w:line="4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锅炉效率η=85.25%=0.8525</w:t>
            </w:r>
          </w:p>
          <w:p w14:paraId="3DDA324E">
            <w:pPr>
              <w:pStyle w:val="50"/>
              <w:pageBreakBefore w:val="0"/>
              <w:widowControl w:val="0"/>
              <w:kinsoku/>
              <w:wordWrap/>
              <w:overflowPunct/>
              <w:topLinePunct w:val="0"/>
              <w:autoSpaceDE/>
              <w:autoSpaceDN/>
              <w:bidi w:val="0"/>
              <w:spacing w:line="4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燃料发热量Qnet,ar=</w:t>
            </w:r>
            <w:r>
              <w:rPr>
                <w:rFonts w:hint="eastAsia"/>
                <w:color w:val="000000" w:themeColor="text1"/>
                <w:highlight w:val="none"/>
                <w:lang w:val="en-US" w:eastAsia="zh-CN"/>
                <w14:textFill>
                  <w14:solidFill>
                    <w14:schemeClr w14:val="tx1"/>
                  </w14:solidFill>
                </w14:textFill>
              </w:rPr>
              <w:t>15.78</w:t>
            </w:r>
            <w:r>
              <w:rPr>
                <w:rFonts w:hint="eastAsia"/>
                <w:color w:val="000000" w:themeColor="text1"/>
                <w:highlight w:val="none"/>
                <w14:textFill>
                  <w14:solidFill>
                    <w14:schemeClr w14:val="tx1"/>
                  </w14:solidFill>
                </w14:textFill>
              </w:rPr>
              <w:t>MJ/kg=</w:t>
            </w:r>
            <w:r>
              <w:rPr>
                <w:rFonts w:hint="eastAsia"/>
                <w:color w:val="000000" w:themeColor="text1"/>
                <w:highlight w:val="none"/>
                <w:lang w:val="en-US" w:eastAsia="zh-CN"/>
                <w14:textFill>
                  <w14:solidFill>
                    <w14:schemeClr w14:val="tx1"/>
                  </w14:solidFill>
                </w14:textFill>
              </w:rPr>
              <w:t>15780</w:t>
            </w:r>
            <w:r>
              <w:rPr>
                <w:rFonts w:hint="eastAsia"/>
                <w:color w:val="000000" w:themeColor="text1"/>
                <w:highlight w:val="none"/>
                <w14:textFill>
                  <w14:solidFill>
                    <w14:schemeClr w14:val="tx1"/>
                  </w14:solidFill>
                </w14:textFill>
              </w:rPr>
              <w:t>kJ/kg</w:t>
            </w:r>
          </w:p>
          <w:p w14:paraId="483ADF54">
            <w:pPr>
              <w:pStyle w:val="50"/>
              <w:pageBreakBefore w:val="0"/>
              <w:widowControl w:val="0"/>
              <w:kinsoku/>
              <w:wordWrap/>
              <w:overflowPunct/>
              <w:topLinePunct w:val="0"/>
              <w:autoSpaceDE/>
              <w:autoSpaceDN/>
              <w:bidi w:val="0"/>
              <w:spacing w:line="4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锅炉输出热=蒸汽产量*Δh</w:t>
            </w:r>
          </w:p>
          <w:p w14:paraId="0D1ED162">
            <w:pPr>
              <w:pStyle w:val="50"/>
              <w:pageBreakBefore w:val="0"/>
              <w:widowControl w:val="0"/>
              <w:kinsoku/>
              <w:wordWrap/>
              <w:overflowPunct/>
              <w:topLinePunct w:val="0"/>
              <w:autoSpaceDE/>
              <w:autoSpaceDN/>
              <w:bidi w:val="0"/>
              <w:spacing w:line="4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输出热=</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00kg/h*2685kJ/kg=6712500kJ/h</w:t>
            </w:r>
          </w:p>
          <w:p w14:paraId="19FDF447">
            <w:pPr>
              <w:pStyle w:val="50"/>
              <w:pageBreakBefore w:val="0"/>
              <w:widowControl w:val="0"/>
              <w:kinsoku/>
              <w:wordWrap/>
              <w:overflowPunct/>
              <w:topLinePunct w:val="0"/>
              <w:autoSpaceDE/>
              <w:autoSpaceDN/>
              <w:bidi w:val="0"/>
              <w:spacing w:line="4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输入热=输出热/η=6712500/0.8525≈</w:t>
            </w:r>
            <w:r>
              <w:rPr>
                <w:rFonts w:hint="eastAsia"/>
                <w:color w:val="000000" w:themeColor="text1"/>
                <w:highlight w:val="none"/>
                <w:lang w:val="en-US" w:eastAsia="zh-CN"/>
                <w14:textFill>
                  <w14:solidFill>
                    <w14:schemeClr w14:val="tx1"/>
                  </w14:solidFill>
                </w14:textFill>
              </w:rPr>
              <w:t>7873900</w:t>
            </w:r>
            <w:r>
              <w:rPr>
                <w:rFonts w:hint="eastAsia"/>
                <w:color w:val="000000" w:themeColor="text1"/>
                <w:highlight w:val="none"/>
                <w14:textFill>
                  <w14:solidFill>
                    <w14:schemeClr w14:val="tx1"/>
                  </w14:solidFill>
                </w14:textFill>
              </w:rPr>
              <w:t>kJ/h</w:t>
            </w:r>
          </w:p>
          <w:p w14:paraId="64373D1E">
            <w:pPr>
              <w:pStyle w:val="50"/>
              <w:pageBreakBefore w:val="0"/>
              <w:widowControl w:val="0"/>
              <w:kinsoku/>
              <w:wordWrap/>
              <w:overflowPunct/>
              <w:topLinePunct w:val="0"/>
              <w:autoSpaceDE/>
              <w:autoSpaceDN/>
              <w:bidi w:val="0"/>
              <w:spacing w:line="4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燃料消耗率m_f=输入热/Qnet,ar=</w:t>
            </w:r>
            <w:r>
              <w:rPr>
                <w:rFonts w:hint="eastAsia"/>
                <w:color w:val="000000" w:themeColor="text1"/>
                <w:highlight w:val="none"/>
                <w:lang w:val="en-US" w:eastAsia="zh-CN"/>
                <w14:textFill>
                  <w14:solidFill>
                    <w14:schemeClr w14:val="tx1"/>
                  </w14:solidFill>
                </w14:textFill>
              </w:rPr>
              <w:t>7873900</w:t>
            </w:r>
            <w:r>
              <w:rPr>
                <w:rFonts w:hint="eastAsia"/>
                <w:color w:val="000000" w:themeColor="text1"/>
                <w:highlight w:val="none"/>
                <w14:textFill>
                  <w14:solidFill>
                    <w14:schemeClr w14:val="tx1"/>
                  </w14:solidFill>
                </w14:textFill>
              </w:rPr>
              <w:t>kJ/h/</w:t>
            </w:r>
            <w:r>
              <w:rPr>
                <w:rFonts w:hint="eastAsia"/>
                <w:color w:val="000000" w:themeColor="text1"/>
                <w:highlight w:val="none"/>
                <w:lang w:val="en-US" w:eastAsia="zh-CN"/>
                <w14:textFill>
                  <w14:solidFill>
                    <w14:schemeClr w14:val="tx1"/>
                  </w14:solidFill>
                </w14:textFill>
              </w:rPr>
              <w:t>15780</w:t>
            </w:r>
            <w:r>
              <w:rPr>
                <w:rFonts w:hint="eastAsia"/>
                <w:color w:val="000000" w:themeColor="text1"/>
                <w:highlight w:val="none"/>
                <w14:textFill>
                  <w14:solidFill>
                    <w14:schemeClr w14:val="tx1"/>
                  </w14:solidFill>
                </w14:textFill>
              </w:rPr>
              <w:t>kJ/kg≈</w:t>
            </w:r>
            <w:r>
              <w:rPr>
                <w:rFonts w:hint="eastAsia"/>
                <w:color w:val="000000" w:themeColor="text1"/>
                <w:highlight w:val="none"/>
                <w:lang w:val="en-US" w:eastAsia="zh-CN"/>
                <w14:textFill>
                  <w14:solidFill>
                    <w14:schemeClr w14:val="tx1"/>
                  </w14:solidFill>
                </w14:textFill>
              </w:rPr>
              <w:t>498.98</w:t>
            </w:r>
            <w:r>
              <w:rPr>
                <w:rFonts w:hint="eastAsia"/>
                <w:color w:val="000000" w:themeColor="text1"/>
                <w:highlight w:val="none"/>
                <w14:textFill>
                  <w14:solidFill>
                    <w14:schemeClr w14:val="tx1"/>
                  </w14:solidFill>
                </w14:textFill>
              </w:rPr>
              <w:t>kg/h</w:t>
            </w:r>
          </w:p>
          <w:p w14:paraId="1DB8922E">
            <w:pPr>
              <w:pStyle w:val="50"/>
              <w:pageBreakBefore w:val="0"/>
              <w:widowControl w:val="0"/>
              <w:kinsoku/>
              <w:wordWrap/>
              <w:overflowPunct/>
              <w:topLinePunct w:val="0"/>
              <w:autoSpaceDE/>
              <w:autoSpaceDN/>
              <w:bidi w:val="0"/>
              <w:spacing w:line="46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年燃料消耗=</w:t>
            </w:r>
            <w:r>
              <w:rPr>
                <w:rFonts w:hint="eastAsia"/>
                <w:color w:val="000000" w:themeColor="text1"/>
                <w:highlight w:val="none"/>
                <w:lang w:val="en-US" w:eastAsia="zh-CN"/>
                <w14:textFill>
                  <w14:solidFill>
                    <w14:schemeClr w14:val="tx1"/>
                  </w14:solidFill>
                </w14:textFill>
              </w:rPr>
              <w:t>498.98</w:t>
            </w:r>
            <w:r>
              <w:rPr>
                <w:rFonts w:hint="eastAsia"/>
                <w:color w:val="000000" w:themeColor="text1"/>
                <w:highlight w:val="none"/>
                <w14:textFill>
                  <w14:solidFill>
                    <w14:schemeClr w14:val="tx1"/>
                  </w14:solidFill>
                </w14:textFill>
              </w:rPr>
              <w:t>kg/h*</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00h=</w:t>
            </w:r>
            <w:r>
              <w:rPr>
                <w:rFonts w:hint="eastAsia"/>
                <w:color w:val="000000" w:themeColor="text1"/>
                <w:highlight w:val="none"/>
                <w:lang w:val="en-US" w:eastAsia="zh-CN"/>
                <w14:textFill>
                  <w14:solidFill>
                    <w14:schemeClr w14:val="tx1"/>
                  </w14:solidFill>
                </w14:textFill>
              </w:rPr>
              <w:t>1197552</w:t>
            </w:r>
            <w:r>
              <w:rPr>
                <w:rFonts w:hint="eastAsia"/>
                <w:color w:val="000000" w:themeColor="text1"/>
                <w:highlight w:val="none"/>
                <w14:textFill>
                  <w14:solidFill>
                    <w14:schemeClr w14:val="tx1"/>
                  </w14:solidFill>
                </w14:textFill>
              </w:rPr>
              <w:t>kg=</w:t>
            </w:r>
            <w:r>
              <w:rPr>
                <w:rFonts w:hint="eastAsia"/>
                <w:color w:val="000000" w:themeColor="text1"/>
                <w:highlight w:val="none"/>
                <w:lang w:val="en-US" w:eastAsia="zh-CN"/>
                <w14:textFill>
                  <w14:solidFill>
                    <w14:schemeClr w14:val="tx1"/>
                  </w14:solidFill>
                </w14:textFill>
              </w:rPr>
              <w:t>1197</w:t>
            </w:r>
            <w:r>
              <w:rPr>
                <w:rFonts w:hint="eastAsia"/>
                <w:color w:val="000000" w:themeColor="text1"/>
                <w:highlight w:val="none"/>
                <w14:textFill>
                  <w14:solidFill>
                    <w14:schemeClr w14:val="tx1"/>
                  </w14:solidFill>
                </w14:textFill>
              </w:rPr>
              <w:t>吨</w:t>
            </w:r>
          </w:p>
          <w:p w14:paraId="1FA256C5">
            <w:pPr>
              <w:pStyle w:val="4"/>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水平衡分析</w:t>
            </w:r>
          </w:p>
          <w:p w14:paraId="41B01137">
            <w:pPr>
              <w:pStyle w:val="50"/>
              <w:numPr>
                <w:ilvl w:val="0"/>
                <w:numId w:val="0"/>
              </w:numPr>
              <w:bidi w:val="0"/>
              <w:ind w:firstLine="482" w:firstLineChars="20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（1）给排水</w:t>
            </w:r>
          </w:p>
          <w:p w14:paraId="2BFBA0ED">
            <w:pPr>
              <w:pStyle w:val="50"/>
              <w:numPr>
                <w:ilvl w:val="0"/>
                <w:numId w:val="0"/>
              </w:numPr>
              <w:bidi w:val="0"/>
              <w:ind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项目给水均由当地自来水管网供水，实行雨污分流，建设单位租用</w:t>
            </w:r>
            <w:r>
              <w:rPr>
                <w:rFonts w:hint="eastAsia" w:cs="Times New Roman"/>
                <w:color w:val="000000" w:themeColor="text1"/>
                <w:highlight w:val="none"/>
                <w:lang w:val="en-US" w:eastAsia="zh-CN"/>
                <w14:textFill>
                  <w14:solidFill>
                    <w14:schemeClr w14:val="tx1"/>
                  </w14:solidFill>
                </w14:textFill>
              </w:rPr>
              <w:t>已建厂</w:t>
            </w:r>
            <w:r>
              <w:rPr>
                <w:rFonts w:hint="eastAsia" w:ascii="Times New Roman" w:hAnsi="Times New Roman" w:cs="Times New Roman"/>
                <w:color w:val="000000" w:themeColor="text1"/>
                <w:highlight w:val="none"/>
                <w:lang w:val="en-US" w:eastAsia="zh-CN"/>
                <w14:textFill>
                  <w14:solidFill>
                    <w14:schemeClr w14:val="tx1"/>
                  </w14:solidFill>
                </w14:textFill>
              </w:rPr>
              <w:t>房建设本项目。本项目用水主要为生活用水</w:t>
            </w:r>
            <w:r>
              <w:rPr>
                <w:rFonts w:hint="eastAsia" w:cs="Times New Roman"/>
                <w:color w:val="000000" w:themeColor="text1"/>
                <w:highlight w:val="none"/>
                <w:lang w:val="en-US" w:eastAsia="zh-CN"/>
                <w14:textFill>
                  <w14:solidFill>
                    <w14:schemeClr w14:val="tx1"/>
                  </w14:solidFill>
                </w14:textFill>
              </w:rPr>
              <w:t>及生产用水</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149D4E13">
            <w:pPr>
              <w:pStyle w:val="50"/>
              <w:numPr>
                <w:ilvl w:val="0"/>
                <w:numId w:val="0"/>
              </w:numPr>
              <w:bidi w:val="0"/>
              <w:ind w:firstLine="482" w:firstLineChars="20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①生活用水</w:t>
            </w:r>
          </w:p>
          <w:p w14:paraId="21447044">
            <w:pPr>
              <w:pStyle w:val="50"/>
              <w:numPr>
                <w:ilvl w:val="0"/>
                <w:numId w:val="0"/>
              </w:numPr>
              <w:bidi w:val="0"/>
              <w:ind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项目劳动定员10人，均不在厂区食宿，参照《用水定额》(DB52/T725-2019及《建筑给水排水设计</w:t>
            </w:r>
            <w:r>
              <w:rPr>
                <w:rFonts w:hint="eastAsia" w:cs="Times New Roman"/>
                <w:color w:val="000000" w:themeColor="text1"/>
                <w:highlight w:val="none"/>
                <w:lang w:val="en-US" w:eastAsia="zh-CN"/>
                <w14:textFill>
                  <w14:solidFill>
                    <w14:schemeClr w14:val="tx1"/>
                  </w14:solidFill>
                </w14:textFill>
              </w:rPr>
              <w:t>标准</w:t>
            </w:r>
            <w:r>
              <w:rPr>
                <w:rFonts w:hint="eastAsia" w:ascii="Times New Roman" w:hAnsi="Times New Roman" w:cs="Times New Roman"/>
                <w:color w:val="000000" w:themeColor="text1"/>
                <w:highlight w:val="none"/>
                <w:lang w:val="en-US" w:eastAsia="zh-CN"/>
                <w14:textFill>
                  <w14:solidFill>
                    <w14:schemeClr w14:val="tx1"/>
                  </w14:solidFill>
                </w14:textFill>
              </w:rPr>
              <w:t>》(GB50015-2019)中的相关用水定额和标准，人员生活污水按50L/人·d计，则生活用水量为0.5m/d(150m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/a)，排污系数按照0.</w:t>
            </w:r>
            <w:r>
              <w:rPr>
                <w:rFonts w:hint="eastAsia" w:cs="Times New Roman"/>
                <w:color w:val="000000" w:themeColor="text1"/>
                <w:highlight w:val="none"/>
                <w:lang w:val="en-US" w:eastAsia="zh-CN"/>
                <w14:textFill>
                  <w14:solidFill>
                    <w14:schemeClr w14:val="tx1"/>
                  </w14:solidFill>
                </w14:textFill>
              </w:rPr>
              <w:t>9</w:t>
            </w:r>
            <w:r>
              <w:rPr>
                <w:rFonts w:hint="eastAsia" w:ascii="Times New Roman" w:hAnsi="Times New Roman" w:cs="Times New Roman"/>
                <w:color w:val="000000" w:themeColor="text1"/>
                <w:highlight w:val="none"/>
                <w:lang w:val="en-US" w:eastAsia="zh-CN"/>
                <w14:textFill>
                  <w14:solidFill>
                    <w14:schemeClr w14:val="tx1"/>
                  </w14:solidFill>
                </w14:textFill>
              </w:rPr>
              <w:t>0计，产生生活污水量为0.4</w:t>
            </w:r>
            <w:r>
              <w:rPr>
                <w:rFonts w:hint="eastAsia" w:cs="Times New Roman"/>
                <w:color w:val="000000" w:themeColor="text1"/>
                <w:highlight w:val="none"/>
                <w:lang w:val="en-US" w:eastAsia="zh-CN"/>
                <w14:textFill>
                  <w14:solidFill>
                    <w14:schemeClr w14:val="tx1"/>
                  </w14:solidFill>
                </w14:textFill>
              </w:rPr>
              <w:t>5</w:t>
            </w:r>
            <w:r>
              <w:rPr>
                <w:rFonts w:hint="eastAsia" w:ascii="Times New Roman" w:hAnsi="Times New Roman" w:cs="Times New Roman"/>
                <w:color w:val="000000" w:themeColor="text1"/>
                <w:highlight w:val="none"/>
                <w:lang w:val="en-US" w:eastAsia="zh-CN"/>
                <w14:textFill>
                  <w14:solidFill>
                    <w14:schemeClr w14:val="tx1"/>
                  </w14:solidFill>
                </w14:textFill>
              </w:rPr>
              <w:t>m/d(1</w:t>
            </w:r>
            <w:r>
              <w:rPr>
                <w:rFonts w:hint="eastAsia" w:cs="Times New Roman"/>
                <w:color w:val="000000" w:themeColor="text1"/>
                <w:highlight w:val="none"/>
                <w:lang w:val="en-US" w:eastAsia="zh-CN"/>
                <w14:textFill>
                  <w14:solidFill>
                    <w14:schemeClr w14:val="tx1"/>
                  </w14:solidFill>
                </w14:textFill>
              </w:rPr>
              <w:t>35</w:t>
            </w:r>
            <w:r>
              <w:rPr>
                <w:rFonts w:hint="eastAsia" w:ascii="Times New Roman" w:hAnsi="Times New Roman" w:cs="Times New Roman"/>
                <w:color w:val="000000" w:themeColor="text1"/>
                <w:highlight w:val="none"/>
                <w:lang w:val="en-US" w:eastAsia="zh-CN"/>
                <w14:textFill>
                  <w14:solidFill>
                    <w14:schemeClr w14:val="tx1"/>
                  </w14:solidFill>
                </w14:textFill>
              </w:rPr>
              <w:t>m/a)。生活污水</w:t>
            </w:r>
            <w:r>
              <w:rPr>
                <w:rFonts w:hint="eastAsia" w:cs="Times New Roman"/>
                <w:color w:val="000000" w:themeColor="text1"/>
                <w:highlight w:val="none"/>
                <w:lang w:val="en-US" w:eastAsia="zh-CN"/>
                <w14:textFill>
                  <w14:solidFill>
                    <w14:schemeClr w14:val="tx1"/>
                  </w14:solidFill>
                </w14:textFill>
              </w:rPr>
              <w:t>依托厂区已建</w:t>
            </w:r>
            <w:r>
              <w:rPr>
                <w:rFonts w:hint="eastAsia" w:cs="Times New Roman"/>
                <w:color w:val="000000" w:themeColor="text1"/>
                <w:highlight w:val="none"/>
                <w:lang w:val="en-US" w:eastAsia="zh-CN"/>
                <w14:textFill>
                  <w14:solidFill>
                    <w14:schemeClr w14:val="tx1"/>
                  </w14:solidFill>
                </w14:textFill>
              </w:rPr>
              <w:t>生化池</w:t>
            </w:r>
            <w:r>
              <w:rPr>
                <w:rFonts w:hint="eastAsia" w:ascii="Times New Roman" w:hAnsi="Times New Roman" w:cs="Times New Roman"/>
                <w:color w:val="000000" w:themeColor="text1"/>
                <w:highlight w:val="none"/>
                <w:lang w:val="en-US" w:eastAsia="zh-CN"/>
                <w14:textFill>
                  <w14:solidFill>
                    <w14:schemeClr w14:val="tx1"/>
                  </w14:solidFill>
                </w14:textFill>
              </w:rPr>
              <w:t>预处理</w:t>
            </w:r>
            <w:r>
              <w:rPr>
                <w:rFonts w:hint="eastAsia" w:cs="Times New Roman"/>
                <w:color w:val="000000" w:themeColor="text1"/>
                <w:highlight w:val="none"/>
                <w:lang w:val="en-US" w:eastAsia="zh-CN"/>
                <w14:textFill>
                  <w14:solidFill>
                    <w14:schemeClr w14:val="tx1"/>
                  </w14:solidFill>
                </w14:textFill>
              </w:rPr>
              <w:t>达《污水综合排放标准》(GB8978-1996)表4中三级标准</w:t>
            </w:r>
            <w:r>
              <w:rPr>
                <w:rFonts w:hint="eastAsia" w:ascii="Times New Roman" w:hAnsi="Times New Roman" w:cs="Times New Roman"/>
                <w:color w:val="000000" w:themeColor="text1"/>
                <w:highlight w:val="none"/>
                <w:lang w:val="en-US" w:eastAsia="zh-CN"/>
                <w14:textFill>
                  <w14:solidFill>
                    <w14:schemeClr w14:val="tx1"/>
                  </w14:solidFill>
                </w14:textFill>
              </w:rPr>
              <w:t>后</w:t>
            </w:r>
            <w:r>
              <w:rPr>
                <w:rFonts w:hint="eastAsia" w:cs="Times New Roman"/>
                <w:color w:val="000000" w:themeColor="text1"/>
                <w:highlight w:val="none"/>
                <w:lang w:val="en-US" w:eastAsia="zh-CN"/>
                <w14:textFill>
                  <w14:solidFill>
                    <w14:schemeClr w14:val="tx1"/>
                  </w14:solidFill>
                </w14:textFill>
              </w:rPr>
              <w:t>排放园区</w:t>
            </w:r>
            <w:r>
              <w:rPr>
                <w:rFonts w:hint="eastAsia" w:ascii="Times New Roman" w:hAnsi="Times New Roman" w:cs="Times New Roman"/>
                <w:color w:val="000000" w:themeColor="text1"/>
                <w:highlight w:val="none"/>
                <w:lang w:val="en-US" w:eastAsia="zh-CN"/>
                <w14:textFill>
                  <w14:solidFill>
                    <w14:schemeClr w14:val="tx1"/>
                  </w14:solidFill>
                </w14:textFill>
              </w:rPr>
              <w:t>污水处理厂深度处理。</w:t>
            </w:r>
          </w:p>
          <w:p w14:paraId="15E2575E">
            <w:pPr>
              <w:pStyle w:val="50"/>
              <w:numPr>
                <w:ilvl w:val="0"/>
                <w:numId w:val="0"/>
              </w:numPr>
              <w:bidi w:val="0"/>
              <w:ind w:firstLine="482" w:firstLineChars="200"/>
              <w:rPr>
                <w:rFonts w:hint="eastAsia"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②洗涤用水</w:t>
            </w:r>
          </w:p>
          <w:p w14:paraId="3285ACB8">
            <w:pPr>
              <w:pStyle w:val="50"/>
              <w:numPr>
                <w:ilvl w:val="0"/>
                <w:numId w:val="0"/>
              </w:numPr>
              <w:bidi w:val="0"/>
              <w:ind w:firstLine="480" w:firstLineChars="20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本项目采用滚筒洗衣机，根据厂家提供用水量</w:t>
            </w:r>
            <w:r>
              <w:rPr>
                <w:rFonts w:hint="default" w:cs="Times New Roman"/>
                <w:color w:val="000000" w:themeColor="text1"/>
                <w:highlight w:val="none"/>
                <w:lang w:val="en-US" w:eastAsia="zh-CN"/>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5-12</w:t>
            </w:r>
            <w:r>
              <w:rPr>
                <w:rFonts w:hint="default" w:cs="Times New Roman"/>
                <w:color w:val="000000" w:themeColor="text1"/>
                <w:highlight w:val="none"/>
                <w:lang w:val="en-US" w:eastAsia="zh-CN"/>
                <w14:textFill>
                  <w14:solidFill>
                    <w14:schemeClr w14:val="tx1"/>
                  </w14:solidFill>
                </w14:textFill>
              </w:rPr>
              <w:t>L/kg干衣(本项目按照</w:t>
            </w:r>
            <w:r>
              <w:rPr>
                <w:rFonts w:hint="eastAsia" w:cs="Times New Roman"/>
                <w:color w:val="000000" w:themeColor="text1"/>
                <w:highlight w:val="none"/>
                <w:lang w:val="en-US" w:eastAsia="zh-CN"/>
                <w14:textFill>
                  <w14:solidFill>
                    <w14:schemeClr w14:val="tx1"/>
                  </w14:solidFill>
                </w14:textFill>
              </w:rPr>
              <w:t>12</w:t>
            </w:r>
            <w:r>
              <w:rPr>
                <w:rFonts w:hint="default" w:cs="Times New Roman"/>
                <w:color w:val="000000" w:themeColor="text1"/>
                <w:highlight w:val="none"/>
                <w:lang w:val="en-US" w:eastAsia="zh-CN"/>
                <w14:textFill>
                  <w14:solidFill>
                    <w14:schemeClr w14:val="tx1"/>
                  </w14:solidFill>
                </w14:textFill>
              </w:rPr>
              <w:t>L/kg干衣计算)，本项目年洗</w:t>
            </w:r>
            <w:r>
              <w:rPr>
                <w:rFonts w:hint="eastAsia" w:cs="Times New Roman"/>
                <w:color w:val="000000" w:themeColor="text1"/>
                <w:highlight w:val="none"/>
                <w:lang w:val="en-US" w:eastAsia="zh-CN"/>
                <w14:textFill>
                  <w14:solidFill>
                    <w14:schemeClr w14:val="tx1"/>
                  </w14:solidFill>
                </w14:textFill>
              </w:rPr>
              <w:t>牛仔裤240万件（720t）</w:t>
            </w:r>
            <w:r>
              <w:rPr>
                <w:rFonts w:hint="default" w:cs="Times New Roman"/>
                <w:color w:val="000000" w:themeColor="text1"/>
                <w:highlight w:val="none"/>
                <w:lang w:val="en-US" w:eastAsia="zh-CN"/>
                <w14:textFill>
                  <w14:solidFill>
                    <w14:schemeClr w14:val="tx1"/>
                  </w14:solidFill>
                </w14:textFill>
              </w:rPr>
              <w:t>，项目洗涤用水量约为</w:t>
            </w:r>
            <w:r>
              <w:rPr>
                <w:rFonts w:hint="eastAsia" w:cs="Times New Roman"/>
                <w:color w:val="000000" w:themeColor="text1"/>
                <w:highlight w:val="none"/>
                <w:lang w:val="en-US" w:eastAsia="zh-CN"/>
                <w14:textFill>
                  <w14:solidFill>
                    <w14:schemeClr w14:val="tx1"/>
                  </w14:solidFill>
                </w14:textFill>
              </w:rPr>
              <w:t>8640</w:t>
            </w:r>
            <w:r>
              <w:rPr>
                <w:rFonts w:hint="default"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default" w:cs="Times New Roman"/>
                <w:color w:val="000000" w:themeColor="text1"/>
                <w:highlight w:val="none"/>
                <w:lang w:val="en-US" w:eastAsia="zh-CN"/>
                <w14:textFill>
                  <w14:solidFill>
                    <w14:schemeClr w14:val="tx1"/>
                  </w14:solidFill>
                </w14:textFill>
              </w:rPr>
              <w:t>/a(</w:t>
            </w:r>
            <w:r>
              <w:rPr>
                <w:rFonts w:hint="eastAsia" w:cs="Times New Roman"/>
                <w:color w:val="000000" w:themeColor="text1"/>
                <w:highlight w:val="none"/>
                <w:lang w:val="en-US" w:eastAsia="zh-CN"/>
                <w14:textFill>
                  <w14:solidFill>
                    <w14:schemeClr w14:val="tx1"/>
                  </w14:solidFill>
                </w14:textFill>
              </w:rPr>
              <w:t>28.8</w:t>
            </w:r>
            <w:r>
              <w:rPr>
                <w:rFonts w:hint="default" w:cs="Times New Roman"/>
                <w:color w:val="000000" w:themeColor="text1"/>
                <w:highlight w:val="none"/>
                <w:lang w:val="en-US" w:eastAsia="zh-CN"/>
                <w14:textFill>
                  <w14:solidFill>
                    <w14:schemeClr w14:val="tx1"/>
                  </w14:solidFill>
                </w14:textFill>
              </w:rPr>
              <w:t>m/d)，产物系数按0.</w:t>
            </w:r>
            <w:r>
              <w:rPr>
                <w:rFonts w:hint="eastAsia" w:cs="Times New Roman"/>
                <w:color w:val="000000" w:themeColor="text1"/>
                <w:highlight w:val="none"/>
                <w:lang w:val="en-US" w:eastAsia="zh-CN"/>
                <w14:textFill>
                  <w14:solidFill>
                    <w14:schemeClr w14:val="tx1"/>
                  </w14:solidFill>
                </w14:textFill>
              </w:rPr>
              <w:t>9</w:t>
            </w:r>
            <w:r>
              <w:rPr>
                <w:rFonts w:hint="default" w:cs="Times New Roman"/>
                <w:color w:val="000000" w:themeColor="text1"/>
                <w:highlight w:val="none"/>
                <w:lang w:val="en-US" w:eastAsia="zh-CN"/>
                <w14:textFill>
                  <w14:solidFill>
                    <w14:schemeClr w14:val="tx1"/>
                  </w14:solidFill>
                </w14:textFill>
              </w:rPr>
              <w:t>计算，因此本项目平均洗涤废水产生量为</w:t>
            </w:r>
            <w:r>
              <w:rPr>
                <w:rFonts w:hint="eastAsia" w:cs="Times New Roman"/>
                <w:color w:val="000000" w:themeColor="text1"/>
                <w:highlight w:val="none"/>
                <w:lang w:val="en-US" w:eastAsia="zh-CN"/>
                <w14:textFill>
                  <w14:solidFill>
                    <w14:schemeClr w14:val="tx1"/>
                  </w14:solidFill>
                </w14:textFill>
              </w:rPr>
              <w:t>7776</w:t>
            </w:r>
            <w:r>
              <w:rPr>
                <w:rFonts w:hint="default"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default" w:cs="Times New Roman"/>
                <w:color w:val="000000" w:themeColor="text1"/>
                <w:highlight w:val="none"/>
                <w:lang w:val="en-US" w:eastAsia="zh-CN"/>
                <w14:textFill>
                  <w14:solidFill>
                    <w14:schemeClr w14:val="tx1"/>
                  </w14:solidFill>
                </w14:textFill>
              </w:rPr>
              <w:t>/a(</w:t>
            </w:r>
            <w:r>
              <w:rPr>
                <w:rFonts w:hint="eastAsia" w:cs="Times New Roman"/>
                <w:color w:val="000000" w:themeColor="text1"/>
                <w:highlight w:val="none"/>
                <w:lang w:val="en-US" w:eastAsia="zh-CN"/>
                <w14:textFill>
                  <w14:solidFill>
                    <w14:schemeClr w14:val="tx1"/>
                  </w14:solidFill>
                </w14:textFill>
              </w:rPr>
              <w:t>25.92</w:t>
            </w:r>
            <w:r>
              <w:rPr>
                <w:rFonts w:hint="default" w:cs="Times New Roman"/>
                <w:color w:val="000000" w:themeColor="text1"/>
                <w:highlight w:val="none"/>
                <w:lang w:val="en-US" w:eastAsia="zh-CN"/>
                <w14:textFill>
                  <w14:solidFill>
                    <w14:schemeClr w14:val="tx1"/>
                  </w14:solidFill>
                </w14:textFill>
              </w:rPr>
              <w:t>m/d)。</w:t>
            </w:r>
          </w:p>
          <w:p w14:paraId="686C833B">
            <w:pPr>
              <w:pStyle w:val="50"/>
              <w:numPr>
                <w:ilvl w:val="0"/>
                <w:numId w:val="0"/>
              </w:numPr>
              <w:bidi w:val="0"/>
              <w:ind w:firstLine="482" w:firstLineChars="20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③</w:t>
            </w:r>
            <w:r>
              <w:rPr>
                <w:rFonts w:hint="eastAsia" w:cs="Times New Roman"/>
                <w:b/>
                <w:bCs/>
                <w:color w:val="000000" w:themeColor="text1"/>
                <w:highlight w:val="none"/>
                <w:lang w:val="en-US" w:eastAsia="zh-CN"/>
                <w14:textFill>
                  <w14:solidFill>
                    <w14:schemeClr w14:val="tx1"/>
                  </w14:solidFill>
                </w14:textFill>
              </w:rPr>
              <w:t>生物质燃料蒸汽发生器</w:t>
            </w:r>
            <w:r>
              <w:rPr>
                <w:rFonts w:hint="eastAsia" w:cs="Times New Roman"/>
                <w:b/>
                <w:bCs/>
                <w:color w:val="000000" w:themeColor="text1"/>
                <w:highlight w:val="none"/>
                <w:lang w:val="en-US" w:eastAsia="zh-CN"/>
                <w14:textFill>
                  <w14:solidFill>
                    <w14:schemeClr w14:val="tx1"/>
                  </w14:solidFill>
                </w14:textFill>
              </w:rPr>
              <w:t>用水</w:t>
            </w:r>
          </w:p>
          <w:p w14:paraId="71AECFB6">
            <w:pPr>
              <w:pStyle w:val="61"/>
              <w:jc w:val="left"/>
              <w:rPr>
                <w:rFonts w:hint="eastAsia"/>
                <w:highlight w:val="none"/>
              </w:rPr>
            </w:pPr>
            <w:r>
              <w:rPr>
                <w:rFonts w:hint="eastAsia" w:asciiTheme="minorEastAsia" w:hAnsiTheme="minorEastAsia" w:eastAsiaTheme="minorEastAsia" w:cstheme="minorEastAsia"/>
                <w:color w:val="auto"/>
                <w:sz w:val="24"/>
                <w:szCs w:val="24"/>
                <w:highlight w:val="none"/>
                <w:lang w:val="en-US" w:eastAsia="zh-CN"/>
              </w:rPr>
              <w:t>本项目设置1台2.5t/h生物质燃料蒸汽发生器，运行时间约为年运行（300天，8h/d）2400小时。</w:t>
            </w:r>
            <w:r>
              <w:rPr>
                <w:rFonts w:hint="eastAsia" w:asciiTheme="minorEastAsia" w:hAnsiTheme="minorEastAsia" w:eastAsiaTheme="minorEastAsia" w:cstheme="minorEastAsia"/>
                <w:color w:val="auto"/>
                <w:sz w:val="24"/>
                <w:szCs w:val="24"/>
                <w:highlight w:val="none"/>
                <w:lang w:val="en-US" w:eastAsia="zh-CN"/>
              </w:rPr>
              <w:t>生物质燃料蒸汽发生器</w:t>
            </w:r>
            <w:r>
              <w:rPr>
                <w:rFonts w:hint="eastAsia" w:asciiTheme="minorEastAsia" w:hAnsiTheme="minorEastAsia" w:eastAsiaTheme="minorEastAsia" w:cstheme="minorEastAsia"/>
                <w:color w:val="auto"/>
                <w:spacing w:val="-4"/>
                <w:sz w:val="24"/>
                <w:szCs w:val="24"/>
                <w:highlight w:val="none"/>
              </w:rPr>
              <w:t>用水需使用软水，企业设有一套软水制备系统，通过</w:t>
            </w:r>
            <w:r>
              <w:rPr>
                <w:rFonts w:hint="eastAsia" w:asciiTheme="minorEastAsia" w:hAnsiTheme="minorEastAsia" w:eastAsiaTheme="minorEastAsia" w:cstheme="minorEastAsia"/>
                <w:b w:val="0"/>
                <w:bCs w:val="0"/>
                <w:sz w:val="24"/>
                <w:szCs w:val="24"/>
                <w:highlight w:val="none"/>
              </w:rPr>
              <w:t>离子交换树脂</w:t>
            </w: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利用强酸性阳离子交换树脂的离子置换能力，去除原水中的钙（Ca²⁺）、镁（Mg²⁺）离子</w:t>
            </w:r>
            <w:r>
              <w:rPr>
                <w:rFonts w:hint="eastAsia" w:asciiTheme="minorEastAsia" w:hAnsiTheme="minorEastAsia" w:eastAsiaTheme="minorEastAsia" w:cstheme="minorEastAsia"/>
                <w:b w:val="0"/>
                <w:bCs w:val="0"/>
                <w:sz w:val="24"/>
                <w:szCs w:val="24"/>
                <w:highlight w:val="none"/>
              </w:rPr>
              <w:t>，降低水的硬度</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根据企业提供资料可知</w:t>
            </w:r>
            <w:r>
              <w:rPr>
                <w:rFonts w:hint="eastAsia" w:asciiTheme="minorEastAsia" w:hAnsiTheme="minorEastAsia" w:eastAsiaTheme="minorEastAsia" w:cstheme="minorEastAsia"/>
                <w:color w:val="auto"/>
                <w:spacing w:val="0"/>
                <w:kern w:val="2"/>
                <w:sz w:val="24"/>
                <w:szCs w:val="24"/>
                <w:highlight w:val="none"/>
                <w:lang w:val="en-US" w:eastAsia="zh-CN" w:bidi="ar-SA"/>
              </w:rPr>
              <w:t>，软水制备效率为70%，浓水产生率为30%</w:t>
            </w:r>
            <w:r>
              <w:rPr>
                <w:rFonts w:hint="eastAsia" w:ascii="Times New Roman" w:hAnsi="Times New Roman" w:eastAsia="新宋体" w:cs="Times New Roman"/>
                <w:color w:val="auto"/>
                <w:szCs w:val="24"/>
                <w:highlight w:val="none"/>
              </w:rPr>
              <w:t>。</w:t>
            </w:r>
          </w:p>
          <w:p w14:paraId="72590274">
            <w:pPr>
              <w:pStyle w:val="61"/>
              <w:jc w:val="left"/>
              <w:rPr>
                <w:rFonts w:hint="eastAsia"/>
                <w:highlight w:val="none"/>
              </w:rPr>
            </w:pPr>
            <w:r>
              <w:rPr>
                <w:rFonts w:hint="eastAsia"/>
                <w:highlight w:val="none"/>
              </w:rPr>
              <w:t>根据《排放源统计调查产排污核算方法和系数手册》中</w:t>
            </w:r>
            <w:r>
              <w:rPr>
                <w:highlight w:val="none"/>
              </w:rPr>
              <w:t>“4430</w:t>
            </w:r>
            <w:r>
              <w:rPr>
                <w:rFonts w:hint="eastAsia"/>
                <w:highlight w:val="none"/>
              </w:rPr>
              <w:t>工业锅炉（热力生产和供应行业）</w:t>
            </w:r>
            <w:r>
              <w:rPr>
                <w:highlight w:val="none"/>
              </w:rPr>
              <w:t>—</w:t>
            </w:r>
            <w:r>
              <w:rPr>
                <w:rFonts w:hint="eastAsia"/>
                <w:highlight w:val="none"/>
              </w:rPr>
              <w:t>生物质工业锅炉</w:t>
            </w:r>
            <w:r>
              <w:rPr>
                <w:highlight w:val="none"/>
              </w:rPr>
              <w:t>”</w:t>
            </w:r>
            <w:r>
              <w:rPr>
                <w:rFonts w:hint="eastAsia"/>
                <w:highlight w:val="none"/>
              </w:rPr>
              <w:t>，锅炉废水（锅外水处理）产生系数为</w:t>
            </w:r>
            <w:r>
              <w:rPr>
                <w:highlight w:val="none"/>
              </w:rPr>
              <w:t>0.356t/t-</w:t>
            </w:r>
            <w:r>
              <w:rPr>
                <w:rFonts w:hint="eastAsia"/>
                <w:highlight w:val="none"/>
              </w:rPr>
              <w:t>原料（此系数包含锅炉排污水和软化处理废水两部分）</w:t>
            </w:r>
            <w:r>
              <w:rPr>
                <w:rFonts w:hint="eastAsia"/>
                <w:highlight w:val="none"/>
              </w:rPr>
              <w:t>，项目</w:t>
            </w:r>
            <w:r>
              <w:rPr>
                <w:rFonts w:hint="eastAsia" w:asciiTheme="minorEastAsia" w:hAnsiTheme="minorEastAsia" w:eastAsiaTheme="minorEastAsia" w:cstheme="minorEastAsia"/>
                <w:color w:val="auto"/>
                <w:sz w:val="24"/>
                <w:szCs w:val="24"/>
                <w:highlight w:val="none"/>
                <w:lang w:val="en-US" w:eastAsia="zh-CN"/>
              </w:rPr>
              <w:t>生物质燃料蒸汽发生器</w:t>
            </w:r>
            <w:r>
              <w:rPr>
                <w:rFonts w:hint="eastAsia"/>
                <w:highlight w:val="none"/>
              </w:rPr>
              <w:t>年燃用生物质</w:t>
            </w:r>
            <w:r>
              <w:rPr>
                <w:rFonts w:hint="eastAsia"/>
                <w:highlight w:val="none"/>
                <w:lang w:val="en-US" w:eastAsia="zh-CN"/>
              </w:rPr>
              <w:t>1197</w:t>
            </w:r>
            <w:r>
              <w:rPr>
                <w:bCs w:val="0"/>
                <w:highlight w:val="none"/>
              </w:rPr>
              <w:t>t</w:t>
            </w:r>
            <w:r>
              <w:rPr>
                <w:rFonts w:hint="eastAsia"/>
                <w:bCs w:val="0"/>
                <w:highlight w:val="none"/>
              </w:rPr>
              <w:t>，因此</w:t>
            </w:r>
            <w:r>
              <w:rPr>
                <w:rFonts w:hint="default" w:ascii="Times New Roman" w:hAnsi="Times New Roman" w:eastAsia="宋体" w:cs="Times New Roman"/>
                <w:color w:val="auto"/>
                <w:szCs w:val="24"/>
                <w:highlight w:val="none"/>
                <w:lang w:val="en-US" w:eastAsia="zh-CN"/>
              </w:rPr>
              <w:t>生物质燃料蒸汽发生器</w:t>
            </w:r>
            <w:r>
              <w:rPr>
                <w:rFonts w:hint="eastAsia"/>
                <w:highlight w:val="none"/>
              </w:rPr>
              <w:t>（锅外水处理）量为</w:t>
            </w:r>
            <w:r>
              <w:rPr>
                <w:rFonts w:hint="eastAsia"/>
                <w:highlight w:val="none"/>
                <w:lang w:val="en-US" w:eastAsia="zh-CN"/>
              </w:rPr>
              <w:t>426.132</w:t>
            </w:r>
            <w:r>
              <w:rPr>
                <w:highlight w:val="none"/>
              </w:rPr>
              <w:t>t/</w:t>
            </w:r>
            <w:r>
              <w:rPr>
                <w:rFonts w:hint="eastAsia"/>
                <w:highlight w:val="none"/>
              </w:rPr>
              <w:t>a</w:t>
            </w:r>
            <w:r>
              <w:rPr>
                <w:rFonts w:hint="eastAsia"/>
                <w:highlight w:val="none"/>
                <w:lang w:val="en-US" w:eastAsia="zh-CN"/>
              </w:rPr>
              <w:t>（1.420</w:t>
            </w:r>
            <w:r>
              <w:rPr>
                <w:highlight w:val="none"/>
              </w:rPr>
              <w:t>t/d</w:t>
            </w:r>
            <w:r>
              <w:rPr>
                <w:rFonts w:hint="eastAsia"/>
                <w:highlight w:val="none"/>
                <w:lang w:val="en-US" w:eastAsia="zh-CN"/>
              </w:rPr>
              <w:t>）</w:t>
            </w:r>
            <w:r>
              <w:rPr>
                <w:rFonts w:hint="eastAsia"/>
                <w:highlight w:val="none"/>
              </w:rPr>
              <w:t>，其中</w:t>
            </w:r>
            <w:r>
              <w:rPr>
                <w:rFonts w:hint="eastAsia" w:asciiTheme="minorEastAsia" w:hAnsiTheme="minorEastAsia" w:eastAsiaTheme="minorEastAsia" w:cstheme="minorEastAsia"/>
                <w:color w:val="auto"/>
                <w:sz w:val="24"/>
                <w:szCs w:val="24"/>
                <w:highlight w:val="none"/>
                <w:lang w:val="en-US" w:eastAsia="zh-CN"/>
              </w:rPr>
              <w:t>生物质燃料蒸汽发生器</w:t>
            </w:r>
            <w:r>
              <w:rPr>
                <w:rFonts w:hint="eastAsia"/>
                <w:highlight w:val="none"/>
              </w:rPr>
              <w:t>排水量为</w:t>
            </w:r>
            <w:r>
              <w:rPr>
                <w:rFonts w:hint="eastAsia"/>
                <w:highlight w:val="none"/>
                <w:lang w:val="en-US" w:eastAsia="zh-CN"/>
              </w:rPr>
              <w:t>208.2</w:t>
            </w:r>
            <w:r>
              <w:rPr>
                <w:highlight w:val="none"/>
              </w:rPr>
              <w:t>t/</w:t>
            </w:r>
            <w:r>
              <w:rPr>
                <w:rFonts w:hint="eastAsia"/>
                <w:highlight w:val="none"/>
              </w:rPr>
              <w:t>a（</w:t>
            </w:r>
            <w:r>
              <w:rPr>
                <w:rFonts w:hint="eastAsia"/>
                <w:highlight w:val="none"/>
                <w:lang w:val="en-US" w:eastAsia="zh-CN"/>
              </w:rPr>
              <w:t>0.694</w:t>
            </w:r>
            <w:r>
              <w:rPr>
                <w:highlight w:val="none"/>
              </w:rPr>
              <w:t>t/d</w:t>
            </w:r>
            <w:r>
              <w:rPr>
                <w:rFonts w:hint="eastAsia"/>
                <w:highlight w:val="none"/>
              </w:rPr>
              <w:t>），软水制备废水产生量为</w:t>
            </w:r>
            <w:r>
              <w:rPr>
                <w:rFonts w:hint="eastAsia"/>
                <w:highlight w:val="none"/>
                <w:lang w:val="en-US" w:eastAsia="zh-CN"/>
              </w:rPr>
              <w:t>217.8</w:t>
            </w:r>
            <w:r>
              <w:rPr>
                <w:highlight w:val="none"/>
              </w:rPr>
              <w:t>t/</w:t>
            </w:r>
            <w:r>
              <w:rPr>
                <w:rFonts w:hint="eastAsia"/>
                <w:highlight w:val="none"/>
              </w:rPr>
              <w:t>a（</w:t>
            </w:r>
            <w:r>
              <w:rPr>
                <w:rFonts w:hint="eastAsia"/>
                <w:highlight w:val="none"/>
                <w:lang w:val="en-US" w:eastAsia="zh-CN"/>
              </w:rPr>
              <w:t>0.726</w:t>
            </w:r>
            <w:r>
              <w:rPr>
                <w:highlight w:val="none"/>
              </w:rPr>
              <w:t>t/d</w:t>
            </w:r>
            <w:r>
              <w:rPr>
                <w:rFonts w:hint="eastAsia"/>
                <w:highlight w:val="none"/>
              </w:rPr>
              <w:t>）。</w:t>
            </w:r>
          </w:p>
          <w:p w14:paraId="54CBC0B8">
            <w:pPr>
              <w:pStyle w:val="61"/>
              <w:jc w:val="left"/>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auto"/>
                <w:szCs w:val="24"/>
                <w:highlight w:val="none"/>
                <w:lang w:val="en-US" w:eastAsia="zh-CN"/>
              </w:rPr>
              <w:t>根据建设单位提供资料，</w:t>
            </w:r>
            <w:r>
              <w:rPr>
                <w:rFonts w:hint="eastAsia" w:cs="Times New Roman"/>
                <w:color w:val="auto"/>
                <w:szCs w:val="24"/>
                <w:highlight w:val="none"/>
                <w:lang w:val="en-US" w:eastAsia="zh-CN"/>
              </w:rPr>
              <w:t>每年蒸汽量约6000t,</w:t>
            </w:r>
            <w:r>
              <w:rPr>
                <w:rFonts w:hint="eastAsia" w:asciiTheme="minorEastAsia" w:hAnsiTheme="minorEastAsia" w:eastAsiaTheme="minorEastAsia" w:cstheme="minorEastAsia"/>
                <w:color w:val="auto"/>
                <w:sz w:val="24"/>
                <w:szCs w:val="24"/>
                <w:highlight w:val="none"/>
                <w:lang w:val="en-US" w:eastAsia="zh-CN"/>
              </w:rPr>
              <w:t>生物质燃料蒸汽发生器</w:t>
            </w:r>
            <w:r>
              <w:rPr>
                <w:rFonts w:hint="eastAsia" w:ascii="Times New Roman" w:hAnsi="Times New Roman" w:cs="Times New Roman"/>
                <w:color w:val="auto"/>
                <w:szCs w:val="24"/>
                <w:highlight w:val="none"/>
                <w:lang w:val="en-US" w:eastAsia="zh-CN"/>
              </w:rPr>
              <w:t>水损耗量按蒸汽蒸发量5%计算，</w:t>
            </w:r>
            <w:r>
              <w:rPr>
                <w:rFonts w:hint="eastAsia" w:ascii="Times New Roman" w:hAnsi="Times New Roman" w:eastAsia="宋体" w:cs="Times New Roman"/>
                <w:color w:val="auto"/>
                <w:szCs w:val="24"/>
                <w:highlight w:val="none"/>
                <w:lang w:val="en-US" w:eastAsia="zh-CN"/>
              </w:rPr>
              <w:t>为</w:t>
            </w:r>
            <w:r>
              <w:rPr>
                <w:rFonts w:hint="eastAsia" w:ascii="Times New Roman" w:hAnsi="Times New Roman" w:cs="Times New Roman"/>
                <w:color w:val="auto"/>
                <w:szCs w:val="24"/>
                <w:highlight w:val="none"/>
                <w:lang w:val="en-US" w:eastAsia="zh-CN"/>
              </w:rPr>
              <w:t>1m</w:t>
            </w:r>
            <w:r>
              <w:rPr>
                <w:rFonts w:hint="eastAsia" w:ascii="Times New Roman" w:hAnsi="Times New Roman" w:cs="Times New Roman"/>
                <w:color w:val="auto"/>
                <w:szCs w:val="24"/>
                <w:highlight w:val="none"/>
                <w:vertAlign w:val="superscript"/>
                <w:lang w:val="en-US" w:eastAsia="zh-CN"/>
              </w:rPr>
              <w:t>3</w:t>
            </w:r>
            <w:r>
              <w:rPr>
                <w:rFonts w:hint="eastAsia" w:ascii="Times New Roman" w:hAnsi="Times New Roman" w:cs="Times New Roman"/>
                <w:color w:val="auto"/>
                <w:szCs w:val="24"/>
                <w:highlight w:val="none"/>
                <w:lang w:val="en-US" w:eastAsia="zh-CN"/>
              </w:rPr>
              <w:t>/d（300</w:t>
            </w:r>
            <w:r>
              <w:rPr>
                <w:rFonts w:hint="eastAsia" w:ascii="Times New Roman" w:hAnsi="Times New Roman" w:eastAsia="宋体" w:cs="Times New Roman"/>
                <w:color w:val="auto"/>
                <w:szCs w:val="24"/>
                <w:highlight w:val="none"/>
                <w:lang w:val="en-US" w:eastAsia="zh-CN"/>
              </w:rPr>
              <w:t>t/a</w:t>
            </w:r>
            <w:r>
              <w:rPr>
                <w:rFonts w:hint="eastAsia" w:ascii="Times New Roman" w:hAnsi="Times New Roman" w:cs="Times New Roman"/>
                <w:color w:val="auto"/>
                <w:szCs w:val="24"/>
                <w:highlight w:val="none"/>
                <w:lang w:val="en-US" w:eastAsia="zh-CN"/>
              </w:rPr>
              <w:t>）。因此，</w:t>
            </w:r>
            <w:r>
              <w:rPr>
                <w:rFonts w:hint="eastAsia" w:asciiTheme="minorEastAsia" w:hAnsiTheme="minorEastAsia" w:eastAsiaTheme="minorEastAsia" w:cstheme="minorEastAsia"/>
                <w:color w:val="auto"/>
                <w:sz w:val="24"/>
                <w:szCs w:val="24"/>
                <w:highlight w:val="none"/>
                <w:lang w:val="en-US" w:eastAsia="zh-CN"/>
              </w:rPr>
              <w:t>生物质燃料蒸汽发生器</w:t>
            </w:r>
            <w:r>
              <w:rPr>
                <w:rFonts w:hint="eastAsia" w:ascii="Times New Roman" w:hAnsi="Times New Roman" w:cs="Times New Roman"/>
                <w:color w:val="auto"/>
                <w:szCs w:val="24"/>
                <w:highlight w:val="none"/>
                <w:lang w:val="en-US" w:eastAsia="zh-CN"/>
              </w:rPr>
              <w:t>新鲜水</w:t>
            </w:r>
            <w:r>
              <w:rPr>
                <w:rFonts w:hint="eastAsia" w:cs="Times New Roman"/>
                <w:color w:val="auto"/>
                <w:szCs w:val="24"/>
                <w:highlight w:val="none"/>
                <w:lang w:val="en-US" w:eastAsia="zh-CN"/>
              </w:rPr>
              <w:t>补水</w:t>
            </w:r>
            <w:r>
              <w:rPr>
                <w:rFonts w:hint="eastAsia" w:ascii="Times New Roman" w:hAnsi="Times New Roman" w:cs="Times New Roman"/>
                <w:color w:val="auto"/>
                <w:szCs w:val="24"/>
                <w:highlight w:val="none"/>
                <w:lang w:val="en-US" w:eastAsia="zh-CN"/>
              </w:rPr>
              <w:t>量为</w:t>
            </w:r>
            <w:r>
              <w:rPr>
                <w:rFonts w:hint="eastAsia" w:cs="Times New Roman"/>
                <w:color w:val="auto"/>
                <w:szCs w:val="24"/>
                <w:highlight w:val="none"/>
                <w:lang w:val="en-US" w:eastAsia="zh-CN"/>
              </w:rPr>
              <w:t>2.42</w:t>
            </w:r>
            <w:r>
              <w:rPr>
                <w:rFonts w:hint="eastAsia" w:ascii="Times New Roman" w:hAnsi="Times New Roman" w:cs="Times New Roman"/>
                <w:color w:val="auto"/>
                <w:szCs w:val="24"/>
                <w:highlight w:val="none"/>
                <w:lang w:val="en-US" w:eastAsia="zh-CN"/>
              </w:rPr>
              <w:t>m</w:t>
            </w:r>
            <w:r>
              <w:rPr>
                <w:rFonts w:hint="eastAsia" w:ascii="Times New Roman" w:hAnsi="Times New Roman" w:cs="Times New Roman"/>
                <w:color w:val="auto"/>
                <w:szCs w:val="24"/>
                <w:highlight w:val="none"/>
                <w:vertAlign w:val="superscript"/>
                <w:lang w:val="en-US" w:eastAsia="zh-CN"/>
              </w:rPr>
              <w:t>3</w:t>
            </w:r>
            <w:r>
              <w:rPr>
                <w:rFonts w:hint="eastAsia"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d</w:t>
            </w:r>
            <w:r>
              <w:rPr>
                <w:rFonts w:hint="eastAsia" w:ascii="Times New Roman" w:hAnsi="Times New Roman" w:eastAsia="宋体" w:cs="Times New Roman"/>
                <w:color w:val="auto"/>
                <w:szCs w:val="24"/>
                <w:highlight w:val="none"/>
              </w:rPr>
              <w:t>（</w:t>
            </w:r>
            <w:r>
              <w:rPr>
                <w:rFonts w:hint="eastAsia" w:cs="Times New Roman"/>
                <w:color w:val="auto"/>
                <w:szCs w:val="24"/>
                <w:highlight w:val="none"/>
                <w:lang w:val="en-US" w:eastAsia="zh-CN"/>
              </w:rPr>
              <w:t>726</w:t>
            </w:r>
            <w:r>
              <w:rPr>
                <w:rFonts w:hint="eastAsia" w:ascii="Times New Roman" w:hAnsi="Times New Roman" w:cs="Times New Roman"/>
                <w:color w:val="auto"/>
                <w:szCs w:val="24"/>
                <w:highlight w:val="none"/>
                <w:lang w:val="en-US" w:eastAsia="zh-CN"/>
              </w:rPr>
              <w:t>m</w:t>
            </w:r>
            <w:r>
              <w:rPr>
                <w:rFonts w:hint="eastAsia" w:ascii="Times New Roman" w:hAnsi="Times New Roman" w:cs="Times New Roman"/>
                <w:color w:val="auto"/>
                <w:szCs w:val="24"/>
                <w:highlight w:val="none"/>
                <w:vertAlign w:val="superscript"/>
                <w:lang w:val="en-US" w:eastAsia="zh-CN"/>
              </w:rPr>
              <w:t>3</w:t>
            </w:r>
            <w:r>
              <w:rPr>
                <w:rFonts w:hint="eastAsia"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a</w:t>
            </w:r>
            <w:r>
              <w:rPr>
                <w:rFonts w:hint="eastAsia"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eastAsia="zh-CN"/>
              </w:rPr>
              <w:t>。</w:t>
            </w:r>
          </w:p>
          <w:p w14:paraId="4BBC2297">
            <w:pPr>
              <w:snapToGrid w:val="0"/>
              <w:spacing w:line="480" w:lineRule="exact"/>
              <w:ind w:firstLine="482" w:firstLineChars="200"/>
              <w:jc w:val="center"/>
              <w:rPr>
                <w:b/>
                <w:bCs/>
                <w:color w:val="auto"/>
                <w:szCs w:val="21"/>
                <w:highlight w:val="none"/>
              </w:rPr>
            </w:pPr>
            <w:r>
              <w:rPr>
                <w:rFonts w:hint="eastAsia"/>
                <w:b/>
                <w:bCs/>
                <w:color w:val="auto"/>
                <w:szCs w:val="21"/>
                <w:highlight w:val="none"/>
              </w:rPr>
              <w:t>表2-</w:t>
            </w:r>
            <w:r>
              <w:rPr>
                <w:rFonts w:hint="eastAsia"/>
                <w:b/>
                <w:bCs/>
                <w:color w:val="auto"/>
                <w:szCs w:val="21"/>
                <w:highlight w:val="none"/>
                <w:lang w:val="en-US" w:eastAsia="zh-CN"/>
              </w:rPr>
              <w:t>8本</w:t>
            </w:r>
            <w:r>
              <w:rPr>
                <w:rFonts w:hint="eastAsia"/>
                <w:b/>
                <w:bCs/>
                <w:color w:val="auto"/>
                <w:szCs w:val="21"/>
                <w:highlight w:val="none"/>
              </w:rPr>
              <w:t>项目用水、排水情况表</w:t>
            </w:r>
          </w:p>
          <w:tbl>
            <w:tblPr>
              <w:tblStyle w:val="28"/>
              <w:tblW w:w="4892" w:type="pct"/>
              <w:jc w:val="center"/>
              <w:tblLayout w:type="fixed"/>
              <w:tblCellMar>
                <w:top w:w="0" w:type="dxa"/>
                <w:left w:w="108" w:type="dxa"/>
                <w:bottom w:w="0" w:type="dxa"/>
                <w:right w:w="108" w:type="dxa"/>
              </w:tblCellMar>
            </w:tblPr>
            <w:tblGrid>
              <w:gridCol w:w="1221"/>
              <w:gridCol w:w="1659"/>
              <w:gridCol w:w="1437"/>
              <w:gridCol w:w="1365"/>
              <w:gridCol w:w="1079"/>
              <w:gridCol w:w="1134"/>
            </w:tblGrid>
            <w:tr w14:paraId="02F9CE87">
              <w:tblPrEx>
                <w:tblCellMar>
                  <w:top w:w="0" w:type="dxa"/>
                  <w:left w:w="108" w:type="dxa"/>
                  <w:bottom w:w="0" w:type="dxa"/>
                  <w:right w:w="108" w:type="dxa"/>
                </w:tblCellMar>
              </w:tblPrEx>
              <w:trPr>
                <w:trHeight w:val="648" w:hRule="atLeast"/>
                <w:jc w:val="center"/>
              </w:trPr>
              <w:tc>
                <w:tcPr>
                  <w:tcW w:w="773" w:type="pct"/>
                  <w:tcBorders>
                    <w:top w:val="single" w:color="auto" w:sz="8" w:space="0"/>
                    <w:left w:val="single" w:color="auto" w:sz="8" w:space="0"/>
                    <w:bottom w:val="single" w:color="000000" w:sz="8" w:space="0"/>
                    <w:right w:val="single" w:color="auto" w:sz="8" w:space="0"/>
                  </w:tcBorders>
                  <w:vAlign w:val="center"/>
                </w:tcPr>
                <w:p w14:paraId="07A84244">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p>
              </w:tc>
              <w:tc>
                <w:tcPr>
                  <w:tcW w:w="1050" w:type="pct"/>
                  <w:tcBorders>
                    <w:top w:val="single" w:color="auto" w:sz="8" w:space="0"/>
                    <w:left w:val="single" w:color="auto" w:sz="8" w:space="0"/>
                    <w:bottom w:val="single" w:color="auto" w:sz="4" w:space="0"/>
                    <w:right w:val="single" w:color="auto" w:sz="8" w:space="0"/>
                  </w:tcBorders>
                  <w:vAlign w:val="center"/>
                </w:tcPr>
                <w:p w14:paraId="2FD5B39C">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类别</w:t>
                  </w:r>
                </w:p>
              </w:tc>
              <w:tc>
                <w:tcPr>
                  <w:tcW w:w="910" w:type="pct"/>
                  <w:tcBorders>
                    <w:top w:val="single" w:color="auto" w:sz="8" w:space="0"/>
                    <w:left w:val="nil"/>
                    <w:bottom w:val="single" w:color="auto" w:sz="4" w:space="0"/>
                    <w:right w:val="single" w:color="auto" w:sz="8" w:space="0"/>
                  </w:tcBorders>
                  <w:vAlign w:val="center"/>
                </w:tcPr>
                <w:p w14:paraId="4F537705">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用水量</w:t>
                  </w:r>
                </w:p>
                <w:p w14:paraId="050EC8D9">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/d)</w:t>
                  </w:r>
                </w:p>
              </w:tc>
              <w:tc>
                <w:tcPr>
                  <w:tcW w:w="864" w:type="pct"/>
                  <w:tcBorders>
                    <w:top w:val="single" w:color="auto" w:sz="8" w:space="0"/>
                    <w:left w:val="nil"/>
                    <w:bottom w:val="single" w:color="auto" w:sz="4" w:space="0"/>
                    <w:right w:val="single" w:color="auto" w:sz="8" w:space="0"/>
                  </w:tcBorders>
                  <w:vAlign w:val="center"/>
                </w:tcPr>
                <w:p w14:paraId="0B999EA2">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年用水量</w:t>
                  </w:r>
                </w:p>
                <w:p w14:paraId="67F475BB">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/a）</w:t>
                  </w:r>
                </w:p>
              </w:tc>
              <w:tc>
                <w:tcPr>
                  <w:tcW w:w="683" w:type="pct"/>
                  <w:tcBorders>
                    <w:top w:val="single" w:color="auto" w:sz="8" w:space="0"/>
                    <w:left w:val="nil"/>
                    <w:bottom w:val="single" w:color="auto" w:sz="4" w:space="0"/>
                    <w:right w:val="single" w:color="auto" w:sz="8" w:space="0"/>
                  </w:tcBorders>
                  <w:vAlign w:val="center"/>
                </w:tcPr>
                <w:p w14:paraId="704D740F">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排水量</w:t>
                  </w:r>
                </w:p>
                <w:p w14:paraId="48210585">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/d)</w:t>
                  </w:r>
                </w:p>
              </w:tc>
              <w:tc>
                <w:tcPr>
                  <w:tcW w:w="718" w:type="pct"/>
                  <w:tcBorders>
                    <w:top w:val="single" w:color="auto" w:sz="8" w:space="0"/>
                    <w:left w:val="nil"/>
                    <w:bottom w:val="single" w:color="auto" w:sz="4" w:space="0"/>
                    <w:right w:val="single" w:color="auto" w:sz="8" w:space="0"/>
                  </w:tcBorders>
                  <w:vAlign w:val="center"/>
                </w:tcPr>
                <w:p w14:paraId="030D12EF">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年排水量</w:t>
                  </w:r>
                </w:p>
                <w:p w14:paraId="495E5C41">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/a）</w:t>
                  </w:r>
                </w:p>
              </w:tc>
            </w:tr>
            <w:tr w14:paraId="33E7E448">
              <w:tblPrEx>
                <w:tblCellMar>
                  <w:top w:w="0" w:type="dxa"/>
                  <w:left w:w="108" w:type="dxa"/>
                  <w:bottom w:w="0" w:type="dxa"/>
                  <w:right w:w="108" w:type="dxa"/>
                </w:tblCellMar>
              </w:tblPrEx>
              <w:trPr>
                <w:trHeight w:val="255" w:hRule="atLeast"/>
                <w:jc w:val="center"/>
              </w:trPr>
              <w:tc>
                <w:tcPr>
                  <w:tcW w:w="773" w:type="pct"/>
                  <w:vMerge w:val="restart"/>
                  <w:tcBorders>
                    <w:left w:val="single" w:color="auto" w:sz="8" w:space="0"/>
                    <w:right w:val="single" w:color="auto" w:sz="8" w:space="0"/>
                  </w:tcBorders>
                  <w:vAlign w:val="center"/>
                </w:tcPr>
                <w:p w14:paraId="0AF0D072">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生产用水</w:t>
                  </w:r>
                </w:p>
              </w:tc>
              <w:tc>
                <w:tcPr>
                  <w:tcW w:w="1050" w:type="pct"/>
                  <w:tcBorders>
                    <w:top w:val="single" w:color="auto" w:sz="4" w:space="0"/>
                    <w:left w:val="nil"/>
                    <w:bottom w:val="single" w:color="auto" w:sz="8" w:space="0"/>
                    <w:right w:val="single" w:color="auto" w:sz="8" w:space="0"/>
                  </w:tcBorders>
                  <w:vAlign w:val="center"/>
                </w:tcPr>
                <w:p w14:paraId="2791BE4B">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生物质燃料蒸汽发生器</w:t>
                  </w:r>
                  <w:r>
                    <w:rPr>
                      <w:rFonts w:hint="default" w:ascii="Times New Roman" w:hAnsi="Times New Roman" w:eastAsia="宋体" w:cs="Times New Roman"/>
                      <w:color w:val="auto"/>
                      <w:kern w:val="0"/>
                      <w:sz w:val="21"/>
                      <w:szCs w:val="21"/>
                      <w:highlight w:val="none"/>
                    </w:rPr>
                    <w:t>用水</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软水</w:t>
                  </w:r>
                  <w:r>
                    <w:rPr>
                      <w:rFonts w:hint="default" w:ascii="Times New Roman" w:hAnsi="Times New Roman" w:eastAsia="宋体" w:cs="Times New Roman"/>
                      <w:color w:val="auto"/>
                      <w:kern w:val="0"/>
                      <w:sz w:val="21"/>
                      <w:szCs w:val="21"/>
                      <w:highlight w:val="none"/>
                      <w:lang w:eastAsia="zh-CN"/>
                    </w:rPr>
                    <w:t>）</w:t>
                  </w:r>
                </w:p>
              </w:tc>
              <w:tc>
                <w:tcPr>
                  <w:tcW w:w="910" w:type="pct"/>
                  <w:tcBorders>
                    <w:top w:val="single" w:color="auto" w:sz="4" w:space="0"/>
                    <w:left w:val="nil"/>
                    <w:bottom w:val="single" w:color="auto" w:sz="8" w:space="0"/>
                    <w:right w:val="single" w:color="auto" w:sz="8" w:space="0"/>
                  </w:tcBorders>
                  <w:vAlign w:val="center"/>
                </w:tcPr>
                <w:p w14:paraId="77638C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1.694</w:t>
                  </w:r>
                </w:p>
              </w:tc>
              <w:tc>
                <w:tcPr>
                  <w:tcW w:w="864" w:type="pct"/>
                  <w:tcBorders>
                    <w:top w:val="single" w:color="auto" w:sz="4" w:space="0"/>
                    <w:left w:val="nil"/>
                    <w:bottom w:val="single" w:color="auto" w:sz="8" w:space="0"/>
                    <w:right w:val="single" w:color="auto" w:sz="8" w:space="0"/>
                  </w:tcBorders>
                  <w:vAlign w:val="center"/>
                </w:tcPr>
                <w:p w14:paraId="26D05EA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508.2</w:t>
                  </w:r>
                </w:p>
              </w:tc>
              <w:tc>
                <w:tcPr>
                  <w:tcW w:w="683" w:type="pct"/>
                  <w:tcBorders>
                    <w:top w:val="single" w:color="auto" w:sz="4" w:space="0"/>
                    <w:left w:val="nil"/>
                    <w:bottom w:val="single" w:color="auto" w:sz="8" w:space="0"/>
                    <w:right w:val="single" w:color="auto" w:sz="8" w:space="0"/>
                  </w:tcBorders>
                  <w:vAlign w:val="center"/>
                </w:tcPr>
                <w:p w14:paraId="0040523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0.694</w:t>
                  </w:r>
                </w:p>
              </w:tc>
              <w:tc>
                <w:tcPr>
                  <w:tcW w:w="718" w:type="pct"/>
                  <w:tcBorders>
                    <w:top w:val="single" w:color="auto" w:sz="4" w:space="0"/>
                    <w:left w:val="nil"/>
                    <w:bottom w:val="single" w:color="auto" w:sz="8" w:space="0"/>
                    <w:right w:val="single" w:color="auto" w:sz="8" w:space="0"/>
                  </w:tcBorders>
                  <w:vAlign w:val="center"/>
                </w:tcPr>
                <w:p w14:paraId="460A708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208.2</w:t>
                  </w:r>
                </w:p>
              </w:tc>
            </w:tr>
            <w:tr w14:paraId="1A8DF2DE">
              <w:tblPrEx>
                <w:tblCellMar>
                  <w:top w:w="0" w:type="dxa"/>
                  <w:left w:w="108" w:type="dxa"/>
                  <w:bottom w:w="0" w:type="dxa"/>
                  <w:right w:w="108" w:type="dxa"/>
                </w:tblCellMar>
              </w:tblPrEx>
              <w:trPr>
                <w:trHeight w:val="537" w:hRule="atLeast"/>
                <w:jc w:val="center"/>
              </w:trPr>
              <w:tc>
                <w:tcPr>
                  <w:tcW w:w="773" w:type="pct"/>
                  <w:vMerge w:val="continue"/>
                  <w:tcBorders>
                    <w:left w:val="single" w:color="auto" w:sz="8" w:space="0"/>
                    <w:right w:val="single" w:color="auto" w:sz="8" w:space="0"/>
                  </w:tcBorders>
                  <w:vAlign w:val="center"/>
                </w:tcPr>
                <w:p w14:paraId="6E33C484">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p>
              </w:tc>
              <w:tc>
                <w:tcPr>
                  <w:tcW w:w="1050" w:type="pct"/>
                  <w:tcBorders>
                    <w:left w:val="nil"/>
                    <w:bottom w:val="single" w:color="auto" w:sz="4" w:space="0"/>
                    <w:right w:val="single" w:color="auto" w:sz="8" w:space="0"/>
                  </w:tcBorders>
                  <w:vAlign w:val="center"/>
                </w:tcPr>
                <w:p w14:paraId="282AB880">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软水制备（自来水）</w:t>
                  </w:r>
                </w:p>
              </w:tc>
              <w:tc>
                <w:tcPr>
                  <w:tcW w:w="910" w:type="pct"/>
                  <w:tcBorders>
                    <w:top w:val="nil"/>
                    <w:left w:val="nil"/>
                    <w:bottom w:val="single" w:color="auto" w:sz="4" w:space="0"/>
                    <w:right w:val="single" w:color="auto" w:sz="8" w:space="0"/>
                  </w:tcBorders>
                  <w:vAlign w:val="center"/>
                </w:tcPr>
                <w:p w14:paraId="0889559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2.42</w:t>
                  </w:r>
                </w:p>
              </w:tc>
              <w:tc>
                <w:tcPr>
                  <w:tcW w:w="864" w:type="pct"/>
                  <w:tcBorders>
                    <w:top w:val="nil"/>
                    <w:left w:val="nil"/>
                    <w:bottom w:val="single" w:color="auto" w:sz="4" w:space="0"/>
                    <w:right w:val="single" w:color="auto" w:sz="8" w:space="0"/>
                  </w:tcBorders>
                  <w:vAlign w:val="center"/>
                </w:tcPr>
                <w:p w14:paraId="0D45B72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726</w:t>
                  </w:r>
                </w:p>
              </w:tc>
              <w:tc>
                <w:tcPr>
                  <w:tcW w:w="683" w:type="pct"/>
                  <w:tcBorders>
                    <w:top w:val="nil"/>
                    <w:left w:val="nil"/>
                    <w:bottom w:val="single" w:color="auto" w:sz="4" w:space="0"/>
                    <w:right w:val="single" w:color="auto" w:sz="8" w:space="0"/>
                  </w:tcBorders>
                  <w:vAlign w:val="center"/>
                </w:tcPr>
                <w:p w14:paraId="5F96FC2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0.726</w:t>
                  </w:r>
                </w:p>
              </w:tc>
              <w:tc>
                <w:tcPr>
                  <w:tcW w:w="718" w:type="pct"/>
                  <w:tcBorders>
                    <w:top w:val="nil"/>
                    <w:left w:val="nil"/>
                    <w:bottom w:val="single" w:color="auto" w:sz="4" w:space="0"/>
                    <w:right w:val="single" w:color="auto" w:sz="8" w:space="0"/>
                  </w:tcBorders>
                  <w:vAlign w:val="center"/>
                </w:tcPr>
                <w:p w14:paraId="42E778D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217.8</w:t>
                  </w:r>
                </w:p>
              </w:tc>
            </w:tr>
            <w:tr w14:paraId="097C02DC">
              <w:tblPrEx>
                <w:tblCellMar>
                  <w:top w:w="0" w:type="dxa"/>
                  <w:left w:w="108" w:type="dxa"/>
                  <w:bottom w:w="0" w:type="dxa"/>
                  <w:right w:w="108" w:type="dxa"/>
                </w:tblCellMar>
              </w:tblPrEx>
              <w:trPr>
                <w:trHeight w:val="537" w:hRule="atLeast"/>
                <w:jc w:val="center"/>
              </w:trPr>
              <w:tc>
                <w:tcPr>
                  <w:tcW w:w="773" w:type="pct"/>
                  <w:vMerge w:val="continue"/>
                  <w:tcBorders>
                    <w:left w:val="single" w:color="auto" w:sz="8" w:space="0"/>
                    <w:bottom w:val="single" w:color="auto" w:sz="8" w:space="0"/>
                    <w:right w:val="single" w:color="auto" w:sz="8" w:space="0"/>
                  </w:tcBorders>
                  <w:vAlign w:val="center"/>
                </w:tcPr>
                <w:p w14:paraId="504DC346">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p>
              </w:tc>
              <w:tc>
                <w:tcPr>
                  <w:tcW w:w="1050" w:type="pct"/>
                  <w:tcBorders>
                    <w:left w:val="nil"/>
                    <w:bottom w:val="single" w:color="auto" w:sz="4" w:space="0"/>
                    <w:right w:val="single" w:color="auto" w:sz="8" w:space="0"/>
                  </w:tcBorders>
                  <w:vAlign w:val="center"/>
                </w:tcPr>
                <w:p w14:paraId="51083F27">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洗涤用水</w:t>
                  </w:r>
                </w:p>
              </w:tc>
              <w:tc>
                <w:tcPr>
                  <w:tcW w:w="910" w:type="pct"/>
                  <w:tcBorders>
                    <w:top w:val="nil"/>
                    <w:left w:val="nil"/>
                    <w:bottom w:val="single" w:color="auto" w:sz="4" w:space="0"/>
                    <w:right w:val="single" w:color="auto" w:sz="8" w:space="0"/>
                  </w:tcBorders>
                  <w:vAlign w:val="center"/>
                </w:tcPr>
                <w:p w14:paraId="5E9EC49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28.8</w:t>
                  </w:r>
                </w:p>
              </w:tc>
              <w:tc>
                <w:tcPr>
                  <w:tcW w:w="864" w:type="pct"/>
                  <w:tcBorders>
                    <w:top w:val="nil"/>
                    <w:left w:val="nil"/>
                    <w:bottom w:val="single" w:color="auto" w:sz="4" w:space="0"/>
                    <w:right w:val="single" w:color="auto" w:sz="8" w:space="0"/>
                  </w:tcBorders>
                  <w:vAlign w:val="center"/>
                </w:tcPr>
                <w:p w14:paraId="3F11D23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8640</w:t>
                  </w:r>
                </w:p>
              </w:tc>
              <w:tc>
                <w:tcPr>
                  <w:tcW w:w="683" w:type="pct"/>
                  <w:tcBorders>
                    <w:top w:val="nil"/>
                    <w:left w:val="nil"/>
                    <w:bottom w:val="single" w:color="auto" w:sz="4" w:space="0"/>
                    <w:right w:val="single" w:color="auto" w:sz="8" w:space="0"/>
                  </w:tcBorders>
                  <w:shd w:val="clear" w:color="auto" w:fill="auto"/>
                  <w:vAlign w:val="center"/>
                </w:tcPr>
                <w:p w14:paraId="4AE9BD4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25.92</w:t>
                  </w:r>
                </w:p>
              </w:tc>
              <w:tc>
                <w:tcPr>
                  <w:tcW w:w="718" w:type="pct"/>
                  <w:tcBorders>
                    <w:top w:val="nil"/>
                    <w:left w:val="nil"/>
                    <w:bottom w:val="single" w:color="auto" w:sz="4" w:space="0"/>
                    <w:right w:val="single" w:color="auto" w:sz="8" w:space="0"/>
                  </w:tcBorders>
                  <w:shd w:val="clear" w:color="auto" w:fill="auto"/>
                  <w:vAlign w:val="center"/>
                </w:tcPr>
                <w:p w14:paraId="599FD0A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7776</w:t>
                  </w:r>
                </w:p>
              </w:tc>
            </w:tr>
            <w:tr w14:paraId="1B840260">
              <w:tblPrEx>
                <w:tblCellMar>
                  <w:top w:w="0" w:type="dxa"/>
                  <w:left w:w="108" w:type="dxa"/>
                  <w:bottom w:w="0" w:type="dxa"/>
                  <w:right w:w="108" w:type="dxa"/>
                </w:tblCellMar>
              </w:tblPrEx>
              <w:trPr>
                <w:trHeight w:val="537" w:hRule="atLeast"/>
                <w:jc w:val="center"/>
              </w:trPr>
              <w:tc>
                <w:tcPr>
                  <w:tcW w:w="773" w:type="pct"/>
                  <w:tcBorders>
                    <w:left w:val="single" w:color="auto" w:sz="8" w:space="0"/>
                    <w:bottom w:val="single" w:color="auto" w:sz="8" w:space="0"/>
                    <w:right w:val="single" w:color="auto" w:sz="8" w:space="0"/>
                  </w:tcBorders>
                  <w:vAlign w:val="center"/>
                </w:tcPr>
                <w:p w14:paraId="1EA51094">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生活用水</w:t>
                  </w:r>
                </w:p>
              </w:tc>
              <w:tc>
                <w:tcPr>
                  <w:tcW w:w="1050" w:type="pct"/>
                  <w:tcBorders>
                    <w:left w:val="nil"/>
                    <w:bottom w:val="single" w:color="auto" w:sz="4" w:space="0"/>
                    <w:right w:val="single" w:color="auto" w:sz="8" w:space="0"/>
                  </w:tcBorders>
                  <w:vAlign w:val="center"/>
                </w:tcPr>
                <w:p w14:paraId="338CFBA0">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生活用水</w:t>
                  </w:r>
                </w:p>
              </w:tc>
              <w:tc>
                <w:tcPr>
                  <w:tcW w:w="910" w:type="pct"/>
                  <w:tcBorders>
                    <w:top w:val="nil"/>
                    <w:left w:val="nil"/>
                    <w:bottom w:val="single" w:color="auto" w:sz="4" w:space="0"/>
                    <w:right w:val="single" w:color="auto" w:sz="8" w:space="0"/>
                  </w:tcBorders>
                  <w:vAlign w:val="center"/>
                </w:tcPr>
                <w:p w14:paraId="296B114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0.5</w:t>
                  </w:r>
                </w:p>
              </w:tc>
              <w:tc>
                <w:tcPr>
                  <w:tcW w:w="864" w:type="pct"/>
                  <w:tcBorders>
                    <w:top w:val="nil"/>
                    <w:left w:val="nil"/>
                    <w:bottom w:val="single" w:color="auto" w:sz="4" w:space="0"/>
                    <w:right w:val="single" w:color="auto" w:sz="8" w:space="0"/>
                  </w:tcBorders>
                  <w:vAlign w:val="center"/>
                </w:tcPr>
                <w:p w14:paraId="7D55336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150</w:t>
                  </w:r>
                </w:p>
              </w:tc>
              <w:tc>
                <w:tcPr>
                  <w:tcW w:w="683" w:type="pct"/>
                  <w:tcBorders>
                    <w:top w:val="nil"/>
                    <w:left w:val="nil"/>
                    <w:bottom w:val="single" w:color="auto" w:sz="4" w:space="0"/>
                    <w:right w:val="single" w:color="auto" w:sz="8" w:space="0"/>
                  </w:tcBorders>
                  <w:vAlign w:val="center"/>
                </w:tcPr>
                <w:p w14:paraId="7CAB257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0.45</w:t>
                  </w:r>
                </w:p>
              </w:tc>
              <w:tc>
                <w:tcPr>
                  <w:tcW w:w="718" w:type="pct"/>
                  <w:tcBorders>
                    <w:top w:val="nil"/>
                    <w:left w:val="nil"/>
                    <w:bottom w:val="single" w:color="auto" w:sz="4" w:space="0"/>
                    <w:right w:val="single" w:color="auto" w:sz="8" w:space="0"/>
                  </w:tcBorders>
                  <w:vAlign w:val="center"/>
                </w:tcPr>
                <w:p w14:paraId="01EB82B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135</w:t>
                  </w:r>
                </w:p>
              </w:tc>
            </w:tr>
            <w:tr w14:paraId="02BFE559">
              <w:tblPrEx>
                <w:tblCellMar>
                  <w:top w:w="0" w:type="dxa"/>
                  <w:left w:w="108" w:type="dxa"/>
                  <w:bottom w:w="0" w:type="dxa"/>
                  <w:right w:w="108" w:type="dxa"/>
                </w:tblCellMar>
              </w:tblPrEx>
              <w:trPr>
                <w:trHeight w:val="313" w:hRule="atLeast"/>
                <w:jc w:val="center"/>
              </w:trPr>
              <w:tc>
                <w:tcPr>
                  <w:tcW w:w="1823" w:type="pct"/>
                  <w:gridSpan w:val="2"/>
                  <w:tcBorders>
                    <w:left w:val="single" w:color="auto" w:sz="8" w:space="0"/>
                    <w:bottom w:val="single" w:color="auto" w:sz="8" w:space="0"/>
                    <w:right w:val="single" w:color="auto" w:sz="8" w:space="0"/>
                  </w:tcBorders>
                  <w:vAlign w:val="center"/>
                </w:tcPr>
                <w:p w14:paraId="51745BFD">
                  <w:pPr>
                    <w:keepNext w:val="0"/>
                    <w:keepLines w:val="0"/>
                    <w:pageBreakBefore w:val="0"/>
                    <w:widowControl/>
                    <w:kinsoku/>
                    <w:wordWrap/>
                    <w:overflowPunct/>
                    <w:topLinePunct w:val="0"/>
                    <w:autoSpaceDE/>
                    <w:autoSpaceDN/>
                    <w:bidi w:val="0"/>
                    <w:adjustRightInd/>
                    <w:snapToGrid/>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合计</w:t>
                  </w:r>
                </w:p>
              </w:tc>
              <w:tc>
                <w:tcPr>
                  <w:tcW w:w="910" w:type="pct"/>
                  <w:tcBorders>
                    <w:top w:val="nil"/>
                    <w:left w:val="nil"/>
                    <w:bottom w:val="single" w:color="auto" w:sz="8" w:space="0"/>
                    <w:right w:val="single" w:color="auto" w:sz="8" w:space="0"/>
                  </w:tcBorders>
                  <w:shd w:val="clear" w:color="auto" w:fill="auto"/>
                  <w:vAlign w:val="center"/>
                </w:tcPr>
                <w:p w14:paraId="50DDDDB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31.72</w:t>
                  </w:r>
                  <w:r>
                    <w:rPr>
                      <w:rFonts w:hint="default" w:ascii="Times New Roman" w:hAnsi="Times New Roman" w:eastAsia="宋体" w:cs="Times New Roman"/>
                      <w:i w:val="0"/>
                      <w:iCs w:val="0"/>
                      <w:color w:val="auto"/>
                      <w:kern w:val="0"/>
                      <w:sz w:val="21"/>
                      <w:szCs w:val="21"/>
                      <w:highlight w:val="none"/>
                      <w:u w:val="none"/>
                      <w:lang w:val="en-US" w:eastAsia="zh-CN" w:bidi="ar"/>
                    </w:rPr>
                    <w:t>（自来水）</w:t>
                  </w:r>
                </w:p>
              </w:tc>
              <w:tc>
                <w:tcPr>
                  <w:tcW w:w="864" w:type="pct"/>
                  <w:tcBorders>
                    <w:top w:val="nil"/>
                    <w:left w:val="nil"/>
                    <w:bottom w:val="single" w:color="auto" w:sz="8" w:space="0"/>
                    <w:right w:val="single" w:color="auto" w:sz="8" w:space="0"/>
                  </w:tcBorders>
                  <w:shd w:val="clear" w:color="auto" w:fill="auto"/>
                  <w:vAlign w:val="center"/>
                </w:tcPr>
                <w:p w14:paraId="29C1CE4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9516</w:t>
                  </w:r>
                  <w:r>
                    <w:rPr>
                      <w:rFonts w:hint="default" w:ascii="Times New Roman" w:hAnsi="Times New Roman" w:eastAsia="宋体" w:cs="Times New Roman"/>
                      <w:i w:val="0"/>
                      <w:iCs w:val="0"/>
                      <w:color w:val="auto"/>
                      <w:kern w:val="0"/>
                      <w:sz w:val="21"/>
                      <w:szCs w:val="21"/>
                      <w:highlight w:val="none"/>
                      <w:u w:val="none"/>
                      <w:lang w:val="en-US" w:eastAsia="zh-CN" w:bidi="ar"/>
                    </w:rPr>
                    <w:t>（自来水）</w:t>
                  </w:r>
                </w:p>
              </w:tc>
              <w:tc>
                <w:tcPr>
                  <w:tcW w:w="683" w:type="pct"/>
                  <w:tcBorders>
                    <w:top w:val="nil"/>
                    <w:left w:val="nil"/>
                    <w:bottom w:val="single" w:color="auto" w:sz="8" w:space="0"/>
                    <w:right w:val="single" w:color="auto" w:sz="8" w:space="0"/>
                  </w:tcBorders>
                  <w:shd w:val="clear" w:color="auto" w:fill="auto"/>
                  <w:vAlign w:val="center"/>
                </w:tcPr>
                <w:p w14:paraId="14BDB3A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highlight w:val="none"/>
                      <w:lang w:val="en-US" w:eastAsia="zh-CN"/>
                    </w:rPr>
                  </w:pPr>
                  <w:r>
                    <w:rPr>
                      <w:rFonts w:hint="eastAsia" w:cs="Times New Roman"/>
                      <w:i w:val="0"/>
                      <w:iCs w:val="0"/>
                      <w:color w:val="auto"/>
                      <w:kern w:val="0"/>
                      <w:sz w:val="21"/>
                      <w:szCs w:val="21"/>
                      <w:highlight w:val="none"/>
                      <w:u w:val="none"/>
                      <w:lang w:val="en-US" w:eastAsia="zh-CN" w:bidi="ar"/>
                    </w:rPr>
                    <w:t>27.79</w:t>
                  </w:r>
                </w:p>
              </w:tc>
              <w:tc>
                <w:tcPr>
                  <w:tcW w:w="718" w:type="pct"/>
                  <w:tcBorders>
                    <w:top w:val="nil"/>
                    <w:left w:val="nil"/>
                    <w:bottom w:val="single" w:color="auto" w:sz="8" w:space="0"/>
                    <w:right w:val="single" w:color="auto" w:sz="8" w:space="0"/>
                  </w:tcBorders>
                  <w:shd w:val="clear" w:color="auto" w:fill="auto"/>
                  <w:vAlign w:val="center"/>
                </w:tcPr>
                <w:p w14:paraId="6D98B63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8337</w:t>
                  </w:r>
                </w:p>
              </w:tc>
            </w:tr>
          </w:tbl>
          <w:p w14:paraId="26D64915">
            <w:pPr>
              <w:pStyle w:val="50"/>
              <w:numPr>
                <w:ilvl w:val="0"/>
                <w:numId w:val="0"/>
              </w:numPr>
              <w:bidi w:val="0"/>
              <w:ind w:firstLine="480" w:firstLineChars="200"/>
              <w:rPr>
                <w:rFonts w:hint="eastAsia" w:cs="Times New Roman"/>
                <w:color w:val="000000" w:themeColor="text1"/>
                <w:highlight w:val="none"/>
                <w:lang w:val="en-US" w:eastAsia="zh-CN"/>
                <w14:textFill>
                  <w14:solidFill>
                    <w14:schemeClr w14:val="tx1"/>
                  </w14:solidFill>
                </w14:textFill>
              </w:rPr>
            </w:pPr>
          </w:p>
          <w:p w14:paraId="59D41269">
            <w:pPr>
              <w:snapToGrid w:val="0"/>
              <w:spacing w:line="480" w:lineRule="exact"/>
              <w:rPr>
                <w:rFonts w:hint="default" w:hAnsi="宋体" w:eastAsia="宋体"/>
                <w:color w:val="auto"/>
                <w:sz w:val="24"/>
                <w:highlight w:val="none"/>
                <w:lang w:val="en-US" w:eastAsia="zh-CN"/>
              </w:rPr>
            </w:pPr>
          </w:p>
          <w:p w14:paraId="4930B8F9">
            <w:pPr>
              <w:snapToGrid w:val="0"/>
              <w:spacing w:line="480" w:lineRule="exact"/>
              <w:rPr>
                <w:rFonts w:hint="default" w:hAnsi="宋体" w:eastAsia="宋体"/>
                <w:color w:val="auto"/>
                <w:sz w:val="24"/>
                <w:highlight w:val="none"/>
                <w:lang w:val="en-US" w:eastAsia="zh-CN"/>
              </w:rPr>
            </w:pPr>
          </w:p>
          <w:p w14:paraId="6283F55C">
            <w:pPr>
              <w:pStyle w:val="13"/>
              <w:rPr>
                <w:rFonts w:hint="default" w:hAnsi="宋体" w:eastAsia="宋体"/>
                <w:color w:val="auto"/>
                <w:sz w:val="24"/>
                <w:highlight w:val="none"/>
                <w:lang w:val="en-US" w:eastAsia="zh-CN"/>
              </w:rPr>
            </w:pPr>
          </w:p>
          <w:p w14:paraId="773F5618">
            <w:pPr>
              <w:pStyle w:val="13"/>
              <w:jc w:val="both"/>
              <w:rPr>
                <w:rFonts w:hint="default" w:hAnsi="宋体" w:eastAsia="宋体"/>
                <w:color w:val="auto"/>
                <w:sz w:val="24"/>
                <w:highlight w:val="none"/>
                <w:lang w:val="en-US" w:eastAsia="zh-CN"/>
              </w:rPr>
            </w:pPr>
          </w:p>
          <w:p w14:paraId="764CABE9">
            <w:pPr>
              <w:rPr>
                <w:rFonts w:hint="default"/>
                <w:highlight w:val="none"/>
                <w:lang w:val="en-US" w:eastAsia="zh-CN"/>
              </w:rPr>
            </w:pPr>
          </w:p>
          <w:p w14:paraId="348E1A71">
            <w:pPr>
              <w:pStyle w:val="50"/>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textAlignment w:val="auto"/>
              <w:rPr>
                <w:rFonts w:hint="eastAsia" w:cs="Times New Roman"/>
                <w:color w:val="000000" w:themeColor="text1"/>
                <w:highlight w:val="none"/>
                <w:lang w:val="en-US" w:eastAsia="zh-CN"/>
                <w14:textFill>
                  <w14:solidFill>
                    <w14:schemeClr w14:val="tx1"/>
                  </w14:solidFill>
                </w14:textFill>
              </w:rPr>
            </w:pPr>
            <w:r>
              <w:rPr>
                <w:rFonts w:hAnsi="宋体"/>
                <w:color w:val="auto"/>
                <w:sz w:val="24"/>
                <w:highlight w:val="none"/>
              </w:rPr>
              <mc:AlternateContent>
                <mc:Choice Requires="wpc">
                  <w:drawing>
                    <wp:inline distT="0" distB="0" distL="114300" distR="114300">
                      <wp:extent cx="5086985" cy="6038850"/>
                      <wp:effectExtent l="0" t="0" r="0" b="0"/>
                      <wp:docPr id="225" name="画布 2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6" name="直接箭头连接符 55"/>
                              <wps:cNvCnPr/>
                              <wps:spPr>
                                <a:xfrm>
                                  <a:off x="2038985" y="537210"/>
                                  <a:ext cx="1521460" cy="12065"/>
                                </a:xfrm>
                                <a:prstGeom prst="straightConnector1">
                                  <a:avLst/>
                                </a:prstGeom>
                                <a:ln w="6350" cap="flat" cmpd="sng">
                                  <a:solidFill>
                                    <a:srgbClr val="000000"/>
                                  </a:solidFill>
                                  <a:prstDash val="solid"/>
                                  <a:miter/>
                                  <a:headEnd type="none" w="med" len="med"/>
                                  <a:tailEnd type="triangle" w="med" len="med"/>
                                </a:ln>
                              </wps:spPr>
                              <wps:bodyPr/>
                            </wps:wsp>
                            <wps:wsp>
                              <wps:cNvPr id="228" name="矩形 64"/>
                              <wps:cNvSpPr/>
                              <wps:spPr>
                                <a:xfrm>
                                  <a:off x="1094105" y="285750"/>
                                  <a:ext cx="984250" cy="6191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F2C1498">
                                    <w:pPr>
                                      <w:jc w:val="center"/>
                                      <w:rPr>
                                        <w:rFonts w:hint="default" w:eastAsia="宋体"/>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生物质燃料蒸汽发生器</w:t>
                                    </w:r>
                                    <w:r>
                                      <w:rPr>
                                        <w:rFonts w:hint="eastAsia"/>
                                        <w:sz w:val="21"/>
                                        <w:szCs w:val="21"/>
                                        <w:lang w:val="en-US" w:eastAsia="zh-CN"/>
                                      </w:rPr>
                                      <w:t>用水</w:t>
                                    </w:r>
                                  </w:p>
                                </w:txbxContent>
                              </wps:txbx>
                              <wps:bodyPr anchor="ctr" anchorCtr="0" upright="1"/>
                            </wps:wsp>
                            <wps:wsp>
                              <wps:cNvPr id="229" name="直接箭头连接符 66"/>
                              <wps:cNvCnPr/>
                              <wps:spPr>
                                <a:xfrm>
                                  <a:off x="589915" y="1573530"/>
                                  <a:ext cx="10795" cy="1839595"/>
                                </a:xfrm>
                                <a:prstGeom prst="straightConnector1">
                                  <a:avLst/>
                                </a:prstGeom>
                                <a:ln w="9525" cap="flat" cmpd="sng">
                                  <a:solidFill>
                                    <a:srgbClr val="000000"/>
                                  </a:solidFill>
                                  <a:prstDash val="solid"/>
                                  <a:headEnd type="none" w="med" len="med"/>
                                  <a:tailEnd type="none" w="med" len="med"/>
                                </a:ln>
                              </wps:spPr>
                              <wps:bodyPr/>
                            </wps:wsp>
                            <wps:wsp>
                              <wps:cNvPr id="230" name="文本框 68"/>
                              <wps:cNvSpPr txBox="1"/>
                              <wps:spPr>
                                <a:xfrm>
                                  <a:off x="2388235" y="215265"/>
                                  <a:ext cx="1464945" cy="438150"/>
                                </a:xfrm>
                                <a:prstGeom prst="rect">
                                  <a:avLst/>
                                </a:prstGeom>
                                <a:noFill/>
                                <a:ln w="6350">
                                  <a:noFill/>
                                </a:ln>
                              </wps:spPr>
                              <wps:txbx>
                                <w:txbxContent>
                                  <w:p w14:paraId="30350420">
                                    <w:pPr>
                                      <w:rPr>
                                        <w:rFonts w:hint="default" w:eastAsia="宋体"/>
                                        <w:sz w:val="21"/>
                                        <w:szCs w:val="21"/>
                                        <w:lang w:val="en-US" w:eastAsia="zh-CN"/>
                                      </w:rPr>
                                    </w:pPr>
                                    <w:r>
                                      <w:rPr>
                                        <w:rFonts w:hint="eastAsia"/>
                                        <w:sz w:val="21"/>
                                        <w:szCs w:val="21"/>
                                        <w:lang w:val="en-US" w:eastAsia="zh-CN"/>
                                      </w:rPr>
                                      <w:t>排污0.694</w:t>
                                    </w:r>
                                  </w:p>
                                </w:txbxContent>
                              </wps:txbx>
                              <wps:bodyPr upright="1"/>
                            </wps:wsp>
                            <wps:wsp>
                              <wps:cNvPr id="231" name="直接箭头连接符 69"/>
                              <wps:cNvCnPr/>
                              <wps:spPr>
                                <a:xfrm>
                                  <a:off x="55880" y="3103245"/>
                                  <a:ext cx="539750" cy="635"/>
                                </a:xfrm>
                                <a:prstGeom prst="straightConnector1">
                                  <a:avLst/>
                                </a:prstGeom>
                                <a:ln w="6350" cap="flat" cmpd="sng">
                                  <a:solidFill>
                                    <a:srgbClr val="000000"/>
                                  </a:solidFill>
                                  <a:prstDash val="solid"/>
                                  <a:miter/>
                                  <a:headEnd type="none" w="med" len="med"/>
                                  <a:tailEnd type="triangle" w="med" len="med"/>
                                </a:ln>
                              </wps:spPr>
                              <wps:bodyPr/>
                            </wps:wsp>
                            <wps:wsp>
                              <wps:cNvPr id="232" name="文本框 70"/>
                              <wps:cNvSpPr txBox="1"/>
                              <wps:spPr>
                                <a:xfrm>
                                  <a:off x="0" y="3008630"/>
                                  <a:ext cx="703580" cy="404495"/>
                                </a:xfrm>
                                <a:prstGeom prst="rect">
                                  <a:avLst/>
                                </a:prstGeom>
                                <a:noFill/>
                                <a:ln w="6350">
                                  <a:noFill/>
                                </a:ln>
                              </wps:spPr>
                              <wps:txbx>
                                <w:txbxContent>
                                  <w:p w14:paraId="740E945B">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31.</w:t>
                                    </w:r>
                                    <w:r>
                                      <w:rPr>
                                        <w:rFonts w:hint="eastAsia" w:ascii="宋体" w:hAnsi="宋体" w:cs="宋体"/>
                                        <w:sz w:val="21"/>
                                        <w:szCs w:val="21"/>
                                        <w:lang w:val="en-US" w:eastAsia="zh-CN"/>
                                      </w:rPr>
                                      <w:t>72</w:t>
                                    </w:r>
                                  </w:p>
                                </w:txbxContent>
                              </wps:txbx>
                              <wps:bodyPr upright="1"/>
                            </wps:wsp>
                            <wps:wsp>
                              <wps:cNvPr id="233" name="直接箭头连接符 77"/>
                              <wps:cNvCnPr/>
                              <wps:spPr>
                                <a:xfrm>
                                  <a:off x="609600" y="2714625"/>
                                  <a:ext cx="609600" cy="635"/>
                                </a:xfrm>
                                <a:prstGeom prst="straightConnector1">
                                  <a:avLst/>
                                </a:prstGeom>
                                <a:ln w="6350" cap="flat" cmpd="sng">
                                  <a:solidFill>
                                    <a:srgbClr val="000000"/>
                                  </a:solidFill>
                                  <a:prstDash val="solid"/>
                                  <a:miter/>
                                  <a:headEnd type="none" w="med" len="med"/>
                                  <a:tailEnd type="triangle" w="med" len="med"/>
                                </a:ln>
                              </wps:spPr>
                              <wps:bodyPr/>
                            </wps:wsp>
                            <wps:wsp>
                              <wps:cNvPr id="236" name="文本框 82"/>
                              <wps:cNvSpPr txBox="1"/>
                              <wps:spPr>
                                <a:xfrm>
                                  <a:off x="0" y="2719070"/>
                                  <a:ext cx="590550" cy="379730"/>
                                </a:xfrm>
                                <a:prstGeom prst="rect">
                                  <a:avLst/>
                                </a:prstGeom>
                                <a:noFill/>
                                <a:ln w="6350">
                                  <a:noFill/>
                                </a:ln>
                              </wps:spPr>
                              <wps:txbx>
                                <w:txbxContent>
                                  <w:p w14:paraId="5B0E1E1E">
                                    <w:pPr>
                                      <w:rPr>
                                        <w:sz w:val="21"/>
                                        <w:szCs w:val="21"/>
                                      </w:rPr>
                                    </w:pPr>
                                    <w:r>
                                      <w:rPr>
                                        <w:rFonts w:hint="eastAsia"/>
                                        <w:sz w:val="21"/>
                                        <w:szCs w:val="21"/>
                                      </w:rPr>
                                      <w:t>新鲜水</w:t>
                                    </w:r>
                                  </w:p>
                                </w:txbxContent>
                              </wps:txbx>
                              <wps:bodyPr upright="1"/>
                            </wps:wsp>
                            <wps:wsp>
                              <wps:cNvPr id="237" name="直接箭头连接符 95"/>
                              <wps:cNvCnPr/>
                              <wps:spPr>
                                <a:xfrm>
                                  <a:off x="600075" y="1588770"/>
                                  <a:ext cx="638175" cy="635"/>
                                </a:xfrm>
                                <a:prstGeom prst="straightConnector1">
                                  <a:avLst/>
                                </a:prstGeom>
                                <a:ln w="9525" cap="flat" cmpd="sng">
                                  <a:solidFill>
                                    <a:srgbClr val="000000"/>
                                  </a:solidFill>
                                  <a:prstDash val="solid"/>
                                  <a:headEnd type="none" w="med" len="med"/>
                                  <a:tailEnd type="triangle" w="med" len="med"/>
                                </a:ln>
                              </wps:spPr>
                              <wps:bodyPr/>
                            </wps:wsp>
                            <wps:wsp>
                              <wps:cNvPr id="238" name="矩形 98"/>
                              <wps:cNvSpPr/>
                              <wps:spPr>
                                <a:xfrm>
                                  <a:off x="1238885" y="1453515"/>
                                  <a:ext cx="1181735" cy="3752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9A1047D">
                                    <w:pPr>
                                      <w:jc w:val="center"/>
                                      <w:rPr>
                                        <w:rFonts w:hint="default" w:eastAsia="宋体"/>
                                        <w:sz w:val="21"/>
                                        <w:szCs w:val="21"/>
                                        <w:lang w:val="en-US" w:eastAsia="zh-CN"/>
                                      </w:rPr>
                                    </w:pPr>
                                    <w:r>
                                      <w:rPr>
                                        <w:rFonts w:hint="eastAsia"/>
                                        <w:sz w:val="21"/>
                                        <w:szCs w:val="21"/>
                                        <w:lang w:val="en-US" w:eastAsia="zh-CN"/>
                                      </w:rPr>
                                      <w:t>软水制备</w:t>
                                    </w:r>
                                  </w:p>
                                </w:txbxContent>
                              </wps:txbx>
                              <wps:bodyPr anchor="ctr" anchorCtr="0" upright="1"/>
                            </wps:wsp>
                            <wps:wsp>
                              <wps:cNvPr id="239" name="直接箭头连接符 100"/>
                              <wps:cNvCnPr/>
                              <wps:spPr>
                                <a:xfrm flipV="1">
                                  <a:off x="2411095" y="1603375"/>
                                  <a:ext cx="1445260" cy="8890"/>
                                </a:xfrm>
                                <a:prstGeom prst="straightConnector1">
                                  <a:avLst/>
                                </a:prstGeom>
                                <a:ln w="9525" cap="flat" cmpd="sng">
                                  <a:solidFill>
                                    <a:srgbClr val="000000"/>
                                  </a:solidFill>
                                  <a:prstDash val="solid"/>
                                  <a:headEnd type="none" w="med" len="med"/>
                                  <a:tailEnd type="triangle" w="med" len="med"/>
                                </a:ln>
                              </wps:spPr>
                              <wps:bodyPr/>
                            </wps:wsp>
                            <wps:wsp>
                              <wps:cNvPr id="240" name="矩形 110"/>
                              <wps:cNvSpPr/>
                              <wps:spPr>
                                <a:xfrm>
                                  <a:off x="1216660" y="2574290"/>
                                  <a:ext cx="1172210" cy="3987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91158C9">
                                    <w:pPr>
                                      <w:jc w:val="center"/>
                                      <w:rPr>
                                        <w:rFonts w:hint="default" w:eastAsia="宋体"/>
                                        <w:sz w:val="21"/>
                                        <w:szCs w:val="21"/>
                                        <w:lang w:val="en-US" w:eastAsia="zh-CN"/>
                                      </w:rPr>
                                    </w:pPr>
                                    <w:r>
                                      <w:rPr>
                                        <w:rFonts w:hint="eastAsia"/>
                                        <w:sz w:val="21"/>
                                        <w:szCs w:val="21"/>
                                        <w:lang w:val="en-US" w:eastAsia="zh-CN"/>
                                      </w:rPr>
                                      <w:t>生活用水</w:t>
                                    </w:r>
                                  </w:p>
                                </w:txbxContent>
                              </wps:txbx>
                              <wps:bodyPr anchor="ctr" anchorCtr="0" upright="1"/>
                            </wps:wsp>
                            <wps:wsp>
                              <wps:cNvPr id="241" name="直接箭头连接符 127"/>
                              <wps:cNvCnPr/>
                              <wps:spPr>
                                <a:xfrm flipH="1">
                                  <a:off x="4512945" y="2602230"/>
                                  <a:ext cx="8255" cy="1211580"/>
                                </a:xfrm>
                                <a:prstGeom prst="straightConnector1">
                                  <a:avLst/>
                                </a:prstGeom>
                                <a:ln w="12700" cap="flat" cmpd="sng">
                                  <a:solidFill>
                                    <a:srgbClr val="000000"/>
                                  </a:solidFill>
                                  <a:prstDash val="solid"/>
                                  <a:headEnd type="none" w="med" len="med"/>
                                  <a:tailEnd type="triangle" w="sm" len="med"/>
                                </a:ln>
                              </wps:spPr>
                              <wps:bodyPr/>
                            </wps:wsp>
                            <wps:wsp>
                              <wps:cNvPr id="242" name="文本框 130"/>
                              <wps:cNvSpPr txBox="1"/>
                              <wps:spPr>
                                <a:xfrm>
                                  <a:off x="594995" y="3084195"/>
                                  <a:ext cx="609600" cy="351790"/>
                                </a:xfrm>
                                <a:prstGeom prst="rect">
                                  <a:avLst/>
                                </a:prstGeom>
                                <a:noFill/>
                                <a:ln w="6350">
                                  <a:noFill/>
                                </a:ln>
                              </wps:spPr>
                              <wps:txbx>
                                <w:txbxContent>
                                  <w:p w14:paraId="06CECF2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28.8</w:t>
                                    </w:r>
                                  </w:p>
                                </w:txbxContent>
                              </wps:txbx>
                              <wps:bodyPr upright="1"/>
                            </wps:wsp>
                            <wps:wsp>
                              <wps:cNvPr id="243" name="文本框 134"/>
                              <wps:cNvSpPr txBox="1"/>
                              <wps:spPr>
                                <a:xfrm>
                                  <a:off x="1370330" y="0"/>
                                  <a:ext cx="609600" cy="378460"/>
                                </a:xfrm>
                                <a:prstGeom prst="rect">
                                  <a:avLst/>
                                </a:prstGeom>
                                <a:noFill/>
                                <a:ln w="6350">
                                  <a:noFill/>
                                </a:ln>
                              </wps:spPr>
                              <wps:txbx>
                                <w:txbxContent>
                                  <w:p w14:paraId="27D4CBBB">
                                    <w:pPr>
                                      <w:rPr>
                                        <w:rFonts w:hint="default" w:eastAsia="宋体"/>
                                        <w:sz w:val="21"/>
                                        <w:szCs w:val="21"/>
                                        <w:lang w:val="en-US" w:eastAsia="zh-CN"/>
                                      </w:rPr>
                                    </w:pPr>
                                    <w:r>
                                      <w:rPr>
                                        <w:rFonts w:hint="eastAsia" w:eastAsia="宋体"/>
                                        <w:sz w:val="21"/>
                                        <w:szCs w:val="21"/>
                                        <w:lang w:val="en-US" w:eastAsia="zh-CN"/>
                                      </w:rPr>
                                      <w:t>1</w:t>
                                    </w:r>
                                  </w:p>
                                </w:txbxContent>
                              </wps:txbx>
                              <wps:bodyPr upright="1"/>
                            </wps:wsp>
                            <wps:wsp>
                              <wps:cNvPr id="244" name="文本框 62"/>
                              <wps:cNvSpPr txBox="1"/>
                              <wps:spPr>
                                <a:xfrm>
                                  <a:off x="607060" y="1237615"/>
                                  <a:ext cx="631190" cy="378460"/>
                                </a:xfrm>
                                <a:prstGeom prst="rect">
                                  <a:avLst/>
                                </a:prstGeom>
                                <a:noFill/>
                                <a:ln w="6350">
                                  <a:noFill/>
                                </a:ln>
                              </wps:spPr>
                              <wps:txbx>
                                <w:txbxContent>
                                  <w:p w14:paraId="7620E7D2">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42</w:t>
                                    </w:r>
                                  </w:p>
                                </w:txbxContent>
                              </wps:txbx>
                              <wps:bodyPr upright="1"/>
                            </wps:wsp>
                            <wps:wsp>
                              <wps:cNvPr id="246" name="直接箭头连接符 100"/>
                              <wps:cNvCnPr/>
                              <wps:spPr>
                                <a:xfrm>
                                  <a:off x="2402205" y="2708910"/>
                                  <a:ext cx="701675" cy="0"/>
                                </a:xfrm>
                                <a:prstGeom prst="straightConnector1">
                                  <a:avLst/>
                                </a:prstGeom>
                                <a:ln w="9525" cap="flat" cmpd="sng">
                                  <a:solidFill>
                                    <a:srgbClr val="000000"/>
                                  </a:solidFill>
                                  <a:prstDash val="solid"/>
                                  <a:headEnd type="none" w="med" len="med"/>
                                  <a:tailEnd type="triangle" w="med" len="med"/>
                                </a:ln>
                              </wps:spPr>
                              <wps:bodyPr/>
                            </wps:wsp>
                            <wps:wsp>
                              <wps:cNvPr id="247" name="文本框 88"/>
                              <wps:cNvSpPr txBox="1"/>
                              <wps:spPr>
                                <a:xfrm>
                                  <a:off x="2291715" y="2989580"/>
                                  <a:ext cx="628650" cy="386715"/>
                                </a:xfrm>
                                <a:prstGeom prst="rect">
                                  <a:avLst/>
                                </a:prstGeom>
                                <a:noFill/>
                                <a:ln w="6350">
                                  <a:noFill/>
                                </a:ln>
                              </wps:spPr>
                              <wps:txbx>
                                <w:txbxContent>
                                  <w:p w14:paraId="2CEB4DE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25.92</w:t>
                                    </w:r>
                                  </w:p>
                                </w:txbxContent>
                              </wps:txbx>
                              <wps:bodyPr upright="1"/>
                            </wps:wsp>
                            <wps:wsp>
                              <wps:cNvPr id="248" name="直接箭头连接符 387"/>
                              <wps:cNvCnPr/>
                              <wps:spPr>
                                <a:xfrm flipV="1">
                                  <a:off x="1442085" y="143510"/>
                                  <a:ext cx="167640" cy="21018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9" name="文本框 68"/>
                              <wps:cNvSpPr txBox="1"/>
                              <wps:spPr>
                                <a:xfrm>
                                  <a:off x="1897380" y="93345"/>
                                  <a:ext cx="609600" cy="456565"/>
                                </a:xfrm>
                                <a:prstGeom prst="rect">
                                  <a:avLst/>
                                </a:prstGeom>
                                <a:noFill/>
                                <a:ln w="6350">
                                  <a:noFill/>
                                </a:ln>
                              </wps:spPr>
                              <wps:txbx>
                                <w:txbxContent>
                                  <w:p w14:paraId="2800427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xbxContent>
                              </wps:txbx>
                              <wps:bodyPr upright="1"/>
                            </wps:wsp>
                            <wps:wsp>
                              <wps:cNvPr id="250" name="文本框 499"/>
                              <wps:cNvSpPr txBox="1"/>
                              <wps:spPr>
                                <a:xfrm>
                                  <a:off x="2374265" y="1206500"/>
                                  <a:ext cx="1633855" cy="369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7D6BC">
                                    <w:pPr>
                                      <w:rPr>
                                        <w:rFonts w:hint="default" w:eastAsia="宋体"/>
                                        <w:kern w:val="0"/>
                                        <w:sz w:val="21"/>
                                        <w:szCs w:val="21"/>
                                        <w:lang w:val="en-US" w:eastAsia="zh-CN"/>
                                      </w:rPr>
                                    </w:pPr>
                                    <w:r>
                                      <w:rPr>
                                        <w:rFonts w:hint="eastAsia"/>
                                        <w:kern w:val="0"/>
                                        <w:sz w:val="21"/>
                                        <w:szCs w:val="21"/>
                                        <w:lang w:val="en-US" w:eastAsia="zh-CN"/>
                                      </w:rPr>
                                      <w:t>软水制备废水0.726</w:t>
                                    </w:r>
                                  </w:p>
                                </w:txbxContent>
                              </wps:txbx>
                              <wps:bodyPr rot="0" spcFirstLastPara="0" vert="horz" wrap="square" lIns="91440" tIns="45720" rIns="91440" bIns="45720" numCol="1" spcCol="0" rtlCol="0" fromWordArt="0" anchor="t" anchorCtr="0" forceAA="0" compatLnSpc="1">
                                <a:noAutofit/>
                              </wps:bodyPr>
                            </wps:wsp>
                            <wps:wsp>
                              <wps:cNvPr id="252" name="文本框 548"/>
                              <wps:cNvSpPr txBox="1"/>
                              <wps:spPr>
                                <a:xfrm>
                                  <a:off x="3103880" y="2467610"/>
                                  <a:ext cx="880110" cy="473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067D6C">
                                    <w:pPr>
                                      <w:rPr>
                                        <w:rFonts w:hint="eastAsia" w:eastAsia="宋体"/>
                                        <w:sz w:val="21"/>
                                        <w:szCs w:val="21"/>
                                        <w:lang w:val="en-US" w:eastAsia="zh-CN"/>
                                      </w:rPr>
                                    </w:pPr>
                                    <w:r>
                                      <w:rPr>
                                        <w:rFonts w:hint="eastAsia"/>
                                        <w:sz w:val="21"/>
                                        <w:szCs w:val="21"/>
                                        <w:lang w:val="en-US" w:eastAsia="zh-CN"/>
                                      </w:rPr>
                                      <w:t>生化池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 name="直接箭头连接符 387"/>
                              <wps:cNvCnPr/>
                              <wps:spPr>
                                <a:xfrm flipV="1">
                                  <a:off x="1513205" y="2338705"/>
                                  <a:ext cx="167640" cy="21018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4" name="文本框 102"/>
                              <wps:cNvSpPr txBox="1"/>
                              <wps:spPr>
                                <a:xfrm>
                                  <a:off x="1675130" y="2839720"/>
                                  <a:ext cx="648335" cy="369570"/>
                                </a:xfrm>
                                <a:prstGeom prst="rect">
                                  <a:avLst/>
                                </a:prstGeom>
                                <a:noFill/>
                                <a:ln w="6350">
                                  <a:noFill/>
                                </a:ln>
                              </wps:spPr>
                              <wps:txbx>
                                <w:txbxContent>
                                  <w:p w14:paraId="31749FA7">
                                    <w:pPr>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2.88</w:t>
                                    </w:r>
                                  </w:p>
                                </w:txbxContent>
                              </wps:txbx>
                              <wps:bodyPr upright="1"/>
                            </wps:wsp>
                            <wps:wsp>
                              <wps:cNvPr id="256" name="文本框 553"/>
                              <wps:cNvSpPr txBox="1"/>
                              <wps:spPr>
                                <a:xfrm>
                                  <a:off x="4120515" y="3806190"/>
                                  <a:ext cx="860425" cy="589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D12DBB">
                                    <w:pPr>
                                      <w:rPr>
                                        <w:rFonts w:hint="eastAsia"/>
                                        <w:sz w:val="21"/>
                                        <w:szCs w:val="21"/>
                                        <w:lang w:val="en-US" w:eastAsia="zh-CN"/>
                                      </w:rPr>
                                    </w:pPr>
                                    <w:r>
                                      <w:rPr>
                                        <w:rFonts w:hint="eastAsia"/>
                                        <w:sz w:val="21"/>
                                        <w:szCs w:val="21"/>
                                        <w:lang w:val="en-US" w:eastAsia="zh-CN"/>
                                      </w:rPr>
                                      <w:t>园区污水</w:t>
                                    </w:r>
                                  </w:p>
                                  <w:p w14:paraId="0F1909C9">
                                    <w:pPr>
                                      <w:rPr>
                                        <w:rFonts w:hint="eastAsia"/>
                                        <w:sz w:val="21"/>
                                        <w:szCs w:val="21"/>
                                        <w:lang w:val="en-US" w:eastAsia="zh-CN"/>
                                      </w:rPr>
                                    </w:pPr>
                                    <w:r>
                                      <w:rPr>
                                        <w:rFonts w:hint="eastAsia"/>
                                        <w:sz w:val="21"/>
                                        <w:szCs w:val="21"/>
                                        <w:lang w:val="en-US" w:eastAsia="zh-CN"/>
                                      </w:rPr>
                                      <w:t>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7" name="直接箭头连接符 554"/>
                              <wps:cNvCnPr/>
                              <wps:spPr>
                                <a:xfrm>
                                  <a:off x="4552950" y="4382770"/>
                                  <a:ext cx="6985" cy="26987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8" name="文本框 555"/>
                              <wps:cNvSpPr txBox="1"/>
                              <wps:spPr>
                                <a:xfrm>
                                  <a:off x="4204335" y="4574540"/>
                                  <a:ext cx="647700" cy="455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5C8F3">
                                    <w:pPr>
                                      <w:rPr>
                                        <w:rFonts w:hint="eastAsia"/>
                                        <w:lang w:val="en-US" w:eastAsia="zh-CN"/>
                                      </w:rPr>
                                    </w:pPr>
                                    <w:r>
                                      <w:rPr>
                                        <w:rFonts w:hint="eastAsia" w:ascii="Times New Roman" w:hAnsi="Times New Roman" w:eastAsia="宋体" w:cs="Times New Roman"/>
                                        <w:sz w:val="21"/>
                                        <w:szCs w:val="21"/>
                                        <w:lang w:val="en-US" w:eastAsia="zh-CN"/>
                                      </w:rPr>
                                      <w:t>铜钵河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直接箭头连接符 95"/>
                              <wps:cNvCnPr/>
                              <wps:spPr>
                                <a:xfrm flipH="1" flipV="1">
                                  <a:off x="1688465" y="918845"/>
                                  <a:ext cx="15240" cy="542290"/>
                                </a:xfrm>
                                <a:prstGeom prst="straightConnector1">
                                  <a:avLst/>
                                </a:prstGeom>
                                <a:ln w="9525" cap="flat" cmpd="sng">
                                  <a:solidFill>
                                    <a:srgbClr val="000000"/>
                                  </a:solidFill>
                                  <a:prstDash val="solid"/>
                                  <a:headEnd type="none" w="med" len="med"/>
                                  <a:tailEnd type="triangle" w="med" len="med"/>
                                </a:ln>
                              </wps:spPr>
                              <wps:bodyPr/>
                            </wps:wsp>
                            <wps:wsp>
                              <wps:cNvPr id="260" name="文本框 499"/>
                              <wps:cNvSpPr txBox="1"/>
                              <wps:spPr>
                                <a:xfrm>
                                  <a:off x="1625600" y="950595"/>
                                  <a:ext cx="941705" cy="395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8133C">
                                    <w:pPr>
                                      <w:rPr>
                                        <w:rFonts w:hint="default" w:eastAsia="宋体"/>
                                        <w:kern w:val="0"/>
                                        <w:sz w:val="21"/>
                                        <w:szCs w:val="21"/>
                                        <w:lang w:val="en-US" w:eastAsia="zh-CN"/>
                                      </w:rPr>
                                    </w:pPr>
                                    <w:r>
                                      <w:rPr>
                                        <w:rFonts w:hint="eastAsia"/>
                                        <w:kern w:val="0"/>
                                        <w:sz w:val="21"/>
                                        <w:szCs w:val="21"/>
                                        <w:lang w:val="en-US" w:eastAsia="zh-CN"/>
                                      </w:rPr>
                                      <w:t>软水1.694</w:t>
                                    </w:r>
                                  </w:p>
                                </w:txbxContent>
                              </wps:txbx>
                              <wps:bodyPr rot="0" spcFirstLastPara="0" vert="horz" wrap="square" lIns="91440" tIns="45720" rIns="91440" bIns="45720" numCol="1" spcCol="0" rtlCol="0" fromWordArt="0" anchor="t" anchorCtr="0" forceAA="0" compatLnSpc="1">
                                <a:noAutofit/>
                              </wps:bodyPr>
                            </wps:wsp>
                            <wps:wsp>
                              <wps:cNvPr id="261" name="直接箭头连接符 77"/>
                              <wps:cNvCnPr/>
                              <wps:spPr>
                                <a:xfrm>
                                  <a:off x="595630" y="3418205"/>
                                  <a:ext cx="609600" cy="635"/>
                                </a:xfrm>
                                <a:prstGeom prst="straightConnector1">
                                  <a:avLst/>
                                </a:prstGeom>
                                <a:ln w="6350" cap="flat" cmpd="sng">
                                  <a:solidFill>
                                    <a:srgbClr val="000000"/>
                                  </a:solidFill>
                                  <a:prstDash val="solid"/>
                                  <a:miter/>
                                  <a:headEnd type="none" w="med" len="med"/>
                                  <a:tailEnd type="triangle" w="med" len="med"/>
                                </a:ln>
                              </wps:spPr>
                              <wps:bodyPr/>
                            </wps:wsp>
                            <wps:wsp>
                              <wps:cNvPr id="262" name="矩形 110"/>
                              <wps:cNvSpPr/>
                              <wps:spPr>
                                <a:xfrm>
                                  <a:off x="1193165" y="3246755"/>
                                  <a:ext cx="1033780" cy="35814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D494DBE">
                                    <w:pPr>
                                      <w:jc w:val="center"/>
                                      <w:rPr>
                                        <w:rFonts w:hint="default" w:eastAsia="宋体"/>
                                        <w:sz w:val="21"/>
                                        <w:szCs w:val="21"/>
                                        <w:lang w:val="en-US" w:eastAsia="zh-CN"/>
                                      </w:rPr>
                                    </w:pPr>
                                    <w:r>
                                      <w:rPr>
                                        <w:rFonts w:hint="eastAsia" w:eastAsia="宋体"/>
                                        <w:sz w:val="21"/>
                                        <w:szCs w:val="21"/>
                                        <w:lang w:val="en-US" w:eastAsia="zh-CN"/>
                                      </w:rPr>
                                      <w:t>洗涤用水</w:t>
                                    </w:r>
                                  </w:p>
                                </w:txbxContent>
                              </wps:txbx>
                              <wps:bodyPr anchor="ctr" anchorCtr="0" upright="1"/>
                            </wps:wsp>
                            <wps:wsp>
                              <wps:cNvPr id="263" name="文本框 130"/>
                              <wps:cNvSpPr txBox="1"/>
                              <wps:spPr>
                                <a:xfrm>
                                  <a:off x="629920" y="2319020"/>
                                  <a:ext cx="609600" cy="378460"/>
                                </a:xfrm>
                                <a:prstGeom prst="rect">
                                  <a:avLst/>
                                </a:prstGeom>
                                <a:noFill/>
                                <a:ln w="6350">
                                  <a:noFill/>
                                </a:ln>
                              </wps:spPr>
                              <wps:txbx>
                                <w:txbxContent>
                                  <w:p w14:paraId="39C1303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w:t>
                                    </w:r>
                                  </w:p>
                                </w:txbxContent>
                              </wps:txbx>
                              <wps:bodyPr upright="1"/>
                            </wps:wsp>
                            <wps:wsp>
                              <wps:cNvPr id="270" name="直接箭头连接符 100"/>
                              <wps:cNvCnPr/>
                              <wps:spPr>
                                <a:xfrm flipV="1">
                                  <a:off x="2231390" y="3414395"/>
                                  <a:ext cx="729615" cy="5080"/>
                                </a:xfrm>
                                <a:prstGeom prst="straightConnector1">
                                  <a:avLst/>
                                </a:prstGeom>
                                <a:ln w="9525" cap="flat" cmpd="sng">
                                  <a:solidFill>
                                    <a:srgbClr val="000000"/>
                                  </a:solidFill>
                                  <a:prstDash val="solid"/>
                                  <a:headEnd type="none" w="med" len="med"/>
                                  <a:tailEnd type="triangle" w="med" len="med"/>
                                </a:ln>
                              </wps:spPr>
                              <wps:bodyPr/>
                            </wps:wsp>
                            <wps:wsp>
                              <wps:cNvPr id="271" name="直接箭头连接符 387"/>
                              <wps:cNvCnPr/>
                              <wps:spPr>
                                <a:xfrm flipV="1">
                                  <a:off x="1574165" y="3071495"/>
                                  <a:ext cx="167640" cy="21018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2" name="文本框 102"/>
                              <wps:cNvSpPr txBox="1"/>
                              <wps:spPr>
                                <a:xfrm>
                                  <a:off x="1694815" y="2118995"/>
                                  <a:ext cx="648335" cy="369570"/>
                                </a:xfrm>
                                <a:prstGeom prst="rect">
                                  <a:avLst/>
                                </a:prstGeom>
                                <a:noFill/>
                                <a:ln w="6350">
                                  <a:noFill/>
                                </a:ln>
                              </wps:spPr>
                              <wps:txbx>
                                <w:txbxContent>
                                  <w:p w14:paraId="521ACD08">
                                    <w:pPr>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0.05</w:t>
                                    </w:r>
                                  </w:p>
                                </w:txbxContent>
                              </wps:txbx>
                              <wps:bodyPr upright="1"/>
                            </wps:wsp>
                            <wps:wsp>
                              <wps:cNvPr id="273" name="文本框 88"/>
                              <wps:cNvSpPr txBox="1"/>
                              <wps:spPr>
                                <a:xfrm>
                                  <a:off x="2489835" y="2299970"/>
                                  <a:ext cx="525780" cy="326390"/>
                                </a:xfrm>
                                <a:prstGeom prst="rect">
                                  <a:avLst/>
                                </a:prstGeom>
                                <a:noFill/>
                                <a:ln w="6350">
                                  <a:noFill/>
                                </a:ln>
                              </wps:spPr>
                              <wps:txbx>
                                <w:txbxContent>
                                  <w:p w14:paraId="2AD3A4B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0.45</w:t>
                                    </w:r>
                                  </w:p>
                                </w:txbxContent>
                              </wps:txbx>
                              <wps:bodyPr upright="1"/>
                            </wps:wsp>
                            <wps:wsp>
                              <wps:cNvPr id="281" name="任意多边形 386"/>
                              <wps:cNvSpPr/>
                              <wps:spPr>
                                <a:xfrm>
                                  <a:off x="1863725" y="144780"/>
                                  <a:ext cx="571500" cy="285750"/>
                                </a:xfrm>
                                <a:custGeom>
                                  <a:avLst/>
                                  <a:gdLst>
                                    <a:gd name="connisteX0" fmla="*/ 222250 w 571500"/>
                                    <a:gd name="connsiteY0" fmla="*/ 285750 h 285750"/>
                                    <a:gd name="connisteX1" fmla="*/ 571500 w 571500"/>
                                    <a:gd name="connsiteY1" fmla="*/ 285750 h 285750"/>
                                    <a:gd name="connisteX2" fmla="*/ 571500 w 571500"/>
                                    <a:gd name="connsiteY2" fmla="*/ 0 h 285750"/>
                                    <a:gd name="connisteX3" fmla="*/ 0 w 571500"/>
                                    <a:gd name="connsiteY3" fmla="*/ 0 h 285750"/>
                                    <a:gd name="connisteX4" fmla="*/ 0 w 571500"/>
                                    <a:gd name="connsiteY4" fmla="*/ 148590 h 2857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71500" h="285750">
                                      <a:moveTo>
                                        <a:pt x="222250" y="285750"/>
                                      </a:moveTo>
                                      <a:lnTo>
                                        <a:pt x="571500" y="285750"/>
                                      </a:lnTo>
                                      <a:lnTo>
                                        <a:pt x="571500" y="0"/>
                                      </a:lnTo>
                                      <a:lnTo>
                                        <a:pt x="0" y="0"/>
                                      </a:lnTo>
                                      <a:lnTo>
                                        <a:pt x="0" y="148590"/>
                                      </a:lnTo>
                                    </a:path>
                                  </a:pathLst>
                                </a:custGeom>
                                <a:noFill/>
                                <a:ln>
                                  <a:solidFill>
                                    <a:schemeClr val="tx1"/>
                                  </a:solidFill>
                                  <a:headEnd type="none"/>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87" name="矩形 56"/>
                              <wps:cNvSpPr/>
                              <wps:spPr>
                                <a:xfrm>
                                  <a:off x="834390" y="4994910"/>
                                  <a:ext cx="3152775" cy="463550"/>
                                </a:xfrm>
                                <a:prstGeom prst="rect">
                                  <a:avLst/>
                                </a:prstGeom>
                                <a:noFill/>
                                <a:ln>
                                  <a:noFill/>
                                </a:ln>
                              </wps:spPr>
                              <wps:txbx>
                                <w:txbxContent>
                                  <w:p w14:paraId="67612FE4">
                                    <w:pPr>
                                      <w:pStyle w:val="16"/>
                                      <w:spacing w:before="48" w:after="48" w:line="480" w:lineRule="exact"/>
                                      <w:ind w:firstLine="422"/>
                                      <w:rPr>
                                        <w:b/>
                                        <w:bCs/>
                                        <w:sz w:val="21"/>
                                        <w:szCs w:val="21"/>
                                      </w:rPr>
                                    </w:pPr>
                                    <w:r>
                                      <w:rPr>
                                        <w:rFonts w:hAnsi="宋体"/>
                                        <w:b/>
                                        <w:bCs/>
                                        <w:sz w:val="21"/>
                                        <w:szCs w:val="21"/>
                                      </w:rPr>
                                      <w:t>图</w:t>
                                    </w:r>
                                    <w:r>
                                      <w:rPr>
                                        <w:b/>
                                        <w:bCs/>
                                        <w:sz w:val="21"/>
                                        <w:szCs w:val="21"/>
                                      </w:rPr>
                                      <w:t>2</w:t>
                                    </w:r>
                                    <w:r>
                                      <w:rPr>
                                        <w:rFonts w:hint="eastAsia"/>
                                        <w:b/>
                                        <w:bCs/>
                                        <w:sz w:val="21"/>
                                        <w:szCs w:val="21"/>
                                        <w:lang w:val="en-US" w:eastAsia="zh-CN"/>
                                      </w:rPr>
                                      <w:t>.1全厂</w:t>
                                    </w:r>
                                    <w:r>
                                      <w:rPr>
                                        <w:rFonts w:hAnsi="宋体"/>
                                        <w:b/>
                                        <w:bCs/>
                                        <w:sz w:val="21"/>
                                        <w:szCs w:val="21"/>
                                      </w:rPr>
                                      <w:t>水平衡图单位：</w:t>
                                    </w:r>
                                    <w:r>
                                      <w:rPr>
                                        <w:b/>
                                        <w:bCs/>
                                        <w:sz w:val="21"/>
                                        <w:szCs w:val="21"/>
                                      </w:rPr>
                                      <w:t>m</w:t>
                                    </w:r>
                                    <w:r>
                                      <w:rPr>
                                        <w:b/>
                                        <w:bCs/>
                                        <w:sz w:val="21"/>
                                        <w:szCs w:val="21"/>
                                        <w:vertAlign w:val="superscript"/>
                                      </w:rPr>
                                      <w:t>3</w:t>
                                    </w:r>
                                    <w:r>
                                      <w:rPr>
                                        <w:b/>
                                        <w:bCs/>
                                        <w:sz w:val="21"/>
                                        <w:szCs w:val="21"/>
                                      </w:rPr>
                                      <w:t>/d</w:t>
                                    </w:r>
                                  </w:p>
                                  <w:p w14:paraId="004FDF9D">
                                    <w:pPr>
                                      <w:rPr>
                                        <w:szCs w:val="20"/>
                                      </w:rPr>
                                    </w:pPr>
                                  </w:p>
                                </w:txbxContent>
                              </wps:txbx>
                              <wps:bodyPr upright="1"/>
                            </wps:wsp>
                            <wps:wsp>
                              <wps:cNvPr id="3" name="文本框 548"/>
                              <wps:cNvSpPr txBox="1"/>
                              <wps:spPr>
                                <a:xfrm>
                                  <a:off x="2961005" y="3210560"/>
                                  <a:ext cx="1031240" cy="473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4B70C5">
                                    <w:pPr>
                                      <w:rPr>
                                        <w:rFonts w:hint="default" w:eastAsia="宋体"/>
                                        <w:sz w:val="21"/>
                                        <w:szCs w:val="21"/>
                                        <w:lang w:val="en-US" w:eastAsia="zh-CN"/>
                                      </w:rPr>
                                    </w:pPr>
                                    <w:r>
                                      <w:rPr>
                                        <w:rFonts w:hint="eastAsia"/>
                                        <w:sz w:val="21"/>
                                        <w:szCs w:val="21"/>
                                        <w:lang w:val="en-US" w:eastAsia="zh-CN"/>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直接箭头连接符 100"/>
                              <wps:cNvCnPr/>
                              <wps:spPr>
                                <a:xfrm flipV="1">
                                  <a:off x="3973830" y="2649855"/>
                                  <a:ext cx="539750" cy="1905"/>
                                </a:xfrm>
                                <a:prstGeom prst="straightConnector1">
                                  <a:avLst/>
                                </a:prstGeom>
                                <a:ln w="9525" cap="flat" cmpd="sng">
                                  <a:solidFill>
                                    <a:srgbClr val="000000"/>
                                  </a:solidFill>
                                  <a:prstDash val="solid"/>
                                  <a:headEnd type="none" w="med" len="med"/>
                                  <a:tailEnd type="triangle" w="med" len="med"/>
                                </a:ln>
                              </wps:spPr>
                              <wps:bodyPr/>
                            </wps:wsp>
                            <wps:wsp>
                              <wps:cNvPr id="5" name="文本框 63"/>
                              <wps:cNvSpPr txBox="1"/>
                              <wps:spPr>
                                <a:xfrm>
                                  <a:off x="4338955" y="2907030"/>
                                  <a:ext cx="748030" cy="482600"/>
                                </a:xfrm>
                                <a:prstGeom prst="rect">
                                  <a:avLst/>
                                </a:prstGeom>
                                <a:noFill/>
                                <a:ln w="6350">
                                  <a:noFill/>
                                </a:ln>
                              </wps:spPr>
                              <wps:txbx>
                                <w:txbxContent>
                                  <w:p w14:paraId="6020B729">
                                    <w:pPr>
                                      <w:rPr>
                                        <w:rFonts w:hint="default"/>
                                        <w:lang w:val="en-US" w:eastAsia="zh-CN"/>
                                      </w:rPr>
                                    </w:pPr>
                                    <w:r>
                                      <w:rPr>
                                        <w:rFonts w:hint="eastAsia" w:ascii="宋体" w:hAnsi="宋体" w:cs="宋体"/>
                                        <w:sz w:val="21"/>
                                        <w:szCs w:val="21"/>
                                        <w:lang w:val="en-US" w:eastAsia="zh-CN"/>
                                      </w:rPr>
                                      <w:t>26.37</w:t>
                                    </w:r>
                                  </w:p>
                                </w:txbxContent>
                              </wps:txbx>
                              <wps:bodyPr upright="1"/>
                            </wps:wsp>
                            <wps:wsp>
                              <wps:cNvPr id="6" name="直接箭头连接符 100"/>
                              <wps:cNvCnPr/>
                              <wps:spPr>
                                <a:xfrm flipV="1">
                                  <a:off x="3983355" y="3449955"/>
                                  <a:ext cx="530225" cy="1905"/>
                                </a:xfrm>
                                <a:prstGeom prst="straightConnector1">
                                  <a:avLst/>
                                </a:prstGeom>
                                <a:ln w="9525" cap="flat" cmpd="sng">
                                  <a:solidFill>
                                    <a:srgbClr val="000000"/>
                                  </a:solidFill>
                                  <a:prstDash val="solid"/>
                                  <a:headEnd type="none" w="med" len="med"/>
                                  <a:tailEnd type="triangle" w="med" len="med"/>
                                </a:ln>
                              </wps:spPr>
                              <wps:bodyPr/>
                            </wps:wsp>
                            <wps:wsp>
                              <wps:cNvPr id="7" name="文本框 555"/>
                              <wps:cNvSpPr txBox="1"/>
                              <wps:spPr>
                                <a:xfrm>
                                  <a:off x="3827780" y="1386840"/>
                                  <a:ext cx="866140" cy="455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888B3E">
                                    <w:pPr>
                                      <w:rPr>
                                        <w:rFonts w:hint="default"/>
                                        <w:lang w:val="en-US" w:eastAsia="zh-CN"/>
                                      </w:rPr>
                                    </w:pPr>
                                    <w:r>
                                      <w:rPr>
                                        <w:rFonts w:hint="eastAsia" w:ascii="Times New Roman" w:hAnsi="Times New Roman" w:eastAsia="宋体" w:cs="Times New Roman"/>
                                        <w:sz w:val="21"/>
                                        <w:szCs w:val="21"/>
                                        <w:lang w:val="en-US" w:eastAsia="zh-CN"/>
                                      </w:rPr>
                                      <w:t>雨水管网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555"/>
                              <wps:cNvSpPr txBox="1"/>
                              <wps:spPr>
                                <a:xfrm>
                                  <a:off x="3542030" y="348615"/>
                                  <a:ext cx="866140" cy="455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EFAE8F">
                                    <w:pPr>
                                      <w:rPr>
                                        <w:rFonts w:hint="default"/>
                                        <w:lang w:val="en-US" w:eastAsia="zh-CN"/>
                                      </w:rPr>
                                    </w:pPr>
                                    <w:r>
                                      <w:rPr>
                                        <w:rFonts w:hint="eastAsia" w:ascii="Times New Roman" w:hAnsi="Times New Roman" w:eastAsia="宋体" w:cs="Times New Roman"/>
                                        <w:sz w:val="21"/>
                                        <w:szCs w:val="21"/>
                                        <w:lang w:val="en-US" w:eastAsia="zh-CN"/>
                                      </w:rPr>
                                      <w:t>雨水管网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555"/>
                              <wps:cNvSpPr txBox="1"/>
                              <wps:spPr>
                                <a:xfrm>
                                  <a:off x="2160270" y="9525"/>
                                  <a:ext cx="866140" cy="455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7C979">
                                    <w:pPr>
                                      <w:rPr>
                                        <w:rFonts w:hint="default"/>
                                        <w:lang w:val="en-US" w:eastAsia="zh-CN"/>
                                      </w:rPr>
                                    </w:pPr>
                                    <w:r>
                                      <w:rPr>
                                        <w:rFonts w:hint="eastAsia" w:ascii="Times New Roman" w:hAnsi="Times New Roman" w:eastAsia="宋体" w:cs="Times New Roman"/>
                                        <w:sz w:val="21"/>
                                        <w:szCs w:val="21"/>
                                        <w:lang w:val="en-US" w:eastAsia="zh-CN"/>
                                      </w:rPr>
                                      <w:t>循环</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475.5pt;width:400.55pt;" coordsize="5086985,6038850" editas="canvas" o:gfxdata="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">
                      <o:lock v:ext="edit" aspectratio="f"/>
                      <v:shape id="_x0000_s1026" o:spid="_x0000_s1026" style="position:absolute;left:0;top:0;height:6038850;width:5086985;" filled="f" stroked="f" coordsize="21600,21600" o:gfxdata="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">
                        <v:fill on="f" focussize="0,0"/>
                        <v:stroke on="f"/>
                        <v:imagedata o:title=""/>
                        <o:lock v:ext="edit" aspectratio="t"/>
                      </v:shape>
                      <v:shape id="直接箭头连接符 55" o:spid="_x0000_s1026" o:spt="32" type="#_x0000_t32" style="position:absolute;left:2038985;top:537210;height:12065;width:1521460;" filled="f" stroked="t" coordsize="21600,21600" o:gfxdata="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R/UrjTAAAABQEAAA8A&#10;AAAAAAAAAQAgAAAAIgAAAGRycy9kb3ducmV2LnhtbFBLAQIUABQAAAAIAIdO4kDVpk8aHAIAAAwE&#10;AAAOAAAAAAAAAAEAIAAAACIBAABkcnMvZTJvRG9jLnhtbFBLBQYAAAAABgAGAFkBAACwBQAAAAA=&#10;">
                        <v:fill on="f" focussize="0,0"/>
                        <v:stroke weight="0.5pt" color="#000000" joinstyle="miter" endarrow="block"/>
                        <v:imagedata o:title=""/>
                        <o:lock v:ext="edit" aspectratio="f"/>
                      </v:shape>
                      <v:rect id="矩形 64" o:spid="_x0000_s1026" o:spt="1" style="position:absolute;left:1094105;top:285750;height:619125;width:984250;v-text-anchor:middle;" fillcolor="#FFFFFF" filled="t" stroked="t" coordsize="21600,21600" o:gfxdata="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aUitMAAAAFAQAADwAA&#10;AAAAAAABACAAAAAiAAAAZHJzL2Rvd25yZXYueG1sUEsBAhQAFAAAAAgAh07iQFzAP48bAgAAUgQA&#10;AA4AAAAAAAAAAQAgAAAAIgEAAGRycy9lMm9Eb2MueG1sUEsFBgAAAAAGAAYAWQEAAK8FAAAAAA==&#10;">
                        <v:fill on="t" focussize="0,0"/>
                        <v:stroke weight="1pt" color="#000000" joinstyle="miter"/>
                        <v:imagedata o:title=""/>
                        <o:lock v:ext="edit" aspectratio="f"/>
                        <v:textbox>
                          <w:txbxContent>
                            <w:p w14:paraId="0F2C1498">
                              <w:pPr>
                                <w:jc w:val="center"/>
                                <w:rPr>
                                  <w:rFonts w:hint="default" w:eastAsia="宋体"/>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生物质燃料蒸汽发生器</w:t>
                              </w:r>
                              <w:r>
                                <w:rPr>
                                  <w:rFonts w:hint="eastAsia"/>
                                  <w:sz w:val="21"/>
                                  <w:szCs w:val="21"/>
                                  <w:lang w:val="en-US" w:eastAsia="zh-CN"/>
                                </w:rPr>
                                <w:t>用水</w:t>
                              </w:r>
                            </w:p>
                          </w:txbxContent>
                        </v:textbox>
                      </v:rect>
                      <v:shape id="直接箭头连接符 66" o:spid="_x0000_s1026" o:spt="32" type="#_x0000_t32" style="position:absolute;left:589915;top:1573530;height:1839595;width:10795;" filled="f" stroked="t" coordsize="21600,21600" o:gfxdata="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ye/OPTAAAABQEAAA8AAAAAAAAAAQAgAAAAIgAA&#10;AGRycy9kb3ducmV2LnhtbFBLAQIUABQAAAAIAIdO4kCnA39FDQIAAP4DAAAOAAAAAAAAAAEAIAAA&#10;ACIBAABkcnMvZTJvRG9jLnhtbFBLBQYAAAAABgAGAFkBAAChBQAAAAA=&#10;">
                        <v:fill on="f" focussize="0,0"/>
                        <v:stroke color="#000000" joinstyle="round"/>
                        <v:imagedata o:title=""/>
                        <o:lock v:ext="edit" aspectratio="f"/>
                      </v:shape>
                      <v:shape id="文本框 68" o:spid="_x0000_s1026" o:spt="202" type="#_x0000_t202" style="position:absolute;left:2388235;top:215265;height:438150;width:1464945;"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jotMTXAAAABQEAAA8AAAAAAAAAAQAgAAAAIgAAAGRycy9kb3ducmV2Lnht&#10;bFBLAQIUABQAAAAIAIdO4kAynTCewQEAAGUDAAAOAAAAAAAAAAEAIAAAACYBAABkcnMvZTJvRG9j&#10;LnhtbFBLBQYAAAAABgAGAFkBAABZBQAAAAA=&#10;">
                        <v:fill on="f" focussize="0,0"/>
                        <v:stroke on="f" weight="0.5pt"/>
                        <v:imagedata o:title=""/>
                        <o:lock v:ext="edit" aspectratio="f"/>
                        <v:textbox>
                          <w:txbxContent>
                            <w:p w14:paraId="30350420">
                              <w:pPr>
                                <w:rPr>
                                  <w:rFonts w:hint="default" w:eastAsia="宋体"/>
                                  <w:sz w:val="21"/>
                                  <w:szCs w:val="21"/>
                                  <w:lang w:val="en-US" w:eastAsia="zh-CN"/>
                                </w:rPr>
                              </w:pPr>
                              <w:r>
                                <w:rPr>
                                  <w:rFonts w:hint="eastAsia"/>
                                  <w:sz w:val="21"/>
                                  <w:szCs w:val="21"/>
                                  <w:lang w:val="en-US" w:eastAsia="zh-CN"/>
                                </w:rPr>
                                <w:t>排污0.694</w:t>
                              </w:r>
                            </w:p>
                          </w:txbxContent>
                        </v:textbox>
                      </v:shape>
                      <v:shape id="直接箭头连接符 69" o:spid="_x0000_s1026" o:spt="32" type="#_x0000_t32" style="position:absolute;left:55880;top:3103245;height:635;width:539750;" filled="f" stroked="t" coordsize="21600,21600" o:gfxdata="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R/UrjTAAAABQEAAA8AAAAAAAAA&#10;AQAgAAAAIgAAAGRycy9kb3ducmV2LnhtbFBLAQIUABQAAAAIAIdO4kCPqgCfFgIAAAgEAAAOAAAA&#10;AAAAAAEAIAAAACIBAABkcnMvZTJvRG9jLnhtbFBLBQYAAAAABgAGAFkBAACqBQAAAAA=&#10;">
                        <v:fill on="f" focussize="0,0"/>
                        <v:stroke weight="0.5pt" color="#000000" joinstyle="miter" endarrow="block"/>
                        <v:imagedata o:title=""/>
                        <o:lock v:ext="edit" aspectratio="f"/>
                      </v:shape>
                      <v:shape id="文本框 70" o:spid="_x0000_s1026" o:spt="202" type="#_x0000_t202" style="position:absolute;left:0;top:3008630;height:404495;width:70358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6LTE1wAAAAUBAAAPAAAAAAAAAAEAIAAAACIAAABkcnMvZG93bnJldi54bWxQSwEC&#10;FAAUAAAACACHTuJAhmXHFbwBAABfAwAADgAAAAAAAAABACAAAAAmAQAAZHJzL2Uyb0RvYy54bWxQ&#10;SwUGAAAAAAYABgBZAQAAVAUAAAAA&#10;">
                        <v:fill on="f" focussize="0,0"/>
                        <v:stroke on="f" weight="0.5pt"/>
                        <v:imagedata o:title=""/>
                        <o:lock v:ext="edit" aspectratio="f"/>
                        <v:textbox>
                          <w:txbxContent>
                            <w:p w14:paraId="740E945B">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31.</w:t>
                              </w:r>
                              <w:r>
                                <w:rPr>
                                  <w:rFonts w:hint="eastAsia" w:ascii="宋体" w:hAnsi="宋体" w:cs="宋体"/>
                                  <w:sz w:val="21"/>
                                  <w:szCs w:val="21"/>
                                  <w:lang w:val="en-US" w:eastAsia="zh-CN"/>
                                </w:rPr>
                                <w:t>72</w:t>
                              </w:r>
                            </w:p>
                          </w:txbxContent>
                        </v:textbox>
                      </v:shape>
                      <v:shape id="直接箭头连接符 77" o:spid="_x0000_s1026" o:spt="32" type="#_x0000_t32" style="position:absolute;left:609600;top:2714625;height:635;width:609600;" filled="f" stroked="t" coordsize="21600,21600" o:gfxdata="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H9SuNMAAAAFAQAADwAAAAAAAAABACAA&#10;AAAiAAAAZHJzL2Rvd25yZXYueG1sUEsBAhQAFAAAAAgAh07iQFuUCyASAgAACQQAAA4AAAAAAAAA&#10;AQAgAAAAIgEAAGRycy9lMm9Eb2MueG1sUEsFBgAAAAAGAAYAWQEAAKYFAAAAAA==&#10;">
                        <v:fill on="f" focussize="0,0"/>
                        <v:stroke weight="0.5pt" color="#000000" joinstyle="miter" endarrow="block"/>
                        <v:imagedata o:title=""/>
                        <o:lock v:ext="edit" aspectratio="f"/>
                      </v:shape>
                      <v:shape id="文本框 82" o:spid="_x0000_s1026" o:spt="202" type="#_x0000_t202" style="position:absolute;left:0;top:2719070;height:379730;width:59055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6LTE1wAAAAUBAAAPAAAAAAAAAAEAIAAAACIAAABkcnMvZG93bnJldi54bWxQSwEC&#10;FAAUAAAACACHTuJAwzaQgbwBAABfAwAADgAAAAAAAAABACAAAAAmAQAAZHJzL2Uyb0RvYy54bWxQ&#10;SwUGAAAAAAYABgBZAQAAVAUAAAAA&#10;">
                        <v:fill on="f" focussize="0,0"/>
                        <v:stroke on="f" weight="0.5pt"/>
                        <v:imagedata o:title=""/>
                        <o:lock v:ext="edit" aspectratio="f"/>
                        <v:textbox>
                          <w:txbxContent>
                            <w:p w14:paraId="5B0E1E1E">
                              <w:pPr>
                                <w:rPr>
                                  <w:sz w:val="21"/>
                                  <w:szCs w:val="21"/>
                                </w:rPr>
                              </w:pPr>
                              <w:r>
                                <w:rPr>
                                  <w:rFonts w:hint="eastAsia"/>
                                  <w:sz w:val="21"/>
                                  <w:szCs w:val="21"/>
                                </w:rPr>
                                <w:t>新鲜水</w:t>
                              </w:r>
                            </w:p>
                          </w:txbxContent>
                        </v:textbox>
                      </v:shape>
                      <v:shape id="直接箭头连接符 95" o:spid="_x0000_s1026" o:spt="32" type="#_x0000_t32" style="position:absolute;left:600075;top:1588770;height:635;width:638175;" filled="f" stroked="t" coordsize="21600,21600" o:gfxdata="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WpYv1gAAAAUBAAAPAAAAAAAA&#10;AAEAIAAAACIAAABkcnMvZG93bnJldi54bWxQSwECFAAUAAAACACHTuJAx01QQRQCAAD/AwAADgAA&#10;AAAAAAABACAAAAAlAQAAZHJzL2Uyb0RvYy54bWxQSwUGAAAAAAYABgBZAQAAqwUAAAAA&#10;">
                        <v:fill on="f" focussize="0,0"/>
                        <v:stroke color="#000000" joinstyle="round" endarrow="block"/>
                        <v:imagedata o:title=""/>
                        <o:lock v:ext="edit" aspectratio="f"/>
                      </v:shape>
                      <v:rect id="矩形 98" o:spid="_x0000_s1026" o:spt="1" style="position:absolute;left:1238885;top:1453515;height:375285;width:1181735;v-text-anchor:middle;" fillcolor="#FFFFFF" filled="t" stroked="t" coordsize="21600,21600" o:gfxdata="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aUitMAAAAFAQAADwAA&#10;AAAAAAABACAAAAAiAAAAZHJzL2Rvd25yZXYueG1sUEsBAhQAFAAAAAgAh07iQIqsXbsbAgAAVAQA&#10;AA4AAAAAAAAAAQAgAAAAIgEAAGRycy9lMm9Eb2MueG1sUEsFBgAAAAAGAAYAWQEAAK8FAAAAAA==&#10;">
                        <v:fill on="t" focussize="0,0"/>
                        <v:stroke weight="1pt" color="#000000" joinstyle="miter"/>
                        <v:imagedata o:title=""/>
                        <o:lock v:ext="edit" aspectratio="f"/>
                        <v:textbox>
                          <w:txbxContent>
                            <w:p w14:paraId="49A1047D">
                              <w:pPr>
                                <w:jc w:val="center"/>
                                <w:rPr>
                                  <w:rFonts w:hint="default" w:eastAsia="宋体"/>
                                  <w:sz w:val="21"/>
                                  <w:szCs w:val="21"/>
                                  <w:lang w:val="en-US" w:eastAsia="zh-CN"/>
                                </w:rPr>
                              </w:pPr>
                              <w:r>
                                <w:rPr>
                                  <w:rFonts w:hint="eastAsia"/>
                                  <w:sz w:val="21"/>
                                  <w:szCs w:val="21"/>
                                  <w:lang w:val="en-US" w:eastAsia="zh-CN"/>
                                </w:rPr>
                                <w:t>软水制备</w:t>
                              </w:r>
                            </w:p>
                          </w:txbxContent>
                        </v:textbox>
                      </v:rect>
                      <v:shape id="直接箭头连接符 100" o:spid="_x0000_s1026" o:spt="32" type="#_x0000_t32" style="position:absolute;left:2411095;top:1603375;flip:y;height:8890;width:1445260;" filled="f" stroked="t" coordsize="21600,21600" o:gfxdata="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Ma+UdUAAAAF&#10;AQAADwAAAAAAAAABACAAAAAiAAAAZHJzL2Rvd25yZXYueG1sUEsBAhQAFAAAAAgAh07iQH7bpHAf&#10;AgAADQQAAA4AAAAAAAAAAQAgAAAAJAEAAGRycy9lMm9Eb2MueG1sUEsFBgAAAAAGAAYAWQEAALUF&#10;AAAAAA==&#10;">
                        <v:fill on="f" focussize="0,0"/>
                        <v:stroke color="#000000" joinstyle="round" endarrow="block"/>
                        <v:imagedata o:title=""/>
                        <o:lock v:ext="edit" aspectratio="f"/>
                      </v:shape>
                      <v:rect id="矩形 110" o:spid="_x0000_s1026" o:spt="1" style="position:absolute;left:1216660;top:2574290;height:398780;width:1172210;v-text-anchor:middle;" fillcolor="#FFFFFF" filled="t" stroked="t" coordsize="21600,21600" o:gfxdata="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aUitMAAAAFAQAA&#10;DwAAAAAAAAABACAAAAAiAAAAZHJzL2Rvd25yZXYueG1sUEsBAhQAFAAAAAgAh07iQD8HREIeAgAA&#10;VQQAAA4AAAAAAAAAAQAgAAAAIgEAAGRycy9lMm9Eb2MueG1sUEsFBgAAAAAGAAYAWQEAALIFAAAA&#10;AA==&#10;">
                        <v:fill on="t" focussize="0,0"/>
                        <v:stroke weight="1pt" color="#000000" joinstyle="miter"/>
                        <v:imagedata o:title=""/>
                        <o:lock v:ext="edit" aspectratio="f"/>
                        <v:textbox>
                          <w:txbxContent>
                            <w:p w14:paraId="291158C9">
                              <w:pPr>
                                <w:jc w:val="center"/>
                                <w:rPr>
                                  <w:rFonts w:hint="default" w:eastAsia="宋体"/>
                                  <w:sz w:val="21"/>
                                  <w:szCs w:val="21"/>
                                  <w:lang w:val="en-US" w:eastAsia="zh-CN"/>
                                </w:rPr>
                              </w:pPr>
                              <w:r>
                                <w:rPr>
                                  <w:rFonts w:hint="eastAsia"/>
                                  <w:sz w:val="21"/>
                                  <w:szCs w:val="21"/>
                                  <w:lang w:val="en-US" w:eastAsia="zh-CN"/>
                                </w:rPr>
                                <w:t>生活用水</w:t>
                              </w:r>
                            </w:p>
                          </w:txbxContent>
                        </v:textbox>
                      </v:rect>
                      <v:shape id="直接箭头连接符 127" o:spid="_x0000_s1026" o:spt="32" type="#_x0000_t32" style="position:absolute;left:4512945;top:2602230;flip:x;height:1211580;width:8255;" filled="f" stroked="t" coordsize="21600,21600" o:gfxdata="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uYFLtUA&#10;AAAFAQAADwAAAAAAAAABACAAAAAiAAAAZHJzL2Rvd25yZXYueG1sUEsBAhQAFAAAAAgAh07iQNRH&#10;FO8iAgAADQQAAA4AAAAAAAAAAQAgAAAAJAEAAGRycy9lMm9Eb2MueG1sUEsFBgAAAAAGAAYAWQEA&#10;ALgFAAAAAA==&#10;">
                        <v:fill on="f" focussize="0,0"/>
                        <v:stroke weight="1pt" color="#000000" joinstyle="round" endarrow="block" endarrowwidth="narrow"/>
                        <v:imagedata o:title=""/>
                        <o:lock v:ext="edit" aspectratio="f"/>
                      </v:shape>
                      <v:shape id="文本框 130" o:spid="_x0000_s1026" o:spt="202" type="#_x0000_t202" style="position:absolute;left:594995;top:3084195;height:351790;width:60960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Oi0xNcAAAAFAQAADwAAAAAAAAABACAAAAAiAAAAZHJzL2Rvd25yZXYueG1s&#10;UEsBAhQAFAAAAAgAh07iQGsoAXPAAQAAZQMAAA4AAAAAAAAAAQAgAAAAJgEAAGRycy9lMm9Eb2Mu&#10;eG1sUEsFBgAAAAAGAAYAWQEAAFgFAAAAAA==&#10;">
                        <v:fill on="f" focussize="0,0"/>
                        <v:stroke on="f" weight="0.5pt"/>
                        <v:imagedata o:title=""/>
                        <o:lock v:ext="edit" aspectratio="f"/>
                        <v:textbox>
                          <w:txbxContent>
                            <w:p w14:paraId="06CECF2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28.8</w:t>
                              </w:r>
                            </w:p>
                          </w:txbxContent>
                        </v:textbox>
                      </v:shape>
                      <v:shape id="文本框 134" o:spid="_x0000_s1026" o:spt="202" type="#_x0000_t202" style="position:absolute;left:1370330;top:0;height:378460;width:60960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6LTE1wAAAAUBAAAPAAAAAAAAAAEAIAAAACIAAABkcnMvZG93bnJldi54bWxQSwEC&#10;FAAUAAAACACHTuJArgnmjrwBAABgAwAADgAAAAAAAAABACAAAAAmAQAAZHJzL2Uyb0RvYy54bWxQ&#10;SwUGAAAAAAYABgBZAQAAVAUAAAAA&#10;">
                        <v:fill on="f" focussize="0,0"/>
                        <v:stroke on="f" weight="0.5pt"/>
                        <v:imagedata o:title=""/>
                        <o:lock v:ext="edit" aspectratio="f"/>
                        <v:textbox>
                          <w:txbxContent>
                            <w:p w14:paraId="27D4CBBB">
                              <w:pPr>
                                <w:rPr>
                                  <w:rFonts w:hint="default" w:eastAsia="宋体"/>
                                  <w:sz w:val="21"/>
                                  <w:szCs w:val="21"/>
                                  <w:lang w:val="en-US" w:eastAsia="zh-CN"/>
                                </w:rPr>
                              </w:pPr>
                              <w:r>
                                <w:rPr>
                                  <w:rFonts w:hint="eastAsia" w:eastAsia="宋体"/>
                                  <w:sz w:val="21"/>
                                  <w:szCs w:val="21"/>
                                  <w:lang w:val="en-US" w:eastAsia="zh-CN"/>
                                </w:rPr>
                                <w:t>1</w:t>
                              </w:r>
                            </w:p>
                          </w:txbxContent>
                        </v:textbox>
                      </v:shape>
                      <v:shape id="文本框 62" o:spid="_x0000_s1026" o:spt="202" type="#_x0000_t202" style="position:absolute;left:607060;top:1237615;height:378460;width:63119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6LTE1wAAAAUBAAAPAAAAAAAAAAEAIAAAACIAAABkcnMvZG93bnJldi54bWxQ&#10;SwECFAAUAAAACACHTuJAZTKyhb8BAABkAwAADgAAAAAAAAABACAAAAAmAQAAZHJzL2Uyb0RvYy54&#10;bWxQSwUGAAAAAAYABgBZAQAAVwUAAAAA&#10;">
                        <v:fill on="f" focussize="0,0"/>
                        <v:stroke on="f" weight="0.5pt"/>
                        <v:imagedata o:title=""/>
                        <o:lock v:ext="edit" aspectratio="f"/>
                        <v:textbox>
                          <w:txbxContent>
                            <w:p w14:paraId="7620E7D2">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42</w:t>
                              </w:r>
                            </w:p>
                          </w:txbxContent>
                        </v:textbox>
                      </v:shape>
                      <v:shape id="直接箭头连接符 100" o:spid="_x0000_s1026" o:spt="32" type="#_x0000_t32" style="position:absolute;left:2402205;top:2708910;height:0;width:701675;" filled="f" stroked="t" coordsize="21600,21600" o:gfxdata="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ali/WAAAABQEAAA8AAAAAAAAAAQAg&#10;AAAAIgAAAGRycy9kb3ducmV2LnhtbFBLAQIUABQAAAAIAIdO4kCxU4APEAIAAP8DAAAOAAAAAAAA&#10;AAEAIAAAACUBAABkcnMvZTJvRG9jLnhtbFBLBQYAAAAABgAGAFkBAACnBQAAAAA=&#10;">
                        <v:fill on="f" focussize="0,0"/>
                        <v:stroke color="#000000" joinstyle="round" endarrow="block"/>
                        <v:imagedata o:title=""/>
                        <o:lock v:ext="edit" aspectratio="f"/>
                      </v:shape>
                      <v:shape id="文本框 88" o:spid="_x0000_s1026" o:spt="202" type="#_x0000_t202" style="position:absolute;left:2291715;top:2989580;height:386715;width:62865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6LTE1wAAAAUBAAAPAAAAAAAAAAEAIAAAACIAAABkcnMvZG93bnJldi54bWxQ&#10;SwECFAAUAAAACACHTuJATj/LPL8BAABlAwAADgAAAAAAAAABACAAAAAmAQAAZHJzL2Uyb0RvYy54&#10;bWxQSwUGAAAAAAYABgBZAQAAVwUAAAAA&#10;">
                        <v:fill on="f" focussize="0,0"/>
                        <v:stroke on="f" weight="0.5pt"/>
                        <v:imagedata o:title=""/>
                        <o:lock v:ext="edit" aspectratio="f"/>
                        <v:textbox>
                          <w:txbxContent>
                            <w:p w14:paraId="2CEB4DE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25.92</w:t>
                              </w:r>
                            </w:p>
                          </w:txbxContent>
                        </v:textbox>
                      </v:shape>
                      <v:shape id="直接箭头连接符 387" o:spid="_x0000_s1026" o:spt="32" type="#_x0000_t32" style="position:absolute;left:1442085;top:143510;flip:y;height:210185;width:167640;" filled="f" stroked="t" coordsize="21600,21600" o:gfxdata="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MT9bbS&#10;AAAABQEAAA8AAAAAAAAAAQAgAAAAIgAAAGRycy9kb3ducmV2LnhtbFBLAQIUABQAAAAIAIdO4kCE&#10;p9WKJgIAABAEAAAOAAAAAAAAAAEAIAAAACEBAABkcnMvZTJvRG9jLnhtbFBLBQYAAAAABgAGAFkB&#10;AAC5BQAAAAA=&#10;">
                        <v:fill on="f" focussize="0,0"/>
                        <v:stroke color="#000000 [3213]" joinstyle="round" dashstyle="dash" endarrow="block"/>
                        <v:imagedata o:title=""/>
                        <o:lock v:ext="edit" aspectratio="f"/>
                      </v:shape>
                      <v:shape id="文本框 68" o:spid="_x0000_s1026" o:spt="202" type="#_x0000_t202" style="position:absolute;left:1897380;top:93345;height:456565;width:60960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Oi0xNcAAAAFAQAADwAAAAAAAAABACAAAAAiAAAAZHJzL2Rvd25yZXYueG1s&#10;UEsBAhQAFAAAAAgAh07iQBlbDVLAAQAAYwMAAA4AAAAAAAAAAQAgAAAAJgEAAGRycy9lMm9Eb2Mu&#10;eG1sUEsFBgAAAAAGAAYAWQEAAFgFAAAAAA==&#10;">
                        <v:fill on="f" focussize="0,0"/>
                        <v:stroke on="f" weight="0.5pt"/>
                        <v:imagedata o:title=""/>
                        <o:lock v:ext="edit" aspectratio="f"/>
                        <v:textbox>
                          <w:txbxContent>
                            <w:p w14:paraId="28004279">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xbxContent>
                        </v:textbox>
                      </v:shape>
                      <v:shape id="文本框 499" o:spid="_x0000_s1026" o:spt="202" type="#_x0000_t202" style="position:absolute;left:2374265;top:1206500;height:369570;width:1633855;"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o6LTE1wAAAAUBAAAPAAAAAAAAAAEAIAAAACIAAABkcnMvZG93bnJl&#10;di54bWxQSwECFAAUAAAACACHTuJAT4bhEDcCAABGBAAADgAAAAAAAAABACAAAAAmAQAAZHJzL2Uy&#10;b0RvYy54bWxQSwUGAAAAAAYABgBZAQAAzwUAAAAA&#10;">
                        <v:fill on="f" focussize="0,0"/>
                        <v:stroke on="f" weight="0.5pt"/>
                        <v:imagedata o:title=""/>
                        <o:lock v:ext="edit" aspectratio="f"/>
                        <v:textbox>
                          <w:txbxContent>
                            <w:p w14:paraId="62B7D6BC">
                              <w:pPr>
                                <w:rPr>
                                  <w:rFonts w:hint="default" w:eastAsia="宋体"/>
                                  <w:kern w:val="0"/>
                                  <w:sz w:val="21"/>
                                  <w:szCs w:val="21"/>
                                  <w:lang w:val="en-US" w:eastAsia="zh-CN"/>
                                </w:rPr>
                              </w:pPr>
                              <w:r>
                                <w:rPr>
                                  <w:rFonts w:hint="eastAsia"/>
                                  <w:kern w:val="0"/>
                                  <w:sz w:val="21"/>
                                  <w:szCs w:val="21"/>
                                  <w:lang w:val="en-US" w:eastAsia="zh-CN"/>
                                </w:rPr>
                                <w:t>软水制备废水0.726</w:t>
                              </w:r>
                            </w:p>
                          </w:txbxContent>
                        </v:textbox>
                      </v:shape>
                      <v:shape id="文本框 548" o:spid="_x0000_s1026" o:spt="202" type="#_x0000_t202" style="position:absolute;left:3103880;top:2467610;height:473075;width:880110;" fillcolor="#FFFFFF [3201]" filled="t" stroked="t" coordsize="21600,21600" o:gfxdata="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XdLTAAAABQEAAA8AAAAAAAAAAQAgAAAAIgAAAGRycy9kb3ducmV2LnhtbFBLAQIUABQAAAAI&#10;AIdO4kD4uKjqZAIAAMYEAAAOAAAAAAAAAAEAIAAAACIBAABkcnMvZTJvRG9jLnhtbFBLBQYAAAAA&#10;BgAGAFkBAAD4BQAAAAA=&#10;">
                        <v:fill on="t" focussize="0,0"/>
                        <v:stroke weight="0.5pt" color="#000000 [3204]" joinstyle="round"/>
                        <v:imagedata o:title=""/>
                        <o:lock v:ext="edit" aspectratio="f"/>
                        <v:textbox>
                          <w:txbxContent>
                            <w:p w14:paraId="11067D6C">
                              <w:pPr>
                                <w:rPr>
                                  <w:rFonts w:hint="eastAsia" w:eastAsia="宋体"/>
                                  <w:sz w:val="21"/>
                                  <w:szCs w:val="21"/>
                                  <w:lang w:val="en-US" w:eastAsia="zh-CN"/>
                                </w:rPr>
                              </w:pPr>
                              <w:r>
                                <w:rPr>
                                  <w:rFonts w:hint="eastAsia"/>
                                  <w:sz w:val="21"/>
                                  <w:szCs w:val="21"/>
                                  <w:lang w:val="en-US" w:eastAsia="zh-CN"/>
                                </w:rPr>
                                <w:t>生化池</w:t>
                              </w:r>
                            </w:p>
                          </w:txbxContent>
                        </v:textbox>
                      </v:shape>
                      <v:shape id="直接箭头连接符 387" o:spid="_x0000_s1026" o:spt="32" type="#_x0000_t32" style="position:absolute;left:1513205;top:2338705;flip:y;height:210185;width:167640;" filled="f" stroked="t" coordsize="21600,21600" o:gfxdata="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MT9bbS&#10;AAAABQEAAA8AAAAAAAAAAQAgAAAAIgAAAGRycy9kb3ducmV2LnhtbFBLAQIUABQAAAAIAIdO4kAz&#10;nNO9JgIAABEEAAAOAAAAAAAAAAEAIAAAACEBAABkcnMvZTJvRG9jLnhtbFBLBQYAAAAABgAGAFkB&#10;AAC5BQAAAAA=&#10;">
                        <v:fill on="f" focussize="0,0"/>
                        <v:stroke color="#000000 [3213]" joinstyle="round" dashstyle="dash" endarrow="block"/>
                        <v:imagedata o:title=""/>
                        <o:lock v:ext="edit" aspectratio="f"/>
                      </v:shape>
                      <v:shape id="文本框 102" o:spid="_x0000_s1026" o:spt="202" type="#_x0000_t202" style="position:absolute;left:1675130;top:2839720;height:369570;width:648335;"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Oi0xNcAAAAFAQAADwAAAAAAAAABACAAAAAiAAAAZHJzL2Rvd25yZXYu&#10;eG1sUEsBAhQAFAAAAAgAh07iQJ8nuUjDAQAAZgMAAA4AAAAAAAAAAQAgAAAAJgEAAGRycy9lMm9E&#10;b2MueG1sUEsFBgAAAAAGAAYAWQEAAFsFAAAAAA==&#10;">
                        <v:fill on="f" focussize="0,0"/>
                        <v:stroke on="f" weight="0.5pt"/>
                        <v:imagedata o:title=""/>
                        <o:lock v:ext="edit" aspectratio="f"/>
                        <v:textbox>
                          <w:txbxContent>
                            <w:p w14:paraId="31749FA7">
                              <w:pPr>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2.88</w:t>
                              </w:r>
                            </w:p>
                          </w:txbxContent>
                        </v:textbox>
                      </v:shape>
                      <v:shape id="文本框 553" o:spid="_x0000_s1026" o:spt="202" type="#_x0000_t202" style="position:absolute;left:4120515;top:3806190;height:589915;width:860425;" fillcolor="#FFFFFF [3201]" filled="t" stroked="t" coordsize="21600,21600" o:gfxdata="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v+XdLTAAAABQEAAA8AAAAAAAAAAQAgAAAAIgAAAGRycy9kb3ducmV2LnhtbFBLAQIUABQA&#10;AAAIAIdO4kCaqnThZwIAAMYEAAAOAAAAAAAAAAEAIAAAACIBAABkcnMvZTJvRG9jLnhtbFBLBQYA&#10;AAAABgAGAFkBAAD7BQAAAAA=&#10;">
                        <v:fill on="t" focussize="0,0"/>
                        <v:stroke weight="0.5pt" color="#000000 [3204]" joinstyle="round"/>
                        <v:imagedata o:title=""/>
                        <o:lock v:ext="edit" aspectratio="f"/>
                        <v:textbox>
                          <w:txbxContent>
                            <w:p w14:paraId="1AD12DBB">
                              <w:pPr>
                                <w:rPr>
                                  <w:rFonts w:hint="eastAsia"/>
                                  <w:sz w:val="21"/>
                                  <w:szCs w:val="21"/>
                                  <w:lang w:val="en-US" w:eastAsia="zh-CN"/>
                                </w:rPr>
                              </w:pPr>
                              <w:r>
                                <w:rPr>
                                  <w:rFonts w:hint="eastAsia"/>
                                  <w:sz w:val="21"/>
                                  <w:szCs w:val="21"/>
                                  <w:lang w:val="en-US" w:eastAsia="zh-CN"/>
                                </w:rPr>
                                <w:t>园区污水</w:t>
                              </w:r>
                            </w:p>
                            <w:p w14:paraId="0F1909C9">
                              <w:pPr>
                                <w:rPr>
                                  <w:rFonts w:hint="eastAsia"/>
                                  <w:sz w:val="21"/>
                                  <w:szCs w:val="21"/>
                                  <w:lang w:val="en-US" w:eastAsia="zh-CN"/>
                                </w:rPr>
                              </w:pPr>
                              <w:r>
                                <w:rPr>
                                  <w:rFonts w:hint="eastAsia"/>
                                  <w:sz w:val="21"/>
                                  <w:szCs w:val="21"/>
                                  <w:lang w:val="en-US" w:eastAsia="zh-CN"/>
                                </w:rPr>
                                <w:t>处理厂</w:t>
                              </w:r>
                            </w:p>
                          </w:txbxContent>
                        </v:textbox>
                      </v:shape>
                      <v:shape id="直接箭头连接符 554" o:spid="_x0000_s1026" o:spt="32" type="#_x0000_t32" style="position:absolute;left:4552950;top:4382770;height:269875;width:6985;" filled="f" stroked="t" coordsize="21600,21600" o:gfxdata="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qWL9YAAAAF&#10;AQAADwAAAAAAAAABACAAAAAiAAAAZHJzL2Rvd25yZXYueG1sUEsBAhQAFAAAAAgAh07iQLggQGMe&#10;AgAABgQAAA4AAAAAAAAAAQAgAAAAJQEAAGRycy9lMm9Eb2MueG1sUEsFBgAAAAAGAAYAWQEAALUF&#10;AAAAAA==&#10;">
                        <v:fill on="f" focussize="0,0"/>
                        <v:stroke color="#000000 [3213]" joinstyle="round" endarrow="block"/>
                        <v:imagedata o:title=""/>
                        <o:lock v:ext="edit" aspectratio="f"/>
                      </v:shape>
                      <v:shape id="文本框 555" o:spid="_x0000_s1026" o:spt="202" type="#_x0000_t202" style="position:absolute;left:4204335;top:4574540;height:455295;width:64770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Oi0xNcAAAAFAQAADwAAAAAAAAABACAA&#10;AAAiAAAAZHJzL2Rvd25yZXYueG1sUEsBAhQAFAAAAAgAh07iQCv9y21HAgAAdQQAAA4AAAAAAAAA&#10;AQAgAAAAJgEAAGRycy9lMm9Eb2MueG1sUEsFBgAAAAAGAAYAWQEAAN8FAAAAAA==&#10;">
                        <v:fill on="f" focussize="0,0"/>
                        <v:stroke on="f" weight="0.5pt"/>
                        <v:imagedata o:title=""/>
                        <o:lock v:ext="edit" aspectratio="f"/>
                        <v:textbox>
                          <w:txbxContent>
                            <w:p w14:paraId="2275C8F3">
                              <w:pPr>
                                <w:rPr>
                                  <w:rFonts w:hint="eastAsia"/>
                                  <w:lang w:val="en-US" w:eastAsia="zh-CN"/>
                                </w:rPr>
                              </w:pPr>
                              <w:r>
                                <w:rPr>
                                  <w:rFonts w:hint="eastAsia" w:ascii="Times New Roman" w:hAnsi="Times New Roman" w:eastAsia="宋体" w:cs="Times New Roman"/>
                                  <w:sz w:val="21"/>
                                  <w:szCs w:val="21"/>
                                  <w:lang w:val="en-US" w:eastAsia="zh-CN"/>
                                </w:rPr>
                                <w:t>铜钵河</w:t>
                              </w:r>
                            </w:p>
                          </w:txbxContent>
                        </v:textbox>
                      </v:shape>
                      <v:shape id="直接箭头连接符 95" o:spid="_x0000_s1026" o:spt="32" type="#_x0000_t32" style="position:absolute;left:1688465;top:918845;flip:x y;height:542290;width:15240;" filled="f" stroked="t" coordsize="21600,21600" o:gfxdata="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nIY81QAA&#10;AAUBAAAPAAAAAAAAAAEAIAAAACIAAABkcnMvZG93bnJldi54bWxQSwECFAAUAAAACACHTuJAmMFQ&#10;hiECAAAVBAAADgAAAAAAAAABACAAAAAkAQAAZHJzL2Uyb0RvYy54bWxQSwUGAAAAAAYABgBZAQAA&#10;twUAAAAA&#10;">
                        <v:fill on="f" focussize="0,0"/>
                        <v:stroke color="#000000" joinstyle="round" endarrow="block"/>
                        <v:imagedata o:title=""/>
                        <o:lock v:ext="edit" aspectratio="f"/>
                      </v:shape>
                      <v:shape id="文本框 499" o:spid="_x0000_s1026" o:spt="202" type="#_x0000_t202" style="position:absolute;left:1625600;top:950595;height:395605;width:941705;"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jotMTXAAAABQEAAA8AAAAAAAAAAQAgAAAAIgAAAGRycy9kb3ducmV2&#10;LnhtbFBLAQIUABQAAAAIAIdO4kCy8bFgNgIAAEQEAAAOAAAAAAAAAAEAIAAAACYBAABkcnMvZTJv&#10;RG9jLnhtbFBLBQYAAAAABgAGAFkBAADOBQAAAAA=&#10;">
                        <v:fill on="f" focussize="0,0"/>
                        <v:stroke on="f" weight="0.5pt"/>
                        <v:imagedata o:title=""/>
                        <o:lock v:ext="edit" aspectratio="f"/>
                        <v:textbox>
                          <w:txbxContent>
                            <w:p w14:paraId="0C88133C">
                              <w:pPr>
                                <w:rPr>
                                  <w:rFonts w:hint="default" w:eastAsia="宋体"/>
                                  <w:kern w:val="0"/>
                                  <w:sz w:val="21"/>
                                  <w:szCs w:val="21"/>
                                  <w:lang w:val="en-US" w:eastAsia="zh-CN"/>
                                </w:rPr>
                              </w:pPr>
                              <w:r>
                                <w:rPr>
                                  <w:rFonts w:hint="eastAsia"/>
                                  <w:kern w:val="0"/>
                                  <w:sz w:val="21"/>
                                  <w:szCs w:val="21"/>
                                  <w:lang w:val="en-US" w:eastAsia="zh-CN"/>
                                </w:rPr>
                                <w:t>软水1.694</w:t>
                              </w:r>
                            </w:p>
                          </w:txbxContent>
                        </v:textbox>
                      </v:shape>
                      <v:shape id="直接箭头连接符 77" o:spid="_x0000_s1026" o:spt="32" type="#_x0000_t32" style="position:absolute;left:595630;top:3418205;height:635;width:609600;" filled="f" stroked="t" coordsize="21600,21600" o:gfxdata="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H9SuNMAAAAFAQAADwAAAAAA&#10;AAABACAAAAAiAAAAZHJzL2Rvd25yZXYueG1sUEsBAhQAFAAAAAgAh07iQHvWLvEYAgAACQQAAA4A&#10;AAAAAAAAAQAgAAAAIgEAAGRycy9lMm9Eb2MueG1sUEsFBgAAAAAGAAYAWQEAAKwFAAAAAA==&#10;">
                        <v:fill on="f" focussize="0,0"/>
                        <v:stroke weight="0.5pt" color="#000000" joinstyle="miter" endarrow="block"/>
                        <v:imagedata o:title=""/>
                        <o:lock v:ext="edit" aspectratio="f"/>
                      </v:shape>
                      <v:rect id="矩形 110" o:spid="_x0000_s1026" o:spt="1" style="position:absolute;left:1193165;top:3246755;height:358140;width:1033780;v-text-anchor:middle;" fillcolor="#FFFFFF" filled="t" stroked="t" coordsize="21600,21600" o:gfxdata="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PmlIrTAAAABQEA&#10;AA8AAAAAAAAAAQAgAAAAIgAAAGRycy9kb3ducmV2LnhtbFBLAQIUABQAAAAIAIdO4kDrdv4dHwIA&#10;AFUEAAAOAAAAAAAAAAEAIAAAACIBAABkcnMvZTJvRG9jLnhtbFBLBQYAAAAABgAGAFkBAACzBQAA&#10;AAA=&#10;">
                        <v:fill on="t" focussize="0,0"/>
                        <v:stroke weight="1pt" color="#000000" joinstyle="miter"/>
                        <v:imagedata o:title=""/>
                        <o:lock v:ext="edit" aspectratio="f"/>
                        <v:textbox>
                          <w:txbxContent>
                            <w:p w14:paraId="2D494DBE">
                              <w:pPr>
                                <w:jc w:val="center"/>
                                <w:rPr>
                                  <w:rFonts w:hint="default" w:eastAsia="宋体"/>
                                  <w:sz w:val="21"/>
                                  <w:szCs w:val="21"/>
                                  <w:lang w:val="en-US" w:eastAsia="zh-CN"/>
                                </w:rPr>
                              </w:pPr>
                              <w:r>
                                <w:rPr>
                                  <w:rFonts w:hint="eastAsia" w:eastAsia="宋体"/>
                                  <w:sz w:val="21"/>
                                  <w:szCs w:val="21"/>
                                  <w:lang w:val="en-US" w:eastAsia="zh-CN"/>
                                </w:rPr>
                                <w:t>洗涤用水</w:t>
                              </w:r>
                            </w:p>
                          </w:txbxContent>
                        </v:textbox>
                      </v:rect>
                      <v:shape id="文本框 130" o:spid="_x0000_s1026" o:spt="202" type="#_x0000_t202" style="position:absolute;left:629920;top:2319020;height:378460;width:60960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6LTE1wAAAAUBAAAPAAAAAAAAAAEAIAAAACIAAABkcnMvZG93bnJldi54bWxQ&#10;SwECFAAUAAAACACHTuJAMUDfkr8BAABlAwAADgAAAAAAAAABACAAAAAmAQAAZHJzL2Uyb0RvYy54&#10;bWxQSwUGAAAAAAYABgBZAQAAVwUAAAAA&#10;">
                        <v:fill on="f" focussize="0,0"/>
                        <v:stroke on="f" weight="0.5pt"/>
                        <v:imagedata o:title=""/>
                        <o:lock v:ext="edit" aspectratio="f"/>
                        <v:textbox>
                          <w:txbxContent>
                            <w:p w14:paraId="39C1303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w:t>
                              </w:r>
                            </w:p>
                          </w:txbxContent>
                        </v:textbox>
                      </v:shape>
                      <v:shape id="直接箭头连接符 100" o:spid="_x0000_s1026" o:spt="32" type="#_x0000_t32" style="position:absolute;left:2231390;top:3414395;flip:y;height:5080;width:729615;" filled="f" stroked="t" coordsize="21600,21600" o:gfxdata="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jGvlHVAAAABQEA&#10;AA8AAAAAAAAAAQAgAAAAIgAAAGRycy9kb3ducmV2LnhtbFBLAQIUABQAAAAIAIdO4kCGXTDFHQIA&#10;AAwEAAAOAAAAAAAAAAEAIAAAACQBAABkcnMvZTJvRG9jLnhtbFBLBQYAAAAABgAGAFkBAACzBQAA&#10;AAA=&#10;">
                        <v:fill on="f" focussize="0,0"/>
                        <v:stroke color="#000000" joinstyle="round" endarrow="block"/>
                        <v:imagedata o:title=""/>
                        <o:lock v:ext="edit" aspectratio="f"/>
                      </v:shape>
                      <v:shape id="直接箭头连接符 387" o:spid="_x0000_s1026" o:spt="32" type="#_x0000_t32" style="position:absolute;left:1574165;top:3071495;flip:y;height:210185;width:167640;" filled="f" stroked="t" coordsize="21600,21600" o:gfxdata="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j&#10;E/W20gAAAAUBAAAPAAAAAAAAAAEAIAAAACIAAABkcnMvZG93bnJldi54bWxQSwECFAAUAAAACACH&#10;TuJAvqgalCoCAAARBAAADgAAAAAAAAABACAAAAAhAQAAZHJzL2Uyb0RvYy54bWxQSwUGAAAAAAYA&#10;BgBZAQAAvQUAAAAA&#10;">
                        <v:fill on="f" focussize="0,0"/>
                        <v:stroke color="#000000 [3213]" joinstyle="round" dashstyle="dash" endarrow="block"/>
                        <v:imagedata o:title=""/>
                        <o:lock v:ext="edit" aspectratio="f"/>
                      </v:shape>
                      <v:shape id="文本框 102" o:spid="_x0000_s1026" o:spt="202" type="#_x0000_t202" style="position:absolute;left:1694815;top:2118995;height:369570;width:648335;"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6LTE1wAAAAUBAAAPAAAAAAAAAAEAIAAAACIAAABkcnMvZG93bnJl&#10;di54bWxQSwECFAAUAAAACACHTuJAsHoyPcUBAABmAwAADgAAAAAAAAABACAAAAAmAQAAZHJzL2Uy&#10;b0RvYy54bWxQSwUGAAAAAAYABgBZAQAAXQUAAAAA&#10;">
                        <v:fill on="f" focussize="0,0"/>
                        <v:stroke on="f" weight="0.5pt"/>
                        <v:imagedata o:title=""/>
                        <o:lock v:ext="edit" aspectratio="f"/>
                        <v:textbox>
                          <w:txbxContent>
                            <w:p w14:paraId="521ACD08">
                              <w:pPr>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0.05</w:t>
                              </w:r>
                            </w:p>
                          </w:txbxContent>
                        </v:textbox>
                      </v:shape>
                      <v:shape id="文本框 88" o:spid="_x0000_s1026" o:spt="202" type="#_x0000_t202" style="position:absolute;left:2489835;top:2299970;height:326390;width:52578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Oi0xNcAAAAFAQAADwAAAAAAAAABACAAAAAiAAAAZHJzL2Rvd25yZXYu&#10;eG1sUEsBAhQAFAAAAAgAh07iQMYAJvjDAQAAZQMAAA4AAAAAAAAAAQAgAAAAJgEAAGRycy9lMm9E&#10;b2MueG1sUEsFBgAAAAAGAAYAWQEAAFsFAAAAAA==&#10;">
                        <v:fill on="f" focussize="0,0"/>
                        <v:stroke on="f" weight="0.5pt"/>
                        <v:imagedata o:title=""/>
                        <o:lock v:ext="edit" aspectratio="f"/>
                        <v:textbox>
                          <w:txbxContent>
                            <w:p w14:paraId="2AD3A4B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0.45</w:t>
                              </w:r>
                            </w:p>
                          </w:txbxContent>
                        </v:textbox>
                      </v:shape>
                      <v:shape id="任意多边形 386" o:spid="_x0000_s1026" o:spt="100" style="position:absolute;left:1863725;top:144780;height:285750;width:571500;" filled="f" stroked="t" coordsize="571500,285750" o:gfxdata="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WYIFgtQAAAAFAQAADwAAAAAAAAABACAAAAAiAAAAZHJzL2Rvd25y&#10;ZXYueG1sUEsBAhQAFAAAAAgAh07iQFW60j4fAwAAaggAAA4AAAAAAAAAAQAgAAAAIwEAAGRycy9l&#10;Mm9Eb2MueG1sUEsFBgAAAAAGAAYAWQEAALQGAAAAAA==&#10;" path="m222250,285750l571500,285750,571500,0,0,0,0,148590e">
                        <v:path o:connectlocs="222250,285750;571500,285750;571500,0;0,0;0,148590" o:connectangles="0,0,0,0,0"/>
                        <v:fill on="f" focussize="0,0"/>
                        <v:stroke weight="2pt" color="#000000 [3213]" joinstyle="round" endarrow="block"/>
                        <v:imagedata o:title=""/>
                        <o:lock v:ext="edit" aspectratio="f"/>
                      </v:shape>
                      <v:rect id="矩形 56" o:spid="_x0000_s1026" o:spt="1" style="position:absolute;left:834390;top:4994910;height:463550;width:3152775;" filled="f" stroked="f" coordsize="21600,21600" o:gfxdata="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RnFK&#10;1gAAAAUBAAAPAAAAAAAAAAEAIAAAACIAAABkcnMvZG93bnJldi54bWxQSwECFAAUAAAACACHTuJA&#10;CLyJULEBAABOAwAADgAAAAAAAAABACAAAAAlAQAAZHJzL2Uyb0RvYy54bWxQSwUGAAAAAAYABgBZ&#10;AQAASAUAAAAA&#10;">
                        <v:fill on="f" focussize="0,0"/>
                        <v:stroke on="f"/>
                        <v:imagedata o:title=""/>
                        <o:lock v:ext="edit" aspectratio="f"/>
                        <v:textbox>
                          <w:txbxContent>
                            <w:p w14:paraId="67612FE4">
                              <w:pPr>
                                <w:pStyle w:val="16"/>
                                <w:spacing w:before="48" w:after="48" w:line="480" w:lineRule="exact"/>
                                <w:ind w:firstLine="422"/>
                                <w:rPr>
                                  <w:b/>
                                  <w:bCs/>
                                  <w:sz w:val="21"/>
                                  <w:szCs w:val="21"/>
                                </w:rPr>
                              </w:pPr>
                              <w:r>
                                <w:rPr>
                                  <w:rFonts w:hAnsi="宋体"/>
                                  <w:b/>
                                  <w:bCs/>
                                  <w:sz w:val="21"/>
                                  <w:szCs w:val="21"/>
                                </w:rPr>
                                <w:t>图</w:t>
                              </w:r>
                              <w:r>
                                <w:rPr>
                                  <w:b/>
                                  <w:bCs/>
                                  <w:sz w:val="21"/>
                                  <w:szCs w:val="21"/>
                                </w:rPr>
                                <w:t>2</w:t>
                              </w:r>
                              <w:r>
                                <w:rPr>
                                  <w:rFonts w:hint="eastAsia"/>
                                  <w:b/>
                                  <w:bCs/>
                                  <w:sz w:val="21"/>
                                  <w:szCs w:val="21"/>
                                  <w:lang w:val="en-US" w:eastAsia="zh-CN"/>
                                </w:rPr>
                                <w:t>.1全厂</w:t>
                              </w:r>
                              <w:r>
                                <w:rPr>
                                  <w:rFonts w:hAnsi="宋体"/>
                                  <w:b/>
                                  <w:bCs/>
                                  <w:sz w:val="21"/>
                                  <w:szCs w:val="21"/>
                                </w:rPr>
                                <w:t>水平衡图单位：</w:t>
                              </w:r>
                              <w:r>
                                <w:rPr>
                                  <w:b/>
                                  <w:bCs/>
                                  <w:sz w:val="21"/>
                                  <w:szCs w:val="21"/>
                                </w:rPr>
                                <w:t>m</w:t>
                              </w:r>
                              <w:r>
                                <w:rPr>
                                  <w:b/>
                                  <w:bCs/>
                                  <w:sz w:val="21"/>
                                  <w:szCs w:val="21"/>
                                  <w:vertAlign w:val="superscript"/>
                                </w:rPr>
                                <w:t>3</w:t>
                              </w:r>
                              <w:r>
                                <w:rPr>
                                  <w:b/>
                                  <w:bCs/>
                                  <w:sz w:val="21"/>
                                  <w:szCs w:val="21"/>
                                </w:rPr>
                                <w:t>/d</w:t>
                              </w:r>
                            </w:p>
                            <w:p w14:paraId="004FDF9D">
                              <w:pPr>
                                <w:rPr>
                                  <w:szCs w:val="20"/>
                                </w:rPr>
                              </w:pPr>
                            </w:p>
                          </w:txbxContent>
                        </v:textbox>
                      </v:rect>
                      <v:shape id="文本框 548" o:spid="_x0000_s1026" o:spt="202" type="#_x0000_t202" style="position:absolute;left:2961005;top:3210560;height:473075;width:1031240;" fillcolor="#FFFFFF [3201]" filled="t" stroked="t" coordsize="21600,21600" o:gfxdata="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XdLTAAAABQEAAA8AAAAAAAAAAQAgAAAAIgAAAGRycy9kb3ducmV2LnhtbFBLAQIUABQAAAAI&#10;AIdO4kC6PGHvZAIAAMUEAAAOAAAAAAAAAAEAIAAAACIBAABkcnMvZTJvRG9jLnhtbFBLBQYAAAAA&#10;BgAGAFkBAAD4BQAAAAA=&#10;">
                        <v:fill on="t" focussize="0,0"/>
                        <v:stroke weight="0.5pt" color="#000000 [3204]" joinstyle="round"/>
                        <v:imagedata o:title=""/>
                        <o:lock v:ext="edit" aspectratio="f"/>
                        <v:textbox>
                          <w:txbxContent>
                            <w:p w14:paraId="534B70C5">
                              <w:pPr>
                                <w:rPr>
                                  <w:rFonts w:hint="default" w:eastAsia="宋体"/>
                                  <w:sz w:val="21"/>
                                  <w:szCs w:val="21"/>
                                  <w:lang w:val="en-US" w:eastAsia="zh-CN"/>
                                </w:rPr>
                              </w:pPr>
                              <w:r>
                                <w:rPr>
                                  <w:rFonts w:hint="eastAsia"/>
                                  <w:sz w:val="21"/>
                                  <w:szCs w:val="21"/>
                                  <w:lang w:val="en-US" w:eastAsia="zh-CN"/>
                                </w:rPr>
                                <w:t>污水处理设施</w:t>
                              </w:r>
                            </w:p>
                          </w:txbxContent>
                        </v:textbox>
                      </v:shape>
                      <v:shape id="直接箭头连接符 100" o:spid="_x0000_s1026" o:spt="32" type="#_x0000_t32" style="position:absolute;left:3973830;top:2649855;flip:y;height:1905;width:539750;" filled="f" stroked="t" coordsize="21600,21600" o:gfxdata="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Ma+UdUAAAAFAQAA&#10;DwAAAAAAAAABACAAAAAiAAAAZHJzL2Rvd25yZXYueG1sUEsBAhQAFAAAAAgAh07iQEiGoxkcAgAA&#10;CgQAAA4AAAAAAAAAAQAgAAAAJAEAAGRycy9lMm9Eb2MueG1sUEsFBgAAAAAGAAYAWQEAALIFAAAA&#10;AA==&#10;">
                        <v:fill on="f" focussize="0,0"/>
                        <v:stroke color="#000000" joinstyle="round" endarrow="block"/>
                        <v:imagedata o:title=""/>
                        <o:lock v:ext="edit" aspectratio="f"/>
                      </v:shape>
                      <v:shape id="文本框 63" o:spid="_x0000_s1026" o:spt="202" type="#_x0000_t202" style="position:absolute;left:4338955;top:2907030;height:482600;width:74803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jotMTXAAAABQEAAA8AAAAAAAAAAQAgAAAAIgAAAGRycy9kb3ducmV2Lnht&#10;bFBLAQIUABQAAAAIAIdO4kBx4DnUwQEAAGMDAAAOAAAAAAAAAAEAIAAAACYBAABkcnMvZTJvRG9j&#10;LnhtbFBLBQYAAAAABgAGAFkBAABZBQAAAAA=&#10;">
                        <v:fill on="f" focussize="0,0"/>
                        <v:stroke on="f" weight="0.5pt"/>
                        <v:imagedata o:title=""/>
                        <o:lock v:ext="edit" aspectratio="f"/>
                        <v:textbox>
                          <w:txbxContent>
                            <w:p w14:paraId="6020B729">
                              <w:pPr>
                                <w:rPr>
                                  <w:rFonts w:hint="default"/>
                                  <w:lang w:val="en-US" w:eastAsia="zh-CN"/>
                                </w:rPr>
                              </w:pPr>
                              <w:r>
                                <w:rPr>
                                  <w:rFonts w:hint="eastAsia" w:ascii="宋体" w:hAnsi="宋体" w:cs="宋体"/>
                                  <w:sz w:val="21"/>
                                  <w:szCs w:val="21"/>
                                  <w:lang w:val="en-US" w:eastAsia="zh-CN"/>
                                </w:rPr>
                                <w:t>26.37</w:t>
                              </w:r>
                            </w:p>
                          </w:txbxContent>
                        </v:textbox>
                      </v:shape>
                      <v:shape id="直接箭头连接符 100" o:spid="_x0000_s1026" o:spt="32" type="#_x0000_t32" style="position:absolute;left:3983355;top:3449955;flip:y;height:1905;width:530225;" filled="f" stroked="t" coordsize="21600,21600" o:gfxdata="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Ma+UdUAAAAFAQAADwAA&#10;AAAAAAABACAAAAAiAAAAZHJzL2Rvd25yZXYueG1sUEsBAhQAFAAAAAgAh07iQKbh9hsZAgAACgQA&#10;AA4AAAAAAAAAAQAgAAAAJAEAAGRycy9lMm9Eb2MueG1sUEsFBgAAAAAGAAYAWQEAAK8FAAAAAA==&#10;">
                        <v:fill on="f" focussize="0,0"/>
                        <v:stroke color="#000000" joinstyle="round" endarrow="block"/>
                        <v:imagedata o:title=""/>
                        <o:lock v:ext="edit" aspectratio="f"/>
                      </v:shape>
                      <v:shape id="文本框 555" o:spid="_x0000_s1026" o:spt="202" type="#_x0000_t202" style="position:absolute;left:3827780;top:1386840;height:455295;width:86614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6LTE1wAAAAUBAAAPAAAAAAAAAAEA&#10;IAAAACIAAABkcnMvZG93bnJldi54bWxQSwECFAAUAAAACACHTuJAT5t6nkkCAABzBAAADgAAAAAA&#10;AAABACAAAAAmAQAAZHJzL2Uyb0RvYy54bWxQSwUGAAAAAAYABgBZAQAA4QUAAAAA&#10;">
                        <v:fill on="f" focussize="0,0"/>
                        <v:stroke on="f" weight="0.5pt"/>
                        <v:imagedata o:title=""/>
                        <o:lock v:ext="edit" aspectratio="f"/>
                        <v:textbox>
                          <w:txbxContent>
                            <w:p w14:paraId="12888B3E">
                              <w:pPr>
                                <w:rPr>
                                  <w:rFonts w:hint="default"/>
                                  <w:lang w:val="en-US" w:eastAsia="zh-CN"/>
                                </w:rPr>
                              </w:pPr>
                              <w:r>
                                <w:rPr>
                                  <w:rFonts w:hint="eastAsia" w:ascii="Times New Roman" w:hAnsi="Times New Roman" w:eastAsia="宋体" w:cs="Times New Roman"/>
                                  <w:sz w:val="21"/>
                                  <w:szCs w:val="21"/>
                                  <w:lang w:val="en-US" w:eastAsia="zh-CN"/>
                                </w:rPr>
                                <w:t>雨水管网</w:t>
                              </w:r>
                            </w:p>
                          </w:txbxContent>
                        </v:textbox>
                      </v:shape>
                      <v:shape id="文本框 555" o:spid="_x0000_s1026" o:spt="202" type="#_x0000_t202" style="position:absolute;left:3542030;top:348615;height:455295;width:86614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Oi0xNcAAAAFAQAADwAAAAAAAAABACAA&#10;AAAiAAAAZHJzL2Rvd25yZXYueG1sUEsBAhQAFAAAAAgAh07iQAHczp9HAgAAcwQAAA4AAAAAAAAA&#10;AQAgAAAAJgEAAGRycy9lMm9Eb2MueG1sUEsFBgAAAAAGAAYAWQEAAN8FAAAAAA==&#10;">
                        <v:fill on="f" focussize="0,0"/>
                        <v:stroke on="f" weight="0.5pt"/>
                        <v:imagedata o:title=""/>
                        <o:lock v:ext="edit" aspectratio="f"/>
                        <v:textbox>
                          <w:txbxContent>
                            <w:p w14:paraId="67EFAE8F">
                              <w:pPr>
                                <w:rPr>
                                  <w:rFonts w:hint="default"/>
                                  <w:lang w:val="en-US" w:eastAsia="zh-CN"/>
                                </w:rPr>
                              </w:pPr>
                              <w:r>
                                <w:rPr>
                                  <w:rFonts w:hint="eastAsia" w:ascii="Times New Roman" w:hAnsi="Times New Roman" w:eastAsia="宋体" w:cs="Times New Roman"/>
                                  <w:sz w:val="21"/>
                                  <w:szCs w:val="21"/>
                                  <w:lang w:val="en-US" w:eastAsia="zh-CN"/>
                                </w:rPr>
                                <w:t>雨水管网</w:t>
                              </w:r>
                            </w:p>
                          </w:txbxContent>
                        </v:textbox>
                      </v:shape>
                      <v:shape id="文本框 555" o:spid="_x0000_s1026" o:spt="202" type="#_x0000_t202" style="position:absolute;left:2160270;top:9525;height:455295;width:866140;" filled="f" stroked="f" coordsize="21600,21600" o:gfxdata="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Oi0xNcAAAAFAQAADwAAAAAAAAABACAA&#10;AAAiAAAAZHJzL2Rvd25yZXYueG1sUEsBAhQAFAAAAAgAh07iQOqnCbpHAgAAcQQAAA4AAAAAAAAA&#10;AQAgAAAAJgEAAGRycy9lMm9Eb2MueG1sUEsFBgAAAAAGAAYAWQEAAN8FAAAAAA==&#10;">
                        <v:fill on="f" focussize="0,0"/>
                        <v:stroke on="f" weight="0.5pt"/>
                        <v:imagedata o:title=""/>
                        <o:lock v:ext="edit" aspectratio="f"/>
                        <v:textbox>
                          <w:txbxContent>
                            <w:p w14:paraId="2FC7C979">
                              <w:pPr>
                                <w:rPr>
                                  <w:rFonts w:hint="default"/>
                                  <w:lang w:val="en-US" w:eastAsia="zh-CN"/>
                                </w:rPr>
                              </w:pPr>
                              <w:r>
                                <w:rPr>
                                  <w:rFonts w:hint="eastAsia" w:ascii="Times New Roman" w:hAnsi="Times New Roman" w:eastAsia="宋体" w:cs="Times New Roman"/>
                                  <w:sz w:val="21"/>
                                  <w:szCs w:val="21"/>
                                  <w:lang w:val="en-US" w:eastAsia="zh-CN"/>
                                </w:rPr>
                                <w:t>循环</w:t>
                              </w:r>
                            </w:p>
                          </w:txbxContent>
                        </v:textbox>
                      </v:shape>
                      <w10:wrap type="none"/>
                      <w10:anchorlock/>
                    </v:group>
                  </w:pict>
                </mc:Fallback>
              </mc:AlternateContent>
            </w:r>
          </w:p>
          <w:p w14:paraId="03ACF9A0">
            <w:pPr>
              <w:pStyle w:val="50"/>
              <w:numPr>
                <w:ilvl w:val="0"/>
                <w:numId w:val="0"/>
              </w:numPr>
              <w:bidi w:val="0"/>
              <w:rPr>
                <w:rFonts w:hint="eastAsia" w:cs="Times New Roman"/>
                <w:color w:val="000000" w:themeColor="text1"/>
                <w:highlight w:val="none"/>
                <w:lang w:val="en-US" w:eastAsia="zh-CN"/>
                <w14:textFill>
                  <w14:solidFill>
                    <w14:schemeClr w14:val="tx1"/>
                  </w14:solidFill>
                </w14:textFill>
              </w:rPr>
            </w:pPr>
          </w:p>
          <w:p w14:paraId="0A7D2F1E">
            <w:pPr>
              <w:pStyle w:val="50"/>
              <w:rPr>
                <w:color w:val="000000" w:themeColor="text1"/>
                <w:highlight w:val="none"/>
                <w14:textFill>
                  <w14:solidFill>
                    <w14:schemeClr w14:val="tx1"/>
                  </w14:solidFill>
                </w14:textFill>
              </w:rPr>
            </w:pPr>
          </w:p>
          <w:p w14:paraId="71CD69AD">
            <w:pPr>
              <w:pStyle w:val="50"/>
              <w:rPr>
                <w:color w:val="000000" w:themeColor="text1"/>
                <w:highlight w:val="none"/>
                <w14:textFill>
                  <w14:solidFill>
                    <w14:schemeClr w14:val="tx1"/>
                  </w14:solidFill>
                </w14:textFill>
              </w:rPr>
            </w:pPr>
          </w:p>
          <w:p w14:paraId="7BC3DBA7">
            <w:pPr>
              <w:pStyle w:val="50"/>
              <w:rPr>
                <w:color w:val="000000" w:themeColor="text1"/>
                <w:highlight w:val="none"/>
                <w14:textFill>
                  <w14:solidFill>
                    <w14:schemeClr w14:val="tx1"/>
                  </w14:solidFill>
                </w14:textFill>
              </w:rPr>
            </w:pPr>
          </w:p>
          <w:p w14:paraId="7C2E4E8E">
            <w:pPr>
              <w:pStyle w:val="50"/>
              <w:rPr>
                <w:color w:val="000000" w:themeColor="text1"/>
                <w:highlight w:val="none"/>
                <w14:textFill>
                  <w14:solidFill>
                    <w14:schemeClr w14:val="tx1"/>
                  </w14:solidFill>
                </w14:textFill>
              </w:rPr>
            </w:pPr>
          </w:p>
          <w:p w14:paraId="71100EE4">
            <w:pPr>
              <w:pStyle w:val="50"/>
              <w:rPr>
                <w:color w:val="000000" w:themeColor="text1"/>
                <w:highlight w:val="none"/>
                <w14:textFill>
                  <w14:solidFill>
                    <w14:schemeClr w14:val="tx1"/>
                  </w14:solidFill>
                </w14:textFill>
              </w:rPr>
            </w:pPr>
          </w:p>
        </w:tc>
      </w:tr>
      <w:tr w14:paraId="356B86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66" w:type="dxa"/>
            <w:noWrap w:val="0"/>
            <w:vAlign w:val="center"/>
          </w:tcPr>
          <w:p w14:paraId="7742D809">
            <w:pPr>
              <w:rPr>
                <w:color w:val="000000" w:themeColor="text1"/>
                <w14:textFill>
                  <w14:solidFill>
                    <w14:schemeClr w14:val="tx1"/>
                  </w14:solidFill>
                </w14:textFill>
              </w:rPr>
            </w:pPr>
            <w:r>
              <w:rPr>
                <w:rFonts w:hint="eastAsia"/>
                <w:color w:val="000000" w:themeColor="text1"/>
                <w14:textFill>
                  <w14:solidFill>
                    <w14:schemeClr w14:val="tx1"/>
                  </w14:solidFill>
                </w14:textFill>
              </w:rPr>
              <w:t>工艺流程和产排污环节</w:t>
            </w:r>
          </w:p>
        </w:tc>
        <w:tc>
          <w:tcPr>
            <w:tcW w:w="8284" w:type="dxa"/>
            <w:noWrap w:val="0"/>
            <w:vAlign w:val="center"/>
          </w:tcPr>
          <w:p w14:paraId="28E172E0">
            <w:pPr>
              <w:pStyle w:val="3"/>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工艺流程和产排污环节</w:t>
            </w:r>
          </w:p>
          <w:p w14:paraId="768E867A">
            <w:pPr>
              <w:pStyle w:val="4"/>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施工期工艺流程及产排污环节</w:t>
            </w:r>
          </w:p>
          <w:p w14:paraId="4C63C32C">
            <w:pPr>
              <w:pStyle w:val="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本项目租用现有厂房设施，不新建构建筑物，不涉及土建工程，室内及其配套水、电、气等辅助设施均已齐备并能正常使用。施工期建设内容仅为设备的安装及</w:t>
            </w:r>
            <w:r>
              <w:rPr>
                <w:rFonts w:hint="eastAsia"/>
                <w:color w:val="000000" w:themeColor="text1"/>
                <w:highlight w:val="none"/>
                <w14:textFill>
                  <w14:solidFill>
                    <w14:schemeClr w14:val="tx1"/>
                  </w14:solidFill>
                </w14:textFill>
              </w:rPr>
              <w:t>装饰装修</w:t>
            </w:r>
            <w:r>
              <w:rPr>
                <w:color w:val="000000" w:themeColor="text1"/>
                <w:highlight w:val="none"/>
                <w14:textFill>
                  <w14:solidFill>
                    <w14:schemeClr w14:val="tx1"/>
                  </w14:solidFill>
                </w14:textFill>
              </w:rPr>
              <w:t>，安装设备少，施工体量小</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施工期较短，对环境的影响较小</w:t>
            </w:r>
            <w:r>
              <w:rPr>
                <w:rFonts w:hint="eastAsia"/>
                <w:color w:val="000000" w:themeColor="text1"/>
                <w:highlight w:val="none"/>
                <w14:textFill>
                  <w14:solidFill>
                    <w14:schemeClr w14:val="tx1"/>
                  </w14:solidFill>
                </w14:textFill>
              </w:rPr>
              <w:t>。</w:t>
            </w:r>
          </w:p>
          <w:p w14:paraId="1971839A">
            <w:pPr>
              <w:pStyle w:val="4"/>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运营期工艺流程及产污环节</w:t>
            </w:r>
          </w:p>
          <w:p w14:paraId="0345A416">
            <w:pPr>
              <w:pStyle w:val="50"/>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ascii="宋体" w:hAnsi="宋体" w:eastAsia="宋体" w:cs="宋体"/>
                <w:b w:val="0"/>
                <w:bCs w:val="0"/>
                <w:color w:val="000000" w:themeColor="text1"/>
                <w:sz w:val="24"/>
                <w:szCs w:val="24"/>
                <w:highlight w:val="none"/>
                <w14:textFill>
                  <w14:solidFill>
                    <w14:schemeClr w14:val="tx1"/>
                  </w14:solidFill>
                </w14:textFill>
              </w:rPr>
              <w:t>本项目运营期生产工艺流程及产污环节</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如下。</w:t>
            </w:r>
          </w:p>
          <w:p w14:paraId="719E4ED0">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highlight w:val="none"/>
              </w:rPr>
              <mc:AlternateContent>
                <mc:Choice Requires="wps">
                  <w:drawing>
                    <wp:anchor distT="0" distB="0" distL="114300" distR="114300" simplePos="0" relativeHeight="251678720" behindDoc="0" locked="0" layoutInCell="1" allowOverlap="1">
                      <wp:simplePos x="0" y="0"/>
                      <wp:positionH relativeFrom="column">
                        <wp:posOffset>2453005</wp:posOffset>
                      </wp:positionH>
                      <wp:positionV relativeFrom="paragraph">
                        <wp:posOffset>85725</wp:posOffset>
                      </wp:positionV>
                      <wp:extent cx="516255" cy="27178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1625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87EDB">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15pt;margin-top:6.75pt;height:21.4pt;width:40.65pt;z-index:251678720;mso-width-relative:page;mso-height-relative:page;" filled="f" stroked="f" coordsize="21600,21600" o:gfxdata="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GogC2gAAAAkBAAAPAAAAAAAAAAEAIAAAACIAAABk&#10;cnMvZG93bnJldi54bWxQSwECFAAUAAAACACHTuJACLyhPD0CAABnBAAADgAAAAAAAAABACAAAAAp&#10;AQAAZHJzL2Uyb0RvYy54bWxQSwUGAAAAAAYABgBZAQAA2AUAAAAA&#10;">
                      <v:fill on="f" focussize="0,0"/>
                      <v:stroke on="f" weight="0.5pt"/>
                      <v:imagedata o:title=""/>
                      <o:lock v:ext="edit" aspectratio="f"/>
                      <v:textbox>
                        <w:txbxContent>
                          <w:p w14:paraId="5EC87EDB">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G1</w:t>
                            </w:r>
                          </w:p>
                        </w:txbxContent>
                      </v:textbox>
                    </v:shape>
                  </w:pict>
                </mc:Fallback>
              </mc:AlternateContent>
            </w:r>
            <w:r>
              <w:rPr>
                <w:highlight w:val="none"/>
              </w:rPr>
              <mc:AlternateContent>
                <mc:Choice Requires="wps">
                  <w:drawing>
                    <wp:anchor distT="0" distB="0" distL="114300" distR="114300" simplePos="0" relativeHeight="251671552" behindDoc="0" locked="0" layoutInCell="1" allowOverlap="1">
                      <wp:simplePos x="0" y="0"/>
                      <wp:positionH relativeFrom="column">
                        <wp:posOffset>874395</wp:posOffset>
                      </wp:positionH>
                      <wp:positionV relativeFrom="paragraph">
                        <wp:posOffset>22225</wp:posOffset>
                      </wp:positionV>
                      <wp:extent cx="1534795" cy="27178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53479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53846">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洗衣</w:t>
                                  </w:r>
                                  <w:r>
                                    <w:rPr>
                                      <w:rFonts w:hint="eastAsia" w:ascii="宋体" w:hAnsi="宋体" w:cs="宋体"/>
                                      <w:sz w:val="21"/>
                                      <w:szCs w:val="21"/>
                                      <w:highlight w:val="none"/>
                                      <w:lang w:val="en-US" w:eastAsia="zh-CN"/>
                                    </w:rPr>
                                    <w:t>液、硅油、柔顺剂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85pt;margin-top:1.75pt;height:21.4pt;width:120.85pt;z-index:251671552;mso-width-relative:page;mso-height-relative:page;" filled="f" stroked="f" coordsize="21600,21600" o:gfxdata="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Ye2K3aAAAACAEAAA8AAAAAAAAAAQAgAAAAIgAAAGRy&#10;cy9kb3ducmV2LnhtbFBLAQIUABQAAAAIAIdO4kCahh1qPAIAAGgEAAAOAAAAAAAAAAEAIAAAACkB&#10;AABkcnMvZTJvRG9jLnhtbFBLBQYAAAAABgAGAFkBAADXBQAAAAA=&#10;">
                      <v:fill on="f" focussize="0,0"/>
                      <v:stroke on="f" weight="0.5pt"/>
                      <v:imagedata o:title=""/>
                      <o:lock v:ext="edit" aspectratio="f"/>
                      <v:textbox>
                        <w:txbxContent>
                          <w:p w14:paraId="12553846">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洗衣</w:t>
                            </w:r>
                            <w:r>
                              <w:rPr>
                                <w:rFonts w:hint="eastAsia" w:ascii="宋体" w:hAnsi="宋体" w:cs="宋体"/>
                                <w:sz w:val="21"/>
                                <w:szCs w:val="21"/>
                                <w:highlight w:val="none"/>
                                <w:lang w:val="en-US" w:eastAsia="zh-CN"/>
                              </w:rPr>
                              <w:t>液、硅油、柔顺剂</w:t>
                            </w:r>
                          </w:p>
                        </w:txbxContent>
                      </v:textbox>
                    </v:shape>
                  </w:pict>
                </mc:Fallback>
              </mc:AlternateContent>
            </w:r>
          </w:p>
          <w:p w14:paraId="35273640">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highlight w:val="none"/>
              </w:rPr>
              <mc:AlternateContent>
                <mc:Choice Requires="wps">
                  <w:drawing>
                    <wp:anchor distT="0" distB="0" distL="114300" distR="114300" simplePos="0" relativeHeight="251670528" behindDoc="0" locked="0" layoutInCell="1" allowOverlap="1">
                      <wp:simplePos x="0" y="0"/>
                      <wp:positionH relativeFrom="column">
                        <wp:posOffset>1539240</wp:posOffset>
                      </wp:positionH>
                      <wp:positionV relativeFrom="paragraph">
                        <wp:posOffset>100965</wp:posOffset>
                      </wp:positionV>
                      <wp:extent cx="7620" cy="351790"/>
                      <wp:effectExtent l="36195" t="0" r="32385" b="10160"/>
                      <wp:wrapNone/>
                      <wp:docPr id="106" name="直接箭头连接符 240"/>
                      <wp:cNvGraphicFramePr/>
                      <a:graphic xmlns:a="http://schemas.openxmlformats.org/drawingml/2006/main">
                        <a:graphicData uri="http://schemas.microsoft.com/office/word/2010/wordprocessingShape">
                          <wps:wsp>
                            <wps:cNvCnPr/>
                            <wps:spPr>
                              <a:xfrm flipH="1">
                                <a:off x="0" y="0"/>
                                <a:ext cx="7620" cy="35179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240" o:spid="_x0000_s1026" o:spt="32" type="#_x0000_t32" style="position:absolute;left:0pt;flip:x;margin-left:121.2pt;margin-top:7.95pt;height:27.7pt;width:0.6pt;z-index:251670528;mso-width-relative:page;mso-height-relative:page;" filled="f" stroked="t" coordsize="21600,21600" o:gfxdata="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HzD6fYAAAACQEA&#10;AA8AAAAAAAAAAQAgAAAAIgAAAGRycy9kb3ducmV2LnhtbFBLAQIUABQAAAAIAIdO4kB/T7UmGgIA&#10;AAUEAAAOAAAAAAAAAAEAIAAAACcBAABkcnMvZTJvRG9jLnhtbFBLBQYAAAAABgAGAFkBAACzBQAA&#10;AAA=&#10;">
                      <v:fill on="f" focussize="0,0"/>
                      <v:stroke weight="2pt" color="#000000 [3213]" joinstyle="round" endarrow="block"/>
                      <v:imagedata o:title=""/>
                      <o:lock v:ext="edit" aspectratio="f"/>
                    </v:shape>
                  </w:pict>
                </mc:Fallback>
              </mc:AlternateContent>
            </w:r>
          </w:p>
          <w:p w14:paraId="2C8150FB">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154940</wp:posOffset>
                      </wp:positionH>
                      <wp:positionV relativeFrom="paragraph">
                        <wp:posOffset>194310</wp:posOffset>
                      </wp:positionV>
                      <wp:extent cx="711200" cy="34099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11200" cy="340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8AE41">
                                  <w:pPr>
                                    <w:rPr>
                                      <w:rFonts w:hint="default" w:eastAsia="宋体"/>
                                      <w:sz w:val="21"/>
                                      <w:szCs w:val="21"/>
                                      <w:lang w:val="en-US" w:eastAsia="zh-CN"/>
                                    </w:rPr>
                                  </w:pPr>
                                  <w:r>
                                    <w:rPr>
                                      <w:rFonts w:hint="eastAsia" w:eastAsia="宋体"/>
                                      <w:sz w:val="21"/>
                                      <w:szCs w:val="21"/>
                                      <w:lang w:val="en-US" w:eastAsia="zh-CN"/>
                                    </w:rPr>
                                    <w:t>牛仔裤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15.3pt;height:26.85pt;width:56pt;z-index:251662336;mso-width-relative:page;mso-height-relative:page;" filled="f" stroked="f" coordsize="21600,21600" o:gfxdata="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rOptdkAAAAIAQAADwAAAAAAAAABACAAAAAiAAAAZHJz&#10;L2Rvd25yZXYueG1sUEsBAhQAFAAAAAgAh07iQMx34Sw8AgAAZwQAAA4AAAAAAAAAAQAgAAAAKAEA&#10;AGRycy9lMm9Eb2MueG1sUEsFBgAAAAAGAAYAWQEAANYFAAAAAA==&#10;">
                      <v:fill on="f" focussize="0,0"/>
                      <v:stroke on="f" weight="0.5pt"/>
                      <v:imagedata o:title=""/>
                      <o:lock v:ext="edit" aspectratio="f"/>
                      <v:textbox>
                        <w:txbxContent>
                          <w:p w14:paraId="7F88AE41">
                            <w:pPr>
                              <w:rPr>
                                <w:rFonts w:hint="default" w:eastAsia="宋体"/>
                                <w:sz w:val="21"/>
                                <w:szCs w:val="21"/>
                                <w:lang w:val="en-US" w:eastAsia="zh-CN"/>
                              </w:rPr>
                            </w:pPr>
                            <w:r>
                              <w:rPr>
                                <w:rFonts w:hint="eastAsia" w:eastAsia="宋体"/>
                                <w:sz w:val="21"/>
                                <w:szCs w:val="21"/>
                                <w:lang w:val="en-US" w:eastAsia="zh-CN"/>
                              </w:rPr>
                              <w:t>牛仔裤</w:t>
                            </w:r>
                          </w:p>
                        </w:txbxContent>
                      </v:textbox>
                    </v:shape>
                  </w:pict>
                </mc:Fallback>
              </mc:AlternateContent>
            </w:r>
          </w:p>
          <w:p w14:paraId="0181BE3F">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highlight w:val="none"/>
              </w:rPr>
              <mc:AlternateContent>
                <mc:Choice Requires="wps">
                  <w:drawing>
                    <wp:anchor distT="0" distB="0" distL="114300" distR="114300" simplePos="0" relativeHeight="251677696" behindDoc="0" locked="0" layoutInCell="1" allowOverlap="1">
                      <wp:simplePos x="0" y="0"/>
                      <wp:positionH relativeFrom="column">
                        <wp:posOffset>2668905</wp:posOffset>
                      </wp:positionH>
                      <wp:positionV relativeFrom="paragraph">
                        <wp:posOffset>-255905</wp:posOffset>
                      </wp:positionV>
                      <wp:extent cx="0" cy="300990"/>
                      <wp:effectExtent l="38100" t="0" r="38100" b="3810"/>
                      <wp:wrapNone/>
                      <wp:docPr id="15" name="直接箭头连接符 15"/>
                      <wp:cNvGraphicFramePr/>
                      <a:graphic xmlns:a="http://schemas.openxmlformats.org/drawingml/2006/main">
                        <a:graphicData uri="http://schemas.microsoft.com/office/word/2010/wordprocessingShape">
                          <wps:wsp>
                            <wps:cNvCnPr/>
                            <wps:spPr>
                              <a:xfrm>
                                <a:off x="0" y="0"/>
                                <a:ext cx="0" cy="300990"/>
                              </a:xfrm>
                              <a:prstGeom prst="straightConnector1">
                                <a:avLst/>
                              </a:prstGeom>
                              <a:ln>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0.15pt;margin-top:-20.15pt;height:23.7pt;width:0pt;z-index:251677696;mso-width-relative:page;mso-height-relative:page;" filled="f" stroked="t" coordsize="21600,21600" o:gfxdata="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nmyjNcAAAAJAQAADwAAAAAAAAABACAA&#10;AAAiAAAAZHJzL2Rvd25yZXYueG1sUEsBAhQAFAAAAAgAh07iQA0rRfEOAgAABgQAAA4AAAAAAAAA&#10;AQAgAAAAJgEAAGRycy9lMm9Eb2MueG1sUEsFBgAAAAAGAAYAWQEAAKYFAAAAAA==&#10;">
                      <v:fill on="f" focussize="0,0"/>
                      <v:stroke color="#000000 [3213]" joinstyle="round" dashstyle="dash" startarrow="block"/>
                      <v:imagedata o:title=""/>
                      <o:lock v:ext="edit" aspectratio="f"/>
                    </v:shape>
                  </w:pict>
                </mc:Fallback>
              </mc:AlternateContent>
            </w:r>
            <w:r>
              <w:rPr>
                <w:highlight w:val="none"/>
              </w:rPr>
              <mc:AlternateContent>
                <mc:Choice Requires="wps">
                  <w:drawing>
                    <wp:anchor distT="0" distB="0" distL="114300" distR="114300" simplePos="0" relativeHeight="251664384" behindDoc="0" locked="0" layoutInCell="1" allowOverlap="1">
                      <wp:simplePos x="0" y="0"/>
                      <wp:positionH relativeFrom="column">
                        <wp:posOffset>4281805</wp:posOffset>
                      </wp:positionH>
                      <wp:positionV relativeFrom="paragraph">
                        <wp:posOffset>64770</wp:posOffset>
                      </wp:positionV>
                      <wp:extent cx="753745" cy="287655"/>
                      <wp:effectExtent l="5080" t="4445" r="22225" b="12700"/>
                      <wp:wrapNone/>
                      <wp:docPr id="33" name="文本框 204"/>
                      <wp:cNvGraphicFramePr/>
                      <a:graphic xmlns:a="http://schemas.openxmlformats.org/drawingml/2006/main">
                        <a:graphicData uri="http://schemas.microsoft.com/office/word/2010/wordprocessingShape">
                          <wps:wsp>
                            <wps:cNvSpPr txBox="1"/>
                            <wps:spPr>
                              <a:xfrm>
                                <a:off x="0" y="0"/>
                                <a:ext cx="753745" cy="2876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2E3080">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打包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4" o:spid="_x0000_s1026" o:spt="202" type="#_x0000_t202" style="position:absolute;left:0pt;margin-left:337.15pt;margin-top:5.1pt;height:22.65pt;width:59.35pt;z-index:251664384;mso-width-relative:page;mso-height-relative:page;" fillcolor="#FFFFFF [3201]" filled="t" stroked="t" coordsize="21600,21600" o:gfxdata="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uMTS1gAA&#10;AAkBAAAPAAAAAAAAAAEAIAAAACIAAABkcnMvZG93bnJldi54bWxQSwECFAAUAAAACACHTuJAmDHu&#10;bVkCAAC5BAAADgAAAAAAAAABACAAAAAlAQAAZHJzL2Uyb0RvYy54bWxQSwUGAAAAAAYABgBZAQAA&#10;8AUAAAAA&#10;">
                      <v:fill on="t" focussize="0,0"/>
                      <v:stroke weight="0.5pt" color="#000000 [3204]" joinstyle="round"/>
                      <v:imagedata o:title=""/>
                      <o:lock v:ext="edit" aspectratio="f"/>
                      <v:textbox>
                        <w:txbxContent>
                          <w:p w14:paraId="262E3080">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打包</w:t>
                            </w:r>
                          </w:p>
                        </w:txbxContent>
                      </v:textbox>
                    </v:shape>
                  </w:pict>
                </mc:Fallback>
              </mc:AlternateContent>
            </w:r>
            <w:r>
              <w:rPr>
                <w:highlight w:val="none"/>
              </w:rPr>
              <mc:AlternateContent>
                <mc:Choice Requires="wps">
                  <w:drawing>
                    <wp:anchor distT="0" distB="0" distL="114300" distR="114300" simplePos="0" relativeHeight="251675648" behindDoc="0" locked="0" layoutInCell="1" allowOverlap="1">
                      <wp:simplePos x="0" y="0"/>
                      <wp:positionH relativeFrom="column">
                        <wp:posOffset>3278505</wp:posOffset>
                      </wp:positionH>
                      <wp:positionV relativeFrom="paragraph">
                        <wp:posOffset>82550</wp:posOffset>
                      </wp:positionV>
                      <wp:extent cx="753745" cy="287655"/>
                      <wp:effectExtent l="5080" t="4445" r="22225" b="12700"/>
                      <wp:wrapNone/>
                      <wp:docPr id="8" name="文本框 204"/>
                      <wp:cNvGraphicFramePr/>
                      <a:graphic xmlns:a="http://schemas.openxmlformats.org/drawingml/2006/main">
                        <a:graphicData uri="http://schemas.microsoft.com/office/word/2010/wordprocessingShape">
                          <wps:wsp>
                            <wps:cNvSpPr txBox="1"/>
                            <wps:spPr>
                              <a:xfrm>
                                <a:off x="0" y="0"/>
                                <a:ext cx="753745" cy="2876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98F551">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反裤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4" o:spid="_x0000_s1026" o:spt="202" type="#_x0000_t202" style="position:absolute;left:0pt;margin-left:258.15pt;margin-top:6.5pt;height:22.65pt;width:59.35pt;z-index:251675648;mso-width-relative:page;mso-height-relative:page;" fillcolor="#FFFFFF [3201]" filled="t" stroked="t" coordsize="21600,21600" o:gfxdata="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6ul/9QAAAAJ&#10;AQAADwAAAAAAAAABACAAAAAiAAAAZHJzL2Rvd25yZXYueG1sUEsBAhQAFAAAAAgAh07iQOXAWXBZ&#10;AgAAuAQAAA4AAAAAAAAAAQAgAAAAIwEAAGRycy9lMm9Eb2MueG1sUEsFBgAAAAAGAAYAWQEAAO4F&#10;AAAAAA==&#10;">
                      <v:fill on="t" focussize="0,0"/>
                      <v:stroke weight="0.5pt" color="#000000 [3204]" joinstyle="round"/>
                      <v:imagedata o:title=""/>
                      <o:lock v:ext="edit" aspectratio="f"/>
                      <v:textbox>
                        <w:txbxContent>
                          <w:p w14:paraId="4098F551">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反裤</w:t>
                            </w:r>
                          </w:p>
                        </w:txbxContent>
                      </v:textbox>
                    </v:shape>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olumn">
                        <wp:posOffset>2153285</wp:posOffset>
                      </wp:positionH>
                      <wp:positionV relativeFrom="paragraph">
                        <wp:posOffset>74295</wp:posOffset>
                      </wp:positionV>
                      <wp:extent cx="883285" cy="287655"/>
                      <wp:effectExtent l="5080" t="5080" r="6985" b="12065"/>
                      <wp:wrapNone/>
                      <wp:docPr id="32" name="文本框 204"/>
                      <wp:cNvGraphicFramePr/>
                      <a:graphic xmlns:a="http://schemas.openxmlformats.org/drawingml/2006/main">
                        <a:graphicData uri="http://schemas.microsoft.com/office/word/2010/wordprocessingShape">
                          <wps:wsp>
                            <wps:cNvSpPr txBox="1"/>
                            <wps:spPr>
                              <a:xfrm>
                                <a:off x="0" y="0"/>
                                <a:ext cx="883285" cy="2876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E46E5B">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4" o:spid="_x0000_s1026" o:spt="202" type="#_x0000_t202" style="position:absolute;left:0pt;margin-left:169.55pt;margin-top:5.85pt;height:22.65pt;width:69.55pt;z-index:251663360;mso-width-relative:page;mso-height-relative:page;" fillcolor="#FFFFFF [3201]" filled="t" stroked="t" coordsize="21600,21600" o:gfxdata="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9t1mdYA&#10;AAAJAQAADwAAAAAAAAABACAAAAAiAAAAZHJzL2Rvd25yZXYueG1sUEsBAhQAFAAAAAgAh07iQHer&#10;BVtaAgAAuQQAAA4AAAAAAAAAAQAgAAAAJQEAAGRycy9lMm9Eb2MueG1sUEsFBgAAAAAGAAYAWQEA&#10;APEFAAAAAA==&#10;">
                      <v:fill on="t" focussize="0,0"/>
                      <v:stroke weight="0.5pt" color="#000000 [3204]" joinstyle="round"/>
                      <v:imagedata o:title=""/>
                      <o:lock v:ext="edit" aspectratio="f"/>
                      <v:textbox>
                        <w:txbxContent>
                          <w:p w14:paraId="27E46E5B">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烘干</w:t>
                            </w:r>
                          </w:p>
                        </w:txbxContent>
                      </v:textbox>
                    </v:shape>
                  </w:pict>
                </mc:Fallback>
              </mc:AlternateContent>
            </w:r>
            <w:r>
              <w:rPr>
                <w:highlight w:val="none"/>
              </w:rPr>
              <mc:AlternateContent>
                <mc:Choice Requires="wps">
                  <w:drawing>
                    <wp:anchor distT="0" distB="0" distL="114300" distR="114300" simplePos="0" relativeHeight="251662336" behindDoc="0" locked="0" layoutInCell="1" allowOverlap="1">
                      <wp:simplePos x="0" y="0"/>
                      <wp:positionH relativeFrom="column">
                        <wp:posOffset>1041400</wp:posOffset>
                      </wp:positionH>
                      <wp:positionV relativeFrom="paragraph">
                        <wp:posOffset>64770</wp:posOffset>
                      </wp:positionV>
                      <wp:extent cx="883285" cy="287655"/>
                      <wp:effectExtent l="5080" t="5080" r="6985" b="12065"/>
                      <wp:wrapNone/>
                      <wp:docPr id="23" name="文本框 204"/>
                      <wp:cNvGraphicFramePr/>
                      <a:graphic xmlns:a="http://schemas.openxmlformats.org/drawingml/2006/main">
                        <a:graphicData uri="http://schemas.microsoft.com/office/word/2010/wordprocessingShape">
                          <wps:wsp>
                            <wps:cNvSpPr txBox="1"/>
                            <wps:spPr>
                              <a:xfrm>
                                <a:off x="0" y="0"/>
                                <a:ext cx="883285" cy="2876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118D16">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滚筒洗衣机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4" o:spid="_x0000_s1026" o:spt="202" type="#_x0000_t202" style="position:absolute;left:0pt;margin-left:82pt;margin-top:5.1pt;height:22.65pt;width:69.55pt;z-index:251662336;mso-width-relative:page;mso-height-relative:page;" fillcolor="#FFFFFF [3201]" filled="t" stroked="t" coordsize="21600,21600" o:gfxdata="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n1r9E1QAA&#10;AAkBAAAPAAAAAAAAAAEAIAAAACIAAABkcnMvZG93bnJldi54bWxQSwECFAAUAAAACACHTuJAEIa8&#10;YloCAAC5BAAADgAAAAAAAAABACAAAAAkAQAAZHJzL2Uyb0RvYy54bWxQSwUGAAAAAAYABgBZAQAA&#10;8AUAAAAA&#10;">
                      <v:fill on="t" focussize="0,0"/>
                      <v:stroke weight="0.5pt" color="#000000 [3204]" joinstyle="round"/>
                      <v:imagedata o:title=""/>
                      <o:lock v:ext="edit" aspectratio="f"/>
                      <v:textbox>
                        <w:txbxContent>
                          <w:p w14:paraId="50118D16">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滚筒洗衣机</w:t>
                            </w:r>
                          </w:p>
                        </w:txbxContent>
                      </v:textbox>
                    </v:shape>
                  </w:pict>
                </mc:Fallback>
              </mc:AlternateContent>
            </w:r>
          </w:p>
          <w:p w14:paraId="20C3C298">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highlight w:val="none"/>
              </w:rPr>
              <mc:AlternateContent>
                <mc:Choice Requires="wps">
                  <w:drawing>
                    <wp:anchor distT="0" distB="0" distL="114300" distR="114300" simplePos="0" relativeHeight="251681792" behindDoc="0" locked="0" layoutInCell="1" allowOverlap="1">
                      <wp:simplePos x="0" y="0"/>
                      <wp:positionH relativeFrom="column">
                        <wp:posOffset>3684270</wp:posOffset>
                      </wp:positionH>
                      <wp:positionV relativeFrom="paragraph">
                        <wp:posOffset>170180</wp:posOffset>
                      </wp:positionV>
                      <wp:extent cx="0" cy="257175"/>
                      <wp:effectExtent l="38100" t="0" r="38100" b="9525"/>
                      <wp:wrapNone/>
                      <wp:docPr id="18" name="直接箭头连接符 18"/>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0.1pt;margin-top:13.4pt;height:20.25pt;width:0pt;z-index:251681792;mso-width-relative:page;mso-height-relative:page;" filled="f" stroked="t" coordsize="21600,21600" o:gfxdata="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q+OMTXAAAACQEAAA8AAAAA&#10;AAAAAQAgAAAAIgAAAGRycy9kb3ducmV2LnhtbFBLAQIUABQAAAAIAIdO4kA1QA0hFQIAABAEAAAO&#10;AAAAAAAAAAEAIAAAACYBAABkcnMvZTJvRG9jLnhtbFBLBQYAAAAABgAGAFkBAACtBQAAAAA=&#10;">
                      <v:fill on="f" focussize="0,0"/>
                      <v:stroke color="#000000 [3213]" joinstyle="round" dashstyle="dash" startarrow="block"/>
                      <v:imagedata o:title=""/>
                      <o:lock v:ext="edit" aspectratio="f"/>
                    </v:shape>
                  </w:pict>
                </mc:Fallback>
              </mc:AlternateContent>
            </w:r>
            <w:r>
              <w:rPr>
                <w:highlight w:val="none"/>
              </w:rPr>
              <mc:AlternateContent>
                <mc:Choice Requires="wps">
                  <w:drawing>
                    <wp:anchor distT="0" distB="0" distL="114300" distR="114300" simplePos="0" relativeHeight="251679744" behindDoc="0" locked="0" layoutInCell="1" allowOverlap="1">
                      <wp:simplePos x="0" y="0"/>
                      <wp:positionH relativeFrom="column">
                        <wp:posOffset>2533015</wp:posOffset>
                      </wp:positionH>
                      <wp:positionV relativeFrom="paragraph">
                        <wp:posOffset>146050</wp:posOffset>
                      </wp:positionV>
                      <wp:extent cx="0" cy="257175"/>
                      <wp:effectExtent l="38100" t="0" r="38100" b="9525"/>
                      <wp:wrapNone/>
                      <wp:docPr id="2" name="直接箭头连接符 2"/>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9.45pt;margin-top:11.5pt;height:20.25pt;width:0pt;z-index:251679744;mso-width-relative:page;mso-height-relative:page;" filled="f" stroked="t" coordsize="21600,21600" o:gfxdata="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VPYk2AAAAAkBAAAPAAAA&#10;AAAAAAEAIAAAACIAAABkcnMvZG93bnJldi54bWxQSwECFAAUAAAACACHTuJAFf6x/RUCAAAOBAAA&#10;DgAAAAAAAAABACAAAAAnAQAAZHJzL2Uyb0RvYy54bWxQSwUGAAAAAAYABgBZAQAArgUAAAAA&#10;">
                      <v:fill on="f" focussize="0,0"/>
                      <v:stroke color="#000000 [3213]" joinstyle="round" dashstyle="dash" startarrow="block"/>
                      <v:imagedata o:title=""/>
                      <o:lock v:ext="edit" aspectratio="f"/>
                    </v:shape>
                  </w:pict>
                </mc:Fallback>
              </mc:AlternateContent>
            </w:r>
            <w:r>
              <w:rPr>
                <w:highlight w:val="none"/>
              </w:rPr>
              <mc:AlternateContent>
                <mc:Choice Requires="wps">
                  <w:drawing>
                    <wp:anchor distT="0" distB="0" distL="114300" distR="114300" simplePos="0" relativeHeight="251676672" behindDoc="0" locked="0" layoutInCell="1" allowOverlap="1">
                      <wp:simplePos x="0" y="0"/>
                      <wp:positionH relativeFrom="column">
                        <wp:posOffset>4040505</wp:posOffset>
                      </wp:positionH>
                      <wp:positionV relativeFrom="paragraph">
                        <wp:posOffset>13970</wp:posOffset>
                      </wp:positionV>
                      <wp:extent cx="225425" cy="2540"/>
                      <wp:effectExtent l="0" t="37465" r="3175" b="36195"/>
                      <wp:wrapNone/>
                      <wp:docPr id="14" name="直接箭头连接符 240"/>
                      <wp:cNvGraphicFramePr/>
                      <a:graphic xmlns:a="http://schemas.openxmlformats.org/drawingml/2006/main">
                        <a:graphicData uri="http://schemas.microsoft.com/office/word/2010/wordprocessingShape">
                          <wps:wsp>
                            <wps:cNvCnPr/>
                            <wps:spPr>
                              <a:xfrm flipV="1">
                                <a:off x="0" y="0"/>
                                <a:ext cx="225425" cy="254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240" o:spid="_x0000_s1026" o:spt="32" type="#_x0000_t32" style="position:absolute;left:0pt;flip:y;margin-left:318.15pt;margin-top:1.1pt;height:0.2pt;width:17.75pt;z-index:251676672;mso-width-relative:page;mso-height-relative:page;" filled="f" stroked="t" coordsize="21600,21600" o:gfxdata="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2yDlHVAAAABwEAAA8AAAAAAAAA&#10;AQAgAAAAIgAAAGRycy9kb3ducmV2LnhtbFBLAQIUABQAAAAIAIdO4kAhyqhbFAIAAAQEAAAOAAAA&#10;AAAAAAEAIAAAACQBAABkcnMvZTJvRG9jLnhtbFBLBQYAAAAABgAGAFkBAACqBQAAAAA=&#10;">
                      <v:fill on="f" focussize="0,0"/>
                      <v:stroke weight="2pt" color="#000000 [3213]"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68480" behindDoc="0" locked="0" layoutInCell="1" allowOverlap="1">
                      <wp:simplePos x="0" y="0"/>
                      <wp:positionH relativeFrom="column">
                        <wp:posOffset>1459230</wp:posOffset>
                      </wp:positionH>
                      <wp:positionV relativeFrom="paragraph">
                        <wp:posOffset>161290</wp:posOffset>
                      </wp:positionV>
                      <wp:extent cx="0" cy="257175"/>
                      <wp:effectExtent l="38100" t="0" r="38100" b="9525"/>
                      <wp:wrapNone/>
                      <wp:docPr id="68" name="直接箭头连接符 68"/>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4.9pt;margin-top:12.7pt;height:20.25pt;width:0pt;z-index:251668480;mso-width-relative:page;mso-height-relative:page;" filled="f" stroked="t" coordsize="21600,21600" o:gfxdata="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DMwvNgAAAAJAQAADwAA&#10;AAAAAAABACAAAAAiAAAAZHJzL2Rvd25yZXYueG1sUEsBAhQAFAAAAAgAh07iQFEvsTwWAgAAEAQA&#10;AA4AAAAAAAAAAQAgAAAAJwEAAGRycy9lMm9Eb2MueG1sUEsFBgAAAAAGAAYAWQEAAK8FAAAAAA==&#10;">
                      <v:fill on="f" focussize="0,0"/>
                      <v:stroke color="#000000 [3213]" joinstyle="round" dashstyle="dash" startarrow="block"/>
                      <v:imagedata o:title=""/>
                      <o:lock v:ext="edit" aspectratio="f"/>
                    </v:shape>
                  </w:pict>
                </mc:Fallback>
              </mc:AlternateContent>
            </w:r>
            <w:r>
              <w:rPr>
                <w:highlight w:val="none"/>
              </w:rPr>
              <mc:AlternateContent>
                <mc:Choice Requires="wps">
                  <w:drawing>
                    <wp:anchor distT="0" distB="0" distL="114300" distR="114300" simplePos="0" relativeHeight="251667456" behindDoc="0" locked="0" layoutInCell="1" allowOverlap="1">
                      <wp:simplePos x="0" y="0"/>
                      <wp:positionH relativeFrom="column">
                        <wp:posOffset>3044825</wp:posOffset>
                      </wp:positionH>
                      <wp:positionV relativeFrom="paragraph">
                        <wp:posOffset>13970</wp:posOffset>
                      </wp:positionV>
                      <wp:extent cx="225425" cy="2540"/>
                      <wp:effectExtent l="0" t="37465" r="3175" b="36195"/>
                      <wp:wrapNone/>
                      <wp:docPr id="35" name="直接箭头连接符 240"/>
                      <wp:cNvGraphicFramePr/>
                      <a:graphic xmlns:a="http://schemas.openxmlformats.org/drawingml/2006/main">
                        <a:graphicData uri="http://schemas.microsoft.com/office/word/2010/wordprocessingShape">
                          <wps:wsp>
                            <wps:cNvCnPr/>
                            <wps:spPr>
                              <a:xfrm flipV="1">
                                <a:off x="0" y="0"/>
                                <a:ext cx="225425" cy="254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240" o:spid="_x0000_s1026" o:spt="32" type="#_x0000_t32" style="position:absolute;left:0pt;flip:y;margin-left:239.75pt;margin-top:1.1pt;height:0.2pt;width:17.75pt;z-index:251667456;mso-width-relative:page;mso-height-relative:page;" filled="f" stroked="t" coordsize="21600,21600" o:gfxdata="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pLXtrVAAAABwEAAA8AAAAAAAAA&#10;AQAgAAAAIgAAAGRycy9kb3ducmV2LnhtbFBLAQIUABQAAAAIAIdO4kDS0u7YFAIAAAQEAAAOAAAA&#10;AAAAAAEAIAAAACQBAABkcnMvZTJvRG9jLnhtbFBLBQYAAAAABgAGAFkBAACqBQAAAAA=&#10;">
                      <v:fill on="f" focussize="0,0"/>
                      <v:stroke weight="2pt" color="#000000 [3213]"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66432" behindDoc="0" locked="0" layoutInCell="1" allowOverlap="1">
                      <wp:simplePos x="0" y="0"/>
                      <wp:positionH relativeFrom="column">
                        <wp:posOffset>1936750</wp:posOffset>
                      </wp:positionH>
                      <wp:positionV relativeFrom="paragraph">
                        <wp:posOffset>13970</wp:posOffset>
                      </wp:positionV>
                      <wp:extent cx="225425" cy="2540"/>
                      <wp:effectExtent l="0" t="37465" r="3175" b="36195"/>
                      <wp:wrapNone/>
                      <wp:docPr id="34" name="直接箭头连接符 240"/>
                      <wp:cNvGraphicFramePr/>
                      <a:graphic xmlns:a="http://schemas.openxmlformats.org/drawingml/2006/main">
                        <a:graphicData uri="http://schemas.microsoft.com/office/word/2010/wordprocessingShape">
                          <wps:wsp>
                            <wps:cNvCnPr/>
                            <wps:spPr>
                              <a:xfrm flipV="1">
                                <a:off x="0" y="0"/>
                                <a:ext cx="225425" cy="254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240" o:spid="_x0000_s1026" o:spt="32" type="#_x0000_t32" style="position:absolute;left:0pt;flip:y;margin-left:152.5pt;margin-top:1.1pt;height:0.2pt;width:17.75pt;z-index:251666432;mso-width-relative:page;mso-height-relative:page;" filled="f" stroked="t" coordsize="21600,21600" o:gfxdata="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U79e1QAAAAcBAAAPAAAAAAAA&#10;AAEAIAAAACIAAABkcnMvZG93bnJldi54bWxQSwECFAAUAAAACACHTuJAbnLOBBUCAAAEBAAADgAA&#10;AAAAAAABACAAAAAkAQAAZHJzL2Uyb0RvYy54bWxQSwUGAAAAAAYABgBZAQAAqwUAAAAA&#10;">
                      <v:fill on="f" focussize="0,0"/>
                      <v:stroke weight="2pt" color="#000000 [3213]"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65408" behindDoc="0" locked="0" layoutInCell="1" allowOverlap="1">
                      <wp:simplePos x="0" y="0"/>
                      <wp:positionH relativeFrom="column">
                        <wp:posOffset>802005</wp:posOffset>
                      </wp:positionH>
                      <wp:positionV relativeFrom="paragraph">
                        <wp:posOffset>5080</wp:posOffset>
                      </wp:positionV>
                      <wp:extent cx="225425" cy="2540"/>
                      <wp:effectExtent l="0" t="37465" r="3175" b="36195"/>
                      <wp:wrapNone/>
                      <wp:docPr id="22" name="直接箭头连接符 240"/>
                      <wp:cNvGraphicFramePr/>
                      <a:graphic xmlns:a="http://schemas.openxmlformats.org/drawingml/2006/main">
                        <a:graphicData uri="http://schemas.microsoft.com/office/word/2010/wordprocessingShape">
                          <wps:wsp>
                            <wps:cNvCnPr/>
                            <wps:spPr>
                              <a:xfrm flipV="1">
                                <a:off x="0" y="0"/>
                                <a:ext cx="225425" cy="254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240" o:spid="_x0000_s1026" o:spt="32" type="#_x0000_t32" style="position:absolute;left:0pt;flip:y;margin-left:63.15pt;margin-top:0.4pt;height:0.2pt;width:17.75pt;z-index:251665408;mso-width-relative:page;mso-height-relative:page;" filled="f" stroked="t" coordsize="21600,21600" o:gfxdata="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qDeT0wAAAAYBAAAPAAAAAAAAAAEA&#10;IAAAACIAAABkcnMvZG93bnJldi54bWxQSwECFAAUAAAACACHTuJAImSVYxQCAAAEBAAADgAAAAAA&#10;AAABACAAAAAiAQAAZHJzL2Uyb0RvYy54bWxQSwUGAAAAAAYABgBZAQAAqAUAAAAA&#10;">
                      <v:fill on="f" focussize="0,0"/>
                      <v:stroke weight="2pt" color="#000000 [3213]" joinstyle="round" endarrow="block"/>
                      <v:imagedata o:title=""/>
                      <o:lock v:ext="edit" aspectratio="f"/>
                    </v:shape>
                  </w:pict>
                </mc:Fallback>
              </mc:AlternateContent>
            </w:r>
          </w:p>
          <w:p w14:paraId="70ECAD87">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highlight w:val="none"/>
              </w:rPr>
              <mc:AlternateContent>
                <mc:Choice Requires="wps">
                  <w:drawing>
                    <wp:anchor distT="0" distB="0" distL="114300" distR="114300" simplePos="0" relativeHeight="251682816" behindDoc="0" locked="0" layoutInCell="1" allowOverlap="1">
                      <wp:simplePos x="0" y="0"/>
                      <wp:positionH relativeFrom="column">
                        <wp:posOffset>3607435</wp:posOffset>
                      </wp:positionH>
                      <wp:positionV relativeFrom="paragraph">
                        <wp:posOffset>124460</wp:posOffset>
                      </wp:positionV>
                      <wp:extent cx="350520" cy="2717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5052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D58E1">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05pt;margin-top:9.8pt;height:21.4pt;width:27.6pt;z-index:251682816;mso-width-relative:page;mso-height-relative:page;" filled="f" stroked="f" coordsize="21600,21600" o:gfxdata="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0gKMdoAAAAJAQAADwAAAAAAAAABACAAAAAiAAAAZHJz&#10;L2Rvd25yZXYueG1sUEsBAhQAFAAAAAgAh07iQMk3iBQ7AgAAZwQAAA4AAAAAAAAAAQAgAAAAKQEA&#10;AGRycy9lMm9Eb2MueG1sUEsFBgAAAAAGAAYAWQEAANYFAAAAAA==&#10;">
                      <v:fill on="f" focussize="0,0"/>
                      <v:stroke on="f" weight="0.5pt"/>
                      <v:imagedata o:title=""/>
                      <o:lock v:ext="edit" aspectratio="f"/>
                      <v:textbox>
                        <w:txbxContent>
                          <w:p w14:paraId="54AD58E1">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w:t>
                            </w:r>
                          </w:p>
                        </w:txbxContent>
                      </v:textbox>
                    </v:shape>
                  </w:pict>
                </mc:Fallback>
              </mc:AlternateContent>
            </w:r>
            <w:r>
              <w:rPr>
                <w:highlight w:val="none"/>
              </w:rPr>
              <mc:AlternateContent>
                <mc:Choice Requires="wps">
                  <w:drawing>
                    <wp:anchor distT="0" distB="0" distL="114300" distR="114300" simplePos="0" relativeHeight="251680768" behindDoc="0" locked="0" layoutInCell="1" allowOverlap="1">
                      <wp:simplePos x="0" y="0"/>
                      <wp:positionH relativeFrom="column">
                        <wp:posOffset>2291715</wp:posOffset>
                      </wp:positionH>
                      <wp:positionV relativeFrom="paragraph">
                        <wp:posOffset>98425</wp:posOffset>
                      </wp:positionV>
                      <wp:extent cx="350520" cy="2717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5052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76528">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45pt;margin-top:7.75pt;height:21.4pt;width:27.6pt;z-index:251680768;mso-width-relative:page;mso-height-relative:page;" filled="f" stroked="f" coordsize="21600,21600" o:gfxdata="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FoovNoAAAAJAQAADwAAAAAAAAABACAAAAAiAAAAZHJz&#10;L2Rvd25yZXYueG1sUEsBAhQAFAAAAAgAh07iQALdTyA7AgAAZwQAAA4AAAAAAAAAAQAgAAAAKQEA&#10;AGRycy9lMm9Eb2MueG1sUEsFBgAAAAAGAAYAWQEAANYFAAAAAA==&#10;">
                      <v:fill on="f" focussize="0,0"/>
                      <v:stroke on="f" weight="0.5pt"/>
                      <v:imagedata o:title=""/>
                      <o:lock v:ext="edit" aspectratio="f"/>
                      <v:textbox>
                        <w:txbxContent>
                          <w:p w14:paraId="6DB76528">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w:t>
                            </w:r>
                          </w:p>
                        </w:txbxContent>
                      </v:textbox>
                    </v:shape>
                  </w:pict>
                </mc:Fallback>
              </mc:AlternateContent>
            </w:r>
          </w:p>
          <w:p w14:paraId="2122807A">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highlight w:val="none"/>
              </w:rPr>
              <mc:AlternateContent>
                <mc:Choice Requires="wps">
                  <w:drawing>
                    <wp:anchor distT="0" distB="0" distL="114300" distR="114300" simplePos="0" relativeHeight="251669504" behindDoc="0" locked="0" layoutInCell="1" allowOverlap="1">
                      <wp:simplePos x="0" y="0"/>
                      <wp:positionH relativeFrom="column">
                        <wp:posOffset>1033780</wp:posOffset>
                      </wp:positionH>
                      <wp:positionV relativeFrom="paragraph">
                        <wp:posOffset>20955</wp:posOffset>
                      </wp:positionV>
                      <wp:extent cx="877570" cy="27178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87757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DC0E8">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W1、N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4pt;margin-top:1.65pt;height:21.4pt;width:69.1pt;z-index:251669504;mso-width-relative:page;mso-height-relative:page;" filled="f" stroked="f" coordsize="21600,21600" o:gfxdata="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UT3F9gAAAAIAQAADwAAAAAAAAABACAAAAAiAAAAZHJz&#10;L2Rvd25yZXYueG1sUEsBAhQAFAAAAAgAh07iQJEBMZI9AgAAZwQAAA4AAAAAAAAAAQAgAAAAJwEA&#10;AGRycy9lMm9Eb2MueG1sUEsFBgAAAAAGAAYAWQEAANYFAAAAAA==&#10;">
                      <v:fill on="f" focussize="0,0"/>
                      <v:stroke on="f" weight="0.5pt"/>
                      <v:imagedata o:title=""/>
                      <o:lock v:ext="edit" aspectratio="f"/>
                      <v:textbox>
                        <w:txbxContent>
                          <w:p w14:paraId="337DC0E8">
                            <w:pPr>
                              <w:keepNext w:val="0"/>
                              <w:keepLines w:val="0"/>
                              <w:pageBreakBefore w:val="0"/>
                              <w:widowControl w:val="0"/>
                              <w:kinsoku/>
                              <w:wordWrap/>
                              <w:overflowPunct/>
                              <w:topLinePunct w:val="0"/>
                              <w:bidi w:val="0"/>
                              <w:adjustRightInd/>
                              <w:snapToGrid/>
                              <w:spacing w:line="240" w:lineRule="atLeas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W1、N</w:t>
                            </w:r>
                          </w:p>
                        </w:txbxContent>
                      </v:textbox>
                    </v:shape>
                  </w:pict>
                </mc:Fallback>
              </mc:AlternateContent>
            </w:r>
          </w:p>
          <w:p w14:paraId="07D79327">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p>
          <w:p w14:paraId="0F7C0656">
            <w:pPr>
              <w:pStyle w:val="7"/>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生产</w:t>
            </w:r>
            <w:r>
              <w:rPr>
                <w:rFonts w:hint="default"/>
                <w:color w:val="000000" w:themeColor="text1"/>
                <w:highlight w:val="none"/>
                <w14:textFill>
                  <w14:solidFill>
                    <w14:schemeClr w14:val="tx1"/>
                  </w14:solidFill>
                </w14:textFill>
              </w:rPr>
              <w:t>工艺流程及产污环节图</w:t>
            </w:r>
          </w:p>
          <w:p w14:paraId="3E3C9A9D">
            <w:pPr>
              <w:pStyle w:val="50"/>
              <w:bidi w:val="0"/>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工艺流程简述：</w:t>
            </w:r>
          </w:p>
          <w:p w14:paraId="20D7A664">
            <w:pPr>
              <w:pStyle w:val="50"/>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 1 \* GB3 \* MERGEFORMAT </w:instrText>
            </w:r>
            <w:r>
              <w:rPr>
                <w:rFonts w:hint="default"/>
                <w:color w:val="000000" w:themeColor="text1"/>
                <w:highlight w:val="none"/>
                <w:lang w:val="en-US" w:eastAsia="zh-CN"/>
                <w14:textFill>
                  <w14:solidFill>
                    <w14:schemeClr w14:val="tx1"/>
                  </w14:solidFill>
                </w14:textFill>
              </w:rPr>
              <w:fldChar w:fldCharType="separate"/>
            </w:r>
            <w:r>
              <w:rPr>
                <w:rFonts w:hint="default"/>
                <w:color w:val="000000" w:themeColor="text1"/>
                <w:highlight w:val="none"/>
                <w14:textFill>
                  <w14:solidFill>
                    <w14:schemeClr w14:val="tx1"/>
                  </w14:solidFill>
                </w14:textFill>
              </w:rPr>
              <w:t>①</w:t>
            </w:r>
            <w:r>
              <w:rPr>
                <w:rFonts w:hint="default"/>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卸料</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将需清洗的牛仔裤</w:t>
            </w:r>
            <w:r>
              <w:rPr>
                <w:rFonts w:hint="default"/>
                <w:color w:val="000000" w:themeColor="text1"/>
                <w:highlight w:val="none"/>
                <w:lang w:val="en-US" w:eastAsia="zh-CN"/>
                <w14:textFill>
                  <w14:solidFill>
                    <w14:schemeClr w14:val="tx1"/>
                  </w14:solidFill>
                </w14:textFill>
              </w:rPr>
              <w:t>暂置于原料区</w:t>
            </w:r>
            <w:r>
              <w:rPr>
                <w:rFonts w:hint="eastAsia"/>
                <w:color w:val="000000" w:themeColor="text1"/>
                <w:highlight w:val="none"/>
                <w:lang w:val="en-US" w:eastAsia="zh-CN"/>
                <w14:textFill>
                  <w14:solidFill>
                    <w14:schemeClr w14:val="tx1"/>
                  </w14:solidFill>
                </w14:textFill>
              </w:rPr>
              <w:t>，来料牛仔裤为散装，无包装</w:t>
            </w:r>
            <w:r>
              <w:rPr>
                <w:rFonts w:hint="default"/>
                <w:color w:val="000000" w:themeColor="text1"/>
                <w:highlight w:val="none"/>
                <w:lang w:val="en-US" w:eastAsia="zh-CN"/>
                <w14:textFill>
                  <w14:solidFill>
                    <w14:schemeClr w14:val="tx1"/>
                  </w14:solidFill>
                </w14:textFill>
              </w:rPr>
              <w:t>。</w:t>
            </w:r>
          </w:p>
          <w:p w14:paraId="12439B7D">
            <w:pPr>
              <w:pStyle w:val="50"/>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 2 \* GB3 \* MERGEFORMAT </w:instrText>
            </w:r>
            <w:r>
              <w:rPr>
                <w:rFonts w:hint="default"/>
                <w:color w:val="000000" w:themeColor="text1"/>
                <w:highlight w:val="none"/>
                <w:lang w:val="en-US" w:eastAsia="zh-CN"/>
                <w14:textFill>
                  <w14:solidFill>
                    <w14:schemeClr w14:val="tx1"/>
                  </w14:solidFill>
                </w14:textFill>
              </w:rPr>
              <w:fldChar w:fldCharType="separate"/>
            </w:r>
            <w:r>
              <w:rPr>
                <w:rFonts w:hint="default"/>
                <w:color w:val="000000" w:themeColor="text1"/>
                <w:highlight w:val="none"/>
                <w14:textFill>
                  <w14:solidFill>
                    <w14:schemeClr w14:val="tx1"/>
                  </w14:solidFill>
                </w14:textFill>
              </w:rPr>
              <w:t>②</w:t>
            </w:r>
            <w:r>
              <w:rPr>
                <w:rFonts w:hint="default"/>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清洗</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人工将需清理的牛仔裤</w:t>
            </w:r>
            <w:r>
              <w:rPr>
                <w:rFonts w:hint="eastAsia"/>
                <w:color w:val="000000" w:themeColor="text1"/>
                <w:highlight w:val="none"/>
                <w:lang w:val="en-US" w:eastAsia="zh-CN"/>
                <w14:textFill>
                  <w14:solidFill>
                    <w14:schemeClr w14:val="tx1"/>
                  </w14:solidFill>
                </w14:textFill>
              </w:rPr>
              <w:t>投放入</w:t>
            </w:r>
            <w:r>
              <w:rPr>
                <w:rFonts w:hint="eastAsia"/>
                <w:color w:val="000000" w:themeColor="text1"/>
                <w:highlight w:val="none"/>
                <w:lang w:val="en-US" w:eastAsia="zh-CN"/>
                <w14:textFill>
                  <w14:solidFill>
                    <w14:schemeClr w14:val="tx1"/>
                  </w14:solidFill>
                </w14:textFill>
              </w:rPr>
              <w:t>滚筒洗衣机内，一次约84件。加入洗衣粉、硅油和柔顺剂关盖放水</w:t>
            </w:r>
            <w:r>
              <w:rPr>
                <w:rFonts w:hint="eastAsia"/>
                <w:color w:val="000000" w:themeColor="text1"/>
                <w:highlight w:val="none"/>
                <w:lang w:val="en-US" w:eastAsia="zh-CN"/>
                <w14:textFill>
                  <w14:solidFill>
                    <w14:schemeClr w14:val="tx1"/>
                  </w14:solidFill>
                </w14:textFill>
              </w:rPr>
              <w:t>进行</w:t>
            </w:r>
            <w:r>
              <w:rPr>
                <w:rFonts w:hint="eastAsia"/>
                <w:color w:val="000000" w:themeColor="text1"/>
                <w:highlight w:val="none"/>
                <w:lang w:val="en-US" w:eastAsia="zh-CN"/>
                <w14:textFill>
                  <w14:solidFill>
                    <w14:schemeClr w14:val="tx1"/>
                  </w14:solidFill>
                </w14:textFill>
              </w:rPr>
              <w:t>清洗约1小时。此过程有噪声和废水产生。</w:t>
            </w:r>
          </w:p>
          <w:p w14:paraId="4B1C1D5F">
            <w:pPr>
              <w:pStyle w:val="5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highlight w:val="none"/>
                <w:lang w:val="en-US" w:eastAsia="zh-CN"/>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highlight w:val="none"/>
                <w:lang w:val="en-US" w:eastAsia="zh-CN"/>
                <w14:textFill>
                  <w14:solidFill>
                    <w14:schemeClr w14:val="tx1"/>
                  </w14:solidFill>
                </w14:textFill>
              </w:rPr>
              <w:t>烘干：</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蒸汽发生器产生的蒸汽通过管道引</w:t>
            </w:r>
            <w:r>
              <w:rPr>
                <w:rFonts w:hint="eastAsia" w:cs="Times New Roman"/>
                <w:color w:val="000000" w:themeColor="text1"/>
                <w:highlight w:val="none"/>
                <w:lang w:val="en-US" w:eastAsia="zh-CN"/>
                <w14:textFill>
                  <w14:solidFill>
                    <w14:schemeClr w14:val="tx1"/>
                  </w14:solidFill>
                </w14:textFill>
              </w:rPr>
              <w:t>至烘干机内的牛仔裤进行间接烘干</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每台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烘干机每次烘干约42件，烘干</w:t>
            </w:r>
            <w:r>
              <w:rPr>
                <w:rFonts w:hint="eastAsia" w:cs="Times New Roman"/>
                <w:color w:val="000000" w:themeColor="text1"/>
                <w:highlight w:val="none"/>
                <w:lang w:val="en-US" w:eastAsia="zh-CN"/>
                <w14:textFill>
                  <w14:solidFill>
                    <w14:schemeClr w14:val="tx1"/>
                  </w14:solidFill>
                </w14:textFill>
              </w:rPr>
              <w:t>时长</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约1小时</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人工操作步骤为人工打开</w:t>
            </w:r>
            <w:r>
              <w:rPr>
                <w:rFonts w:hint="eastAsia" w:cs="Times New Roman"/>
                <w:color w:val="000000" w:themeColor="text1"/>
                <w:highlight w:val="none"/>
                <w:lang w:val="en-US" w:eastAsia="zh-CN"/>
                <w14:textFill>
                  <w14:solidFill>
                    <w14:schemeClr w14:val="tx1"/>
                  </w14:solidFill>
                </w14:textFill>
              </w:rPr>
              <w:t>烘干机</w:t>
            </w:r>
            <w:r>
              <w:rPr>
                <w:rFonts w:hint="eastAsia"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放入牛仔裤，</w:t>
            </w:r>
            <w:r>
              <w:rPr>
                <w:rFonts w:hint="eastAsia" w:cs="Times New Roman"/>
                <w:color w:val="000000" w:themeColor="text1"/>
                <w:highlight w:val="none"/>
                <w:lang w:val="en-US" w:eastAsia="zh-CN"/>
                <w14:textFill>
                  <w14:solidFill>
                    <w14:schemeClr w14:val="tx1"/>
                  </w14:solidFill>
                </w14:textFill>
              </w:rPr>
              <w:t>然后</w:t>
            </w:r>
            <w:r>
              <w:rPr>
                <w:rFonts w:hint="eastAsia" w:cs="Times New Roman"/>
                <w:color w:val="000000" w:themeColor="text1"/>
                <w:highlight w:val="none"/>
                <w:lang w:val="en-US" w:eastAsia="zh-CN"/>
                <w14:textFill>
                  <w14:solidFill>
                    <w14:schemeClr w14:val="tx1"/>
                  </w14:solidFill>
                </w14:textFill>
              </w:rPr>
              <w:t>打开开关运行设备，烘干完成后关闭设备取出牛仔裤。在烘干设备运行的过程中</w:t>
            </w:r>
            <w:r>
              <w:rPr>
                <w:rFonts w:hint="eastAsia"/>
                <w:highlight w:val="none"/>
                <w:lang w:val="en-US" w:eastAsia="zh-CN"/>
              </w:rPr>
              <w:t>会产生纤维碎屑即颗粒物</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产生。</w:t>
            </w:r>
          </w:p>
          <w:p w14:paraId="46568CA4">
            <w:pPr>
              <w:pStyle w:val="5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④反裤：将烘干</w:t>
            </w:r>
            <w:r>
              <w:rPr>
                <w:rFonts w:hint="eastAsia" w:cs="Times New Roman"/>
                <w:color w:val="000000" w:themeColor="text1"/>
                <w:highlight w:val="none"/>
                <w:lang w:val="en-US" w:eastAsia="zh-CN"/>
                <w14:textFill>
                  <w14:solidFill>
                    <w14:schemeClr w14:val="tx1"/>
                  </w14:solidFill>
                </w14:textFill>
              </w:rPr>
              <w:t>后</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的牛仔裤通过反裤机负压吸风的方式将牛仔裤</w:t>
            </w:r>
            <w:r>
              <w:rPr>
                <w:rFonts w:hint="eastAsia" w:cs="Times New Roman"/>
                <w:color w:val="000000" w:themeColor="text1"/>
                <w:highlight w:val="none"/>
                <w:lang w:val="en-US" w:eastAsia="zh-CN"/>
                <w14:textFill>
                  <w14:solidFill>
                    <w14:schemeClr w14:val="tx1"/>
                  </w14:solidFill>
                </w14:textFill>
              </w:rPr>
              <w:t>正反面进行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反转。</w:t>
            </w:r>
          </w:p>
          <w:p w14:paraId="16427803">
            <w:pPr>
              <w:pStyle w:val="50"/>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⑤打包</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人工使用塑料绳将牛仔裤</w:t>
            </w:r>
            <w:r>
              <w:rPr>
                <w:rFonts w:hint="eastAsia" w:cs="Times New Roman"/>
                <w:color w:val="000000" w:themeColor="text1"/>
                <w:highlight w:val="none"/>
                <w:lang w:val="en-US" w:eastAsia="zh-CN"/>
                <w14:textFill>
                  <w14:solidFill>
                    <w14:schemeClr w14:val="tx1"/>
                  </w14:solidFill>
                </w14:textFill>
              </w:rPr>
              <w:t>进行捆扎，</w:t>
            </w:r>
            <w:r>
              <w:rPr>
                <w:rFonts w:hint="eastAsia" w:cs="Times New Roman"/>
                <w:color w:val="000000" w:themeColor="text1"/>
                <w:highlight w:val="none"/>
                <w:lang w:val="en-US" w:eastAsia="zh-CN"/>
                <w14:textFill>
                  <w14:solidFill>
                    <w14:schemeClr w14:val="tx1"/>
                  </w14:solidFill>
                </w14:textFill>
              </w:rPr>
              <w:t>每20条/</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捆</w:t>
            </w:r>
            <w:r>
              <w:rPr>
                <w:rFonts w:hint="eastAsia"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然后存放于成品堆放区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5490D163">
            <w:pPr>
              <w:pStyle w:val="50"/>
              <w:bidi w:val="0"/>
              <w:rPr>
                <w:rFonts w:hint="default"/>
                <w:color w:val="000000" w:themeColor="text1"/>
                <w:highlight w:val="none"/>
                <w:lang w:val="en-US" w:eastAsia="zh-CN"/>
                <w14:textFill>
                  <w14:solidFill>
                    <w14:schemeClr w14:val="tx1"/>
                  </w14:solidFill>
                </w14:textFill>
              </w:rPr>
            </w:pPr>
          </w:p>
          <w:p w14:paraId="336DB83C">
            <w:pPr>
              <w:adjustRightInd w:val="0"/>
              <w:snapToGrid w:val="0"/>
              <w:spacing w:line="460" w:lineRule="exact"/>
              <w:ind w:firstLine="482" w:firstLineChars="200"/>
              <w:rPr>
                <w:b/>
                <w:color w:val="auto"/>
                <w:sz w:val="24"/>
                <w:highlight w:val="none"/>
              </w:rPr>
            </w:pPr>
          </w:p>
          <w:p w14:paraId="083865D7">
            <w:pPr>
              <w:adjustRightInd w:val="0"/>
              <w:snapToGrid w:val="0"/>
              <w:spacing w:line="460" w:lineRule="exact"/>
              <w:ind w:firstLine="482" w:firstLineChars="200"/>
              <w:rPr>
                <w:b/>
                <w:color w:val="auto"/>
                <w:sz w:val="24"/>
                <w:highlight w:val="none"/>
              </w:rPr>
            </w:pPr>
          </w:p>
          <w:p w14:paraId="3AE6E9FB">
            <w:pPr>
              <w:adjustRightInd w:val="0"/>
              <w:snapToGrid w:val="0"/>
              <w:spacing w:line="460" w:lineRule="exact"/>
              <w:ind w:firstLine="482" w:firstLineChars="200"/>
              <w:rPr>
                <w:b/>
                <w:color w:val="auto"/>
                <w:sz w:val="24"/>
                <w:highlight w:val="none"/>
              </w:rPr>
            </w:pPr>
          </w:p>
          <w:p w14:paraId="1BC18926">
            <w:pPr>
              <w:adjustRightInd w:val="0"/>
              <w:snapToGrid w:val="0"/>
              <w:spacing w:line="460" w:lineRule="exact"/>
              <w:ind w:firstLine="482" w:firstLineChars="200"/>
              <w:rPr>
                <w:b/>
                <w:color w:val="auto"/>
                <w:sz w:val="24"/>
                <w:highlight w:val="none"/>
              </w:rPr>
            </w:pPr>
          </w:p>
          <w:p w14:paraId="29EAC4CB">
            <w:pPr>
              <w:adjustRightInd w:val="0"/>
              <w:snapToGrid w:val="0"/>
              <w:spacing w:line="460" w:lineRule="exact"/>
              <w:ind w:firstLine="482" w:firstLineChars="200"/>
              <w:rPr>
                <w:b/>
                <w:color w:val="auto"/>
                <w:sz w:val="24"/>
                <w:highlight w:val="none"/>
              </w:rPr>
            </w:pPr>
          </w:p>
          <w:p w14:paraId="0F99E822">
            <w:pPr>
              <w:adjustRightInd w:val="0"/>
              <w:snapToGrid w:val="0"/>
              <w:spacing w:line="460" w:lineRule="exact"/>
              <w:ind w:firstLine="482" w:firstLineChars="200"/>
              <w:jc w:val="left"/>
              <w:rPr>
                <w:color w:val="auto"/>
                <w:sz w:val="24"/>
                <w:highlight w:val="none"/>
              </w:rPr>
            </w:pPr>
            <w:r>
              <w:rPr>
                <w:b/>
                <w:color w:val="auto"/>
                <w:sz w:val="24"/>
                <w:highlight w:val="none"/>
              </w:rPr>
              <w:t>辅助工程及其他产污环节分析</w:t>
            </w:r>
          </w:p>
          <w:p w14:paraId="0186CEA4">
            <w:pPr>
              <w:adjustRightInd w:val="0"/>
              <w:snapToGrid w:val="0"/>
              <w:spacing w:line="460" w:lineRule="exact"/>
              <w:ind w:firstLine="480" w:firstLineChars="200"/>
              <w:jc w:val="left"/>
              <w:rPr>
                <w:rFonts w:hint="default"/>
                <w:color w:val="auto"/>
                <w:sz w:val="24"/>
                <w:highlight w:val="none"/>
                <w:lang w:val="en-US" w:eastAsia="zh-CN"/>
              </w:rPr>
            </w:pPr>
            <w:r>
              <w:rPr>
                <w:rFonts w:hint="eastAsia"/>
                <w:color w:val="auto"/>
                <w:sz w:val="24"/>
                <w:highlight w:val="none"/>
                <w:lang w:val="en-US" w:eastAsia="zh-CN"/>
              </w:rPr>
              <w:t>生物质燃料蒸汽发生器</w:t>
            </w:r>
          </w:p>
          <w:p w14:paraId="2C45AAAF">
            <w:pPr>
              <w:adjustRightInd w:val="0"/>
              <w:snapToGrid w:val="0"/>
              <w:spacing w:line="460" w:lineRule="exact"/>
              <w:jc w:val="left"/>
              <w:rPr>
                <w:rFonts w:hint="default"/>
                <w:color w:val="auto"/>
                <w:sz w:val="24"/>
                <w:highlight w:val="none"/>
                <w:lang w:val="en-US" w:eastAsia="zh-CN"/>
              </w:rPr>
            </w:pPr>
            <w:r>
              <w:rPr>
                <w:rFonts w:hint="eastAsia"/>
                <w:color w:val="auto"/>
                <w:sz w:val="24"/>
                <w:highlight w:val="none"/>
                <w:lang w:val="en-US" w:eastAsia="zh-CN"/>
              </w:rPr>
              <w:t>主要工艺流程及产排污如下。</w:t>
            </w:r>
          </w:p>
          <w:p w14:paraId="623E9E94">
            <w:pPr>
              <w:adjustRightInd w:val="0"/>
              <w:snapToGrid w:val="0"/>
              <w:spacing w:line="460" w:lineRule="exact"/>
              <w:jc w:val="left"/>
              <w:rPr>
                <w:rFonts w:hint="default"/>
                <w:color w:val="auto"/>
                <w:sz w:val="24"/>
                <w:highlight w:val="none"/>
                <w:lang w:val="en-US" w:eastAsia="zh-CN"/>
              </w:rPr>
            </w:pPr>
          </w:p>
          <w:p w14:paraId="02366367">
            <w:pPr>
              <w:adjustRightInd w:val="0"/>
              <w:snapToGrid w:val="0"/>
              <w:spacing w:line="460" w:lineRule="exact"/>
              <w:jc w:val="left"/>
              <w:rPr>
                <w:rFonts w:hint="default"/>
                <w:color w:val="auto"/>
                <w:sz w:val="24"/>
                <w:highlight w:val="none"/>
                <w:lang w:val="en-US" w:eastAsia="zh-CN"/>
              </w:rPr>
            </w:pPr>
          </w:p>
          <w:p w14:paraId="6C07935D">
            <w:pPr>
              <w:adjustRightInd w:val="0"/>
              <w:snapToGrid w:val="0"/>
              <w:spacing w:line="460" w:lineRule="exact"/>
              <w:jc w:val="left"/>
              <w:rPr>
                <w:rFonts w:hint="default"/>
                <w:color w:val="auto"/>
                <w:sz w:val="24"/>
                <w:highlight w:val="none"/>
                <w:lang w:val="en-US" w:eastAsia="zh-CN"/>
              </w:rPr>
            </w:pPr>
          </w:p>
          <w:p w14:paraId="2DD9E0A8">
            <w:pPr>
              <w:adjustRightInd w:val="0"/>
              <w:snapToGrid w:val="0"/>
              <w:spacing w:line="460" w:lineRule="exact"/>
              <w:jc w:val="left"/>
              <w:rPr>
                <w:rFonts w:hint="default"/>
                <w:color w:val="auto"/>
                <w:sz w:val="24"/>
                <w:highlight w:val="none"/>
                <w:lang w:val="en-US" w:eastAsia="zh-CN"/>
              </w:rPr>
            </w:pPr>
          </w:p>
          <w:p w14:paraId="5DC94119">
            <w:pPr>
              <w:adjustRightInd w:val="0"/>
              <w:snapToGrid w:val="0"/>
              <w:spacing w:line="460" w:lineRule="exact"/>
              <w:jc w:val="left"/>
              <w:rPr>
                <w:rFonts w:hint="default"/>
                <w:color w:val="auto"/>
                <w:sz w:val="24"/>
                <w:highlight w:val="none"/>
                <w:lang w:val="en-US" w:eastAsia="zh-CN"/>
              </w:rPr>
            </w:pPr>
          </w:p>
          <w:p w14:paraId="462B2BFF">
            <w:pPr>
              <w:adjustRightInd w:val="0"/>
              <w:snapToGrid w:val="0"/>
              <w:spacing w:line="460" w:lineRule="exact"/>
              <w:jc w:val="left"/>
              <w:rPr>
                <w:rFonts w:hint="default"/>
                <w:color w:val="auto"/>
                <w:sz w:val="24"/>
                <w:highlight w:val="none"/>
                <w:lang w:val="en-US" w:eastAsia="zh-CN"/>
              </w:rPr>
            </w:pPr>
          </w:p>
          <w:p w14:paraId="5FE56D11">
            <w:pPr>
              <w:adjustRightInd w:val="0"/>
              <w:snapToGrid w:val="0"/>
              <w:spacing w:line="460" w:lineRule="exact"/>
              <w:jc w:val="left"/>
              <w:rPr>
                <w:rFonts w:hint="default"/>
                <w:color w:val="auto"/>
                <w:sz w:val="24"/>
                <w:highlight w:val="none"/>
                <w:lang w:val="en-US" w:eastAsia="zh-CN"/>
              </w:rPr>
            </w:pPr>
          </w:p>
          <w:p w14:paraId="5CA1D468">
            <w:pPr>
              <w:adjustRightInd w:val="0"/>
              <w:snapToGrid w:val="0"/>
              <w:spacing w:line="460" w:lineRule="exact"/>
              <w:jc w:val="left"/>
              <w:rPr>
                <w:rFonts w:hint="eastAsia" w:ascii="Times New Roman" w:hAnsi="Times New Roman" w:eastAsia="宋体" w:cs="Times New Roman"/>
                <w:bCs/>
                <w:color w:val="auto"/>
                <w:sz w:val="24"/>
                <w:highlight w:val="none"/>
                <w:lang w:val="en-US" w:eastAsia="zh-CN"/>
              </w:rPr>
            </w:pPr>
            <w:r>
              <w:rPr>
                <w:color w:val="auto"/>
                <w:sz w:val="24"/>
                <w:highlight w:val="none"/>
              </w:rPr>
              <mc:AlternateContent>
                <mc:Choice Requires="wpc">
                  <w:drawing>
                    <wp:inline distT="0" distB="0" distL="114300" distR="114300">
                      <wp:extent cx="5037455" cy="2321560"/>
                      <wp:effectExtent l="0" t="0" r="0" b="0"/>
                      <wp:docPr id="170" name="画布 170"/>
                      <wp:cNvGraphicFramePr/>
                      <a:graphic xmlns:a="http://schemas.openxmlformats.org/drawingml/2006/main">
                        <a:graphicData uri="http://schemas.microsoft.com/office/word/2010/wordprocessingCanvas">
                          <wpc:wpc>
                            <wpc:bg/>
                            <wpc:whole/>
                            <wps:wsp>
                              <wps:cNvPr id="171" name="文本框 21"/>
                              <wps:cNvSpPr txBox="1"/>
                              <wps:spPr>
                                <a:xfrm>
                                  <a:off x="0" y="795655"/>
                                  <a:ext cx="692785" cy="379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58F02">
                                    <w:pPr>
                                      <w:jc w:val="center"/>
                                      <w:rPr>
                                        <w:rFonts w:hint="default" w:eastAsia="宋体"/>
                                        <w:lang w:val="en-US" w:eastAsia="zh-CN"/>
                                      </w:rPr>
                                    </w:pPr>
                                    <w:r>
                                      <w:rPr>
                                        <w:rFonts w:hint="eastAsia" w:eastAsia="宋体"/>
                                        <w:sz w:val="21"/>
                                        <w:szCs w:val="21"/>
                                        <w:lang w:val="en-US" w:eastAsia="zh-CN"/>
                                      </w:rPr>
                                      <w:t>自来水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文本框 204"/>
                              <wps:cNvSpPr txBox="1"/>
                              <wps:spPr>
                                <a:xfrm>
                                  <a:off x="1019810" y="819785"/>
                                  <a:ext cx="1076325" cy="365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4892FF">
                                    <w:pPr>
                                      <w:jc w:val="center"/>
                                      <w:rPr>
                                        <w:rFonts w:hint="default" w:eastAsia="宋体"/>
                                        <w:lang w:val="en-US" w:eastAsia="zh-CN"/>
                                      </w:rPr>
                                    </w:pPr>
                                    <w:r>
                                      <w:rPr>
                                        <w:rFonts w:hint="eastAsia" w:eastAsia="宋体"/>
                                        <w:sz w:val="21"/>
                                        <w:szCs w:val="21"/>
                                        <w:lang w:val="en-US" w:eastAsia="zh-CN"/>
                                      </w:rPr>
                                      <w:t>软水制备系</w:t>
                                    </w:r>
                                    <w:r>
                                      <w:rPr>
                                        <w:rFonts w:hint="eastAsia" w:eastAsia="宋体"/>
                                        <w:sz w:val="21"/>
                                        <w:lang w:val="en-US" w:eastAsia="zh-CN"/>
                                      </w:rPr>
                                      <w:t>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204"/>
                              <wps:cNvSpPr txBox="1"/>
                              <wps:spPr>
                                <a:xfrm>
                                  <a:off x="2286000" y="735330"/>
                                  <a:ext cx="1341120" cy="623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FED5AA">
                                    <w:pP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生物质燃料</w:t>
                                    </w:r>
                                  </w:p>
                                  <w:p w14:paraId="5A409A82">
                                    <w:pPr>
                                      <w:rPr>
                                        <w:rFonts w:hint="default"/>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蒸汽发生器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文本框 84"/>
                              <wps:cNvSpPr txBox="1"/>
                              <wps:spPr>
                                <a:xfrm>
                                  <a:off x="837565" y="1953895"/>
                                  <a:ext cx="3296285"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A7B02">
                                    <w:pPr>
                                      <w:jc w:val="center"/>
                                      <w:rPr>
                                        <w:b/>
                                        <w:bCs/>
                                      </w:rPr>
                                    </w:pPr>
                                    <w:r>
                                      <w:rPr>
                                        <w:rFonts w:hint="eastAsia"/>
                                        <w:b/>
                                        <w:bCs/>
                                      </w:rPr>
                                      <w:t>图2</w:t>
                                    </w:r>
                                    <w:r>
                                      <w:rPr>
                                        <w:rFonts w:hint="eastAsia"/>
                                        <w:b/>
                                        <w:bCs/>
                                        <w:lang w:val="en-US" w:eastAsia="zh-CN"/>
                                      </w:rPr>
                                      <w:t>.</w:t>
                                    </w:r>
                                    <w:r>
                                      <w:rPr>
                                        <w:rFonts w:hint="eastAsia"/>
                                        <w:b/>
                                        <w:bCs/>
                                        <w:highlight w:val="none"/>
                                        <w:lang w:val="en-US" w:eastAsia="zh-CN"/>
                                      </w:rPr>
                                      <w:t>2</w:t>
                                    </w:r>
                                    <w:r>
                                      <w:rPr>
                                        <w:rFonts w:hint="eastAsia" w:asciiTheme="minorEastAsia" w:hAnsiTheme="minorEastAsia" w:eastAsiaTheme="minorEastAsia" w:cstheme="minorEastAsia"/>
                                        <w:color w:val="auto"/>
                                        <w:sz w:val="24"/>
                                        <w:szCs w:val="24"/>
                                        <w:highlight w:val="none"/>
                                        <w:lang w:val="en-US" w:eastAsia="zh-CN"/>
                                      </w:rPr>
                                      <w:t>生物质燃料蒸汽发生器</w:t>
                                    </w:r>
                                    <w:r>
                                      <w:rPr>
                                        <w:rFonts w:hint="eastAsia"/>
                                        <w:b/>
                                        <w:bCs/>
                                      </w:rPr>
                                      <w:t>生产工艺流程及产排污节点图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直接箭头连接符 240"/>
                              <wps:cNvCnPr/>
                              <wps:spPr>
                                <a:xfrm flipH="1">
                                  <a:off x="2596515" y="544830"/>
                                  <a:ext cx="4445" cy="25146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85" name="文本框 92"/>
                              <wps:cNvSpPr txBox="1"/>
                              <wps:spPr>
                                <a:xfrm>
                                  <a:off x="2068195" y="197485"/>
                                  <a:ext cx="934085" cy="363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5ACFD">
                                    <w:pPr>
                                      <w:jc w:val="center"/>
                                      <w:rPr>
                                        <w:rFonts w:hint="default" w:eastAsia="宋体"/>
                                        <w:sz w:val="21"/>
                                        <w:szCs w:val="21"/>
                                        <w:lang w:val="en-US" w:eastAsia="zh-CN"/>
                                      </w:rPr>
                                    </w:pPr>
                                    <w:r>
                                      <w:rPr>
                                        <w:rFonts w:hint="eastAsia"/>
                                        <w:sz w:val="21"/>
                                        <w:szCs w:val="21"/>
                                        <w:lang w:val="en-US" w:eastAsia="zh-CN"/>
                                      </w:rPr>
                                      <w:t>生物质燃料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 name="文本框 107"/>
                              <wps:cNvSpPr txBox="1"/>
                              <wps:spPr>
                                <a:xfrm>
                                  <a:off x="4090670" y="762000"/>
                                  <a:ext cx="736600" cy="822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8211A">
                                    <w:pPr>
                                      <w:jc w:val="center"/>
                                      <w:rPr>
                                        <w:rFonts w:hint="default" w:eastAsia="宋体"/>
                                        <w:lang w:val="en-US" w:eastAsia="zh-CN"/>
                                      </w:rPr>
                                    </w:pPr>
                                    <w:r>
                                      <w:rPr>
                                        <w:rFonts w:hint="eastAsia" w:eastAsia="宋体"/>
                                        <w:sz w:val="21"/>
                                        <w:szCs w:val="21"/>
                                        <w:lang w:val="en-US" w:eastAsia="zh-CN"/>
                                      </w:rPr>
                                      <w:t>蒸汽引至烘干机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直接箭头连接符 240"/>
                              <wps:cNvCnPr/>
                              <wps:spPr>
                                <a:xfrm>
                                  <a:off x="555625" y="984885"/>
                                  <a:ext cx="467360" cy="6350"/>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91" name="直接箭头连接符 240"/>
                              <wps:cNvCnPr/>
                              <wps:spPr>
                                <a:xfrm>
                                  <a:off x="2106930" y="965835"/>
                                  <a:ext cx="174625" cy="0"/>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92" name="直接箭头连接符 240"/>
                              <wps:cNvCnPr/>
                              <wps:spPr>
                                <a:xfrm>
                                  <a:off x="3634105" y="1028700"/>
                                  <a:ext cx="467360" cy="6350"/>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93" name="直接箭头连接符 193"/>
                              <wps:cNvCnPr/>
                              <wps:spPr>
                                <a:xfrm flipH="1">
                                  <a:off x="1444625" y="1232535"/>
                                  <a:ext cx="21590" cy="28321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94" name="文本框 92"/>
                              <wps:cNvSpPr txBox="1"/>
                              <wps:spPr>
                                <a:xfrm>
                                  <a:off x="1167130" y="1392555"/>
                                  <a:ext cx="658495"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13DF07">
                                    <w:pPr>
                                      <w:jc w:val="center"/>
                                      <w:rPr>
                                        <w:rFonts w:hint="default" w:eastAsia="宋体"/>
                                        <w:sz w:val="21"/>
                                        <w:szCs w:val="21"/>
                                        <w:lang w:val="en-US" w:eastAsia="zh-CN"/>
                                      </w:rPr>
                                    </w:pPr>
                                    <w:r>
                                      <w:rPr>
                                        <w:rFonts w:hint="eastAsia" w:eastAsia="宋体"/>
                                        <w:sz w:val="21"/>
                                        <w:szCs w:val="21"/>
                                        <w:lang w:val="en-US" w:eastAsia="zh-CN"/>
                                      </w:rPr>
                                      <w:t>S</w:t>
                                    </w:r>
                                    <w:r>
                                      <w:rPr>
                                        <w:rFonts w:hint="eastAsia"/>
                                        <w:sz w:val="21"/>
                                        <w:szCs w:val="21"/>
                                        <w:lang w:val="en-US" w:eastAsia="zh-CN"/>
                                      </w:rPr>
                                      <w:t>1</w:t>
                                    </w:r>
                                    <w:r>
                                      <w:rPr>
                                        <w:rFonts w:hint="eastAsia" w:eastAsia="宋体"/>
                                        <w:sz w:val="21"/>
                                        <w:szCs w:val="21"/>
                                        <w:lang w:val="en-US" w:eastAsia="zh-CN"/>
                                      </w:rPr>
                                      <w:t>、W2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 name="直接箭头连接符 195"/>
                              <wps:cNvCnPr/>
                              <wps:spPr>
                                <a:xfrm>
                                  <a:off x="2950845" y="1357630"/>
                                  <a:ext cx="0" cy="40005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96" name="文本框 92"/>
                              <wps:cNvSpPr txBox="1"/>
                              <wps:spPr>
                                <a:xfrm>
                                  <a:off x="2802890" y="1564640"/>
                                  <a:ext cx="658495" cy="363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0D37F">
                                    <w:pPr>
                                      <w:jc w:val="center"/>
                                      <w:rPr>
                                        <w:rFonts w:hint="default" w:eastAsia="宋体"/>
                                        <w:sz w:val="21"/>
                                        <w:szCs w:val="21"/>
                                        <w:lang w:val="en-US" w:eastAsia="zh-CN"/>
                                      </w:rPr>
                                    </w:pPr>
                                    <w:r>
                                      <w:rPr>
                                        <w:rFonts w:hint="eastAsia" w:eastAsia="宋体"/>
                                        <w:sz w:val="21"/>
                                        <w:szCs w:val="21"/>
                                        <w:lang w:val="en-US" w:eastAsia="zh-CN"/>
                                      </w:rPr>
                                      <w:t>W3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直接箭头连接符 197"/>
                              <wps:cNvCnPr/>
                              <wps:spPr>
                                <a:xfrm>
                                  <a:off x="3184525" y="387350"/>
                                  <a:ext cx="0" cy="400050"/>
                                </a:xfrm>
                                <a:prstGeom prst="straightConnector1">
                                  <a:avLst/>
                                </a:prstGeom>
                                <a:ln>
                                  <a:solidFill>
                                    <a:schemeClr val="tx1"/>
                                  </a:solidFill>
                                  <a:prstDash val="dash"/>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198" name="文本框 92"/>
                              <wps:cNvSpPr txBox="1"/>
                              <wps:spPr>
                                <a:xfrm>
                                  <a:off x="2907665" y="162560"/>
                                  <a:ext cx="658495" cy="346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6CFF4">
                                    <w:pPr>
                                      <w:jc w:val="center"/>
                                      <w:rPr>
                                        <w:rFonts w:hint="default" w:eastAsia="宋体"/>
                                        <w:sz w:val="21"/>
                                        <w:szCs w:val="21"/>
                                        <w:lang w:val="en-US" w:eastAsia="zh-CN"/>
                                      </w:rPr>
                                    </w:pPr>
                                    <w:r>
                                      <w:rPr>
                                        <w:rFonts w:hint="eastAsia" w:eastAsia="宋体"/>
                                        <w:sz w:val="21"/>
                                        <w:szCs w:val="21"/>
                                        <w:lang w:val="en-US" w:eastAsia="zh-CN"/>
                                      </w:rPr>
                                      <w:t>N、G</w:t>
                                    </w:r>
                                    <w:r>
                                      <w:rPr>
                                        <w:rFonts w:hint="eastAsia"/>
                                        <w:sz w:val="21"/>
                                        <w:szCs w:val="21"/>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82.8pt;width:396.65pt;" coordsize="5037455,2321560" editas="canvas" o:gfxdata="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GKit+vYAAAA&#10;BQEAAA8AAAAAAAAAAQAgAAAAIgAAAGRycy9kb3ducmV2LnhtbFBLAQIUABQAAAAIAIdO4kCtUUOu&#10;HwYAAF8qAAAOAAAAAAAAAAEAIAAAACcBAABkcnMvZTJvRG9jLnhtbFBLBQYAAAAABgAGAFkBAAC4&#10;CQAAAAA=&#10;">
                      <o:lock v:ext="edit" aspectratio="f"/>
                      <v:shape id="_x0000_s1026" o:spid="_x0000_s1026" style="position:absolute;left:0;top:0;height:2321560;width:5037455;" filled="f" stroked="f" coordsize="21600,21600" o:gfxdata="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">
                        <v:fill on="f" focussize="0,0"/>
                        <v:stroke on="f"/>
                        <v:imagedata o:title=""/>
                        <o:lock v:ext="edit" aspectratio="f"/>
                      </v:shape>
                      <v:shape id="文本框 21" o:spid="_x0000_s1026" o:spt="202" type="#_x0000_t202" style="position:absolute;left:0;top:795655;height:379730;width:692785;" filled="f" stroked="f" coordsize="21600,21600" o:gfxdata="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UMcmXYAAAABQEAAA8AAAAAAAAAAQAgAAAA&#10;IgAAAGRycy9kb3ducmV2LnhtbFBLAQIUABQAAAAIAIdO4kALhAzeRAIAAG0EAAAOAAAAAAAAAAEA&#10;IAAAACcBAABkcnMvZTJvRG9jLnhtbFBLBQYAAAAABgAGAFkBAADdBQAAAAA=&#10;">
                        <v:fill on="f" focussize="0,0"/>
                        <v:stroke on="f" weight="0.5pt"/>
                        <v:imagedata o:title=""/>
                        <o:lock v:ext="edit" aspectratio="f"/>
                        <v:textbox>
                          <w:txbxContent>
                            <w:p w14:paraId="50758F02">
                              <w:pPr>
                                <w:jc w:val="center"/>
                                <w:rPr>
                                  <w:rFonts w:hint="default" w:eastAsia="宋体"/>
                                  <w:lang w:val="en-US" w:eastAsia="zh-CN"/>
                                </w:rPr>
                              </w:pPr>
                              <w:r>
                                <w:rPr>
                                  <w:rFonts w:hint="eastAsia" w:eastAsia="宋体"/>
                                  <w:sz w:val="21"/>
                                  <w:szCs w:val="21"/>
                                  <w:lang w:val="en-US" w:eastAsia="zh-CN"/>
                                </w:rPr>
                                <w:t>自来水</w:t>
                              </w:r>
                            </w:p>
                          </w:txbxContent>
                        </v:textbox>
                      </v:shape>
                      <v:shape id="文本框 204" o:spid="_x0000_s1026" o:spt="202" type="#_x0000_t202" style="position:absolute;left:1019810;top:819785;height:365125;width:1076325;" fillcolor="#FFFFFF [3201]" filled="t" stroked="t" coordsize="21600,21600" o:gfxdata="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Gptz0wAAAAUBAAAPAAAAAAAAAAEAIAAAACIAAABkcnMvZG93bnJldi54bWxQSwECFAAUAAAA&#10;CACHTuJAGmh7m2UCAADGBAAADgAAAAAAAAABACAAAAAiAQAAZHJzL2Uyb0RvYy54bWxQSwUGAAAA&#10;AAYABgBZAQAA+QUAAAAA&#10;">
                        <v:fill on="t" focussize="0,0"/>
                        <v:stroke weight="0.5pt" color="#000000 [3204]" joinstyle="round"/>
                        <v:imagedata o:title=""/>
                        <o:lock v:ext="edit" aspectratio="f"/>
                        <v:textbox>
                          <w:txbxContent>
                            <w:p w14:paraId="654892FF">
                              <w:pPr>
                                <w:jc w:val="center"/>
                                <w:rPr>
                                  <w:rFonts w:hint="default" w:eastAsia="宋体"/>
                                  <w:lang w:val="en-US" w:eastAsia="zh-CN"/>
                                </w:rPr>
                              </w:pPr>
                              <w:r>
                                <w:rPr>
                                  <w:rFonts w:hint="eastAsia" w:eastAsia="宋体"/>
                                  <w:sz w:val="21"/>
                                  <w:szCs w:val="21"/>
                                  <w:lang w:val="en-US" w:eastAsia="zh-CN"/>
                                </w:rPr>
                                <w:t>软水制备系</w:t>
                              </w:r>
                              <w:r>
                                <w:rPr>
                                  <w:rFonts w:hint="eastAsia" w:eastAsia="宋体"/>
                                  <w:sz w:val="21"/>
                                  <w:lang w:val="en-US" w:eastAsia="zh-CN"/>
                                </w:rPr>
                                <w:t>统</w:t>
                              </w:r>
                            </w:p>
                          </w:txbxContent>
                        </v:textbox>
                      </v:shape>
                      <v:shape id="文本框 204" o:spid="_x0000_s1026" o:spt="202" type="#_x0000_t202" style="position:absolute;left:2286000;top:735330;height:623570;width:1341120;" fillcolor="#FFFFFF [3201]" filled="t" stroked="t" coordsize="21600,21600" o:gfxdata="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Yam3PTAAAABQEAAA8AAAAAAAAAAQAgAAAAIgAAAGRycy9kb3ducmV2LnhtbFBLAQIUABQA&#10;AAAIAIdO4kAi5SJlZwIAAMYEAAAOAAAAAAAAAAEAIAAAACIBAABkcnMvZTJvRG9jLnhtbFBLBQYA&#10;AAAABgAGAFkBAAD7BQAAAAA=&#10;">
                        <v:fill on="t" focussize="0,0"/>
                        <v:stroke weight="0.5pt" color="#000000 [3204]" joinstyle="round"/>
                        <v:imagedata o:title=""/>
                        <o:lock v:ext="edit" aspectratio="f"/>
                        <v:textbox>
                          <w:txbxContent>
                            <w:p w14:paraId="5BFED5AA">
                              <w:pP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生物质燃料</w:t>
                              </w:r>
                            </w:p>
                            <w:p w14:paraId="5A409A82">
                              <w:pPr>
                                <w:rPr>
                                  <w:rFonts w:hint="default"/>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蒸汽发生器</w:t>
                              </w:r>
                            </w:p>
                          </w:txbxContent>
                        </v:textbox>
                      </v:shape>
                      <v:shape id="文本框 84" o:spid="_x0000_s1026" o:spt="202" type="#_x0000_t202" style="position:absolute;left:837565;top:1953895;height:323215;width:3296285;" filled="f" stroked="f" coordsize="21600,21600" o:gfxdata="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UMcmXYAAAABQEAAA8AAAAAAAAA&#10;AQAgAAAAIgAAAGRycy9kb3ducmV2LnhtbFBLAQIUABQAAAAIAIdO4kDjzJJPSgIAAHQEAAAOAAAA&#10;AAAAAAEAIAAAACcBAABkcnMvZTJvRG9jLnhtbFBLBQYAAAAABgAGAFkBAADjBQAAAAA=&#10;">
                        <v:fill on="f" focussize="0,0"/>
                        <v:stroke on="f" weight="0.5pt"/>
                        <v:imagedata o:title=""/>
                        <o:lock v:ext="edit" aspectratio="f"/>
                        <v:textbox>
                          <w:txbxContent>
                            <w:p w14:paraId="30BA7B02">
                              <w:pPr>
                                <w:jc w:val="center"/>
                                <w:rPr>
                                  <w:b/>
                                  <w:bCs/>
                                </w:rPr>
                              </w:pPr>
                              <w:r>
                                <w:rPr>
                                  <w:rFonts w:hint="eastAsia"/>
                                  <w:b/>
                                  <w:bCs/>
                                </w:rPr>
                                <w:t>图2</w:t>
                              </w:r>
                              <w:r>
                                <w:rPr>
                                  <w:rFonts w:hint="eastAsia"/>
                                  <w:b/>
                                  <w:bCs/>
                                  <w:lang w:val="en-US" w:eastAsia="zh-CN"/>
                                </w:rPr>
                                <w:t>.</w:t>
                              </w:r>
                              <w:r>
                                <w:rPr>
                                  <w:rFonts w:hint="eastAsia"/>
                                  <w:b/>
                                  <w:bCs/>
                                  <w:highlight w:val="none"/>
                                  <w:lang w:val="en-US" w:eastAsia="zh-CN"/>
                                </w:rPr>
                                <w:t>2</w:t>
                              </w:r>
                              <w:r>
                                <w:rPr>
                                  <w:rFonts w:hint="eastAsia" w:asciiTheme="minorEastAsia" w:hAnsiTheme="minorEastAsia" w:eastAsiaTheme="minorEastAsia" w:cstheme="minorEastAsia"/>
                                  <w:color w:val="auto"/>
                                  <w:sz w:val="24"/>
                                  <w:szCs w:val="24"/>
                                  <w:highlight w:val="none"/>
                                  <w:lang w:val="en-US" w:eastAsia="zh-CN"/>
                                </w:rPr>
                                <w:t>生物质燃料蒸汽发生器</w:t>
                              </w:r>
                              <w:r>
                                <w:rPr>
                                  <w:rFonts w:hint="eastAsia"/>
                                  <w:b/>
                                  <w:bCs/>
                                </w:rPr>
                                <w:t>生产工艺流程及产排污节点图</w:t>
                              </w:r>
                            </w:p>
                          </w:txbxContent>
                        </v:textbox>
                      </v:shape>
                      <v:shape id="直接箭头连接符 240" o:spid="_x0000_s1026" o:spt="32" type="#_x0000_t32" style="position:absolute;left:2596515;top:544830;flip:x;height:251460;width:4445;" filled="f" stroked="t" coordsize="21600,21600" o:gfxdata="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QaF&#10;DtUAAAAFAQAADwAAAAAAAAABACAAAAAiAAAAZHJzL2Rvd25yZXYueG1sUEsBAhQAFAAAAAgAh07i&#10;QAVd9aslAgAAEAQAAA4AAAAAAAAAAQAgAAAAJAEAAGRycy9lMm9Eb2MueG1sUEsFBgAAAAAGAAYA&#10;WQEAALsFAAAAAA==&#10;">
                        <v:fill on="f" focussize="0,0"/>
                        <v:stroke weight="2pt" color="#000000 [3213]" joinstyle="round" endarrow="block"/>
                        <v:imagedata o:title=""/>
                        <o:lock v:ext="edit" aspectratio="f"/>
                      </v:shape>
                      <v:shape id="文本框 92" o:spid="_x0000_s1026" o:spt="202" type="#_x0000_t202" style="position:absolute;left:2068195;top:197485;height:363220;width:934085;" filled="f" stroked="f" coordsize="21600,21600" o:gfxdata="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UMcmXYAAAABQEAAA8AAAAAAAAAAQAg&#10;AAAAIgAAAGRycy9kb3ducmV2LnhtbFBLAQIUABQAAAAIAIdO4kAqyZUnRwIAAHMEAAAOAAAAAAAA&#10;AAEAIAAAACcBAABkcnMvZTJvRG9jLnhtbFBLBQYAAAAABgAGAFkBAADgBQAAAAA=&#10;">
                        <v:fill on="f" focussize="0,0"/>
                        <v:stroke on="f" weight="0.5pt"/>
                        <v:imagedata o:title=""/>
                        <o:lock v:ext="edit" aspectratio="f"/>
                        <v:textbox>
                          <w:txbxContent>
                            <w:p w14:paraId="52F5ACFD">
                              <w:pPr>
                                <w:jc w:val="center"/>
                                <w:rPr>
                                  <w:rFonts w:hint="default" w:eastAsia="宋体"/>
                                  <w:sz w:val="21"/>
                                  <w:szCs w:val="21"/>
                                  <w:lang w:val="en-US" w:eastAsia="zh-CN"/>
                                </w:rPr>
                              </w:pPr>
                              <w:r>
                                <w:rPr>
                                  <w:rFonts w:hint="eastAsia"/>
                                  <w:sz w:val="21"/>
                                  <w:szCs w:val="21"/>
                                  <w:lang w:val="en-US" w:eastAsia="zh-CN"/>
                                </w:rPr>
                                <w:t>生物质燃料</w:t>
                              </w:r>
                            </w:p>
                          </w:txbxContent>
                        </v:textbox>
                      </v:shape>
                      <v:shape id="文本框 107" o:spid="_x0000_s1026" o:spt="202" type="#_x0000_t202" style="position:absolute;left:4090670;top:762000;height:822325;width:736600;" filled="f" stroked="f" coordsize="21600,21600" o:gfxdata="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UMcmXYAAAABQEAAA8AAAAAAAAAAQAg&#10;AAAAIgAAAGRycy9kb3ducmV2LnhtbFBLAQIUABQAAAAIAIdO4kAXVBKARwIAAHQEAAAOAAAAAAAA&#10;AAEAIAAAACcBAABkcnMvZTJvRG9jLnhtbFBLBQYAAAAABgAGAFkBAADgBQAAAAA=&#10;">
                        <v:fill on="f" focussize="0,0"/>
                        <v:stroke on="f" weight="0.5pt"/>
                        <v:imagedata o:title=""/>
                        <o:lock v:ext="edit" aspectratio="f"/>
                        <v:textbox>
                          <w:txbxContent>
                            <w:p w14:paraId="6DF8211A">
                              <w:pPr>
                                <w:jc w:val="center"/>
                                <w:rPr>
                                  <w:rFonts w:hint="default" w:eastAsia="宋体"/>
                                  <w:lang w:val="en-US" w:eastAsia="zh-CN"/>
                                </w:rPr>
                              </w:pPr>
                              <w:r>
                                <w:rPr>
                                  <w:rFonts w:hint="eastAsia" w:eastAsia="宋体"/>
                                  <w:sz w:val="21"/>
                                  <w:szCs w:val="21"/>
                                  <w:lang w:val="en-US" w:eastAsia="zh-CN"/>
                                </w:rPr>
                                <w:t>蒸汽引至烘干机</w:t>
                              </w:r>
                            </w:p>
                          </w:txbxContent>
                        </v:textbox>
                      </v:shape>
                      <v:shape id="直接箭头连接符 240" o:spid="_x0000_s1026" o:spt="32" type="#_x0000_t32" style="position:absolute;left:555625;top:984885;height:6350;width:467360;" filled="f" stroked="t" coordsize="21600,21600" o:gfxdata="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QGp3Q1QAA&#10;AAUBAAAPAAAAAAAAAAEAIAAAACIAAABkcnMvZG93bnJldi54bWxQSwECFAAUAAAACACHTuJAP54U&#10;5SECAAAXBAAADgAAAAAAAAABACAAAAAkAQAAZHJzL2Uyb0RvYy54bWxQSwUGAAAAAAYABgBZAQAA&#10;twUAAAAA&#10;">
                        <v:fill on="f" focussize="0,0"/>
                        <v:stroke weight="2pt" color="#000000 [3213]" joinstyle="round" endarrow="block"/>
                        <v:imagedata o:title=""/>
                        <o:lock v:ext="edit" aspectratio="f"/>
                      </v:shape>
                      <v:shape id="直接箭头连接符 240" o:spid="_x0000_s1026" o:spt="32" type="#_x0000_t32" style="position:absolute;left:2106930;top:965835;height:0;width:174625;" filled="f" stroked="t" coordsize="21600,21600" o:gfxdata="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AandDVAAAA&#10;BQEAAA8AAAAAAAAAAQAgAAAAIgAAAGRycy9kb3ducmV2LnhtbFBLAQIUABQAAAAIAIdO4kD/epyE&#10;IAIAABUEAAAOAAAAAAAAAAEAIAAAACQBAABkcnMvZTJvRG9jLnhtbFBLBQYAAAAABgAGAFkBAAC2&#10;BQAAAAA=&#10;">
                        <v:fill on="f" focussize="0,0"/>
                        <v:stroke weight="2pt" color="#000000 [3213]" joinstyle="round" endarrow="block"/>
                        <v:imagedata o:title=""/>
                        <o:lock v:ext="edit" aspectratio="f"/>
                      </v:shape>
                      <v:shape id="直接箭头连接符 240" o:spid="_x0000_s1026" o:spt="32" type="#_x0000_t32" style="position:absolute;left:3634105;top:1028700;height:6350;width:467360;" filled="f" stroked="t" coordsize="21600,21600" o:gfxdata="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AandDV&#10;AAAABQEAAA8AAAAAAAAAAQAgAAAAIgAAAGRycy9kb3ducmV2LnhtbFBLAQIUABQAAAAIAIdO4kD0&#10;MSZtIwIAABkEAAAOAAAAAAAAAAEAIAAAACQBAABkcnMvZTJvRG9jLnhtbFBLBQYAAAAABgAGAFkB&#10;AAC5BQAAAAA=&#10;">
                        <v:fill on="f" focussize="0,0"/>
                        <v:stroke weight="2pt" color="#000000 [3213]" joinstyle="round" endarrow="block"/>
                        <v:imagedata o:title=""/>
                        <o:lock v:ext="edit" aspectratio="f"/>
                      </v:shape>
                      <v:shape id="_x0000_s1026" o:spid="_x0000_s1026" o:spt="32" type="#_x0000_t32" style="position:absolute;left:1444625;top:1232535;flip:x;height:283210;width:21590;" filled="f" stroked="t" coordsize="21600,21600" o:gfxdata="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VzAJdYAAAAFAQAADwAAAAAAAAABACAAAAAiAAAAZHJzL2Rvd25yZXYueG1sUEsBAhQAFAAAAAgA&#10;h07iQLipRFMnAgAAEQQAAA4AAAAAAAAAAQAgAAAAJQEAAGRycy9lMm9Eb2MueG1sUEsFBgAAAAAG&#10;AAYAWQEAAL4FAAAAAA==&#10;">
                        <v:fill on="f" focussize="0,0"/>
                        <v:stroke weight="2pt" color="#000000 [3213]" joinstyle="round" dashstyle="dash" endarrow="block"/>
                        <v:imagedata o:title=""/>
                        <o:lock v:ext="edit" aspectratio="f"/>
                      </v:shape>
                      <v:shape id="文本框 92" o:spid="_x0000_s1026" o:spt="202" type="#_x0000_t202" style="position:absolute;left:1167130;top:1392555;height:380365;width:658495;" filled="f" stroked="f" coordsize="21600,21600" o:gfxdata="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QxyZdgAAAAFAQAADwAAAAAAAAAB&#10;ACAAAAAiAAAAZHJzL2Rvd25yZXYueG1sUEsBAhQAFAAAAAgAh07iQOvcyY5JAgAAdAQAAA4AAAAA&#10;AAAAAQAgAAAAJwEAAGRycy9lMm9Eb2MueG1sUEsFBgAAAAAGAAYAWQEAAOIFAAAAAA==&#10;">
                        <v:fill on="f" focussize="0,0"/>
                        <v:stroke on="f" weight="0.5pt"/>
                        <v:imagedata o:title=""/>
                        <o:lock v:ext="edit" aspectratio="f"/>
                        <v:textbox>
                          <w:txbxContent>
                            <w:p w14:paraId="1913DF07">
                              <w:pPr>
                                <w:jc w:val="center"/>
                                <w:rPr>
                                  <w:rFonts w:hint="default" w:eastAsia="宋体"/>
                                  <w:sz w:val="21"/>
                                  <w:szCs w:val="21"/>
                                  <w:lang w:val="en-US" w:eastAsia="zh-CN"/>
                                </w:rPr>
                              </w:pPr>
                              <w:r>
                                <w:rPr>
                                  <w:rFonts w:hint="eastAsia" w:eastAsia="宋体"/>
                                  <w:sz w:val="21"/>
                                  <w:szCs w:val="21"/>
                                  <w:lang w:val="en-US" w:eastAsia="zh-CN"/>
                                </w:rPr>
                                <w:t>S</w:t>
                              </w:r>
                              <w:r>
                                <w:rPr>
                                  <w:rFonts w:hint="eastAsia"/>
                                  <w:sz w:val="21"/>
                                  <w:szCs w:val="21"/>
                                  <w:lang w:val="en-US" w:eastAsia="zh-CN"/>
                                </w:rPr>
                                <w:t>1</w:t>
                              </w:r>
                              <w:r>
                                <w:rPr>
                                  <w:rFonts w:hint="eastAsia" w:eastAsia="宋体"/>
                                  <w:sz w:val="21"/>
                                  <w:szCs w:val="21"/>
                                  <w:lang w:val="en-US" w:eastAsia="zh-CN"/>
                                </w:rPr>
                                <w:t>、W2</w:t>
                              </w:r>
                            </w:p>
                          </w:txbxContent>
                        </v:textbox>
                      </v:shape>
                      <v:shape id="_x0000_s1026" o:spid="_x0000_s1026" o:spt="32" type="#_x0000_t32" style="position:absolute;left:2950845;top:1357630;height:400050;width:0;" filled="f" stroked="t" coordsize="21600,21600" o:gfxdata="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TEG3TAAAABQEAAA8A&#10;AAAAAAAAAQAgAAAAIgAAAGRycy9kb3ducmV2LnhtbFBLAQIUABQAAAAIAIdO4kAGiXOwHAIAAAME&#10;AAAOAAAAAAAAAAEAIAAAACIBAABkcnMvZTJvRG9jLnhtbFBLBQYAAAAABgAGAFkBAACwBQAAAAA=&#10;">
                        <v:fill on="f" focussize="0,0"/>
                        <v:stroke weight="2pt" color="#000000 [3213]" joinstyle="round" dashstyle="dash" endarrow="block"/>
                        <v:imagedata o:title=""/>
                        <o:lock v:ext="edit" aspectratio="f"/>
                      </v:shape>
                      <v:shape id="文本框 92" o:spid="_x0000_s1026" o:spt="202" type="#_x0000_t202" style="position:absolute;left:2802890;top:1564640;height:363220;width:658495;" filled="f" stroked="f" coordsize="21600,21600" o:gfxdata="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QxyZdgAAAAFAQAADwAAAAAAAAAB&#10;ACAAAAAiAAAAZHJzL2Rvd25yZXYueG1sUEsBAhQAFAAAAAgAh07iQP57pdVJAgAAdAQAAA4AAAAA&#10;AAAAAQAgAAAAJwEAAGRycy9lMm9Eb2MueG1sUEsFBgAAAAAGAAYAWQEAAOIFAAAAAA==&#10;">
                        <v:fill on="f" focussize="0,0"/>
                        <v:stroke on="f" weight="0.5pt"/>
                        <v:imagedata o:title=""/>
                        <o:lock v:ext="edit" aspectratio="f"/>
                        <v:textbox>
                          <w:txbxContent>
                            <w:p w14:paraId="6B60D37F">
                              <w:pPr>
                                <w:jc w:val="center"/>
                                <w:rPr>
                                  <w:rFonts w:hint="default" w:eastAsia="宋体"/>
                                  <w:sz w:val="21"/>
                                  <w:szCs w:val="21"/>
                                  <w:lang w:val="en-US" w:eastAsia="zh-CN"/>
                                </w:rPr>
                              </w:pPr>
                              <w:r>
                                <w:rPr>
                                  <w:rFonts w:hint="eastAsia" w:eastAsia="宋体"/>
                                  <w:sz w:val="21"/>
                                  <w:szCs w:val="21"/>
                                  <w:lang w:val="en-US" w:eastAsia="zh-CN"/>
                                </w:rPr>
                                <w:t>W3</w:t>
                              </w:r>
                            </w:p>
                          </w:txbxContent>
                        </v:textbox>
                      </v:shape>
                      <v:shape id="_x0000_s1026" o:spid="_x0000_s1026" o:spt="32" type="#_x0000_t32" style="position:absolute;left:3184525;top:387350;height:400050;width:0;" filled="f" stroked="t" coordsize="21600,21600" o:gfxdata="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6/wNdUAAAAF&#10;AQAADwAAAAAAAAABACAAAAAiAAAAZHJzL2Rvd25yZXYueG1sUEsBAhQAFAAAAAgAh07iQDDpdvof&#10;AgAAFAQAAA4AAAAAAAAAAQAgAAAAJAEAAGRycy9lMm9Eb2MueG1sUEsFBgAAAAAGAAYAWQEAALUF&#10;AAAAAA==&#10;">
                        <v:fill on="f" focussize="0,0"/>
                        <v:stroke weight="2pt" color="#000000 [3213]" joinstyle="round" dashstyle="dash" startarrow="block"/>
                        <v:imagedata o:title=""/>
                        <o:lock v:ext="edit" aspectratio="f"/>
                      </v:shape>
                      <v:shape id="文本框 92" o:spid="_x0000_s1026" o:spt="202" type="#_x0000_t202" style="position:absolute;left:2907665;top:162560;height:346075;width:658495;" filled="f" stroked="f" coordsize="21600,21600" o:gfxdata="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UMcmXYAAAABQEAAA8AAAAAAAAAAQAg&#10;AAAAIgAAAGRycy9kb3ducmV2LnhtbFBLAQIUABQAAAAIAIdO4kDWuBRGRwIAAHMEAAAOAAAAAAAA&#10;AAEAIAAAACcBAABkcnMvZTJvRG9jLnhtbFBLBQYAAAAABgAGAFkBAADgBQAAAAA=&#10;">
                        <v:fill on="f" focussize="0,0"/>
                        <v:stroke on="f" weight="0.5pt"/>
                        <v:imagedata o:title=""/>
                        <o:lock v:ext="edit" aspectratio="f"/>
                        <v:textbox>
                          <w:txbxContent>
                            <w:p w14:paraId="3786CFF4">
                              <w:pPr>
                                <w:jc w:val="center"/>
                                <w:rPr>
                                  <w:rFonts w:hint="default" w:eastAsia="宋体"/>
                                  <w:sz w:val="21"/>
                                  <w:szCs w:val="21"/>
                                  <w:lang w:val="en-US" w:eastAsia="zh-CN"/>
                                </w:rPr>
                              </w:pPr>
                              <w:r>
                                <w:rPr>
                                  <w:rFonts w:hint="eastAsia" w:eastAsia="宋体"/>
                                  <w:sz w:val="21"/>
                                  <w:szCs w:val="21"/>
                                  <w:lang w:val="en-US" w:eastAsia="zh-CN"/>
                                </w:rPr>
                                <w:t>N、G</w:t>
                              </w:r>
                              <w:r>
                                <w:rPr>
                                  <w:rFonts w:hint="eastAsia"/>
                                  <w:sz w:val="21"/>
                                  <w:szCs w:val="21"/>
                                  <w:lang w:val="en-US" w:eastAsia="zh-CN"/>
                                </w:rPr>
                                <w:t>2</w:t>
                              </w:r>
                            </w:p>
                          </w:txbxContent>
                        </v:textbox>
                      </v:shape>
                      <w10:wrap type="none"/>
                      <w10:anchorlock/>
                    </v:group>
                  </w:pict>
                </mc:Fallback>
              </mc:AlternateContent>
            </w:r>
          </w:p>
          <w:p w14:paraId="26AEAE9D">
            <w:pPr>
              <w:adjustRightInd w:val="0"/>
              <w:snapToGrid w:val="0"/>
              <w:spacing w:line="440" w:lineRule="exact"/>
              <w:ind w:firstLine="470" w:firstLineChars="196"/>
              <w:jc w:val="lef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主要工艺流程说明：</w:t>
            </w:r>
          </w:p>
          <w:p w14:paraId="0EE205CB">
            <w:pPr>
              <w:adjustRightInd w:val="0"/>
              <w:snapToGrid w:val="0"/>
              <w:spacing w:line="460" w:lineRule="exact"/>
              <w:ind w:firstLine="480" w:firstLineChars="200"/>
              <w:jc w:val="lef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软水制备：生物质燃料蒸汽发生器配套建设软水装置，采用一套全自动软水设备，通过离子交换树脂去除水中的钙、镁离子，降低水质硬度，制备后的出水满足</w:t>
            </w:r>
            <w:r>
              <w:rPr>
                <w:rFonts w:hint="eastAsia" w:asciiTheme="minorEastAsia" w:hAnsiTheme="minorEastAsia" w:eastAsiaTheme="minorEastAsia" w:cstheme="minorEastAsia"/>
                <w:color w:val="auto"/>
                <w:sz w:val="24"/>
                <w:szCs w:val="24"/>
                <w:highlight w:val="none"/>
                <w:lang w:val="en-US" w:eastAsia="zh-CN"/>
              </w:rPr>
              <w:t>生物质燃料蒸汽发生器</w:t>
            </w:r>
            <w:r>
              <w:rPr>
                <w:rFonts w:hint="eastAsia" w:ascii="宋体" w:hAnsi="宋体" w:eastAsia="宋体" w:cs="宋体"/>
                <w:b w:val="0"/>
                <w:bCs w:val="0"/>
                <w:color w:val="auto"/>
                <w:sz w:val="24"/>
                <w:highlight w:val="none"/>
                <w:lang w:val="en-US" w:eastAsia="zh-CN"/>
              </w:rPr>
              <w:t>用水使用要求。</w:t>
            </w:r>
          </w:p>
          <w:p w14:paraId="1D95006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软水制备装置工作原理：</w:t>
            </w:r>
            <w:r>
              <w:rPr>
                <w:rFonts w:ascii="宋体" w:hAnsi="宋体" w:eastAsia="宋体" w:cs="宋体"/>
                <w:b w:val="0"/>
                <w:bCs w:val="0"/>
                <w:sz w:val="24"/>
                <w:szCs w:val="24"/>
                <w:highlight w:val="none"/>
              </w:rPr>
              <w:t>离子交换树脂软水制备工艺的核心是</w:t>
            </w:r>
            <w:r>
              <w:rPr>
                <w:rFonts w:hint="eastAsia" w:ascii="宋体" w:hAnsi="宋体" w:eastAsia="宋体" w:cs="宋体"/>
                <w:b w:val="0"/>
                <w:bCs w:val="0"/>
                <w:color w:val="auto"/>
                <w:sz w:val="24"/>
                <w:highlight w:val="none"/>
                <w:lang w:val="en-US" w:eastAsia="zh-CN"/>
              </w:rPr>
              <w:t>利用强酸性阳离子交换树脂的离子置换能力，去除原水中的钙（Ca²⁺）、镁（Mg²⁺）离子</w:t>
            </w:r>
            <w:r>
              <w:rPr>
                <w:rFonts w:ascii="宋体" w:hAnsi="宋体" w:eastAsia="宋体" w:cs="宋体"/>
                <w:b w:val="0"/>
                <w:bCs w:val="0"/>
                <w:sz w:val="24"/>
                <w:szCs w:val="24"/>
                <w:highlight w:val="none"/>
              </w:rPr>
              <w:t>，降低水的硬度</w:t>
            </w:r>
            <w:r>
              <w:rPr>
                <w:rFonts w:hint="eastAsia" w:ascii="宋体" w:hAnsi="宋体" w:eastAsia="宋体" w:cs="宋体"/>
                <w:b w:val="0"/>
                <w:bCs w:val="0"/>
                <w:color w:val="auto"/>
                <w:sz w:val="24"/>
                <w:highlight w:val="none"/>
                <w:lang w:val="en-US" w:eastAsia="zh-CN"/>
              </w:rPr>
              <w:t>。该过程产生废离子交换水树脂S1、软水制备废水W2。</w:t>
            </w:r>
          </w:p>
          <w:p w14:paraId="42C235BC">
            <w:pPr>
              <w:adjustRightInd w:val="0"/>
              <w:snapToGrid w:val="0"/>
              <w:spacing w:line="460" w:lineRule="exact"/>
              <w:ind w:firstLine="480" w:firstLineChars="200"/>
              <w:jc w:val="left"/>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制备蒸汽：本项目配套1台2.5th的生物质燃料蒸汽发生器用于生产供热。燃料为</w:t>
            </w:r>
            <w:r>
              <w:rPr>
                <w:rFonts w:hint="eastAsia" w:ascii="宋体" w:hAnsi="宋体" w:cs="宋体"/>
                <w:b w:val="0"/>
                <w:bCs w:val="0"/>
                <w:color w:val="auto"/>
                <w:sz w:val="24"/>
                <w:highlight w:val="none"/>
                <w:lang w:val="en-US" w:eastAsia="zh-CN"/>
              </w:rPr>
              <w:t>生物质燃料</w:t>
            </w:r>
            <w:r>
              <w:rPr>
                <w:rFonts w:hint="eastAsia" w:ascii="宋体" w:hAnsi="宋体" w:eastAsia="宋体" w:cs="宋体"/>
                <w:b w:val="0"/>
                <w:bCs w:val="0"/>
                <w:color w:val="auto"/>
                <w:sz w:val="24"/>
                <w:highlight w:val="none"/>
                <w:lang w:val="en-US" w:eastAsia="zh-CN"/>
              </w:rPr>
              <w:t>，炉内燃烧放出来的热量加热锅内的水，并使其汽化成蒸汽用于烘干工序。此过程产生</w:t>
            </w:r>
            <w:r>
              <w:rPr>
                <w:rFonts w:hint="eastAsia" w:ascii="宋体" w:hAnsi="宋体" w:cs="宋体"/>
                <w:b w:val="0"/>
                <w:bCs w:val="0"/>
                <w:color w:val="auto"/>
                <w:sz w:val="24"/>
                <w:highlight w:val="none"/>
                <w:lang w:val="en-US" w:eastAsia="zh-CN"/>
              </w:rPr>
              <w:t>生物质</w:t>
            </w:r>
            <w:r>
              <w:rPr>
                <w:rFonts w:hint="eastAsia" w:ascii="宋体" w:hAnsi="宋体" w:eastAsia="宋体" w:cs="宋体"/>
                <w:b w:val="0"/>
                <w:bCs w:val="0"/>
                <w:color w:val="auto"/>
                <w:sz w:val="24"/>
                <w:highlight w:val="none"/>
                <w:lang w:val="en-US" w:eastAsia="zh-CN"/>
              </w:rPr>
              <w:t>燃烧废气G1和噪声N，另外</w:t>
            </w:r>
            <w:r>
              <w:rPr>
                <w:rFonts w:hint="eastAsia" w:asciiTheme="minorEastAsia" w:hAnsiTheme="minorEastAsia" w:eastAsiaTheme="minorEastAsia" w:cstheme="minorEastAsia"/>
                <w:color w:val="auto"/>
                <w:sz w:val="24"/>
                <w:szCs w:val="24"/>
                <w:highlight w:val="none"/>
                <w:lang w:val="en-US" w:eastAsia="zh-CN"/>
              </w:rPr>
              <w:t>生物质燃料蒸汽发生器</w:t>
            </w:r>
            <w:r>
              <w:rPr>
                <w:rFonts w:hint="eastAsia" w:ascii="宋体" w:hAnsi="宋体" w:eastAsia="宋体" w:cs="宋体"/>
                <w:b w:val="0"/>
                <w:bCs w:val="0"/>
                <w:color w:val="auto"/>
                <w:sz w:val="24"/>
                <w:highlight w:val="none"/>
                <w:lang w:val="en-US" w:eastAsia="zh-CN"/>
              </w:rPr>
              <w:t>需定期排放含盐浓度较高的废水即</w:t>
            </w:r>
            <w:r>
              <w:rPr>
                <w:rFonts w:hint="eastAsia" w:asciiTheme="minorEastAsia" w:hAnsiTheme="minorEastAsia" w:eastAsiaTheme="minorEastAsia" w:cstheme="minorEastAsia"/>
                <w:color w:val="auto"/>
                <w:sz w:val="24"/>
                <w:szCs w:val="24"/>
                <w:highlight w:val="none"/>
                <w:lang w:val="en-US" w:eastAsia="zh-CN"/>
              </w:rPr>
              <w:t>生物质燃料蒸汽发生器</w:t>
            </w:r>
            <w:r>
              <w:rPr>
                <w:rFonts w:hint="eastAsia" w:ascii="宋体" w:hAnsi="宋体" w:eastAsia="宋体" w:cs="宋体"/>
                <w:b w:val="0"/>
                <w:bCs w:val="0"/>
                <w:color w:val="auto"/>
                <w:sz w:val="24"/>
                <w:highlight w:val="none"/>
                <w:lang w:val="en-US" w:eastAsia="zh-CN"/>
              </w:rPr>
              <w:t>排污水W3。</w:t>
            </w:r>
          </w:p>
          <w:p w14:paraId="6FCDC580">
            <w:pPr>
              <w:pStyle w:val="50"/>
              <w:bidi w:val="0"/>
              <w:rPr>
                <w:rFonts w:hint="default"/>
                <w:color w:val="000000" w:themeColor="text1"/>
                <w:highlight w:val="none"/>
                <w:lang w:val="en-US" w:eastAsia="zh-CN"/>
                <w14:textFill>
                  <w14:solidFill>
                    <w14:schemeClr w14:val="tx1"/>
                  </w14:solidFill>
                </w14:textFill>
              </w:rPr>
            </w:pPr>
          </w:p>
          <w:p w14:paraId="4A1EB505">
            <w:pPr>
              <w:pStyle w:val="50"/>
              <w:bidi w:val="0"/>
              <w:rPr>
                <w:rFonts w:hint="default"/>
                <w:color w:val="000000" w:themeColor="text1"/>
                <w:highlight w:val="none"/>
                <w:lang w:val="en-US" w:eastAsia="zh-CN"/>
                <w14:textFill>
                  <w14:solidFill>
                    <w14:schemeClr w14:val="tx1"/>
                  </w14:solidFill>
                </w14:textFill>
              </w:rPr>
            </w:pPr>
          </w:p>
          <w:p w14:paraId="3739E170">
            <w:pPr>
              <w:pStyle w:val="50"/>
              <w:bidi w:val="0"/>
              <w:rPr>
                <w:rFonts w:hint="default"/>
                <w:color w:val="000000" w:themeColor="text1"/>
                <w:highlight w:val="none"/>
                <w:lang w:val="en-US" w:eastAsia="zh-CN"/>
                <w14:textFill>
                  <w14:solidFill>
                    <w14:schemeClr w14:val="tx1"/>
                  </w14:solidFill>
                </w14:textFill>
              </w:rPr>
            </w:pPr>
          </w:p>
          <w:p w14:paraId="3E869207">
            <w:pPr>
              <w:pStyle w:val="50"/>
              <w:bidi w:val="0"/>
              <w:rPr>
                <w:rFonts w:hint="default"/>
                <w:color w:val="000000" w:themeColor="text1"/>
                <w:highlight w:val="none"/>
                <w:lang w:val="en-US" w:eastAsia="zh-CN"/>
                <w14:textFill>
                  <w14:solidFill>
                    <w14:schemeClr w14:val="tx1"/>
                  </w14:solidFill>
                </w14:textFill>
              </w:rPr>
            </w:pPr>
          </w:p>
          <w:p w14:paraId="6F83C25E">
            <w:pPr>
              <w:pStyle w:val="50"/>
              <w:bidi w:val="0"/>
              <w:rPr>
                <w:rFonts w:hint="default"/>
                <w:color w:val="000000" w:themeColor="text1"/>
                <w:highlight w:val="none"/>
                <w:lang w:val="en-US" w:eastAsia="zh-CN"/>
                <w14:textFill>
                  <w14:solidFill>
                    <w14:schemeClr w14:val="tx1"/>
                  </w14:solidFill>
                </w14:textFill>
              </w:rPr>
            </w:pPr>
          </w:p>
          <w:p w14:paraId="44FF2104">
            <w:pPr>
              <w:pStyle w:val="50"/>
              <w:bidi w:val="0"/>
              <w:rPr>
                <w:rFonts w:hint="eastAsia" w:eastAsia="宋体"/>
                <w:b/>
                <w:bCs/>
                <w:color w:val="000000" w:themeColor="text1"/>
                <w:highlight w:val="none"/>
                <w:lang w:eastAsia="zh-CN"/>
                <w14:textFill>
                  <w14:solidFill>
                    <w14:schemeClr w14:val="tx1"/>
                  </w14:solidFill>
                </w14:textFill>
              </w:rPr>
            </w:pPr>
            <w:r>
              <w:rPr>
                <w:b/>
                <w:bCs/>
                <w:color w:val="000000" w:themeColor="text1"/>
                <w:highlight w:val="none"/>
                <w14:textFill>
                  <w14:solidFill>
                    <w14:schemeClr w14:val="tx1"/>
                  </w14:solidFill>
                </w14:textFill>
              </w:rPr>
              <w:t>产污环节统计</w:t>
            </w:r>
            <w:r>
              <w:rPr>
                <w:rFonts w:hint="eastAsia"/>
                <w:b/>
                <w:bCs/>
                <w:color w:val="000000" w:themeColor="text1"/>
                <w:highlight w:val="none"/>
                <w:lang w:eastAsia="zh-CN"/>
                <w14:textFill>
                  <w14:solidFill>
                    <w14:schemeClr w14:val="tx1"/>
                  </w14:solidFill>
                </w14:textFill>
              </w:rPr>
              <w:t>：</w:t>
            </w:r>
          </w:p>
          <w:p w14:paraId="4FD42ACB">
            <w:pPr>
              <w:pStyle w:val="50"/>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项目主要污染源汇总详见</w:t>
            </w:r>
            <w:r>
              <w:rPr>
                <w:rFonts w:hint="eastAsia"/>
                <w:color w:val="000000" w:themeColor="text1"/>
                <w:highlight w:val="none"/>
                <w14:textFill>
                  <w14:solidFill>
                    <w14:schemeClr w14:val="tx1"/>
                  </w14:solidFill>
                </w14:textFill>
              </w:rPr>
              <w:t>下表</w:t>
            </w:r>
            <w:r>
              <w:rPr>
                <w:color w:val="000000" w:themeColor="text1"/>
                <w:highlight w:val="none"/>
                <w14:textFill>
                  <w14:solidFill>
                    <w14:schemeClr w14:val="tx1"/>
                  </w14:solidFill>
                </w14:textFill>
              </w:rPr>
              <w:t>。</w:t>
            </w:r>
          </w:p>
          <w:p w14:paraId="0A52C9E8">
            <w:pPr>
              <w:pStyle w:val="6"/>
              <w:numPr>
                <w:ilvl w:val="4"/>
                <w:numId w:val="0"/>
              </w:numPr>
              <w:bidi w:val="0"/>
              <w:ind w:left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表2-9 </w:t>
            </w:r>
            <w:r>
              <w:rPr>
                <w:color w:val="000000" w:themeColor="text1"/>
                <w:highlight w:val="none"/>
                <w14:textFill>
                  <w14:solidFill>
                    <w14:schemeClr w14:val="tx1"/>
                  </w14:solidFill>
                </w14:textFill>
              </w:rPr>
              <w:t>主要污染源</w:t>
            </w:r>
            <w:r>
              <w:rPr>
                <w:rFonts w:hint="eastAsia"/>
                <w:color w:val="000000" w:themeColor="text1"/>
                <w:highlight w:val="none"/>
                <w14:textFill>
                  <w14:solidFill>
                    <w14:schemeClr w14:val="tx1"/>
                  </w14:solidFill>
                </w14:textFill>
              </w:rPr>
              <w:t>汇总情况一览表</w:t>
            </w:r>
          </w:p>
          <w:tbl>
            <w:tblPr>
              <w:tblStyle w:val="28"/>
              <w:tblW w:w="4993"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967"/>
              <w:gridCol w:w="2603"/>
              <w:gridCol w:w="2700"/>
            </w:tblGrid>
            <w:tr w14:paraId="284F3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88" w:type="pct"/>
                  <w:tcBorders>
                    <w:tl2br w:val="nil"/>
                    <w:tr2bl w:val="nil"/>
                  </w:tcBorders>
                  <w:noWrap w:val="0"/>
                  <w:vAlign w:val="center"/>
                </w:tcPr>
                <w:p w14:paraId="4A0EED9F">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种类</w:t>
                  </w:r>
                </w:p>
              </w:tc>
              <w:tc>
                <w:tcPr>
                  <w:tcW w:w="1220" w:type="pct"/>
                  <w:tcBorders>
                    <w:tl2br w:val="nil"/>
                    <w:tr2bl w:val="nil"/>
                  </w:tcBorders>
                  <w:noWrap w:val="0"/>
                  <w:vAlign w:val="center"/>
                </w:tcPr>
                <w:p w14:paraId="0FB393BE">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工序</w:t>
                  </w:r>
                </w:p>
              </w:tc>
              <w:tc>
                <w:tcPr>
                  <w:tcW w:w="1615" w:type="pct"/>
                  <w:tcBorders>
                    <w:tl2br w:val="nil"/>
                    <w:tr2bl w:val="nil"/>
                  </w:tcBorders>
                  <w:noWrap w:val="0"/>
                  <w:vAlign w:val="center"/>
                </w:tcPr>
                <w:p w14:paraId="5E2E2840">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名称</w:t>
                  </w:r>
                </w:p>
              </w:tc>
              <w:tc>
                <w:tcPr>
                  <w:tcW w:w="1675" w:type="pct"/>
                  <w:tcBorders>
                    <w:tl2br w:val="nil"/>
                    <w:tr2bl w:val="nil"/>
                  </w:tcBorders>
                  <w:noWrap w:val="0"/>
                  <w:vAlign w:val="center"/>
                </w:tcPr>
                <w:p w14:paraId="01192133">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r>
            <w:tr w14:paraId="0C795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88" w:type="pct"/>
                  <w:vMerge w:val="restart"/>
                  <w:tcBorders>
                    <w:tl2br w:val="nil"/>
                    <w:tr2bl w:val="nil"/>
                  </w:tcBorders>
                  <w:noWrap w:val="0"/>
                  <w:vAlign w:val="center"/>
                </w:tcPr>
                <w:p w14:paraId="0F4D6734">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w:t>
                  </w:r>
                </w:p>
              </w:tc>
              <w:tc>
                <w:tcPr>
                  <w:tcW w:w="1220" w:type="pct"/>
                  <w:vMerge w:val="restart"/>
                  <w:tcBorders>
                    <w:tl2br w:val="nil"/>
                    <w:tr2bl w:val="nil"/>
                  </w:tcBorders>
                  <w:noWrap w:val="0"/>
                  <w:vAlign w:val="center"/>
                </w:tcPr>
                <w:p w14:paraId="6EF68B8F">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w:t>
                  </w:r>
                </w:p>
              </w:tc>
              <w:tc>
                <w:tcPr>
                  <w:tcW w:w="1615" w:type="pct"/>
                  <w:tcBorders>
                    <w:tl2br w:val="nil"/>
                    <w:tr2bl w:val="nil"/>
                  </w:tcBorders>
                  <w:noWrap w:val="0"/>
                  <w:vAlign w:val="center"/>
                </w:tcPr>
                <w:p w14:paraId="25EAB744">
                  <w:pPr>
                    <w:pStyle w:val="56"/>
                    <w:bidi w:val="0"/>
                    <w:rPr>
                      <w:color w:val="000000" w:themeColor="text1"/>
                      <w:highlight w:val="none"/>
                      <w14:textFill>
                        <w14:solidFill>
                          <w14:schemeClr w14:val="tx1"/>
                        </w14:solidFill>
                      </w14:textFill>
                    </w:rPr>
                  </w:pPr>
                  <w:r>
                    <w:rPr>
                      <w:rFonts w:hint="eastAsia"/>
                      <w:color w:val="auto"/>
                      <w:sz w:val="21"/>
                      <w:szCs w:val="21"/>
                      <w:highlight w:val="none"/>
                      <w:lang w:val="en-US" w:eastAsia="zh-CN"/>
                    </w:rPr>
                    <w:t>燃烧</w:t>
                  </w:r>
                  <w:r>
                    <w:rPr>
                      <w:rFonts w:hint="eastAsia"/>
                      <w:color w:val="auto"/>
                      <w:sz w:val="21"/>
                      <w:szCs w:val="21"/>
                      <w:highlight w:val="none"/>
                      <w:lang w:val="en-US" w:eastAsia="zh-CN"/>
                    </w:rPr>
                    <w:t>废气</w:t>
                  </w:r>
                </w:p>
              </w:tc>
              <w:tc>
                <w:tcPr>
                  <w:tcW w:w="1675" w:type="pct"/>
                  <w:tcBorders>
                    <w:tl2br w:val="nil"/>
                    <w:tr2bl w:val="nil"/>
                  </w:tcBorders>
                  <w:noWrap w:val="0"/>
                  <w:vAlign w:val="center"/>
                </w:tcPr>
                <w:p w14:paraId="67C64CC0">
                  <w:pPr>
                    <w:pStyle w:val="56"/>
                    <w:bidi w:val="0"/>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SO</w:t>
                  </w:r>
                  <w:r>
                    <w:rPr>
                      <w:rFonts w:hint="eastAsia" w:eastAsia="宋体"/>
                      <w:color w:val="000000" w:themeColor="text1"/>
                      <w:highlight w:val="none"/>
                      <w:vertAlign w:val="subscript"/>
                      <w:lang w:val="en-US" w:eastAsia="zh-CN"/>
                      <w14:textFill>
                        <w14:solidFill>
                          <w14:schemeClr w14:val="tx1"/>
                        </w14:solidFill>
                      </w14:textFill>
                    </w:rPr>
                    <w:t>2</w:t>
                  </w:r>
                  <w:r>
                    <w:rPr>
                      <w:rFonts w:hint="eastAsia" w:eastAsia="宋体"/>
                      <w:color w:val="000000" w:themeColor="text1"/>
                      <w:highlight w:val="none"/>
                      <w:lang w:val="en-US" w:eastAsia="zh-CN"/>
                      <w14:textFill>
                        <w14:solidFill>
                          <w14:schemeClr w14:val="tx1"/>
                        </w14:solidFill>
                      </w14:textFill>
                    </w:rPr>
                    <w:t>、NO</w:t>
                  </w:r>
                  <w:r>
                    <w:rPr>
                      <w:rFonts w:hint="eastAsia" w:eastAsia="宋体"/>
                      <w:color w:val="000000" w:themeColor="text1"/>
                      <w:highlight w:val="none"/>
                      <w:vertAlign w:val="subscript"/>
                      <w:lang w:val="en-US" w:eastAsia="zh-CN"/>
                      <w14:textFill>
                        <w14:solidFill>
                          <w14:schemeClr w14:val="tx1"/>
                        </w14:solidFill>
                      </w14:textFill>
                    </w:rPr>
                    <w:t>X</w:t>
                  </w:r>
                  <w:r>
                    <w:rPr>
                      <w:rFonts w:hint="eastAsia" w:eastAsia="宋体"/>
                      <w:color w:val="000000" w:themeColor="text1"/>
                      <w:highlight w:val="none"/>
                      <w:lang w:val="en-US" w:eastAsia="zh-CN"/>
                      <w14:textFill>
                        <w14:solidFill>
                          <w14:schemeClr w14:val="tx1"/>
                        </w14:solidFill>
                      </w14:textFill>
                    </w:rPr>
                    <w:t>、颗粒物</w:t>
                  </w:r>
                </w:p>
              </w:tc>
            </w:tr>
            <w:tr w14:paraId="3ACF9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88" w:type="pct"/>
                  <w:vMerge w:val="continue"/>
                  <w:tcBorders>
                    <w:tl2br w:val="nil"/>
                    <w:tr2bl w:val="nil"/>
                  </w:tcBorders>
                  <w:noWrap w:val="0"/>
                  <w:vAlign w:val="center"/>
                </w:tcPr>
                <w:p w14:paraId="08A3850E">
                  <w:pPr>
                    <w:pStyle w:val="56"/>
                    <w:bidi w:val="0"/>
                    <w:rPr>
                      <w:color w:val="000000" w:themeColor="text1"/>
                      <w:highlight w:val="none"/>
                      <w14:textFill>
                        <w14:solidFill>
                          <w14:schemeClr w14:val="tx1"/>
                        </w14:solidFill>
                      </w14:textFill>
                    </w:rPr>
                  </w:pPr>
                </w:p>
              </w:tc>
              <w:tc>
                <w:tcPr>
                  <w:tcW w:w="1220" w:type="pct"/>
                  <w:vMerge w:val="continue"/>
                  <w:tcBorders>
                    <w:tl2br w:val="nil"/>
                    <w:tr2bl w:val="nil"/>
                  </w:tcBorders>
                  <w:noWrap w:val="0"/>
                  <w:vAlign w:val="center"/>
                </w:tcPr>
                <w:p w14:paraId="55E87E77">
                  <w:pPr>
                    <w:pStyle w:val="56"/>
                    <w:bidi w:val="0"/>
                    <w:rPr>
                      <w:rFonts w:hint="eastAsia"/>
                      <w:color w:val="000000" w:themeColor="text1"/>
                      <w:highlight w:val="none"/>
                      <w:lang w:val="en-US" w:eastAsia="zh-CN"/>
                      <w14:textFill>
                        <w14:solidFill>
                          <w14:schemeClr w14:val="tx1"/>
                        </w14:solidFill>
                      </w14:textFill>
                    </w:rPr>
                  </w:pPr>
                </w:p>
              </w:tc>
              <w:tc>
                <w:tcPr>
                  <w:tcW w:w="1615" w:type="pct"/>
                  <w:tcBorders>
                    <w:tl2br w:val="nil"/>
                    <w:tr2bl w:val="nil"/>
                  </w:tcBorders>
                  <w:noWrap w:val="0"/>
                  <w:vAlign w:val="center"/>
                </w:tcPr>
                <w:p w14:paraId="3AD58CFB">
                  <w:pPr>
                    <w:pStyle w:val="56"/>
                    <w:bidi w:val="0"/>
                    <w:rPr>
                      <w:rFonts w:hint="default"/>
                      <w:color w:val="auto"/>
                      <w:sz w:val="21"/>
                      <w:szCs w:val="21"/>
                      <w:highlight w:val="none"/>
                      <w:lang w:val="en-US" w:eastAsia="zh-CN"/>
                    </w:rPr>
                  </w:pPr>
                  <w:r>
                    <w:rPr>
                      <w:rFonts w:hint="eastAsia"/>
                      <w:color w:val="auto"/>
                      <w:sz w:val="21"/>
                      <w:szCs w:val="21"/>
                      <w:highlight w:val="none"/>
                      <w:lang w:val="en-US" w:eastAsia="zh-CN"/>
                    </w:rPr>
                    <w:t>烘干废气</w:t>
                  </w:r>
                </w:p>
              </w:tc>
              <w:tc>
                <w:tcPr>
                  <w:tcW w:w="1675" w:type="pct"/>
                  <w:tcBorders>
                    <w:tl2br w:val="nil"/>
                    <w:tr2bl w:val="nil"/>
                  </w:tcBorders>
                  <w:noWrap w:val="0"/>
                  <w:vAlign w:val="center"/>
                </w:tcPr>
                <w:p w14:paraId="3630D14D">
                  <w:pPr>
                    <w:pStyle w:val="56"/>
                    <w:bidi w:val="0"/>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颗粒物</w:t>
                  </w:r>
                </w:p>
              </w:tc>
            </w:tr>
            <w:tr w14:paraId="6C6EA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restart"/>
                  <w:tcBorders>
                    <w:tl2br w:val="nil"/>
                    <w:tr2bl w:val="nil"/>
                  </w:tcBorders>
                  <w:noWrap w:val="0"/>
                  <w:vAlign w:val="center"/>
                </w:tcPr>
                <w:p w14:paraId="04ACA841">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w:t>
                  </w:r>
                </w:p>
              </w:tc>
              <w:tc>
                <w:tcPr>
                  <w:tcW w:w="1220" w:type="pct"/>
                  <w:tcBorders>
                    <w:tl2br w:val="nil"/>
                    <w:tr2bl w:val="nil"/>
                  </w:tcBorders>
                  <w:shd w:val="clear" w:color="auto" w:fill="auto"/>
                  <w:noWrap w:val="0"/>
                  <w:vAlign w:val="center"/>
                </w:tcPr>
                <w:p w14:paraId="20D37F95">
                  <w:pPr>
                    <w:pStyle w:val="59"/>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软水制备</w:t>
                  </w:r>
                </w:p>
              </w:tc>
              <w:tc>
                <w:tcPr>
                  <w:tcW w:w="1615" w:type="pct"/>
                  <w:tcBorders>
                    <w:tl2br w:val="nil"/>
                    <w:tr2bl w:val="nil"/>
                  </w:tcBorders>
                  <w:shd w:val="clear" w:color="auto" w:fill="auto"/>
                  <w:noWrap w:val="0"/>
                  <w:vAlign w:val="center"/>
                </w:tcPr>
                <w:p w14:paraId="64F88B5F">
                  <w:pPr>
                    <w:pStyle w:val="59"/>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软水制备废水</w:t>
                  </w:r>
                </w:p>
              </w:tc>
              <w:tc>
                <w:tcPr>
                  <w:tcW w:w="1675" w:type="pct"/>
                  <w:tcBorders>
                    <w:tl2br w:val="nil"/>
                    <w:tr2bl w:val="nil"/>
                  </w:tcBorders>
                  <w:shd w:val="clear" w:color="auto" w:fill="auto"/>
                  <w:noWrap w:val="0"/>
                  <w:vAlign w:val="center"/>
                </w:tcPr>
                <w:p w14:paraId="1CDC67B4">
                  <w:pPr>
                    <w:pStyle w:val="59"/>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COD、SS</w:t>
                  </w:r>
                </w:p>
              </w:tc>
            </w:tr>
            <w:tr w14:paraId="07D00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continue"/>
                  <w:tcBorders>
                    <w:tl2br w:val="nil"/>
                    <w:tr2bl w:val="nil"/>
                  </w:tcBorders>
                  <w:noWrap w:val="0"/>
                  <w:vAlign w:val="center"/>
                </w:tcPr>
                <w:p w14:paraId="16E44409">
                  <w:pPr>
                    <w:pStyle w:val="56"/>
                    <w:bidi w:val="0"/>
                    <w:rPr>
                      <w:color w:val="000000" w:themeColor="text1"/>
                      <w:highlight w:val="none"/>
                      <w14:textFill>
                        <w14:solidFill>
                          <w14:schemeClr w14:val="tx1"/>
                        </w14:solidFill>
                      </w14:textFill>
                    </w:rPr>
                  </w:pPr>
                </w:p>
              </w:tc>
              <w:tc>
                <w:tcPr>
                  <w:tcW w:w="1220" w:type="pct"/>
                  <w:tcBorders>
                    <w:tl2br w:val="nil"/>
                    <w:tr2bl w:val="nil"/>
                  </w:tcBorders>
                  <w:shd w:val="clear" w:color="auto" w:fill="auto"/>
                  <w:noWrap w:val="0"/>
                  <w:vAlign w:val="center"/>
                </w:tcPr>
                <w:p w14:paraId="74F1A8B0">
                  <w:pPr>
                    <w:pStyle w:val="5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生物质燃料蒸汽发生器</w:t>
                  </w:r>
                </w:p>
              </w:tc>
              <w:tc>
                <w:tcPr>
                  <w:tcW w:w="1615" w:type="pct"/>
                  <w:tcBorders>
                    <w:tl2br w:val="nil"/>
                    <w:tr2bl w:val="nil"/>
                  </w:tcBorders>
                  <w:shd w:val="clear" w:color="auto" w:fill="auto"/>
                  <w:noWrap w:val="0"/>
                  <w:vAlign w:val="center"/>
                </w:tcPr>
                <w:p w14:paraId="5B99A519">
                  <w:pPr>
                    <w:pStyle w:val="59"/>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废水</w:t>
                  </w:r>
                </w:p>
              </w:tc>
              <w:tc>
                <w:tcPr>
                  <w:tcW w:w="1675" w:type="pct"/>
                  <w:tcBorders>
                    <w:tl2br w:val="nil"/>
                    <w:tr2bl w:val="nil"/>
                  </w:tcBorders>
                  <w:shd w:val="clear" w:color="auto" w:fill="auto"/>
                  <w:noWrap w:val="0"/>
                  <w:vAlign w:val="center"/>
                </w:tcPr>
                <w:p w14:paraId="521F040E">
                  <w:pPr>
                    <w:pStyle w:val="59"/>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000000" w:themeColor="text1"/>
                      <w:sz w:val="21"/>
                      <w:szCs w:val="21"/>
                      <w:highlight w:val="none"/>
                      <w14:textFill>
                        <w14:solidFill>
                          <w14:schemeClr w14:val="tx1"/>
                        </w14:solidFill>
                      </w14:textFill>
                    </w:rPr>
                    <w:t>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w:t>
                  </w:r>
                  <w:r>
                    <w:rPr>
                      <w:rFonts w:hint="eastAsia"/>
                      <w:color w:val="auto"/>
                      <w:sz w:val="21"/>
                      <w:szCs w:val="21"/>
                      <w:highlight w:val="none"/>
                      <w:lang w:val="en-US" w:eastAsia="zh-CN"/>
                    </w:rPr>
                    <w:t>、SS</w:t>
                  </w:r>
                </w:p>
              </w:tc>
            </w:tr>
            <w:tr w14:paraId="35002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continue"/>
                  <w:tcBorders>
                    <w:tl2br w:val="nil"/>
                    <w:tr2bl w:val="nil"/>
                  </w:tcBorders>
                  <w:noWrap w:val="0"/>
                  <w:vAlign w:val="center"/>
                </w:tcPr>
                <w:p w14:paraId="0730BDCF">
                  <w:pPr>
                    <w:pStyle w:val="56"/>
                    <w:bidi w:val="0"/>
                    <w:rPr>
                      <w:color w:val="000000" w:themeColor="text1"/>
                      <w:highlight w:val="none"/>
                      <w14:textFill>
                        <w14:solidFill>
                          <w14:schemeClr w14:val="tx1"/>
                        </w14:solidFill>
                      </w14:textFill>
                    </w:rPr>
                  </w:pPr>
                </w:p>
              </w:tc>
              <w:tc>
                <w:tcPr>
                  <w:tcW w:w="1220" w:type="pct"/>
                  <w:tcBorders>
                    <w:tl2br w:val="nil"/>
                    <w:tr2bl w:val="nil"/>
                  </w:tcBorders>
                  <w:shd w:val="clear" w:color="auto" w:fill="auto"/>
                  <w:noWrap w:val="0"/>
                  <w:vAlign w:val="center"/>
                </w:tcPr>
                <w:p w14:paraId="08E6C16C">
                  <w:pPr>
                    <w:pStyle w:val="5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洗涤</w:t>
                  </w:r>
                </w:p>
              </w:tc>
              <w:tc>
                <w:tcPr>
                  <w:tcW w:w="1615" w:type="pct"/>
                  <w:tcBorders>
                    <w:tl2br w:val="nil"/>
                    <w:tr2bl w:val="nil"/>
                  </w:tcBorders>
                  <w:shd w:val="clear" w:color="auto" w:fill="auto"/>
                  <w:noWrap w:val="0"/>
                  <w:vAlign w:val="center"/>
                </w:tcPr>
                <w:p w14:paraId="2F278A8F">
                  <w:pPr>
                    <w:pStyle w:val="59"/>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洗涤废水</w:t>
                  </w:r>
                </w:p>
              </w:tc>
              <w:tc>
                <w:tcPr>
                  <w:tcW w:w="1675" w:type="pct"/>
                  <w:tcBorders>
                    <w:tl2br w:val="nil"/>
                    <w:tr2bl w:val="nil"/>
                  </w:tcBorders>
                  <w:shd w:val="clear" w:color="auto" w:fill="auto"/>
                  <w:noWrap w:val="0"/>
                  <w:vAlign w:val="center"/>
                </w:tcPr>
                <w:p w14:paraId="6078999E">
                  <w:pPr>
                    <w:pStyle w:val="59"/>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000000" w:themeColor="text1"/>
                      <w:sz w:val="21"/>
                      <w:szCs w:val="21"/>
                      <w:highlight w:val="none"/>
                      <w14:textFill>
                        <w14:solidFill>
                          <w14:schemeClr w14:val="tx1"/>
                        </w14:solidFill>
                      </w14:textFill>
                    </w:rPr>
                    <w:t>COD、N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BOD</w:t>
                  </w:r>
                  <w:r>
                    <w:rPr>
                      <w:rFonts w:hint="eastAsia"/>
                      <w:color w:val="000000" w:themeColor="text1"/>
                      <w:sz w:val="21"/>
                      <w:szCs w:val="21"/>
                      <w:highlight w:val="none"/>
                      <w:vertAlign w:val="subscript"/>
                      <w14:textFill>
                        <w14:solidFill>
                          <w14:schemeClr w14:val="tx1"/>
                        </w14:solidFill>
                      </w14:textFill>
                    </w:rPr>
                    <w:t>5</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SS、</w:t>
                  </w:r>
                  <w:r>
                    <w:rPr>
                      <w:rFonts w:hint="eastAsia"/>
                      <w:color w:val="000000" w:themeColor="text1"/>
                      <w:sz w:val="21"/>
                      <w:szCs w:val="21"/>
                      <w:highlight w:val="none"/>
                      <w:lang w:val="en-US" w:eastAsia="zh-CN"/>
                      <w14:textFill>
                        <w14:solidFill>
                          <w14:schemeClr w14:val="tx1"/>
                        </w14:solidFill>
                      </w14:textFill>
                    </w:rPr>
                    <w:t>色度、TP、TN、LAS</w:t>
                  </w:r>
                </w:p>
              </w:tc>
            </w:tr>
            <w:tr w14:paraId="67BE0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tcBorders>
                    <w:tl2br w:val="nil"/>
                    <w:tr2bl w:val="nil"/>
                  </w:tcBorders>
                  <w:noWrap w:val="0"/>
                  <w:vAlign w:val="center"/>
                </w:tcPr>
                <w:p w14:paraId="284F12E6">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w:t>
                  </w:r>
                </w:p>
              </w:tc>
              <w:tc>
                <w:tcPr>
                  <w:tcW w:w="1220" w:type="pct"/>
                  <w:tcBorders>
                    <w:tl2br w:val="nil"/>
                    <w:tr2bl w:val="nil"/>
                  </w:tcBorders>
                  <w:noWrap w:val="0"/>
                  <w:vAlign w:val="center"/>
                </w:tcPr>
                <w:p w14:paraId="1D82028C">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设备</w:t>
                  </w:r>
                </w:p>
              </w:tc>
              <w:tc>
                <w:tcPr>
                  <w:tcW w:w="1615" w:type="pct"/>
                  <w:tcBorders>
                    <w:tl2br w:val="nil"/>
                    <w:tr2bl w:val="nil"/>
                  </w:tcBorders>
                  <w:noWrap w:val="0"/>
                  <w:vAlign w:val="center"/>
                </w:tcPr>
                <w:p w14:paraId="252F4998">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设备噪声</w:t>
                  </w:r>
                  <w:r>
                    <w:rPr>
                      <w:rFonts w:hint="eastAsia"/>
                      <w:color w:val="000000" w:themeColor="text1"/>
                      <w:highlight w:val="none"/>
                      <w14:textFill>
                        <w14:solidFill>
                          <w14:schemeClr w14:val="tx1"/>
                        </w14:solidFill>
                      </w14:textFill>
                    </w:rPr>
                    <w:t>N</w:t>
                  </w:r>
                </w:p>
              </w:tc>
              <w:tc>
                <w:tcPr>
                  <w:tcW w:w="1675" w:type="pct"/>
                  <w:tcBorders>
                    <w:tl2br w:val="nil"/>
                    <w:tr2bl w:val="nil"/>
                  </w:tcBorders>
                  <w:noWrap w:val="0"/>
                  <w:vAlign w:val="center"/>
                </w:tcPr>
                <w:p w14:paraId="480D7CB3">
                  <w:pPr>
                    <w:pStyle w:val="56"/>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w:t>
                  </w:r>
                </w:p>
              </w:tc>
            </w:tr>
            <w:tr w14:paraId="06600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restart"/>
                  <w:tcBorders>
                    <w:tl2br w:val="nil"/>
                    <w:tr2bl w:val="nil"/>
                  </w:tcBorders>
                  <w:noWrap w:val="0"/>
                  <w:vAlign w:val="center"/>
                </w:tcPr>
                <w:p w14:paraId="7B4E1F93">
                  <w:pPr>
                    <w:pStyle w:val="56"/>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固废</w:t>
                  </w:r>
                </w:p>
              </w:tc>
              <w:tc>
                <w:tcPr>
                  <w:tcW w:w="1220" w:type="pct"/>
                  <w:tcBorders>
                    <w:tl2br w:val="nil"/>
                    <w:tr2bl w:val="nil"/>
                  </w:tcBorders>
                  <w:shd w:val="clear" w:color="auto" w:fill="auto"/>
                  <w:noWrap w:val="0"/>
                  <w:vAlign w:val="center"/>
                </w:tcPr>
                <w:p w14:paraId="568108D6">
                  <w:pPr>
                    <w:pStyle w:val="59"/>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软水制备</w:t>
                  </w:r>
                </w:p>
              </w:tc>
              <w:tc>
                <w:tcPr>
                  <w:tcW w:w="1615" w:type="pct"/>
                  <w:tcBorders>
                    <w:tl2br w:val="nil"/>
                    <w:tr2bl w:val="nil"/>
                  </w:tcBorders>
                  <w:shd w:val="clear" w:color="auto" w:fill="auto"/>
                  <w:noWrap w:val="0"/>
                  <w:vAlign w:val="center"/>
                </w:tcPr>
                <w:p w14:paraId="717617B9">
                  <w:pPr>
                    <w:pStyle w:val="59"/>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废离子交换树脂</w:t>
                  </w:r>
                </w:p>
              </w:tc>
              <w:tc>
                <w:tcPr>
                  <w:tcW w:w="1675" w:type="pct"/>
                  <w:tcBorders>
                    <w:tl2br w:val="nil"/>
                    <w:tr2bl w:val="nil"/>
                  </w:tcBorders>
                  <w:shd w:val="clear" w:color="auto" w:fill="auto"/>
                  <w:noWrap w:val="0"/>
                  <w:vAlign w:val="center"/>
                </w:tcPr>
                <w:p w14:paraId="2EFBC001">
                  <w:pPr>
                    <w:pStyle w:val="59"/>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w:t>
                  </w:r>
                </w:p>
              </w:tc>
            </w:tr>
            <w:tr w14:paraId="6A635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8" w:type="pct"/>
                  <w:vMerge w:val="continue"/>
                  <w:tcBorders>
                    <w:tl2br w:val="nil"/>
                    <w:tr2bl w:val="nil"/>
                  </w:tcBorders>
                  <w:noWrap w:val="0"/>
                  <w:vAlign w:val="center"/>
                </w:tcPr>
                <w:p w14:paraId="401725D3">
                  <w:pPr>
                    <w:pStyle w:val="56"/>
                    <w:bidi w:val="0"/>
                    <w:rPr>
                      <w:color w:val="000000" w:themeColor="text1"/>
                      <w:highlight w:val="none"/>
                      <w14:textFill>
                        <w14:solidFill>
                          <w14:schemeClr w14:val="tx1"/>
                        </w14:solidFill>
                      </w14:textFill>
                    </w:rPr>
                  </w:pPr>
                </w:p>
              </w:tc>
              <w:tc>
                <w:tcPr>
                  <w:tcW w:w="1220" w:type="pct"/>
                  <w:tcBorders>
                    <w:tl2br w:val="nil"/>
                    <w:tr2bl w:val="nil"/>
                  </w:tcBorders>
                  <w:noWrap w:val="0"/>
                  <w:vAlign w:val="center"/>
                </w:tcPr>
                <w:p w14:paraId="39446B9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办公</w:t>
                  </w:r>
                  <w:r>
                    <w:rPr>
                      <w:color w:val="000000" w:themeColor="text1"/>
                      <w:highlight w:val="none"/>
                      <w14:textFill>
                        <w14:solidFill>
                          <w14:schemeClr w14:val="tx1"/>
                        </w14:solidFill>
                      </w14:textFill>
                    </w:rPr>
                    <w:t>生活</w:t>
                  </w:r>
                </w:p>
              </w:tc>
              <w:tc>
                <w:tcPr>
                  <w:tcW w:w="1615" w:type="pct"/>
                  <w:tcBorders>
                    <w:tl2br w:val="nil"/>
                    <w:tr2bl w:val="nil"/>
                  </w:tcBorders>
                  <w:noWrap w:val="0"/>
                  <w:vAlign w:val="center"/>
                </w:tcPr>
                <w:p w14:paraId="62DC1792">
                  <w:pPr>
                    <w:pStyle w:val="56"/>
                    <w:bidi w:val="0"/>
                    <w:rPr>
                      <w:rFonts w:hint="default"/>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生活垃圾</w:t>
                  </w:r>
                </w:p>
              </w:tc>
              <w:tc>
                <w:tcPr>
                  <w:tcW w:w="1675" w:type="pct"/>
                  <w:tcBorders>
                    <w:tl2br w:val="nil"/>
                    <w:tr2bl w:val="nil"/>
                  </w:tcBorders>
                  <w:noWrap w:val="0"/>
                  <w:vAlign w:val="center"/>
                </w:tcPr>
                <w:p w14:paraId="3E41867F">
                  <w:pPr>
                    <w:pStyle w:val="56"/>
                    <w:bidi w:val="0"/>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w:t>
                  </w:r>
                </w:p>
              </w:tc>
            </w:tr>
          </w:tbl>
          <w:p w14:paraId="24404887">
            <w:pPr>
              <w:pStyle w:val="50"/>
              <w:ind w:firstLine="0" w:firstLineChars="0"/>
              <w:rPr>
                <w:color w:val="000000" w:themeColor="text1"/>
                <w:highlight w:val="none"/>
                <w14:textFill>
                  <w14:solidFill>
                    <w14:schemeClr w14:val="tx1"/>
                  </w14:solidFill>
                </w14:textFill>
              </w:rPr>
            </w:pPr>
          </w:p>
        </w:tc>
      </w:tr>
      <w:tr w14:paraId="65DCA4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8" w:hRule="atLeast"/>
        </w:trPr>
        <w:tc>
          <w:tcPr>
            <w:tcW w:w="766" w:type="dxa"/>
            <w:noWrap w:val="0"/>
            <w:vAlign w:val="center"/>
          </w:tcPr>
          <w:p w14:paraId="57CB95FF">
            <w:pPr>
              <w:rPr>
                <w:color w:val="000000" w:themeColor="text1"/>
                <w14:textFill>
                  <w14:solidFill>
                    <w14:schemeClr w14:val="tx1"/>
                  </w14:solidFill>
                </w14:textFill>
              </w:rPr>
            </w:pPr>
            <w:r>
              <w:rPr>
                <w:rFonts w:hint="eastAsia"/>
                <w:color w:val="000000" w:themeColor="text1"/>
                <w14:textFill>
                  <w14:solidFill>
                    <w14:schemeClr w14:val="tx1"/>
                  </w14:solidFill>
                </w14:textFill>
              </w:rPr>
              <w:t>与项目有关的原有环境污染问题</w:t>
            </w:r>
          </w:p>
        </w:tc>
        <w:tc>
          <w:tcPr>
            <w:tcW w:w="8284" w:type="dxa"/>
            <w:noWrap w:val="0"/>
            <w:vAlign w:val="center"/>
          </w:tcPr>
          <w:p w14:paraId="56D2065A">
            <w:pPr>
              <w:pStyle w:val="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与项目有关的原有环境污染问题</w:t>
            </w:r>
          </w:p>
          <w:p w14:paraId="2CCAE46E">
            <w:pPr>
              <w:pStyle w:val="50"/>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本项目位于达州市达川区百马产业新区。</w:t>
            </w:r>
            <w:r>
              <w:rPr>
                <w:rFonts w:hint="default"/>
                <w:color w:val="000000" w:themeColor="text1"/>
                <w:lang w:val="en-US" w:eastAsia="zh-CN"/>
                <w14:textFill>
                  <w14:solidFill>
                    <w14:schemeClr w14:val="tx1"/>
                  </w14:solidFill>
                </w14:textFill>
              </w:rPr>
              <w:t>根据现场调查和了解，本项目所租赁的厂房目前处于空置状态，</w:t>
            </w:r>
            <w:r>
              <w:rPr>
                <w:rFonts w:hint="default"/>
                <w:color w:val="000000" w:themeColor="text1"/>
                <w14:textFill>
                  <w14:solidFill>
                    <w14:schemeClr w14:val="tx1"/>
                  </w14:solidFill>
                </w14:textFill>
              </w:rPr>
              <w:t>不存在原有污染源和环境问题。此外，项目所在地给排水管网、供电、供气、道路等配套建设齐全</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厂区无历史遗留问题，企业可直接入驻。</w:t>
            </w:r>
          </w:p>
          <w:p w14:paraId="5E30954C">
            <w:pPr>
              <w:pStyle w:val="50"/>
              <w:bidi w:val="0"/>
              <w:rPr>
                <w:rFonts w:hint="default"/>
                <w:color w:val="000000" w:themeColor="text1"/>
                <w14:textFill>
                  <w14:solidFill>
                    <w14:schemeClr w14:val="tx1"/>
                  </w14:solidFill>
                </w14:textFill>
              </w:rPr>
            </w:pPr>
          </w:p>
          <w:p w14:paraId="6F778209">
            <w:pPr>
              <w:pStyle w:val="50"/>
              <w:bidi w:val="0"/>
              <w:rPr>
                <w:rFonts w:hint="default"/>
                <w:color w:val="000000" w:themeColor="text1"/>
                <w14:textFill>
                  <w14:solidFill>
                    <w14:schemeClr w14:val="tx1"/>
                  </w14:solidFill>
                </w14:textFill>
              </w:rPr>
            </w:pPr>
          </w:p>
          <w:p w14:paraId="36B8FCC0">
            <w:pPr>
              <w:pStyle w:val="50"/>
              <w:bidi w:val="0"/>
              <w:rPr>
                <w:rFonts w:hint="default"/>
                <w:color w:val="000000" w:themeColor="text1"/>
                <w14:textFill>
                  <w14:solidFill>
                    <w14:schemeClr w14:val="tx1"/>
                  </w14:solidFill>
                </w14:textFill>
              </w:rPr>
            </w:pPr>
          </w:p>
          <w:p w14:paraId="56F66A73">
            <w:pPr>
              <w:pStyle w:val="50"/>
              <w:bidi w:val="0"/>
              <w:rPr>
                <w:rFonts w:hint="default"/>
                <w:color w:val="000000" w:themeColor="text1"/>
                <w14:textFill>
                  <w14:solidFill>
                    <w14:schemeClr w14:val="tx1"/>
                  </w14:solidFill>
                </w14:textFill>
              </w:rPr>
            </w:pPr>
          </w:p>
          <w:p w14:paraId="4944C8BB">
            <w:pPr>
              <w:pStyle w:val="50"/>
              <w:bidi w:val="0"/>
              <w:rPr>
                <w:rFonts w:hint="default"/>
                <w:color w:val="000000" w:themeColor="text1"/>
                <w14:textFill>
                  <w14:solidFill>
                    <w14:schemeClr w14:val="tx1"/>
                  </w14:solidFill>
                </w14:textFill>
              </w:rPr>
            </w:pPr>
          </w:p>
          <w:p w14:paraId="2FE7C954">
            <w:pPr>
              <w:pStyle w:val="50"/>
              <w:bidi w:val="0"/>
              <w:rPr>
                <w:rFonts w:hint="eastAsia"/>
                <w:color w:val="000000" w:themeColor="text1"/>
                <w:lang w:val="en-US" w:eastAsia="zh-CN"/>
                <w14:textFill>
                  <w14:solidFill>
                    <w14:schemeClr w14:val="tx1"/>
                  </w14:solidFill>
                </w14:textFill>
              </w:rPr>
            </w:pPr>
          </w:p>
          <w:p w14:paraId="4871FE6D">
            <w:pPr>
              <w:pStyle w:val="50"/>
              <w:bidi w:val="0"/>
              <w:rPr>
                <w:rFonts w:hint="eastAsia"/>
                <w:color w:val="000000" w:themeColor="text1"/>
                <w:lang w:val="en-US" w:eastAsia="zh-CN"/>
                <w14:textFill>
                  <w14:solidFill>
                    <w14:schemeClr w14:val="tx1"/>
                  </w14:solidFill>
                </w14:textFill>
              </w:rPr>
            </w:pPr>
          </w:p>
          <w:p w14:paraId="13FA8796">
            <w:pPr>
              <w:pStyle w:val="50"/>
              <w:bidi w:val="0"/>
              <w:rPr>
                <w:rFonts w:hint="eastAsia"/>
                <w:color w:val="000000" w:themeColor="text1"/>
                <w:lang w:val="en-US" w:eastAsia="zh-CN"/>
                <w14:textFill>
                  <w14:solidFill>
                    <w14:schemeClr w14:val="tx1"/>
                  </w14:solidFill>
                </w14:textFill>
              </w:rPr>
            </w:pPr>
          </w:p>
        </w:tc>
      </w:tr>
    </w:tbl>
    <w:p w14:paraId="23B2D991">
      <w:pPr>
        <w:ind w:firstLine="480"/>
        <w:rPr>
          <w:color w:val="000000" w:themeColor="text1"/>
          <w14:textFill>
            <w14:solidFill>
              <w14:schemeClr w14:val="tx1"/>
            </w14:solidFill>
          </w14:textFill>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4CFCA68">
      <w:pPr>
        <w:pStyle w:val="2"/>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区域环境质量现状、环境保护目标与评价标准</w:t>
      </w: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1"/>
        <w:gridCol w:w="8475"/>
      </w:tblGrid>
      <w:tr w14:paraId="3A7998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811" w:type="dxa"/>
            <w:noWrap w:val="0"/>
            <w:vAlign w:val="center"/>
          </w:tcPr>
          <w:p w14:paraId="52A0BE94">
            <w:pPr>
              <w:rPr>
                <w:color w:val="000000" w:themeColor="text1"/>
                <w14:textFill>
                  <w14:solidFill>
                    <w14:schemeClr w14:val="tx1"/>
                  </w14:solidFill>
                </w14:textFill>
              </w:rPr>
            </w:pPr>
            <w:r>
              <w:rPr>
                <w:rFonts w:hint="eastAsia"/>
                <w:color w:val="000000" w:themeColor="text1"/>
                <w14:textFill>
                  <w14:solidFill>
                    <w14:schemeClr w14:val="tx1"/>
                  </w14:solidFill>
                </w14:textFill>
              </w:rPr>
              <w:t>区域环境质量现状</w:t>
            </w:r>
          </w:p>
        </w:tc>
        <w:tc>
          <w:tcPr>
            <w:tcW w:w="8475" w:type="dxa"/>
            <w:noWrap w:val="0"/>
            <w:vAlign w:val="center"/>
          </w:tcPr>
          <w:p w14:paraId="0FB94CE4">
            <w:pPr>
              <w:pStyle w:val="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区域环境质量现状</w:t>
            </w:r>
          </w:p>
          <w:p w14:paraId="0E153082">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p w14:paraId="00313F8A">
            <w:pPr>
              <w:pStyle w:val="50"/>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lang w:eastAsia="zh-CN"/>
                <w14:textFill>
                  <w14:solidFill>
                    <w14:schemeClr w14:val="tx1"/>
                  </w14:solidFill>
                </w14:textFill>
              </w:rPr>
              <w:t>）</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区域达标情况</w:t>
            </w:r>
          </w:p>
          <w:p w14:paraId="0685E341">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478"/>
              <w:jc w:val="left"/>
              <w:textAlignment w:val="auto"/>
              <w:rPr>
                <w:rFonts w:hint="eastAsia" w:asciiTheme="minorEastAsia" w:hAnsiTheme="minorEastAsia" w:eastAsiaTheme="minorEastAsia" w:cstheme="minorEastAsia"/>
                <w:spacing w:val="2"/>
              </w:rPr>
            </w:pPr>
            <w:r>
              <w:rPr>
                <w:rFonts w:hint="eastAsia" w:asciiTheme="minorEastAsia" w:hAnsiTheme="minorEastAsia" w:eastAsiaTheme="minorEastAsia" w:cstheme="minorEastAsia"/>
                <w:spacing w:val="2"/>
              </w:rPr>
              <w:t>根据《建设项目环境影响报告表编制技术指南》（污染影响类）（试行）：“大气环境。常规污染物引用与建设项目距离近的有效数据，包括近3年的规划环境影响评价的监测数据，国家、地方环境空气质量监测网数据或生态环境主管部门公开发布的质量数据等。”</w:t>
            </w:r>
          </w:p>
          <w:p w14:paraId="1465F314">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478"/>
              <w:jc w:val="left"/>
              <w:textAlignment w:val="auto"/>
              <w:rPr>
                <w:rFonts w:hint="eastAsia" w:asciiTheme="minorEastAsia" w:hAnsiTheme="minorEastAsia" w:eastAsiaTheme="minorEastAsia" w:cstheme="minorEastAsia"/>
                <w:spacing w:val="-2"/>
              </w:rPr>
            </w:pPr>
            <w:r>
              <w:rPr>
                <w:rFonts w:hint="eastAsia" w:asciiTheme="minorEastAsia" w:hAnsiTheme="minorEastAsia" w:eastAsiaTheme="minorEastAsia" w:cstheme="minorEastAsia"/>
                <w:spacing w:val="2"/>
              </w:rPr>
              <w:t>本项目位于四川省达州市达川区，本项目基本污染物环境</w:t>
            </w:r>
            <w:r>
              <w:rPr>
                <w:rFonts w:hint="eastAsia" w:asciiTheme="minorEastAsia" w:hAnsiTheme="minorEastAsia" w:eastAsiaTheme="minorEastAsia" w:cstheme="minorEastAsia"/>
                <w:spacing w:val="1"/>
              </w:rPr>
              <w:t>质量现状数据引用来源</w:t>
            </w:r>
            <w:r>
              <w:rPr>
                <w:rFonts w:hint="eastAsia" w:asciiTheme="minorEastAsia" w:hAnsiTheme="minorEastAsia" w:eastAsiaTheme="minorEastAsia" w:cstheme="minorEastAsia"/>
                <w:spacing w:val="-1"/>
              </w:rPr>
              <w:t>为达州市生态环境局</w:t>
            </w:r>
            <w:r>
              <w:rPr>
                <w:rFonts w:hint="eastAsia" w:asciiTheme="minorEastAsia" w:hAnsiTheme="minorEastAsia" w:eastAsiaTheme="minorEastAsia" w:cstheme="minorEastAsia"/>
                <w:spacing w:val="-2"/>
              </w:rPr>
              <w:t>发布的《达州市202</w:t>
            </w:r>
            <w:r>
              <w:rPr>
                <w:rFonts w:hint="eastAsia" w:asciiTheme="minorEastAsia" w:hAnsiTheme="minorEastAsia" w:eastAsiaTheme="minorEastAsia" w:cstheme="minorEastAsia"/>
                <w:spacing w:val="-2"/>
                <w:lang w:val="en-US" w:eastAsia="zh-CN"/>
              </w:rPr>
              <w:t>4</w:t>
            </w:r>
            <w:r>
              <w:rPr>
                <w:rFonts w:hint="eastAsia" w:asciiTheme="minorEastAsia" w:hAnsiTheme="minorEastAsia" w:eastAsiaTheme="minorEastAsia" w:cstheme="minorEastAsia"/>
                <w:spacing w:val="-2"/>
              </w:rPr>
              <w:t>年环境空气质量状况》。</w:t>
            </w:r>
          </w:p>
          <w:p w14:paraId="691ECCD5">
            <w:pPr>
              <w:pStyle w:val="60"/>
              <w:spacing w:before="43" w:line="210" w:lineRule="auto"/>
              <w:ind w:left="585"/>
              <w:rPr>
                <w:rFonts w:ascii="Times New Roman" w:hAnsi="Times New Roman" w:eastAsia="Times New Roman" w:cs="Times New Roman"/>
                <w:b/>
                <w:bCs/>
                <w:spacing w:val="-2"/>
                <w:position w:val="8"/>
                <w:sz w:val="15"/>
                <w:szCs w:val="15"/>
              </w:rPr>
            </w:pPr>
            <w:r>
              <w:rPr>
                <w:b/>
                <w:bCs/>
                <w:spacing w:val="-1"/>
              </w:rPr>
              <w:t>表</w:t>
            </w:r>
            <w:r>
              <w:rPr>
                <w:rFonts w:ascii="Times New Roman" w:hAnsi="Times New Roman" w:eastAsia="Times New Roman" w:cs="Times New Roman"/>
                <w:b/>
                <w:bCs/>
                <w:spacing w:val="-1"/>
              </w:rPr>
              <w:t>3-1</w:t>
            </w:r>
            <w:r>
              <w:rPr>
                <w:rFonts w:hint="eastAsia" w:ascii="Times New Roman" w:hAnsi="Times New Roman" w:eastAsia="宋体" w:cs="Times New Roman"/>
                <w:b/>
                <w:bCs/>
                <w:spacing w:val="-1"/>
                <w:lang w:val="en-US" w:eastAsia="zh-CN"/>
              </w:rPr>
              <w:t xml:space="preserve"> </w:t>
            </w:r>
            <w:r>
              <w:rPr>
                <w:rFonts w:ascii="Times New Roman" w:hAnsi="Times New Roman" w:eastAsia="Times New Roman" w:cs="Times New Roman"/>
                <w:b/>
                <w:bCs/>
                <w:spacing w:val="-1"/>
              </w:rPr>
              <w:t>202</w:t>
            </w:r>
            <w:r>
              <w:rPr>
                <w:rFonts w:hint="eastAsia" w:ascii="Times New Roman" w:hAnsi="Times New Roman" w:cs="Times New Roman"/>
                <w:b/>
                <w:bCs/>
                <w:spacing w:val="-1"/>
                <w:lang w:val="en-US" w:eastAsia="zh-CN"/>
              </w:rPr>
              <w:t>4</w:t>
            </w:r>
            <w:r>
              <w:rPr>
                <w:b/>
                <w:bCs/>
                <w:spacing w:val="-1"/>
              </w:rPr>
              <w:t>年达州市达川区基本污染物空气质量现状评价表单位</w:t>
            </w:r>
            <w:r>
              <w:rPr>
                <w:b/>
                <w:bCs/>
                <w:spacing w:val="-2"/>
              </w:rPr>
              <w:t>：</w:t>
            </w:r>
            <w:r>
              <w:rPr>
                <w:rFonts w:ascii="Times New Roman" w:hAnsi="Times New Roman" w:eastAsia="Times New Roman" w:cs="Times New Roman"/>
                <w:b/>
                <w:bCs/>
                <w:spacing w:val="-2"/>
              </w:rPr>
              <w:t>μg/m</w:t>
            </w:r>
            <w:r>
              <w:rPr>
                <w:rFonts w:ascii="Times New Roman" w:hAnsi="Times New Roman" w:eastAsia="Times New Roman" w:cs="Times New Roman"/>
                <w:b/>
                <w:bCs/>
                <w:spacing w:val="-2"/>
                <w:position w:val="8"/>
                <w:sz w:val="15"/>
                <w:szCs w:val="15"/>
              </w:rPr>
              <w:t>3</w:t>
            </w:r>
          </w:p>
          <w:tbl>
            <w:tblPr>
              <w:tblStyle w:val="2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043"/>
              <w:gridCol w:w="1204"/>
              <w:gridCol w:w="1304"/>
              <w:gridCol w:w="1077"/>
              <w:gridCol w:w="690"/>
            </w:tblGrid>
            <w:tr w14:paraId="3A4A4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51" w:type="pct"/>
                  <w:tcBorders>
                    <w:top w:val="single" w:color="auto" w:sz="4" w:space="0"/>
                    <w:left w:val="single" w:color="auto" w:sz="4" w:space="0"/>
                  </w:tcBorders>
                  <w:noWrap w:val="0"/>
                  <w:vAlign w:val="center"/>
                </w:tcPr>
                <w:p w14:paraId="14DAD3EF">
                  <w:pPr>
                    <w:pStyle w:val="73"/>
                    <w:rPr>
                      <w:rFonts w:ascii="Times New Roman" w:hAnsi="Times New Roman"/>
                      <w:bCs w:val="0"/>
                      <w:kern w:val="28"/>
                      <w:lang w:val="zh-CN"/>
                    </w:rPr>
                  </w:pPr>
                  <w:r>
                    <w:rPr>
                      <w:rFonts w:ascii="Times New Roman" w:hAnsi="Times New Roman"/>
                      <w:bCs w:val="0"/>
                      <w:kern w:val="28"/>
                      <w:lang w:val="zh-CN"/>
                    </w:rPr>
                    <w:t>污染物</w:t>
                  </w:r>
                </w:p>
              </w:tc>
              <w:tc>
                <w:tcPr>
                  <w:tcW w:w="1850" w:type="pct"/>
                  <w:tcBorders>
                    <w:top w:val="single" w:color="auto" w:sz="4" w:space="0"/>
                  </w:tcBorders>
                  <w:noWrap w:val="0"/>
                  <w:vAlign w:val="center"/>
                </w:tcPr>
                <w:p w14:paraId="173BA40E">
                  <w:pPr>
                    <w:pStyle w:val="73"/>
                    <w:rPr>
                      <w:rFonts w:ascii="Times New Roman" w:hAnsi="Times New Roman"/>
                      <w:bCs w:val="0"/>
                      <w:kern w:val="28"/>
                    </w:rPr>
                  </w:pPr>
                  <w:r>
                    <w:rPr>
                      <w:rFonts w:ascii="Times New Roman" w:hAnsi="Times New Roman"/>
                      <w:bCs w:val="0"/>
                      <w:kern w:val="28"/>
                      <w:lang w:val="zh-CN"/>
                    </w:rPr>
                    <w:t>年评价指标</w:t>
                  </w:r>
                </w:p>
              </w:tc>
              <w:tc>
                <w:tcPr>
                  <w:tcW w:w="732" w:type="pct"/>
                  <w:tcBorders>
                    <w:top w:val="single" w:color="auto" w:sz="4" w:space="0"/>
                  </w:tcBorders>
                  <w:noWrap w:val="0"/>
                  <w:vAlign w:val="center"/>
                </w:tcPr>
                <w:p w14:paraId="7B3015C5">
                  <w:pPr>
                    <w:pStyle w:val="73"/>
                    <w:rPr>
                      <w:rFonts w:ascii="Times New Roman" w:hAnsi="Times New Roman"/>
                      <w:bCs w:val="0"/>
                      <w:kern w:val="28"/>
                      <w:lang w:val="zh-CN"/>
                    </w:rPr>
                  </w:pPr>
                  <w:r>
                    <w:rPr>
                      <w:rFonts w:ascii="Times New Roman" w:hAnsi="Times New Roman"/>
                      <w:bCs w:val="0"/>
                      <w:kern w:val="28"/>
                      <w:lang w:val="zh-CN"/>
                    </w:rPr>
                    <w:t>现状浓度（</w:t>
                  </w:r>
                  <w:r>
                    <w:rPr>
                      <w:rFonts w:ascii="Times New Roman" w:hAnsi="Times New Roman"/>
                      <w:bCs w:val="0"/>
                    </w:rPr>
                    <w:t>µg/m</w:t>
                  </w:r>
                  <w:r>
                    <w:rPr>
                      <w:rFonts w:ascii="Times New Roman" w:hAnsi="Times New Roman"/>
                      <w:bCs w:val="0"/>
                      <w:vertAlign w:val="superscript"/>
                    </w:rPr>
                    <w:t>3</w:t>
                  </w:r>
                  <w:r>
                    <w:rPr>
                      <w:rFonts w:ascii="Times New Roman" w:hAnsi="Times New Roman"/>
                      <w:bCs w:val="0"/>
                      <w:kern w:val="28"/>
                      <w:lang w:val="zh-CN"/>
                    </w:rPr>
                    <w:t>）</w:t>
                  </w:r>
                </w:p>
              </w:tc>
              <w:tc>
                <w:tcPr>
                  <w:tcW w:w="793" w:type="pct"/>
                  <w:tcBorders>
                    <w:top w:val="single" w:color="auto" w:sz="4" w:space="0"/>
                  </w:tcBorders>
                  <w:noWrap w:val="0"/>
                  <w:vAlign w:val="center"/>
                </w:tcPr>
                <w:p w14:paraId="1A01C7E6">
                  <w:pPr>
                    <w:pStyle w:val="73"/>
                    <w:rPr>
                      <w:rFonts w:ascii="Times New Roman" w:hAnsi="Times New Roman"/>
                      <w:bCs w:val="0"/>
                      <w:kern w:val="28"/>
                      <w:lang w:val="zh-CN"/>
                    </w:rPr>
                  </w:pPr>
                  <w:r>
                    <w:rPr>
                      <w:rFonts w:ascii="Times New Roman" w:hAnsi="Times New Roman"/>
                      <w:bCs w:val="0"/>
                      <w:kern w:val="28"/>
                      <w:lang w:val="zh-CN"/>
                    </w:rPr>
                    <w:t>标准值（</w:t>
                  </w:r>
                  <w:r>
                    <w:rPr>
                      <w:rFonts w:ascii="Times New Roman" w:hAnsi="Times New Roman"/>
                      <w:bCs w:val="0"/>
                    </w:rPr>
                    <w:t>µg/m</w:t>
                  </w:r>
                  <w:r>
                    <w:rPr>
                      <w:rFonts w:ascii="Times New Roman" w:hAnsi="Times New Roman"/>
                      <w:bCs w:val="0"/>
                      <w:vertAlign w:val="superscript"/>
                    </w:rPr>
                    <w:t>3</w:t>
                  </w:r>
                  <w:r>
                    <w:rPr>
                      <w:rFonts w:ascii="Times New Roman" w:hAnsi="Times New Roman"/>
                      <w:bCs w:val="0"/>
                      <w:kern w:val="28"/>
                      <w:lang w:val="zh-CN"/>
                    </w:rPr>
                    <w:t>）</w:t>
                  </w:r>
                </w:p>
              </w:tc>
              <w:tc>
                <w:tcPr>
                  <w:tcW w:w="655" w:type="pct"/>
                  <w:tcBorders>
                    <w:top w:val="single" w:color="auto" w:sz="4" w:space="0"/>
                  </w:tcBorders>
                  <w:noWrap w:val="0"/>
                  <w:vAlign w:val="center"/>
                </w:tcPr>
                <w:p w14:paraId="316DF465">
                  <w:pPr>
                    <w:pStyle w:val="73"/>
                    <w:rPr>
                      <w:rFonts w:ascii="Times New Roman" w:hAnsi="Times New Roman"/>
                      <w:bCs w:val="0"/>
                      <w:kern w:val="28"/>
                    </w:rPr>
                  </w:pPr>
                  <w:r>
                    <w:rPr>
                      <w:rFonts w:ascii="Times New Roman" w:hAnsi="Times New Roman"/>
                      <w:bCs w:val="0"/>
                      <w:kern w:val="28"/>
                      <w:lang w:val="zh-CN"/>
                    </w:rPr>
                    <w:t>占标率</w:t>
                  </w:r>
                  <w:r>
                    <w:rPr>
                      <w:rFonts w:ascii="Times New Roman" w:hAnsi="Times New Roman"/>
                      <w:bCs w:val="0"/>
                      <w:kern w:val="28"/>
                    </w:rPr>
                    <w:t>%</w:t>
                  </w:r>
                </w:p>
              </w:tc>
              <w:tc>
                <w:tcPr>
                  <w:tcW w:w="419" w:type="pct"/>
                  <w:tcBorders>
                    <w:top w:val="single" w:color="auto" w:sz="4" w:space="0"/>
                    <w:right w:val="single" w:color="auto" w:sz="4" w:space="0"/>
                  </w:tcBorders>
                  <w:noWrap w:val="0"/>
                  <w:vAlign w:val="center"/>
                </w:tcPr>
                <w:p w14:paraId="6A223107">
                  <w:pPr>
                    <w:pStyle w:val="73"/>
                    <w:rPr>
                      <w:rFonts w:ascii="Times New Roman" w:hAnsi="Times New Roman"/>
                      <w:bCs w:val="0"/>
                      <w:kern w:val="28"/>
                      <w:lang w:val="zh-CN"/>
                    </w:rPr>
                  </w:pPr>
                  <w:r>
                    <w:rPr>
                      <w:rFonts w:ascii="Times New Roman" w:hAnsi="Times New Roman"/>
                      <w:bCs w:val="0"/>
                      <w:kern w:val="28"/>
                      <w:lang w:val="zh-CN"/>
                    </w:rPr>
                    <w:t>达标情况</w:t>
                  </w:r>
                </w:p>
              </w:tc>
            </w:tr>
            <w:tr w14:paraId="512ED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51" w:type="pct"/>
                  <w:tcBorders>
                    <w:left w:val="single" w:color="auto" w:sz="4" w:space="0"/>
                  </w:tcBorders>
                  <w:noWrap w:val="0"/>
                  <w:vAlign w:val="center"/>
                </w:tcPr>
                <w:p w14:paraId="249878E8">
                  <w:pPr>
                    <w:pStyle w:val="73"/>
                    <w:rPr>
                      <w:rFonts w:ascii="Times New Roman" w:hAnsi="Times New Roman"/>
                      <w:bCs w:val="0"/>
                      <w:kern w:val="28"/>
                    </w:rPr>
                  </w:pPr>
                  <w:r>
                    <w:rPr>
                      <w:rFonts w:ascii="Times New Roman" w:hAnsi="Times New Roman"/>
                      <w:bCs w:val="0"/>
                      <w:kern w:val="28"/>
                    </w:rPr>
                    <w:t>PM</w:t>
                  </w:r>
                  <w:r>
                    <w:rPr>
                      <w:rFonts w:ascii="Times New Roman" w:hAnsi="Times New Roman"/>
                      <w:bCs w:val="0"/>
                      <w:kern w:val="28"/>
                      <w:vertAlign w:val="subscript"/>
                    </w:rPr>
                    <w:t>10</w:t>
                  </w:r>
                </w:p>
              </w:tc>
              <w:tc>
                <w:tcPr>
                  <w:tcW w:w="1850" w:type="pct"/>
                  <w:vMerge w:val="restart"/>
                  <w:noWrap w:val="0"/>
                  <w:vAlign w:val="center"/>
                </w:tcPr>
                <w:p w14:paraId="1914A07F">
                  <w:pPr>
                    <w:pStyle w:val="73"/>
                    <w:rPr>
                      <w:rFonts w:ascii="Times New Roman" w:hAnsi="Times New Roman"/>
                      <w:bCs w:val="0"/>
                      <w:kern w:val="28"/>
                    </w:rPr>
                  </w:pPr>
                  <w:r>
                    <w:rPr>
                      <w:rFonts w:ascii="Times New Roman" w:hAnsi="Times New Roman"/>
                      <w:bCs w:val="0"/>
                      <w:kern w:val="28"/>
                    </w:rPr>
                    <w:t>年平均质量浓度</w:t>
                  </w:r>
                </w:p>
              </w:tc>
              <w:tc>
                <w:tcPr>
                  <w:tcW w:w="732" w:type="pct"/>
                  <w:noWrap w:val="0"/>
                  <w:vAlign w:val="center"/>
                </w:tcPr>
                <w:p w14:paraId="227475B6">
                  <w:pPr>
                    <w:pStyle w:val="73"/>
                    <w:rPr>
                      <w:rFonts w:hint="default" w:ascii="Times New Roman" w:hAnsi="Times New Roman" w:eastAsia="宋体"/>
                      <w:bCs w:val="0"/>
                      <w:kern w:val="28"/>
                      <w:lang w:val="en-US" w:eastAsia="zh-CN"/>
                    </w:rPr>
                  </w:pPr>
                  <w:r>
                    <w:rPr>
                      <w:rFonts w:hint="eastAsia" w:ascii="Times New Roman" w:hAnsi="Times New Roman"/>
                      <w:bCs w:val="0"/>
                      <w:kern w:val="28"/>
                      <w:lang w:val="en-US" w:eastAsia="zh-CN"/>
                    </w:rPr>
                    <w:t>49</w:t>
                  </w:r>
                </w:p>
              </w:tc>
              <w:tc>
                <w:tcPr>
                  <w:tcW w:w="793" w:type="pct"/>
                  <w:noWrap w:val="0"/>
                  <w:vAlign w:val="center"/>
                </w:tcPr>
                <w:p w14:paraId="20D2F0D0">
                  <w:pPr>
                    <w:pStyle w:val="73"/>
                    <w:rPr>
                      <w:rFonts w:ascii="Times New Roman" w:hAnsi="Times New Roman"/>
                      <w:bCs w:val="0"/>
                      <w:kern w:val="28"/>
                    </w:rPr>
                  </w:pPr>
                  <w:r>
                    <w:rPr>
                      <w:rFonts w:ascii="Times New Roman" w:hAnsi="Times New Roman"/>
                      <w:bCs w:val="0"/>
                      <w:kern w:val="28"/>
                    </w:rPr>
                    <w:t>70</w:t>
                  </w:r>
                </w:p>
              </w:tc>
              <w:tc>
                <w:tcPr>
                  <w:tcW w:w="1077" w:type="dxa"/>
                  <w:noWrap w:val="0"/>
                  <w:vAlign w:val="center"/>
                </w:tcPr>
                <w:p w14:paraId="39B3E072">
                  <w:pPr>
                    <w:pStyle w:val="73"/>
                    <w:rPr>
                      <w:rFonts w:ascii="Times New Roman" w:hAnsi="Times New Roman" w:eastAsia="宋体" w:cs="Times New Roman"/>
                      <w:bCs w:val="0"/>
                      <w:kern w:val="28"/>
                    </w:rPr>
                  </w:pPr>
                  <w:r>
                    <w:rPr>
                      <w:rFonts w:hint="default" w:ascii="Times New Roman" w:hAnsi="Times New Roman" w:eastAsia="宋体" w:cs="Times New Roman"/>
                      <w:bCs w:val="0"/>
                      <w:i w:val="0"/>
                      <w:iCs w:val="0"/>
                      <w:kern w:val="28"/>
                      <w:sz w:val="24"/>
                      <w:szCs w:val="21"/>
                      <w:u w:val="none"/>
                      <w:lang w:val="en-US" w:eastAsia="zh-CN" w:bidi="ar"/>
                    </w:rPr>
                    <w:t xml:space="preserve">70.00 </w:t>
                  </w:r>
                </w:p>
              </w:tc>
              <w:tc>
                <w:tcPr>
                  <w:tcW w:w="419" w:type="pct"/>
                  <w:tcBorders>
                    <w:right w:val="single" w:color="auto" w:sz="4" w:space="0"/>
                  </w:tcBorders>
                  <w:noWrap w:val="0"/>
                  <w:vAlign w:val="center"/>
                </w:tcPr>
                <w:p w14:paraId="654B4BFB">
                  <w:pPr>
                    <w:pStyle w:val="73"/>
                    <w:rPr>
                      <w:rFonts w:ascii="Times New Roman" w:hAnsi="Times New Roman"/>
                      <w:bCs w:val="0"/>
                      <w:kern w:val="28"/>
                      <w:lang w:val="zh-CN"/>
                    </w:rPr>
                  </w:pPr>
                  <w:r>
                    <w:rPr>
                      <w:rFonts w:ascii="Times New Roman" w:hAnsi="Times New Roman"/>
                      <w:bCs w:val="0"/>
                      <w:kern w:val="28"/>
                      <w:lang w:val="zh-CN"/>
                    </w:rPr>
                    <w:t>达标</w:t>
                  </w:r>
                </w:p>
              </w:tc>
            </w:tr>
            <w:tr w14:paraId="6B6B7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51" w:type="pct"/>
                  <w:tcBorders>
                    <w:left w:val="single" w:color="auto" w:sz="4" w:space="0"/>
                  </w:tcBorders>
                  <w:noWrap w:val="0"/>
                  <w:vAlign w:val="center"/>
                </w:tcPr>
                <w:p w14:paraId="5FD6F7B2">
                  <w:pPr>
                    <w:pStyle w:val="73"/>
                    <w:rPr>
                      <w:rFonts w:ascii="Times New Roman" w:hAnsi="Times New Roman"/>
                      <w:bCs w:val="0"/>
                      <w:kern w:val="28"/>
                    </w:rPr>
                  </w:pPr>
                  <w:r>
                    <w:rPr>
                      <w:rFonts w:ascii="Times New Roman" w:hAnsi="Times New Roman"/>
                      <w:bCs w:val="0"/>
                      <w:kern w:val="28"/>
                    </w:rPr>
                    <w:t>SO</w:t>
                  </w:r>
                  <w:r>
                    <w:rPr>
                      <w:rFonts w:ascii="Times New Roman" w:hAnsi="Times New Roman"/>
                      <w:bCs w:val="0"/>
                      <w:kern w:val="28"/>
                      <w:vertAlign w:val="subscript"/>
                    </w:rPr>
                    <w:t>2</w:t>
                  </w:r>
                </w:p>
              </w:tc>
              <w:tc>
                <w:tcPr>
                  <w:tcW w:w="1850" w:type="pct"/>
                  <w:vMerge w:val="continue"/>
                  <w:noWrap w:val="0"/>
                  <w:vAlign w:val="center"/>
                </w:tcPr>
                <w:p w14:paraId="2902ED22">
                  <w:pPr>
                    <w:pStyle w:val="73"/>
                    <w:rPr>
                      <w:rFonts w:ascii="Times New Roman" w:hAnsi="Times New Roman"/>
                      <w:bCs w:val="0"/>
                      <w:kern w:val="28"/>
                    </w:rPr>
                  </w:pPr>
                </w:p>
              </w:tc>
              <w:tc>
                <w:tcPr>
                  <w:tcW w:w="732" w:type="pct"/>
                  <w:noWrap w:val="0"/>
                  <w:vAlign w:val="center"/>
                </w:tcPr>
                <w:p w14:paraId="741AD67A">
                  <w:pPr>
                    <w:pStyle w:val="73"/>
                    <w:rPr>
                      <w:rFonts w:hint="eastAsia" w:ascii="Times New Roman" w:hAnsi="Times New Roman" w:eastAsia="宋体"/>
                      <w:bCs w:val="0"/>
                      <w:kern w:val="28"/>
                      <w:lang w:eastAsia="zh-CN"/>
                    </w:rPr>
                  </w:pPr>
                  <w:r>
                    <w:rPr>
                      <w:rFonts w:hint="eastAsia" w:ascii="Times New Roman" w:hAnsi="Times New Roman"/>
                      <w:bCs w:val="0"/>
                      <w:kern w:val="28"/>
                      <w:lang w:val="en-US" w:eastAsia="zh-CN"/>
                    </w:rPr>
                    <w:t>7</w:t>
                  </w:r>
                </w:p>
              </w:tc>
              <w:tc>
                <w:tcPr>
                  <w:tcW w:w="793" w:type="pct"/>
                  <w:noWrap w:val="0"/>
                  <w:vAlign w:val="center"/>
                </w:tcPr>
                <w:p w14:paraId="57FDE891">
                  <w:pPr>
                    <w:pStyle w:val="73"/>
                    <w:rPr>
                      <w:rFonts w:ascii="Times New Roman" w:hAnsi="Times New Roman"/>
                      <w:bCs w:val="0"/>
                      <w:kern w:val="28"/>
                    </w:rPr>
                  </w:pPr>
                  <w:r>
                    <w:rPr>
                      <w:rFonts w:ascii="Times New Roman" w:hAnsi="Times New Roman"/>
                      <w:bCs w:val="0"/>
                      <w:kern w:val="28"/>
                    </w:rPr>
                    <w:t>60</w:t>
                  </w:r>
                </w:p>
              </w:tc>
              <w:tc>
                <w:tcPr>
                  <w:tcW w:w="1077" w:type="dxa"/>
                  <w:noWrap w:val="0"/>
                  <w:vAlign w:val="center"/>
                </w:tcPr>
                <w:p w14:paraId="531CE388">
                  <w:pPr>
                    <w:pStyle w:val="73"/>
                    <w:rPr>
                      <w:rFonts w:ascii="Times New Roman" w:hAnsi="Times New Roman" w:eastAsia="宋体" w:cs="Times New Roman"/>
                      <w:bCs w:val="0"/>
                      <w:kern w:val="28"/>
                    </w:rPr>
                  </w:pPr>
                  <w:r>
                    <w:rPr>
                      <w:rFonts w:hint="default" w:ascii="Times New Roman" w:hAnsi="Times New Roman" w:eastAsia="宋体" w:cs="Times New Roman"/>
                      <w:bCs w:val="0"/>
                      <w:i w:val="0"/>
                      <w:iCs w:val="0"/>
                      <w:kern w:val="28"/>
                      <w:sz w:val="24"/>
                      <w:szCs w:val="21"/>
                      <w:u w:val="none"/>
                      <w:lang w:val="en-US" w:eastAsia="zh-CN" w:bidi="ar"/>
                    </w:rPr>
                    <w:t xml:space="preserve">11.67 </w:t>
                  </w:r>
                </w:p>
              </w:tc>
              <w:tc>
                <w:tcPr>
                  <w:tcW w:w="419" w:type="pct"/>
                  <w:tcBorders>
                    <w:right w:val="single" w:color="auto" w:sz="4" w:space="0"/>
                  </w:tcBorders>
                  <w:noWrap w:val="0"/>
                  <w:vAlign w:val="center"/>
                </w:tcPr>
                <w:p w14:paraId="32C406B7">
                  <w:pPr>
                    <w:pStyle w:val="73"/>
                    <w:rPr>
                      <w:rFonts w:ascii="Times New Roman" w:hAnsi="Times New Roman"/>
                      <w:bCs w:val="0"/>
                      <w:kern w:val="28"/>
                      <w:lang w:val="zh-CN"/>
                    </w:rPr>
                  </w:pPr>
                  <w:r>
                    <w:rPr>
                      <w:rFonts w:ascii="Times New Roman" w:hAnsi="Times New Roman"/>
                      <w:bCs w:val="0"/>
                      <w:kern w:val="28"/>
                      <w:lang w:val="zh-CN"/>
                    </w:rPr>
                    <w:t>达标</w:t>
                  </w:r>
                </w:p>
              </w:tc>
            </w:tr>
            <w:tr w14:paraId="1BC3B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51" w:type="pct"/>
                  <w:tcBorders>
                    <w:left w:val="single" w:color="auto" w:sz="4" w:space="0"/>
                  </w:tcBorders>
                  <w:noWrap w:val="0"/>
                  <w:vAlign w:val="center"/>
                </w:tcPr>
                <w:p w14:paraId="1BDEA8A3">
                  <w:pPr>
                    <w:pStyle w:val="73"/>
                    <w:rPr>
                      <w:rFonts w:ascii="Times New Roman" w:hAnsi="Times New Roman"/>
                      <w:bCs w:val="0"/>
                      <w:kern w:val="28"/>
                    </w:rPr>
                  </w:pPr>
                  <w:r>
                    <w:rPr>
                      <w:rFonts w:ascii="Times New Roman" w:hAnsi="Times New Roman"/>
                      <w:bCs w:val="0"/>
                      <w:kern w:val="28"/>
                    </w:rPr>
                    <w:t>NO</w:t>
                  </w:r>
                  <w:r>
                    <w:rPr>
                      <w:rFonts w:ascii="Times New Roman" w:hAnsi="Times New Roman"/>
                      <w:bCs w:val="0"/>
                      <w:kern w:val="28"/>
                      <w:vertAlign w:val="subscript"/>
                    </w:rPr>
                    <w:t>2</w:t>
                  </w:r>
                </w:p>
              </w:tc>
              <w:tc>
                <w:tcPr>
                  <w:tcW w:w="1850" w:type="pct"/>
                  <w:vMerge w:val="continue"/>
                  <w:noWrap w:val="0"/>
                  <w:vAlign w:val="center"/>
                </w:tcPr>
                <w:p w14:paraId="0B377184">
                  <w:pPr>
                    <w:pStyle w:val="73"/>
                    <w:rPr>
                      <w:rFonts w:ascii="Times New Roman" w:hAnsi="Times New Roman"/>
                      <w:bCs w:val="0"/>
                      <w:kern w:val="28"/>
                    </w:rPr>
                  </w:pPr>
                </w:p>
              </w:tc>
              <w:tc>
                <w:tcPr>
                  <w:tcW w:w="732" w:type="pct"/>
                  <w:noWrap w:val="0"/>
                  <w:vAlign w:val="center"/>
                </w:tcPr>
                <w:p w14:paraId="5A9DF6E0">
                  <w:pPr>
                    <w:pStyle w:val="73"/>
                    <w:rPr>
                      <w:rFonts w:hint="default" w:ascii="Times New Roman" w:hAnsi="Times New Roman" w:eastAsia="宋体"/>
                      <w:bCs w:val="0"/>
                      <w:kern w:val="28"/>
                      <w:lang w:val="en-US" w:eastAsia="zh-CN"/>
                    </w:rPr>
                  </w:pPr>
                  <w:r>
                    <w:rPr>
                      <w:rFonts w:hint="eastAsia" w:ascii="Times New Roman" w:hAnsi="Times New Roman"/>
                      <w:bCs w:val="0"/>
                      <w:kern w:val="28"/>
                      <w:lang w:val="en-US" w:eastAsia="zh-CN"/>
                    </w:rPr>
                    <w:t>36</w:t>
                  </w:r>
                </w:p>
              </w:tc>
              <w:tc>
                <w:tcPr>
                  <w:tcW w:w="793" w:type="pct"/>
                  <w:noWrap w:val="0"/>
                  <w:vAlign w:val="center"/>
                </w:tcPr>
                <w:p w14:paraId="05E42973">
                  <w:pPr>
                    <w:pStyle w:val="73"/>
                    <w:rPr>
                      <w:rFonts w:ascii="Times New Roman" w:hAnsi="Times New Roman"/>
                      <w:bCs w:val="0"/>
                      <w:kern w:val="28"/>
                    </w:rPr>
                  </w:pPr>
                  <w:r>
                    <w:rPr>
                      <w:rFonts w:ascii="Times New Roman" w:hAnsi="Times New Roman"/>
                      <w:bCs w:val="0"/>
                      <w:kern w:val="28"/>
                    </w:rPr>
                    <w:t>40</w:t>
                  </w:r>
                </w:p>
              </w:tc>
              <w:tc>
                <w:tcPr>
                  <w:tcW w:w="1077" w:type="dxa"/>
                  <w:noWrap w:val="0"/>
                  <w:vAlign w:val="center"/>
                </w:tcPr>
                <w:p w14:paraId="6DE119DE">
                  <w:pPr>
                    <w:pStyle w:val="73"/>
                    <w:rPr>
                      <w:rFonts w:ascii="Times New Roman" w:hAnsi="Times New Roman" w:eastAsia="宋体" w:cs="Times New Roman"/>
                      <w:bCs w:val="0"/>
                      <w:kern w:val="28"/>
                    </w:rPr>
                  </w:pPr>
                  <w:r>
                    <w:rPr>
                      <w:rFonts w:hint="default" w:ascii="Times New Roman" w:hAnsi="Times New Roman" w:eastAsia="宋体" w:cs="Times New Roman"/>
                      <w:bCs w:val="0"/>
                      <w:i w:val="0"/>
                      <w:iCs w:val="0"/>
                      <w:kern w:val="28"/>
                      <w:sz w:val="24"/>
                      <w:szCs w:val="21"/>
                      <w:u w:val="none"/>
                      <w:lang w:val="en-US" w:eastAsia="zh-CN" w:bidi="ar"/>
                    </w:rPr>
                    <w:t xml:space="preserve">90.00 </w:t>
                  </w:r>
                </w:p>
              </w:tc>
              <w:tc>
                <w:tcPr>
                  <w:tcW w:w="419" w:type="pct"/>
                  <w:tcBorders>
                    <w:right w:val="single" w:color="auto" w:sz="4" w:space="0"/>
                  </w:tcBorders>
                  <w:noWrap w:val="0"/>
                  <w:vAlign w:val="center"/>
                </w:tcPr>
                <w:p w14:paraId="78AF1F59">
                  <w:pPr>
                    <w:pStyle w:val="73"/>
                    <w:rPr>
                      <w:rFonts w:ascii="Times New Roman" w:hAnsi="Times New Roman"/>
                      <w:bCs w:val="0"/>
                      <w:kern w:val="28"/>
                      <w:lang w:val="zh-CN"/>
                    </w:rPr>
                  </w:pPr>
                  <w:r>
                    <w:rPr>
                      <w:rFonts w:ascii="Times New Roman" w:hAnsi="Times New Roman"/>
                      <w:bCs w:val="0"/>
                      <w:kern w:val="28"/>
                      <w:lang w:val="zh-CN"/>
                    </w:rPr>
                    <w:t>达标</w:t>
                  </w:r>
                </w:p>
              </w:tc>
            </w:tr>
            <w:tr w14:paraId="5578B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51" w:type="pct"/>
                  <w:tcBorders>
                    <w:left w:val="single" w:color="auto" w:sz="4" w:space="0"/>
                  </w:tcBorders>
                  <w:noWrap w:val="0"/>
                  <w:vAlign w:val="center"/>
                </w:tcPr>
                <w:p w14:paraId="04C47E00">
                  <w:pPr>
                    <w:pStyle w:val="73"/>
                    <w:rPr>
                      <w:rFonts w:ascii="Times New Roman" w:hAnsi="Times New Roman"/>
                      <w:bCs w:val="0"/>
                      <w:kern w:val="28"/>
                    </w:rPr>
                  </w:pPr>
                  <w:r>
                    <w:rPr>
                      <w:rFonts w:ascii="Times New Roman" w:hAnsi="Times New Roman"/>
                      <w:bCs w:val="0"/>
                      <w:kern w:val="28"/>
                    </w:rPr>
                    <w:t>PM</w:t>
                  </w:r>
                  <w:r>
                    <w:rPr>
                      <w:rFonts w:ascii="Times New Roman" w:hAnsi="Times New Roman"/>
                      <w:bCs w:val="0"/>
                      <w:kern w:val="28"/>
                      <w:vertAlign w:val="subscript"/>
                    </w:rPr>
                    <w:t>2.5</w:t>
                  </w:r>
                </w:p>
              </w:tc>
              <w:tc>
                <w:tcPr>
                  <w:tcW w:w="1850" w:type="pct"/>
                  <w:vMerge w:val="continue"/>
                  <w:noWrap w:val="0"/>
                  <w:vAlign w:val="center"/>
                </w:tcPr>
                <w:p w14:paraId="3CC2BDD0">
                  <w:pPr>
                    <w:pStyle w:val="73"/>
                    <w:rPr>
                      <w:rFonts w:ascii="Times New Roman" w:hAnsi="Times New Roman"/>
                      <w:bCs w:val="0"/>
                      <w:kern w:val="28"/>
                    </w:rPr>
                  </w:pPr>
                </w:p>
              </w:tc>
              <w:tc>
                <w:tcPr>
                  <w:tcW w:w="732" w:type="pct"/>
                  <w:noWrap w:val="0"/>
                  <w:vAlign w:val="center"/>
                </w:tcPr>
                <w:p w14:paraId="7286D46E">
                  <w:pPr>
                    <w:pStyle w:val="73"/>
                    <w:rPr>
                      <w:rFonts w:hint="default" w:ascii="Times New Roman" w:hAnsi="Times New Roman" w:eastAsia="宋体"/>
                      <w:bCs w:val="0"/>
                      <w:kern w:val="28"/>
                      <w:lang w:val="en-US" w:eastAsia="zh-CN"/>
                    </w:rPr>
                  </w:pPr>
                  <w:r>
                    <w:rPr>
                      <w:rFonts w:hint="eastAsia" w:ascii="Times New Roman" w:hAnsi="Times New Roman"/>
                      <w:bCs w:val="0"/>
                      <w:kern w:val="28"/>
                      <w:lang w:val="en-US" w:eastAsia="zh-CN"/>
                    </w:rPr>
                    <w:t>30</w:t>
                  </w:r>
                </w:p>
              </w:tc>
              <w:tc>
                <w:tcPr>
                  <w:tcW w:w="793" w:type="pct"/>
                  <w:noWrap w:val="0"/>
                  <w:vAlign w:val="center"/>
                </w:tcPr>
                <w:p w14:paraId="679242B7">
                  <w:pPr>
                    <w:pStyle w:val="73"/>
                    <w:rPr>
                      <w:rFonts w:ascii="Times New Roman" w:hAnsi="Times New Roman"/>
                      <w:bCs w:val="0"/>
                      <w:kern w:val="28"/>
                    </w:rPr>
                  </w:pPr>
                  <w:r>
                    <w:rPr>
                      <w:rFonts w:ascii="Times New Roman" w:hAnsi="Times New Roman"/>
                      <w:bCs w:val="0"/>
                      <w:kern w:val="28"/>
                    </w:rPr>
                    <w:t>35</w:t>
                  </w:r>
                </w:p>
              </w:tc>
              <w:tc>
                <w:tcPr>
                  <w:tcW w:w="1077" w:type="dxa"/>
                  <w:noWrap w:val="0"/>
                  <w:vAlign w:val="center"/>
                </w:tcPr>
                <w:p w14:paraId="1F8E6A0A">
                  <w:pPr>
                    <w:pStyle w:val="73"/>
                    <w:rPr>
                      <w:rFonts w:ascii="Times New Roman" w:hAnsi="Times New Roman" w:eastAsia="宋体" w:cs="Times New Roman"/>
                      <w:bCs w:val="0"/>
                      <w:kern w:val="28"/>
                    </w:rPr>
                  </w:pPr>
                  <w:r>
                    <w:rPr>
                      <w:rFonts w:hint="default" w:ascii="Times New Roman" w:hAnsi="Times New Roman" w:eastAsia="宋体" w:cs="Times New Roman"/>
                      <w:bCs w:val="0"/>
                      <w:i w:val="0"/>
                      <w:iCs w:val="0"/>
                      <w:kern w:val="28"/>
                      <w:sz w:val="24"/>
                      <w:szCs w:val="21"/>
                      <w:u w:val="none"/>
                      <w:lang w:val="en-US" w:eastAsia="zh-CN" w:bidi="ar"/>
                    </w:rPr>
                    <w:t xml:space="preserve">85.71 </w:t>
                  </w:r>
                </w:p>
              </w:tc>
              <w:tc>
                <w:tcPr>
                  <w:tcW w:w="419" w:type="pct"/>
                  <w:tcBorders>
                    <w:right w:val="single" w:color="auto" w:sz="4" w:space="0"/>
                  </w:tcBorders>
                  <w:noWrap w:val="0"/>
                  <w:vAlign w:val="center"/>
                </w:tcPr>
                <w:p w14:paraId="6E5BB309">
                  <w:pPr>
                    <w:pStyle w:val="73"/>
                    <w:rPr>
                      <w:rFonts w:hint="default" w:ascii="Times New Roman" w:hAnsi="Times New Roman" w:eastAsia="宋体"/>
                      <w:bCs w:val="0"/>
                      <w:kern w:val="28"/>
                      <w:lang w:val="en-US" w:eastAsia="zh-CN"/>
                    </w:rPr>
                  </w:pPr>
                  <w:r>
                    <w:rPr>
                      <w:rFonts w:hint="eastAsia" w:ascii="Times New Roman" w:hAnsi="Times New Roman"/>
                      <w:bCs w:val="0"/>
                      <w:kern w:val="28"/>
                      <w:lang w:val="en-US" w:eastAsia="zh-CN"/>
                    </w:rPr>
                    <w:t>达标</w:t>
                  </w:r>
                </w:p>
              </w:tc>
            </w:tr>
            <w:tr w14:paraId="3CFA3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51" w:type="pct"/>
                  <w:tcBorders>
                    <w:left w:val="single" w:color="auto" w:sz="4" w:space="0"/>
                  </w:tcBorders>
                  <w:noWrap w:val="0"/>
                  <w:vAlign w:val="center"/>
                </w:tcPr>
                <w:p w14:paraId="147D9CF1">
                  <w:pPr>
                    <w:pStyle w:val="73"/>
                    <w:rPr>
                      <w:rFonts w:ascii="Times New Roman" w:hAnsi="Times New Roman"/>
                      <w:bCs w:val="0"/>
                      <w:kern w:val="28"/>
                    </w:rPr>
                  </w:pPr>
                  <w:r>
                    <w:rPr>
                      <w:rFonts w:ascii="Times New Roman" w:hAnsi="Times New Roman"/>
                      <w:bCs w:val="0"/>
                      <w:kern w:val="28"/>
                    </w:rPr>
                    <w:t>CO</w:t>
                  </w:r>
                </w:p>
              </w:tc>
              <w:tc>
                <w:tcPr>
                  <w:tcW w:w="1850" w:type="pct"/>
                  <w:noWrap w:val="0"/>
                  <w:vAlign w:val="center"/>
                </w:tcPr>
                <w:p w14:paraId="7CB4BC45">
                  <w:pPr>
                    <w:pStyle w:val="73"/>
                    <w:jc w:val="both"/>
                    <w:rPr>
                      <w:rFonts w:ascii="Times New Roman" w:hAnsi="Times New Roman"/>
                      <w:bCs w:val="0"/>
                      <w:kern w:val="28"/>
                    </w:rPr>
                  </w:pPr>
                  <w:r>
                    <w:rPr>
                      <w:rFonts w:ascii="Times New Roman" w:hAnsi="Times New Roman"/>
                      <w:bCs w:val="0"/>
                      <w:kern w:val="28"/>
                    </w:rPr>
                    <w:t>日均浓度的第95百分位数</w:t>
                  </w:r>
                </w:p>
              </w:tc>
              <w:tc>
                <w:tcPr>
                  <w:tcW w:w="732" w:type="pct"/>
                  <w:noWrap w:val="0"/>
                  <w:vAlign w:val="center"/>
                </w:tcPr>
                <w:p w14:paraId="11FDB1E1">
                  <w:pPr>
                    <w:pStyle w:val="73"/>
                    <w:rPr>
                      <w:rFonts w:hint="default" w:ascii="Times New Roman" w:hAnsi="Times New Roman" w:eastAsia="宋体"/>
                      <w:bCs w:val="0"/>
                      <w:kern w:val="28"/>
                      <w:lang w:val="en-US" w:eastAsia="zh-CN"/>
                    </w:rPr>
                  </w:pPr>
                  <w:r>
                    <w:rPr>
                      <w:rFonts w:hint="eastAsia" w:ascii="Times New Roman" w:hAnsi="Times New Roman"/>
                      <w:bCs w:val="0"/>
                      <w:kern w:val="28"/>
                      <w:lang w:val="en-US" w:eastAsia="zh-CN"/>
                    </w:rPr>
                    <w:t>1200</w:t>
                  </w:r>
                </w:p>
              </w:tc>
              <w:tc>
                <w:tcPr>
                  <w:tcW w:w="793" w:type="pct"/>
                  <w:noWrap w:val="0"/>
                  <w:vAlign w:val="center"/>
                </w:tcPr>
                <w:p w14:paraId="42BA97B8">
                  <w:pPr>
                    <w:pStyle w:val="73"/>
                    <w:rPr>
                      <w:rFonts w:ascii="Times New Roman" w:hAnsi="Times New Roman"/>
                      <w:bCs w:val="0"/>
                      <w:kern w:val="28"/>
                    </w:rPr>
                  </w:pPr>
                  <w:r>
                    <w:rPr>
                      <w:rFonts w:ascii="Times New Roman" w:hAnsi="Times New Roman"/>
                      <w:bCs w:val="0"/>
                      <w:kern w:val="28"/>
                    </w:rPr>
                    <w:t>4000</w:t>
                  </w:r>
                </w:p>
              </w:tc>
              <w:tc>
                <w:tcPr>
                  <w:tcW w:w="1077" w:type="dxa"/>
                  <w:noWrap w:val="0"/>
                  <w:vAlign w:val="center"/>
                </w:tcPr>
                <w:p w14:paraId="13E9ACC2">
                  <w:pPr>
                    <w:pStyle w:val="73"/>
                    <w:rPr>
                      <w:rFonts w:ascii="Times New Roman" w:hAnsi="Times New Roman" w:eastAsia="宋体" w:cs="Times New Roman"/>
                      <w:bCs w:val="0"/>
                      <w:kern w:val="28"/>
                    </w:rPr>
                  </w:pPr>
                  <w:r>
                    <w:rPr>
                      <w:rFonts w:hint="default" w:ascii="Times New Roman" w:hAnsi="Times New Roman" w:eastAsia="宋体" w:cs="Times New Roman"/>
                      <w:bCs w:val="0"/>
                      <w:i w:val="0"/>
                      <w:iCs w:val="0"/>
                      <w:kern w:val="28"/>
                      <w:sz w:val="24"/>
                      <w:szCs w:val="21"/>
                      <w:u w:val="none"/>
                      <w:lang w:val="en-US" w:eastAsia="zh-CN" w:bidi="ar"/>
                    </w:rPr>
                    <w:t xml:space="preserve">30.00 </w:t>
                  </w:r>
                </w:p>
              </w:tc>
              <w:tc>
                <w:tcPr>
                  <w:tcW w:w="419" w:type="pct"/>
                  <w:tcBorders>
                    <w:right w:val="single" w:color="auto" w:sz="4" w:space="0"/>
                  </w:tcBorders>
                  <w:noWrap w:val="0"/>
                  <w:vAlign w:val="center"/>
                </w:tcPr>
                <w:p w14:paraId="01C5DA95">
                  <w:pPr>
                    <w:pStyle w:val="73"/>
                    <w:rPr>
                      <w:rFonts w:ascii="Times New Roman" w:hAnsi="Times New Roman"/>
                      <w:bCs w:val="0"/>
                      <w:kern w:val="28"/>
                      <w:lang w:val="zh-CN"/>
                    </w:rPr>
                  </w:pPr>
                  <w:r>
                    <w:rPr>
                      <w:rFonts w:ascii="Times New Roman" w:hAnsi="Times New Roman"/>
                      <w:bCs w:val="0"/>
                      <w:kern w:val="28"/>
                      <w:lang w:val="zh-CN"/>
                    </w:rPr>
                    <w:t>达标</w:t>
                  </w:r>
                </w:p>
              </w:tc>
            </w:tr>
            <w:tr w14:paraId="1A3EC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51" w:type="pct"/>
                  <w:tcBorders>
                    <w:left w:val="single" w:color="auto" w:sz="4" w:space="0"/>
                    <w:bottom w:val="single" w:color="auto" w:sz="4" w:space="0"/>
                  </w:tcBorders>
                  <w:noWrap w:val="0"/>
                  <w:vAlign w:val="center"/>
                </w:tcPr>
                <w:p w14:paraId="621F6B1E">
                  <w:pPr>
                    <w:pStyle w:val="73"/>
                    <w:rPr>
                      <w:rFonts w:ascii="Times New Roman" w:hAnsi="Times New Roman"/>
                      <w:bCs w:val="0"/>
                      <w:kern w:val="28"/>
                    </w:rPr>
                  </w:pPr>
                  <w:r>
                    <w:rPr>
                      <w:rFonts w:ascii="Times New Roman" w:hAnsi="Times New Roman"/>
                      <w:bCs w:val="0"/>
                      <w:kern w:val="28"/>
                    </w:rPr>
                    <w:t>O</w:t>
                  </w:r>
                  <w:r>
                    <w:rPr>
                      <w:rFonts w:ascii="Times New Roman" w:hAnsi="Times New Roman"/>
                      <w:bCs w:val="0"/>
                      <w:kern w:val="28"/>
                      <w:vertAlign w:val="subscript"/>
                    </w:rPr>
                    <w:t>3</w:t>
                  </w:r>
                </w:p>
              </w:tc>
              <w:tc>
                <w:tcPr>
                  <w:tcW w:w="1850" w:type="pct"/>
                  <w:tcBorders>
                    <w:bottom w:val="single" w:color="auto" w:sz="4" w:space="0"/>
                  </w:tcBorders>
                  <w:noWrap w:val="0"/>
                  <w:vAlign w:val="center"/>
                </w:tcPr>
                <w:p w14:paraId="46481324">
                  <w:pPr>
                    <w:pStyle w:val="73"/>
                    <w:jc w:val="both"/>
                    <w:rPr>
                      <w:rFonts w:ascii="Times New Roman" w:hAnsi="Times New Roman"/>
                      <w:bCs w:val="0"/>
                      <w:kern w:val="28"/>
                    </w:rPr>
                  </w:pPr>
                  <w:r>
                    <w:rPr>
                      <w:rFonts w:ascii="Times New Roman" w:hAnsi="Times New Roman"/>
                      <w:bCs w:val="0"/>
                      <w:kern w:val="28"/>
                    </w:rPr>
                    <w:t>日最大8h平均浓度的第90百分位数</w:t>
                  </w:r>
                </w:p>
              </w:tc>
              <w:tc>
                <w:tcPr>
                  <w:tcW w:w="732" w:type="pct"/>
                  <w:tcBorders>
                    <w:bottom w:val="single" w:color="auto" w:sz="4" w:space="0"/>
                  </w:tcBorders>
                  <w:noWrap w:val="0"/>
                  <w:vAlign w:val="center"/>
                </w:tcPr>
                <w:p w14:paraId="4797117E">
                  <w:pPr>
                    <w:pStyle w:val="73"/>
                    <w:rPr>
                      <w:rFonts w:hint="eastAsia" w:ascii="Times New Roman" w:hAnsi="Times New Roman" w:eastAsia="宋体"/>
                      <w:bCs w:val="0"/>
                      <w:kern w:val="28"/>
                      <w:lang w:eastAsia="zh-CN"/>
                    </w:rPr>
                  </w:pPr>
                  <w:r>
                    <w:rPr>
                      <w:rFonts w:hint="eastAsia" w:ascii="Times New Roman" w:hAnsi="Times New Roman"/>
                      <w:bCs w:val="0"/>
                      <w:kern w:val="28"/>
                    </w:rPr>
                    <w:t>12</w:t>
                  </w:r>
                  <w:r>
                    <w:rPr>
                      <w:rFonts w:hint="eastAsia" w:ascii="Times New Roman" w:hAnsi="Times New Roman"/>
                      <w:bCs w:val="0"/>
                      <w:kern w:val="28"/>
                      <w:lang w:val="en-US" w:eastAsia="zh-CN"/>
                    </w:rPr>
                    <w:t>8</w:t>
                  </w:r>
                </w:p>
              </w:tc>
              <w:tc>
                <w:tcPr>
                  <w:tcW w:w="793" w:type="pct"/>
                  <w:tcBorders>
                    <w:bottom w:val="single" w:color="auto" w:sz="4" w:space="0"/>
                  </w:tcBorders>
                  <w:noWrap w:val="0"/>
                  <w:vAlign w:val="center"/>
                </w:tcPr>
                <w:p w14:paraId="00F2359F">
                  <w:pPr>
                    <w:pStyle w:val="73"/>
                    <w:rPr>
                      <w:rFonts w:ascii="Times New Roman" w:hAnsi="Times New Roman"/>
                      <w:bCs w:val="0"/>
                      <w:kern w:val="28"/>
                    </w:rPr>
                  </w:pPr>
                  <w:r>
                    <w:rPr>
                      <w:rFonts w:ascii="Times New Roman" w:hAnsi="Times New Roman"/>
                      <w:bCs w:val="0"/>
                      <w:kern w:val="28"/>
                    </w:rPr>
                    <w:t>160</w:t>
                  </w:r>
                </w:p>
              </w:tc>
              <w:tc>
                <w:tcPr>
                  <w:tcW w:w="1077" w:type="dxa"/>
                  <w:tcBorders>
                    <w:bottom w:val="single" w:color="auto" w:sz="4" w:space="0"/>
                  </w:tcBorders>
                  <w:noWrap w:val="0"/>
                  <w:vAlign w:val="center"/>
                </w:tcPr>
                <w:p w14:paraId="7C972AAF">
                  <w:pPr>
                    <w:pStyle w:val="73"/>
                    <w:rPr>
                      <w:rFonts w:ascii="Times New Roman" w:hAnsi="Times New Roman" w:eastAsia="宋体" w:cs="Times New Roman"/>
                      <w:bCs w:val="0"/>
                      <w:kern w:val="28"/>
                    </w:rPr>
                  </w:pPr>
                  <w:r>
                    <w:rPr>
                      <w:rFonts w:hint="default" w:ascii="Times New Roman" w:hAnsi="Times New Roman" w:eastAsia="宋体" w:cs="Times New Roman"/>
                      <w:bCs w:val="0"/>
                      <w:i w:val="0"/>
                      <w:iCs w:val="0"/>
                      <w:kern w:val="28"/>
                      <w:sz w:val="24"/>
                      <w:szCs w:val="21"/>
                      <w:u w:val="none"/>
                      <w:lang w:val="en-US" w:eastAsia="zh-CN" w:bidi="ar"/>
                    </w:rPr>
                    <w:t xml:space="preserve">80.00 </w:t>
                  </w:r>
                </w:p>
              </w:tc>
              <w:tc>
                <w:tcPr>
                  <w:tcW w:w="419" w:type="pct"/>
                  <w:tcBorders>
                    <w:bottom w:val="single" w:color="auto" w:sz="4" w:space="0"/>
                    <w:right w:val="single" w:color="auto" w:sz="4" w:space="0"/>
                  </w:tcBorders>
                  <w:noWrap w:val="0"/>
                  <w:vAlign w:val="center"/>
                </w:tcPr>
                <w:p w14:paraId="1F3212BC">
                  <w:pPr>
                    <w:pStyle w:val="73"/>
                    <w:rPr>
                      <w:rFonts w:ascii="Times New Roman" w:hAnsi="Times New Roman"/>
                      <w:bCs w:val="0"/>
                      <w:kern w:val="28"/>
                    </w:rPr>
                  </w:pPr>
                  <w:r>
                    <w:rPr>
                      <w:rFonts w:hint="eastAsia" w:ascii="Times New Roman" w:hAnsi="Times New Roman"/>
                      <w:bCs w:val="0"/>
                      <w:kern w:val="28"/>
                    </w:rPr>
                    <w:t>达标</w:t>
                  </w:r>
                </w:p>
              </w:tc>
            </w:tr>
          </w:tbl>
          <w:p w14:paraId="06FD0F97">
            <w:pPr>
              <w:pStyle w:val="50"/>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综上可知，项目所在区域为环境空气质量达标区。</w:t>
            </w:r>
          </w:p>
          <w:p w14:paraId="186D9E2B">
            <w:pPr>
              <w:pStyle w:val="4"/>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地表水环境</w:t>
            </w:r>
          </w:p>
          <w:p w14:paraId="05ACFA7A">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481"/>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与本项目相关的地表水体为铜钵河（州河支流</w:t>
            </w:r>
            <w:r>
              <w:rPr>
                <w:rFonts w:hint="eastAsia" w:asciiTheme="minorEastAsia" w:hAnsiTheme="minorEastAsia" w:eastAsiaTheme="minorEastAsia" w:cstheme="minorEastAsia"/>
                <w:spacing w:val="11"/>
              </w:rPr>
              <w:t>），</w:t>
            </w:r>
            <w:r>
              <w:rPr>
                <w:rFonts w:hint="eastAsia" w:asciiTheme="minorEastAsia" w:hAnsiTheme="minorEastAsia" w:eastAsiaTheme="minorEastAsia" w:cstheme="minorEastAsia"/>
                <w:spacing w:val="1"/>
              </w:rPr>
              <w:t>地表水环境质量现状引用来源</w:t>
            </w:r>
            <w:r>
              <w:rPr>
                <w:rFonts w:hint="eastAsia" w:asciiTheme="minorEastAsia" w:hAnsiTheme="minorEastAsia" w:eastAsiaTheme="minorEastAsia" w:cstheme="minorEastAsia"/>
                <w:spacing w:val="-1"/>
              </w:rPr>
              <w:t>为达州市生态环境局202</w:t>
            </w:r>
            <w:r>
              <w:rPr>
                <w:rFonts w:hint="eastAsia" w:asciiTheme="minorEastAsia" w:hAnsiTheme="minorEastAsia" w:eastAsiaTheme="minorEastAsia" w:cstheme="minorEastAsia"/>
                <w:spacing w:val="-1"/>
                <w:lang w:val="en-US" w:eastAsia="zh-CN"/>
              </w:rPr>
              <w:t>5</w:t>
            </w:r>
            <w:r>
              <w:rPr>
                <w:rFonts w:hint="eastAsia" w:asciiTheme="minorEastAsia" w:hAnsiTheme="minorEastAsia" w:eastAsiaTheme="minorEastAsia" w:cstheme="minorEastAsia"/>
                <w:spacing w:val="-1"/>
              </w:rPr>
              <w:t>年</w:t>
            </w:r>
            <w:r>
              <w:rPr>
                <w:rFonts w:hint="eastAsia" w:asciiTheme="minorEastAsia" w:hAnsiTheme="minorEastAsia" w:eastAsiaTheme="minorEastAsia" w:cstheme="minorEastAsia"/>
                <w:spacing w:val="-1"/>
                <w:lang w:val="en-US" w:eastAsia="zh-CN"/>
              </w:rPr>
              <w:t>11</w:t>
            </w:r>
            <w:r>
              <w:rPr>
                <w:rFonts w:hint="eastAsia" w:asciiTheme="minorEastAsia" w:hAnsiTheme="minorEastAsia" w:eastAsiaTheme="minorEastAsia" w:cstheme="minorEastAsia"/>
                <w:spacing w:val="-1"/>
              </w:rPr>
              <w:t>月1</w:t>
            </w:r>
            <w:r>
              <w:rPr>
                <w:rFonts w:hint="eastAsia" w:asciiTheme="minorEastAsia" w:hAnsiTheme="minorEastAsia" w:eastAsiaTheme="minorEastAsia" w:cstheme="minorEastAsia"/>
                <w:spacing w:val="-1"/>
                <w:lang w:val="en-US" w:eastAsia="zh-CN"/>
              </w:rPr>
              <w:t>2</w:t>
            </w:r>
            <w:r>
              <w:rPr>
                <w:rFonts w:hint="eastAsia" w:asciiTheme="minorEastAsia" w:hAnsiTheme="minorEastAsia" w:eastAsiaTheme="minorEastAsia" w:cstheme="minorEastAsia"/>
                <w:spacing w:val="-1"/>
              </w:rPr>
              <w:t>日发布的《2025年10月达州市地表水水质月报》</w:t>
            </w:r>
            <w:r>
              <w:rPr>
                <w:rFonts w:hint="eastAsia" w:asciiTheme="minorEastAsia" w:hAnsiTheme="minorEastAsia" w:eastAsiaTheme="minorEastAsia" w:cstheme="minorEastAsia"/>
              </w:rPr>
              <w:t>（http://sthjj.dazhou.gov.cn/news-show-24922.html</w:t>
            </w:r>
            <w:r>
              <w:rPr>
                <w:rFonts w:hint="eastAsia" w:asciiTheme="minorEastAsia" w:hAnsiTheme="minorEastAsia" w:eastAsiaTheme="minorEastAsia" w:cstheme="minorEastAsia"/>
                <w:spacing w:val="-1"/>
              </w:rPr>
              <w:t>）。</w:t>
            </w:r>
          </w:p>
          <w:p w14:paraId="5D1E680D">
            <w:pPr>
              <w:pStyle w:val="60"/>
              <w:keepNext w:val="0"/>
              <w:keepLines w:val="0"/>
              <w:pageBreakBefore w:val="0"/>
              <w:widowControl w:val="0"/>
              <w:kinsoku/>
              <w:wordWrap/>
              <w:overflowPunct/>
              <w:topLinePunct w:val="0"/>
              <w:autoSpaceDE/>
              <w:autoSpaceDN/>
              <w:bidi w:val="0"/>
              <w:adjustRightInd/>
              <w:snapToGrid/>
              <w:spacing w:line="480" w:lineRule="exact"/>
              <w:ind w:left="0" w:right="0" w:firstLine="480"/>
              <w:jc w:val="left"/>
              <w:textAlignment w:val="auto"/>
              <w:rPr>
                <w:rFonts w:hint="eastAsia" w:asciiTheme="minorEastAsia" w:hAnsiTheme="minorEastAsia" w:eastAsiaTheme="minorEastAsia" w:cstheme="minorEastAsia"/>
                <w:spacing w:val="-2"/>
              </w:rPr>
            </w:pPr>
            <w:r>
              <w:rPr>
                <w:rFonts w:hint="eastAsia" w:asciiTheme="minorEastAsia" w:hAnsiTheme="minorEastAsia" w:eastAsiaTheme="minorEastAsia" w:cstheme="minorEastAsia"/>
                <w:spacing w:val="-5"/>
              </w:rPr>
              <w:t>根据《</w:t>
            </w:r>
            <w:r>
              <w:rPr>
                <w:rFonts w:hint="eastAsia" w:asciiTheme="minorEastAsia" w:hAnsiTheme="minorEastAsia" w:eastAsiaTheme="minorEastAsia" w:cstheme="minorEastAsia"/>
                <w:spacing w:val="-1"/>
              </w:rPr>
              <w:t>2025年10月达州市地表水水质月报</w:t>
            </w:r>
            <w:r>
              <w:rPr>
                <w:rFonts w:hint="eastAsia" w:asciiTheme="minorEastAsia" w:hAnsiTheme="minorEastAsia" w:eastAsiaTheme="minorEastAsia" w:cstheme="minorEastAsia"/>
                <w:spacing w:val="-5"/>
              </w:rPr>
              <w:t>》：2025 年 10 月全市 37 个河流断面中，优（I~II 类）、良（III 类）水质断面 37 个，占比 100.0%。</w:t>
            </w:r>
            <w:r>
              <w:rPr>
                <w:rFonts w:hint="eastAsia" w:asciiTheme="minorEastAsia" w:hAnsiTheme="minorEastAsia" w:eastAsiaTheme="minorEastAsia" w:cstheme="minorEastAsia"/>
                <w:spacing w:val="-2"/>
              </w:rPr>
              <w:t>。区域水质评价结果表如下。</w:t>
            </w:r>
          </w:p>
          <w:p w14:paraId="70767515">
            <w:pPr>
              <w:pStyle w:val="50"/>
              <w:bidi w:val="0"/>
              <w:jc w:val="center"/>
              <w:rPr>
                <w:color w:val="000000" w:themeColor="text1"/>
                <w14:textFill>
                  <w14:solidFill>
                    <w14:schemeClr w14:val="tx1"/>
                  </w14:solidFill>
                </w14:textFill>
              </w:rPr>
            </w:pPr>
            <w:r>
              <w:rPr>
                <w:b/>
                <w:bCs/>
                <w:spacing w:val="-2"/>
              </w:rPr>
              <w:t>表</w:t>
            </w:r>
            <w:r>
              <w:rPr>
                <w:spacing w:val="-56"/>
              </w:rPr>
              <w:t xml:space="preserve"> </w:t>
            </w:r>
            <w:r>
              <w:rPr>
                <w:rFonts w:ascii="Times New Roman" w:hAnsi="Times New Roman" w:eastAsia="Times New Roman" w:cs="Times New Roman"/>
                <w:b/>
                <w:bCs/>
                <w:spacing w:val="-2"/>
              </w:rPr>
              <w:t>3-</w:t>
            </w:r>
            <w:r>
              <w:rPr>
                <w:rFonts w:hint="eastAsia" w:eastAsia="宋体" w:cs="Times New Roman"/>
                <w:b/>
                <w:bCs/>
                <w:spacing w:val="-2"/>
                <w:lang w:val="en-US" w:eastAsia="zh-CN"/>
              </w:rPr>
              <w:t>2</w:t>
            </w:r>
            <w:r>
              <w:rPr>
                <w:rFonts w:ascii="Times New Roman" w:hAnsi="Times New Roman" w:eastAsia="Times New Roman" w:cs="Times New Roman"/>
                <w:b/>
                <w:bCs/>
                <w:spacing w:val="-2"/>
              </w:rPr>
              <w:t xml:space="preserve">   202</w:t>
            </w:r>
            <w:r>
              <w:rPr>
                <w:rFonts w:hint="eastAsia" w:ascii="Times New Roman" w:hAnsi="Times New Roman" w:eastAsia="宋体" w:cs="Times New Roman"/>
                <w:b/>
                <w:bCs/>
                <w:spacing w:val="-2"/>
                <w:lang w:val="en-US" w:eastAsia="zh-CN"/>
              </w:rPr>
              <w:t>5</w:t>
            </w:r>
            <w:r>
              <w:rPr>
                <w:b/>
                <w:bCs/>
                <w:spacing w:val="-2"/>
              </w:rPr>
              <w:t>年</w:t>
            </w:r>
            <w:r>
              <w:rPr>
                <w:spacing w:val="-44"/>
              </w:rPr>
              <w:t xml:space="preserve"> </w:t>
            </w:r>
            <w:r>
              <w:rPr>
                <w:rFonts w:ascii="Times New Roman" w:hAnsi="Times New Roman" w:eastAsia="Times New Roman" w:cs="Times New Roman"/>
                <w:b/>
                <w:bCs/>
                <w:spacing w:val="-2"/>
              </w:rPr>
              <w:t>1</w:t>
            </w:r>
            <w:r>
              <w:rPr>
                <w:rFonts w:hint="eastAsia" w:ascii="Times New Roman" w:hAnsi="Times New Roman" w:eastAsia="宋体" w:cs="Times New Roman"/>
                <w:b/>
                <w:bCs/>
                <w:spacing w:val="-2"/>
                <w:lang w:val="en-US" w:eastAsia="zh-CN"/>
              </w:rPr>
              <w:t>0</w:t>
            </w:r>
            <w:r>
              <w:rPr>
                <w:rFonts w:ascii="Times New Roman" w:hAnsi="Times New Roman" w:eastAsia="Times New Roman" w:cs="Times New Roman"/>
                <w:b/>
                <w:bCs/>
                <w:spacing w:val="15"/>
              </w:rPr>
              <w:t xml:space="preserve"> </w:t>
            </w:r>
            <w:r>
              <w:rPr>
                <w:b/>
                <w:bCs/>
                <w:spacing w:val="-2"/>
              </w:rPr>
              <w:t>月铜钵河水</w:t>
            </w:r>
            <w:r>
              <w:rPr>
                <w:b/>
                <w:bCs/>
                <w:spacing w:val="-3"/>
              </w:rPr>
              <w:t>质评价结果表（摘选）</w:t>
            </w:r>
          </w:p>
          <w:tbl>
            <w:tblPr>
              <w:tblStyle w:val="29"/>
              <w:tblW w:w="793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925"/>
              <w:gridCol w:w="1713"/>
              <w:gridCol w:w="900"/>
              <w:gridCol w:w="712"/>
              <w:gridCol w:w="713"/>
              <w:gridCol w:w="687"/>
              <w:gridCol w:w="1594"/>
            </w:tblGrid>
            <w:tr w14:paraId="04F99F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tcBorders>
                    <w:tl2br w:val="nil"/>
                    <w:tr2bl w:val="nil"/>
                  </w:tcBorders>
                  <w:vAlign w:val="top"/>
                </w:tcPr>
                <w:p w14:paraId="47048AC4">
                  <w:pPr>
                    <w:pStyle w:val="60"/>
                    <w:spacing w:line="240" w:lineRule="auto"/>
                    <w:rPr>
                      <w:rFonts w:hint="eastAsia" w:asciiTheme="minorEastAsia" w:hAnsiTheme="minorEastAsia" w:eastAsiaTheme="minorEastAsia" w:cstheme="minorEastAsia"/>
                      <w:spacing w:val="6"/>
                      <w:sz w:val="21"/>
                      <w:szCs w:val="21"/>
                      <w:vertAlign w:val="baseline"/>
                      <w:lang w:val="en-US" w:eastAsia="zh-CN"/>
                    </w:rPr>
                  </w:pPr>
                  <w:r>
                    <w:rPr>
                      <w:rFonts w:hint="eastAsia" w:asciiTheme="minorEastAsia" w:hAnsiTheme="minorEastAsia" w:eastAsiaTheme="minorEastAsia" w:cstheme="minorEastAsia"/>
                      <w:spacing w:val="6"/>
                      <w:sz w:val="21"/>
                      <w:szCs w:val="21"/>
                      <w:vertAlign w:val="baseline"/>
                      <w:lang w:val="en-US" w:eastAsia="zh-CN"/>
                    </w:rPr>
                    <w:t>河流名称</w:t>
                  </w:r>
                </w:p>
              </w:tc>
              <w:tc>
                <w:tcPr>
                  <w:tcW w:w="925" w:type="dxa"/>
                  <w:tcBorders>
                    <w:tl2br w:val="nil"/>
                    <w:tr2bl w:val="nil"/>
                  </w:tcBorders>
                  <w:shd w:val="clear" w:color="auto" w:fill="auto"/>
                  <w:vAlign w:val="top"/>
                </w:tcPr>
                <w:p w14:paraId="03E196E5">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spacing w:val="6"/>
                      <w:sz w:val="21"/>
                      <w:szCs w:val="21"/>
                      <w:lang w:val="en-US" w:eastAsia="zh-CN"/>
                    </w:rPr>
                  </w:pPr>
                  <w:r>
                    <w:rPr>
                      <w:rFonts w:hint="eastAsia" w:asciiTheme="minorEastAsia" w:hAnsiTheme="minorEastAsia" w:eastAsiaTheme="minorEastAsia" w:cstheme="minorEastAsia"/>
                      <w:spacing w:val="6"/>
                      <w:sz w:val="21"/>
                      <w:szCs w:val="21"/>
                      <w:lang w:val="en-US" w:eastAsia="zh-CN"/>
                    </w:rPr>
                    <w:t>断面名称</w:t>
                  </w:r>
                </w:p>
              </w:tc>
              <w:tc>
                <w:tcPr>
                  <w:tcW w:w="1713" w:type="dxa"/>
                  <w:tcBorders>
                    <w:tl2br w:val="nil"/>
                    <w:tr2bl w:val="nil"/>
                  </w:tcBorders>
                  <w:shd w:val="clear" w:color="auto" w:fill="auto"/>
                  <w:vAlign w:val="top"/>
                </w:tcPr>
                <w:p w14:paraId="64077D01">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spacing w:val="6"/>
                      <w:sz w:val="21"/>
                      <w:szCs w:val="21"/>
                      <w:lang w:val="en-US" w:eastAsia="zh-CN"/>
                    </w:rPr>
                  </w:pPr>
                  <w:r>
                    <w:rPr>
                      <w:rFonts w:hint="eastAsia" w:asciiTheme="minorEastAsia" w:hAnsiTheme="minorEastAsia" w:eastAsiaTheme="minorEastAsia" w:cstheme="minorEastAsia"/>
                      <w:spacing w:val="6"/>
                      <w:sz w:val="21"/>
                      <w:szCs w:val="21"/>
                      <w:lang w:val="en-US" w:eastAsia="zh-CN"/>
                    </w:rPr>
                    <w:t>断面属性</w:t>
                  </w:r>
                </w:p>
              </w:tc>
              <w:tc>
                <w:tcPr>
                  <w:tcW w:w="900" w:type="dxa"/>
                  <w:tcBorders>
                    <w:tl2br w:val="nil"/>
                    <w:tr2bl w:val="nil"/>
                  </w:tcBorders>
                  <w:shd w:val="clear" w:color="auto" w:fill="auto"/>
                  <w:vAlign w:val="top"/>
                </w:tcPr>
                <w:p w14:paraId="3727A5BA">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spacing w:val="6"/>
                      <w:sz w:val="21"/>
                      <w:szCs w:val="21"/>
                      <w:lang w:val="en-US" w:eastAsia="zh-CN"/>
                    </w:rPr>
                  </w:pPr>
                  <w:r>
                    <w:rPr>
                      <w:rFonts w:hint="eastAsia" w:asciiTheme="minorEastAsia" w:hAnsiTheme="minorEastAsia" w:eastAsiaTheme="minorEastAsia" w:cstheme="minorEastAsia"/>
                      <w:spacing w:val="6"/>
                      <w:sz w:val="21"/>
                      <w:szCs w:val="21"/>
                      <w:lang w:val="en-US" w:eastAsia="zh-CN"/>
                    </w:rPr>
                    <w:t>断面性质</w:t>
                  </w:r>
                </w:p>
              </w:tc>
              <w:tc>
                <w:tcPr>
                  <w:tcW w:w="712" w:type="dxa"/>
                  <w:tcBorders>
                    <w:tl2br w:val="nil"/>
                    <w:tr2bl w:val="nil"/>
                  </w:tcBorders>
                  <w:shd w:val="clear" w:color="auto" w:fill="auto"/>
                  <w:vAlign w:val="top"/>
                </w:tcPr>
                <w:p w14:paraId="20049A97">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spacing w:val="6"/>
                      <w:sz w:val="21"/>
                      <w:szCs w:val="21"/>
                      <w:lang w:val="en-US" w:eastAsia="zh-CN"/>
                    </w:rPr>
                  </w:pPr>
                  <w:r>
                    <w:rPr>
                      <w:rFonts w:hint="eastAsia" w:asciiTheme="minorEastAsia" w:hAnsiTheme="minorEastAsia" w:eastAsiaTheme="minorEastAsia" w:cstheme="minorEastAsia"/>
                      <w:spacing w:val="6"/>
                      <w:sz w:val="21"/>
                      <w:szCs w:val="21"/>
                      <w:lang w:val="en-US" w:eastAsia="zh-CN"/>
                    </w:rPr>
                    <w:t>上年同期</w:t>
                  </w:r>
                </w:p>
              </w:tc>
              <w:tc>
                <w:tcPr>
                  <w:tcW w:w="713" w:type="dxa"/>
                  <w:tcBorders>
                    <w:tl2br w:val="nil"/>
                    <w:tr2bl w:val="nil"/>
                  </w:tcBorders>
                  <w:shd w:val="clear" w:color="auto" w:fill="auto"/>
                  <w:vAlign w:val="top"/>
                </w:tcPr>
                <w:p w14:paraId="5342CA45">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spacing w:val="6"/>
                      <w:position w:val="0"/>
                      <w:sz w:val="21"/>
                      <w:szCs w:val="21"/>
                      <w:lang w:val="en-US" w:eastAsia="zh-CN"/>
                    </w:rPr>
                  </w:pPr>
                  <w:r>
                    <w:rPr>
                      <w:rFonts w:hint="eastAsia" w:asciiTheme="minorEastAsia" w:hAnsiTheme="minorEastAsia" w:eastAsiaTheme="minorEastAsia" w:cstheme="minorEastAsia"/>
                      <w:spacing w:val="6"/>
                      <w:position w:val="0"/>
                      <w:sz w:val="21"/>
                      <w:szCs w:val="21"/>
                      <w:lang w:val="en-US" w:eastAsia="zh-CN"/>
                    </w:rPr>
                    <w:t>上月类别</w:t>
                  </w:r>
                </w:p>
              </w:tc>
              <w:tc>
                <w:tcPr>
                  <w:tcW w:w="687" w:type="dxa"/>
                  <w:tcBorders>
                    <w:tl2br w:val="nil"/>
                    <w:tr2bl w:val="nil"/>
                  </w:tcBorders>
                  <w:shd w:val="clear" w:color="auto" w:fill="auto"/>
                  <w:vAlign w:val="top"/>
                </w:tcPr>
                <w:p w14:paraId="434B1355">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spacing w:val="6"/>
                      <w:position w:val="0"/>
                      <w:sz w:val="21"/>
                      <w:szCs w:val="21"/>
                      <w:lang w:val="en-US" w:eastAsia="zh-CN"/>
                    </w:rPr>
                  </w:pPr>
                  <w:r>
                    <w:rPr>
                      <w:rFonts w:hint="eastAsia" w:asciiTheme="minorEastAsia" w:hAnsiTheme="minorEastAsia" w:eastAsiaTheme="minorEastAsia" w:cstheme="minorEastAsia"/>
                      <w:spacing w:val="6"/>
                      <w:position w:val="0"/>
                      <w:sz w:val="21"/>
                      <w:szCs w:val="21"/>
                      <w:lang w:val="en-US" w:eastAsia="zh-CN"/>
                    </w:rPr>
                    <w:t>本月类别</w:t>
                  </w:r>
                </w:p>
              </w:tc>
              <w:tc>
                <w:tcPr>
                  <w:tcW w:w="1594" w:type="dxa"/>
                  <w:tcBorders>
                    <w:tl2br w:val="nil"/>
                    <w:tr2bl w:val="nil"/>
                  </w:tcBorders>
                  <w:vAlign w:val="top"/>
                </w:tcPr>
                <w:p w14:paraId="64560796">
                  <w:pPr>
                    <w:pStyle w:val="60"/>
                    <w:spacing w:line="240" w:lineRule="auto"/>
                    <w:rPr>
                      <w:rFonts w:hint="eastAsia" w:asciiTheme="minorEastAsia" w:hAnsiTheme="minorEastAsia" w:eastAsiaTheme="minorEastAsia" w:cstheme="minorEastAsia"/>
                      <w:spacing w:val="6"/>
                      <w:sz w:val="21"/>
                      <w:szCs w:val="21"/>
                      <w:vertAlign w:val="baseline"/>
                      <w:lang w:val="en-US" w:eastAsia="zh-CN"/>
                    </w:rPr>
                  </w:pPr>
                  <w:r>
                    <w:rPr>
                      <w:rFonts w:hint="eastAsia" w:asciiTheme="minorEastAsia" w:hAnsiTheme="minorEastAsia" w:eastAsiaTheme="minorEastAsia" w:cstheme="minorEastAsia"/>
                      <w:spacing w:val="6"/>
                      <w:sz w:val="21"/>
                      <w:szCs w:val="21"/>
                      <w:vertAlign w:val="baseline"/>
                      <w:lang w:val="en-US" w:eastAsia="zh-CN"/>
                    </w:rPr>
                    <w:t>本月主要污染指标（类别）</w:t>
                  </w:r>
                </w:p>
              </w:tc>
            </w:tr>
            <w:tr w14:paraId="55FB5D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restart"/>
                  <w:tcBorders>
                    <w:tl2br w:val="nil"/>
                    <w:tr2bl w:val="nil"/>
                  </w:tcBorders>
                  <w:vAlign w:val="top"/>
                </w:tcPr>
                <w:p w14:paraId="1959433B">
                  <w:pPr>
                    <w:pStyle w:val="5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0000" w:themeColor="text1"/>
                      <w:sz w:val="2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21"/>
                      <w:vertAlign w:val="baseline"/>
                      <w14:textFill>
                        <w14:solidFill>
                          <w14:schemeClr w14:val="tx1"/>
                        </w14:solidFill>
                      </w14:textFill>
                    </w:rPr>
                    <w:t>铜钵河</w:t>
                  </w:r>
                </w:p>
              </w:tc>
              <w:tc>
                <w:tcPr>
                  <w:tcW w:w="925" w:type="dxa"/>
                  <w:tcBorders>
                    <w:tl2br w:val="nil"/>
                    <w:tr2bl w:val="nil"/>
                  </w:tcBorders>
                  <w:shd w:val="clear" w:color="auto" w:fill="auto"/>
                  <w:vAlign w:val="top"/>
                </w:tcPr>
                <w:p w14:paraId="671A9158">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6"/>
                      <w:sz w:val="21"/>
                      <w:szCs w:val="21"/>
                    </w:rPr>
                    <w:t>上河坝</w:t>
                  </w:r>
                </w:p>
              </w:tc>
              <w:tc>
                <w:tcPr>
                  <w:tcW w:w="1713" w:type="dxa"/>
                  <w:tcBorders>
                    <w:tl2br w:val="nil"/>
                    <w:tr2bl w:val="nil"/>
                  </w:tcBorders>
                  <w:shd w:val="clear" w:color="auto" w:fill="auto"/>
                  <w:vAlign w:val="top"/>
                </w:tcPr>
                <w:p w14:paraId="423F88EF">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6"/>
                      <w:sz w:val="21"/>
                      <w:szCs w:val="21"/>
                    </w:rPr>
                    <w:t>省界（渝、川）</w:t>
                  </w:r>
                </w:p>
              </w:tc>
              <w:tc>
                <w:tcPr>
                  <w:tcW w:w="900" w:type="dxa"/>
                  <w:tcBorders>
                    <w:tl2br w:val="nil"/>
                    <w:tr2bl w:val="nil"/>
                  </w:tcBorders>
                  <w:shd w:val="clear" w:color="auto" w:fill="auto"/>
                  <w:vAlign w:val="top"/>
                </w:tcPr>
                <w:p w14:paraId="3FDD64EA">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6"/>
                      <w:sz w:val="21"/>
                      <w:szCs w:val="21"/>
                    </w:rPr>
                    <w:t>国考</w:t>
                  </w:r>
                </w:p>
              </w:tc>
              <w:tc>
                <w:tcPr>
                  <w:tcW w:w="712" w:type="dxa"/>
                  <w:tcBorders>
                    <w:tl2br w:val="nil"/>
                    <w:tr2bl w:val="nil"/>
                  </w:tcBorders>
                  <w:shd w:val="clear" w:color="auto" w:fill="auto"/>
                  <w:vAlign w:val="top"/>
                </w:tcPr>
                <w:p w14:paraId="573BC2AA">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z w:val="21"/>
                      <w:szCs w:val="21"/>
                    </w:rPr>
                    <w:t>Ⅱ</w:t>
                  </w:r>
                </w:p>
              </w:tc>
              <w:tc>
                <w:tcPr>
                  <w:tcW w:w="713" w:type="dxa"/>
                  <w:tcBorders>
                    <w:tl2br w:val="nil"/>
                    <w:tr2bl w:val="nil"/>
                  </w:tcBorders>
                  <w:shd w:val="clear" w:color="auto" w:fill="auto"/>
                  <w:vAlign w:val="top"/>
                </w:tcPr>
                <w:p w14:paraId="05470B6E">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1"/>
                      <w:position w:val="1"/>
                      <w:sz w:val="21"/>
                      <w:szCs w:val="21"/>
                    </w:rPr>
                    <w:t>Ⅲ</w:t>
                  </w:r>
                </w:p>
              </w:tc>
              <w:tc>
                <w:tcPr>
                  <w:tcW w:w="687" w:type="dxa"/>
                  <w:tcBorders>
                    <w:tl2br w:val="nil"/>
                    <w:tr2bl w:val="nil"/>
                  </w:tcBorders>
                  <w:shd w:val="clear" w:color="auto" w:fill="auto"/>
                  <w:vAlign w:val="top"/>
                </w:tcPr>
                <w:p w14:paraId="3111D362">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1"/>
                      <w:position w:val="1"/>
                      <w:sz w:val="21"/>
                      <w:szCs w:val="21"/>
                    </w:rPr>
                    <w:t>Ⅲ</w:t>
                  </w:r>
                </w:p>
              </w:tc>
              <w:tc>
                <w:tcPr>
                  <w:tcW w:w="1594" w:type="dxa"/>
                  <w:tcBorders>
                    <w:tl2br w:val="nil"/>
                    <w:tr2bl w:val="nil"/>
                  </w:tcBorders>
                  <w:vAlign w:val="top"/>
                </w:tcPr>
                <w:p w14:paraId="301EF56F">
                  <w:pPr>
                    <w:pStyle w:val="50"/>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eastAsia" w:asciiTheme="minorEastAsia" w:hAnsiTheme="minorEastAsia" w:eastAsiaTheme="minorEastAsia" w:cstheme="minorEastAsia"/>
                      <w:color w:val="000000" w:themeColor="text1"/>
                      <w:sz w:val="21"/>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vertAlign w:val="baseline"/>
                      <w:lang w:val="en-US" w:eastAsia="zh-CN"/>
                      <w14:textFill>
                        <w14:solidFill>
                          <w14:schemeClr w14:val="tx1"/>
                        </w14:solidFill>
                      </w14:textFill>
                    </w:rPr>
                    <w:t>/</w:t>
                  </w:r>
                </w:p>
              </w:tc>
            </w:tr>
            <w:tr w14:paraId="5955A5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continue"/>
                  <w:tcBorders>
                    <w:tl2br w:val="nil"/>
                    <w:tr2bl w:val="nil"/>
                  </w:tcBorders>
                  <w:vAlign w:val="top"/>
                </w:tcPr>
                <w:p w14:paraId="52C1B293">
                  <w:pPr>
                    <w:pStyle w:val="50"/>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eastAsia" w:asciiTheme="minorEastAsia" w:hAnsiTheme="minorEastAsia" w:eastAsiaTheme="minorEastAsia" w:cstheme="minorEastAsia"/>
                      <w:color w:val="000000" w:themeColor="text1"/>
                      <w:sz w:val="21"/>
                      <w:vertAlign w:val="baseline"/>
                      <w14:textFill>
                        <w14:solidFill>
                          <w14:schemeClr w14:val="tx1"/>
                        </w14:solidFill>
                      </w14:textFill>
                    </w:rPr>
                  </w:pPr>
                </w:p>
              </w:tc>
              <w:tc>
                <w:tcPr>
                  <w:tcW w:w="925" w:type="dxa"/>
                  <w:tcBorders>
                    <w:tl2br w:val="nil"/>
                    <w:tr2bl w:val="nil"/>
                  </w:tcBorders>
                  <w:shd w:val="clear" w:color="auto" w:fill="auto"/>
                  <w:vAlign w:val="top"/>
                </w:tcPr>
                <w:p w14:paraId="00245648">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6"/>
                      <w:sz w:val="21"/>
                      <w:szCs w:val="21"/>
                    </w:rPr>
                    <w:t>矮墩子</w:t>
                  </w:r>
                </w:p>
              </w:tc>
              <w:tc>
                <w:tcPr>
                  <w:tcW w:w="1713" w:type="dxa"/>
                  <w:tcBorders>
                    <w:tl2br w:val="nil"/>
                    <w:tr2bl w:val="nil"/>
                  </w:tcBorders>
                  <w:shd w:val="clear" w:color="auto" w:fill="auto"/>
                  <w:vAlign w:val="top"/>
                </w:tcPr>
                <w:p w14:paraId="36D956E6">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4"/>
                      <w:sz w:val="21"/>
                      <w:szCs w:val="21"/>
                    </w:rPr>
                    <w:t>县界</w:t>
                  </w:r>
                  <w:r>
                    <w:rPr>
                      <w:rFonts w:hint="eastAsia" w:asciiTheme="minorEastAsia" w:hAnsiTheme="minorEastAsia" w:eastAsiaTheme="minorEastAsia" w:cstheme="minorEastAsia"/>
                      <w:spacing w:val="6"/>
                      <w:sz w:val="21"/>
                      <w:szCs w:val="21"/>
                    </w:rPr>
                    <w:t>（大竹县→达川区）</w:t>
                  </w:r>
                </w:p>
              </w:tc>
              <w:tc>
                <w:tcPr>
                  <w:tcW w:w="900" w:type="dxa"/>
                  <w:tcBorders>
                    <w:tl2br w:val="nil"/>
                    <w:tr2bl w:val="nil"/>
                  </w:tcBorders>
                  <w:shd w:val="clear" w:color="auto" w:fill="auto"/>
                  <w:vAlign w:val="top"/>
                </w:tcPr>
                <w:p w14:paraId="75E3F29F">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2"/>
                      <w:sz w:val="21"/>
                      <w:szCs w:val="21"/>
                    </w:rPr>
                    <w:t>市控</w:t>
                  </w:r>
                </w:p>
              </w:tc>
              <w:tc>
                <w:tcPr>
                  <w:tcW w:w="712" w:type="dxa"/>
                  <w:tcBorders>
                    <w:tl2br w:val="nil"/>
                    <w:tr2bl w:val="nil"/>
                  </w:tcBorders>
                  <w:shd w:val="clear" w:color="auto" w:fill="auto"/>
                  <w:vAlign w:val="top"/>
                </w:tcPr>
                <w:p w14:paraId="29263DDE">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z w:val="21"/>
                      <w:szCs w:val="21"/>
                    </w:rPr>
                    <w:t>Ⅱ</w:t>
                  </w:r>
                </w:p>
              </w:tc>
              <w:tc>
                <w:tcPr>
                  <w:tcW w:w="713" w:type="dxa"/>
                  <w:tcBorders>
                    <w:tl2br w:val="nil"/>
                    <w:tr2bl w:val="nil"/>
                  </w:tcBorders>
                  <w:shd w:val="clear" w:color="auto" w:fill="auto"/>
                  <w:vAlign w:val="top"/>
                </w:tcPr>
                <w:p w14:paraId="5FB86944">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1"/>
                      <w:position w:val="1"/>
                      <w:sz w:val="21"/>
                      <w:szCs w:val="21"/>
                    </w:rPr>
                    <w:t>Ⅲ</w:t>
                  </w:r>
                </w:p>
              </w:tc>
              <w:tc>
                <w:tcPr>
                  <w:tcW w:w="687" w:type="dxa"/>
                  <w:tcBorders>
                    <w:tl2br w:val="nil"/>
                    <w:tr2bl w:val="nil"/>
                  </w:tcBorders>
                  <w:shd w:val="clear" w:color="auto" w:fill="auto"/>
                  <w:vAlign w:val="top"/>
                </w:tcPr>
                <w:p w14:paraId="1A140134">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1"/>
                      <w:position w:val="1"/>
                      <w:sz w:val="21"/>
                      <w:szCs w:val="21"/>
                    </w:rPr>
                    <w:t>Ⅲ</w:t>
                  </w:r>
                </w:p>
              </w:tc>
              <w:tc>
                <w:tcPr>
                  <w:tcW w:w="1594" w:type="dxa"/>
                  <w:tcBorders>
                    <w:tl2br w:val="nil"/>
                    <w:tr2bl w:val="nil"/>
                  </w:tcBorders>
                  <w:vAlign w:val="top"/>
                </w:tcPr>
                <w:p w14:paraId="666A462F">
                  <w:pPr>
                    <w:pStyle w:val="50"/>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eastAsia" w:asciiTheme="minorEastAsia" w:hAnsiTheme="minorEastAsia" w:eastAsiaTheme="minorEastAsia" w:cstheme="minorEastAsia"/>
                      <w:color w:val="000000" w:themeColor="text1"/>
                      <w:sz w:val="21"/>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vertAlign w:val="baseline"/>
                      <w:lang w:val="en-US" w:eastAsia="zh-CN"/>
                      <w14:textFill>
                        <w14:solidFill>
                          <w14:schemeClr w14:val="tx1"/>
                        </w14:solidFill>
                      </w14:textFill>
                    </w:rPr>
                    <w:t>/</w:t>
                  </w:r>
                </w:p>
              </w:tc>
            </w:tr>
            <w:tr w14:paraId="01F4CD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continue"/>
                  <w:tcBorders>
                    <w:tl2br w:val="nil"/>
                    <w:tr2bl w:val="nil"/>
                  </w:tcBorders>
                  <w:vAlign w:val="top"/>
                </w:tcPr>
                <w:p w14:paraId="2D5109F0">
                  <w:pPr>
                    <w:pStyle w:val="50"/>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eastAsia" w:asciiTheme="minorEastAsia" w:hAnsiTheme="minorEastAsia" w:eastAsiaTheme="minorEastAsia" w:cstheme="minorEastAsia"/>
                      <w:color w:val="000000" w:themeColor="text1"/>
                      <w:sz w:val="21"/>
                      <w:vertAlign w:val="baseline"/>
                      <w14:textFill>
                        <w14:solidFill>
                          <w14:schemeClr w14:val="tx1"/>
                        </w14:solidFill>
                      </w14:textFill>
                    </w:rPr>
                  </w:pPr>
                </w:p>
              </w:tc>
              <w:tc>
                <w:tcPr>
                  <w:tcW w:w="925" w:type="dxa"/>
                  <w:tcBorders>
                    <w:tl2br w:val="nil"/>
                    <w:tr2bl w:val="nil"/>
                  </w:tcBorders>
                  <w:shd w:val="clear" w:color="auto" w:fill="auto"/>
                  <w:vAlign w:val="top"/>
                </w:tcPr>
                <w:p w14:paraId="0E6BC70E">
                  <w:pPr>
                    <w:pStyle w:val="60"/>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百节镇</w:t>
                  </w:r>
                </w:p>
                <w:p w14:paraId="46459EF4">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6"/>
                      <w:sz w:val="21"/>
                      <w:szCs w:val="21"/>
                    </w:rPr>
                    <w:t>观音桥</w:t>
                  </w:r>
                </w:p>
              </w:tc>
              <w:tc>
                <w:tcPr>
                  <w:tcW w:w="1713" w:type="dxa"/>
                  <w:tcBorders>
                    <w:tl2br w:val="nil"/>
                    <w:tr2bl w:val="nil"/>
                  </w:tcBorders>
                  <w:shd w:val="clear" w:color="auto" w:fill="auto"/>
                  <w:vAlign w:val="top"/>
                </w:tcPr>
                <w:p w14:paraId="6361681C">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4"/>
                      <w:sz w:val="21"/>
                      <w:szCs w:val="21"/>
                    </w:rPr>
                    <w:t>县界</w:t>
                  </w:r>
                  <w:r>
                    <w:rPr>
                      <w:rFonts w:hint="eastAsia" w:asciiTheme="minorEastAsia" w:hAnsiTheme="minorEastAsia" w:eastAsiaTheme="minorEastAsia" w:cstheme="minorEastAsia"/>
                      <w:spacing w:val="5"/>
                      <w:sz w:val="21"/>
                      <w:szCs w:val="21"/>
                    </w:rPr>
                    <w:t>（达川区→</w:t>
                  </w:r>
                  <w:r>
                    <w:rPr>
                      <w:rFonts w:hint="eastAsia" w:asciiTheme="minorEastAsia" w:hAnsiTheme="minorEastAsia" w:eastAsiaTheme="minorEastAsia" w:cstheme="minorEastAsia"/>
                      <w:spacing w:val="-35"/>
                      <w:sz w:val="21"/>
                      <w:szCs w:val="21"/>
                    </w:rPr>
                    <w:t xml:space="preserve"> </w:t>
                  </w:r>
                  <w:r>
                    <w:rPr>
                      <w:rFonts w:hint="eastAsia" w:asciiTheme="minorEastAsia" w:hAnsiTheme="minorEastAsia" w:eastAsiaTheme="minorEastAsia" w:cstheme="minorEastAsia"/>
                      <w:spacing w:val="5"/>
                      <w:sz w:val="21"/>
                      <w:szCs w:val="21"/>
                    </w:rPr>
                    <w:t>高新区）</w:t>
                  </w:r>
                </w:p>
              </w:tc>
              <w:tc>
                <w:tcPr>
                  <w:tcW w:w="900" w:type="dxa"/>
                  <w:tcBorders>
                    <w:tl2br w:val="nil"/>
                    <w:tr2bl w:val="nil"/>
                  </w:tcBorders>
                  <w:shd w:val="clear" w:color="auto" w:fill="auto"/>
                  <w:vAlign w:val="top"/>
                </w:tcPr>
                <w:p w14:paraId="13C815C7">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2"/>
                      <w:sz w:val="21"/>
                      <w:szCs w:val="21"/>
                    </w:rPr>
                    <w:t>市控</w:t>
                  </w:r>
                </w:p>
              </w:tc>
              <w:tc>
                <w:tcPr>
                  <w:tcW w:w="712" w:type="dxa"/>
                  <w:tcBorders>
                    <w:tl2br w:val="nil"/>
                    <w:tr2bl w:val="nil"/>
                  </w:tcBorders>
                  <w:shd w:val="clear" w:color="auto" w:fill="auto"/>
                  <w:vAlign w:val="top"/>
                </w:tcPr>
                <w:p w14:paraId="39696990">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z w:val="21"/>
                      <w:szCs w:val="21"/>
                    </w:rPr>
                    <w:t>Ⅱ</w:t>
                  </w:r>
                </w:p>
              </w:tc>
              <w:tc>
                <w:tcPr>
                  <w:tcW w:w="713" w:type="dxa"/>
                  <w:tcBorders>
                    <w:tl2br w:val="nil"/>
                    <w:tr2bl w:val="nil"/>
                  </w:tcBorders>
                  <w:shd w:val="clear" w:color="auto" w:fill="auto"/>
                  <w:vAlign w:val="top"/>
                </w:tcPr>
                <w:p w14:paraId="2A531C20">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1"/>
                      <w:position w:val="1"/>
                      <w:sz w:val="21"/>
                      <w:szCs w:val="21"/>
                    </w:rPr>
                    <w:t>Ⅲ</w:t>
                  </w:r>
                </w:p>
              </w:tc>
              <w:tc>
                <w:tcPr>
                  <w:tcW w:w="687" w:type="dxa"/>
                  <w:tcBorders>
                    <w:tl2br w:val="nil"/>
                    <w:tr2bl w:val="nil"/>
                  </w:tcBorders>
                  <w:shd w:val="clear" w:color="auto" w:fill="auto"/>
                  <w:vAlign w:val="top"/>
                </w:tcPr>
                <w:p w14:paraId="0D146229">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1"/>
                      <w:position w:val="1"/>
                      <w:sz w:val="21"/>
                      <w:szCs w:val="21"/>
                    </w:rPr>
                    <w:t>Ⅲ</w:t>
                  </w:r>
                </w:p>
              </w:tc>
              <w:tc>
                <w:tcPr>
                  <w:tcW w:w="1594" w:type="dxa"/>
                  <w:tcBorders>
                    <w:tl2br w:val="nil"/>
                    <w:tr2bl w:val="nil"/>
                  </w:tcBorders>
                  <w:vAlign w:val="top"/>
                </w:tcPr>
                <w:p w14:paraId="4C332DD5">
                  <w:pPr>
                    <w:pStyle w:val="50"/>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eastAsia" w:asciiTheme="minorEastAsia" w:hAnsiTheme="minorEastAsia" w:eastAsiaTheme="minorEastAsia" w:cstheme="minorEastAsia"/>
                      <w:color w:val="000000" w:themeColor="text1"/>
                      <w:sz w:val="21"/>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vertAlign w:val="baseline"/>
                      <w:lang w:val="en-US" w:eastAsia="zh-CN"/>
                      <w14:textFill>
                        <w14:solidFill>
                          <w14:schemeClr w14:val="tx1"/>
                        </w14:solidFill>
                      </w14:textFill>
                    </w:rPr>
                    <w:t>/</w:t>
                  </w:r>
                </w:p>
              </w:tc>
            </w:tr>
            <w:tr w14:paraId="755FA0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continue"/>
                  <w:tcBorders>
                    <w:tl2br w:val="nil"/>
                    <w:tr2bl w:val="nil"/>
                  </w:tcBorders>
                  <w:vAlign w:val="top"/>
                </w:tcPr>
                <w:p w14:paraId="09619C8B">
                  <w:pPr>
                    <w:pStyle w:val="50"/>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eastAsia" w:asciiTheme="minorEastAsia" w:hAnsiTheme="minorEastAsia" w:eastAsiaTheme="minorEastAsia" w:cstheme="minorEastAsia"/>
                      <w:color w:val="000000" w:themeColor="text1"/>
                      <w:sz w:val="21"/>
                      <w:vertAlign w:val="baseline"/>
                      <w14:textFill>
                        <w14:solidFill>
                          <w14:schemeClr w14:val="tx1"/>
                        </w14:solidFill>
                      </w14:textFill>
                    </w:rPr>
                  </w:pPr>
                </w:p>
              </w:tc>
              <w:tc>
                <w:tcPr>
                  <w:tcW w:w="925" w:type="dxa"/>
                  <w:tcBorders>
                    <w:tl2br w:val="nil"/>
                    <w:tr2bl w:val="nil"/>
                  </w:tcBorders>
                  <w:shd w:val="clear" w:color="auto" w:fill="auto"/>
                  <w:vAlign w:val="top"/>
                </w:tcPr>
                <w:p w14:paraId="3B6A0084">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7"/>
                      <w:sz w:val="21"/>
                      <w:szCs w:val="21"/>
                    </w:rPr>
                    <w:t>金垭米家坝</w:t>
                  </w:r>
                </w:p>
              </w:tc>
              <w:tc>
                <w:tcPr>
                  <w:tcW w:w="1713" w:type="dxa"/>
                  <w:tcBorders>
                    <w:tl2br w:val="nil"/>
                    <w:tr2bl w:val="nil"/>
                  </w:tcBorders>
                  <w:shd w:val="clear" w:color="auto" w:fill="auto"/>
                  <w:vAlign w:val="top"/>
                </w:tcPr>
                <w:p w14:paraId="36D987C2">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7"/>
                      <w:sz w:val="21"/>
                      <w:szCs w:val="21"/>
                    </w:rPr>
                    <w:t>入河口</w:t>
                  </w:r>
                  <w:r>
                    <w:rPr>
                      <w:rFonts w:hint="eastAsia" w:asciiTheme="minorEastAsia" w:hAnsiTheme="minorEastAsia" w:eastAsiaTheme="minorEastAsia" w:cstheme="minorEastAsia"/>
                      <w:spacing w:val="3"/>
                      <w:sz w:val="21"/>
                      <w:szCs w:val="21"/>
                    </w:rPr>
                    <w:t>（入州河）</w:t>
                  </w:r>
                </w:p>
              </w:tc>
              <w:tc>
                <w:tcPr>
                  <w:tcW w:w="900" w:type="dxa"/>
                  <w:tcBorders>
                    <w:tl2br w:val="nil"/>
                    <w:tr2bl w:val="nil"/>
                  </w:tcBorders>
                  <w:shd w:val="clear" w:color="auto" w:fill="auto"/>
                  <w:vAlign w:val="top"/>
                </w:tcPr>
                <w:p w14:paraId="0E9AAD69">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2"/>
                      <w:sz w:val="21"/>
                      <w:szCs w:val="21"/>
                    </w:rPr>
                    <w:t>市控</w:t>
                  </w:r>
                </w:p>
              </w:tc>
              <w:tc>
                <w:tcPr>
                  <w:tcW w:w="712" w:type="dxa"/>
                  <w:tcBorders>
                    <w:tl2br w:val="nil"/>
                    <w:tr2bl w:val="nil"/>
                  </w:tcBorders>
                  <w:shd w:val="clear" w:color="auto" w:fill="auto"/>
                  <w:vAlign w:val="top"/>
                </w:tcPr>
                <w:p w14:paraId="0E8A57AF">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pacing w:val="1"/>
                      <w:position w:val="1"/>
                      <w:sz w:val="21"/>
                      <w:szCs w:val="21"/>
                    </w:rPr>
                    <w:t>Ⅲ</w:t>
                  </w:r>
                </w:p>
              </w:tc>
              <w:tc>
                <w:tcPr>
                  <w:tcW w:w="713" w:type="dxa"/>
                  <w:tcBorders>
                    <w:tl2br w:val="nil"/>
                    <w:tr2bl w:val="nil"/>
                  </w:tcBorders>
                  <w:shd w:val="clear" w:color="auto" w:fill="auto"/>
                  <w:vAlign w:val="top"/>
                </w:tcPr>
                <w:p w14:paraId="3F7D1A00">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1"/>
                      <w:position w:val="1"/>
                      <w:sz w:val="21"/>
                      <w:szCs w:val="21"/>
                    </w:rPr>
                    <w:t>Ⅲ</w:t>
                  </w:r>
                </w:p>
              </w:tc>
              <w:tc>
                <w:tcPr>
                  <w:tcW w:w="687" w:type="dxa"/>
                  <w:tcBorders>
                    <w:tl2br w:val="nil"/>
                    <w:tr2bl w:val="nil"/>
                  </w:tcBorders>
                  <w:shd w:val="clear" w:color="auto" w:fill="auto"/>
                  <w:vAlign w:val="top"/>
                </w:tcPr>
                <w:p w14:paraId="1E407400">
                  <w:pPr>
                    <w:pStyle w:val="6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spacing w:val="1"/>
                      <w:position w:val="1"/>
                      <w:sz w:val="21"/>
                      <w:szCs w:val="21"/>
                    </w:rPr>
                    <w:t>Ⅲ</w:t>
                  </w:r>
                </w:p>
              </w:tc>
              <w:tc>
                <w:tcPr>
                  <w:tcW w:w="1594" w:type="dxa"/>
                  <w:tcBorders>
                    <w:tl2br w:val="nil"/>
                    <w:tr2bl w:val="nil"/>
                  </w:tcBorders>
                  <w:vAlign w:val="top"/>
                </w:tcPr>
                <w:p w14:paraId="742C6C82">
                  <w:pPr>
                    <w:pStyle w:val="50"/>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eastAsia" w:asciiTheme="minorEastAsia" w:hAnsiTheme="minorEastAsia" w:eastAsiaTheme="minorEastAsia" w:cstheme="minorEastAsia"/>
                      <w:color w:val="000000" w:themeColor="text1"/>
                      <w:sz w:val="21"/>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vertAlign w:val="baseline"/>
                      <w:lang w:val="en-US" w:eastAsia="zh-CN"/>
                      <w14:textFill>
                        <w14:solidFill>
                          <w14:schemeClr w14:val="tx1"/>
                        </w14:solidFill>
                      </w14:textFill>
                    </w:rPr>
                    <w:t>/</w:t>
                  </w:r>
                </w:p>
              </w:tc>
            </w:tr>
          </w:tbl>
          <w:p w14:paraId="61EE5135">
            <w:pPr>
              <w:pStyle w:val="5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本项目评价区域的地表水体为铜钵河，根据上表例行监测结果表明：项目区域地表水能够达到《地表水环境质量标准》（GB3838-2002）III 类水质标准。</w:t>
            </w:r>
          </w:p>
          <w:p w14:paraId="2AD37240">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p w14:paraId="3E942B21">
            <w:pPr>
              <w:pStyle w:val="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根据《建设项目环境影响报告表编制技术指南（污染影响类）》（试行），厂界外周边50米范围内存在声环境保护目标的建设项目，应监测保护目标声环境质量现状并评价达标情况。</w:t>
            </w:r>
          </w:p>
          <w:p w14:paraId="116F413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本项目周围50m范围内</w:t>
            </w:r>
            <w:r>
              <w:rPr>
                <w:rFonts w:hint="eastAsia"/>
                <w:color w:val="000000" w:themeColor="text1"/>
                <w:lang w:val="en-US" w:eastAsia="zh-CN"/>
                <w14:textFill>
                  <w14:solidFill>
                    <w14:schemeClr w14:val="tx1"/>
                  </w14:solidFill>
                </w14:textFill>
              </w:rPr>
              <w:t>无</w:t>
            </w:r>
            <w:r>
              <w:rPr>
                <w:rFonts w:hint="eastAsia"/>
                <w:color w:val="000000" w:themeColor="text1"/>
                <w14:textFill>
                  <w14:solidFill>
                    <w14:schemeClr w14:val="tx1"/>
                  </w14:solidFill>
                </w14:textFill>
              </w:rPr>
              <w:t>声环境保护目标，</w:t>
            </w:r>
            <w:r>
              <w:rPr>
                <w:rFonts w:hint="eastAsia"/>
                <w:color w:val="000000" w:themeColor="text1"/>
                <w:lang w:val="en-US" w:eastAsia="zh-CN"/>
                <w14:textFill>
                  <w14:solidFill>
                    <w14:schemeClr w14:val="tx1"/>
                  </w14:solidFill>
                </w14:textFill>
              </w:rPr>
              <w:t>故无需评价声环境质量现状</w:t>
            </w:r>
            <w:r>
              <w:rPr>
                <w:rFonts w:hint="eastAsia"/>
                <w:color w:val="000000" w:themeColor="text1"/>
                <w14:textFill>
                  <w14:solidFill>
                    <w14:schemeClr w14:val="tx1"/>
                  </w14:solidFill>
                </w14:textFill>
              </w:rPr>
              <w:t>。</w:t>
            </w:r>
          </w:p>
          <w:p w14:paraId="464E0484">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生态环境质量现状监测与评价</w:t>
            </w:r>
          </w:p>
          <w:p w14:paraId="716EF04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根据《建设项目环境影响报告表编制技术指南（污染影响类）》（试行），本项目周边无生态环境保护目标，根据《建设项目环境影响报告表编制技术指南（污染影响类）（试行）》，可不进行生态现状调查。</w:t>
            </w:r>
          </w:p>
          <w:p w14:paraId="583F2816">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地下水、土壤环境</w:t>
            </w:r>
          </w:p>
          <w:p w14:paraId="0846BF02">
            <w:pPr>
              <w:pStyle w:val="50"/>
              <w:rPr>
                <w:color w:val="000000" w:themeColor="text1"/>
                <w:highlight w:val="none"/>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根据《建设项目环境影响报告表编制技术指南（污染影响类）（试行）》可知，地下水原则上不开展环境质量现状调查，建设项目存在地下水环境污染途径的，应结合污染源、</w:t>
            </w:r>
            <w:r>
              <w:rPr>
                <w:rFonts w:hint="eastAsia"/>
                <w:color w:val="000000" w:themeColor="text1"/>
                <w:highlight w:val="none"/>
                <w14:textFill>
                  <w14:solidFill>
                    <w14:schemeClr w14:val="tx1"/>
                  </w14:solidFill>
                </w14:textFill>
              </w:rPr>
              <w:t>保护目标分布情况开展现状调查以留作背景值。</w:t>
            </w:r>
          </w:p>
          <w:p w14:paraId="4A84C5AE">
            <w:pPr>
              <w:pStyle w:val="50"/>
              <w:rPr>
                <w:color w:val="000000" w:themeColor="text1"/>
                <w14:textFill>
                  <w14:solidFill>
                    <w14:schemeClr w14:val="tx1"/>
                  </w14:solidFill>
                </w14:textFill>
              </w:rPr>
            </w:pPr>
            <w:r>
              <w:rPr>
                <w:rFonts w:hint="eastAsia"/>
                <w:color w:val="000000" w:themeColor="text1"/>
                <w:highlight w:val="none"/>
                <w14:textFill>
                  <w14:solidFill>
                    <w14:schemeClr w14:val="tx1"/>
                  </w14:solidFill>
                </w14:textFill>
              </w:rPr>
              <w:t>本项目用地性质为工业用地，项目周边地下水、土壤环境相对不敏感。同时</w:t>
            </w:r>
            <w:r>
              <w:rPr>
                <w:rFonts w:hint="eastAsia"/>
                <w:color w:val="000000" w:themeColor="text1"/>
                <w:highlight w:val="none"/>
                <w:lang w:val="en-US" w:eastAsia="zh-CN"/>
                <w14:textFill>
                  <w14:solidFill>
                    <w14:schemeClr w14:val="tx1"/>
                  </w14:solidFill>
                </w14:textFill>
              </w:rPr>
              <w:t>项目使用</w:t>
            </w:r>
            <w:r>
              <w:rPr>
                <w:rFonts w:hint="eastAsia"/>
                <w:color w:val="000000" w:themeColor="text1"/>
                <w:highlight w:val="none"/>
                <w14:textFill>
                  <w14:solidFill>
                    <w14:schemeClr w14:val="tx1"/>
                  </w14:solidFill>
                </w14:textFill>
              </w:rPr>
              <w:t>厂房</w:t>
            </w:r>
            <w:r>
              <w:rPr>
                <w:rFonts w:hint="eastAsia"/>
                <w:color w:val="000000" w:themeColor="text1"/>
                <w:highlight w:val="none"/>
                <w:lang w:val="en-US" w:eastAsia="zh-CN"/>
                <w14:textFill>
                  <w14:solidFill>
                    <w14:schemeClr w14:val="tx1"/>
                  </w14:solidFill>
                </w14:textFill>
              </w:rPr>
              <w:t>的</w:t>
            </w:r>
            <w:r>
              <w:rPr>
                <w:rFonts w:hint="eastAsia"/>
                <w:color w:val="000000" w:themeColor="text1"/>
                <w:highlight w:val="none"/>
                <w14:textFill>
                  <w14:solidFill>
                    <w14:schemeClr w14:val="tx1"/>
                  </w14:solidFill>
                </w14:textFill>
              </w:rPr>
              <w:t>地面已经进行硬化并做了防渗处理，</w:t>
            </w:r>
            <w:r>
              <w:rPr>
                <w:rFonts w:hint="eastAsia"/>
                <w:color w:val="000000" w:themeColor="text1"/>
                <w:highlight w:val="none"/>
                <w:lang w:val="en-US" w:eastAsia="zh-CN"/>
                <w14:textFill>
                  <w14:solidFill>
                    <w14:schemeClr w14:val="tx1"/>
                  </w14:solidFill>
                </w14:textFill>
              </w:rPr>
              <w:t>本项目</w:t>
            </w:r>
            <w:r>
              <w:rPr>
                <w:rFonts w:hint="eastAsia"/>
                <w:color w:val="000000" w:themeColor="text1"/>
                <w14:textFill>
                  <w14:solidFill>
                    <w14:schemeClr w14:val="tx1"/>
                  </w14:solidFill>
                </w14:textFill>
              </w:rPr>
              <w:t>不存在土壤、地下水环境污染途径，因此，本评价不对项目地下水、土壤环境质量进行现状监测。</w:t>
            </w:r>
          </w:p>
        </w:tc>
      </w:tr>
      <w:tr w14:paraId="501CFE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1" w:type="dxa"/>
            <w:noWrap w:val="0"/>
            <w:vAlign w:val="center"/>
          </w:tcPr>
          <w:p w14:paraId="31C8E5EC">
            <w:pPr>
              <w:rPr>
                <w:color w:val="000000" w:themeColor="text1"/>
                <w14:textFill>
                  <w14:solidFill>
                    <w14:schemeClr w14:val="tx1"/>
                  </w14:solidFill>
                </w14:textFill>
              </w:rPr>
            </w:pPr>
            <w:r>
              <w:rPr>
                <w:rFonts w:hint="eastAsia"/>
                <w:color w:val="000000" w:themeColor="text1"/>
                <w14:textFill>
                  <w14:solidFill>
                    <w14:schemeClr w14:val="tx1"/>
                  </w14:solidFill>
                </w14:textFill>
              </w:rPr>
              <w:t>环境保护目标</w:t>
            </w:r>
          </w:p>
        </w:tc>
        <w:tc>
          <w:tcPr>
            <w:tcW w:w="8475" w:type="dxa"/>
            <w:noWrap w:val="0"/>
            <w:vAlign w:val="center"/>
          </w:tcPr>
          <w:p w14:paraId="3985C5A2">
            <w:pPr>
              <w:pStyle w:val="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周边外环境关系</w:t>
            </w:r>
          </w:p>
          <w:p w14:paraId="642BD970">
            <w:pPr>
              <w:pStyle w:val="50"/>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eastAsia="宋体"/>
                <w:color w:val="000000" w:themeColor="text1"/>
                <w:highlight w:val="none"/>
                <w:lang w:eastAsia="zh-CN"/>
                <w14:textFill>
                  <w14:solidFill>
                    <w14:schemeClr w14:val="tx1"/>
                  </w14:solidFill>
                </w14:textFill>
              </w:rPr>
              <w:t>四川省达州市达川百马产业新区俊健标准厂房</w:t>
            </w:r>
            <w:r>
              <w:rPr>
                <w:rFonts w:hint="eastAsia"/>
                <w:color w:val="000000" w:themeColor="text1"/>
                <w:lang w:val="en-US" w:eastAsia="zh-CN"/>
                <w14:textFill>
                  <w14:solidFill>
                    <w14:schemeClr w14:val="tx1"/>
                  </w14:solidFill>
                </w14:textFill>
              </w:rPr>
              <w:t>，周边多为</w:t>
            </w:r>
            <w:r>
              <w:rPr>
                <w:rFonts w:hint="eastAsia"/>
                <w:color w:val="000000" w:themeColor="text1"/>
                <w14:textFill>
                  <w14:solidFill>
                    <w14:schemeClr w14:val="tx1"/>
                  </w14:solidFill>
                </w14:textFill>
              </w:rPr>
              <w:t>已建企业和园区用地。周边50m范围内无居民区、医院和学校等环境敏感区。本项目所在地及周边评价范围内不涉及自然保护区、世界文化和自然遗产地、风景名胜区、森林公园、重要湿地</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原始天然林、珍稀濒危野生动植物天然集中分布区等环境敏感区。</w:t>
            </w:r>
          </w:p>
          <w:p w14:paraId="6A8B9780">
            <w:pPr>
              <w:pStyle w:val="3"/>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环境保护目标及周边外环境</w:t>
            </w:r>
          </w:p>
          <w:p w14:paraId="42977B66">
            <w:pPr>
              <w:keepNext w:val="0"/>
              <w:keepLines w:val="0"/>
              <w:pageBreakBefore w:val="0"/>
              <w:widowControl w:val="0"/>
              <w:kinsoku/>
              <w:wordWrap/>
              <w:overflowPunct/>
              <w:topLinePunct w:val="0"/>
              <w:autoSpaceDE/>
              <w:autoSpaceDN/>
              <w:bidi w:val="0"/>
              <w:spacing w:line="460" w:lineRule="exact"/>
              <w:ind w:firstLine="48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根据调查，项目周边环境保护目标分布情况具体如下：</w:t>
            </w:r>
          </w:p>
          <w:p w14:paraId="5AF1C6BC">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1、大气环境：本项目厂界外500m范围内大气环境保护目标</w:t>
            </w:r>
            <w:r>
              <w:rPr>
                <w:rFonts w:hint="eastAsia"/>
                <w:color w:val="000000" w:themeColor="text1"/>
                <w:lang w:val="en-US" w:eastAsia="zh-CN"/>
                <w14:textFill>
                  <w14:solidFill>
                    <w14:schemeClr w14:val="tx1"/>
                  </w14:solidFill>
                </w14:textFill>
              </w:rPr>
              <w:t>见下表</w:t>
            </w:r>
            <w:r>
              <w:rPr>
                <w:rFonts w:hint="eastAsia"/>
                <w:color w:val="000000" w:themeColor="text1"/>
                <w14:textFill>
                  <w14:solidFill>
                    <w14:schemeClr w14:val="tx1"/>
                  </w14:solidFill>
                </w14:textFill>
              </w:rPr>
              <w:t>。</w:t>
            </w:r>
          </w:p>
          <w:p w14:paraId="33D8046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2、声环境：</w:t>
            </w:r>
            <w:r>
              <w:rPr>
                <w:rFonts w:hint="eastAsia"/>
                <w:color w:val="000000" w:themeColor="text1"/>
                <w:lang w:val="en-US" w:eastAsia="zh-CN"/>
                <w14:textFill>
                  <w14:solidFill>
                    <w14:schemeClr w14:val="tx1"/>
                  </w14:solidFill>
                </w14:textFill>
              </w:rPr>
              <w:t>本</w:t>
            </w:r>
            <w:r>
              <w:rPr>
                <w:rFonts w:hint="eastAsia"/>
                <w:color w:val="000000" w:themeColor="text1"/>
                <w14:textFill>
                  <w14:solidFill>
                    <w14:schemeClr w14:val="tx1"/>
                  </w14:solidFill>
                </w14:textFill>
              </w:rPr>
              <w:t>项目厂界外50</w:t>
            </w:r>
            <w:r>
              <w:rPr>
                <w:rFonts w:hint="eastAsia"/>
                <w:color w:val="000000" w:themeColor="text1"/>
                <w:lang w:val="en-US" w:eastAsia="zh-CN"/>
                <w14:textFill>
                  <w14:solidFill>
                    <w14:schemeClr w14:val="tx1"/>
                  </w14:solidFill>
                </w14:textFill>
              </w:rPr>
              <w:t>m</w:t>
            </w:r>
            <w:r>
              <w:rPr>
                <w:rFonts w:hint="eastAsia"/>
                <w:color w:val="000000" w:themeColor="text1"/>
                <w14:textFill>
                  <w14:solidFill>
                    <w14:schemeClr w14:val="tx1"/>
                  </w14:solidFill>
                </w14:textFill>
              </w:rPr>
              <w:t>范围内</w:t>
            </w:r>
            <w:r>
              <w:rPr>
                <w:rFonts w:hint="eastAsia"/>
                <w:color w:val="000000" w:themeColor="text1"/>
                <w:lang w:eastAsia="zh-CN"/>
                <w14:textFill>
                  <w14:solidFill>
                    <w14:schemeClr w14:val="tx1"/>
                  </w14:solidFill>
                </w14:textFill>
              </w:rPr>
              <w:t>无</w:t>
            </w:r>
            <w:r>
              <w:rPr>
                <w:rFonts w:hint="eastAsia"/>
                <w:color w:val="000000" w:themeColor="text1"/>
                <w14:textFill>
                  <w14:solidFill>
                    <w14:schemeClr w14:val="tx1"/>
                  </w14:solidFill>
                </w14:textFill>
              </w:rPr>
              <w:t>声环境保护目标。</w:t>
            </w:r>
          </w:p>
          <w:p w14:paraId="6264FF32">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3、地下水环境：项目厂界外500</w:t>
            </w:r>
            <w:r>
              <w:rPr>
                <w:rFonts w:hint="eastAsia"/>
                <w:color w:val="000000" w:themeColor="text1"/>
                <w:lang w:val="en-US" w:eastAsia="zh-CN"/>
                <w14:textFill>
                  <w14:solidFill>
                    <w14:schemeClr w14:val="tx1"/>
                  </w14:solidFill>
                </w14:textFill>
              </w:rPr>
              <w:t>m</w:t>
            </w:r>
            <w:r>
              <w:rPr>
                <w:rFonts w:hint="eastAsia"/>
                <w:color w:val="000000" w:themeColor="text1"/>
                <w14:textFill>
                  <w14:solidFill>
                    <w14:schemeClr w14:val="tx1"/>
                  </w14:solidFill>
                </w14:textFill>
              </w:rPr>
              <w:t>范围内的无地下水集中式饮用水水源和热水、矿泉水、温泉等特殊地下水资源。</w:t>
            </w:r>
          </w:p>
          <w:p w14:paraId="2FAA966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4、生态环境：本项目在现有标准厂房内建设，无生态环境保护目标。</w:t>
            </w:r>
          </w:p>
          <w:p w14:paraId="7FF27635">
            <w:pPr>
              <w:pStyle w:val="6"/>
              <w:numPr>
                <w:ilvl w:val="4"/>
                <w:numId w:val="0"/>
              </w:numPr>
              <w:bidi w:val="0"/>
              <w:ind w:left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表3-3 </w:t>
            </w:r>
            <w:r>
              <w:rPr>
                <w:color w:val="000000" w:themeColor="text1"/>
                <w14:textFill>
                  <w14:solidFill>
                    <w14:schemeClr w14:val="tx1"/>
                  </w14:solidFill>
                </w14:textFill>
              </w:rPr>
              <w:t>大气环境保护目标统计表</w:t>
            </w:r>
          </w:p>
          <w:tbl>
            <w:tblPr>
              <w:tblStyle w:val="28"/>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948"/>
              <w:gridCol w:w="1156"/>
              <w:gridCol w:w="1135"/>
              <w:gridCol w:w="955"/>
              <w:gridCol w:w="799"/>
              <w:gridCol w:w="1124"/>
              <w:gridCol w:w="922"/>
              <w:gridCol w:w="788"/>
            </w:tblGrid>
            <w:tr w14:paraId="0EFE7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54" w:type="pct"/>
                  <w:vMerge w:val="restart"/>
                  <w:tcBorders>
                    <w:tl2br w:val="nil"/>
                    <w:tr2bl w:val="nil"/>
                  </w:tcBorders>
                  <w:noWrap w:val="0"/>
                  <w:vAlign w:val="center"/>
                </w:tcPr>
                <w:p w14:paraId="52836CD7">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574" w:type="pct"/>
                  <w:vMerge w:val="restart"/>
                  <w:tcBorders>
                    <w:tl2br w:val="nil"/>
                    <w:tr2bl w:val="nil"/>
                  </w:tcBorders>
                  <w:noWrap w:val="0"/>
                  <w:vAlign w:val="center"/>
                </w:tcPr>
                <w:p w14:paraId="67B8A1AF">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1389" w:type="pct"/>
                  <w:gridSpan w:val="2"/>
                  <w:tcBorders>
                    <w:tl2br w:val="nil"/>
                    <w:tr2bl w:val="nil"/>
                  </w:tcBorders>
                  <w:noWrap w:val="0"/>
                  <w:vAlign w:val="center"/>
                </w:tcPr>
                <w:p w14:paraId="276088DC">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坐标</w:t>
                  </w:r>
                </w:p>
              </w:tc>
              <w:tc>
                <w:tcPr>
                  <w:tcW w:w="579" w:type="pct"/>
                  <w:vMerge w:val="restart"/>
                  <w:tcBorders>
                    <w:tl2br w:val="nil"/>
                    <w:tr2bl w:val="nil"/>
                  </w:tcBorders>
                  <w:noWrap w:val="0"/>
                  <w:vAlign w:val="center"/>
                </w:tcPr>
                <w:p w14:paraId="3FC9FDE8">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保护对象</w:t>
                  </w:r>
                </w:p>
              </w:tc>
              <w:tc>
                <w:tcPr>
                  <w:tcW w:w="484" w:type="pct"/>
                  <w:vMerge w:val="restart"/>
                  <w:tcBorders>
                    <w:tl2br w:val="nil"/>
                    <w:tr2bl w:val="nil"/>
                  </w:tcBorders>
                  <w:noWrap w:val="0"/>
                  <w:vAlign w:val="center"/>
                </w:tcPr>
                <w:p w14:paraId="504D7376">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保护内容</w:t>
                  </w:r>
                </w:p>
              </w:tc>
              <w:tc>
                <w:tcPr>
                  <w:tcW w:w="681" w:type="pct"/>
                  <w:vMerge w:val="restart"/>
                  <w:tcBorders>
                    <w:tl2br w:val="nil"/>
                    <w:tr2bl w:val="nil"/>
                  </w:tcBorders>
                  <w:noWrap w:val="0"/>
                  <w:vAlign w:val="center"/>
                </w:tcPr>
                <w:p w14:paraId="0BBED591">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环境功能区</w:t>
                  </w:r>
                </w:p>
              </w:tc>
              <w:tc>
                <w:tcPr>
                  <w:tcW w:w="559" w:type="pct"/>
                  <w:vMerge w:val="restart"/>
                  <w:tcBorders>
                    <w:tl2br w:val="nil"/>
                    <w:tr2bl w:val="nil"/>
                  </w:tcBorders>
                  <w:noWrap w:val="0"/>
                  <w:vAlign w:val="center"/>
                </w:tcPr>
                <w:p w14:paraId="6A38A4FA">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相对厂址方位</w:t>
                  </w:r>
                </w:p>
              </w:tc>
              <w:tc>
                <w:tcPr>
                  <w:tcW w:w="477" w:type="pct"/>
                  <w:vMerge w:val="restart"/>
                  <w:tcBorders>
                    <w:tl2br w:val="nil"/>
                    <w:tr2bl w:val="nil"/>
                  </w:tcBorders>
                  <w:noWrap w:val="0"/>
                  <w:vAlign w:val="center"/>
                </w:tcPr>
                <w:p w14:paraId="3377523E">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相对厂界距离（m）</w:t>
                  </w:r>
                </w:p>
              </w:tc>
            </w:tr>
            <w:tr w14:paraId="7ABB5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54" w:type="pct"/>
                  <w:vMerge w:val="continue"/>
                  <w:tcBorders>
                    <w:tl2br w:val="nil"/>
                    <w:tr2bl w:val="nil"/>
                  </w:tcBorders>
                  <w:noWrap w:val="0"/>
                  <w:vAlign w:val="top"/>
                </w:tcPr>
                <w:p w14:paraId="49C21235">
                  <w:pPr>
                    <w:tabs>
                      <w:tab w:val="left" w:pos="6300"/>
                    </w:tabs>
                    <w:snapToGrid/>
                    <w:spacing w:after="0" w:line="240" w:lineRule="auto"/>
                    <w:ind w:left="0" w:leftChars="0" w:firstLine="0" w:firstLineChars="0"/>
                    <w:jc w:val="left"/>
                    <w:rPr>
                      <w:color w:val="000000" w:themeColor="text1"/>
                      <w:sz w:val="21"/>
                      <w:szCs w:val="21"/>
                      <w14:textFill>
                        <w14:solidFill>
                          <w14:schemeClr w14:val="tx1"/>
                        </w14:solidFill>
                      </w14:textFill>
                    </w:rPr>
                  </w:pPr>
                </w:p>
              </w:tc>
              <w:tc>
                <w:tcPr>
                  <w:tcW w:w="574" w:type="pct"/>
                  <w:vMerge w:val="continue"/>
                  <w:tcBorders>
                    <w:tl2br w:val="nil"/>
                    <w:tr2bl w:val="nil"/>
                  </w:tcBorders>
                  <w:noWrap w:val="0"/>
                  <w:vAlign w:val="top"/>
                </w:tcPr>
                <w:p w14:paraId="245F54E9">
                  <w:pPr>
                    <w:tabs>
                      <w:tab w:val="left" w:pos="6300"/>
                    </w:tabs>
                    <w:snapToGrid/>
                    <w:spacing w:after="0" w:line="240" w:lineRule="auto"/>
                    <w:ind w:left="0" w:leftChars="0" w:firstLine="0" w:firstLineChars="0"/>
                    <w:jc w:val="left"/>
                    <w:rPr>
                      <w:color w:val="000000" w:themeColor="text1"/>
                      <w:sz w:val="21"/>
                      <w:szCs w:val="21"/>
                      <w14:textFill>
                        <w14:solidFill>
                          <w14:schemeClr w14:val="tx1"/>
                        </w14:solidFill>
                      </w14:textFill>
                    </w:rPr>
                  </w:pPr>
                </w:p>
              </w:tc>
              <w:tc>
                <w:tcPr>
                  <w:tcW w:w="700" w:type="pct"/>
                  <w:tcBorders>
                    <w:tl2br w:val="nil"/>
                    <w:tr2bl w:val="nil"/>
                  </w:tcBorders>
                  <w:noWrap w:val="0"/>
                  <w:vAlign w:val="center"/>
                </w:tcPr>
                <w:p w14:paraId="4491F1F7">
                  <w:pPr>
                    <w:tabs>
                      <w:tab w:val="left" w:pos="6300"/>
                    </w:tabs>
                    <w:snapToGrid/>
                    <w:spacing w:after="0" w:line="240" w:lineRule="auto"/>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X</w:t>
                  </w:r>
                </w:p>
              </w:tc>
              <w:tc>
                <w:tcPr>
                  <w:tcW w:w="688" w:type="pct"/>
                  <w:tcBorders>
                    <w:tl2br w:val="nil"/>
                    <w:tr2bl w:val="nil"/>
                  </w:tcBorders>
                  <w:noWrap w:val="0"/>
                  <w:vAlign w:val="center"/>
                </w:tcPr>
                <w:p w14:paraId="7FFB6468">
                  <w:pPr>
                    <w:tabs>
                      <w:tab w:val="left" w:pos="6300"/>
                    </w:tabs>
                    <w:snapToGrid/>
                    <w:spacing w:after="0" w:line="240" w:lineRule="auto"/>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Y</w:t>
                  </w:r>
                </w:p>
              </w:tc>
              <w:tc>
                <w:tcPr>
                  <w:tcW w:w="579" w:type="pct"/>
                  <w:vMerge w:val="continue"/>
                  <w:tcBorders>
                    <w:tl2br w:val="nil"/>
                    <w:tr2bl w:val="nil"/>
                  </w:tcBorders>
                  <w:noWrap w:val="0"/>
                  <w:vAlign w:val="top"/>
                </w:tcPr>
                <w:p w14:paraId="63BDF97A">
                  <w:pPr>
                    <w:tabs>
                      <w:tab w:val="left" w:pos="6300"/>
                    </w:tabs>
                    <w:snapToGrid/>
                    <w:spacing w:after="0" w:line="240" w:lineRule="auto"/>
                    <w:ind w:left="0" w:leftChars="0" w:firstLine="0" w:firstLineChars="0"/>
                    <w:jc w:val="left"/>
                    <w:rPr>
                      <w:color w:val="000000" w:themeColor="text1"/>
                      <w:sz w:val="21"/>
                      <w:szCs w:val="21"/>
                      <w14:textFill>
                        <w14:solidFill>
                          <w14:schemeClr w14:val="tx1"/>
                        </w14:solidFill>
                      </w14:textFill>
                    </w:rPr>
                  </w:pPr>
                </w:p>
              </w:tc>
              <w:tc>
                <w:tcPr>
                  <w:tcW w:w="484" w:type="pct"/>
                  <w:vMerge w:val="continue"/>
                  <w:tcBorders>
                    <w:tl2br w:val="nil"/>
                    <w:tr2bl w:val="nil"/>
                  </w:tcBorders>
                  <w:noWrap w:val="0"/>
                  <w:vAlign w:val="top"/>
                </w:tcPr>
                <w:p w14:paraId="5A40D0F9">
                  <w:pPr>
                    <w:tabs>
                      <w:tab w:val="left" w:pos="6300"/>
                    </w:tabs>
                    <w:snapToGrid/>
                    <w:spacing w:after="0" w:line="240" w:lineRule="auto"/>
                    <w:ind w:left="0" w:leftChars="0" w:firstLine="0" w:firstLineChars="0"/>
                    <w:jc w:val="left"/>
                    <w:rPr>
                      <w:color w:val="000000" w:themeColor="text1"/>
                      <w:sz w:val="21"/>
                      <w:szCs w:val="21"/>
                      <w14:textFill>
                        <w14:solidFill>
                          <w14:schemeClr w14:val="tx1"/>
                        </w14:solidFill>
                      </w14:textFill>
                    </w:rPr>
                  </w:pPr>
                </w:p>
              </w:tc>
              <w:tc>
                <w:tcPr>
                  <w:tcW w:w="681" w:type="pct"/>
                  <w:vMerge w:val="continue"/>
                  <w:tcBorders>
                    <w:tl2br w:val="nil"/>
                    <w:tr2bl w:val="nil"/>
                  </w:tcBorders>
                  <w:noWrap w:val="0"/>
                  <w:vAlign w:val="top"/>
                </w:tcPr>
                <w:p w14:paraId="3F7E166E">
                  <w:pPr>
                    <w:tabs>
                      <w:tab w:val="left" w:pos="6300"/>
                    </w:tabs>
                    <w:snapToGrid/>
                    <w:spacing w:after="0" w:line="240" w:lineRule="auto"/>
                    <w:ind w:left="0" w:leftChars="0" w:firstLine="0" w:firstLineChars="0"/>
                    <w:jc w:val="left"/>
                    <w:rPr>
                      <w:color w:val="000000" w:themeColor="text1"/>
                      <w:sz w:val="21"/>
                      <w:szCs w:val="21"/>
                      <w14:textFill>
                        <w14:solidFill>
                          <w14:schemeClr w14:val="tx1"/>
                        </w14:solidFill>
                      </w14:textFill>
                    </w:rPr>
                  </w:pPr>
                </w:p>
              </w:tc>
              <w:tc>
                <w:tcPr>
                  <w:tcW w:w="559" w:type="pct"/>
                  <w:vMerge w:val="continue"/>
                  <w:tcBorders>
                    <w:tl2br w:val="nil"/>
                    <w:tr2bl w:val="nil"/>
                  </w:tcBorders>
                  <w:noWrap w:val="0"/>
                  <w:vAlign w:val="top"/>
                </w:tcPr>
                <w:p w14:paraId="0084C0CD">
                  <w:pPr>
                    <w:tabs>
                      <w:tab w:val="left" w:pos="6300"/>
                    </w:tabs>
                    <w:snapToGrid/>
                    <w:spacing w:after="0" w:line="240" w:lineRule="auto"/>
                    <w:ind w:left="0" w:leftChars="0" w:firstLine="0" w:firstLineChars="0"/>
                    <w:jc w:val="left"/>
                    <w:rPr>
                      <w:color w:val="000000" w:themeColor="text1"/>
                      <w:sz w:val="21"/>
                      <w:szCs w:val="21"/>
                      <w14:textFill>
                        <w14:solidFill>
                          <w14:schemeClr w14:val="tx1"/>
                        </w14:solidFill>
                      </w14:textFill>
                    </w:rPr>
                  </w:pPr>
                </w:p>
              </w:tc>
              <w:tc>
                <w:tcPr>
                  <w:tcW w:w="477" w:type="pct"/>
                  <w:vMerge w:val="continue"/>
                  <w:tcBorders>
                    <w:tl2br w:val="nil"/>
                    <w:tr2bl w:val="nil"/>
                  </w:tcBorders>
                  <w:noWrap w:val="0"/>
                  <w:vAlign w:val="top"/>
                </w:tcPr>
                <w:p w14:paraId="2E190D81">
                  <w:pPr>
                    <w:tabs>
                      <w:tab w:val="left" w:pos="6300"/>
                    </w:tabs>
                    <w:snapToGrid/>
                    <w:spacing w:after="0" w:line="240" w:lineRule="auto"/>
                    <w:ind w:left="0" w:leftChars="0" w:firstLine="0" w:firstLineChars="0"/>
                    <w:jc w:val="left"/>
                    <w:rPr>
                      <w:color w:val="000000" w:themeColor="text1"/>
                      <w:sz w:val="21"/>
                      <w:szCs w:val="21"/>
                      <w14:textFill>
                        <w14:solidFill>
                          <w14:schemeClr w14:val="tx1"/>
                        </w14:solidFill>
                      </w14:textFill>
                    </w:rPr>
                  </w:pPr>
                </w:p>
              </w:tc>
            </w:tr>
            <w:tr w14:paraId="396AC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tcBorders>
                    <w:tl2br w:val="nil"/>
                    <w:tr2bl w:val="nil"/>
                  </w:tcBorders>
                  <w:noWrap w:val="0"/>
                  <w:vAlign w:val="center"/>
                </w:tcPr>
                <w:p w14:paraId="5BF966DC">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74" w:type="pct"/>
                  <w:tcBorders>
                    <w:tl2br w:val="nil"/>
                    <w:tr2bl w:val="nil"/>
                  </w:tcBorders>
                  <w:shd w:val="clear" w:color="auto" w:fill="auto"/>
                  <w:noWrap w:val="0"/>
                  <w:vAlign w:val="top"/>
                </w:tcPr>
                <w:p w14:paraId="2B7C388F">
                  <w:pPr>
                    <w:pStyle w:val="60"/>
                    <w:spacing w:before="104" w:line="211" w:lineRule="auto"/>
                    <w:ind w:left="156" w:leftChars="0"/>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1#零星居民</w:t>
                  </w:r>
                </w:p>
              </w:tc>
              <w:tc>
                <w:tcPr>
                  <w:tcW w:w="700" w:type="pct"/>
                  <w:tcBorders>
                    <w:tl2br w:val="nil"/>
                    <w:tr2bl w:val="nil"/>
                  </w:tcBorders>
                  <w:noWrap w:val="0"/>
                  <w:vAlign w:val="center"/>
                </w:tcPr>
                <w:p w14:paraId="60407489">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c>
                <w:tcPr>
                  <w:tcW w:w="688" w:type="pct"/>
                  <w:tcBorders>
                    <w:tl2br w:val="nil"/>
                    <w:tr2bl w:val="nil"/>
                  </w:tcBorders>
                  <w:noWrap w:val="0"/>
                  <w:vAlign w:val="center"/>
                </w:tcPr>
                <w:p w14:paraId="27781712">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579" w:type="pct"/>
                  <w:tcBorders>
                    <w:tl2br w:val="nil"/>
                    <w:tr2bl w:val="nil"/>
                  </w:tcBorders>
                  <w:noWrap w:val="0"/>
                  <w:vAlign w:val="center"/>
                </w:tcPr>
                <w:p w14:paraId="15C76769">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484" w:type="pct"/>
                  <w:tcBorders>
                    <w:tl2br w:val="nil"/>
                    <w:tr2bl w:val="nil"/>
                  </w:tcBorders>
                  <w:shd w:val="clear" w:color="auto" w:fill="auto"/>
                  <w:noWrap w:val="0"/>
                  <w:vAlign w:val="top"/>
                </w:tcPr>
                <w:p w14:paraId="28F9E34D">
                  <w:pPr>
                    <w:spacing w:before="77" w:line="232" w:lineRule="exact"/>
                    <w:jc w:val="both"/>
                    <w:rPr>
                      <w:rFonts w:hint="default" w:ascii="Times New Roman" w:hAnsi="Times New Roman" w:eastAsia="Times New Roman" w:cs="Times New Roman"/>
                      <w:kern w:val="2"/>
                      <w:sz w:val="18"/>
                      <w:szCs w:val="18"/>
                      <w:lang w:val="en-US" w:eastAsia="zh-CN" w:bidi="ar-SA"/>
                    </w:rPr>
                  </w:pPr>
                  <w:r>
                    <w:rPr>
                      <w:rFonts w:hint="eastAsia" w:ascii="Times New Roman" w:hAnsi="Times New Roman" w:eastAsia="Times New Roman" w:cs="Times New Roman"/>
                      <w:kern w:val="2"/>
                      <w:sz w:val="18"/>
                      <w:szCs w:val="18"/>
                      <w:lang w:val="en-US" w:eastAsia="zh-CN" w:bidi="ar-SA"/>
                    </w:rPr>
                    <w:t>15户</w:t>
                  </w:r>
                </w:p>
              </w:tc>
              <w:tc>
                <w:tcPr>
                  <w:tcW w:w="681" w:type="pct"/>
                  <w:vMerge w:val="restart"/>
                  <w:tcBorders>
                    <w:tl2br w:val="nil"/>
                    <w:tr2bl w:val="nil"/>
                  </w:tcBorders>
                  <w:noWrap w:val="0"/>
                  <w:vAlign w:val="center"/>
                </w:tcPr>
                <w:p w14:paraId="4809C6D7">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大气二类功能区</w:t>
                  </w:r>
                </w:p>
              </w:tc>
              <w:tc>
                <w:tcPr>
                  <w:tcW w:w="559" w:type="pct"/>
                  <w:tcBorders>
                    <w:tl2br w:val="nil"/>
                    <w:tr2bl w:val="nil"/>
                  </w:tcBorders>
                  <w:noWrap w:val="0"/>
                  <w:vAlign w:val="center"/>
                </w:tcPr>
                <w:p w14:paraId="7CEF4E99">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w:t>
                  </w:r>
                </w:p>
              </w:tc>
              <w:tc>
                <w:tcPr>
                  <w:tcW w:w="477" w:type="pct"/>
                  <w:tcBorders>
                    <w:tl2br w:val="nil"/>
                    <w:tr2bl w:val="nil"/>
                  </w:tcBorders>
                  <w:noWrap w:val="0"/>
                  <w:vAlign w:val="center"/>
                </w:tcPr>
                <w:p w14:paraId="7E45A636">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r>
            <w:tr w14:paraId="6FBE3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tcBorders>
                    <w:tl2br w:val="nil"/>
                    <w:tr2bl w:val="nil"/>
                  </w:tcBorders>
                  <w:noWrap w:val="0"/>
                  <w:vAlign w:val="center"/>
                </w:tcPr>
                <w:p w14:paraId="5AC9F9D0">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574" w:type="pct"/>
                  <w:tcBorders>
                    <w:tl2br w:val="nil"/>
                    <w:tr2bl w:val="nil"/>
                  </w:tcBorders>
                  <w:shd w:val="clear" w:color="auto" w:fill="auto"/>
                  <w:noWrap w:val="0"/>
                  <w:vAlign w:val="top"/>
                </w:tcPr>
                <w:p w14:paraId="257E0BBD">
                  <w:pPr>
                    <w:pStyle w:val="60"/>
                    <w:spacing w:before="103" w:line="211" w:lineRule="auto"/>
                    <w:ind w:left="156" w:leftChars="0"/>
                    <w:rPr>
                      <w:rFonts w:hint="eastAsia" w:ascii="宋体" w:hAnsi="宋体" w:eastAsia="宋体" w:cs="宋体"/>
                      <w:kern w:val="2"/>
                      <w:sz w:val="18"/>
                      <w:szCs w:val="18"/>
                      <w:lang w:val="en-US" w:eastAsia="zh-CN" w:bidi="ar-SA"/>
                    </w:rPr>
                  </w:pPr>
                  <w:r>
                    <w:rPr>
                      <w:rFonts w:hint="eastAsia" w:cs="宋体"/>
                      <w:kern w:val="2"/>
                      <w:sz w:val="18"/>
                      <w:szCs w:val="18"/>
                      <w:lang w:val="en-US" w:eastAsia="zh-CN" w:bidi="ar-SA"/>
                    </w:rPr>
                    <w:t>2</w:t>
                  </w:r>
                  <w:r>
                    <w:rPr>
                      <w:rFonts w:hint="default" w:ascii="宋体" w:hAnsi="宋体" w:eastAsia="宋体" w:cs="宋体"/>
                      <w:kern w:val="2"/>
                      <w:sz w:val="18"/>
                      <w:szCs w:val="18"/>
                      <w:lang w:val="en-US" w:eastAsia="zh-CN" w:bidi="ar-SA"/>
                    </w:rPr>
                    <w:t>#零星居民</w:t>
                  </w:r>
                </w:p>
              </w:tc>
              <w:tc>
                <w:tcPr>
                  <w:tcW w:w="700" w:type="pct"/>
                  <w:tcBorders>
                    <w:tl2br w:val="nil"/>
                    <w:tr2bl w:val="nil"/>
                  </w:tcBorders>
                  <w:noWrap w:val="0"/>
                  <w:vAlign w:val="center"/>
                </w:tcPr>
                <w:p w14:paraId="0F54FD64">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-180</w:t>
                  </w:r>
                </w:p>
              </w:tc>
              <w:tc>
                <w:tcPr>
                  <w:tcW w:w="688" w:type="pct"/>
                  <w:tcBorders>
                    <w:tl2br w:val="nil"/>
                    <w:tr2bl w:val="nil"/>
                  </w:tcBorders>
                  <w:noWrap w:val="0"/>
                  <w:vAlign w:val="center"/>
                </w:tcPr>
                <w:p w14:paraId="09C6A282">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w:t>
                  </w:r>
                </w:p>
              </w:tc>
              <w:tc>
                <w:tcPr>
                  <w:tcW w:w="579" w:type="pct"/>
                  <w:tcBorders>
                    <w:tl2br w:val="nil"/>
                    <w:tr2bl w:val="nil"/>
                  </w:tcBorders>
                  <w:noWrap w:val="0"/>
                  <w:vAlign w:val="center"/>
                </w:tcPr>
                <w:p w14:paraId="39DDF0B3">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484" w:type="pct"/>
                  <w:tcBorders>
                    <w:tl2br w:val="nil"/>
                    <w:tr2bl w:val="nil"/>
                  </w:tcBorders>
                  <w:shd w:val="clear" w:color="auto" w:fill="auto"/>
                  <w:noWrap w:val="0"/>
                  <w:vAlign w:val="top"/>
                </w:tcPr>
                <w:p w14:paraId="2269A070">
                  <w:pPr>
                    <w:spacing w:before="76" w:line="233" w:lineRule="exact"/>
                    <w:jc w:val="both"/>
                    <w:rPr>
                      <w:rFonts w:hint="default" w:ascii="Times New Roman" w:hAnsi="Times New Roman" w:eastAsia="宋体" w:cs="Times New Roman"/>
                      <w:kern w:val="2"/>
                      <w:sz w:val="18"/>
                      <w:szCs w:val="18"/>
                      <w:lang w:val="en-US" w:eastAsia="zh-CN" w:bidi="ar-SA"/>
                    </w:rPr>
                  </w:pPr>
                  <w:r>
                    <w:rPr>
                      <w:rFonts w:hint="eastAsia" w:eastAsia="宋体" w:cs="Times New Roman"/>
                      <w:position w:val="1"/>
                      <w:sz w:val="18"/>
                      <w:szCs w:val="18"/>
                      <w:lang w:val="en-US" w:eastAsia="zh-CN"/>
                    </w:rPr>
                    <w:t>2户</w:t>
                  </w:r>
                </w:p>
              </w:tc>
              <w:tc>
                <w:tcPr>
                  <w:tcW w:w="681" w:type="pct"/>
                  <w:vMerge w:val="continue"/>
                  <w:tcBorders>
                    <w:tl2br w:val="nil"/>
                    <w:tr2bl w:val="nil"/>
                  </w:tcBorders>
                  <w:noWrap w:val="0"/>
                  <w:vAlign w:val="center"/>
                </w:tcPr>
                <w:p w14:paraId="34F13413">
                  <w:pPr>
                    <w:spacing w:line="240" w:lineRule="auto"/>
                    <w:jc w:val="center"/>
                    <w:rPr>
                      <w:color w:val="000000" w:themeColor="text1"/>
                      <w:sz w:val="21"/>
                      <w:szCs w:val="21"/>
                      <w14:textFill>
                        <w14:solidFill>
                          <w14:schemeClr w14:val="tx1"/>
                        </w14:solidFill>
                      </w14:textFill>
                    </w:rPr>
                  </w:pPr>
                </w:p>
              </w:tc>
              <w:tc>
                <w:tcPr>
                  <w:tcW w:w="559" w:type="pct"/>
                  <w:tcBorders>
                    <w:tl2br w:val="nil"/>
                    <w:tr2bl w:val="nil"/>
                  </w:tcBorders>
                  <w:noWrap w:val="0"/>
                  <w:vAlign w:val="center"/>
                </w:tcPr>
                <w:p w14:paraId="70291AFC">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西北</w:t>
                  </w:r>
                </w:p>
              </w:tc>
              <w:tc>
                <w:tcPr>
                  <w:tcW w:w="477" w:type="pct"/>
                  <w:tcBorders>
                    <w:tl2br w:val="nil"/>
                    <w:tr2bl w:val="nil"/>
                  </w:tcBorders>
                  <w:noWrap w:val="0"/>
                  <w:vAlign w:val="center"/>
                </w:tcPr>
                <w:p w14:paraId="52FA956D">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184</w:t>
                  </w:r>
                </w:p>
              </w:tc>
            </w:tr>
            <w:tr w14:paraId="755A3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tcBorders>
                    <w:tl2br w:val="nil"/>
                    <w:tr2bl w:val="nil"/>
                  </w:tcBorders>
                  <w:noWrap w:val="0"/>
                  <w:vAlign w:val="center"/>
                </w:tcPr>
                <w:p w14:paraId="7C331F9B">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574" w:type="pct"/>
                  <w:tcBorders>
                    <w:tl2br w:val="nil"/>
                    <w:tr2bl w:val="nil"/>
                  </w:tcBorders>
                  <w:shd w:val="clear" w:color="auto" w:fill="auto"/>
                  <w:noWrap w:val="0"/>
                  <w:vAlign w:val="top"/>
                </w:tcPr>
                <w:p w14:paraId="04F1C12D">
                  <w:pPr>
                    <w:pStyle w:val="60"/>
                    <w:spacing w:before="104" w:line="211" w:lineRule="auto"/>
                    <w:ind w:left="156" w:leftChars="0"/>
                    <w:rPr>
                      <w:rFonts w:hint="eastAsia" w:ascii="宋体" w:hAnsi="宋体" w:eastAsia="宋体" w:cs="宋体"/>
                      <w:kern w:val="2"/>
                      <w:sz w:val="18"/>
                      <w:szCs w:val="18"/>
                      <w:lang w:val="en-US" w:eastAsia="zh-CN" w:bidi="ar-SA"/>
                    </w:rPr>
                  </w:pPr>
                  <w:r>
                    <w:rPr>
                      <w:rFonts w:hint="eastAsia" w:cs="宋体"/>
                      <w:kern w:val="2"/>
                      <w:sz w:val="18"/>
                      <w:szCs w:val="18"/>
                      <w:lang w:val="en-US" w:eastAsia="zh-CN" w:bidi="ar-SA"/>
                    </w:rPr>
                    <w:t>3</w:t>
                  </w:r>
                  <w:r>
                    <w:rPr>
                      <w:rFonts w:hint="default" w:ascii="宋体" w:hAnsi="宋体" w:eastAsia="宋体" w:cs="宋体"/>
                      <w:kern w:val="2"/>
                      <w:sz w:val="18"/>
                      <w:szCs w:val="18"/>
                      <w:lang w:val="en-US" w:eastAsia="zh-CN" w:bidi="ar-SA"/>
                    </w:rPr>
                    <w:t>#零星居民</w:t>
                  </w:r>
                </w:p>
              </w:tc>
              <w:tc>
                <w:tcPr>
                  <w:tcW w:w="700" w:type="pct"/>
                  <w:tcBorders>
                    <w:tl2br w:val="nil"/>
                    <w:tr2bl w:val="nil"/>
                  </w:tcBorders>
                  <w:noWrap w:val="0"/>
                  <w:vAlign w:val="center"/>
                </w:tcPr>
                <w:p w14:paraId="05D0B702">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688" w:type="pct"/>
                  <w:tcBorders>
                    <w:tl2br w:val="nil"/>
                    <w:tr2bl w:val="nil"/>
                  </w:tcBorders>
                  <w:noWrap w:val="0"/>
                  <w:vAlign w:val="center"/>
                </w:tcPr>
                <w:p w14:paraId="7820075B">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p>
              </w:tc>
              <w:tc>
                <w:tcPr>
                  <w:tcW w:w="579" w:type="pct"/>
                  <w:tcBorders>
                    <w:tl2br w:val="nil"/>
                    <w:tr2bl w:val="nil"/>
                  </w:tcBorders>
                  <w:noWrap w:val="0"/>
                  <w:vAlign w:val="center"/>
                </w:tcPr>
                <w:p w14:paraId="78FAD9D8">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484" w:type="pct"/>
                  <w:tcBorders>
                    <w:tl2br w:val="nil"/>
                    <w:tr2bl w:val="nil"/>
                  </w:tcBorders>
                  <w:shd w:val="clear" w:color="auto" w:fill="auto"/>
                  <w:noWrap w:val="0"/>
                  <w:vAlign w:val="top"/>
                </w:tcPr>
                <w:p w14:paraId="5C83032E">
                  <w:pPr>
                    <w:spacing w:before="76" w:line="233" w:lineRule="exact"/>
                    <w:jc w:val="both"/>
                    <w:rPr>
                      <w:rFonts w:hint="default" w:ascii="Times New Roman" w:hAnsi="Times New Roman" w:eastAsia="宋体" w:cs="Times New Roman"/>
                      <w:kern w:val="2"/>
                      <w:sz w:val="18"/>
                      <w:szCs w:val="18"/>
                      <w:lang w:val="en-US" w:eastAsia="zh-CN" w:bidi="ar-SA"/>
                    </w:rPr>
                  </w:pPr>
                  <w:r>
                    <w:rPr>
                      <w:rFonts w:hint="eastAsia" w:eastAsia="宋体" w:cs="Times New Roman"/>
                      <w:position w:val="1"/>
                      <w:sz w:val="18"/>
                      <w:szCs w:val="18"/>
                      <w:lang w:val="en-US" w:eastAsia="zh-CN"/>
                    </w:rPr>
                    <w:t>6户</w:t>
                  </w:r>
                </w:p>
              </w:tc>
              <w:tc>
                <w:tcPr>
                  <w:tcW w:w="681" w:type="pct"/>
                  <w:vMerge w:val="continue"/>
                  <w:tcBorders>
                    <w:tl2br w:val="nil"/>
                    <w:tr2bl w:val="nil"/>
                  </w:tcBorders>
                  <w:noWrap w:val="0"/>
                  <w:vAlign w:val="center"/>
                </w:tcPr>
                <w:p w14:paraId="4F3C5C19">
                  <w:pPr>
                    <w:spacing w:line="240" w:lineRule="auto"/>
                    <w:jc w:val="center"/>
                    <w:rPr>
                      <w:color w:val="000000" w:themeColor="text1"/>
                      <w:sz w:val="21"/>
                      <w:szCs w:val="21"/>
                      <w14:textFill>
                        <w14:solidFill>
                          <w14:schemeClr w14:val="tx1"/>
                        </w14:solidFill>
                      </w14:textFill>
                    </w:rPr>
                  </w:pPr>
                </w:p>
              </w:tc>
              <w:tc>
                <w:tcPr>
                  <w:tcW w:w="559" w:type="pct"/>
                  <w:tcBorders>
                    <w:tl2br w:val="nil"/>
                    <w:tr2bl w:val="nil"/>
                  </w:tcBorders>
                  <w:noWrap w:val="0"/>
                  <w:vAlign w:val="center"/>
                </w:tcPr>
                <w:p w14:paraId="79611405">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北</w:t>
                  </w:r>
                </w:p>
              </w:tc>
              <w:tc>
                <w:tcPr>
                  <w:tcW w:w="477" w:type="pct"/>
                  <w:tcBorders>
                    <w:tl2br w:val="nil"/>
                    <w:tr2bl w:val="nil"/>
                  </w:tcBorders>
                  <w:noWrap w:val="0"/>
                  <w:vAlign w:val="center"/>
                </w:tcPr>
                <w:p w14:paraId="56CC1138">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p>
              </w:tc>
            </w:tr>
            <w:tr w14:paraId="3C1E2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tcBorders>
                    <w:tl2br w:val="nil"/>
                    <w:tr2bl w:val="nil"/>
                  </w:tcBorders>
                  <w:noWrap w:val="0"/>
                  <w:vAlign w:val="center"/>
                </w:tcPr>
                <w:p w14:paraId="02C01551">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574" w:type="pct"/>
                  <w:tcBorders>
                    <w:tl2br w:val="nil"/>
                    <w:tr2bl w:val="nil"/>
                  </w:tcBorders>
                  <w:shd w:val="clear" w:color="auto" w:fill="auto"/>
                  <w:noWrap w:val="0"/>
                  <w:vAlign w:val="top"/>
                </w:tcPr>
                <w:p w14:paraId="725189C5">
                  <w:pPr>
                    <w:pStyle w:val="60"/>
                    <w:spacing w:before="103" w:line="211" w:lineRule="auto"/>
                    <w:ind w:left="156" w:leftChars="0"/>
                    <w:rPr>
                      <w:rFonts w:hint="eastAsia" w:ascii="宋体" w:hAnsi="宋体" w:eastAsia="宋体" w:cs="宋体"/>
                      <w:kern w:val="2"/>
                      <w:sz w:val="18"/>
                      <w:szCs w:val="18"/>
                      <w:lang w:val="en-US" w:eastAsia="zh-CN" w:bidi="ar-SA"/>
                    </w:rPr>
                  </w:pPr>
                  <w:r>
                    <w:rPr>
                      <w:rFonts w:hint="eastAsia" w:cs="宋体"/>
                      <w:kern w:val="2"/>
                      <w:sz w:val="18"/>
                      <w:szCs w:val="18"/>
                      <w:lang w:val="en-US" w:eastAsia="zh-CN" w:bidi="ar-SA"/>
                    </w:rPr>
                    <w:t>4</w:t>
                  </w:r>
                  <w:r>
                    <w:rPr>
                      <w:rFonts w:hint="default" w:ascii="宋体" w:hAnsi="宋体" w:eastAsia="宋体" w:cs="宋体"/>
                      <w:kern w:val="2"/>
                      <w:sz w:val="18"/>
                      <w:szCs w:val="18"/>
                      <w:lang w:val="en-US" w:eastAsia="zh-CN" w:bidi="ar-SA"/>
                    </w:rPr>
                    <w:t>#零星居民</w:t>
                  </w:r>
                </w:p>
              </w:tc>
              <w:tc>
                <w:tcPr>
                  <w:tcW w:w="700" w:type="pct"/>
                  <w:tcBorders>
                    <w:tl2br w:val="nil"/>
                    <w:tr2bl w:val="nil"/>
                  </w:tcBorders>
                  <w:noWrap w:val="0"/>
                  <w:vAlign w:val="center"/>
                </w:tcPr>
                <w:p w14:paraId="58993D71">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380</w:t>
                  </w:r>
                </w:p>
              </w:tc>
              <w:tc>
                <w:tcPr>
                  <w:tcW w:w="688" w:type="pct"/>
                  <w:tcBorders>
                    <w:tl2br w:val="nil"/>
                    <w:tr2bl w:val="nil"/>
                  </w:tcBorders>
                  <w:noWrap w:val="0"/>
                  <w:vAlign w:val="center"/>
                </w:tcPr>
                <w:p w14:paraId="461577E7">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280</w:t>
                  </w:r>
                </w:p>
              </w:tc>
              <w:tc>
                <w:tcPr>
                  <w:tcW w:w="579" w:type="pct"/>
                  <w:tcBorders>
                    <w:tl2br w:val="nil"/>
                    <w:tr2bl w:val="nil"/>
                  </w:tcBorders>
                  <w:noWrap w:val="0"/>
                  <w:vAlign w:val="center"/>
                </w:tcPr>
                <w:p w14:paraId="7EC221FD">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484" w:type="pct"/>
                  <w:tcBorders>
                    <w:tl2br w:val="nil"/>
                    <w:tr2bl w:val="nil"/>
                  </w:tcBorders>
                  <w:shd w:val="clear" w:color="auto" w:fill="auto"/>
                  <w:noWrap w:val="0"/>
                  <w:vAlign w:val="top"/>
                </w:tcPr>
                <w:p w14:paraId="08006E4D">
                  <w:pPr>
                    <w:spacing w:before="78" w:line="231" w:lineRule="exact"/>
                    <w:jc w:val="both"/>
                    <w:rPr>
                      <w:rFonts w:hint="default" w:ascii="Times New Roman" w:hAnsi="Times New Roman" w:eastAsia="Times New Roman" w:cs="Times New Roman"/>
                      <w:kern w:val="2"/>
                      <w:sz w:val="18"/>
                      <w:szCs w:val="18"/>
                      <w:lang w:val="en-US" w:eastAsia="zh-CN" w:bidi="ar-SA"/>
                    </w:rPr>
                  </w:pPr>
                  <w:r>
                    <w:rPr>
                      <w:rFonts w:hint="eastAsia" w:ascii="Times New Roman" w:hAnsi="Times New Roman" w:eastAsia="Times New Roman" w:cs="Times New Roman"/>
                      <w:kern w:val="2"/>
                      <w:sz w:val="18"/>
                      <w:szCs w:val="18"/>
                      <w:lang w:val="en-US" w:eastAsia="zh-CN" w:bidi="ar-SA"/>
                    </w:rPr>
                    <w:t>10户</w:t>
                  </w:r>
                </w:p>
              </w:tc>
              <w:tc>
                <w:tcPr>
                  <w:tcW w:w="681" w:type="pct"/>
                  <w:vMerge w:val="continue"/>
                  <w:tcBorders>
                    <w:tl2br w:val="nil"/>
                    <w:tr2bl w:val="nil"/>
                  </w:tcBorders>
                  <w:noWrap w:val="0"/>
                  <w:vAlign w:val="center"/>
                </w:tcPr>
                <w:p w14:paraId="28FC3FDF">
                  <w:pPr>
                    <w:spacing w:line="240" w:lineRule="auto"/>
                    <w:jc w:val="center"/>
                    <w:rPr>
                      <w:color w:val="000000" w:themeColor="text1"/>
                      <w:sz w:val="21"/>
                      <w:szCs w:val="21"/>
                      <w14:textFill>
                        <w14:solidFill>
                          <w14:schemeClr w14:val="tx1"/>
                        </w14:solidFill>
                      </w14:textFill>
                    </w:rPr>
                  </w:pPr>
                </w:p>
              </w:tc>
              <w:tc>
                <w:tcPr>
                  <w:tcW w:w="559" w:type="pct"/>
                  <w:tcBorders>
                    <w:tl2br w:val="nil"/>
                    <w:tr2bl w:val="nil"/>
                  </w:tcBorders>
                  <w:noWrap w:val="0"/>
                  <w:vAlign w:val="center"/>
                </w:tcPr>
                <w:p w14:paraId="60465B80">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东北</w:t>
                  </w:r>
                </w:p>
              </w:tc>
              <w:tc>
                <w:tcPr>
                  <w:tcW w:w="477" w:type="pct"/>
                  <w:tcBorders>
                    <w:tl2br w:val="nil"/>
                    <w:tr2bl w:val="nil"/>
                  </w:tcBorders>
                  <w:noWrap w:val="0"/>
                  <w:vAlign w:val="center"/>
                </w:tcPr>
                <w:p w14:paraId="5FF4ABA3">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472</w:t>
                  </w:r>
                </w:p>
              </w:tc>
            </w:tr>
            <w:tr w14:paraId="405F0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tcBorders>
                    <w:tl2br w:val="nil"/>
                    <w:tr2bl w:val="nil"/>
                  </w:tcBorders>
                  <w:noWrap w:val="0"/>
                  <w:vAlign w:val="center"/>
                </w:tcPr>
                <w:p w14:paraId="25413A33">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574" w:type="pct"/>
                  <w:tcBorders>
                    <w:tl2br w:val="nil"/>
                    <w:tr2bl w:val="nil"/>
                  </w:tcBorders>
                  <w:shd w:val="clear" w:color="auto" w:fill="auto"/>
                  <w:noWrap w:val="0"/>
                  <w:vAlign w:val="top"/>
                </w:tcPr>
                <w:p w14:paraId="6BB44942">
                  <w:pPr>
                    <w:pStyle w:val="60"/>
                    <w:spacing w:before="104" w:line="211" w:lineRule="auto"/>
                    <w:ind w:left="156" w:leftChars="0"/>
                    <w:rPr>
                      <w:rFonts w:hint="eastAsia" w:ascii="宋体" w:hAnsi="宋体" w:eastAsia="宋体" w:cs="宋体"/>
                      <w:kern w:val="2"/>
                      <w:sz w:val="18"/>
                      <w:szCs w:val="18"/>
                      <w:lang w:val="en-US" w:eastAsia="zh-CN" w:bidi="ar-SA"/>
                    </w:rPr>
                  </w:pPr>
                  <w:r>
                    <w:rPr>
                      <w:rFonts w:hint="eastAsia" w:cs="宋体"/>
                      <w:kern w:val="2"/>
                      <w:sz w:val="18"/>
                      <w:szCs w:val="18"/>
                      <w:lang w:val="en-US" w:eastAsia="zh-CN" w:bidi="ar-SA"/>
                    </w:rPr>
                    <w:t>5</w:t>
                  </w:r>
                  <w:r>
                    <w:rPr>
                      <w:rFonts w:hint="default" w:ascii="宋体" w:hAnsi="宋体" w:eastAsia="宋体" w:cs="宋体"/>
                      <w:kern w:val="2"/>
                      <w:sz w:val="18"/>
                      <w:szCs w:val="18"/>
                      <w:lang w:val="en-US" w:eastAsia="zh-CN" w:bidi="ar-SA"/>
                    </w:rPr>
                    <w:t>#零星居民</w:t>
                  </w:r>
                </w:p>
              </w:tc>
              <w:tc>
                <w:tcPr>
                  <w:tcW w:w="700" w:type="pct"/>
                  <w:tcBorders>
                    <w:tl2br w:val="nil"/>
                    <w:tr2bl w:val="nil"/>
                  </w:tcBorders>
                  <w:noWrap w:val="0"/>
                  <w:vAlign w:val="center"/>
                </w:tcPr>
                <w:p w14:paraId="7408AB12">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450</w:t>
                  </w:r>
                </w:p>
              </w:tc>
              <w:tc>
                <w:tcPr>
                  <w:tcW w:w="688" w:type="pct"/>
                  <w:tcBorders>
                    <w:tl2br w:val="nil"/>
                    <w:tr2bl w:val="nil"/>
                  </w:tcBorders>
                  <w:noWrap w:val="0"/>
                  <w:vAlign w:val="center"/>
                </w:tcPr>
                <w:p w14:paraId="26F78BD9">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w:t>
                  </w:r>
                </w:p>
              </w:tc>
              <w:tc>
                <w:tcPr>
                  <w:tcW w:w="579" w:type="pct"/>
                  <w:tcBorders>
                    <w:tl2br w:val="nil"/>
                    <w:tr2bl w:val="nil"/>
                  </w:tcBorders>
                  <w:noWrap w:val="0"/>
                  <w:vAlign w:val="center"/>
                </w:tcPr>
                <w:p w14:paraId="4059C256">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484" w:type="pct"/>
                  <w:tcBorders>
                    <w:tl2br w:val="nil"/>
                    <w:tr2bl w:val="nil"/>
                  </w:tcBorders>
                  <w:shd w:val="clear" w:color="auto" w:fill="auto"/>
                  <w:noWrap w:val="0"/>
                  <w:vAlign w:val="top"/>
                </w:tcPr>
                <w:p w14:paraId="7740D03E">
                  <w:pPr>
                    <w:spacing w:before="78" w:line="232" w:lineRule="exact"/>
                    <w:jc w:val="both"/>
                    <w:rPr>
                      <w:rFonts w:hint="default" w:ascii="Times New Roman" w:hAnsi="Times New Roman" w:eastAsia="Times New Roman" w:cs="Times New Roman"/>
                      <w:kern w:val="2"/>
                      <w:sz w:val="18"/>
                      <w:szCs w:val="18"/>
                      <w:lang w:val="en-US" w:eastAsia="zh-CN" w:bidi="ar-SA"/>
                    </w:rPr>
                  </w:pPr>
                  <w:r>
                    <w:rPr>
                      <w:rFonts w:hint="eastAsia" w:ascii="Times New Roman" w:hAnsi="Times New Roman" w:eastAsia="Times New Roman" w:cs="Times New Roman"/>
                      <w:kern w:val="2"/>
                      <w:sz w:val="18"/>
                      <w:szCs w:val="18"/>
                      <w:lang w:val="en-US" w:eastAsia="zh-CN" w:bidi="ar-SA"/>
                    </w:rPr>
                    <w:t>8户</w:t>
                  </w:r>
                </w:p>
              </w:tc>
              <w:tc>
                <w:tcPr>
                  <w:tcW w:w="681" w:type="pct"/>
                  <w:vMerge w:val="continue"/>
                  <w:tcBorders>
                    <w:tl2br w:val="nil"/>
                    <w:tr2bl w:val="nil"/>
                  </w:tcBorders>
                  <w:noWrap w:val="0"/>
                  <w:vAlign w:val="center"/>
                </w:tcPr>
                <w:p w14:paraId="468856D9">
                  <w:pPr>
                    <w:spacing w:line="240" w:lineRule="auto"/>
                    <w:jc w:val="center"/>
                    <w:rPr>
                      <w:color w:val="000000" w:themeColor="text1"/>
                      <w:sz w:val="21"/>
                      <w:szCs w:val="21"/>
                      <w14:textFill>
                        <w14:solidFill>
                          <w14:schemeClr w14:val="tx1"/>
                        </w14:solidFill>
                      </w14:textFill>
                    </w:rPr>
                  </w:pPr>
                </w:p>
              </w:tc>
              <w:tc>
                <w:tcPr>
                  <w:tcW w:w="559" w:type="pct"/>
                  <w:tcBorders>
                    <w:tl2br w:val="nil"/>
                    <w:tr2bl w:val="nil"/>
                  </w:tcBorders>
                  <w:noWrap w:val="0"/>
                  <w:vAlign w:val="center"/>
                </w:tcPr>
                <w:p w14:paraId="4AC24BFD">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东南</w:t>
                  </w:r>
                </w:p>
              </w:tc>
              <w:tc>
                <w:tcPr>
                  <w:tcW w:w="477" w:type="pct"/>
                  <w:tcBorders>
                    <w:tl2br w:val="nil"/>
                    <w:tr2bl w:val="nil"/>
                  </w:tcBorders>
                  <w:noWrap w:val="0"/>
                  <w:vAlign w:val="center"/>
                </w:tcPr>
                <w:p w14:paraId="0891882E">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457</w:t>
                  </w:r>
                </w:p>
              </w:tc>
            </w:tr>
            <w:tr w14:paraId="75275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tcBorders>
                    <w:tl2br w:val="nil"/>
                    <w:tr2bl w:val="nil"/>
                  </w:tcBorders>
                  <w:noWrap w:val="0"/>
                  <w:vAlign w:val="center"/>
                </w:tcPr>
                <w:p w14:paraId="31D3E152">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574" w:type="pct"/>
                  <w:tcBorders>
                    <w:tl2br w:val="nil"/>
                    <w:tr2bl w:val="nil"/>
                  </w:tcBorders>
                  <w:shd w:val="clear" w:color="auto" w:fill="auto"/>
                  <w:noWrap w:val="0"/>
                  <w:vAlign w:val="top"/>
                </w:tcPr>
                <w:p w14:paraId="5135A22F">
                  <w:pPr>
                    <w:pStyle w:val="60"/>
                    <w:spacing w:before="104" w:line="211" w:lineRule="auto"/>
                    <w:ind w:left="156" w:leftChars="0"/>
                    <w:rPr>
                      <w:rFonts w:hint="eastAsia" w:ascii="宋体" w:hAnsi="宋体" w:eastAsia="宋体" w:cs="宋体"/>
                      <w:kern w:val="2"/>
                      <w:sz w:val="18"/>
                      <w:szCs w:val="18"/>
                      <w:lang w:val="en-US" w:eastAsia="zh-CN" w:bidi="ar-SA"/>
                    </w:rPr>
                  </w:pPr>
                  <w:r>
                    <w:rPr>
                      <w:rFonts w:hint="eastAsia" w:cs="宋体"/>
                      <w:kern w:val="2"/>
                      <w:sz w:val="18"/>
                      <w:szCs w:val="18"/>
                      <w:lang w:val="en-US" w:eastAsia="zh-CN" w:bidi="ar-SA"/>
                    </w:rPr>
                    <w:t>6</w:t>
                  </w:r>
                  <w:r>
                    <w:rPr>
                      <w:rFonts w:hint="default" w:ascii="宋体" w:hAnsi="宋体" w:eastAsia="宋体" w:cs="宋体"/>
                      <w:kern w:val="2"/>
                      <w:sz w:val="18"/>
                      <w:szCs w:val="18"/>
                      <w:lang w:val="en-US" w:eastAsia="zh-CN" w:bidi="ar-SA"/>
                    </w:rPr>
                    <w:t>#零星居民</w:t>
                  </w:r>
                </w:p>
              </w:tc>
              <w:tc>
                <w:tcPr>
                  <w:tcW w:w="700" w:type="pct"/>
                  <w:tcBorders>
                    <w:tl2br w:val="nil"/>
                    <w:tr2bl w:val="nil"/>
                  </w:tcBorders>
                  <w:noWrap w:val="0"/>
                  <w:vAlign w:val="center"/>
                </w:tcPr>
                <w:p w14:paraId="579F8E6B">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330</w:t>
                  </w:r>
                </w:p>
              </w:tc>
              <w:tc>
                <w:tcPr>
                  <w:tcW w:w="688" w:type="pct"/>
                  <w:tcBorders>
                    <w:tl2br w:val="nil"/>
                    <w:tr2bl w:val="nil"/>
                  </w:tcBorders>
                  <w:noWrap w:val="0"/>
                  <w:vAlign w:val="center"/>
                </w:tcPr>
                <w:p w14:paraId="1B2CDD42">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330</w:t>
                  </w:r>
                </w:p>
              </w:tc>
              <w:tc>
                <w:tcPr>
                  <w:tcW w:w="579" w:type="pct"/>
                  <w:tcBorders>
                    <w:tl2br w:val="nil"/>
                    <w:tr2bl w:val="nil"/>
                  </w:tcBorders>
                  <w:noWrap w:val="0"/>
                  <w:vAlign w:val="center"/>
                </w:tcPr>
                <w:p w14:paraId="041EE644">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484" w:type="pct"/>
                  <w:tcBorders>
                    <w:tl2br w:val="nil"/>
                    <w:tr2bl w:val="nil"/>
                  </w:tcBorders>
                  <w:shd w:val="clear" w:color="auto" w:fill="auto"/>
                  <w:noWrap w:val="0"/>
                  <w:vAlign w:val="top"/>
                </w:tcPr>
                <w:p w14:paraId="3F70C89D">
                  <w:pPr>
                    <w:spacing w:before="79" w:line="230" w:lineRule="exact"/>
                    <w:jc w:val="both"/>
                    <w:rPr>
                      <w:rFonts w:hint="default" w:ascii="Times New Roman" w:hAnsi="Times New Roman" w:eastAsia="Times New Roman" w:cs="Times New Roman"/>
                      <w:kern w:val="2"/>
                      <w:sz w:val="18"/>
                      <w:szCs w:val="18"/>
                      <w:lang w:val="en-US" w:eastAsia="zh-CN" w:bidi="ar-SA"/>
                    </w:rPr>
                  </w:pPr>
                  <w:r>
                    <w:rPr>
                      <w:rFonts w:hint="eastAsia" w:ascii="Times New Roman" w:hAnsi="Times New Roman" w:eastAsia="Times New Roman" w:cs="Times New Roman"/>
                      <w:kern w:val="2"/>
                      <w:sz w:val="18"/>
                      <w:szCs w:val="18"/>
                      <w:lang w:val="en-US" w:eastAsia="zh-CN" w:bidi="ar-SA"/>
                    </w:rPr>
                    <w:t>5户</w:t>
                  </w:r>
                </w:p>
              </w:tc>
              <w:tc>
                <w:tcPr>
                  <w:tcW w:w="681" w:type="pct"/>
                  <w:vMerge w:val="continue"/>
                  <w:tcBorders>
                    <w:tl2br w:val="nil"/>
                    <w:tr2bl w:val="nil"/>
                  </w:tcBorders>
                  <w:noWrap w:val="0"/>
                  <w:vAlign w:val="center"/>
                </w:tcPr>
                <w:p w14:paraId="2D1D536B">
                  <w:pPr>
                    <w:spacing w:line="240" w:lineRule="auto"/>
                    <w:jc w:val="center"/>
                    <w:rPr>
                      <w:color w:val="000000" w:themeColor="text1"/>
                      <w:sz w:val="21"/>
                      <w:szCs w:val="21"/>
                      <w14:textFill>
                        <w14:solidFill>
                          <w14:schemeClr w14:val="tx1"/>
                        </w14:solidFill>
                      </w14:textFill>
                    </w:rPr>
                  </w:pPr>
                </w:p>
              </w:tc>
              <w:tc>
                <w:tcPr>
                  <w:tcW w:w="559" w:type="pct"/>
                  <w:tcBorders>
                    <w:tl2br w:val="nil"/>
                    <w:tr2bl w:val="nil"/>
                  </w:tcBorders>
                  <w:noWrap w:val="0"/>
                  <w:vAlign w:val="center"/>
                </w:tcPr>
                <w:p w14:paraId="54CD6C1A">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东南</w:t>
                  </w:r>
                </w:p>
              </w:tc>
              <w:tc>
                <w:tcPr>
                  <w:tcW w:w="477" w:type="pct"/>
                  <w:tcBorders>
                    <w:tl2br w:val="nil"/>
                    <w:tr2bl w:val="nil"/>
                  </w:tcBorders>
                  <w:noWrap w:val="0"/>
                  <w:vAlign w:val="center"/>
                </w:tcPr>
                <w:p w14:paraId="0819D49F">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466</w:t>
                  </w:r>
                </w:p>
              </w:tc>
            </w:tr>
            <w:tr w14:paraId="1F6C7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4" w:type="pct"/>
                  <w:tcBorders>
                    <w:tl2br w:val="nil"/>
                    <w:tr2bl w:val="nil"/>
                  </w:tcBorders>
                  <w:noWrap w:val="0"/>
                  <w:vAlign w:val="center"/>
                </w:tcPr>
                <w:p w14:paraId="4BC26661">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574" w:type="pct"/>
                  <w:tcBorders>
                    <w:tl2br w:val="nil"/>
                    <w:tr2bl w:val="nil"/>
                  </w:tcBorders>
                  <w:shd w:val="clear" w:color="auto" w:fill="auto"/>
                  <w:noWrap w:val="0"/>
                  <w:vAlign w:val="top"/>
                </w:tcPr>
                <w:p w14:paraId="2EB2CEB2">
                  <w:pPr>
                    <w:pStyle w:val="60"/>
                    <w:spacing w:before="103" w:line="211" w:lineRule="auto"/>
                    <w:ind w:left="156" w:leftChars="0"/>
                    <w:rPr>
                      <w:rFonts w:hint="eastAsia" w:ascii="宋体" w:hAnsi="宋体" w:eastAsia="宋体" w:cs="宋体"/>
                      <w:kern w:val="2"/>
                      <w:sz w:val="18"/>
                      <w:szCs w:val="18"/>
                      <w:lang w:val="en-US" w:eastAsia="zh-CN" w:bidi="ar-SA"/>
                    </w:rPr>
                  </w:pPr>
                  <w:r>
                    <w:rPr>
                      <w:rFonts w:hint="eastAsia" w:cs="宋体"/>
                      <w:kern w:val="2"/>
                      <w:sz w:val="18"/>
                      <w:szCs w:val="18"/>
                      <w:lang w:val="en-US" w:eastAsia="zh-CN" w:bidi="ar-SA"/>
                    </w:rPr>
                    <w:t>7</w:t>
                  </w:r>
                  <w:r>
                    <w:rPr>
                      <w:rFonts w:hint="default" w:ascii="宋体" w:hAnsi="宋体" w:eastAsia="宋体" w:cs="宋体"/>
                      <w:kern w:val="2"/>
                      <w:sz w:val="18"/>
                      <w:szCs w:val="18"/>
                      <w:lang w:val="en-US" w:eastAsia="zh-CN" w:bidi="ar-SA"/>
                    </w:rPr>
                    <w:t>#零星居民</w:t>
                  </w:r>
                </w:p>
              </w:tc>
              <w:tc>
                <w:tcPr>
                  <w:tcW w:w="700" w:type="pct"/>
                  <w:tcBorders>
                    <w:tl2br w:val="nil"/>
                    <w:tr2bl w:val="nil"/>
                  </w:tcBorders>
                  <w:noWrap w:val="0"/>
                  <w:vAlign w:val="center"/>
                </w:tcPr>
                <w:p w14:paraId="1CE8CAA3">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w:t>
                  </w:r>
                </w:p>
              </w:tc>
              <w:tc>
                <w:tcPr>
                  <w:tcW w:w="688" w:type="pct"/>
                  <w:tcBorders>
                    <w:tl2br w:val="nil"/>
                    <w:tr2bl w:val="nil"/>
                  </w:tcBorders>
                  <w:noWrap w:val="0"/>
                  <w:vAlign w:val="center"/>
                </w:tcPr>
                <w:p w14:paraId="2A715020">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-450</w:t>
                  </w:r>
                </w:p>
              </w:tc>
              <w:tc>
                <w:tcPr>
                  <w:tcW w:w="579" w:type="pct"/>
                  <w:tcBorders>
                    <w:tl2br w:val="nil"/>
                    <w:tr2bl w:val="nil"/>
                  </w:tcBorders>
                  <w:noWrap w:val="0"/>
                  <w:vAlign w:val="center"/>
                </w:tcPr>
                <w:p w14:paraId="432EAE67">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w:t>
                  </w:r>
                </w:p>
              </w:tc>
              <w:tc>
                <w:tcPr>
                  <w:tcW w:w="484" w:type="pct"/>
                  <w:tcBorders>
                    <w:tl2br w:val="nil"/>
                    <w:tr2bl w:val="nil"/>
                  </w:tcBorders>
                  <w:shd w:val="clear" w:color="auto" w:fill="auto"/>
                  <w:noWrap w:val="0"/>
                  <w:vAlign w:val="top"/>
                </w:tcPr>
                <w:p w14:paraId="00B02051">
                  <w:pPr>
                    <w:spacing w:before="79" w:line="231" w:lineRule="exact"/>
                    <w:jc w:val="both"/>
                    <w:rPr>
                      <w:rFonts w:hint="default" w:ascii="Times New Roman" w:hAnsi="Times New Roman" w:eastAsia="Times New Roman" w:cs="Times New Roman"/>
                      <w:kern w:val="2"/>
                      <w:sz w:val="18"/>
                      <w:szCs w:val="18"/>
                      <w:lang w:val="en-US" w:eastAsia="zh-CN" w:bidi="ar-SA"/>
                    </w:rPr>
                  </w:pPr>
                  <w:r>
                    <w:rPr>
                      <w:rFonts w:hint="eastAsia" w:ascii="Times New Roman" w:hAnsi="Times New Roman" w:eastAsia="Times New Roman" w:cs="Times New Roman"/>
                      <w:kern w:val="2"/>
                      <w:sz w:val="18"/>
                      <w:szCs w:val="18"/>
                      <w:lang w:val="en-US" w:eastAsia="zh-CN" w:bidi="ar-SA"/>
                    </w:rPr>
                    <w:t>2户</w:t>
                  </w:r>
                </w:p>
              </w:tc>
              <w:tc>
                <w:tcPr>
                  <w:tcW w:w="681" w:type="pct"/>
                  <w:vMerge w:val="continue"/>
                  <w:tcBorders>
                    <w:tl2br w:val="nil"/>
                    <w:tr2bl w:val="nil"/>
                  </w:tcBorders>
                  <w:noWrap w:val="0"/>
                  <w:vAlign w:val="center"/>
                </w:tcPr>
                <w:p w14:paraId="193C5FBF">
                  <w:pPr>
                    <w:spacing w:line="240" w:lineRule="auto"/>
                    <w:jc w:val="center"/>
                    <w:rPr>
                      <w:color w:val="000000" w:themeColor="text1"/>
                      <w:sz w:val="21"/>
                      <w:szCs w:val="21"/>
                      <w14:textFill>
                        <w14:solidFill>
                          <w14:schemeClr w14:val="tx1"/>
                        </w14:solidFill>
                      </w14:textFill>
                    </w:rPr>
                  </w:pPr>
                </w:p>
              </w:tc>
              <w:tc>
                <w:tcPr>
                  <w:tcW w:w="559" w:type="pct"/>
                  <w:tcBorders>
                    <w:tl2br w:val="nil"/>
                    <w:tr2bl w:val="nil"/>
                  </w:tcBorders>
                  <w:noWrap w:val="0"/>
                  <w:vAlign w:val="center"/>
                </w:tcPr>
                <w:p w14:paraId="4D70F419">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西南</w:t>
                  </w:r>
                </w:p>
              </w:tc>
              <w:tc>
                <w:tcPr>
                  <w:tcW w:w="477" w:type="pct"/>
                  <w:tcBorders>
                    <w:tl2br w:val="nil"/>
                    <w:tr2bl w:val="nil"/>
                  </w:tcBorders>
                  <w:noWrap w:val="0"/>
                  <w:vAlign w:val="center"/>
                </w:tcPr>
                <w:p w14:paraId="4EF2AD9C">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455</w:t>
                  </w:r>
                </w:p>
              </w:tc>
            </w:tr>
          </w:tbl>
          <w:p w14:paraId="544BF23B">
            <w:pPr>
              <w:pStyle w:val="3"/>
              <w:numPr>
                <w:ilvl w:val="0"/>
                <w:numId w:val="0"/>
              </w:numPr>
              <w:ind w:leftChars="0" w:firstLine="482" w:firstLineChars="200"/>
              <w:outlineLvl w:val="1"/>
              <w:rPr>
                <w:color w:val="000000" w:themeColor="text1"/>
                <w14:textFill>
                  <w14:solidFill>
                    <w14:schemeClr w14:val="tx1"/>
                  </w14:solidFill>
                </w14:textFill>
              </w:rPr>
            </w:pPr>
          </w:p>
        </w:tc>
      </w:tr>
      <w:tr w14:paraId="0C2A1E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1" w:type="dxa"/>
            <w:noWrap w:val="0"/>
            <w:vAlign w:val="center"/>
          </w:tcPr>
          <w:p w14:paraId="0A82D652">
            <w:pPr>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污染物排放控制标准</w:t>
            </w:r>
          </w:p>
        </w:tc>
        <w:tc>
          <w:tcPr>
            <w:tcW w:w="8475" w:type="dxa"/>
            <w:noWrap w:val="0"/>
            <w:vAlign w:val="center"/>
          </w:tcPr>
          <w:p w14:paraId="002C17BF">
            <w:pPr>
              <w:pStyle w:val="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污染物排放控制标准</w:t>
            </w:r>
          </w:p>
          <w:p w14:paraId="0E77DE06">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p w14:paraId="0E4375AE">
            <w:pPr>
              <w:pStyle w:val="25"/>
              <w:keepNext w:val="0"/>
              <w:keepLines w:val="0"/>
              <w:pageBreakBefore w:val="0"/>
              <w:widowControl/>
              <w:suppressLineNumbers w:val="0"/>
              <w:kinsoku/>
              <w:wordWrap/>
              <w:overflowPunct/>
              <w:topLinePunct w:val="0"/>
              <w:autoSpaceDE/>
              <w:autoSpaceDN/>
              <w:bidi w:val="0"/>
              <w:adjustRightInd/>
              <w:snapToGrid/>
              <w:spacing w:after="0" w:afterAutospacing="0" w:line="480" w:lineRule="atLeast"/>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rFonts w:hint="default"/>
                <w:color w:val="000000" w:themeColor="text1"/>
                <w:highlight w:val="none"/>
                <w:lang w:val="en-US" w:eastAsia="zh-CN"/>
                <w14:textFill>
                  <w14:solidFill>
                    <w14:schemeClr w14:val="tx1"/>
                  </w14:solidFill>
                </w14:textFill>
              </w:rPr>
              <w:t>《锅炉大气污染物排放标准》GB 13271-2014）</w:t>
            </w:r>
            <w:r>
              <w:rPr>
                <w:rFonts w:hint="eastAsia"/>
                <w:color w:val="000000" w:themeColor="text1"/>
                <w:highlight w:val="none"/>
                <w:lang w:val="en-US" w:eastAsia="zh-CN"/>
                <w14:textFill>
                  <w14:solidFill>
                    <w14:schemeClr w14:val="tx1"/>
                  </w14:solidFill>
                </w14:textFill>
              </w:rPr>
              <w:t>中使用范围：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使用型煤、水煤浆、煤矸石、石油焦、油页岩、生物质成型燃料等的锅炉，参照本标准中燃煤锅炉排放控制要求执行。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本项目使用生物质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成型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燃料</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，参照</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执行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锅炉大气污染物排放标准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 13271-2014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）燃煤锅炉排放控制要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求，由于本项目位于重点地区，故执行特别排放限值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本项目烘干产生的废气执行《</w:t>
            </w:r>
            <w:r>
              <w:rPr>
                <w:rFonts w:ascii="宋体" w:hAnsi="宋体" w:eastAsia="宋体" w:cs="宋体"/>
                <w:sz w:val="24"/>
                <w:szCs w:val="24"/>
                <w:highlight w:val="none"/>
              </w:rPr>
              <w:t>大气污染物综合排放标准》</w:t>
            </w:r>
            <w:r>
              <w:rPr>
                <w:rFonts w:hint="eastAsia" w:cs="宋体"/>
                <w:sz w:val="24"/>
                <w:szCs w:val="24"/>
                <w:highlight w:val="none"/>
                <w:lang w:eastAsia="zh-CN"/>
              </w:rPr>
              <w:t>（</w:t>
            </w:r>
            <w:r>
              <w:rPr>
                <w:rFonts w:ascii="宋体" w:hAnsi="宋体" w:eastAsia="宋体" w:cs="宋体"/>
                <w:sz w:val="24"/>
                <w:szCs w:val="24"/>
                <w:highlight w:val="none"/>
              </w:rPr>
              <w:t>GB 16297-1996</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废气排放标准详见下表。</w:t>
            </w:r>
          </w:p>
          <w:p w14:paraId="0D92D6FD">
            <w:pPr>
              <w:pStyle w:val="6"/>
              <w:numPr>
                <w:ilvl w:val="4"/>
                <w:numId w:val="0"/>
              </w:numPr>
              <w:bidi w:val="0"/>
              <w:ind w:leftChars="0"/>
              <w:jc w:val="center"/>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表3-4</w:t>
            </w:r>
            <w:r>
              <w:rPr>
                <w:rFonts w:hint="default"/>
                <w:color w:val="000000" w:themeColor="text1"/>
                <w:highlight w:val="none"/>
                <w:lang w:val="en-US" w:eastAsia="zh-CN"/>
                <w14:textFill>
                  <w14:solidFill>
                    <w14:schemeClr w14:val="tx1"/>
                  </w14:solidFill>
                </w14:textFill>
              </w:rPr>
              <w:t>《锅炉大气污染物排放标准》GB 13271-2014）</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2390"/>
              <w:gridCol w:w="3293"/>
              <w:gridCol w:w="2576"/>
            </w:tblGrid>
            <w:tr w14:paraId="4EAFAC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1446" w:type="pct"/>
                  <w:tcBorders>
                    <w:tl2br w:val="nil"/>
                    <w:tr2bl w:val="nil"/>
                  </w:tcBorders>
                  <w:vAlign w:val="center"/>
                </w:tcPr>
                <w:p w14:paraId="023C018D">
                  <w:pPr>
                    <w:spacing w:line="24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污染物</w:t>
                  </w:r>
                </w:p>
              </w:tc>
              <w:tc>
                <w:tcPr>
                  <w:tcW w:w="1993" w:type="pct"/>
                  <w:tcBorders>
                    <w:tl2br w:val="nil"/>
                    <w:tr2bl w:val="nil"/>
                  </w:tcBorders>
                  <w:vAlign w:val="center"/>
                </w:tcPr>
                <w:p w14:paraId="627A6FEC">
                  <w:pPr>
                    <w:spacing w:line="24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最高允许排放浓度</w:t>
                  </w:r>
                  <w:r>
                    <w:rPr>
                      <w:rFonts w:hint="eastAsia" w:asciiTheme="minorEastAsia" w:hAnsiTheme="minorEastAsia" w:eastAsiaTheme="minorEastAsia" w:cstheme="minorEastAsia"/>
                      <w:sz w:val="21"/>
                      <w:szCs w:val="21"/>
                      <w:highlight w:val="none"/>
                      <w:lang w:val="en-GB"/>
                    </w:rPr>
                    <w:t>（</w:t>
                  </w:r>
                  <w:r>
                    <w:rPr>
                      <w:rFonts w:hint="eastAsia" w:asciiTheme="minorEastAsia" w:hAnsiTheme="minorEastAsia" w:eastAsiaTheme="minorEastAsia" w:cstheme="minorEastAsia"/>
                      <w:sz w:val="21"/>
                      <w:szCs w:val="21"/>
                      <w:highlight w:val="none"/>
                    </w:rPr>
                    <w:t>mg/m</w:t>
                  </w:r>
                  <w:r>
                    <w:rPr>
                      <w:rFonts w:hint="eastAsia" w:asciiTheme="minorEastAsia" w:hAnsiTheme="minorEastAsia" w:eastAsiaTheme="minorEastAsia" w:cstheme="minorEastAsia"/>
                      <w:sz w:val="21"/>
                      <w:szCs w:val="21"/>
                      <w:highlight w:val="none"/>
                      <w:vertAlign w:val="superscript"/>
                    </w:rPr>
                    <w:t>3</w:t>
                  </w:r>
                  <w:r>
                    <w:rPr>
                      <w:rFonts w:hint="eastAsia" w:asciiTheme="minorEastAsia" w:hAnsiTheme="minorEastAsia" w:eastAsiaTheme="minorEastAsia" w:cstheme="minorEastAsia"/>
                      <w:sz w:val="21"/>
                      <w:szCs w:val="21"/>
                      <w:highlight w:val="none"/>
                      <w:lang w:val="en-GB"/>
                    </w:rPr>
                    <w:t>）</w:t>
                  </w:r>
                </w:p>
              </w:tc>
              <w:tc>
                <w:tcPr>
                  <w:tcW w:w="1559" w:type="pct"/>
                  <w:tcBorders>
                    <w:tl2br w:val="nil"/>
                    <w:tr2bl w:val="nil"/>
                  </w:tcBorders>
                </w:tcPr>
                <w:p w14:paraId="361C8231">
                  <w:pPr>
                    <w:spacing w:line="24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排放限值依据</w:t>
                  </w:r>
                </w:p>
              </w:tc>
            </w:tr>
            <w:tr w14:paraId="69898E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1446" w:type="pct"/>
                  <w:tcBorders>
                    <w:tl2br w:val="nil"/>
                    <w:tr2bl w:val="nil"/>
                  </w:tcBorders>
                  <w:vAlign w:val="center"/>
                </w:tcPr>
                <w:p w14:paraId="2C9DDFDB">
                  <w:pPr>
                    <w:spacing w:line="24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颗粒物</w:t>
                  </w:r>
                </w:p>
              </w:tc>
              <w:tc>
                <w:tcPr>
                  <w:tcW w:w="1993" w:type="pct"/>
                  <w:tcBorders>
                    <w:tl2br w:val="nil"/>
                    <w:tr2bl w:val="nil"/>
                  </w:tcBorders>
                  <w:vAlign w:val="center"/>
                </w:tcPr>
                <w:p w14:paraId="62C0EF88">
                  <w:pPr>
                    <w:spacing w:line="240" w:lineRule="auto"/>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30</w:t>
                  </w:r>
                </w:p>
              </w:tc>
              <w:tc>
                <w:tcPr>
                  <w:tcW w:w="1559" w:type="pct"/>
                  <w:vMerge w:val="restart"/>
                  <w:tcBorders>
                    <w:tl2br w:val="nil"/>
                    <w:tr2bl w:val="nil"/>
                  </w:tcBorders>
                  <w:vAlign w:val="center"/>
                </w:tcPr>
                <w:p w14:paraId="13B5DB00">
                  <w:pPr>
                    <w:spacing w:line="24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i w:val="0"/>
                      <w:iCs w:val="0"/>
                      <w:caps w:val="0"/>
                      <w:color w:val="333333"/>
                      <w:spacing w:val="0"/>
                      <w:sz w:val="21"/>
                      <w:szCs w:val="21"/>
                      <w:highlight w:val="none"/>
                      <w:shd w:val="clear" w:fill="FFFFFF"/>
                    </w:rPr>
                    <w:t>大气污染物特别排放限值</w:t>
                  </w:r>
                </w:p>
              </w:tc>
            </w:tr>
            <w:tr w14:paraId="437418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1446" w:type="pct"/>
                  <w:tcBorders>
                    <w:tl2br w:val="nil"/>
                    <w:tr2bl w:val="nil"/>
                  </w:tcBorders>
                  <w:vAlign w:val="center"/>
                </w:tcPr>
                <w:p w14:paraId="433E50EC">
                  <w:pPr>
                    <w:spacing w:line="24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二氧化硫</w:t>
                  </w:r>
                </w:p>
              </w:tc>
              <w:tc>
                <w:tcPr>
                  <w:tcW w:w="1993" w:type="pct"/>
                  <w:tcBorders>
                    <w:tl2br w:val="nil"/>
                    <w:tr2bl w:val="nil"/>
                  </w:tcBorders>
                  <w:vAlign w:val="center"/>
                </w:tcPr>
                <w:p w14:paraId="3A688AC8">
                  <w:pPr>
                    <w:spacing w:line="240" w:lineRule="auto"/>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200</w:t>
                  </w:r>
                </w:p>
              </w:tc>
              <w:tc>
                <w:tcPr>
                  <w:tcW w:w="1559" w:type="pct"/>
                  <w:vMerge w:val="continue"/>
                  <w:tcBorders>
                    <w:tl2br w:val="nil"/>
                    <w:tr2bl w:val="nil"/>
                  </w:tcBorders>
                  <w:vAlign w:val="center"/>
                </w:tcPr>
                <w:p w14:paraId="1578197C">
                  <w:pPr>
                    <w:spacing w:line="240" w:lineRule="auto"/>
                    <w:jc w:val="center"/>
                    <w:rPr>
                      <w:rFonts w:hint="eastAsia" w:asciiTheme="minorEastAsia" w:hAnsiTheme="minorEastAsia" w:eastAsiaTheme="minorEastAsia" w:cstheme="minorEastAsia"/>
                      <w:sz w:val="21"/>
                      <w:szCs w:val="21"/>
                      <w:highlight w:val="none"/>
                    </w:rPr>
                  </w:pPr>
                </w:p>
              </w:tc>
            </w:tr>
            <w:tr w14:paraId="76F917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1446" w:type="pct"/>
                  <w:tcBorders>
                    <w:tl2br w:val="nil"/>
                    <w:tr2bl w:val="nil"/>
                  </w:tcBorders>
                  <w:vAlign w:val="center"/>
                </w:tcPr>
                <w:p w14:paraId="2429F1CD">
                  <w:pPr>
                    <w:spacing w:line="24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烟气黑度（林格曼黑度，级）</w:t>
                  </w:r>
                </w:p>
              </w:tc>
              <w:tc>
                <w:tcPr>
                  <w:tcW w:w="1993" w:type="pct"/>
                  <w:tcBorders>
                    <w:tl2br w:val="nil"/>
                    <w:tr2bl w:val="nil"/>
                  </w:tcBorders>
                  <w:vAlign w:val="center"/>
                </w:tcPr>
                <w:p w14:paraId="603788C7">
                  <w:pPr>
                    <w:spacing w:line="24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p>
              </w:tc>
              <w:tc>
                <w:tcPr>
                  <w:tcW w:w="1559" w:type="pct"/>
                  <w:vMerge w:val="continue"/>
                  <w:tcBorders>
                    <w:tl2br w:val="nil"/>
                    <w:tr2bl w:val="nil"/>
                  </w:tcBorders>
                  <w:vAlign w:val="center"/>
                </w:tcPr>
                <w:p w14:paraId="1D1CF2B0">
                  <w:pPr>
                    <w:spacing w:line="240" w:lineRule="auto"/>
                    <w:jc w:val="center"/>
                    <w:rPr>
                      <w:rFonts w:hint="eastAsia" w:asciiTheme="minorEastAsia" w:hAnsiTheme="minorEastAsia" w:eastAsiaTheme="minorEastAsia" w:cstheme="minorEastAsia"/>
                      <w:sz w:val="21"/>
                      <w:szCs w:val="21"/>
                      <w:highlight w:val="none"/>
                    </w:rPr>
                  </w:pPr>
                </w:p>
              </w:tc>
            </w:tr>
            <w:tr w14:paraId="527350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1446" w:type="pct"/>
                  <w:tcBorders>
                    <w:tl2br w:val="nil"/>
                    <w:tr2bl w:val="nil"/>
                  </w:tcBorders>
                  <w:vAlign w:val="center"/>
                </w:tcPr>
                <w:p w14:paraId="1FAF8326">
                  <w:pPr>
                    <w:spacing w:line="24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氮氧化物</w:t>
                  </w:r>
                </w:p>
              </w:tc>
              <w:tc>
                <w:tcPr>
                  <w:tcW w:w="1993" w:type="pct"/>
                  <w:tcBorders>
                    <w:tl2br w:val="nil"/>
                    <w:tr2bl w:val="nil"/>
                  </w:tcBorders>
                  <w:vAlign w:val="center"/>
                </w:tcPr>
                <w:p w14:paraId="22DF569B">
                  <w:pPr>
                    <w:spacing w:line="240" w:lineRule="auto"/>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200</w:t>
                  </w:r>
                </w:p>
              </w:tc>
              <w:tc>
                <w:tcPr>
                  <w:tcW w:w="1559" w:type="pct"/>
                  <w:vMerge w:val="continue"/>
                  <w:tcBorders>
                    <w:tl2br w:val="nil"/>
                    <w:tr2bl w:val="nil"/>
                  </w:tcBorders>
                  <w:vAlign w:val="center"/>
                </w:tcPr>
                <w:p w14:paraId="60265DCC">
                  <w:pPr>
                    <w:spacing w:line="240" w:lineRule="auto"/>
                    <w:jc w:val="center"/>
                    <w:rPr>
                      <w:rFonts w:hint="eastAsia" w:asciiTheme="minorEastAsia" w:hAnsiTheme="minorEastAsia" w:eastAsiaTheme="minorEastAsia" w:cstheme="minorEastAsia"/>
                      <w:sz w:val="21"/>
                      <w:szCs w:val="21"/>
                      <w:highlight w:val="none"/>
                    </w:rPr>
                  </w:pPr>
                </w:p>
              </w:tc>
            </w:tr>
          </w:tbl>
          <w:p w14:paraId="56597251">
            <w:pPr>
              <w:pStyle w:val="6"/>
              <w:numPr>
                <w:ilvl w:val="4"/>
                <w:numId w:val="0"/>
              </w:numPr>
              <w:bidi w:val="0"/>
              <w:ind w:leftChars="0"/>
              <w:jc w:val="center"/>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表3-5</w:t>
            </w:r>
            <w:r>
              <w:rPr>
                <w:rFonts w:ascii="宋体" w:hAnsi="宋体" w:eastAsia="宋体" w:cs="宋体"/>
                <w:sz w:val="24"/>
                <w:szCs w:val="24"/>
                <w:highlight w:val="none"/>
              </w:rPr>
              <w:t>《大气污染物综合排放标准》GB 16297-1996</w:t>
            </w:r>
          </w:p>
          <w:tbl>
            <w:tblPr>
              <w:tblStyle w:val="28"/>
              <w:tblW w:w="79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414"/>
              <w:gridCol w:w="1949"/>
              <w:gridCol w:w="1523"/>
              <w:gridCol w:w="1525"/>
              <w:gridCol w:w="1526"/>
            </w:tblGrid>
            <w:tr w14:paraId="1663BA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890" w:type="pct"/>
                  <w:tcBorders>
                    <w:tl2br w:val="nil"/>
                    <w:tr2bl w:val="nil"/>
                  </w:tcBorders>
                  <w:vAlign w:val="center"/>
                </w:tcPr>
                <w:p w14:paraId="66E5C0F5">
                  <w:pPr>
                    <w:spacing w:line="240" w:lineRule="auto"/>
                    <w:jc w:val="center"/>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污染物</w:t>
                  </w:r>
                </w:p>
              </w:tc>
              <w:tc>
                <w:tcPr>
                  <w:tcW w:w="1227" w:type="pct"/>
                  <w:tcBorders>
                    <w:tl2br w:val="nil"/>
                    <w:tr2bl w:val="nil"/>
                  </w:tcBorders>
                  <w:vAlign w:val="center"/>
                </w:tcPr>
                <w:p w14:paraId="63F355D4">
                  <w:pPr>
                    <w:spacing w:line="240" w:lineRule="auto"/>
                    <w:jc w:val="center"/>
                    <w:rPr>
                      <w:rFonts w:hint="default"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排气筒高度m</w:t>
                  </w:r>
                </w:p>
              </w:tc>
              <w:tc>
                <w:tcPr>
                  <w:tcW w:w="959" w:type="pct"/>
                  <w:tcBorders>
                    <w:tl2br w:val="nil"/>
                    <w:tr2bl w:val="nil"/>
                  </w:tcBorders>
                </w:tcPr>
                <w:p w14:paraId="73693AA2">
                  <w:pPr>
                    <w:spacing w:line="240" w:lineRule="auto"/>
                    <w:jc w:val="center"/>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lang w:val="en-US" w:eastAsia="zh-CN"/>
                    </w:rPr>
                    <w:t xml:space="preserve">排放速率 </w:t>
                  </w:r>
                </w:p>
                <w:p w14:paraId="32F87EED">
                  <w:pPr>
                    <w:spacing w:line="240" w:lineRule="auto"/>
                    <w:jc w:val="center"/>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w:t>
                  </w:r>
                  <w:r>
                    <w:rPr>
                      <w:rFonts w:hint="default" w:asciiTheme="minorEastAsia" w:hAnsiTheme="minorEastAsia" w:eastAsiaTheme="minorEastAsia" w:cstheme="minorEastAsia"/>
                      <w:b/>
                      <w:bCs/>
                      <w:sz w:val="21"/>
                      <w:szCs w:val="21"/>
                      <w:highlight w:val="none"/>
                      <w:lang w:val="en-US" w:eastAsia="zh-CN"/>
                    </w:rPr>
                    <w:t>kg/h</w:t>
                  </w:r>
                  <w:r>
                    <w:rPr>
                      <w:rFonts w:hint="eastAsia" w:asciiTheme="minorEastAsia" w:hAnsiTheme="minorEastAsia" w:eastAsiaTheme="minorEastAsia" w:cstheme="minorEastAsia"/>
                      <w:b/>
                      <w:bCs/>
                      <w:sz w:val="21"/>
                      <w:szCs w:val="21"/>
                      <w:highlight w:val="none"/>
                      <w:lang w:val="en-US" w:eastAsia="zh-CN"/>
                    </w:rPr>
                    <w:t>）</w:t>
                  </w:r>
                </w:p>
              </w:tc>
              <w:tc>
                <w:tcPr>
                  <w:tcW w:w="960" w:type="pct"/>
                  <w:tcBorders>
                    <w:tl2br w:val="nil"/>
                    <w:tr2bl w:val="nil"/>
                  </w:tcBorders>
                </w:tcPr>
                <w:p w14:paraId="7F29B0A3">
                  <w:pPr>
                    <w:spacing w:line="240" w:lineRule="auto"/>
                    <w:jc w:val="center"/>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lang w:val="en-US" w:eastAsia="zh-CN"/>
                    </w:rPr>
                    <w:t xml:space="preserve">浓度限值 </w:t>
                  </w:r>
                </w:p>
                <w:p w14:paraId="2AF05E73">
                  <w:pPr>
                    <w:spacing w:line="240" w:lineRule="auto"/>
                    <w:jc w:val="center"/>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w:t>
                  </w:r>
                  <w:r>
                    <w:rPr>
                      <w:rFonts w:hint="default" w:asciiTheme="minorEastAsia" w:hAnsiTheme="minorEastAsia" w:eastAsiaTheme="minorEastAsia" w:cstheme="minorEastAsia"/>
                      <w:b/>
                      <w:bCs/>
                      <w:sz w:val="21"/>
                      <w:szCs w:val="21"/>
                      <w:highlight w:val="none"/>
                      <w:lang w:val="en-US" w:eastAsia="zh-CN"/>
                    </w:rPr>
                    <w:t>mg/m3</w:t>
                  </w:r>
                  <w:r>
                    <w:rPr>
                      <w:rFonts w:hint="eastAsia" w:asciiTheme="minorEastAsia" w:hAnsiTheme="minorEastAsia" w:eastAsiaTheme="minorEastAsia" w:cstheme="minorEastAsia"/>
                      <w:b/>
                      <w:bCs/>
                      <w:sz w:val="21"/>
                      <w:szCs w:val="21"/>
                      <w:highlight w:val="none"/>
                      <w:lang w:val="en-US" w:eastAsia="zh-CN"/>
                    </w:rPr>
                    <w:t>）</w:t>
                  </w:r>
                </w:p>
              </w:tc>
              <w:tc>
                <w:tcPr>
                  <w:tcW w:w="960" w:type="pct"/>
                  <w:tcBorders>
                    <w:tl2br w:val="nil"/>
                    <w:tr2bl w:val="nil"/>
                  </w:tcBorders>
                </w:tcPr>
                <w:p w14:paraId="5E9E22F7">
                  <w:pPr>
                    <w:spacing w:line="240" w:lineRule="auto"/>
                    <w:jc w:val="center"/>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lang w:val="en-US" w:eastAsia="zh-CN"/>
                    </w:rPr>
                    <w:t xml:space="preserve">厂界浓度限 </w:t>
                  </w:r>
                </w:p>
                <w:p w14:paraId="533AD688">
                  <w:pPr>
                    <w:spacing w:line="240" w:lineRule="auto"/>
                    <w:jc w:val="center"/>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值（</w:t>
                  </w:r>
                  <w:r>
                    <w:rPr>
                      <w:rFonts w:hint="default" w:asciiTheme="minorEastAsia" w:hAnsiTheme="minorEastAsia" w:eastAsiaTheme="minorEastAsia" w:cstheme="minorEastAsia"/>
                      <w:b/>
                      <w:bCs/>
                      <w:sz w:val="21"/>
                      <w:szCs w:val="21"/>
                      <w:highlight w:val="none"/>
                      <w:lang w:val="en-US" w:eastAsia="zh-CN"/>
                    </w:rPr>
                    <w:t>mg/m3</w:t>
                  </w:r>
                  <w:r>
                    <w:rPr>
                      <w:rFonts w:hint="eastAsia" w:asciiTheme="minorEastAsia" w:hAnsiTheme="minorEastAsia" w:eastAsiaTheme="minorEastAsia" w:cstheme="minorEastAsia"/>
                      <w:b/>
                      <w:bCs/>
                      <w:sz w:val="21"/>
                      <w:szCs w:val="21"/>
                      <w:highlight w:val="none"/>
                      <w:lang w:val="en-US" w:eastAsia="zh-CN"/>
                    </w:rPr>
                    <w:t>）</w:t>
                  </w:r>
                </w:p>
              </w:tc>
            </w:tr>
            <w:tr w14:paraId="428C1B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890" w:type="pct"/>
                  <w:tcBorders>
                    <w:tl2br w:val="nil"/>
                    <w:tr2bl w:val="nil"/>
                  </w:tcBorders>
                  <w:vAlign w:val="center"/>
                </w:tcPr>
                <w:p w14:paraId="2A39A7C5">
                  <w:pPr>
                    <w:spacing w:line="24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颗粒物</w:t>
                  </w:r>
                </w:p>
              </w:tc>
              <w:tc>
                <w:tcPr>
                  <w:tcW w:w="1227" w:type="pct"/>
                  <w:tcBorders>
                    <w:tl2br w:val="nil"/>
                    <w:tr2bl w:val="nil"/>
                  </w:tcBorders>
                  <w:vAlign w:val="center"/>
                </w:tcPr>
                <w:p w14:paraId="43A56884">
                  <w:pPr>
                    <w:spacing w:line="240" w:lineRule="auto"/>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30</w:t>
                  </w:r>
                </w:p>
              </w:tc>
              <w:tc>
                <w:tcPr>
                  <w:tcW w:w="959" w:type="pct"/>
                  <w:tcBorders>
                    <w:tl2br w:val="nil"/>
                    <w:tr2bl w:val="nil"/>
                  </w:tcBorders>
                  <w:vAlign w:val="center"/>
                </w:tcPr>
                <w:p w14:paraId="298407BF">
                  <w:pPr>
                    <w:spacing w:line="240" w:lineRule="auto"/>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23</w:t>
                  </w:r>
                </w:p>
              </w:tc>
              <w:tc>
                <w:tcPr>
                  <w:tcW w:w="960" w:type="pct"/>
                  <w:tcBorders>
                    <w:tl2br w:val="nil"/>
                    <w:tr2bl w:val="nil"/>
                  </w:tcBorders>
                  <w:vAlign w:val="center"/>
                </w:tcPr>
                <w:p w14:paraId="3351799F">
                  <w:pPr>
                    <w:spacing w:line="240" w:lineRule="auto"/>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120</w:t>
                  </w:r>
                </w:p>
              </w:tc>
              <w:tc>
                <w:tcPr>
                  <w:tcW w:w="960" w:type="pct"/>
                  <w:tcBorders>
                    <w:tl2br w:val="nil"/>
                    <w:tr2bl w:val="nil"/>
                  </w:tcBorders>
                  <w:vAlign w:val="center"/>
                </w:tcPr>
                <w:p w14:paraId="27DDEB56">
                  <w:pPr>
                    <w:spacing w:line="240" w:lineRule="auto"/>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1.0</w:t>
                  </w:r>
                </w:p>
              </w:tc>
            </w:tr>
          </w:tbl>
          <w:p w14:paraId="5A3D82AB">
            <w:pPr>
              <w:pStyle w:val="4"/>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w:t>
            </w:r>
          </w:p>
          <w:p w14:paraId="080D936F">
            <w:pPr>
              <w:pStyle w:val="5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本项目生活污水处理达《污水综合排放标准》（</w:t>
            </w:r>
            <w:r>
              <w:rPr>
                <w:rFonts w:hint="default"/>
                <w:color w:val="000000" w:themeColor="text1"/>
                <w:highlight w:val="none"/>
                <w14:textFill>
                  <w14:solidFill>
                    <w14:schemeClr w14:val="tx1"/>
                  </w14:solidFill>
                </w14:textFill>
              </w:rPr>
              <w:t>GB8978-1996</w:t>
            </w:r>
            <w:r>
              <w:rPr>
                <w:rFonts w:hint="eastAsia"/>
                <w:color w:val="000000" w:themeColor="text1"/>
                <w:highlight w:val="none"/>
                <w:lang w:val="en-US" w:eastAsia="zh-CN"/>
                <w14:textFill>
                  <w14:solidFill>
                    <w14:schemeClr w14:val="tx1"/>
                  </w14:solidFill>
                </w14:textFill>
              </w:rPr>
              <w:t>）三级标准后排入</w:t>
            </w:r>
            <w:r>
              <w:rPr>
                <w:rFonts w:hint="eastAsia"/>
                <w:color w:val="000000" w:themeColor="text1"/>
                <w:highlight w:val="none"/>
                <w14:textFill>
                  <w14:solidFill>
                    <w14:schemeClr w14:val="tx1"/>
                  </w14:solidFill>
                </w14:textFill>
              </w:rPr>
              <w:t>园区污水处理厂处理达《城镇污水处理厂污染物排放标准》（GB18918-2002）一级A标准后排入</w:t>
            </w:r>
            <w:r>
              <w:rPr>
                <w:rFonts w:hint="eastAsia"/>
                <w:color w:val="000000" w:themeColor="text1"/>
                <w:highlight w:val="none"/>
                <w:vertAlign w:val="baseline"/>
                <w14:textFill>
                  <w14:solidFill>
                    <w14:schemeClr w14:val="tx1"/>
                  </w14:solidFill>
                </w14:textFill>
              </w:rPr>
              <w:t>铜钵河</w:t>
            </w:r>
            <w:r>
              <w:rPr>
                <w:rFonts w:hint="eastAsia"/>
                <w:color w:val="000000" w:themeColor="text1"/>
                <w:highlight w:val="none"/>
                <w:vertAlign w:val="baseline"/>
                <w:lang w:eastAsia="zh-CN"/>
                <w14:textFill>
                  <w14:solidFill>
                    <w14:schemeClr w14:val="tx1"/>
                  </w14:solidFill>
                </w14:textFill>
              </w:rPr>
              <w:t>；</w:t>
            </w:r>
            <w:r>
              <w:rPr>
                <w:rFonts w:hint="eastAsia"/>
                <w:color w:val="000000" w:themeColor="text1"/>
                <w:highlight w:val="none"/>
                <w:vertAlign w:val="baseline"/>
                <w:lang w:val="en-US" w:eastAsia="zh-CN"/>
                <w14:textFill>
                  <w14:solidFill>
                    <w14:schemeClr w14:val="tx1"/>
                  </w14:solidFill>
                </w14:textFill>
              </w:rPr>
              <w:t>清洗废水</w:t>
            </w:r>
            <w:r>
              <w:rPr>
                <w:rFonts w:hint="eastAsia"/>
                <w:color w:val="000000" w:themeColor="text1"/>
                <w:highlight w:val="none"/>
                <w:vertAlign w:val="baseline"/>
                <w:lang w:val="en-US" w:eastAsia="zh-CN"/>
                <w14:textFill>
                  <w14:solidFill>
                    <w14:schemeClr w14:val="tx1"/>
                  </w14:solidFill>
                </w14:textFill>
              </w:rPr>
              <w:t>经自建的</w:t>
            </w:r>
            <w:r>
              <w:rPr>
                <w:rFonts w:hint="eastAsia"/>
                <w:color w:val="000000" w:themeColor="text1"/>
                <w:highlight w:val="none"/>
                <w:vertAlign w:val="baseline"/>
                <w:lang w:val="en-US" w:eastAsia="zh-CN"/>
                <w14:textFill>
                  <w14:solidFill>
                    <w14:schemeClr w14:val="tx1"/>
                  </w14:solidFill>
                </w14:textFill>
              </w:rPr>
              <w:t>污水处理设施处理达《</w:t>
            </w:r>
            <w:r>
              <w:rPr>
                <w:rFonts w:ascii="宋体" w:hAnsi="宋体" w:eastAsia="宋体" w:cs="宋体"/>
                <w:sz w:val="24"/>
                <w:szCs w:val="24"/>
                <w:highlight w:val="none"/>
              </w:rPr>
              <w:t>纺织染整工业水污染物排放标准</w:t>
            </w:r>
            <w:r>
              <w:rPr>
                <w:rFonts w:hint="eastAsia"/>
                <w:color w:val="000000" w:themeColor="text1"/>
                <w:highlight w:val="none"/>
                <w:vertAlign w:val="baseline"/>
                <w:lang w:val="en-US" w:eastAsia="zh-CN"/>
                <w14:textFill>
                  <w14:solidFill>
                    <w14:schemeClr w14:val="tx1"/>
                  </w14:solidFill>
                </w14:textFill>
              </w:rPr>
              <w:t>》</w:t>
            </w:r>
            <w:r>
              <w:rPr>
                <w:rFonts w:ascii="宋体" w:hAnsi="宋体" w:eastAsia="宋体" w:cs="宋体"/>
                <w:sz w:val="24"/>
                <w:szCs w:val="24"/>
                <w:highlight w:val="none"/>
              </w:rPr>
              <w:t>（GB 4287-2012）及其修改单</w:t>
            </w:r>
            <w:r>
              <w:rPr>
                <w:rFonts w:hint="eastAsia" w:ascii="宋体" w:hAnsi="宋体" w:eastAsia="宋体" w:cs="宋体"/>
                <w:sz w:val="24"/>
                <w:szCs w:val="24"/>
                <w:highlight w:val="none"/>
                <w:lang w:val="en-US" w:eastAsia="zh-CN"/>
              </w:rPr>
              <w:t>后</w:t>
            </w:r>
            <w:r>
              <w:rPr>
                <w:rFonts w:hint="eastAsia"/>
                <w:color w:val="000000" w:themeColor="text1"/>
                <w:highlight w:val="none"/>
                <w:lang w:val="en-US" w:eastAsia="zh-CN"/>
                <w14:textFill>
                  <w14:solidFill>
                    <w14:schemeClr w14:val="tx1"/>
                  </w14:solidFill>
                </w14:textFill>
              </w:rPr>
              <w:t>排入</w:t>
            </w:r>
            <w:r>
              <w:rPr>
                <w:rFonts w:hint="eastAsia"/>
                <w:color w:val="000000" w:themeColor="text1"/>
                <w:highlight w:val="none"/>
                <w14:textFill>
                  <w14:solidFill>
                    <w14:schemeClr w14:val="tx1"/>
                  </w14:solidFill>
                </w14:textFill>
              </w:rPr>
              <w:t>园区污水处理厂处理达《城镇污水处理厂污染物排放标准》（GB18918-2002）一级A标准后排入</w:t>
            </w:r>
            <w:r>
              <w:rPr>
                <w:rFonts w:hint="eastAsia"/>
                <w:color w:val="000000" w:themeColor="text1"/>
                <w:highlight w:val="none"/>
                <w:vertAlign w:val="baseline"/>
                <w14:textFill>
                  <w14:solidFill>
                    <w14:schemeClr w14:val="tx1"/>
                  </w14:solidFill>
                </w14:textFill>
              </w:rPr>
              <w:t>铜钵河</w:t>
            </w:r>
            <w:r>
              <w:rPr>
                <w:rFonts w:hint="eastAsia"/>
                <w:color w:val="000000" w:themeColor="text1"/>
                <w:highlight w:val="none"/>
                <w:vertAlign w:val="baseline"/>
                <w:lang w:eastAsia="zh-CN"/>
                <w14:textFill>
                  <w14:solidFill>
                    <w14:schemeClr w14:val="tx1"/>
                  </w14:solidFill>
                </w14:textFill>
              </w:rPr>
              <w:t>，</w:t>
            </w:r>
            <w:r>
              <w:rPr>
                <w:color w:val="000000" w:themeColor="text1"/>
                <w:highlight w:val="none"/>
                <w14:textFill>
                  <w14:solidFill>
                    <w14:schemeClr w14:val="tx1"/>
                  </w14:solidFill>
                </w14:textFill>
              </w:rPr>
              <w:t>废水排放标准限值见</w:t>
            </w:r>
            <w:r>
              <w:rPr>
                <w:rFonts w:hint="eastAsia"/>
                <w:color w:val="000000" w:themeColor="text1"/>
                <w:highlight w:val="none"/>
                <w14:textFill>
                  <w14:solidFill>
                    <w14:schemeClr w14:val="tx1"/>
                  </w14:solidFill>
                </w14:textFill>
              </w:rPr>
              <w:t>下</w:t>
            </w: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w:t>
            </w:r>
          </w:p>
          <w:p w14:paraId="1E1B3B36">
            <w:pPr>
              <w:pStyle w:val="6"/>
              <w:numPr>
                <w:ilvl w:val="4"/>
                <w:numId w:val="0"/>
              </w:numPr>
              <w:bidi w:val="0"/>
              <w:ind w:left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表3-6 </w:t>
            </w:r>
            <w:r>
              <w:rPr>
                <w:rFonts w:hint="eastAsia"/>
                <w:color w:val="000000" w:themeColor="text1"/>
                <w:highlight w:val="none"/>
                <w14:textFill>
                  <w14:solidFill>
                    <w14:schemeClr w14:val="tx1"/>
                  </w14:solidFill>
                </w14:textFill>
              </w:rPr>
              <w:t>废水排放执行标准</w:t>
            </w:r>
          </w:p>
          <w:tbl>
            <w:tblPr>
              <w:tblStyle w:val="28"/>
              <w:tblW w:w="48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608"/>
              <w:gridCol w:w="756"/>
              <w:gridCol w:w="829"/>
              <w:gridCol w:w="742"/>
              <w:gridCol w:w="646"/>
              <w:gridCol w:w="683"/>
              <w:gridCol w:w="689"/>
              <w:gridCol w:w="684"/>
              <w:gridCol w:w="685"/>
            </w:tblGrid>
            <w:tr w14:paraId="217AC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17" w:type="pct"/>
                  <w:tcBorders>
                    <w:tl2br w:val="nil"/>
                    <w:tr2bl w:val="nil"/>
                  </w:tcBorders>
                  <w:noWrap w:val="0"/>
                  <w:vAlign w:val="center"/>
                </w:tcPr>
                <w:p w14:paraId="270CCA04">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执行标准</w:t>
                  </w:r>
                </w:p>
              </w:tc>
              <w:tc>
                <w:tcPr>
                  <w:tcW w:w="383" w:type="pct"/>
                  <w:tcBorders>
                    <w:tl2br w:val="nil"/>
                    <w:tr2bl w:val="nil"/>
                  </w:tcBorders>
                  <w:noWrap w:val="0"/>
                  <w:vAlign w:val="center"/>
                </w:tcPr>
                <w:p w14:paraId="707F5863">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pH</w:t>
                  </w:r>
                  <w:r>
                    <w:rPr>
                      <w:rFonts w:hint="eastAsia"/>
                      <w:color w:val="000000" w:themeColor="text1"/>
                      <w:highlight w:val="none"/>
                      <w:lang w:val="en-US" w:eastAsia="zh-CN"/>
                      <w14:textFill>
                        <w14:solidFill>
                          <w14:schemeClr w14:val="tx1"/>
                        </w14:solidFill>
                      </w14:textFill>
                    </w:rPr>
                    <w:t>值</w:t>
                  </w:r>
                </w:p>
              </w:tc>
              <w:tc>
                <w:tcPr>
                  <w:tcW w:w="476" w:type="pct"/>
                  <w:tcBorders>
                    <w:tl2br w:val="nil"/>
                    <w:tr2bl w:val="nil"/>
                  </w:tcBorders>
                  <w:noWrap w:val="0"/>
                  <w:vAlign w:val="center"/>
                </w:tcPr>
                <w:p w14:paraId="244A6358">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COD</w:t>
                  </w:r>
                </w:p>
              </w:tc>
              <w:tc>
                <w:tcPr>
                  <w:tcW w:w="522" w:type="pct"/>
                  <w:tcBorders>
                    <w:tl2br w:val="nil"/>
                    <w:tr2bl w:val="nil"/>
                  </w:tcBorders>
                  <w:noWrap w:val="0"/>
                  <w:vAlign w:val="center"/>
                </w:tcPr>
                <w:p w14:paraId="44B969B1">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BOD</w:t>
                  </w:r>
                  <w:r>
                    <w:rPr>
                      <w:rFonts w:hint="default"/>
                      <w:color w:val="000000" w:themeColor="text1"/>
                      <w:highlight w:val="none"/>
                      <w:vertAlign w:val="subscript"/>
                      <w14:textFill>
                        <w14:solidFill>
                          <w14:schemeClr w14:val="tx1"/>
                        </w14:solidFill>
                      </w14:textFill>
                    </w:rPr>
                    <w:t>5</w:t>
                  </w:r>
                </w:p>
              </w:tc>
              <w:tc>
                <w:tcPr>
                  <w:tcW w:w="467" w:type="pct"/>
                  <w:tcBorders>
                    <w:tl2br w:val="nil"/>
                    <w:tr2bl w:val="nil"/>
                  </w:tcBorders>
                  <w:noWrap w:val="0"/>
                  <w:vAlign w:val="center"/>
                </w:tcPr>
                <w:p w14:paraId="4B0E09CB">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NH</w:t>
                  </w:r>
                  <w:r>
                    <w:rPr>
                      <w:rFonts w:hint="default"/>
                      <w:color w:val="000000" w:themeColor="text1"/>
                      <w:highlight w:val="none"/>
                      <w:vertAlign w:val="subscript"/>
                      <w14:textFill>
                        <w14:solidFill>
                          <w14:schemeClr w14:val="tx1"/>
                        </w14:solidFill>
                      </w14:textFill>
                    </w:rPr>
                    <w:t>3</w:t>
                  </w:r>
                  <w:r>
                    <w:rPr>
                      <w:rFonts w:hint="default"/>
                      <w:color w:val="000000" w:themeColor="text1"/>
                      <w:highlight w:val="none"/>
                      <w14:textFill>
                        <w14:solidFill>
                          <w14:schemeClr w14:val="tx1"/>
                        </w14:solidFill>
                      </w14:textFill>
                    </w:rPr>
                    <w:t>-N</w:t>
                  </w:r>
                </w:p>
              </w:tc>
              <w:tc>
                <w:tcPr>
                  <w:tcW w:w="406" w:type="pct"/>
                  <w:tcBorders>
                    <w:tl2br w:val="nil"/>
                    <w:tr2bl w:val="nil"/>
                  </w:tcBorders>
                  <w:noWrap w:val="0"/>
                  <w:vAlign w:val="center"/>
                </w:tcPr>
                <w:p w14:paraId="709F283D">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SS</w:t>
                  </w:r>
                </w:p>
              </w:tc>
              <w:tc>
                <w:tcPr>
                  <w:tcW w:w="430" w:type="pct"/>
                  <w:tcBorders>
                    <w:tl2br w:val="nil"/>
                    <w:tr2bl w:val="nil"/>
                  </w:tcBorders>
                  <w:noWrap w:val="0"/>
                  <w:vAlign w:val="center"/>
                </w:tcPr>
                <w:p w14:paraId="745576D3">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TN</w:t>
                  </w:r>
                </w:p>
              </w:tc>
              <w:tc>
                <w:tcPr>
                  <w:tcW w:w="434" w:type="pct"/>
                  <w:tcBorders>
                    <w:tl2br w:val="nil"/>
                    <w:tr2bl w:val="nil"/>
                  </w:tcBorders>
                  <w:noWrap w:val="0"/>
                  <w:vAlign w:val="center"/>
                </w:tcPr>
                <w:p w14:paraId="4DA432B7">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TP</w:t>
                  </w:r>
                </w:p>
              </w:tc>
              <w:tc>
                <w:tcPr>
                  <w:tcW w:w="430" w:type="pct"/>
                  <w:tcBorders>
                    <w:tl2br w:val="nil"/>
                    <w:tr2bl w:val="nil"/>
                  </w:tcBorders>
                  <w:noWrap w:val="0"/>
                  <w:vAlign w:val="center"/>
                </w:tcPr>
                <w:p w14:paraId="4D01A677">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LAS</w:t>
                  </w:r>
                </w:p>
              </w:tc>
              <w:tc>
                <w:tcPr>
                  <w:tcW w:w="431" w:type="pct"/>
                  <w:tcBorders>
                    <w:tl2br w:val="nil"/>
                    <w:tr2bl w:val="nil"/>
                  </w:tcBorders>
                  <w:noWrap w:val="0"/>
                  <w:vAlign w:val="center"/>
                </w:tcPr>
                <w:p w14:paraId="473A775B">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色度</w:t>
                  </w:r>
                </w:p>
              </w:tc>
            </w:tr>
            <w:tr w14:paraId="0228E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17" w:type="pct"/>
                  <w:tcBorders>
                    <w:tl2br w:val="nil"/>
                    <w:tr2bl w:val="nil"/>
                  </w:tcBorders>
                  <w:noWrap w:val="0"/>
                  <w:vAlign w:val="center"/>
                </w:tcPr>
                <w:p w14:paraId="70580D0F">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GB8978-1996三级</w:t>
                  </w:r>
                </w:p>
              </w:tc>
              <w:tc>
                <w:tcPr>
                  <w:tcW w:w="383" w:type="pct"/>
                  <w:tcBorders>
                    <w:tl2br w:val="nil"/>
                    <w:tr2bl w:val="nil"/>
                  </w:tcBorders>
                  <w:noWrap w:val="0"/>
                  <w:vAlign w:val="center"/>
                </w:tcPr>
                <w:p w14:paraId="4E36B44A">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6~9</w:t>
                  </w:r>
                </w:p>
              </w:tc>
              <w:tc>
                <w:tcPr>
                  <w:tcW w:w="476" w:type="pct"/>
                  <w:tcBorders>
                    <w:tl2br w:val="nil"/>
                    <w:tr2bl w:val="nil"/>
                  </w:tcBorders>
                  <w:noWrap w:val="0"/>
                  <w:vAlign w:val="center"/>
                </w:tcPr>
                <w:p w14:paraId="0A56E893">
                  <w:pPr>
                    <w:pStyle w:val="56"/>
                    <w:bidi w:val="0"/>
                    <w:rPr>
                      <w:rFonts w:hint="eastAsia" w:eastAsia="宋体"/>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500</w:t>
                  </w:r>
                  <w:r>
                    <w:rPr>
                      <w:rFonts w:hint="eastAsia"/>
                      <w:color w:val="000000" w:themeColor="text1"/>
                      <w:highlight w:val="none"/>
                      <w:lang w:val="en-US" w:eastAsia="zh-CN"/>
                      <w14:textFill>
                        <w14:solidFill>
                          <w14:schemeClr w14:val="tx1"/>
                        </w14:solidFill>
                      </w14:textFill>
                    </w:rPr>
                    <w:tab/>
                  </w:r>
                </w:p>
              </w:tc>
              <w:tc>
                <w:tcPr>
                  <w:tcW w:w="522" w:type="pct"/>
                  <w:tcBorders>
                    <w:tl2br w:val="nil"/>
                    <w:tr2bl w:val="nil"/>
                  </w:tcBorders>
                  <w:noWrap w:val="0"/>
                  <w:vAlign w:val="center"/>
                </w:tcPr>
                <w:p w14:paraId="5D9E163A">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300</w:t>
                  </w:r>
                </w:p>
              </w:tc>
              <w:tc>
                <w:tcPr>
                  <w:tcW w:w="467" w:type="pct"/>
                  <w:tcBorders>
                    <w:tl2br w:val="nil"/>
                    <w:tr2bl w:val="nil"/>
                  </w:tcBorders>
                  <w:noWrap w:val="0"/>
                  <w:vAlign w:val="center"/>
                </w:tcPr>
                <w:p w14:paraId="53850970">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45*</w:t>
                  </w:r>
                </w:p>
              </w:tc>
              <w:tc>
                <w:tcPr>
                  <w:tcW w:w="406" w:type="pct"/>
                  <w:tcBorders>
                    <w:tl2br w:val="nil"/>
                    <w:tr2bl w:val="nil"/>
                  </w:tcBorders>
                  <w:noWrap w:val="0"/>
                  <w:vAlign w:val="center"/>
                </w:tcPr>
                <w:p w14:paraId="19915289">
                  <w:pPr>
                    <w:pStyle w:val="5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400</w:t>
                  </w:r>
                </w:p>
              </w:tc>
              <w:tc>
                <w:tcPr>
                  <w:tcW w:w="430" w:type="pct"/>
                  <w:tcBorders>
                    <w:tl2br w:val="nil"/>
                    <w:tr2bl w:val="nil"/>
                  </w:tcBorders>
                  <w:noWrap w:val="0"/>
                  <w:vAlign w:val="center"/>
                </w:tcPr>
                <w:p w14:paraId="1A100000">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r>
                    <w:rPr>
                      <w:rFonts w:hint="default"/>
                      <w:color w:val="000000" w:themeColor="text1"/>
                      <w:highlight w:val="none"/>
                      <w14:textFill>
                        <w14:solidFill>
                          <w14:schemeClr w14:val="tx1"/>
                        </w14:solidFill>
                      </w14:textFill>
                    </w:rPr>
                    <w:t>*</w:t>
                  </w:r>
                </w:p>
              </w:tc>
              <w:tc>
                <w:tcPr>
                  <w:tcW w:w="434" w:type="pct"/>
                  <w:tcBorders>
                    <w:tl2br w:val="nil"/>
                    <w:tr2bl w:val="nil"/>
                  </w:tcBorders>
                  <w:noWrap w:val="0"/>
                  <w:vAlign w:val="center"/>
                </w:tcPr>
                <w:p w14:paraId="79566CF0">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r>
                    <w:rPr>
                      <w:rFonts w:hint="default"/>
                      <w:color w:val="000000" w:themeColor="text1"/>
                      <w:highlight w:val="none"/>
                      <w14:textFill>
                        <w14:solidFill>
                          <w14:schemeClr w14:val="tx1"/>
                        </w14:solidFill>
                      </w14:textFill>
                    </w:rPr>
                    <w:t>*</w:t>
                  </w:r>
                </w:p>
              </w:tc>
              <w:tc>
                <w:tcPr>
                  <w:tcW w:w="430" w:type="pct"/>
                  <w:tcBorders>
                    <w:tl2br w:val="nil"/>
                    <w:tr2bl w:val="nil"/>
                  </w:tcBorders>
                  <w:noWrap w:val="0"/>
                  <w:vAlign w:val="center"/>
                </w:tcPr>
                <w:p w14:paraId="13D969CD">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c>
                <w:tcPr>
                  <w:tcW w:w="431" w:type="pct"/>
                  <w:tcBorders>
                    <w:tl2br w:val="nil"/>
                    <w:tr2bl w:val="nil"/>
                  </w:tcBorders>
                  <w:noWrap w:val="0"/>
                  <w:vAlign w:val="center"/>
                </w:tcPr>
                <w:p w14:paraId="3A34197D">
                  <w:pPr>
                    <w:pStyle w:val="5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37D0D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17" w:type="pct"/>
                  <w:tcBorders>
                    <w:tl2br w:val="nil"/>
                    <w:tr2bl w:val="nil"/>
                  </w:tcBorders>
                  <w:shd w:val="clear" w:color="auto" w:fill="auto"/>
                  <w:noWrap w:val="0"/>
                  <w:vAlign w:val="center"/>
                </w:tcPr>
                <w:p w14:paraId="5B86256A">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（GB18918-2002）</w:t>
                  </w:r>
                </w:p>
              </w:tc>
              <w:tc>
                <w:tcPr>
                  <w:tcW w:w="383" w:type="pct"/>
                  <w:tcBorders>
                    <w:tl2br w:val="nil"/>
                    <w:tr2bl w:val="nil"/>
                  </w:tcBorders>
                  <w:shd w:val="clear" w:color="auto" w:fill="auto"/>
                  <w:noWrap w:val="0"/>
                  <w:vAlign w:val="center"/>
                </w:tcPr>
                <w:p w14:paraId="7ED27789">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6~9</w:t>
                  </w:r>
                </w:p>
              </w:tc>
              <w:tc>
                <w:tcPr>
                  <w:tcW w:w="476" w:type="pct"/>
                  <w:tcBorders>
                    <w:tl2br w:val="nil"/>
                    <w:tr2bl w:val="nil"/>
                  </w:tcBorders>
                  <w:shd w:val="clear" w:color="auto" w:fill="auto"/>
                  <w:noWrap w:val="0"/>
                  <w:vAlign w:val="center"/>
                </w:tcPr>
                <w:p w14:paraId="42A4091A">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w:t>
                  </w:r>
                </w:p>
              </w:tc>
              <w:tc>
                <w:tcPr>
                  <w:tcW w:w="522" w:type="pct"/>
                  <w:tcBorders>
                    <w:tl2br w:val="nil"/>
                    <w:tr2bl w:val="nil"/>
                  </w:tcBorders>
                  <w:shd w:val="clear" w:color="auto" w:fill="auto"/>
                  <w:noWrap w:val="0"/>
                  <w:vAlign w:val="center"/>
                </w:tcPr>
                <w:p w14:paraId="43629A27">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150</w:t>
                  </w:r>
                </w:p>
              </w:tc>
              <w:tc>
                <w:tcPr>
                  <w:tcW w:w="467" w:type="pct"/>
                  <w:tcBorders>
                    <w:tl2br w:val="nil"/>
                    <w:tr2bl w:val="nil"/>
                  </w:tcBorders>
                  <w:shd w:val="clear" w:color="auto" w:fill="auto"/>
                  <w:noWrap w:val="0"/>
                  <w:vAlign w:val="center"/>
                </w:tcPr>
                <w:p w14:paraId="5DE01BE6">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c>
                <w:tcPr>
                  <w:tcW w:w="406" w:type="pct"/>
                  <w:tcBorders>
                    <w:tl2br w:val="nil"/>
                    <w:tr2bl w:val="nil"/>
                  </w:tcBorders>
                  <w:shd w:val="clear" w:color="auto" w:fill="auto"/>
                  <w:noWrap w:val="0"/>
                  <w:vAlign w:val="center"/>
                </w:tcPr>
                <w:p w14:paraId="787B55EA">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100</w:t>
                  </w:r>
                </w:p>
              </w:tc>
              <w:tc>
                <w:tcPr>
                  <w:tcW w:w="430" w:type="pct"/>
                  <w:tcBorders>
                    <w:tl2br w:val="nil"/>
                    <w:tr2bl w:val="nil"/>
                  </w:tcBorders>
                  <w:shd w:val="clear" w:color="auto" w:fill="auto"/>
                  <w:noWrap w:val="0"/>
                  <w:vAlign w:val="center"/>
                </w:tcPr>
                <w:p w14:paraId="6A6E9768">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434" w:type="pct"/>
                  <w:tcBorders>
                    <w:tl2br w:val="nil"/>
                    <w:tr2bl w:val="nil"/>
                  </w:tcBorders>
                  <w:shd w:val="clear" w:color="auto" w:fill="auto"/>
                  <w:noWrap w:val="0"/>
                  <w:vAlign w:val="center"/>
                </w:tcPr>
                <w:p w14:paraId="722F25D0">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430" w:type="pct"/>
                  <w:tcBorders>
                    <w:tl2br w:val="nil"/>
                    <w:tr2bl w:val="nil"/>
                  </w:tcBorders>
                  <w:shd w:val="clear" w:color="auto" w:fill="auto"/>
                  <w:noWrap w:val="0"/>
                  <w:vAlign w:val="center"/>
                </w:tcPr>
                <w:p w14:paraId="72B779DE">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vertAlign w:val="superscript"/>
                      <w:lang w:val="en-US" w:eastAsia="zh-CN"/>
                      <w14:textFill>
                        <w14:solidFill>
                          <w14:schemeClr w14:val="tx1"/>
                        </w14:solidFill>
                      </w14:textFill>
                    </w:rPr>
                    <w:t>（1）</w:t>
                  </w:r>
                </w:p>
              </w:tc>
              <w:tc>
                <w:tcPr>
                  <w:tcW w:w="431" w:type="pct"/>
                  <w:tcBorders>
                    <w:tl2br w:val="nil"/>
                    <w:tr2bl w:val="nil"/>
                  </w:tcBorders>
                  <w:shd w:val="clear" w:color="auto" w:fill="auto"/>
                  <w:noWrap w:val="0"/>
                  <w:vAlign w:val="center"/>
                </w:tcPr>
                <w:p w14:paraId="08DCCE49">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80</w:t>
                  </w:r>
                </w:p>
              </w:tc>
            </w:tr>
            <w:tr w14:paraId="4FDFA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17" w:type="pct"/>
                  <w:tcBorders>
                    <w:tl2br w:val="nil"/>
                    <w:tr2bl w:val="nil"/>
                  </w:tcBorders>
                  <w:shd w:val="clear" w:color="auto" w:fill="auto"/>
                  <w:noWrap w:val="0"/>
                  <w:vAlign w:val="center"/>
                </w:tcPr>
                <w:p w14:paraId="55A370C4">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highlight w:val="none"/>
                      <w:lang w:val="en-US" w:eastAsia="zh-CN"/>
                      <w14:textFill>
                        <w14:solidFill>
                          <w14:schemeClr w14:val="tx1"/>
                        </w14:solidFill>
                      </w14:textFill>
                    </w:rPr>
                    <w:t>GB18918-2002一级A标准</w:t>
                  </w:r>
                </w:p>
              </w:tc>
              <w:tc>
                <w:tcPr>
                  <w:tcW w:w="383" w:type="pct"/>
                  <w:tcBorders>
                    <w:tl2br w:val="nil"/>
                    <w:tr2bl w:val="nil"/>
                  </w:tcBorders>
                  <w:shd w:val="clear" w:color="auto" w:fill="auto"/>
                  <w:noWrap w:val="0"/>
                  <w:vAlign w:val="center"/>
                </w:tcPr>
                <w:p w14:paraId="3F8B341C">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highlight w:val="none"/>
                      <w14:textFill>
                        <w14:solidFill>
                          <w14:schemeClr w14:val="tx1"/>
                        </w14:solidFill>
                      </w14:textFill>
                    </w:rPr>
                    <w:t>6~9</w:t>
                  </w:r>
                </w:p>
              </w:tc>
              <w:tc>
                <w:tcPr>
                  <w:tcW w:w="476" w:type="pct"/>
                  <w:tcBorders>
                    <w:tl2br w:val="nil"/>
                    <w:tr2bl w:val="nil"/>
                  </w:tcBorders>
                  <w:shd w:val="clear" w:color="auto" w:fill="auto"/>
                  <w:noWrap w:val="0"/>
                  <w:vAlign w:val="center"/>
                </w:tcPr>
                <w:p w14:paraId="05B8C23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w:t>
                  </w:r>
                </w:p>
              </w:tc>
              <w:tc>
                <w:tcPr>
                  <w:tcW w:w="522" w:type="pct"/>
                  <w:tcBorders>
                    <w:tl2br w:val="nil"/>
                    <w:tr2bl w:val="nil"/>
                  </w:tcBorders>
                  <w:shd w:val="clear" w:color="auto" w:fill="auto"/>
                  <w:noWrap w:val="0"/>
                  <w:vAlign w:val="center"/>
                </w:tcPr>
                <w:p w14:paraId="77E5D98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14:textFill>
                        <w14:solidFill>
                          <w14:schemeClr w14:val="tx1"/>
                        </w14:solidFill>
                      </w14:textFill>
                    </w:rPr>
                    <w:t>0</w:t>
                  </w:r>
                </w:p>
              </w:tc>
              <w:tc>
                <w:tcPr>
                  <w:tcW w:w="467" w:type="pct"/>
                  <w:tcBorders>
                    <w:tl2br w:val="nil"/>
                    <w:tr2bl w:val="nil"/>
                  </w:tcBorders>
                  <w:shd w:val="clear" w:color="auto" w:fill="auto"/>
                  <w:noWrap w:val="0"/>
                  <w:vAlign w:val="center"/>
                </w:tcPr>
                <w:p w14:paraId="4FB10E70">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5（8）</w:t>
                  </w:r>
                </w:p>
              </w:tc>
              <w:tc>
                <w:tcPr>
                  <w:tcW w:w="406" w:type="pct"/>
                  <w:tcBorders>
                    <w:tl2br w:val="nil"/>
                    <w:tr2bl w:val="nil"/>
                  </w:tcBorders>
                  <w:shd w:val="clear" w:color="auto" w:fill="auto"/>
                  <w:noWrap w:val="0"/>
                  <w:vAlign w:val="center"/>
                </w:tcPr>
                <w:p w14:paraId="592573A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14:textFill>
                        <w14:solidFill>
                          <w14:schemeClr w14:val="tx1"/>
                        </w14:solidFill>
                      </w14:textFill>
                    </w:rPr>
                    <w:t>0</w:t>
                  </w:r>
                </w:p>
              </w:tc>
              <w:tc>
                <w:tcPr>
                  <w:tcW w:w="430" w:type="pct"/>
                  <w:tcBorders>
                    <w:tl2br w:val="nil"/>
                    <w:tr2bl w:val="nil"/>
                  </w:tcBorders>
                  <w:shd w:val="clear" w:color="auto" w:fill="auto"/>
                  <w:noWrap w:val="0"/>
                  <w:vAlign w:val="center"/>
                </w:tcPr>
                <w:p w14:paraId="040CE6F9">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434" w:type="pct"/>
                  <w:tcBorders>
                    <w:tl2br w:val="nil"/>
                    <w:tr2bl w:val="nil"/>
                  </w:tcBorders>
                  <w:shd w:val="clear" w:color="auto" w:fill="auto"/>
                  <w:noWrap w:val="0"/>
                  <w:vAlign w:val="center"/>
                </w:tcPr>
                <w:p w14:paraId="580CB26D">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w:t>
                  </w:r>
                </w:p>
              </w:tc>
              <w:tc>
                <w:tcPr>
                  <w:tcW w:w="430" w:type="pct"/>
                  <w:tcBorders>
                    <w:tl2br w:val="nil"/>
                    <w:tr2bl w:val="nil"/>
                  </w:tcBorders>
                  <w:shd w:val="clear" w:color="auto" w:fill="auto"/>
                  <w:noWrap w:val="0"/>
                  <w:vAlign w:val="center"/>
                </w:tcPr>
                <w:p w14:paraId="6FB8FD9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w:t>
                  </w:r>
                </w:p>
              </w:tc>
              <w:tc>
                <w:tcPr>
                  <w:tcW w:w="431" w:type="pct"/>
                  <w:tcBorders>
                    <w:tl2br w:val="nil"/>
                    <w:tr2bl w:val="nil"/>
                  </w:tcBorders>
                  <w:shd w:val="clear" w:color="auto" w:fill="auto"/>
                  <w:noWrap w:val="0"/>
                  <w:vAlign w:val="center"/>
                </w:tcPr>
                <w:p w14:paraId="150B6EB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r>
            <w:tr w14:paraId="51378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10"/>
                  <w:tcBorders>
                    <w:tl2br w:val="nil"/>
                    <w:tr2bl w:val="nil"/>
                  </w:tcBorders>
                  <w:noWrap w:val="0"/>
                  <w:vAlign w:val="center"/>
                </w:tcPr>
                <w:p w14:paraId="0A668449">
                  <w:pPr>
                    <w:pStyle w:val="56"/>
                    <w:bidi w:val="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氨氮、总磷、总氮</w:t>
                  </w:r>
                  <w:r>
                    <w:rPr>
                      <w:color w:val="000000" w:themeColor="text1"/>
                      <w:highlight w:val="none"/>
                      <w14:textFill>
                        <w14:solidFill>
                          <w14:schemeClr w14:val="tx1"/>
                        </w14:solidFill>
                      </w14:textFill>
                    </w:rPr>
                    <w:t>执行《污水排入城镇下水道水质标准》（GB/T31962-2015）</w:t>
                  </w:r>
                  <w:r>
                    <w:rPr>
                      <w:rFonts w:hint="eastAsia"/>
                      <w:color w:val="000000" w:themeColor="text1"/>
                      <w:highlight w:val="none"/>
                      <w:lang w:val="en-US" w:eastAsia="zh-CN"/>
                      <w14:textFill>
                        <w14:solidFill>
                          <w14:schemeClr w14:val="tx1"/>
                        </w14:solidFill>
                      </w14:textFill>
                    </w:rPr>
                    <w:t>B级标准。</w:t>
                  </w:r>
                </w:p>
                <w:p w14:paraId="098D3D0A">
                  <w:pPr>
                    <w:pStyle w:val="56"/>
                    <w:bidi w:val="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注2：括号外数值为水温&gt;12℃时的控制指标，括号内数值为水温≤12℃时的控制指标。</w:t>
                  </w:r>
                </w:p>
                <w:p w14:paraId="60B1AE9A">
                  <w:pPr>
                    <w:pStyle w:val="56"/>
                    <w:bidi w:val="0"/>
                    <w:jc w:val="left"/>
                    <w:rPr>
                      <w:rFonts w:hint="default"/>
                      <w:highlight w:val="none"/>
                      <w:lang w:val="en-US" w:eastAsia="zh-CN"/>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vertAlign w:val="baseline"/>
                      <w:lang w:val="en-US" w:eastAsia="zh-CN"/>
                      <w14:textFill>
                        <w14:solidFill>
                          <w14:schemeClr w14:val="tx1"/>
                        </w14:solidFill>
                      </w14:textFill>
                    </w:rPr>
                    <w:t>执行</w:t>
                  </w:r>
                  <w:r>
                    <w:rPr>
                      <w:rFonts w:hint="eastAsia"/>
                      <w:color w:val="000000" w:themeColor="text1"/>
                      <w:highlight w:val="none"/>
                      <w:lang w:val="en-US" w:eastAsia="zh-CN"/>
                      <w14:textFill>
                        <w14:solidFill>
                          <w14:schemeClr w14:val="tx1"/>
                        </w14:solidFill>
                      </w14:textFill>
                    </w:rPr>
                    <w:t>《污水综合排放标准》（</w:t>
                  </w:r>
                  <w:r>
                    <w:rPr>
                      <w:rFonts w:hint="default"/>
                      <w:color w:val="000000" w:themeColor="text1"/>
                      <w:highlight w:val="none"/>
                      <w14:textFill>
                        <w14:solidFill>
                          <w14:schemeClr w14:val="tx1"/>
                        </w14:solidFill>
                      </w14:textFill>
                    </w:rPr>
                    <w:t>GB8978-1996</w:t>
                  </w:r>
                  <w:r>
                    <w:rPr>
                      <w:rFonts w:hint="eastAsia"/>
                      <w:color w:val="000000" w:themeColor="text1"/>
                      <w:highlight w:val="none"/>
                      <w:lang w:val="en-US" w:eastAsia="zh-CN"/>
                      <w14:textFill>
                        <w14:solidFill>
                          <w14:schemeClr w14:val="tx1"/>
                        </w14:solidFill>
                      </w14:textFill>
                    </w:rPr>
                    <w:t>）三级标准</w:t>
                  </w:r>
                </w:p>
              </w:tc>
            </w:tr>
          </w:tbl>
          <w:p w14:paraId="43729750">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p w14:paraId="10F02C89">
            <w:pPr>
              <w:pStyle w:val="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施工期噪声执行</w:t>
            </w:r>
            <w:r>
              <w:rPr>
                <w:rFonts w:hint="eastAsia"/>
                <w:color w:val="000000" w:themeColor="text1"/>
                <w:sz w:val="24"/>
                <w14:textFill>
                  <w14:solidFill>
                    <w14:schemeClr w14:val="tx1"/>
                  </w14:solidFill>
                </w14:textFill>
              </w:rPr>
              <w:t>《建筑施工噪声排放标准》（GB12523-2025）</w:t>
            </w:r>
            <w:r>
              <w:rPr>
                <w:rFonts w:hint="eastAsia"/>
                <w:color w:val="000000" w:themeColor="text1"/>
                <w14:textFill>
                  <w14:solidFill>
                    <w14:schemeClr w14:val="tx1"/>
                  </w14:solidFill>
                </w14:textFill>
              </w:rPr>
              <w:t>；营运期厂界执行《工业企业厂界环境噪声排放标准》（GB12348-2008）3类标准，标准值见下表。</w:t>
            </w:r>
          </w:p>
          <w:p w14:paraId="38C24ED6">
            <w:pPr>
              <w:pStyle w:val="50"/>
              <w:jc w:val="center"/>
              <w:rPr>
                <w:rFonts w:hint="eastAsia"/>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表3-7  </w:t>
            </w:r>
            <w:r>
              <w:rPr>
                <w:rFonts w:hint="eastAsia"/>
                <w:b/>
                <w:bCs/>
                <w:color w:val="000000" w:themeColor="text1"/>
                <w14:textFill>
                  <w14:solidFill>
                    <w14:schemeClr w14:val="tx1"/>
                  </w14:solidFill>
                </w14:textFill>
              </w:rPr>
              <w:t>噪声排放标准单位dB（A）</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9"/>
              <w:gridCol w:w="1008"/>
              <w:gridCol w:w="842"/>
            </w:tblGrid>
            <w:tr w14:paraId="43E23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9" w:type="dxa"/>
                  <w:noWrap w:val="0"/>
                  <w:vAlign w:val="center"/>
                </w:tcPr>
                <w:p w14:paraId="120E764C">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执行标准</w:t>
                  </w:r>
                </w:p>
              </w:tc>
              <w:tc>
                <w:tcPr>
                  <w:tcW w:w="1008" w:type="dxa"/>
                  <w:noWrap w:val="0"/>
                  <w:vAlign w:val="center"/>
                </w:tcPr>
                <w:p w14:paraId="63F6EE16">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昼间</w:t>
                  </w:r>
                </w:p>
              </w:tc>
              <w:tc>
                <w:tcPr>
                  <w:tcW w:w="842" w:type="dxa"/>
                  <w:noWrap w:val="0"/>
                  <w:vAlign w:val="center"/>
                </w:tcPr>
                <w:p w14:paraId="4D7094FF">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夜间</w:t>
                  </w:r>
                </w:p>
              </w:tc>
            </w:tr>
            <w:tr w14:paraId="1FD47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9" w:type="dxa"/>
                  <w:noWrap w:val="0"/>
                  <w:vAlign w:val="center"/>
                </w:tcPr>
                <w:p w14:paraId="0F6E89C6">
                  <w:pPr>
                    <w:pStyle w:val="56"/>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《建筑施工噪声排放标准》（GB12523-2025）</w:t>
                  </w:r>
                </w:p>
              </w:tc>
              <w:tc>
                <w:tcPr>
                  <w:tcW w:w="1008" w:type="dxa"/>
                  <w:noWrap w:val="0"/>
                  <w:vAlign w:val="center"/>
                </w:tcPr>
                <w:p w14:paraId="569D9B75">
                  <w:pPr>
                    <w:pStyle w:val="5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842" w:type="dxa"/>
                  <w:noWrap w:val="0"/>
                  <w:vAlign w:val="center"/>
                </w:tcPr>
                <w:p w14:paraId="24CC9725">
                  <w:pPr>
                    <w:pStyle w:val="56"/>
                    <w:rPr>
                      <w:rFonts w:hint="default"/>
                      <w:color w:val="000000" w:themeColor="text1"/>
                      <w14:textFill>
                        <w14:solidFill>
                          <w14:schemeClr w14:val="tx1"/>
                        </w14:solidFill>
                      </w14:textFill>
                    </w:rPr>
                  </w:pPr>
                  <w:r>
                    <w:rPr>
                      <w:color w:val="000000" w:themeColor="text1"/>
                      <w14:textFill>
                        <w14:solidFill>
                          <w14:schemeClr w14:val="tx1"/>
                        </w14:solidFill>
                      </w14:textFill>
                    </w:rPr>
                    <w:t>55</w:t>
                  </w:r>
                </w:p>
              </w:tc>
            </w:tr>
            <w:tr w14:paraId="29DD6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9" w:type="dxa"/>
                  <w:shd w:val="clear" w:color="auto" w:fill="auto"/>
                  <w:noWrap w:val="0"/>
                  <w:vAlign w:val="center"/>
                </w:tcPr>
                <w:p w14:paraId="781E5D77">
                  <w:pPr>
                    <w:pStyle w:val="56"/>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《工业企业厂界环境噪声排放标准》（GB12348－2008）3类标准</w:t>
                  </w:r>
                </w:p>
              </w:tc>
              <w:tc>
                <w:tcPr>
                  <w:tcW w:w="1008" w:type="dxa"/>
                  <w:shd w:val="clear" w:color="auto" w:fill="auto"/>
                  <w:noWrap w:val="0"/>
                  <w:vAlign w:val="center"/>
                </w:tcPr>
                <w:p w14:paraId="18990D14">
                  <w:pPr>
                    <w:pStyle w:val="56"/>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65</w:t>
                  </w:r>
                </w:p>
              </w:tc>
              <w:tc>
                <w:tcPr>
                  <w:tcW w:w="842" w:type="dxa"/>
                  <w:shd w:val="clear" w:color="auto" w:fill="auto"/>
                  <w:noWrap w:val="0"/>
                  <w:vAlign w:val="center"/>
                </w:tcPr>
                <w:p w14:paraId="50E07F92">
                  <w:pPr>
                    <w:pStyle w:val="56"/>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55</w:t>
                  </w:r>
                </w:p>
              </w:tc>
            </w:tr>
          </w:tbl>
          <w:p w14:paraId="3AAE53B7">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p w14:paraId="3790EC27">
            <w:pPr>
              <w:pStyle w:val="50"/>
              <w:ind w:firstLine="0" w:firstLineChars="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根据《一般工业固体废物贮存和填埋污染控制标准》（GB18599-2020）中要求，采用库房、包装工具（罐、桶、包装袋等）贮存</w:t>
            </w:r>
            <w:r>
              <w:rPr>
                <w:rFonts w:hint="eastAsia"/>
                <w:color w:val="000000" w:themeColor="text1"/>
                <w:lang w:eastAsia="zh-CN"/>
                <w14:textFill>
                  <w14:solidFill>
                    <w14:schemeClr w14:val="tx1"/>
                  </w14:solidFill>
                </w14:textFill>
              </w:rPr>
              <w:t>一般工业固体废物</w:t>
            </w:r>
            <w:r>
              <w:rPr>
                <w:rFonts w:hint="default"/>
                <w:color w:val="000000" w:themeColor="text1"/>
                <w14:textFill>
                  <w14:solidFill>
                    <w14:schemeClr w14:val="tx1"/>
                  </w14:solidFill>
                </w14:textFill>
              </w:rPr>
              <w:t>过程的污染控制，不适用GB18599-2020标准，贮存过程中应满足相应的防渗漏、防雨淋、防扬尘等环境保护要求。</w:t>
            </w:r>
          </w:p>
          <w:p w14:paraId="005F4B09">
            <w:pPr>
              <w:pStyle w:val="50"/>
              <w:rPr>
                <w:color w:val="000000" w:themeColor="text1"/>
                <w14:textFill>
                  <w14:solidFill>
                    <w14:schemeClr w14:val="tx1"/>
                  </w14:solidFill>
                </w14:textFill>
              </w:rPr>
            </w:pPr>
            <w:r>
              <w:rPr>
                <w:rFonts w:hint="default"/>
                <w:color w:val="000000" w:themeColor="text1"/>
                <w14:textFill>
                  <w14:solidFill>
                    <w14:schemeClr w14:val="tx1"/>
                  </w14:solidFill>
                </w14:textFill>
              </w:rPr>
              <w:t>生活垃圾经收集后交当地环卫部门处理。</w:t>
            </w:r>
          </w:p>
        </w:tc>
      </w:tr>
      <w:tr w14:paraId="091124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11" w:type="dxa"/>
            <w:noWrap w:val="0"/>
            <w:vAlign w:val="center"/>
          </w:tcPr>
          <w:p w14:paraId="7241A2A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总量控制指标</w:t>
            </w:r>
          </w:p>
        </w:tc>
        <w:tc>
          <w:tcPr>
            <w:tcW w:w="8475" w:type="dxa"/>
            <w:noWrap w:val="0"/>
            <w:vAlign w:val="center"/>
          </w:tcPr>
          <w:p w14:paraId="27A425D6">
            <w:pPr>
              <w:pStyle w:val="3"/>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总量控制指标</w:t>
            </w:r>
          </w:p>
          <w:p w14:paraId="66FBE397">
            <w:pPr>
              <w:pStyle w:val="50"/>
              <w:rPr>
                <w:rFonts w:hint="default"/>
                <w:color w:val="000000" w:themeColor="text1"/>
                <w:highlight w:val="none"/>
                <w:lang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本项目总量指标为</w:t>
            </w:r>
            <w:r>
              <w:rPr>
                <w:rFonts w:hint="default"/>
                <w:color w:val="000000" w:themeColor="text1"/>
                <w:highlight w:val="none"/>
                <w:lang w:eastAsia="zh-CN"/>
                <w14:textFill>
                  <w14:solidFill>
                    <w14:schemeClr w14:val="tx1"/>
                  </w14:solidFill>
                </w14:textFill>
              </w:rPr>
              <w:t>：</w:t>
            </w:r>
          </w:p>
          <w:p w14:paraId="0A55CD9F">
            <w:pPr>
              <w:pStyle w:val="50"/>
              <w:numPr>
                <w:ilvl w:val="0"/>
                <w:numId w:val="5"/>
              </w:num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废水</w:t>
            </w:r>
          </w:p>
          <w:p w14:paraId="7C4EA6EF">
            <w:pPr>
              <w:pStyle w:val="5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排入外环境：</w:t>
            </w:r>
            <w:r>
              <w:rPr>
                <w:rFonts w:hint="default"/>
                <w:color w:val="000000" w:themeColor="text1"/>
                <w:highlight w:val="none"/>
                <w:lang w:val="en-US" w:eastAsia="zh-CN"/>
                <w14:textFill>
                  <w14:solidFill>
                    <w14:schemeClr w14:val="tx1"/>
                  </w14:solidFill>
                </w14:textFill>
              </w:rPr>
              <w:t>COD：</w:t>
            </w:r>
            <w:r>
              <w:rPr>
                <w:rFonts w:hint="eastAsia"/>
                <w:color w:val="000000" w:themeColor="text1"/>
                <w:highlight w:val="none"/>
                <w:lang w:val="en-US" w:eastAsia="zh-CN"/>
                <w14:textFill>
                  <w14:solidFill>
                    <w14:schemeClr w14:val="tx1"/>
                  </w14:solidFill>
                </w14:textFill>
              </w:rPr>
              <w:t>396</w:t>
            </w:r>
            <w:r>
              <w:rPr>
                <w:rFonts w:hint="default"/>
                <w:color w:val="000000" w:themeColor="text1"/>
                <w:highlight w:val="none"/>
                <w:lang w:val="en-US" w:eastAsia="zh-CN"/>
                <w14:textFill>
                  <w14:solidFill>
                    <w14:schemeClr w14:val="tx1"/>
                  </w14:solidFill>
                </w14:textFill>
              </w:rPr>
              <w:t>t/a，氨氮</w:t>
            </w:r>
            <w:r>
              <w:rPr>
                <w:rFonts w:hint="eastAsia"/>
                <w:color w:val="000000" w:themeColor="text1"/>
                <w:highlight w:val="none"/>
                <w:vertAlign w:val="baseline"/>
                <w:lang w:val="en-US" w:eastAsia="zh-CN"/>
                <w14:textFill>
                  <w14:solidFill>
                    <w14:schemeClr w14:val="tx1"/>
                  </w14:solidFill>
                </w14:textFill>
              </w:rPr>
              <w:t>；0.040</w:t>
            </w:r>
            <w:r>
              <w:rPr>
                <w:rFonts w:hint="default"/>
                <w:color w:val="000000" w:themeColor="text1"/>
                <w:highlight w:val="none"/>
                <w:lang w:val="en-US" w:eastAsia="zh-CN"/>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w:t>
            </w:r>
          </w:p>
          <w:p w14:paraId="1EB0FFF7">
            <w:pPr>
              <w:pStyle w:val="5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（2）废气</w:t>
            </w:r>
          </w:p>
          <w:p w14:paraId="2C970CA8">
            <w:pPr>
              <w:pStyle w:val="5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NO</w:t>
            </w:r>
            <w:r>
              <w:rPr>
                <w:rFonts w:hint="eastAsia"/>
                <w:color w:val="000000" w:themeColor="text1"/>
                <w:highlight w:val="none"/>
                <w:vertAlign w:val="subscript"/>
                <w:lang w:val="en-US" w:eastAsia="zh-CN"/>
                <w14:textFill>
                  <w14:solidFill>
                    <w14:schemeClr w14:val="tx1"/>
                  </w14:solidFill>
                </w14:textFill>
              </w:rPr>
              <w:t>X</w:t>
            </w:r>
            <w:r>
              <w:rPr>
                <w:rFonts w:hint="eastAsia"/>
                <w:color w:val="000000" w:themeColor="text1"/>
                <w:highlight w:val="none"/>
                <w:vertAlign w:val="baseline"/>
                <w:lang w:val="en-US" w:eastAsia="zh-CN"/>
                <w14:textFill>
                  <w14:solidFill>
                    <w14:schemeClr w14:val="tx1"/>
                  </w14:solidFill>
                </w14:textFill>
              </w:rPr>
              <w:t>：1.221</w:t>
            </w:r>
            <w:r>
              <w:rPr>
                <w:rFonts w:hint="default"/>
                <w:color w:val="000000" w:themeColor="text1"/>
                <w:highlight w:val="none"/>
                <w:lang w:val="en-US" w:eastAsia="zh-CN"/>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w:t>
            </w:r>
          </w:p>
          <w:p w14:paraId="638734E0">
            <w:pPr>
              <w:pStyle w:val="50"/>
              <w:rPr>
                <w:rFonts w:hint="eastAsia"/>
                <w:color w:val="000000" w:themeColor="text1"/>
                <w:highlight w:val="none"/>
                <w:lang w:val="en-US" w:eastAsia="zh-CN"/>
                <w14:textFill>
                  <w14:solidFill>
                    <w14:schemeClr w14:val="tx1"/>
                  </w14:solidFill>
                </w14:textFill>
              </w:rPr>
            </w:pPr>
          </w:p>
          <w:p w14:paraId="5356ACC8">
            <w:pPr>
              <w:pStyle w:val="50"/>
              <w:ind w:firstLine="0" w:firstLineChars="0"/>
              <w:rPr>
                <w:rFonts w:hint="eastAsia"/>
                <w:color w:val="000000" w:themeColor="text1"/>
                <w:highlight w:val="none"/>
                <w:lang w:val="en-US" w:eastAsia="zh-CN"/>
                <w14:textFill>
                  <w14:solidFill>
                    <w14:schemeClr w14:val="tx1"/>
                  </w14:solidFill>
                </w14:textFill>
              </w:rPr>
            </w:pPr>
          </w:p>
          <w:p w14:paraId="13F7BDDD">
            <w:pPr>
              <w:pStyle w:val="50"/>
              <w:rPr>
                <w:rFonts w:hint="eastAsia"/>
                <w:color w:val="000000" w:themeColor="text1"/>
                <w:highlight w:val="none"/>
                <w:lang w:val="en-US" w:eastAsia="zh-CN"/>
                <w14:textFill>
                  <w14:solidFill>
                    <w14:schemeClr w14:val="tx1"/>
                  </w14:solidFill>
                </w14:textFill>
              </w:rPr>
            </w:pPr>
          </w:p>
          <w:p w14:paraId="1589A928">
            <w:pPr>
              <w:pStyle w:val="50"/>
              <w:ind w:left="0" w:leftChars="0" w:firstLine="0" w:firstLineChars="0"/>
              <w:rPr>
                <w:rFonts w:hint="default"/>
                <w:color w:val="000000" w:themeColor="text1"/>
                <w:highlight w:val="none"/>
                <w:lang w:val="en-US" w:eastAsia="zh-CN"/>
                <w14:textFill>
                  <w14:solidFill>
                    <w14:schemeClr w14:val="tx1"/>
                  </w14:solidFill>
                </w14:textFill>
              </w:rPr>
            </w:pPr>
          </w:p>
        </w:tc>
      </w:tr>
    </w:tbl>
    <w:p w14:paraId="5D25F351">
      <w:pPr>
        <w:ind w:firstLine="480"/>
        <w:rPr>
          <w:color w:val="000000" w:themeColor="text1"/>
          <w14:textFill>
            <w14:solidFill>
              <w14:schemeClr w14:val="tx1"/>
            </w14:solidFill>
          </w14:textFill>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3287264">
      <w:pPr>
        <w:pStyle w:val="2"/>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主要环境影响和保护措施</w:t>
      </w: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3"/>
        <w:gridCol w:w="8347"/>
      </w:tblGrid>
      <w:tr w14:paraId="0DA990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03" w:type="dxa"/>
            <w:noWrap w:val="0"/>
            <w:vAlign w:val="center"/>
          </w:tcPr>
          <w:p w14:paraId="0990080D">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施工期环境保护措施</w:t>
            </w:r>
          </w:p>
        </w:tc>
        <w:tc>
          <w:tcPr>
            <w:tcW w:w="8347" w:type="dxa"/>
            <w:noWrap w:val="0"/>
            <w:vAlign w:val="center"/>
          </w:tcPr>
          <w:p w14:paraId="0446C241">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施工期环境防治措施</w:t>
            </w:r>
          </w:p>
          <w:p w14:paraId="6EA23FBF">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施工期大气环境防治措施</w:t>
            </w:r>
          </w:p>
          <w:p w14:paraId="4C7DBD0A">
            <w:pPr>
              <w:pStyle w:val="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本项目施工期仅为设备安装和调试，不涉及土建工程，颗粒物产生量较小，通过通风换气后对周边环境影响较小。</w:t>
            </w:r>
          </w:p>
          <w:p w14:paraId="3735DA60">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施工期水环境防治措施</w:t>
            </w:r>
          </w:p>
          <w:p w14:paraId="631F6C3A">
            <w:pPr>
              <w:pStyle w:val="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施工期</w:t>
            </w:r>
            <w:r>
              <w:rPr>
                <w:rFonts w:hint="default" w:ascii="Times New Roman" w:hAnsi="Times New Roman" w:cs="Times New Roman"/>
                <w:color w:val="000000" w:themeColor="text1"/>
                <w14:textFill>
                  <w14:solidFill>
                    <w14:schemeClr w14:val="tx1"/>
                  </w14:solidFill>
                </w14:textFill>
              </w:rPr>
              <w:t>生活污水依</w:t>
            </w:r>
            <w:r>
              <w:rPr>
                <w:rFonts w:hint="eastAsia" w:cs="Times New Roman"/>
                <w:color w:val="000000" w:themeColor="text1"/>
                <w:lang w:val="en-US" w:eastAsia="zh-CN"/>
                <w14:textFill>
                  <w14:solidFill>
                    <w14:schemeClr w14:val="tx1"/>
                  </w14:solidFill>
                </w14:textFill>
              </w:rPr>
              <w:t>厂区</w:t>
            </w:r>
            <w:r>
              <w:rPr>
                <w:rFonts w:hint="default" w:ascii="Times New Roman" w:hAnsi="Times New Roman" w:cs="Times New Roman"/>
                <w:color w:val="000000" w:themeColor="text1"/>
                <w:lang w:val="en-US" w:eastAsia="zh-CN"/>
                <w14:textFill>
                  <w14:solidFill>
                    <w14:schemeClr w14:val="tx1"/>
                  </w14:solidFill>
                </w14:textFill>
              </w:rPr>
              <w:t>已建生化池处理后排入市政污水管网。</w:t>
            </w:r>
          </w:p>
          <w:p w14:paraId="3D05B935">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施工期噪声防治措施</w:t>
            </w:r>
          </w:p>
          <w:p w14:paraId="4C16DCCD">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highlight w:val="none"/>
                <w:lang w:val="en-US"/>
              </w:rPr>
            </w:pPr>
            <w:r>
              <w:rPr>
                <w:rFonts w:hint="eastAsia" w:ascii="宋体" w:hAnsi="宋体" w:eastAsia="宋体" w:cs="宋体"/>
                <w:color w:val="000000"/>
                <w:kern w:val="0"/>
                <w:sz w:val="24"/>
                <w:szCs w:val="24"/>
                <w:highlight w:val="none"/>
                <w:lang w:val="en-US" w:eastAsia="zh-CN" w:bidi="ar"/>
              </w:rPr>
              <w:t>施工期的噪声主要来源于施工现场的各类机械设备噪声，</w:t>
            </w:r>
            <w:r>
              <w:rPr>
                <w:rFonts w:hint="default" w:ascii="Times New Roman" w:hAnsi="Times New Roman" w:cs="Times New Roman"/>
                <w:color w:val="000000" w:themeColor="text1"/>
                <w:highlight w:val="none"/>
                <w14:textFill>
                  <w14:solidFill>
                    <w14:schemeClr w14:val="tx1"/>
                  </w14:solidFill>
                </w14:textFill>
              </w:rPr>
              <w:t>本项目施工期仅为设备安装和调试</w:t>
            </w:r>
            <w:r>
              <w:rPr>
                <w:rFonts w:hint="eastAsia" w:ascii="宋体" w:hAnsi="宋体" w:eastAsia="宋体" w:cs="宋体"/>
                <w:color w:val="000000"/>
                <w:kern w:val="0"/>
                <w:sz w:val="24"/>
                <w:szCs w:val="24"/>
                <w:highlight w:val="none"/>
                <w:lang w:val="en-US" w:eastAsia="zh-CN" w:bidi="ar"/>
              </w:rPr>
              <w:t>机械发出的噪声，施工作业噪声将会对厂区周围环境带来一定的影响。根据施工量，按经验计算施工阶段的昼间的主要噪声源及场界噪声级见表4-1</w:t>
            </w:r>
          </w:p>
          <w:p w14:paraId="2F87CFE6">
            <w:pPr>
              <w:pStyle w:val="50"/>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4-1施工机械噪声声源强度</w:t>
            </w:r>
          </w:p>
          <w:tbl>
            <w:tblPr>
              <w:tblStyle w:val="29"/>
              <w:tblW w:w="79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2646"/>
              <w:gridCol w:w="2646"/>
            </w:tblGrid>
            <w:tr w14:paraId="67B3E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5" w:type="dxa"/>
                  <w:tcBorders>
                    <w:tl2br w:val="nil"/>
                    <w:tr2bl w:val="nil"/>
                  </w:tcBorders>
                  <w:vAlign w:val="top"/>
                </w:tcPr>
                <w:p w14:paraId="3FA1B8DD">
                  <w:pPr>
                    <w:pStyle w:val="50"/>
                    <w:keepNext w:val="0"/>
                    <w:keepLines w:val="0"/>
                    <w:pageBreakBefore w:val="0"/>
                    <w:kinsoku/>
                    <w:wordWrap/>
                    <w:overflowPunct/>
                    <w:topLinePunct w:val="0"/>
                    <w:autoSpaceDE/>
                    <w:autoSpaceDN/>
                    <w:bidi w:val="0"/>
                    <w:adjustRightInd/>
                    <w:snapToGrid/>
                    <w:textAlignment w:val="auto"/>
                    <w:rPr>
                      <w:rFonts w:hint="eastAsia" w:asciiTheme="minorEastAsia" w:hAnsiTheme="minorEastAsia" w:eastAsiaTheme="minorEastAsia" w:cstheme="minorEastAsia"/>
                      <w:color w:val="000000" w:themeColor="text1"/>
                      <w:sz w:val="21"/>
                      <w:szCs w:val="21"/>
                      <w:highlight w:val="none"/>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vertAlign w:val="baseline"/>
                      <w:lang w:val="en-US" w:eastAsia="zh-CN"/>
                      <w14:textFill>
                        <w14:solidFill>
                          <w14:schemeClr w14:val="tx1"/>
                        </w14:solidFill>
                      </w14:textFill>
                    </w:rPr>
                    <w:t>施工类型</w:t>
                  </w:r>
                </w:p>
              </w:tc>
              <w:tc>
                <w:tcPr>
                  <w:tcW w:w="2646" w:type="dxa"/>
                  <w:tcBorders>
                    <w:tl2br w:val="nil"/>
                    <w:tr2bl w:val="nil"/>
                  </w:tcBorders>
                  <w:vAlign w:val="top"/>
                </w:tcPr>
                <w:p w14:paraId="379AD477">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vertAlign w:val="baseline"/>
                      <w14:textFill>
                        <w14:solidFill>
                          <w14:schemeClr w14:val="tx1"/>
                        </w14:solidFill>
                      </w14:textFill>
                    </w:rPr>
                  </w:pPr>
                  <w:r>
                    <w:rPr>
                      <w:rFonts w:hint="eastAsia" w:asciiTheme="minorEastAsia" w:hAnsiTheme="minorEastAsia" w:eastAsiaTheme="minorEastAsia" w:cstheme="minorEastAsia"/>
                      <w:color w:val="000000"/>
                      <w:kern w:val="0"/>
                      <w:sz w:val="21"/>
                      <w:szCs w:val="21"/>
                      <w:highlight w:val="none"/>
                      <w:lang w:val="en-US" w:eastAsia="zh-CN" w:bidi="ar"/>
                    </w:rPr>
                    <w:t>声源</w:t>
                  </w:r>
                </w:p>
              </w:tc>
              <w:tc>
                <w:tcPr>
                  <w:tcW w:w="2646" w:type="dxa"/>
                  <w:tcBorders>
                    <w:tl2br w:val="nil"/>
                    <w:tr2bl w:val="nil"/>
                  </w:tcBorders>
                  <w:vAlign w:val="top"/>
                </w:tcPr>
                <w:p w14:paraId="7CE789C6">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Theme="minorEastAsia" w:hAnsiTheme="minorEastAsia" w:eastAsiaTheme="minorEastAsia" w:cstheme="minorEastAsia"/>
                      <w:color w:val="000000" w:themeColor="text1"/>
                      <w:sz w:val="21"/>
                      <w:szCs w:val="21"/>
                      <w:highlight w:val="none"/>
                      <w:vertAlign w:val="baseline"/>
                      <w14:textFill>
                        <w14:solidFill>
                          <w14:schemeClr w14:val="tx1"/>
                        </w14:solidFill>
                      </w14:textFill>
                    </w:rPr>
                  </w:pPr>
                  <w:r>
                    <w:rPr>
                      <w:rFonts w:hint="eastAsia" w:asciiTheme="minorEastAsia" w:hAnsiTheme="minorEastAsia" w:eastAsiaTheme="minorEastAsia" w:cstheme="minorEastAsia"/>
                      <w:color w:val="000000"/>
                      <w:kern w:val="0"/>
                      <w:sz w:val="21"/>
                      <w:szCs w:val="21"/>
                      <w:highlight w:val="none"/>
                      <w:lang w:val="en-US" w:eastAsia="zh-CN" w:bidi="ar"/>
                    </w:rPr>
                    <w:t>声源强度〔dB（A）〕</w:t>
                  </w:r>
                </w:p>
              </w:tc>
            </w:tr>
            <w:tr w14:paraId="588737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5" w:type="dxa"/>
                  <w:vMerge w:val="restart"/>
                  <w:tcBorders>
                    <w:tl2br w:val="nil"/>
                    <w:tr2bl w:val="nil"/>
                  </w:tcBorders>
                  <w:vAlign w:val="top"/>
                </w:tcPr>
                <w:p w14:paraId="268B9A5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000000" w:themeColor="text1"/>
                      <w:sz w:val="21"/>
                      <w:szCs w:val="21"/>
                      <w:highlight w:val="none"/>
                      <w:vertAlign w:val="baseline"/>
                      <w14:textFill>
                        <w14:solidFill>
                          <w14:schemeClr w14:val="tx1"/>
                        </w14:solidFill>
                      </w14:textFill>
                    </w:rPr>
                  </w:pPr>
                  <w:r>
                    <w:rPr>
                      <w:rFonts w:hint="eastAsia" w:asciiTheme="minorEastAsia" w:hAnsiTheme="minorEastAsia" w:eastAsiaTheme="minorEastAsia" w:cstheme="minorEastAsia"/>
                      <w:color w:val="000000"/>
                      <w:kern w:val="0"/>
                      <w:sz w:val="21"/>
                      <w:szCs w:val="21"/>
                      <w:highlight w:val="none"/>
                      <w:lang w:val="en-US" w:eastAsia="zh-CN" w:bidi="ar"/>
                    </w:rPr>
                    <w:t>装修安装</w:t>
                  </w:r>
                </w:p>
              </w:tc>
              <w:tc>
                <w:tcPr>
                  <w:tcW w:w="2646" w:type="dxa"/>
                  <w:tcBorders>
                    <w:tl2br w:val="nil"/>
                    <w:tr2bl w:val="nil"/>
                  </w:tcBorders>
                  <w:vAlign w:val="top"/>
                </w:tcPr>
                <w:p w14:paraId="514386F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000000" w:themeColor="text1"/>
                      <w:sz w:val="21"/>
                      <w:szCs w:val="21"/>
                      <w:highlight w:val="none"/>
                      <w:vertAlign w:val="baseline"/>
                      <w14:textFill>
                        <w14:solidFill>
                          <w14:schemeClr w14:val="tx1"/>
                        </w14:solidFill>
                      </w14:textFill>
                    </w:rPr>
                  </w:pPr>
                  <w:r>
                    <w:rPr>
                      <w:rFonts w:hint="eastAsia" w:asciiTheme="minorEastAsia" w:hAnsiTheme="minorEastAsia" w:eastAsiaTheme="minorEastAsia" w:cstheme="minorEastAsia"/>
                      <w:color w:val="000000"/>
                      <w:kern w:val="0"/>
                      <w:sz w:val="21"/>
                      <w:szCs w:val="21"/>
                      <w:highlight w:val="none"/>
                      <w:lang w:val="en-US" w:eastAsia="zh-CN" w:bidi="ar"/>
                    </w:rPr>
                    <w:t>电钻、手工钻等</w:t>
                  </w:r>
                </w:p>
              </w:tc>
              <w:tc>
                <w:tcPr>
                  <w:tcW w:w="2646" w:type="dxa"/>
                  <w:tcBorders>
                    <w:tl2br w:val="nil"/>
                    <w:tr2bl w:val="nil"/>
                  </w:tcBorders>
                  <w:vAlign w:val="top"/>
                </w:tcPr>
                <w:p w14:paraId="08B9498B">
                  <w:pPr>
                    <w:pStyle w:val="50"/>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color w:val="000000" w:themeColor="text1"/>
                      <w:sz w:val="21"/>
                      <w:szCs w:val="21"/>
                      <w:highlight w:val="none"/>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vertAlign w:val="baseline"/>
                      <w:lang w:val="en-US" w:eastAsia="zh-CN"/>
                      <w14:textFill>
                        <w14:solidFill>
                          <w14:schemeClr w14:val="tx1"/>
                        </w14:solidFill>
                      </w14:textFill>
                    </w:rPr>
                    <w:t>100~105</w:t>
                  </w:r>
                </w:p>
              </w:tc>
            </w:tr>
            <w:tr w14:paraId="7B7620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2645" w:type="dxa"/>
                  <w:vMerge w:val="continue"/>
                  <w:tcBorders>
                    <w:tl2br w:val="nil"/>
                    <w:tr2bl w:val="nil"/>
                  </w:tcBorders>
                  <w:vAlign w:val="top"/>
                </w:tcPr>
                <w:p w14:paraId="22E43BF0">
                  <w:pPr>
                    <w:pStyle w:val="50"/>
                    <w:keepNext w:val="0"/>
                    <w:keepLines w:val="0"/>
                    <w:pageBreakBefore w:val="0"/>
                    <w:kinsoku/>
                    <w:wordWrap/>
                    <w:overflowPunct/>
                    <w:topLinePunct w:val="0"/>
                    <w:autoSpaceDE/>
                    <w:autoSpaceDN/>
                    <w:bidi w:val="0"/>
                    <w:adjustRightInd/>
                    <w:snapToGrid/>
                    <w:textAlignment w:val="auto"/>
                    <w:rPr>
                      <w:rFonts w:hint="eastAsia" w:asciiTheme="minorEastAsia" w:hAnsiTheme="minorEastAsia" w:eastAsiaTheme="minorEastAsia" w:cstheme="minorEastAsia"/>
                      <w:color w:val="000000" w:themeColor="text1"/>
                      <w:sz w:val="21"/>
                      <w:szCs w:val="21"/>
                      <w:highlight w:val="none"/>
                      <w:vertAlign w:val="baseline"/>
                      <w14:textFill>
                        <w14:solidFill>
                          <w14:schemeClr w14:val="tx1"/>
                        </w14:solidFill>
                      </w14:textFill>
                    </w:rPr>
                  </w:pPr>
                </w:p>
              </w:tc>
              <w:tc>
                <w:tcPr>
                  <w:tcW w:w="2646" w:type="dxa"/>
                  <w:tcBorders>
                    <w:tl2br w:val="nil"/>
                    <w:tr2bl w:val="nil"/>
                  </w:tcBorders>
                  <w:vAlign w:val="top"/>
                </w:tcPr>
                <w:p w14:paraId="067CF5C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000000" w:themeColor="text1"/>
                      <w:sz w:val="21"/>
                      <w:szCs w:val="21"/>
                      <w:highlight w:val="none"/>
                      <w:vertAlign w:val="baseline"/>
                      <w14:textFill>
                        <w14:solidFill>
                          <w14:schemeClr w14:val="tx1"/>
                        </w14:solidFill>
                      </w14:textFill>
                    </w:rPr>
                  </w:pPr>
                  <w:r>
                    <w:rPr>
                      <w:rFonts w:hint="eastAsia" w:asciiTheme="minorEastAsia" w:hAnsiTheme="minorEastAsia" w:eastAsiaTheme="minorEastAsia" w:cstheme="minorEastAsia"/>
                      <w:color w:val="000000"/>
                      <w:kern w:val="0"/>
                      <w:sz w:val="21"/>
                      <w:szCs w:val="21"/>
                      <w:highlight w:val="none"/>
                      <w:lang w:val="en-US" w:eastAsia="zh-CN" w:bidi="ar"/>
                    </w:rPr>
                    <w:t>电锤</w:t>
                  </w:r>
                </w:p>
              </w:tc>
              <w:tc>
                <w:tcPr>
                  <w:tcW w:w="2646" w:type="dxa"/>
                  <w:tcBorders>
                    <w:tl2br w:val="nil"/>
                    <w:tr2bl w:val="nil"/>
                  </w:tcBorders>
                  <w:vAlign w:val="top"/>
                </w:tcPr>
                <w:p w14:paraId="7CD6DB0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color w:val="000000" w:themeColor="text1"/>
                      <w:sz w:val="21"/>
                      <w:szCs w:val="21"/>
                      <w:highlight w:val="none"/>
                      <w:vertAlign w:val="baseline"/>
                      <w14:textFill>
                        <w14:solidFill>
                          <w14:schemeClr w14:val="tx1"/>
                        </w14:solidFill>
                      </w14:textFill>
                    </w:rPr>
                  </w:pPr>
                  <w:r>
                    <w:rPr>
                      <w:rFonts w:hint="eastAsia" w:asciiTheme="minorEastAsia" w:hAnsiTheme="minorEastAsia" w:eastAsiaTheme="minorEastAsia" w:cstheme="minorEastAsia"/>
                      <w:color w:val="000000"/>
                      <w:kern w:val="0"/>
                      <w:sz w:val="21"/>
                      <w:szCs w:val="21"/>
                      <w:highlight w:val="none"/>
                      <w:lang w:val="en-US" w:eastAsia="zh-CN" w:bidi="ar"/>
                    </w:rPr>
                    <w:t>100～105</w:t>
                  </w:r>
                </w:p>
              </w:tc>
            </w:tr>
          </w:tbl>
          <w:p w14:paraId="6EDBB6C8">
            <w:pPr>
              <w:pStyle w:val="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①优选低噪声机械设备，同时在施工过程中施工单位应设专人对设备进行定期保养和维护，并负责对现场工作人员进行培训，严格按操作规范使用各类机械。</w:t>
            </w:r>
          </w:p>
          <w:p w14:paraId="3C2C2424">
            <w:pPr>
              <w:pStyle w:val="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②合理安排作业时间：施工方应合理安排施工时间，高强度噪声作业尽量安排在白天进行，避免中午（12：00时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14：00时）施工，禁止夜间（22：00时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次日6：00时）高声源施工噪声扰民。</w:t>
            </w:r>
          </w:p>
          <w:p w14:paraId="2F6CDFD8">
            <w:pPr>
              <w:pStyle w:val="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③材料装卸采用人工传递，严禁抛掷或汽车一次性下料。</w:t>
            </w:r>
          </w:p>
          <w:p w14:paraId="003D6054">
            <w:pPr>
              <w:pStyle w:val="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④加强车辆管理，控制车辆噪声，昼间进行材料运输，并避开休息时段，运输车辆进入现场应减速，并减少鸣笛，减轻交通噪声对周边环境的影响。</w:t>
            </w:r>
          </w:p>
          <w:p w14:paraId="43DFBA7F">
            <w:pPr>
              <w:pStyle w:val="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⑤提倡文明施工，对人为活动噪声应有管理制度，特别是要杜绝人为敲打、叫嚷、野蛮装卸噪声等现象，增强全体施工人员防噪声扰民的自觉意识，尽量减少人为大声喧哗，最大限度地减少噪声扰民。</w:t>
            </w:r>
          </w:p>
          <w:p w14:paraId="3E744537">
            <w:pPr>
              <w:pStyle w:val="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取上述措施后，加之经墙体阻隔，可有效防止发生噪声扰民现象出现。施工期噪声对周围住户将造成一定的影响，但是施工噪声影响是暂时的，设施期应做到合理安排施工时间、精心布局和文明施工，严格按照《建筑施工场界环境噪声排放标准》GB</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2523-2011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进行控制，施工噪声将随着施工期的结束而消失，在采取上述噪声防治措施后，项目施工噪声对评价范围内声学环境影响将降到最低。</w:t>
            </w:r>
          </w:p>
          <w:p w14:paraId="04002700">
            <w:pPr>
              <w:pStyle w:val="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施工期固体废物防治措施</w:t>
            </w:r>
          </w:p>
          <w:p w14:paraId="6AEFF850">
            <w:pPr>
              <w:pStyle w:val="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本项目施工期产生的固体废弃物为废包装材料和工人生活垃圾，施工过程中产生的废包材量较小，外售废品回收站处置；施工人员生活垃圾由环卫部门统一进行处理，对周围环境影响较小。</w:t>
            </w:r>
          </w:p>
          <w:p w14:paraId="240F02B9">
            <w:pPr>
              <w:pStyle w:val="50"/>
              <w:rPr>
                <w:rFonts w:hint="default" w:ascii="Times New Roman" w:hAnsi="Times New Roman" w:cs="Times New Roman"/>
                <w:color w:val="000000" w:themeColor="text1"/>
                <w14:textFill>
                  <w14:solidFill>
                    <w14:schemeClr w14:val="tx1"/>
                  </w14:solidFill>
                </w14:textFill>
              </w:rPr>
            </w:pPr>
          </w:p>
        </w:tc>
      </w:tr>
      <w:tr w14:paraId="465E2B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03" w:type="dxa"/>
            <w:noWrap w:val="0"/>
            <w:vAlign w:val="center"/>
          </w:tcPr>
          <w:p w14:paraId="0473E1EE">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运营期环境影响和保护措施</w:t>
            </w:r>
          </w:p>
        </w:tc>
        <w:tc>
          <w:tcPr>
            <w:tcW w:w="8347" w:type="dxa"/>
            <w:noWrap w:val="0"/>
            <w:vAlign w:val="center"/>
          </w:tcPr>
          <w:p w14:paraId="14C9F43C">
            <w:pPr>
              <w:pStyle w:val="3"/>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运营期环境影响和保护措施</w:t>
            </w:r>
          </w:p>
          <w:p w14:paraId="7F9701E5">
            <w:pPr>
              <w:pStyle w:val="4"/>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废气</w:t>
            </w:r>
          </w:p>
          <w:p w14:paraId="14A5DD60">
            <w:pPr>
              <w:pStyle w:val="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产排污情况</w:t>
            </w:r>
          </w:p>
          <w:p w14:paraId="788CE02B">
            <w:pPr>
              <w:pStyle w:val="61"/>
              <w:keepNext w:val="0"/>
              <w:keepLines w:val="0"/>
              <w:pageBreakBefore w:val="0"/>
              <w:widowControl w:val="0"/>
              <w:kinsoku/>
              <w:wordWrap/>
              <w:overflowPunct/>
              <w:topLinePunct w:val="0"/>
              <w:autoSpaceDE/>
              <w:autoSpaceDN/>
              <w:bidi w:val="0"/>
              <w:spacing w:line="480" w:lineRule="exact"/>
              <w:jc w:val="left"/>
              <w:textAlignment w:val="auto"/>
              <w:rPr>
                <w:b/>
                <w:kern w:val="0"/>
              </w:rPr>
            </w:pPr>
            <w:r>
              <w:t>本项目废气主要为</w:t>
            </w:r>
            <w:r>
              <w:rPr>
                <w:rFonts w:hint="eastAsia"/>
              </w:rPr>
              <w:t>生物质燃烧废气</w:t>
            </w:r>
            <w:r>
              <w:t>（G</w:t>
            </w:r>
            <w:r>
              <w:rPr>
                <w:rFonts w:hint="eastAsia"/>
                <w:lang w:val="en-US" w:eastAsia="zh-CN"/>
              </w:rPr>
              <w:t>2</w:t>
            </w:r>
            <w:r>
              <w:t>）</w:t>
            </w:r>
            <w:r>
              <w:rPr>
                <w:rFonts w:hint="eastAsia"/>
                <w:lang w:val="en-US" w:eastAsia="zh-CN"/>
              </w:rPr>
              <w:t>和烘干废气（G1）</w:t>
            </w:r>
            <w:r>
              <w:t>。</w:t>
            </w:r>
          </w:p>
          <w:p w14:paraId="7C0CE758">
            <w:pPr>
              <w:pStyle w:val="61"/>
              <w:keepNext w:val="0"/>
              <w:keepLines w:val="0"/>
              <w:pageBreakBefore w:val="0"/>
              <w:widowControl w:val="0"/>
              <w:kinsoku/>
              <w:wordWrap/>
              <w:overflowPunct/>
              <w:topLinePunct w:val="0"/>
              <w:autoSpaceDE/>
              <w:autoSpaceDN/>
              <w:bidi w:val="0"/>
              <w:spacing w:line="480" w:lineRule="exact"/>
              <w:jc w:val="left"/>
              <w:textAlignment w:val="auto"/>
              <w:rPr>
                <w:rFonts w:hint="eastAsia"/>
                <w:b/>
                <w:bCs w:val="0"/>
              </w:rPr>
            </w:pPr>
            <w:r>
              <w:rPr>
                <w:rFonts w:hint="eastAsia"/>
                <w:b/>
                <w:bCs w:val="0"/>
                <w:lang w:val="en-US" w:eastAsia="zh-CN"/>
              </w:rPr>
              <w:t>1、生</w:t>
            </w:r>
            <w:r>
              <w:rPr>
                <w:rFonts w:hint="eastAsia"/>
                <w:b/>
                <w:bCs w:val="0"/>
              </w:rPr>
              <w:t>物质燃烧废气</w:t>
            </w:r>
          </w:p>
          <w:p w14:paraId="2EEA2E61">
            <w:pPr>
              <w:pStyle w:val="61"/>
              <w:keepNext w:val="0"/>
              <w:keepLines w:val="0"/>
              <w:pageBreakBefore w:val="0"/>
              <w:widowControl w:val="0"/>
              <w:kinsoku/>
              <w:wordWrap/>
              <w:overflowPunct/>
              <w:topLinePunct w:val="0"/>
              <w:autoSpaceDE/>
              <w:autoSpaceDN/>
              <w:bidi w:val="0"/>
              <w:spacing w:line="480" w:lineRule="exact"/>
              <w:jc w:val="left"/>
              <w:textAlignment w:val="auto"/>
              <w:rPr>
                <w:rFonts w:hint="eastAsia"/>
              </w:rPr>
            </w:pPr>
            <w:r>
              <w:rPr>
                <w:rFonts w:hint="eastAsia"/>
              </w:rPr>
              <w:t>（1）烟气量</w:t>
            </w:r>
          </w:p>
          <w:p w14:paraId="71B2C0C6">
            <w:pPr>
              <w:pStyle w:val="61"/>
              <w:keepNext w:val="0"/>
              <w:keepLines w:val="0"/>
              <w:pageBreakBefore w:val="0"/>
              <w:widowControl w:val="0"/>
              <w:kinsoku/>
              <w:wordWrap/>
              <w:overflowPunct/>
              <w:topLinePunct w:val="0"/>
              <w:autoSpaceDE/>
              <w:autoSpaceDN/>
              <w:bidi w:val="0"/>
              <w:spacing w:line="480" w:lineRule="exact"/>
              <w:jc w:val="left"/>
              <w:textAlignment w:val="auto"/>
              <w:rPr>
                <w:rFonts w:hint="eastAsia" w:ascii="Times New Roman" w:hAnsi="Times New Roman" w:eastAsia="宋体" w:cs="Times New Roman"/>
                <w:b w:val="0"/>
                <w:bCs w:val="0"/>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1"/>
                <w:lang w:val="en-US" w:eastAsia="zh-CN" w:bidi="ar-SA"/>
                <w14:textFill>
                  <w14:solidFill>
                    <w14:schemeClr w14:val="tx1"/>
                  </w14:solidFill>
                </w14:textFill>
              </w:rPr>
              <w:t>本项目使用生物质燃料，燃烧废气主要污染物为颗粒物、二氧化硫、氮氧化物。</w:t>
            </w:r>
          </w:p>
          <w:p w14:paraId="6B0AC6D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both"/>
              <w:textAlignment w:val="auto"/>
              <w:rPr>
                <w:rFonts w:hint="default" w:ascii="Times New Roman" w:hAnsi="Times New Roman" w:cs="Times New Roman"/>
                <w:b w:val="0"/>
                <w:bCs w:val="0"/>
                <w:color w:val="000000" w:themeColor="text1"/>
                <w:sz w:val="24"/>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本</w:t>
            </w:r>
            <w:r>
              <w:rPr>
                <w:rFonts w:hint="default" w:ascii="Times New Roman" w:hAnsi="Times New Roman" w:cs="Times New Roman"/>
                <w:b w:val="0"/>
                <w:bCs w:val="0"/>
                <w:color w:val="000000" w:themeColor="text1"/>
                <w:sz w:val="24"/>
                <w14:textFill>
                  <w14:solidFill>
                    <w14:schemeClr w14:val="tx1"/>
                  </w14:solidFill>
                </w14:textFill>
              </w:rPr>
              <w:t>项目生物质成型燃料用量为</w:t>
            </w:r>
            <w:r>
              <w:rPr>
                <w:rFonts w:hint="eastAsia" w:cs="Times New Roman"/>
                <w:b w:val="0"/>
                <w:bCs w:val="0"/>
                <w:color w:val="000000" w:themeColor="text1"/>
                <w:sz w:val="24"/>
                <w:lang w:val="en-US" w:eastAsia="zh-CN"/>
                <w14:textFill>
                  <w14:solidFill>
                    <w14:schemeClr w14:val="tx1"/>
                  </w14:solidFill>
                </w14:textFill>
              </w:rPr>
              <w:t>1197</w:t>
            </w:r>
            <w:r>
              <w:rPr>
                <w:rFonts w:hint="default" w:ascii="Times New Roman" w:hAnsi="Times New Roman" w:cs="Times New Roman"/>
                <w:b w:val="0"/>
                <w:bCs w:val="0"/>
                <w:color w:val="000000" w:themeColor="text1"/>
                <w:sz w:val="24"/>
                <w14:textFill>
                  <w14:solidFill>
                    <w14:schemeClr w14:val="tx1"/>
                  </w14:solidFill>
                </w14:textFill>
              </w:rPr>
              <w:t>t/a，</w:t>
            </w:r>
            <w:r>
              <w:rPr>
                <w:rFonts w:hint="eastAsia" w:cs="Times New Roman"/>
                <w:b w:val="0"/>
                <w:bCs w:val="0"/>
                <w:color w:val="000000" w:themeColor="text1"/>
                <w:sz w:val="24"/>
                <w:lang w:val="en-US" w:eastAsia="zh-CN"/>
                <w14:textFill>
                  <w14:solidFill>
                    <w14:schemeClr w14:val="tx1"/>
                  </w14:solidFill>
                </w14:textFill>
              </w:rPr>
              <w:t>燃烧器</w:t>
            </w:r>
            <w:r>
              <w:rPr>
                <w:rFonts w:hint="default" w:ascii="Times New Roman" w:hAnsi="Times New Roman" w:cs="Times New Roman"/>
                <w:b w:val="0"/>
                <w:bCs w:val="0"/>
                <w:color w:val="000000" w:themeColor="text1"/>
                <w:sz w:val="24"/>
                <w14:textFill>
                  <w14:solidFill>
                    <w14:schemeClr w14:val="tx1"/>
                  </w14:solidFill>
                </w14:textFill>
              </w:rPr>
              <w:t>年运行</w:t>
            </w:r>
            <w:r>
              <w:rPr>
                <w:rFonts w:hint="eastAsia" w:ascii="Times New Roman" w:hAnsi="Times New Roman" w:cs="Times New Roman"/>
                <w:b w:val="0"/>
                <w:bCs w:val="0"/>
                <w:color w:val="000000" w:themeColor="text1"/>
                <w:sz w:val="24"/>
                <w:lang w:val="en-US" w:eastAsia="zh-CN"/>
                <w14:textFill>
                  <w14:solidFill>
                    <w14:schemeClr w14:val="tx1"/>
                  </w14:solidFill>
                </w14:textFill>
              </w:rPr>
              <w:t>300</w:t>
            </w:r>
            <w:r>
              <w:rPr>
                <w:rFonts w:hint="default" w:ascii="Times New Roman" w:hAnsi="Times New Roman" w:cs="Times New Roman"/>
                <w:b w:val="0"/>
                <w:bCs w:val="0"/>
                <w:color w:val="000000" w:themeColor="text1"/>
                <w:sz w:val="24"/>
                <w14:textFill>
                  <w14:solidFill>
                    <w14:schemeClr w14:val="tx1"/>
                  </w14:solidFill>
                </w14:textFill>
              </w:rPr>
              <w:t>天，每天</w:t>
            </w:r>
            <w:r>
              <w:rPr>
                <w:rFonts w:hint="eastAsia" w:cs="Times New Roman"/>
                <w:b w:val="0"/>
                <w:bCs w:val="0"/>
                <w:color w:val="000000" w:themeColor="text1"/>
                <w:sz w:val="24"/>
                <w:lang w:val="en-US" w:eastAsia="zh-CN"/>
                <w14:textFill>
                  <w14:solidFill>
                    <w14:schemeClr w14:val="tx1"/>
                  </w14:solidFill>
                </w14:textFill>
              </w:rPr>
              <w:t>8</w:t>
            </w:r>
            <w:r>
              <w:rPr>
                <w:rFonts w:hint="default" w:ascii="Times New Roman" w:hAnsi="Times New Roman" w:cs="Times New Roman"/>
                <w:b w:val="0"/>
                <w:bCs w:val="0"/>
                <w:color w:val="000000" w:themeColor="text1"/>
                <w:sz w:val="24"/>
                <w14:textFill>
                  <w14:solidFill>
                    <w14:schemeClr w14:val="tx1"/>
                  </w14:solidFill>
                </w14:textFill>
              </w:rPr>
              <w:t>小时，则年运行</w:t>
            </w:r>
            <w:r>
              <w:rPr>
                <w:rFonts w:hint="eastAsia" w:cs="Times New Roman"/>
                <w:b w:val="0"/>
                <w:bCs w:val="0"/>
                <w:color w:val="000000" w:themeColor="text1"/>
                <w:sz w:val="24"/>
                <w:lang w:val="en-US" w:eastAsia="zh-CN"/>
                <w14:textFill>
                  <w14:solidFill>
                    <w14:schemeClr w14:val="tx1"/>
                  </w14:solidFill>
                </w14:textFill>
              </w:rPr>
              <w:t>2400</w:t>
            </w:r>
            <w:r>
              <w:rPr>
                <w:rFonts w:hint="eastAsia" w:ascii="Times New Roman" w:hAnsi="Times New Roman" w:cs="Times New Roman"/>
                <w:b w:val="0"/>
                <w:bCs w:val="0"/>
                <w:color w:val="000000" w:themeColor="text1"/>
                <w:sz w:val="24"/>
                <w:lang w:val="en-US" w:eastAsia="zh-CN"/>
                <w14:textFill>
                  <w14:solidFill>
                    <w14:schemeClr w14:val="tx1"/>
                  </w14:solidFill>
                </w14:textFill>
              </w:rPr>
              <w:t>h</w:t>
            </w:r>
            <w:r>
              <w:rPr>
                <w:rFonts w:hint="default" w:ascii="Times New Roman" w:hAnsi="Times New Roman" w:cs="Times New Roman"/>
                <w:b w:val="0"/>
                <w:bCs w:val="0"/>
                <w:color w:val="000000" w:themeColor="text1"/>
                <w:sz w:val="24"/>
                <w14:textFill>
                  <w14:solidFill>
                    <w14:schemeClr w14:val="tx1"/>
                  </w14:solidFill>
                </w14:textFill>
              </w:rPr>
              <w:t>。参照《排放源统计调查产排污核算方法和系数手册》（环境部公告2021年第24号）中“4430工业锅炉（热力生产和供应行业）产污系数表-生物质工业锅炉-层燃炉”的产污系数进行核算，具体如下：</w:t>
            </w:r>
          </w:p>
          <w:p w14:paraId="5E065D69">
            <w:pPr>
              <w:adjustRightInd w:val="0"/>
              <w:snapToGrid w:val="0"/>
              <w:spacing w:line="460" w:lineRule="atLeast"/>
              <w:ind w:firstLine="482" w:firstLineChars="20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lang w:val="en-US" w:eastAsia="zh-CN"/>
                <w14:textFill>
                  <w14:solidFill>
                    <w14:schemeClr w14:val="tx1"/>
                  </w14:solidFill>
                </w14:textFill>
              </w:rPr>
              <w:t>1</w:t>
            </w:r>
            <w:r>
              <w:rPr>
                <w:b/>
                <w:bCs/>
                <w:color w:val="000000" w:themeColor="text1"/>
                <w:sz w:val="24"/>
                <w14:textFill>
                  <w14:solidFill>
                    <w14:schemeClr w14:val="tx1"/>
                  </w14:solidFill>
                </w14:textFill>
              </w:rPr>
              <w:t>生物质工业锅炉产污系数表</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153"/>
              <w:gridCol w:w="1865"/>
              <w:gridCol w:w="2103"/>
              <w:gridCol w:w="1948"/>
            </w:tblGrid>
            <w:tr w14:paraId="190E1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tcBorders>
                    <w:tl2br w:val="nil"/>
                    <w:tr2bl w:val="nil"/>
                  </w:tcBorders>
                  <w:noWrap w:val="0"/>
                  <w:vAlign w:val="center"/>
                </w:tcPr>
                <w:p w14:paraId="32A33601">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原料名称</w:t>
                  </w:r>
                </w:p>
              </w:tc>
              <w:tc>
                <w:tcPr>
                  <w:tcW w:w="709" w:type="pct"/>
                  <w:tcBorders>
                    <w:tl2br w:val="nil"/>
                    <w:tr2bl w:val="nil"/>
                  </w:tcBorders>
                  <w:noWrap w:val="0"/>
                  <w:vAlign w:val="center"/>
                </w:tcPr>
                <w:p w14:paraId="53E92034">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规模等级</w:t>
                  </w:r>
                </w:p>
              </w:tc>
              <w:tc>
                <w:tcPr>
                  <w:tcW w:w="1146" w:type="pct"/>
                  <w:tcBorders>
                    <w:tl2br w:val="nil"/>
                    <w:tr2bl w:val="nil"/>
                  </w:tcBorders>
                  <w:noWrap w:val="0"/>
                  <w:vAlign w:val="center"/>
                </w:tcPr>
                <w:p w14:paraId="1A0723A7">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污染物指标</w:t>
                  </w:r>
                </w:p>
              </w:tc>
              <w:tc>
                <w:tcPr>
                  <w:tcW w:w="1293" w:type="pct"/>
                  <w:tcBorders>
                    <w:tl2br w:val="nil"/>
                    <w:tr2bl w:val="nil"/>
                  </w:tcBorders>
                  <w:noWrap w:val="0"/>
                  <w:vAlign w:val="center"/>
                </w:tcPr>
                <w:p w14:paraId="4546C19A">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单位</w:t>
                  </w:r>
                </w:p>
              </w:tc>
              <w:tc>
                <w:tcPr>
                  <w:tcW w:w="1197" w:type="pct"/>
                  <w:tcBorders>
                    <w:tl2br w:val="nil"/>
                    <w:tr2bl w:val="nil"/>
                  </w:tcBorders>
                  <w:noWrap w:val="0"/>
                  <w:vAlign w:val="center"/>
                </w:tcPr>
                <w:p w14:paraId="3357CB90">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产污系数</w:t>
                  </w:r>
                </w:p>
              </w:tc>
            </w:tr>
            <w:tr w14:paraId="08C1B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restart"/>
                  <w:tcBorders>
                    <w:tl2br w:val="nil"/>
                    <w:tr2bl w:val="nil"/>
                  </w:tcBorders>
                  <w:noWrap w:val="0"/>
                  <w:vAlign w:val="center"/>
                </w:tcPr>
                <w:p w14:paraId="76F3FB01">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生物质</w:t>
                  </w:r>
                </w:p>
              </w:tc>
              <w:tc>
                <w:tcPr>
                  <w:tcW w:w="709" w:type="pct"/>
                  <w:vMerge w:val="restart"/>
                  <w:tcBorders>
                    <w:tl2br w:val="nil"/>
                    <w:tr2bl w:val="nil"/>
                  </w:tcBorders>
                  <w:noWrap w:val="0"/>
                  <w:vAlign w:val="center"/>
                </w:tcPr>
                <w:p w14:paraId="71DD167B">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所有规模</w:t>
                  </w:r>
                </w:p>
              </w:tc>
              <w:tc>
                <w:tcPr>
                  <w:tcW w:w="1146" w:type="pct"/>
                  <w:tcBorders>
                    <w:tl2br w:val="nil"/>
                    <w:tr2bl w:val="nil"/>
                  </w:tcBorders>
                  <w:noWrap w:val="0"/>
                  <w:vAlign w:val="center"/>
                </w:tcPr>
                <w:p w14:paraId="084E62F9">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工业废气量</w:t>
                  </w:r>
                </w:p>
              </w:tc>
              <w:tc>
                <w:tcPr>
                  <w:tcW w:w="1293" w:type="pct"/>
                  <w:tcBorders>
                    <w:tl2br w:val="nil"/>
                    <w:tr2bl w:val="nil"/>
                  </w:tcBorders>
                  <w:noWrap w:val="0"/>
                  <w:vAlign w:val="center"/>
                </w:tcPr>
                <w:p w14:paraId="31FEB420">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标立方米/吨-原料</w:t>
                  </w:r>
                </w:p>
              </w:tc>
              <w:tc>
                <w:tcPr>
                  <w:tcW w:w="1197" w:type="pct"/>
                  <w:tcBorders>
                    <w:tl2br w:val="nil"/>
                    <w:tr2bl w:val="nil"/>
                  </w:tcBorders>
                  <w:noWrap w:val="0"/>
                  <w:vAlign w:val="center"/>
                </w:tcPr>
                <w:p w14:paraId="2510E22D">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6240</w:t>
                  </w:r>
                </w:p>
              </w:tc>
            </w:tr>
            <w:tr w14:paraId="6AC26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tcBorders>
                    <w:tl2br w:val="nil"/>
                    <w:tr2bl w:val="nil"/>
                  </w:tcBorders>
                  <w:noWrap w:val="0"/>
                  <w:vAlign w:val="center"/>
                </w:tcPr>
                <w:p w14:paraId="57B91737">
                  <w:pPr>
                    <w:widowControl/>
                    <w:jc w:val="left"/>
                    <w:rPr>
                      <w:b w:val="0"/>
                      <w:bCs w:val="0"/>
                      <w:color w:val="000000" w:themeColor="text1"/>
                      <w:sz w:val="21"/>
                      <w:szCs w:val="21"/>
                      <w14:textFill>
                        <w14:solidFill>
                          <w14:schemeClr w14:val="tx1"/>
                        </w14:solidFill>
                      </w14:textFill>
                    </w:rPr>
                  </w:pPr>
                </w:p>
              </w:tc>
              <w:tc>
                <w:tcPr>
                  <w:tcW w:w="709" w:type="pct"/>
                  <w:vMerge w:val="continue"/>
                  <w:tcBorders>
                    <w:tl2br w:val="nil"/>
                    <w:tr2bl w:val="nil"/>
                  </w:tcBorders>
                  <w:noWrap w:val="0"/>
                  <w:vAlign w:val="center"/>
                </w:tcPr>
                <w:p w14:paraId="7462D5E0">
                  <w:pPr>
                    <w:widowControl/>
                    <w:jc w:val="left"/>
                    <w:rPr>
                      <w:b w:val="0"/>
                      <w:bCs w:val="0"/>
                      <w:color w:val="000000" w:themeColor="text1"/>
                      <w:sz w:val="21"/>
                      <w:szCs w:val="21"/>
                      <w14:textFill>
                        <w14:solidFill>
                          <w14:schemeClr w14:val="tx1"/>
                        </w14:solidFill>
                      </w14:textFill>
                    </w:rPr>
                  </w:pPr>
                </w:p>
              </w:tc>
              <w:tc>
                <w:tcPr>
                  <w:tcW w:w="1146" w:type="pct"/>
                  <w:tcBorders>
                    <w:tl2br w:val="nil"/>
                    <w:tr2bl w:val="nil"/>
                  </w:tcBorders>
                  <w:noWrap w:val="0"/>
                  <w:vAlign w:val="center"/>
                </w:tcPr>
                <w:p w14:paraId="4B97FAE1">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二氧化硫</w:t>
                  </w:r>
                </w:p>
              </w:tc>
              <w:tc>
                <w:tcPr>
                  <w:tcW w:w="1293" w:type="pct"/>
                  <w:tcBorders>
                    <w:tl2br w:val="nil"/>
                    <w:tr2bl w:val="nil"/>
                  </w:tcBorders>
                  <w:noWrap w:val="0"/>
                  <w:vAlign w:val="center"/>
                </w:tcPr>
                <w:p w14:paraId="7AB50C67">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千克/吨-原料</w:t>
                  </w:r>
                </w:p>
              </w:tc>
              <w:tc>
                <w:tcPr>
                  <w:tcW w:w="1197" w:type="pct"/>
                  <w:tcBorders>
                    <w:tl2br w:val="nil"/>
                    <w:tr2bl w:val="nil"/>
                  </w:tcBorders>
                  <w:noWrap w:val="0"/>
                  <w:vAlign w:val="center"/>
                </w:tcPr>
                <w:p w14:paraId="71BBAB78">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17S*</w:t>
                  </w:r>
                </w:p>
              </w:tc>
            </w:tr>
            <w:tr w14:paraId="247A2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tcBorders>
                    <w:tl2br w:val="nil"/>
                    <w:tr2bl w:val="nil"/>
                  </w:tcBorders>
                  <w:noWrap w:val="0"/>
                  <w:vAlign w:val="center"/>
                </w:tcPr>
                <w:p w14:paraId="0BBA235D">
                  <w:pPr>
                    <w:widowControl/>
                    <w:jc w:val="left"/>
                    <w:rPr>
                      <w:b w:val="0"/>
                      <w:bCs w:val="0"/>
                      <w:color w:val="000000" w:themeColor="text1"/>
                      <w:sz w:val="21"/>
                      <w:szCs w:val="21"/>
                      <w14:textFill>
                        <w14:solidFill>
                          <w14:schemeClr w14:val="tx1"/>
                        </w14:solidFill>
                      </w14:textFill>
                    </w:rPr>
                  </w:pPr>
                </w:p>
              </w:tc>
              <w:tc>
                <w:tcPr>
                  <w:tcW w:w="709" w:type="pct"/>
                  <w:vMerge w:val="continue"/>
                  <w:tcBorders>
                    <w:tl2br w:val="nil"/>
                    <w:tr2bl w:val="nil"/>
                  </w:tcBorders>
                  <w:noWrap w:val="0"/>
                  <w:vAlign w:val="center"/>
                </w:tcPr>
                <w:p w14:paraId="67B80F6C">
                  <w:pPr>
                    <w:widowControl/>
                    <w:jc w:val="left"/>
                    <w:rPr>
                      <w:b w:val="0"/>
                      <w:bCs w:val="0"/>
                      <w:color w:val="000000" w:themeColor="text1"/>
                      <w:sz w:val="21"/>
                      <w:szCs w:val="21"/>
                      <w14:textFill>
                        <w14:solidFill>
                          <w14:schemeClr w14:val="tx1"/>
                        </w14:solidFill>
                      </w14:textFill>
                    </w:rPr>
                  </w:pPr>
                </w:p>
              </w:tc>
              <w:tc>
                <w:tcPr>
                  <w:tcW w:w="1146" w:type="pct"/>
                  <w:tcBorders>
                    <w:tl2br w:val="nil"/>
                    <w:tr2bl w:val="nil"/>
                  </w:tcBorders>
                  <w:noWrap w:val="0"/>
                  <w:vAlign w:val="center"/>
                </w:tcPr>
                <w:p w14:paraId="63B2ECFD">
                  <w:pPr>
                    <w:rPr>
                      <w:rFonts w:hint="eastAsia" w:eastAsia="宋体"/>
                      <w:b w:val="0"/>
                      <w:bCs w:val="0"/>
                      <w:color w:val="000000" w:themeColor="text1"/>
                      <w:sz w:val="21"/>
                      <w:szCs w:val="21"/>
                      <w:lang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颗粒物</w:t>
                  </w:r>
                </w:p>
              </w:tc>
              <w:tc>
                <w:tcPr>
                  <w:tcW w:w="1293" w:type="pct"/>
                  <w:tcBorders>
                    <w:tl2br w:val="nil"/>
                    <w:tr2bl w:val="nil"/>
                  </w:tcBorders>
                  <w:noWrap w:val="0"/>
                  <w:vAlign w:val="center"/>
                </w:tcPr>
                <w:p w14:paraId="46D2021A">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千克/吨-原料</w:t>
                  </w:r>
                </w:p>
              </w:tc>
              <w:tc>
                <w:tcPr>
                  <w:tcW w:w="1197" w:type="pct"/>
                  <w:tcBorders>
                    <w:tl2br w:val="nil"/>
                    <w:tr2bl w:val="nil"/>
                  </w:tcBorders>
                  <w:noWrap w:val="0"/>
                  <w:vAlign w:val="center"/>
                </w:tcPr>
                <w:p w14:paraId="30855598">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0.5</w:t>
                  </w:r>
                </w:p>
              </w:tc>
            </w:tr>
            <w:tr w14:paraId="52B71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tcBorders>
                    <w:tl2br w:val="nil"/>
                    <w:tr2bl w:val="nil"/>
                  </w:tcBorders>
                  <w:noWrap w:val="0"/>
                  <w:vAlign w:val="center"/>
                </w:tcPr>
                <w:p w14:paraId="6325BDB5">
                  <w:pPr>
                    <w:widowControl/>
                    <w:jc w:val="left"/>
                    <w:rPr>
                      <w:b w:val="0"/>
                      <w:bCs w:val="0"/>
                      <w:color w:val="000000" w:themeColor="text1"/>
                      <w:sz w:val="21"/>
                      <w:szCs w:val="21"/>
                      <w14:textFill>
                        <w14:solidFill>
                          <w14:schemeClr w14:val="tx1"/>
                        </w14:solidFill>
                      </w14:textFill>
                    </w:rPr>
                  </w:pPr>
                </w:p>
              </w:tc>
              <w:tc>
                <w:tcPr>
                  <w:tcW w:w="709" w:type="pct"/>
                  <w:vMerge w:val="continue"/>
                  <w:tcBorders>
                    <w:tl2br w:val="nil"/>
                    <w:tr2bl w:val="nil"/>
                  </w:tcBorders>
                  <w:noWrap w:val="0"/>
                  <w:vAlign w:val="center"/>
                </w:tcPr>
                <w:p w14:paraId="39A02FE0">
                  <w:pPr>
                    <w:widowControl/>
                    <w:jc w:val="left"/>
                    <w:rPr>
                      <w:b w:val="0"/>
                      <w:bCs w:val="0"/>
                      <w:color w:val="000000" w:themeColor="text1"/>
                      <w:sz w:val="21"/>
                      <w:szCs w:val="21"/>
                      <w14:textFill>
                        <w14:solidFill>
                          <w14:schemeClr w14:val="tx1"/>
                        </w14:solidFill>
                      </w14:textFill>
                    </w:rPr>
                  </w:pPr>
                </w:p>
              </w:tc>
              <w:tc>
                <w:tcPr>
                  <w:tcW w:w="1146" w:type="pct"/>
                  <w:tcBorders>
                    <w:tl2br w:val="nil"/>
                    <w:tr2bl w:val="nil"/>
                  </w:tcBorders>
                  <w:noWrap w:val="0"/>
                  <w:vAlign w:val="center"/>
                </w:tcPr>
                <w:p w14:paraId="7FC2EF6B">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氮氧化物</w:t>
                  </w:r>
                </w:p>
              </w:tc>
              <w:tc>
                <w:tcPr>
                  <w:tcW w:w="1293" w:type="pct"/>
                  <w:tcBorders>
                    <w:tl2br w:val="nil"/>
                    <w:tr2bl w:val="nil"/>
                  </w:tcBorders>
                  <w:noWrap w:val="0"/>
                  <w:vAlign w:val="center"/>
                </w:tcPr>
                <w:p w14:paraId="73FBF39D">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千克/吨-原料</w:t>
                  </w:r>
                </w:p>
              </w:tc>
              <w:tc>
                <w:tcPr>
                  <w:tcW w:w="1197" w:type="pct"/>
                  <w:tcBorders>
                    <w:tl2br w:val="nil"/>
                    <w:tr2bl w:val="nil"/>
                  </w:tcBorders>
                  <w:noWrap w:val="0"/>
                  <w:vAlign w:val="center"/>
                </w:tcPr>
                <w:p w14:paraId="73F3D439">
                  <w:pP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1.02</w:t>
                  </w:r>
                </w:p>
              </w:tc>
            </w:tr>
            <w:tr w14:paraId="00B63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noWrap w:val="0"/>
                  <w:vAlign w:val="center"/>
                </w:tcPr>
                <w:p w14:paraId="3D2DF73E">
                  <w:pPr>
                    <w:jc w:val="left"/>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注：S*为生物质成型燃料含硫量（S%），根据</w:t>
                  </w:r>
                  <w:r>
                    <w:rPr>
                      <w:rFonts w:hint="eastAsia"/>
                      <w:b w:val="0"/>
                      <w:bCs w:val="0"/>
                      <w:color w:val="000000" w:themeColor="text1"/>
                      <w:sz w:val="21"/>
                      <w:szCs w:val="21"/>
                      <w:lang w:val="en-US" w:eastAsia="zh-CN"/>
                      <w14:textFill>
                        <w14:solidFill>
                          <w14:schemeClr w14:val="tx1"/>
                        </w14:solidFill>
                      </w14:textFill>
                    </w:rPr>
                    <w:t>生物质成型报告：</w:t>
                  </w:r>
                  <w:r>
                    <w:rPr>
                      <w:b w:val="0"/>
                      <w:bCs w:val="0"/>
                      <w:color w:val="000000" w:themeColor="text1"/>
                      <w:sz w:val="21"/>
                      <w:szCs w:val="21"/>
                      <w14:textFill>
                        <w14:solidFill>
                          <w14:schemeClr w14:val="tx1"/>
                        </w14:solidFill>
                      </w14:textFill>
                    </w:rPr>
                    <w:t>S=</w:t>
                  </w:r>
                  <w:r>
                    <w:rPr>
                      <w:rFonts w:hint="eastAsia"/>
                      <w:b w:val="0"/>
                      <w:bCs w:val="0"/>
                      <w:color w:val="000000" w:themeColor="text1"/>
                      <w:sz w:val="21"/>
                      <w:szCs w:val="21"/>
                      <w:lang w:val="en-US" w:eastAsia="zh-CN"/>
                      <w14:textFill>
                        <w14:solidFill>
                          <w14:schemeClr w14:val="tx1"/>
                        </w14:solidFill>
                      </w14:textFill>
                    </w:rPr>
                    <w:t>0.02%</w:t>
                  </w:r>
                </w:p>
              </w:tc>
            </w:tr>
          </w:tbl>
          <w:p w14:paraId="72D8686D">
            <w:pPr>
              <w:pStyle w:val="61"/>
              <w:keepNext w:val="0"/>
              <w:keepLines w:val="0"/>
              <w:pageBreakBefore w:val="0"/>
              <w:widowControl w:val="0"/>
              <w:kinsoku/>
              <w:wordWrap/>
              <w:overflowPunct/>
              <w:topLinePunct w:val="0"/>
              <w:autoSpaceDE/>
              <w:autoSpaceDN/>
              <w:bidi w:val="0"/>
              <w:spacing w:line="480" w:lineRule="exact"/>
              <w:jc w:val="left"/>
              <w:textAlignment w:val="auto"/>
              <w:rPr>
                <w:b w:val="0"/>
                <w:bCs w:val="0"/>
                <w:color w:val="000000" w:themeColor="text1"/>
                <w:sz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通过核算，本</w:t>
            </w:r>
            <w:r>
              <w:rPr>
                <w:b w:val="0"/>
                <w:bCs w:val="0"/>
                <w:color w:val="000000" w:themeColor="text1"/>
                <w:sz w:val="24"/>
                <w14:textFill>
                  <w14:solidFill>
                    <w14:schemeClr w14:val="tx1"/>
                  </w14:solidFill>
                </w14:textFill>
              </w:rPr>
              <w:t>项目生物质成型燃料燃烧烟气产生量</w:t>
            </w:r>
            <w:r>
              <w:rPr>
                <w:rFonts w:hint="eastAsia"/>
                <w:b w:val="0"/>
                <w:bCs w:val="0"/>
                <w:color w:val="000000" w:themeColor="text1"/>
                <w:sz w:val="24"/>
                <w:lang w:val="en-US" w:eastAsia="zh-CN"/>
                <w14:textFill>
                  <w14:solidFill>
                    <w14:schemeClr w14:val="tx1"/>
                  </w14:solidFill>
                </w14:textFill>
              </w:rPr>
              <w:t>/</w:t>
            </w:r>
            <w:r>
              <w:rPr>
                <w:b w:val="0"/>
                <w:bCs w:val="0"/>
                <w:color w:val="000000" w:themeColor="text1"/>
                <w:sz w:val="24"/>
                <w14:textFill>
                  <w14:solidFill>
                    <w14:schemeClr w14:val="tx1"/>
                  </w14:solidFill>
                </w14:textFill>
              </w:rPr>
              <w:t>约</w:t>
            </w:r>
            <w:r>
              <w:rPr>
                <w:rFonts w:hint="eastAsia"/>
                <w:b w:val="0"/>
                <w:bCs w:val="0"/>
                <w:color w:val="000000" w:themeColor="text1"/>
                <w:sz w:val="24"/>
                <w:lang w:val="en-US" w:eastAsia="zh-CN"/>
                <w14:textFill>
                  <w14:solidFill>
                    <w14:schemeClr w14:val="tx1"/>
                  </w14:solidFill>
                </w14:textFill>
              </w:rPr>
              <w:t>746.93万</w:t>
            </w:r>
            <w:r>
              <w:rPr>
                <w:b w:val="0"/>
                <w:bCs w:val="0"/>
                <w:color w:val="000000" w:themeColor="text1"/>
                <w:sz w:val="24"/>
                <w14:textFill>
                  <w14:solidFill>
                    <w14:schemeClr w14:val="tx1"/>
                  </w14:solidFill>
                </w14:textFill>
              </w:rPr>
              <w:t>Nm</w:t>
            </w:r>
            <w:r>
              <w:rPr>
                <w:b w:val="0"/>
                <w:bCs w:val="0"/>
                <w:color w:val="000000" w:themeColor="text1"/>
                <w:sz w:val="24"/>
                <w:vertAlign w:val="superscript"/>
                <w14:textFill>
                  <w14:solidFill>
                    <w14:schemeClr w14:val="tx1"/>
                  </w14:solidFill>
                </w14:textFill>
              </w:rPr>
              <w:t>3</w:t>
            </w:r>
            <w:r>
              <w:rPr>
                <w:b w:val="0"/>
                <w:bCs w:val="0"/>
                <w:color w:val="000000" w:themeColor="text1"/>
                <w:sz w:val="24"/>
                <w14:textFill>
                  <w14:solidFill>
                    <w14:schemeClr w14:val="tx1"/>
                  </w14:solidFill>
                </w14:textFill>
              </w:rPr>
              <w:t>/a</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3112m</w:t>
            </w:r>
            <w:r>
              <w:rPr>
                <w:rFonts w:hint="eastAsia"/>
                <w:b w:val="0"/>
                <w:bCs w:val="0"/>
                <w:color w:val="000000" w:themeColor="text1"/>
                <w:sz w:val="24"/>
                <w:vertAlign w:val="superscript"/>
                <w:lang w:val="en-US" w:eastAsia="zh-CN"/>
                <w14:textFill>
                  <w14:solidFill>
                    <w14:schemeClr w14:val="tx1"/>
                  </w14:solidFill>
                </w14:textFill>
              </w:rPr>
              <w:t>3</w:t>
            </w:r>
            <w:r>
              <w:rPr>
                <w:rFonts w:hint="eastAsia"/>
                <w:b w:val="0"/>
                <w:bCs w:val="0"/>
                <w:color w:val="000000" w:themeColor="text1"/>
                <w:sz w:val="24"/>
                <w:lang w:val="en-US" w:eastAsia="zh-CN"/>
                <w14:textFill>
                  <w14:solidFill>
                    <w14:schemeClr w14:val="tx1"/>
                  </w14:solidFill>
                </w14:textFill>
              </w:rPr>
              <w:t>/h</w:t>
            </w:r>
            <w:r>
              <w:rPr>
                <w:rFonts w:hint="eastAsia"/>
                <w:b w:val="0"/>
                <w:bCs w:val="0"/>
                <w:color w:val="000000" w:themeColor="text1"/>
                <w:sz w:val="24"/>
                <w:lang w:eastAsia="zh-CN"/>
                <w14:textFill>
                  <w14:solidFill>
                    <w14:schemeClr w14:val="tx1"/>
                  </w14:solidFill>
                </w14:textFill>
              </w:rPr>
              <w:t>）</w:t>
            </w:r>
            <w:r>
              <w:rPr>
                <w:b w:val="0"/>
                <w:bCs w:val="0"/>
                <w:color w:val="000000" w:themeColor="text1"/>
                <w:sz w:val="24"/>
                <w14:textFill>
                  <w14:solidFill>
                    <w14:schemeClr w14:val="tx1"/>
                  </w14:solidFill>
                </w14:textFill>
              </w:rPr>
              <w:t>，SO</w:t>
            </w:r>
            <w:r>
              <w:rPr>
                <w:b w:val="0"/>
                <w:bCs w:val="0"/>
                <w:color w:val="000000" w:themeColor="text1"/>
                <w:sz w:val="24"/>
                <w:vertAlign w:val="subscript"/>
                <w14:textFill>
                  <w14:solidFill>
                    <w14:schemeClr w14:val="tx1"/>
                  </w14:solidFill>
                </w14:textFill>
              </w:rPr>
              <w:t>2</w:t>
            </w:r>
            <w:r>
              <w:rPr>
                <w:b w:val="0"/>
                <w:bCs w:val="0"/>
                <w:color w:val="000000" w:themeColor="text1"/>
                <w:sz w:val="24"/>
                <w14:textFill>
                  <w14:solidFill>
                    <w14:schemeClr w14:val="tx1"/>
                  </w14:solidFill>
                </w14:textFill>
              </w:rPr>
              <w:t>产生量</w:t>
            </w:r>
            <w:r>
              <w:rPr>
                <w:rFonts w:hint="eastAsia"/>
                <w:b w:val="0"/>
                <w:bCs w:val="0"/>
                <w:color w:val="000000" w:themeColor="text1"/>
                <w:sz w:val="24"/>
                <w:lang w:val="en-US" w:eastAsia="zh-CN"/>
                <w14:textFill>
                  <w14:solidFill>
                    <w14:schemeClr w14:val="tx1"/>
                  </w14:solidFill>
                </w14:textFill>
              </w:rPr>
              <w:t>0.004</w:t>
            </w:r>
            <w:r>
              <w:rPr>
                <w:b w:val="0"/>
                <w:bCs w:val="0"/>
                <w:color w:val="000000" w:themeColor="text1"/>
                <w:sz w:val="24"/>
                <w14:textFill>
                  <w14:solidFill>
                    <w14:schemeClr w14:val="tx1"/>
                  </w14:solidFill>
                </w14:textFill>
              </w:rPr>
              <w:t>t/a、NOx产生量</w:t>
            </w:r>
            <w:r>
              <w:rPr>
                <w:rFonts w:hint="eastAsia"/>
                <w:b w:val="0"/>
                <w:bCs w:val="0"/>
                <w:color w:val="000000" w:themeColor="text1"/>
                <w:sz w:val="24"/>
                <w:lang w:val="en-US" w:eastAsia="zh-CN"/>
                <w14:textFill>
                  <w14:solidFill>
                    <w14:schemeClr w14:val="tx1"/>
                  </w14:solidFill>
                </w14:textFill>
              </w:rPr>
              <w:t>1.221</w:t>
            </w:r>
            <w:r>
              <w:rPr>
                <w:b w:val="0"/>
                <w:bCs w:val="0"/>
                <w:color w:val="000000" w:themeColor="text1"/>
                <w:sz w:val="24"/>
                <w14:textFill>
                  <w14:solidFill>
                    <w14:schemeClr w14:val="tx1"/>
                  </w14:solidFill>
                </w14:textFill>
              </w:rPr>
              <w:t>t/a、烟尘产生量</w:t>
            </w:r>
            <w:r>
              <w:rPr>
                <w:rFonts w:hint="eastAsia"/>
                <w:b w:val="0"/>
                <w:bCs w:val="0"/>
                <w:color w:val="000000" w:themeColor="text1"/>
                <w:sz w:val="24"/>
                <w:lang w:val="en-US" w:eastAsia="zh-CN"/>
                <w14:textFill>
                  <w14:solidFill>
                    <w14:schemeClr w14:val="tx1"/>
                  </w14:solidFill>
                </w14:textFill>
              </w:rPr>
              <w:t>0.599</w:t>
            </w:r>
            <w:r>
              <w:rPr>
                <w:b w:val="0"/>
                <w:bCs w:val="0"/>
                <w:color w:val="000000" w:themeColor="text1"/>
                <w:sz w:val="24"/>
                <w14:textFill>
                  <w14:solidFill>
                    <w14:schemeClr w14:val="tx1"/>
                  </w14:solidFill>
                </w14:textFill>
              </w:rPr>
              <w:t>t/a。</w:t>
            </w:r>
          </w:p>
          <w:p w14:paraId="449706B7">
            <w:pPr>
              <w:pStyle w:val="61"/>
              <w:keepNext w:val="0"/>
              <w:keepLines w:val="0"/>
              <w:pageBreakBefore w:val="0"/>
              <w:widowControl w:val="0"/>
              <w:kinsoku/>
              <w:wordWrap/>
              <w:overflowPunct/>
              <w:topLinePunct w:val="0"/>
              <w:autoSpaceDE/>
              <w:autoSpaceDN/>
              <w:bidi w:val="0"/>
              <w:spacing w:line="480" w:lineRule="exact"/>
              <w:ind w:left="0" w:leftChars="0" w:firstLine="0" w:firstLineChars="0"/>
              <w:jc w:val="left"/>
              <w:textAlignment w:val="auto"/>
              <w:rPr>
                <w:rFonts w:hint="eastAsia"/>
                <w:b w:val="0"/>
                <w:bCs w:val="0"/>
                <w:color w:val="000000" w:themeColor="text1"/>
                <w:sz w:val="24"/>
                <w:lang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经布袋除尘器</w:t>
            </w:r>
            <w:r>
              <w:rPr>
                <w:b w:val="0"/>
                <w:bCs w:val="0"/>
                <w:color w:val="000000" w:themeColor="text1"/>
                <w:sz w:val="24"/>
                <w14:textFill>
                  <w14:solidFill>
                    <w14:schemeClr w14:val="tx1"/>
                  </w14:solidFill>
                </w14:textFill>
              </w:rPr>
              <w:t>处理后经</w:t>
            </w:r>
            <w:r>
              <w:rPr>
                <w:rFonts w:hint="eastAsia"/>
                <w:b w:val="0"/>
                <w:bCs w:val="0"/>
                <w:color w:val="000000" w:themeColor="text1"/>
                <w:sz w:val="24"/>
                <w:lang w:val="en-US" w:eastAsia="zh-CN"/>
                <w14:textFill>
                  <w14:solidFill>
                    <w14:schemeClr w14:val="tx1"/>
                  </w14:solidFill>
                </w14:textFill>
              </w:rPr>
              <w:t>30</w:t>
            </w:r>
            <w:r>
              <w:rPr>
                <w:b w:val="0"/>
                <w:bCs w:val="0"/>
                <w:color w:val="000000" w:themeColor="text1"/>
                <w:sz w:val="24"/>
                <w14:textFill>
                  <w14:solidFill>
                    <w14:schemeClr w14:val="tx1"/>
                  </w14:solidFill>
                </w14:textFill>
              </w:rPr>
              <w:t>m排气筒</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DA001</w:t>
            </w:r>
            <w:r>
              <w:rPr>
                <w:rFonts w:hint="eastAsia"/>
                <w:b w:val="0"/>
                <w:bCs w:val="0"/>
                <w:color w:val="000000" w:themeColor="text1"/>
                <w:sz w:val="24"/>
                <w:lang w:eastAsia="zh-CN"/>
                <w14:textFill>
                  <w14:solidFill>
                    <w14:schemeClr w14:val="tx1"/>
                  </w14:solidFill>
                </w14:textFill>
              </w:rPr>
              <w:t>）</w:t>
            </w:r>
            <w:r>
              <w:rPr>
                <w:b w:val="0"/>
                <w:bCs w:val="0"/>
                <w:color w:val="000000" w:themeColor="text1"/>
                <w:sz w:val="24"/>
                <w14:textFill>
                  <w14:solidFill>
                    <w14:schemeClr w14:val="tx1"/>
                  </w14:solidFill>
                </w14:textFill>
              </w:rPr>
              <w:t>排放</w:t>
            </w:r>
            <w:r>
              <w:rPr>
                <w:rFonts w:hint="eastAsia"/>
                <w:b w:val="0"/>
                <w:bCs w:val="0"/>
                <w:color w:val="000000" w:themeColor="text1"/>
                <w:sz w:val="24"/>
                <w:lang w:eastAsia="zh-CN"/>
                <w14:textFill>
                  <w14:solidFill>
                    <w14:schemeClr w14:val="tx1"/>
                  </w14:solidFill>
                </w14:textFill>
              </w:rPr>
              <w:t>。</w:t>
            </w:r>
          </w:p>
          <w:p w14:paraId="0B1D7905">
            <w:pPr>
              <w:pStyle w:val="61"/>
              <w:keepNext w:val="0"/>
              <w:keepLines w:val="0"/>
              <w:pageBreakBefore w:val="0"/>
              <w:widowControl w:val="0"/>
              <w:kinsoku/>
              <w:wordWrap/>
              <w:overflowPunct/>
              <w:topLinePunct w:val="0"/>
              <w:autoSpaceDE/>
              <w:autoSpaceDN/>
              <w:bidi w:val="0"/>
              <w:adjustRightInd/>
              <w:spacing w:line="480" w:lineRule="exact"/>
              <w:jc w:val="left"/>
              <w:textAlignment w:val="auto"/>
              <w:rPr>
                <w:rFonts w:hint="eastAsia" w:asciiTheme="minorEastAsia" w:hAnsiTheme="minorEastAsia" w:eastAsiaTheme="minorEastAsia" w:cstheme="minorEastAsia"/>
                <w:b/>
                <w:bCs w:val="0"/>
                <w:sz w:val="24"/>
                <w:szCs w:val="24"/>
                <w:highlight w:val="none"/>
              </w:rPr>
            </w:pPr>
            <w:r>
              <w:rPr>
                <w:rFonts w:hint="eastAsia" w:asciiTheme="minorEastAsia" w:hAnsiTheme="minorEastAsia" w:eastAsiaTheme="minorEastAsia" w:cstheme="minorEastAsia"/>
                <w:b/>
                <w:bCs w:val="0"/>
                <w:sz w:val="24"/>
                <w:szCs w:val="24"/>
                <w:highlight w:val="none"/>
                <w:lang w:val="en-US" w:eastAsia="zh-CN"/>
              </w:rPr>
              <w:t>2、烘干</w:t>
            </w:r>
            <w:r>
              <w:rPr>
                <w:rFonts w:hint="eastAsia" w:asciiTheme="minorEastAsia" w:hAnsiTheme="minorEastAsia" w:eastAsiaTheme="minorEastAsia" w:cstheme="minorEastAsia"/>
                <w:b/>
                <w:bCs w:val="0"/>
                <w:sz w:val="24"/>
                <w:szCs w:val="24"/>
                <w:highlight w:val="none"/>
              </w:rPr>
              <w:t>废气</w:t>
            </w:r>
          </w:p>
          <w:p w14:paraId="7E4878F0">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lang w:val="en-US" w:eastAsia="zh-CN"/>
              </w:rPr>
              <w:t>本项目牛仔裤烘干时会产生纤维碎屑即颗粒物，年清洗牛仔裤240万件单件约0.3kg，约720t/a。B5</w:t>
            </w:r>
            <w:r>
              <w:rPr>
                <w:rFonts w:hint="eastAsia" w:asciiTheme="minorEastAsia" w:hAnsiTheme="minorEastAsia" w:eastAsiaTheme="minorEastAsia" w:cstheme="minorEastAsia"/>
                <w:sz w:val="24"/>
                <w:szCs w:val="24"/>
                <w:highlight w:val="none"/>
                <w:lang w:val="en-US" w:eastAsia="zh-CN"/>
              </w:rPr>
              <w:t>栋</w:t>
            </w:r>
            <w:r>
              <w:rPr>
                <w:rFonts w:hint="eastAsia" w:asciiTheme="minorEastAsia" w:hAnsiTheme="minorEastAsia" w:eastAsiaTheme="minorEastAsia" w:cstheme="minorEastAsia"/>
                <w:sz w:val="24"/>
                <w:szCs w:val="24"/>
                <w:highlight w:val="none"/>
                <w:lang w:val="en-US" w:eastAsia="zh-CN"/>
              </w:rPr>
              <w:t>和B6</w:t>
            </w:r>
            <w:r>
              <w:rPr>
                <w:rFonts w:hint="eastAsia" w:asciiTheme="minorEastAsia" w:hAnsiTheme="minorEastAsia" w:eastAsiaTheme="minorEastAsia" w:cstheme="minorEastAsia"/>
                <w:sz w:val="24"/>
                <w:szCs w:val="24"/>
                <w:highlight w:val="none"/>
                <w:lang w:val="en-US" w:eastAsia="zh-CN"/>
              </w:rPr>
              <w:t>栋</w:t>
            </w:r>
            <w:r>
              <w:rPr>
                <w:rFonts w:hint="eastAsia" w:asciiTheme="minorEastAsia" w:hAnsiTheme="minorEastAsia" w:eastAsiaTheme="minorEastAsia" w:cstheme="minorEastAsia"/>
                <w:sz w:val="24"/>
                <w:szCs w:val="24"/>
                <w:highlight w:val="none"/>
                <w:lang w:val="en-US" w:eastAsia="zh-CN"/>
              </w:rPr>
              <w:t>厂房</w:t>
            </w:r>
            <w:r>
              <w:rPr>
                <w:rFonts w:hint="eastAsia" w:asciiTheme="minorEastAsia" w:hAnsiTheme="minorEastAsia" w:eastAsiaTheme="minorEastAsia" w:cstheme="minorEastAsia"/>
                <w:sz w:val="24"/>
                <w:szCs w:val="24"/>
                <w:highlight w:val="none"/>
                <w:lang w:val="en-US" w:eastAsia="zh-CN"/>
              </w:rPr>
              <w:t>各</w:t>
            </w:r>
            <w:r>
              <w:rPr>
                <w:rFonts w:hint="eastAsia" w:asciiTheme="minorEastAsia" w:hAnsiTheme="minorEastAsia" w:eastAsiaTheme="minorEastAsia" w:cstheme="minorEastAsia"/>
                <w:sz w:val="24"/>
                <w:szCs w:val="24"/>
                <w:highlight w:val="none"/>
                <w:lang w:val="en-US" w:eastAsia="zh-CN"/>
              </w:rPr>
              <w:t>设12台烘干机,每台烘干机风量约500m</w:t>
            </w:r>
            <w:r>
              <w:rPr>
                <w:rFonts w:hint="eastAsia" w:asciiTheme="minorEastAsia" w:hAnsiTheme="minorEastAsia" w:eastAsiaTheme="minorEastAsia" w:cstheme="minorEastAsia"/>
                <w:sz w:val="24"/>
                <w:szCs w:val="24"/>
                <w:highlight w:val="none"/>
                <w:vertAlign w:val="superscript"/>
                <w:lang w:val="en-US" w:eastAsia="zh-CN"/>
              </w:rPr>
              <w:t>3</w:t>
            </w:r>
            <w:r>
              <w:rPr>
                <w:rFonts w:hint="eastAsia" w:asciiTheme="minorEastAsia" w:hAnsiTheme="minorEastAsia" w:eastAsiaTheme="minorEastAsia" w:cstheme="minorEastAsia"/>
                <w:sz w:val="24"/>
                <w:szCs w:val="24"/>
                <w:highlight w:val="none"/>
                <w:vertAlign w:val="baseline"/>
                <w:lang w:val="en-US" w:eastAsia="zh-CN"/>
              </w:rPr>
              <w:t>/h,经布袋除尘器处理后分别经2#和3#排气筒排放。</w:t>
            </w:r>
          </w:p>
          <w:p w14:paraId="2D1298CA">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根据</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第一次全国污染源普查工业污染源产排污系数手册</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（纺织印染分册）（棉/化纤印染</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712）：颗粒物综合产污系数0.5-2.0kg/吨产品，烘干作为后整理子工序，贡献率30%-50%，</w:t>
            </w:r>
            <w:r>
              <w:rPr>
                <w:rFonts w:hint="eastAsia" w:asciiTheme="minorEastAsia" w:hAnsiTheme="minorEastAsia" w:eastAsiaTheme="minorEastAsia" w:cstheme="minorEastAsia"/>
                <w:sz w:val="24"/>
                <w:szCs w:val="24"/>
                <w:highlight w:val="none"/>
                <w:lang w:val="en-US" w:eastAsia="zh-CN"/>
              </w:rPr>
              <w:t>本次全部取最大值，</w:t>
            </w:r>
            <w:r>
              <w:rPr>
                <w:rFonts w:hint="eastAsia" w:asciiTheme="minorEastAsia" w:hAnsiTheme="minorEastAsia" w:eastAsiaTheme="minorEastAsia" w:cstheme="minorEastAsia"/>
                <w:sz w:val="24"/>
                <w:szCs w:val="24"/>
                <w:highlight w:val="none"/>
              </w:rPr>
              <w:t>推导烘干产污中值为</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kg/吨。</w:t>
            </w:r>
          </w:p>
          <w:p w14:paraId="4FF89D95">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sz w:val="24"/>
                <w:szCs w:val="24"/>
                <w:highlight w:val="none"/>
                <w:lang w:val="en-US" w:eastAsia="zh-CN"/>
              </w:rPr>
              <w:t>则每个厂房烘干颗粒物产生量约0.36t/a，产生速率0.15kg</w:t>
            </w:r>
            <w:r>
              <w:rPr>
                <w:rFonts w:hint="eastAsia" w:asciiTheme="minorEastAsia" w:hAnsiTheme="minorEastAsia" w:eastAsiaTheme="minorEastAsia" w:cstheme="minorEastAsia"/>
                <w:sz w:val="24"/>
                <w:szCs w:val="24"/>
                <w:highlight w:val="none"/>
                <w:vertAlign w:val="baseline"/>
                <w:lang w:val="en-US" w:eastAsia="zh-CN"/>
              </w:rPr>
              <w:t>/h,经布袋除尘器（处理效率约99%）处理后经30m高排气筒排放，排放量约0.0036</w:t>
            </w:r>
            <w:r>
              <w:rPr>
                <w:rFonts w:hint="eastAsia" w:asciiTheme="minorEastAsia" w:hAnsiTheme="minorEastAsia" w:eastAsiaTheme="minorEastAsia" w:cstheme="minorEastAsia"/>
                <w:sz w:val="24"/>
                <w:szCs w:val="24"/>
                <w:highlight w:val="none"/>
                <w:lang w:val="en-US" w:eastAsia="zh-CN"/>
              </w:rPr>
              <w:t>t/a</w:t>
            </w:r>
            <w:r>
              <w:rPr>
                <w:rFonts w:hint="eastAsia" w:asciiTheme="minorEastAsia" w:hAnsiTheme="minorEastAsia" w:eastAsiaTheme="minorEastAsia" w:cstheme="minorEastAsia"/>
                <w:sz w:val="24"/>
                <w:szCs w:val="24"/>
                <w:highlight w:val="none"/>
                <w:vertAlign w:val="baseline"/>
                <w:lang w:val="en-US" w:eastAsia="zh-CN"/>
              </w:rPr>
              <w:t>，排放速率0.0015</w:t>
            </w:r>
            <w:r>
              <w:rPr>
                <w:rFonts w:hint="eastAsia" w:asciiTheme="minorEastAsia" w:hAnsiTheme="minorEastAsia" w:eastAsiaTheme="minorEastAsia" w:cstheme="minorEastAsia"/>
                <w:sz w:val="24"/>
                <w:szCs w:val="24"/>
                <w:highlight w:val="none"/>
                <w:lang w:val="en-US" w:eastAsia="zh-CN"/>
              </w:rPr>
              <w:t>kg/h</w:t>
            </w:r>
            <w:r>
              <w:rPr>
                <w:rFonts w:hint="eastAsia" w:asciiTheme="minorEastAsia" w:hAnsiTheme="minorEastAsia" w:eastAsiaTheme="minorEastAsia" w:cstheme="minorEastAsia"/>
                <w:sz w:val="24"/>
                <w:szCs w:val="24"/>
                <w:highlight w:val="none"/>
                <w:vertAlign w:val="baseline"/>
                <w:lang w:val="en-US" w:eastAsia="zh-CN"/>
              </w:rPr>
              <w:t>，排放浓度0.25</w:t>
            </w:r>
            <w:r>
              <w:rPr>
                <w:rFonts w:hint="eastAsia" w:asciiTheme="minorEastAsia" w:hAnsiTheme="minorEastAsia" w:eastAsiaTheme="minorEastAsia" w:cstheme="minorEastAsia"/>
                <w:color w:val="auto"/>
                <w:sz w:val="24"/>
                <w:szCs w:val="24"/>
                <w:highlight w:val="none"/>
                <w:lang w:val="en-US" w:eastAsia="zh-CN"/>
              </w:rPr>
              <w:t>mg/m</w:t>
            </w:r>
            <w:r>
              <w:rPr>
                <w:rFonts w:hint="eastAsia" w:asciiTheme="minorEastAsia" w:hAnsiTheme="minorEastAsia" w:eastAsiaTheme="minorEastAsia" w:cstheme="minorEastAsia"/>
                <w:color w:val="auto"/>
                <w:sz w:val="24"/>
                <w:szCs w:val="24"/>
                <w:highlight w:val="none"/>
                <w:vertAlign w:val="superscript"/>
                <w:lang w:val="en-US" w:eastAsia="zh-CN"/>
              </w:rPr>
              <w:t>3</w:t>
            </w:r>
            <w:r>
              <w:rPr>
                <w:rFonts w:hint="eastAsia" w:asciiTheme="minorEastAsia" w:hAnsiTheme="minorEastAsia" w:eastAsiaTheme="minorEastAsia" w:cstheme="minorEastAsia"/>
                <w:color w:val="auto"/>
                <w:sz w:val="24"/>
                <w:szCs w:val="24"/>
                <w:highlight w:val="none"/>
                <w:vertAlign w:val="baseline"/>
                <w:lang w:val="en-US" w:eastAsia="zh-CN"/>
              </w:rPr>
              <w:t>。</w:t>
            </w:r>
          </w:p>
          <w:p w14:paraId="7E053132">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5C85CE86">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2D266863">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0B49952A">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2E7081F1">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10DCC6FC">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3DB6D4A8">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534A09AB">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2E7EEF5E">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25760DD8">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3793F217">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3D96DF22">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4E6EA143">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21ED9F06">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1CED126E">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06213FCF">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7BD82FAB">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Theme="minorEastAsia" w:hAnsiTheme="minorEastAsia" w:eastAsiaTheme="minorEastAsia" w:cstheme="minorEastAsia"/>
                <w:color w:val="auto"/>
                <w:sz w:val="24"/>
                <w:szCs w:val="24"/>
                <w:highlight w:val="yellow"/>
                <w:vertAlign w:val="baseline"/>
                <w:lang w:val="en-US" w:eastAsia="zh-CN"/>
              </w:rPr>
            </w:pPr>
          </w:p>
          <w:p w14:paraId="25B38221">
            <w:pPr>
              <w:pStyle w:val="65"/>
              <w:keepNext w:val="0"/>
              <w:keepLines w:val="0"/>
              <w:pageBreakBefore w:val="0"/>
              <w:widowControl w:val="0"/>
              <w:numPr>
                <w:ilvl w:val="3"/>
                <w:numId w:val="0"/>
              </w:numPr>
              <w:kinsoku/>
              <w:wordWrap/>
              <w:overflowPunct/>
              <w:topLinePunct w:val="0"/>
              <w:autoSpaceDE/>
              <w:autoSpaceDN/>
              <w:bidi w:val="0"/>
              <w:adjustRightInd/>
              <w:snapToGrid/>
              <w:spacing w:line="480" w:lineRule="exact"/>
              <w:jc w:val="left"/>
              <w:textAlignment w:val="auto"/>
              <w:rPr>
                <w:rFonts w:hint="default" w:asciiTheme="minorEastAsia" w:hAnsiTheme="minorEastAsia" w:eastAsiaTheme="minorEastAsia" w:cstheme="minorEastAsia"/>
                <w:color w:val="auto"/>
                <w:sz w:val="24"/>
                <w:szCs w:val="24"/>
                <w:highlight w:val="yellow"/>
                <w:vertAlign w:val="baseline"/>
                <w:lang w:val="en-US" w:eastAsia="zh-CN"/>
              </w:rPr>
            </w:pPr>
          </w:p>
        </w:tc>
      </w:tr>
    </w:tbl>
    <w:p w14:paraId="70E33DA1">
      <w:pPr>
        <w:ind w:firstLine="480"/>
        <w:rPr>
          <w:color w:val="000000" w:themeColor="text1"/>
          <w14:textFill>
            <w14:solidFill>
              <w14:schemeClr w14:val="tx1"/>
            </w14:solidFill>
          </w14:textFill>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5B2D7D7">
      <w:pPr>
        <w:pStyle w:val="6"/>
        <w:numPr>
          <w:ilvl w:val="4"/>
          <w:numId w:val="0"/>
        </w:numPr>
        <w:bidi w:val="0"/>
        <w:ind w:left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表4-2有组织</w:t>
      </w:r>
      <w:r>
        <w:rPr>
          <w:color w:val="000000" w:themeColor="text1"/>
          <w14:textFill>
            <w14:solidFill>
              <w14:schemeClr w14:val="tx1"/>
            </w14:solidFill>
          </w14:textFill>
        </w:rPr>
        <w:t>废气污染物产排量一览表</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9"/>
        <w:gridCol w:w="1001"/>
        <w:gridCol w:w="907"/>
        <w:gridCol w:w="818"/>
        <w:gridCol w:w="1337"/>
        <w:gridCol w:w="750"/>
        <w:gridCol w:w="862"/>
        <w:gridCol w:w="861"/>
        <w:gridCol w:w="838"/>
        <w:gridCol w:w="825"/>
        <w:gridCol w:w="812"/>
        <w:gridCol w:w="1214"/>
        <w:gridCol w:w="749"/>
        <w:gridCol w:w="762"/>
        <w:gridCol w:w="730"/>
        <w:gridCol w:w="750"/>
        <w:gridCol w:w="641"/>
      </w:tblGrid>
      <w:tr w14:paraId="5861B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66E0952">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工序</w:t>
            </w:r>
          </w:p>
        </w:tc>
        <w:tc>
          <w:tcPr>
            <w:tcW w:w="338"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DDB7BFC">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污染源</w:t>
            </w:r>
          </w:p>
        </w:tc>
        <w:tc>
          <w:tcPr>
            <w:tcW w:w="30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608D380">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污染物</w:t>
            </w:r>
          </w:p>
        </w:tc>
        <w:tc>
          <w:tcPr>
            <w:tcW w:w="1273" w:type="pct"/>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4FCD55DB">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污染物产生情况</w:t>
            </w:r>
          </w:p>
        </w:tc>
        <w:tc>
          <w:tcPr>
            <w:tcW w:w="85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6213471">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治理措施</w:t>
            </w:r>
          </w:p>
        </w:tc>
        <w:tc>
          <w:tcPr>
            <w:tcW w:w="1196" w:type="pct"/>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1E553CF4">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污染物排放情况</w:t>
            </w:r>
          </w:p>
        </w:tc>
        <w:tc>
          <w:tcPr>
            <w:tcW w:w="2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8F3077F">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排放时间h/a</w:t>
            </w:r>
          </w:p>
        </w:tc>
        <w:tc>
          <w:tcPr>
            <w:tcW w:w="25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0EB29C5">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是否为可行技术</w:t>
            </w:r>
          </w:p>
        </w:tc>
        <w:tc>
          <w:tcPr>
            <w:tcW w:w="2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A8D9215">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排气筒编号</w:t>
            </w:r>
          </w:p>
        </w:tc>
      </w:tr>
      <w:tr w14:paraId="3297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8" w:hRule="atLeast"/>
        </w:trPr>
        <w:tc>
          <w:tcPr>
            <w:tcW w:w="31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48FB8FF">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33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17D12E">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30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B5F1847">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276" w:type="pct"/>
            <w:tcBorders>
              <w:top w:val="nil"/>
              <w:left w:val="single" w:color="000000" w:sz="8" w:space="0"/>
              <w:bottom w:val="single" w:color="000000" w:sz="8" w:space="0"/>
              <w:right w:val="single" w:color="000000" w:sz="8" w:space="0"/>
            </w:tcBorders>
            <w:shd w:val="clear" w:color="auto" w:fill="auto"/>
            <w:vAlign w:val="center"/>
          </w:tcPr>
          <w:p w14:paraId="10D91949">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废气量m</w:t>
            </w:r>
            <w:r>
              <w:rPr>
                <w:rFonts w:hint="eastAsia" w:asciiTheme="minorEastAsia" w:hAnsiTheme="minorEastAsia" w:eastAsiaTheme="minorEastAsia" w:cstheme="minorEastAsia"/>
                <w:color w:val="000000" w:themeColor="text1"/>
                <w:sz w:val="21"/>
                <w:szCs w:val="21"/>
                <w:vertAlign w:val="superscript"/>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/h</w:t>
            </w:r>
          </w:p>
        </w:tc>
        <w:tc>
          <w:tcPr>
            <w:tcW w:w="452" w:type="pct"/>
            <w:tcBorders>
              <w:top w:val="nil"/>
              <w:left w:val="single" w:color="000000" w:sz="8" w:space="0"/>
              <w:bottom w:val="single" w:color="000000" w:sz="8" w:space="0"/>
              <w:right w:val="single" w:color="000000" w:sz="8" w:space="0"/>
            </w:tcBorders>
            <w:shd w:val="clear" w:color="auto" w:fill="auto"/>
            <w:vAlign w:val="center"/>
          </w:tcPr>
          <w:p w14:paraId="65270D2A">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产生浓度mg/m</w:t>
            </w:r>
            <w:r>
              <w:rPr>
                <w:rFonts w:hint="eastAsia" w:asciiTheme="minorEastAsia" w:hAnsiTheme="minorEastAsia" w:eastAsiaTheme="minorEastAsia" w:cstheme="minorEastAsia"/>
                <w:color w:val="000000" w:themeColor="text1"/>
                <w:sz w:val="21"/>
                <w:szCs w:val="21"/>
                <w:vertAlign w:val="superscript"/>
                <w:lang w:val="en-US" w:eastAsia="zh-CN"/>
                <w14:textFill>
                  <w14:solidFill>
                    <w14:schemeClr w14:val="tx1"/>
                  </w14:solidFill>
                </w14:textFill>
              </w:rPr>
              <w:t>3</w:t>
            </w:r>
          </w:p>
        </w:tc>
        <w:tc>
          <w:tcPr>
            <w:tcW w:w="253" w:type="pct"/>
            <w:tcBorders>
              <w:top w:val="nil"/>
              <w:left w:val="single" w:color="000000" w:sz="8" w:space="0"/>
              <w:bottom w:val="single" w:color="000000" w:sz="8" w:space="0"/>
              <w:right w:val="single" w:color="000000" w:sz="8" w:space="0"/>
            </w:tcBorders>
            <w:shd w:val="clear" w:color="auto" w:fill="auto"/>
            <w:vAlign w:val="center"/>
          </w:tcPr>
          <w:p w14:paraId="62F59CEF">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产生速率kg/h</w:t>
            </w:r>
          </w:p>
        </w:tc>
        <w:tc>
          <w:tcPr>
            <w:tcW w:w="291" w:type="pct"/>
            <w:tcBorders>
              <w:top w:val="nil"/>
              <w:left w:val="single" w:color="000000" w:sz="8" w:space="0"/>
              <w:bottom w:val="single" w:color="000000" w:sz="8" w:space="0"/>
              <w:right w:val="single" w:color="000000" w:sz="8" w:space="0"/>
            </w:tcBorders>
            <w:shd w:val="clear" w:color="auto" w:fill="auto"/>
            <w:vAlign w:val="center"/>
          </w:tcPr>
          <w:p w14:paraId="6DAD9A98">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产生量t/a</w:t>
            </w:r>
          </w:p>
        </w:tc>
        <w:tc>
          <w:tcPr>
            <w:tcW w:w="291" w:type="pct"/>
            <w:tcBorders>
              <w:top w:val="nil"/>
              <w:left w:val="single" w:color="000000" w:sz="8" w:space="0"/>
              <w:bottom w:val="single" w:color="000000" w:sz="8" w:space="0"/>
              <w:right w:val="single" w:color="000000" w:sz="8" w:space="0"/>
            </w:tcBorders>
            <w:shd w:val="clear" w:color="auto" w:fill="auto"/>
            <w:vAlign w:val="center"/>
          </w:tcPr>
          <w:p w14:paraId="35FC2044">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工艺</w:t>
            </w:r>
          </w:p>
        </w:tc>
        <w:tc>
          <w:tcPr>
            <w:tcW w:w="283" w:type="pct"/>
            <w:tcBorders>
              <w:top w:val="nil"/>
              <w:left w:val="single" w:color="000000" w:sz="8" w:space="0"/>
              <w:bottom w:val="single" w:color="000000" w:sz="8" w:space="0"/>
              <w:right w:val="single" w:color="000000" w:sz="8" w:space="0"/>
            </w:tcBorders>
            <w:shd w:val="clear" w:color="auto" w:fill="auto"/>
            <w:vAlign w:val="center"/>
          </w:tcPr>
          <w:p w14:paraId="30D321D9">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收集效率%</w:t>
            </w:r>
          </w:p>
        </w:tc>
        <w:tc>
          <w:tcPr>
            <w:tcW w:w="27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758DF9">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处理效率%</w:t>
            </w:r>
          </w:p>
        </w:tc>
        <w:tc>
          <w:tcPr>
            <w:tcW w:w="2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D42ECD">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废气量m</w:t>
            </w:r>
            <w:r>
              <w:rPr>
                <w:rFonts w:hint="eastAsia" w:asciiTheme="minorEastAsia" w:hAnsiTheme="minorEastAsia" w:eastAsiaTheme="minorEastAsia" w:cstheme="minorEastAsia"/>
                <w:color w:val="000000" w:themeColor="text1"/>
                <w:sz w:val="21"/>
                <w:szCs w:val="21"/>
                <w:vertAlign w:val="superscript"/>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/h</w:t>
            </w:r>
          </w:p>
        </w:tc>
        <w:tc>
          <w:tcPr>
            <w:tcW w:w="41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0B899E">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排放浓度mg/m</w:t>
            </w:r>
            <w:r>
              <w:rPr>
                <w:rFonts w:hint="eastAsia" w:asciiTheme="minorEastAsia" w:hAnsiTheme="minorEastAsia" w:eastAsiaTheme="minorEastAsia" w:cstheme="minorEastAsia"/>
                <w:color w:val="000000" w:themeColor="text1"/>
                <w:sz w:val="21"/>
                <w:szCs w:val="21"/>
                <w:vertAlign w:val="superscript"/>
                <w:lang w:val="en-US" w:eastAsia="zh-CN"/>
                <w14:textFill>
                  <w14:solidFill>
                    <w14:schemeClr w14:val="tx1"/>
                  </w14:solidFill>
                </w14:textFill>
              </w:rPr>
              <w:t>3</w:t>
            </w:r>
          </w:p>
        </w:tc>
        <w:tc>
          <w:tcPr>
            <w:tcW w:w="25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86B35F">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排放速率kg/h</w:t>
            </w:r>
          </w:p>
        </w:tc>
        <w:tc>
          <w:tcPr>
            <w:tcW w:w="25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8EC8B7">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排放量t/a</w:t>
            </w:r>
          </w:p>
        </w:tc>
        <w:tc>
          <w:tcPr>
            <w:tcW w:w="2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EC98F7F">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25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C474570">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2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28D4CB0">
            <w:pPr>
              <w:pStyle w:val="56"/>
              <w:bidi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r>
      <w:tr w14:paraId="70104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 w:type="pct"/>
            <w:vMerge w:val="restart"/>
            <w:tcBorders>
              <w:top w:val="nil"/>
              <w:left w:val="single" w:color="000000" w:sz="8" w:space="0"/>
              <w:right w:val="single" w:color="000000" w:sz="8" w:space="0"/>
            </w:tcBorders>
            <w:shd w:val="clear" w:color="auto" w:fill="auto"/>
            <w:vAlign w:val="center"/>
          </w:tcPr>
          <w:p w14:paraId="15346C42">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烘干</w:t>
            </w:r>
          </w:p>
        </w:tc>
        <w:tc>
          <w:tcPr>
            <w:tcW w:w="338" w:type="pct"/>
            <w:vMerge w:val="restart"/>
            <w:tcBorders>
              <w:top w:val="nil"/>
              <w:left w:val="single" w:color="000000" w:sz="8" w:space="0"/>
              <w:bottom w:val="single" w:color="000000" w:sz="8" w:space="0"/>
              <w:right w:val="single" w:color="000000" w:sz="8" w:space="0"/>
            </w:tcBorders>
            <w:shd w:val="clear" w:color="auto" w:fill="auto"/>
            <w:vAlign w:val="center"/>
          </w:tcPr>
          <w:p w14:paraId="0DD48542">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生物质燃料蒸汽发生器废气</w:t>
            </w:r>
          </w:p>
        </w:tc>
        <w:tc>
          <w:tcPr>
            <w:tcW w:w="306" w:type="pct"/>
            <w:tcBorders>
              <w:top w:val="nil"/>
              <w:left w:val="single" w:color="000000" w:sz="8" w:space="0"/>
              <w:bottom w:val="single" w:color="000000" w:sz="8" w:space="0"/>
              <w:right w:val="single" w:color="000000" w:sz="8" w:space="0"/>
            </w:tcBorders>
            <w:shd w:val="clear" w:color="auto" w:fill="auto"/>
            <w:vAlign w:val="center"/>
          </w:tcPr>
          <w:p w14:paraId="1783B7D9">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二氧化硫</w:t>
            </w:r>
          </w:p>
        </w:tc>
        <w:tc>
          <w:tcPr>
            <w:tcW w:w="276" w:type="pct"/>
            <w:tcBorders>
              <w:top w:val="nil"/>
              <w:left w:val="single" w:color="000000" w:sz="8" w:space="0"/>
              <w:bottom w:val="single" w:color="000000" w:sz="8" w:space="0"/>
              <w:right w:val="single" w:color="000000" w:sz="8" w:space="0"/>
            </w:tcBorders>
            <w:shd w:val="clear" w:color="auto" w:fill="auto"/>
            <w:vAlign w:val="center"/>
          </w:tcPr>
          <w:p w14:paraId="53CC1DBB">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3112</w:t>
            </w:r>
          </w:p>
        </w:tc>
        <w:tc>
          <w:tcPr>
            <w:tcW w:w="452" w:type="pct"/>
            <w:tcBorders>
              <w:top w:val="nil"/>
              <w:left w:val="single" w:color="000000" w:sz="8" w:space="0"/>
              <w:bottom w:val="single" w:color="000000" w:sz="8" w:space="0"/>
              <w:right w:val="single" w:color="000000" w:sz="8" w:space="0"/>
            </w:tcBorders>
            <w:shd w:val="clear" w:color="auto" w:fill="auto"/>
            <w:vAlign w:val="center"/>
          </w:tcPr>
          <w:p w14:paraId="55CFDCC3">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0.643</w:t>
            </w:r>
          </w:p>
        </w:tc>
        <w:tc>
          <w:tcPr>
            <w:tcW w:w="253" w:type="pct"/>
            <w:tcBorders>
              <w:top w:val="nil"/>
              <w:left w:val="single" w:color="000000" w:sz="8" w:space="0"/>
              <w:bottom w:val="single" w:color="000000" w:sz="8" w:space="0"/>
              <w:right w:val="single" w:color="000000" w:sz="8" w:space="0"/>
            </w:tcBorders>
            <w:shd w:val="clear" w:color="auto" w:fill="auto"/>
            <w:vAlign w:val="center"/>
          </w:tcPr>
          <w:p w14:paraId="37126544">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0.002</w:t>
            </w:r>
          </w:p>
        </w:tc>
        <w:tc>
          <w:tcPr>
            <w:tcW w:w="291" w:type="pct"/>
            <w:tcBorders>
              <w:top w:val="nil"/>
              <w:left w:val="single" w:color="000000" w:sz="8" w:space="0"/>
              <w:bottom w:val="single" w:color="000000" w:sz="8" w:space="0"/>
              <w:right w:val="single" w:color="000000" w:sz="8" w:space="0"/>
            </w:tcBorders>
            <w:shd w:val="clear" w:color="auto" w:fill="auto"/>
            <w:vAlign w:val="center"/>
          </w:tcPr>
          <w:p w14:paraId="62C97A02">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0.004</w:t>
            </w:r>
          </w:p>
        </w:tc>
        <w:tc>
          <w:tcPr>
            <w:tcW w:w="291" w:type="pct"/>
            <w:vMerge w:val="restart"/>
            <w:tcBorders>
              <w:top w:val="nil"/>
              <w:left w:val="single" w:color="000000" w:sz="8" w:space="0"/>
              <w:bottom w:val="single" w:color="000000" w:sz="8" w:space="0"/>
              <w:right w:val="single" w:color="000000" w:sz="8" w:space="0"/>
            </w:tcBorders>
            <w:shd w:val="clear" w:color="auto" w:fill="auto"/>
            <w:noWrap/>
            <w:vAlign w:val="center"/>
          </w:tcPr>
          <w:p w14:paraId="73AE7766">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低氮燃烧+布袋除尘</w:t>
            </w:r>
          </w:p>
        </w:tc>
        <w:tc>
          <w:tcPr>
            <w:tcW w:w="283" w:type="pct"/>
            <w:tcBorders>
              <w:top w:val="nil"/>
              <w:left w:val="single" w:color="000000" w:sz="8" w:space="0"/>
              <w:bottom w:val="single" w:color="000000" w:sz="8" w:space="0"/>
              <w:right w:val="single" w:color="000000" w:sz="8" w:space="0"/>
            </w:tcBorders>
            <w:shd w:val="clear" w:color="auto" w:fill="auto"/>
            <w:vAlign w:val="center"/>
          </w:tcPr>
          <w:p w14:paraId="7147BF76">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100</w:t>
            </w:r>
          </w:p>
        </w:tc>
        <w:tc>
          <w:tcPr>
            <w:tcW w:w="278" w:type="pct"/>
            <w:tcBorders>
              <w:top w:val="nil"/>
              <w:left w:val="single" w:color="000000" w:sz="8" w:space="0"/>
              <w:bottom w:val="single" w:color="000000" w:sz="8" w:space="0"/>
              <w:right w:val="single" w:color="000000" w:sz="8" w:space="0"/>
            </w:tcBorders>
            <w:shd w:val="clear" w:color="auto" w:fill="auto"/>
            <w:vAlign w:val="center"/>
          </w:tcPr>
          <w:p w14:paraId="3C3D0849">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tc>
        <w:tc>
          <w:tcPr>
            <w:tcW w:w="274" w:type="pct"/>
            <w:tcBorders>
              <w:top w:val="nil"/>
              <w:left w:val="single" w:color="000000" w:sz="8" w:space="0"/>
              <w:bottom w:val="single" w:color="000000" w:sz="8" w:space="0"/>
              <w:right w:val="single" w:color="000000" w:sz="8" w:space="0"/>
            </w:tcBorders>
            <w:shd w:val="clear" w:color="auto" w:fill="auto"/>
            <w:noWrap/>
            <w:vAlign w:val="center"/>
          </w:tcPr>
          <w:p w14:paraId="48216425">
            <w:pPr>
              <w:pStyle w:val="56"/>
              <w:bidi w:val="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3112</w:t>
            </w:r>
          </w:p>
        </w:tc>
        <w:tc>
          <w:tcPr>
            <w:tcW w:w="410" w:type="pct"/>
            <w:tcBorders>
              <w:top w:val="nil"/>
              <w:left w:val="single" w:color="000000" w:sz="8" w:space="0"/>
              <w:bottom w:val="single" w:color="000000" w:sz="8" w:space="0"/>
              <w:right w:val="single" w:color="000000" w:sz="8" w:space="0"/>
            </w:tcBorders>
            <w:shd w:val="clear" w:color="auto" w:fill="auto"/>
            <w:vAlign w:val="center"/>
          </w:tcPr>
          <w:p w14:paraId="5CBD144A">
            <w:pPr>
              <w:pStyle w:val="56"/>
              <w:bidi w:val="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0.643</w:t>
            </w:r>
          </w:p>
        </w:tc>
        <w:tc>
          <w:tcPr>
            <w:tcW w:w="253" w:type="pct"/>
            <w:tcBorders>
              <w:top w:val="nil"/>
              <w:left w:val="single" w:color="000000" w:sz="8" w:space="0"/>
              <w:bottom w:val="single" w:color="000000" w:sz="8" w:space="0"/>
              <w:right w:val="single" w:color="000000" w:sz="8" w:space="0"/>
            </w:tcBorders>
            <w:shd w:val="clear" w:color="auto" w:fill="auto"/>
            <w:vAlign w:val="center"/>
          </w:tcPr>
          <w:p w14:paraId="09AB1D55">
            <w:pPr>
              <w:pStyle w:val="56"/>
              <w:bidi w:val="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0.002</w:t>
            </w:r>
          </w:p>
        </w:tc>
        <w:tc>
          <w:tcPr>
            <w:tcW w:w="257" w:type="pct"/>
            <w:tcBorders>
              <w:top w:val="nil"/>
              <w:left w:val="single" w:color="000000" w:sz="8" w:space="0"/>
              <w:bottom w:val="single" w:color="000000" w:sz="8" w:space="0"/>
              <w:right w:val="single" w:color="000000" w:sz="8" w:space="0"/>
            </w:tcBorders>
            <w:shd w:val="clear" w:color="auto" w:fill="auto"/>
            <w:vAlign w:val="center"/>
          </w:tcPr>
          <w:p w14:paraId="4A35EF5D">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0.004</w:t>
            </w:r>
          </w:p>
        </w:tc>
        <w:tc>
          <w:tcPr>
            <w:tcW w:w="246" w:type="pct"/>
            <w:tcBorders>
              <w:top w:val="nil"/>
              <w:left w:val="single" w:color="000000" w:sz="8" w:space="0"/>
              <w:bottom w:val="single" w:color="000000" w:sz="8" w:space="0"/>
              <w:right w:val="single" w:color="000000" w:sz="8" w:space="0"/>
            </w:tcBorders>
            <w:shd w:val="clear" w:color="auto" w:fill="auto"/>
            <w:noWrap/>
            <w:vAlign w:val="center"/>
          </w:tcPr>
          <w:p w14:paraId="6B8FACEB">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2400</w:t>
            </w:r>
          </w:p>
        </w:tc>
        <w:tc>
          <w:tcPr>
            <w:tcW w:w="253" w:type="pct"/>
            <w:tcBorders>
              <w:top w:val="nil"/>
              <w:left w:val="single" w:color="000000" w:sz="8" w:space="0"/>
              <w:bottom w:val="single" w:color="000000" w:sz="8" w:space="0"/>
              <w:right w:val="single" w:color="000000" w:sz="8" w:space="0"/>
            </w:tcBorders>
            <w:shd w:val="clear" w:color="auto" w:fill="auto"/>
            <w:vAlign w:val="center"/>
          </w:tcPr>
          <w:p w14:paraId="6514BF67">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是</w:t>
            </w:r>
          </w:p>
        </w:tc>
        <w:tc>
          <w:tcPr>
            <w:tcW w:w="216" w:type="pct"/>
            <w:vMerge w:val="restart"/>
            <w:tcBorders>
              <w:top w:val="nil"/>
              <w:left w:val="single" w:color="000000" w:sz="8" w:space="0"/>
              <w:bottom w:val="single" w:color="000000" w:sz="8" w:space="0"/>
              <w:right w:val="single" w:color="000000" w:sz="8" w:space="0"/>
            </w:tcBorders>
            <w:shd w:val="clear" w:color="auto" w:fill="auto"/>
            <w:vAlign w:val="center"/>
          </w:tcPr>
          <w:p w14:paraId="74604C44">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DA001</w:t>
            </w:r>
          </w:p>
        </w:tc>
      </w:tr>
      <w:tr w14:paraId="73A00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 w:type="pct"/>
            <w:vMerge w:val="continue"/>
            <w:tcBorders>
              <w:left w:val="single" w:color="000000" w:sz="8" w:space="0"/>
              <w:right w:val="single" w:color="000000" w:sz="8" w:space="0"/>
            </w:tcBorders>
            <w:shd w:val="clear" w:color="auto" w:fill="auto"/>
            <w:vAlign w:val="center"/>
          </w:tcPr>
          <w:p w14:paraId="25D6E118">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c>
          <w:tcPr>
            <w:tcW w:w="338" w:type="pct"/>
            <w:vMerge w:val="continue"/>
            <w:tcBorders>
              <w:top w:val="nil"/>
              <w:left w:val="single" w:color="000000" w:sz="8" w:space="0"/>
              <w:bottom w:val="single" w:color="000000" w:sz="8" w:space="0"/>
              <w:right w:val="single" w:color="000000" w:sz="8" w:space="0"/>
            </w:tcBorders>
            <w:shd w:val="clear" w:color="auto" w:fill="auto"/>
            <w:vAlign w:val="center"/>
          </w:tcPr>
          <w:p w14:paraId="78239031">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c>
          <w:tcPr>
            <w:tcW w:w="306" w:type="pct"/>
            <w:tcBorders>
              <w:top w:val="nil"/>
              <w:left w:val="single" w:color="000000" w:sz="8" w:space="0"/>
              <w:bottom w:val="single" w:color="000000" w:sz="8" w:space="0"/>
              <w:right w:val="single" w:color="000000" w:sz="8" w:space="0"/>
            </w:tcBorders>
            <w:shd w:val="clear" w:color="auto" w:fill="auto"/>
            <w:vAlign w:val="center"/>
          </w:tcPr>
          <w:p w14:paraId="04870A08">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颗粒物</w:t>
            </w:r>
          </w:p>
        </w:tc>
        <w:tc>
          <w:tcPr>
            <w:tcW w:w="276" w:type="pct"/>
            <w:tcBorders>
              <w:top w:val="nil"/>
              <w:left w:val="single" w:color="000000" w:sz="8" w:space="0"/>
              <w:bottom w:val="single" w:color="000000" w:sz="8" w:space="0"/>
              <w:right w:val="single" w:color="000000" w:sz="8" w:space="0"/>
            </w:tcBorders>
            <w:shd w:val="clear" w:color="auto" w:fill="auto"/>
            <w:vAlign w:val="center"/>
          </w:tcPr>
          <w:p w14:paraId="0F122163">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3112</w:t>
            </w:r>
          </w:p>
        </w:tc>
        <w:tc>
          <w:tcPr>
            <w:tcW w:w="452" w:type="pct"/>
            <w:tcBorders>
              <w:top w:val="nil"/>
              <w:left w:val="single" w:color="000000" w:sz="8" w:space="0"/>
              <w:bottom w:val="single" w:color="000000" w:sz="8" w:space="0"/>
              <w:right w:val="single" w:color="000000" w:sz="8" w:space="0"/>
            </w:tcBorders>
            <w:shd w:val="clear" w:color="auto" w:fill="auto"/>
            <w:vAlign w:val="center"/>
          </w:tcPr>
          <w:p w14:paraId="2FAF4B74">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80.334</w:t>
            </w:r>
          </w:p>
        </w:tc>
        <w:tc>
          <w:tcPr>
            <w:tcW w:w="253" w:type="pct"/>
            <w:tcBorders>
              <w:top w:val="nil"/>
              <w:left w:val="single" w:color="000000" w:sz="8" w:space="0"/>
              <w:bottom w:val="single" w:color="000000" w:sz="8" w:space="0"/>
              <w:right w:val="single" w:color="000000" w:sz="8" w:space="0"/>
            </w:tcBorders>
            <w:shd w:val="clear" w:color="auto" w:fill="auto"/>
            <w:vAlign w:val="center"/>
          </w:tcPr>
          <w:p w14:paraId="407BB507">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0.250</w:t>
            </w:r>
          </w:p>
        </w:tc>
        <w:tc>
          <w:tcPr>
            <w:tcW w:w="291" w:type="pct"/>
            <w:tcBorders>
              <w:top w:val="nil"/>
              <w:left w:val="single" w:color="000000" w:sz="8" w:space="0"/>
              <w:bottom w:val="single" w:color="000000" w:sz="8" w:space="0"/>
              <w:right w:val="single" w:color="000000" w:sz="8" w:space="0"/>
            </w:tcBorders>
            <w:shd w:val="clear" w:color="auto" w:fill="auto"/>
            <w:vAlign w:val="center"/>
          </w:tcPr>
          <w:p w14:paraId="43115E32">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0.599</w:t>
            </w:r>
          </w:p>
        </w:tc>
        <w:tc>
          <w:tcPr>
            <w:tcW w:w="291" w:type="pct"/>
            <w:vMerge w:val="continue"/>
            <w:tcBorders>
              <w:top w:val="nil"/>
              <w:left w:val="single" w:color="000000" w:sz="8" w:space="0"/>
              <w:bottom w:val="single" w:color="000000" w:sz="8" w:space="0"/>
              <w:right w:val="single" w:color="000000" w:sz="8" w:space="0"/>
            </w:tcBorders>
            <w:shd w:val="clear" w:color="auto" w:fill="auto"/>
            <w:noWrap/>
            <w:vAlign w:val="center"/>
          </w:tcPr>
          <w:p w14:paraId="1CA8F8DD">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c>
          <w:tcPr>
            <w:tcW w:w="283" w:type="pct"/>
            <w:tcBorders>
              <w:top w:val="nil"/>
              <w:left w:val="single" w:color="000000" w:sz="8" w:space="0"/>
              <w:bottom w:val="single" w:color="000000" w:sz="8" w:space="0"/>
              <w:right w:val="single" w:color="000000" w:sz="8" w:space="0"/>
            </w:tcBorders>
            <w:shd w:val="clear" w:color="auto" w:fill="auto"/>
            <w:vAlign w:val="center"/>
          </w:tcPr>
          <w:p w14:paraId="466657AF">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100</w:t>
            </w:r>
          </w:p>
        </w:tc>
        <w:tc>
          <w:tcPr>
            <w:tcW w:w="278" w:type="pct"/>
            <w:tcBorders>
              <w:top w:val="nil"/>
              <w:left w:val="single" w:color="000000" w:sz="8" w:space="0"/>
              <w:bottom w:val="single" w:color="000000" w:sz="8" w:space="0"/>
              <w:right w:val="single" w:color="000000" w:sz="8" w:space="0"/>
            </w:tcBorders>
            <w:shd w:val="clear" w:color="auto" w:fill="auto"/>
            <w:vAlign w:val="center"/>
          </w:tcPr>
          <w:p w14:paraId="224CD98E">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99</w:t>
            </w:r>
          </w:p>
        </w:tc>
        <w:tc>
          <w:tcPr>
            <w:tcW w:w="274" w:type="pct"/>
            <w:tcBorders>
              <w:top w:val="nil"/>
              <w:left w:val="single" w:color="000000" w:sz="8" w:space="0"/>
              <w:bottom w:val="single" w:color="000000" w:sz="8" w:space="0"/>
              <w:right w:val="single" w:color="000000" w:sz="8" w:space="0"/>
            </w:tcBorders>
            <w:shd w:val="clear" w:color="auto" w:fill="auto"/>
            <w:noWrap/>
            <w:vAlign w:val="center"/>
          </w:tcPr>
          <w:p w14:paraId="7A20F29A">
            <w:pPr>
              <w:pStyle w:val="56"/>
              <w:bidi w:val="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3112</w:t>
            </w:r>
          </w:p>
        </w:tc>
        <w:tc>
          <w:tcPr>
            <w:tcW w:w="410" w:type="pct"/>
            <w:tcBorders>
              <w:top w:val="nil"/>
              <w:left w:val="single" w:color="000000" w:sz="8" w:space="0"/>
              <w:bottom w:val="single" w:color="000000" w:sz="8" w:space="0"/>
              <w:right w:val="single" w:color="000000" w:sz="8" w:space="0"/>
            </w:tcBorders>
            <w:shd w:val="clear" w:color="auto" w:fill="auto"/>
            <w:vAlign w:val="center"/>
          </w:tcPr>
          <w:p w14:paraId="386DDEFE">
            <w:pPr>
              <w:pStyle w:val="56"/>
              <w:bidi w:val="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0.8</w:t>
            </w:r>
          </w:p>
        </w:tc>
        <w:tc>
          <w:tcPr>
            <w:tcW w:w="253" w:type="pct"/>
            <w:tcBorders>
              <w:top w:val="nil"/>
              <w:left w:val="single" w:color="000000" w:sz="8" w:space="0"/>
              <w:bottom w:val="single" w:color="000000" w:sz="8" w:space="0"/>
              <w:right w:val="single" w:color="000000" w:sz="8" w:space="0"/>
            </w:tcBorders>
            <w:shd w:val="clear" w:color="auto" w:fill="auto"/>
            <w:vAlign w:val="center"/>
          </w:tcPr>
          <w:p w14:paraId="0D240888">
            <w:pPr>
              <w:pStyle w:val="56"/>
              <w:bidi w:val="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0.0025</w:t>
            </w:r>
          </w:p>
        </w:tc>
        <w:tc>
          <w:tcPr>
            <w:tcW w:w="257" w:type="pct"/>
            <w:tcBorders>
              <w:top w:val="nil"/>
              <w:left w:val="single" w:color="000000" w:sz="8" w:space="0"/>
              <w:bottom w:val="single" w:color="000000" w:sz="8" w:space="0"/>
              <w:right w:val="single" w:color="000000" w:sz="8" w:space="0"/>
            </w:tcBorders>
            <w:shd w:val="clear" w:color="auto" w:fill="auto"/>
            <w:vAlign w:val="center"/>
          </w:tcPr>
          <w:p w14:paraId="0BE249E3">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0.006</w:t>
            </w:r>
          </w:p>
        </w:tc>
        <w:tc>
          <w:tcPr>
            <w:tcW w:w="246" w:type="pct"/>
            <w:tcBorders>
              <w:top w:val="nil"/>
              <w:left w:val="single" w:color="000000" w:sz="8" w:space="0"/>
              <w:bottom w:val="single" w:color="000000" w:sz="8" w:space="0"/>
              <w:right w:val="single" w:color="000000" w:sz="8" w:space="0"/>
            </w:tcBorders>
            <w:shd w:val="clear" w:color="auto" w:fill="auto"/>
            <w:noWrap/>
            <w:vAlign w:val="center"/>
          </w:tcPr>
          <w:p w14:paraId="41DA5458">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2400</w:t>
            </w:r>
          </w:p>
        </w:tc>
        <w:tc>
          <w:tcPr>
            <w:tcW w:w="253" w:type="pct"/>
            <w:tcBorders>
              <w:top w:val="nil"/>
              <w:left w:val="single" w:color="000000" w:sz="8" w:space="0"/>
              <w:bottom w:val="single" w:color="000000" w:sz="8" w:space="0"/>
              <w:right w:val="single" w:color="000000" w:sz="8" w:space="0"/>
            </w:tcBorders>
            <w:shd w:val="clear" w:color="auto" w:fill="auto"/>
            <w:vAlign w:val="center"/>
          </w:tcPr>
          <w:p w14:paraId="00DBCF29">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是</w:t>
            </w:r>
          </w:p>
        </w:tc>
        <w:tc>
          <w:tcPr>
            <w:tcW w:w="216" w:type="pct"/>
            <w:vMerge w:val="continue"/>
            <w:tcBorders>
              <w:top w:val="nil"/>
              <w:left w:val="single" w:color="000000" w:sz="8" w:space="0"/>
              <w:bottom w:val="single" w:color="000000" w:sz="8" w:space="0"/>
              <w:right w:val="single" w:color="000000" w:sz="8" w:space="0"/>
            </w:tcBorders>
            <w:shd w:val="clear" w:color="auto" w:fill="auto"/>
            <w:vAlign w:val="center"/>
          </w:tcPr>
          <w:p w14:paraId="6DA3CA87">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r>
      <w:tr w14:paraId="58F64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 w:type="pct"/>
            <w:vMerge w:val="continue"/>
            <w:tcBorders>
              <w:left w:val="single" w:color="000000" w:sz="8" w:space="0"/>
              <w:right w:val="single" w:color="000000" w:sz="8" w:space="0"/>
            </w:tcBorders>
            <w:shd w:val="clear" w:color="auto" w:fill="auto"/>
            <w:vAlign w:val="center"/>
          </w:tcPr>
          <w:p w14:paraId="45113822">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c>
          <w:tcPr>
            <w:tcW w:w="338" w:type="pct"/>
            <w:vMerge w:val="continue"/>
            <w:tcBorders>
              <w:top w:val="nil"/>
              <w:left w:val="single" w:color="000000" w:sz="8" w:space="0"/>
              <w:bottom w:val="single" w:color="auto" w:sz="4" w:space="0"/>
              <w:right w:val="single" w:color="000000" w:sz="8" w:space="0"/>
            </w:tcBorders>
            <w:shd w:val="clear" w:color="auto" w:fill="auto"/>
            <w:vAlign w:val="center"/>
          </w:tcPr>
          <w:p w14:paraId="6C9F8D5D">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c>
          <w:tcPr>
            <w:tcW w:w="306" w:type="pct"/>
            <w:tcBorders>
              <w:top w:val="nil"/>
              <w:left w:val="single" w:color="000000" w:sz="8" w:space="0"/>
              <w:bottom w:val="single" w:color="auto" w:sz="4" w:space="0"/>
              <w:right w:val="single" w:color="000000" w:sz="8" w:space="0"/>
            </w:tcBorders>
            <w:shd w:val="clear" w:color="auto" w:fill="auto"/>
            <w:vAlign w:val="center"/>
          </w:tcPr>
          <w:p w14:paraId="44E86E9D">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氮氧化物</w:t>
            </w:r>
          </w:p>
        </w:tc>
        <w:tc>
          <w:tcPr>
            <w:tcW w:w="276" w:type="pct"/>
            <w:tcBorders>
              <w:top w:val="nil"/>
              <w:left w:val="single" w:color="000000" w:sz="8" w:space="0"/>
              <w:bottom w:val="single" w:color="auto" w:sz="4" w:space="0"/>
              <w:right w:val="single" w:color="000000" w:sz="8" w:space="0"/>
            </w:tcBorders>
            <w:shd w:val="clear" w:color="auto" w:fill="auto"/>
            <w:vAlign w:val="center"/>
          </w:tcPr>
          <w:p w14:paraId="74436C87">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3112</w:t>
            </w:r>
          </w:p>
        </w:tc>
        <w:tc>
          <w:tcPr>
            <w:tcW w:w="452" w:type="pct"/>
            <w:tcBorders>
              <w:top w:val="nil"/>
              <w:left w:val="single" w:color="000000" w:sz="8" w:space="0"/>
              <w:bottom w:val="single" w:color="auto" w:sz="4" w:space="0"/>
              <w:right w:val="single" w:color="000000" w:sz="8" w:space="0"/>
            </w:tcBorders>
            <w:shd w:val="clear" w:color="auto" w:fill="auto"/>
            <w:vAlign w:val="center"/>
          </w:tcPr>
          <w:p w14:paraId="67075F96">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163.560</w:t>
            </w:r>
          </w:p>
        </w:tc>
        <w:tc>
          <w:tcPr>
            <w:tcW w:w="253" w:type="pct"/>
            <w:tcBorders>
              <w:top w:val="nil"/>
              <w:left w:val="single" w:color="000000" w:sz="8" w:space="0"/>
              <w:bottom w:val="single" w:color="auto" w:sz="4" w:space="0"/>
              <w:right w:val="single" w:color="000000" w:sz="8" w:space="0"/>
            </w:tcBorders>
            <w:shd w:val="clear" w:color="auto" w:fill="auto"/>
            <w:vAlign w:val="center"/>
          </w:tcPr>
          <w:p w14:paraId="77BBF3B5">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0.509</w:t>
            </w:r>
          </w:p>
        </w:tc>
        <w:tc>
          <w:tcPr>
            <w:tcW w:w="291" w:type="pct"/>
            <w:tcBorders>
              <w:top w:val="nil"/>
              <w:left w:val="single" w:color="000000" w:sz="8" w:space="0"/>
              <w:bottom w:val="single" w:color="auto" w:sz="4" w:space="0"/>
              <w:right w:val="single" w:color="000000" w:sz="8" w:space="0"/>
            </w:tcBorders>
            <w:shd w:val="clear" w:color="auto" w:fill="auto"/>
            <w:vAlign w:val="center"/>
          </w:tcPr>
          <w:p w14:paraId="5B7F8129">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1.221</w:t>
            </w:r>
          </w:p>
        </w:tc>
        <w:tc>
          <w:tcPr>
            <w:tcW w:w="291" w:type="pct"/>
            <w:vMerge w:val="continue"/>
            <w:tcBorders>
              <w:top w:val="nil"/>
              <w:left w:val="single" w:color="000000" w:sz="8" w:space="0"/>
              <w:bottom w:val="single" w:color="auto" w:sz="4" w:space="0"/>
              <w:right w:val="single" w:color="000000" w:sz="8" w:space="0"/>
            </w:tcBorders>
            <w:shd w:val="clear" w:color="auto" w:fill="auto"/>
            <w:noWrap/>
            <w:vAlign w:val="center"/>
          </w:tcPr>
          <w:p w14:paraId="7F733D4E">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c>
          <w:tcPr>
            <w:tcW w:w="283" w:type="pct"/>
            <w:tcBorders>
              <w:top w:val="nil"/>
              <w:left w:val="single" w:color="000000" w:sz="8" w:space="0"/>
              <w:bottom w:val="single" w:color="auto" w:sz="4" w:space="0"/>
              <w:right w:val="single" w:color="000000" w:sz="8" w:space="0"/>
            </w:tcBorders>
            <w:shd w:val="clear" w:color="auto" w:fill="auto"/>
            <w:vAlign w:val="center"/>
          </w:tcPr>
          <w:p w14:paraId="7CF51F68">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100</w:t>
            </w:r>
          </w:p>
        </w:tc>
        <w:tc>
          <w:tcPr>
            <w:tcW w:w="278" w:type="pct"/>
            <w:tcBorders>
              <w:top w:val="nil"/>
              <w:left w:val="single" w:color="000000" w:sz="8" w:space="0"/>
              <w:bottom w:val="single" w:color="auto" w:sz="4" w:space="0"/>
              <w:right w:val="single" w:color="000000" w:sz="8" w:space="0"/>
            </w:tcBorders>
            <w:shd w:val="clear" w:color="auto" w:fill="auto"/>
            <w:vAlign w:val="center"/>
          </w:tcPr>
          <w:p w14:paraId="6438622F">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tc>
        <w:tc>
          <w:tcPr>
            <w:tcW w:w="274" w:type="pct"/>
            <w:tcBorders>
              <w:top w:val="nil"/>
              <w:left w:val="single" w:color="000000" w:sz="8" w:space="0"/>
              <w:bottom w:val="single" w:color="auto" w:sz="4" w:space="0"/>
              <w:right w:val="single" w:color="000000" w:sz="8" w:space="0"/>
            </w:tcBorders>
            <w:shd w:val="clear" w:color="auto" w:fill="auto"/>
            <w:noWrap/>
            <w:vAlign w:val="center"/>
          </w:tcPr>
          <w:p w14:paraId="1ED4C2B3">
            <w:pPr>
              <w:pStyle w:val="56"/>
              <w:bidi w:val="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3112</w:t>
            </w:r>
          </w:p>
        </w:tc>
        <w:tc>
          <w:tcPr>
            <w:tcW w:w="410" w:type="pct"/>
            <w:tcBorders>
              <w:top w:val="nil"/>
              <w:left w:val="single" w:color="000000" w:sz="8" w:space="0"/>
              <w:bottom w:val="single" w:color="auto" w:sz="4" w:space="0"/>
              <w:right w:val="single" w:color="000000" w:sz="8" w:space="0"/>
            </w:tcBorders>
            <w:shd w:val="clear" w:color="auto" w:fill="auto"/>
            <w:vAlign w:val="center"/>
          </w:tcPr>
          <w:p w14:paraId="67AF9489">
            <w:pPr>
              <w:pStyle w:val="56"/>
              <w:bidi w:val="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163.560</w:t>
            </w:r>
          </w:p>
        </w:tc>
        <w:tc>
          <w:tcPr>
            <w:tcW w:w="253" w:type="pct"/>
            <w:tcBorders>
              <w:top w:val="nil"/>
              <w:left w:val="single" w:color="000000" w:sz="8" w:space="0"/>
              <w:bottom w:val="single" w:color="auto" w:sz="4" w:space="0"/>
              <w:right w:val="single" w:color="000000" w:sz="8" w:space="0"/>
            </w:tcBorders>
            <w:shd w:val="clear" w:color="auto" w:fill="auto"/>
            <w:vAlign w:val="center"/>
          </w:tcPr>
          <w:p w14:paraId="67EB3CEC">
            <w:pPr>
              <w:pStyle w:val="56"/>
              <w:bidi w:val="0"/>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0.509</w:t>
            </w:r>
          </w:p>
        </w:tc>
        <w:tc>
          <w:tcPr>
            <w:tcW w:w="257" w:type="pct"/>
            <w:tcBorders>
              <w:top w:val="nil"/>
              <w:left w:val="single" w:color="000000" w:sz="8" w:space="0"/>
              <w:bottom w:val="single" w:color="auto" w:sz="4" w:space="0"/>
              <w:right w:val="single" w:color="000000" w:sz="8" w:space="0"/>
            </w:tcBorders>
            <w:shd w:val="clear" w:color="auto" w:fill="auto"/>
            <w:vAlign w:val="center"/>
          </w:tcPr>
          <w:p w14:paraId="731CF3DA">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1.221</w:t>
            </w:r>
          </w:p>
        </w:tc>
        <w:tc>
          <w:tcPr>
            <w:tcW w:w="246" w:type="pct"/>
            <w:tcBorders>
              <w:top w:val="nil"/>
              <w:left w:val="single" w:color="000000" w:sz="8" w:space="0"/>
              <w:bottom w:val="single" w:color="auto" w:sz="4" w:space="0"/>
              <w:right w:val="single" w:color="000000" w:sz="8" w:space="0"/>
            </w:tcBorders>
            <w:shd w:val="clear" w:color="auto" w:fill="auto"/>
            <w:noWrap/>
            <w:vAlign w:val="center"/>
          </w:tcPr>
          <w:p w14:paraId="3BF867C2">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2400</w:t>
            </w:r>
          </w:p>
        </w:tc>
        <w:tc>
          <w:tcPr>
            <w:tcW w:w="253" w:type="pct"/>
            <w:tcBorders>
              <w:top w:val="nil"/>
              <w:left w:val="single" w:color="000000" w:sz="8" w:space="0"/>
              <w:bottom w:val="single" w:color="auto" w:sz="4" w:space="0"/>
              <w:right w:val="single" w:color="000000" w:sz="8" w:space="0"/>
            </w:tcBorders>
            <w:shd w:val="clear" w:color="auto" w:fill="auto"/>
            <w:vAlign w:val="center"/>
          </w:tcPr>
          <w:p w14:paraId="223F1289">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是</w:t>
            </w:r>
          </w:p>
        </w:tc>
        <w:tc>
          <w:tcPr>
            <w:tcW w:w="216" w:type="pct"/>
            <w:vMerge w:val="continue"/>
            <w:tcBorders>
              <w:top w:val="nil"/>
              <w:left w:val="single" w:color="000000" w:sz="8" w:space="0"/>
              <w:bottom w:val="single" w:color="auto" w:sz="4" w:space="0"/>
              <w:right w:val="single" w:color="000000" w:sz="8" w:space="0"/>
            </w:tcBorders>
            <w:shd w:val="clear" w:color="auto" w:fill="auto"/>
            <w:vAlign w:val="center"/>
          </w:tcPr>
          <w:p w14:paraId="25CF16BB">
            <w:pPr>
              <w:pStyle w:val="56"/>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r>
      <w:tr w14:paraId="6C182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 w:type="pct"/>
            <w:vMerge w:val="continue"/>
            <w:tcBorders>
              <w:left w:val="single" w:color="000000" w:sz="8" w:space="0"/>
              <w:right w:val="single" w:color="000000" w:sz="8" w:space="0"/>
            </w:tcBorders>
            <w:shd w:val="clear" w:color="auto" w:fill="auto"/>
            <w:vAlign w:val="center"/>
          </w:tcPr>
          <w:p w14:paraId="19EF6E17">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14:paraId="3C5738A2">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烘干废气</w:t>
            </w:r>
          </w:p>
        </w:tc>
        <w:tc>
          <w:tcPr>
            <w:tcW w:w="306" w:type="pct"/>
            <w:tcBorders>
              <w:top w:val="single" w:color="auto" w:sz="4" w:space="0"/>
              <w:left w:val="single" w:color="auto" w:sz="4" w:space="0"/>
              <w:bottom w:val="single" w:color="auto" w:sz="4" w:space="0"/>
              <w:right w:val="single" w:color="auto" w:sz="4" w:space="0"/>
            </w:tcBorders>
            <w:shd w:val="clear" w:color="auto" w:fill="auto"/>
            <w:vAlign w:val="center"/>
          </w:tcPr>
          <w:p w14:paraId="0A658162">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颗粒物</w:t>
            </w:r>
          </w:p>
        </w:tc>
        <w:tc>
          <w:tcPr>
            <w:tcW w:w="276" w:type="pct"/>
            <w:tcBorders>
              <w:top w:val="single" w:color="auto" w:sz="4" w:space="0"/>
              <w:left w:val="single" w:color="auto" w:sz="4" w:space="0"/>
              <w:bottom w:val="single" w:color="auto" w:sz="4" w:space="0"/>
              <w:right w:val="single" w:color="auto" w:sz="4" w:space="0"/>
            </w:tcBorders>
            <w:shd w:val="clear" w:color="auto" w:fill="auto"/>
            <w:vAlign w:val="center"/>
          </w:tcPr>
          <w:p w14:paraId="46926EA7">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6000</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14:paraId="2987B6FA">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25</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14:paraId="05DA78C2">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0.15</w:t>
            </w:r>
          </w:p>
        </w:tc>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88B420B">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0.36</w:t>
            </w:r>
          </w:p>
        </w:tc>
        <w:tc>
          <w:tcPr>
            <w:tcW w:w="29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BD9D53">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布袋除尘</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11B29FB4">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100</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64517F83">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99</w:t>
            </w:r>
          </w:p>
        </w:tc>
        <w:tc>
          <w:tcPr>
            <w:tcW w:w="27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10E3B9">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6000</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74A3BC05">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0.25</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14:paraId="000EB8D4">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0.0015</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429B9FA4">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sz w:val="21"/>
                <w:szCs w:val="21"/>
                <w:highlight w:val="none"/>
                <w:vertAlign w:val="baseline"/>
                <w:lang w:val="en-US" w:eastAsia="zh-CN"/>
              </w:rPr>
              <w:t>0.0036</w:t>
            </w:r>
          </w:p>
        </w:tc>
        <w:tc>
          <w:tcPr>
            <w:tcW w:w="24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545A79">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2400</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14:paraId="3C9BD7B6">
            <w:pPr>
              <w:pStyle w:val="56"/>
              <w:bidi w:val="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是</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1DA02516">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DA002</w:t>
            </w:r>
          </w:p>
        </w:tc>
      </w:tr>
      <w:tr w14:paraId="2C82C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 w:type="pct"/>
            <w:vMerge w:val="continue"/>
            <w:tcBorders>
              <w:left w:val="single" w:color="000000" w:sz="8" w:space="0"/>
              <w:bottom w:val="single" w:color="auto" w:sz="4" w:space="0"/>
              <w:right w:val="single" w:color="000000" w:sz="8" w:space="0"/>
            </w:tcBorders>
            <w:shd w:val="clear" w:color="auto" w:fill="auto"/>
            <w:vAlign w:val="center"/>
          </w:tcPr>
          <w:p w14:paraId="33477C91">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14:paraId="55A07F36">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烘干废气</w:t>
            </w:r>
          </w:p>
        </w:tc>
        <w:tc>
          <w:tcPr>
            <w:tcW w:w="306" w:type="pct"/>
            <w:tcBorders>
              <w:top w:val="single" w:color="auto" w:sz="4" w:space="0"/>
              <w:left w:val="single" w:color="auto" w:sz="4" w:space="0"/>
              <w:bottom w:val="single" w:color="auto" w:sz="4" w:space="0"/>
              <w:right w:val="single" w:color="auto" w:sz="4" w:space="0"/>
            </w:tcBorders>
            <w:shd w:val="clear" w:color="auto" w:fill="auto"/>
            <w:vAlign w:val="center"/>
          </w:tcPr>
          <w:p w14:paraId="3AC9EB41">
            <w:pPr>
              <w:pStyle w:val="56"/>
              <w:bidi w:val="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颗粒物</w:t>
            </w:r>
          </w:p>
        </w:tc>
        <w:tc>
          <w:tcPr>
            <w:tcW w:w="276" w:type="pct"/>
            <w:tcBorders>
              <w:top w:val="single" w:color="auto" w:sz="4" w:space="0"/>
              <w:left w:val="single" w:color="auto" w:sz="4" w:space="0"/>
              <w:bottom w:val="single" w:color="auto" w:sz="4" w:space="0"/>
              <w:right w:val="single" w:color="auto" w:sz="4" w:space="0"/>
            </w:tcBorders>
            <w:shd w:val="clear" w:color="auto" w:fill="auto"/>
            <w:vAlign w:val="center"/>
          </w:tcPr>
          <w:p w14:paraId="54356C99">
            <w:pPr>
              <w:pStyle w:val="56"/>
              <w:bidi w:val="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6000</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14:paraId="5B25FC53">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25</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14:paraId="73477D09">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0.15</w:t>
            </w:r>
          </w:p>
        </w:tc>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7E034F2">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0.36</w:t>
            </w:r>
          </w:p>
        </w:tc>
        <w:tc>
          <w:tcPr>
            <w:tcW w:w="29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AAE0CC">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布袋除尘</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73A6DFC4">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100</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77EC6B62">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99</w:t>
            </w:r>
          </w:p>
        </w:tc>
        <w:tc>
          <w:tcPr>
            <w:tcW w:w="27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2F510B">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6000</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14:paraId="68E44859">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0.25</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14:paraId="3C63A010">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0.0015</w:t>
            </w:r>
          </w:p>
        </w:tc>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58D8C4B5">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sz w:val="21"/>
                <w:szCs w:val="21"/>
                <w:highlight w:val="none"/>
                <w:vertAlign w:val="baseline"/>
                <w:lang w:val="en-US" w:eastAsia="zh-CN"/>
              </w:rPr>
              <w:t>0.0036</w:t>
            </w:r>
          </w:p>
        </w:tc>
        <w:tc>
          <w:tcPr>
            <w:tcW w:w="24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74ED76">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2400</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14:paraId="58E8DA5E">
            <w:pPr>
              <w:pStyle w:val="56"/>
              <w:bidi w:val="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是</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15155093">
            <w:pPr>
              <w:pStyle w:val="56"/>
              <w:bidi w:val="0"/>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DA003</w:t>
            </w:r>
          </w:p>
        </w:tc>
      </w:tr>
    </w:tbl>
    <w:p w14:paraId="1A3F98EC">
      <w:pPr>
        <w:pStyle w:val="56"/>
        <w:bidi w:val="0"/>
        <w:jc w:val="both"/>
        <w:rPr>
          <w:color w:val="000000" w:themeColor="text1"/>
          <w14:textFill>
            <w14:solidFill>
              <w14:schemeClr w14:val="tx1"/>
            </w14:solidFill>
          </w14:textFill>
        </w:rPr>
      </w:pPr>
    </w:p>
    <w:p w14:paraId="01045682">
      <w:pPr>
        <w:ind w:firstLine="480"/>
        <w:jc w:val="both"/>
        <w:rPr>
          <w:color w:val="000000" w:themeColor="text1"/>
          <w14:textFill>
            <w14:solidFill>
              <w14:schemeClr w14:val="tx1"/>
            </w14:solidFill>
          </w14:textFill>
        </w:rPr>
        <w:sectPr>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469"/>
      </w:tblGrid>
      <w:tr w14:paraId="4BC5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4" w:hRule="atLeast"/>
        </w:trPr>
        <w:tc>
          <w:tcPr>
            <w:tcW w:w="817" w:type="dxa"/>
            <w:vAlign w:val="center"/>
          </w:tcPr>
          <w:p w14:paraId="53108844">
            <w:pPr>
              <w:jc w:val="center"/>
              <w:rPr>
                <w:color w:val="000000" w:themeColor="text1"/>
                <w:highlight w:val="none"/>
                <w:vertAlign w:val="baseli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运营期环境影响和保护措施</w:t>
            </w:r>
          </w:p>
        </w:tc>
        <w:tc>
          <w:tcPr>
            <w:tcW w:w="8469" w:type="dxa"/>
            <w:vAlign w:val="center"/>
          </w:tcPr>
          <w:p w14:paraId="1C042AF1">
            <w:pPr>
              <w:pStyle w:val="5"/>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废气治理措施及技术可行性分析</w:t>
            </w:r>
          </w:p>
          <w:p w14:paraId="2ACC59DF">
            <w:pPr>
              <w:pStyle w:val="50"/>
              <w:bidi w:val="0"/>
              <w:jc w:val="lef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（1）治理措施</w:t>
            </w:r>
          </w:p>
          <w:p w14:paraId="1CE9FCC1">
            <w:pPr>
              <w:pStyle w:val="50"/>
              <w:bidi w:val="0"/>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本项目生物质燃烧废气经</w:t>
            </w:r>
            <w:r>
              <w:rPr>
                <w:rFonts w:hint="eastAsia"/>
                <w:color w:val="000000" w:themeColor="text1"/>
                <w:highlight w:val="none"/>
                <w:lang w:val="en-US" w:eastAsia="zh-CN"/>
                <w14:textFill>
                  <w14:solidFill>
                    <w14:schemeClr w14:val="tx1"/>
                  </w14:solidFill>
                </w14:textFill>
              </w:rPr>
              <w:t>布袋</w:t>
            </w:r>
            <w:r>
              <w:rPr>
                <w:rFonts w:hint="eastAsia"/>
                <w:color w:val="000000" w:themeColor="text1"/>
                <w:highlight w:val="none"/>
                <w:lang w:val="en-US" w:eastAsia="zh-CN"/>
                <w14:textFill>
                  <w14:solidFill>
                    <w14:schemeClr w14:val="tx1"/>
                  </w14:solidFill>
                </w14:textFill>
              </w:rPr>
              <w:t>除尘器处理后经30m高排气筒（DA001）排放</w:t>
            </w:r>
            <w:r>
              <w:rPr>
                <w:rFonts w:hint="eastAsia" w:cs="Times New Roman"/>
                <w:b w:val="0"/>
                <w:bCs w:val="0"/>
                <w:color w:val="000000" w:themeColor="text1"/>
                <w:sz w:val="24"/>
                <w:szCs w:val="24"/>
                <w:highlight w:val="none"/>
                <w:lang w:val="en-US" w:eastAsia="zh-CN"/>
                <w14:textFill>
                  <w14:solidFill>
                    <w14:schemeClr w14:val="tx1"/>
                  </w14:solidFill>
                </w14:textFill>
              </w:rPr>
              <w:t>。</w:t>
            </w:r>
          </w:p>
          <w:p w14:paraId="02FB6BF3">
            <w:pPr>
              <w:pStyle w:val="50"/>
              <w:bidi w:val="0"/>
              <w:jc w:val="lef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烘干废气分别经布袋除尘器处理后分别经30m高排放筒排放（DA002、DA003）排放</w:t>
            </w:r>
            <w:r>
              <w:rPr>
                <w:rFonts w:hint="eastAsia" w:cs="Times New Roman"/>
                <w:b w:val="0"/>
                <w:bCs w:val="0"/>
                <w:color w:val="000000" w:themeColor="text1"/>
                <w:sz w:val="24"/>
                <w:szCs w:val="24"/>
                <w:highlight w:val="none"/>
                <w:lang w:val="en-US" w:eastAsia="zh-CN"/>
                <w14:textFill>
                  <w14:solidFill>
                    <w14:schemeClr w14:val="tx1"/>
                  </w14:solidFill>
                </w14:textFill>
              </w:rPr>
              <w:t>。</w:t>
            </w:r>
          </w:p>
          <w:p w14:paraId="128E2432">
            <w:pPr>
              <w:pStyle w:val="50"/>
              <w:bidi w:val="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（2）技术可行性</w:t>
            </w:r>
          </w:p>
          <w:p w14:paraId="75A612D4">
            <w:pPr>
              <w:pStyle w:val="61"/>
              <w:jc w:val="left"/>
              <w:rPr>
                <w:highlight w:val="none"/>
              </w:rPr>
            </w:pPr>
            <w:r>
              <w:rPr>
                <w:rFonts w:hint="eastAsia"/>
                <w:highlight w:val="none"/>
              </w:rPr>
              <w:t>根据《排污许可证申请与核发技术规范锅炉》（</w:t>
            </w:r>
            <w:r>
              <w:rPr>
                <w:highlight w:val="none"/>
              </w:rPr>
              <w:t>HJ1953-2018</w:t>
            </w:r>
            <w:r>
              <w:rPr>
                <w:rFonts w:hint="eastAsia"/>
                <w:highlight w:val="none"/>
              </w:rPr>
              <w:t>）表</w:t>
            </w:r>
            <w:r>
              <w:rPr>
                <w:highlight w:val="none"/>
              </w:rPr>
              <w:t>4-3</w:t>
            </w:r>
            <w:r>
              <w:rPr>
                <w:rFonts w:hint="eastAsia"/>
                <w:highlight w:val="none"/>
              </w:rPr>
              <w:t>，锅炉烟气污染防治可行技术如下表</w:t>
            </w:r>
          </w:p>
          <w:p w14:paraId="46B7FA04">
            <w:pPr>
              <w:pStyle w:val="64"/>
              <w:spacing w:before="156"/>
              <w:rPr>
                <w:highlight w:val="none"/>
              </w:rPr>
            </w:pPr>
            <w:r>
              <w:rPr>
                <w:highlight w:val="none"/>
              </w:rPr>
              <w:t>表4</w:t>
            </w:r>
            <w:r>
              <w:rPr>
                <w:rFonts w:hint="eastAsia"/>
                <w:highlight w:val="none"/>
                <w:lang w:val="en-US" w:eastAsia="zh-CN"/>
              </w:rPr>
              <w:t xml:space="preserve">-3 </w:t>
            </w:r>
            <w:r>
              <w:rPr>
                <w:highlight w:val="none"/>
              </w:rPr>
              <w:t>锅炉烟气可行性技术</w:t>
            </w:r>
          </w:p>
          <w:tbl>
            <w:tblPr>
              <w:tblStyle w:val="2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9"/>
              <w:gridCol w:w="804"/>
              <w:gridCol w:w="2409"/>
              <w:gridCol w:w="1339"/>
              <w:gridCol w:w="1072"/>
              <w:gridCol w:w="1820"/>
            </w:tblGrid>
            <w:tr w14:paraId="47953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84" w:type="pct"/>
                  <w:vMerge w:val="restart"/>
                  <w:noWrap w:val="0"/>
                  <w:vAlign w:val="center"/>
                </w:tcPr>
                <w:p w14:paraId="6BCC67B0">
                  <w:pPr>
                    <w:pStyle w:val="62"/>
                    <w:rPr>
                      <w:highlight w:val="none"/>
                    </w:rPr>
                  </w:pPr>
                  <w:r>
                    <w:rPr>
                      <w:highlight w:val="none"/>
                    </w:rPr>
                    <w:t>污染物</w:t>
                  </w:r>
                </w:p>
              </w:tc>
              <w:tc>
                <w:tcPr>
                  <w:tcW w:w="487" w:type="pct"/>
                  <w:vMerge w:val="restart"/>
                  <w:noWrap w:val="0"/>
                  <w:vAlign w:val="center"/>
                </w:tcPr>
                <w:p w14:paraId="1A8A1AC8">
                  <w:pPr>
                    <w:pStyle w:val="62"/>
                    <w:rPr>
                      <w:highlight w:val="none"/>
                    </w:rPr>
                  </w:pPr>
                  <w:r>
                    <w:rPr>
                      <w:highlight w:val="none"/>
                    </w:rPr>
                    <w:t>地区要求</w:t>
                  </w:r>
                </w:p>
              </w:tc>
              <w:tc>
                <w:tcPr>
                  <w:tcW w:w="4027" w:type="pct"/>
                  <w:gridSpan w:val="4"/>
                  <w:noWrap w:val="0"/>
                  <w:vAlign w:val="center"/>
                </w:tcPr>
                <w:p w14:paraId="5209E9D2">
                  <w:pPr>
                    <w:pStyle w:val="62"/>
                    <w:rPr>
                      <w:highlight w:val="none"/>
                    </w:rPr>
                  </w:pPr>
                  <w:r>
                    <w:rPr>
                      <w:highlight w:val="none"/>
                    </w:rPr>
                    <w:t>燃料类型</w:t>
                  </w:r>
                </w:p>
              </w:tc>
            </w:tr>
            <w:tr w14:paraId="2FC16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84" w:type="pct"/>
                  <w:vMerge w:val="continue"/>
                  <w:noWrap w:val="0"/>
                  <w:vAlign w:val="center"/>
                </w:tcPr>
                <w:p w14:paraId="5E6926F8">
                  <w:pPr>
                    <w:pStyle w:val="62"/>
                    <w:rPr>
                      <w:highlight w:val="none"/>
                    </w:rPr>
                  </w:pPr>
                </w:p>
              </w:tc>
              <w:tc>
                <w:tcPr>
                  <w:tcW w:w="487" w:type="pct"/>
                  <w:vMerge w:val="continue"/>
                  <w:noWrap w:val="0"/>
                  <w:vAlign w:val="center"/>
                </w:tcPr>
                <w:p w14:paraId="241FA53D">
                  <w:pPr>
                    <w:pStyle w:val="62"/>
                    <w:rPr>
                      <w:highlight w:val="none"/>
                    </w:rPr>
                  </w:pPr>
                </w:p>
              </w:tc>
              <w:tc>
                <w:tcPr>
                  <w:tcW w:w="1461" w:type="pct"/>
                  <w:noWrap w:val="0"/>
                  <w:vAlign w:val="center"/>
                </w:tcPr>
                <w:p w14:paraId="3DE768CB">
                  <w:pPr>
                    <w:pStyle w:val="62"/>
                    <w:rPr>
                      <w:highlight w:val="none"/>
                    </w:rPr>
                  </w:pPr>
                  <w:r>
                    <w:rPr>
                      <w:highlight w:val="none"/>
                    </w:rPr>
                    <w:t>燃煤</w:t>
                  </w:r>
                </w:p>
              </w:tc>
              <w:tc>
                <w:tcPr>
                  <w:tcW w:w="812" w:type="pct"/>
                  <w:noWrap w:val="0"/>
                  <w:vAlign w:val="center"/>
                </w:tcPr>
                <w:p w14:paraId="2CCAAE9A">
                  <w:pPr>
                    <w:pStyle w:val="62"/>
                    <w:rPr>
                      <w:highlight w:val="none"/>
                    </w:rPr>
                  </w:pPr>
                  <w:r>
                    <w:rPr>
                      <w:highlight w:val="none"/>
                    </w:rPr>
                    <w:t>生物质</w:t>
                  </w:r>
                </w:p>
              </w:tc>
              <w:tc>
                <w:tcPr>
                  <w:tcW w:w="650" w:type="pct"/>
                  <w:noWrap w:val="0"/>
                  <w:vAlign w:val="center"/>
                </w:tcPr>
                <w:p w14:paraId="3A4554AA">
                  <w:pPr>
                    <w:pStyle w:val="62"/>
                    <w:rPr>
                      <w:highlight w:val="none"/>
                    </w:rPr>
                  </w:pPr>
                  <w:r>
                    <w:rPr>
                      <w:highlight w:val="none"/>
                    </w:rPr>
                    <w:t>燃气</w:t>
                  </w:r>
                </w:p>
              </w:tc>
              <w:tc>
                <w:tcPr>
                  <w:tcW w:w="1103" w:type="pct"/>
                  <w:noWrap w:val="0"/>
                  <w:vAlign w:val="center"/>
                </w:tcPr>
                <w:p w14:paraId="57549CF2">
                  <w:pPr>
                    <w:pStyle w:val="62"/>
                    <w:rPr>
                      <w:highlight w:val="none"/>
                    </w:rPr>
                  </w:pPr>
                  <w:r>
                    <w:rPr>
                      <w:highlight w:val="none"/>
                    </w:rPr>
                    <w:t>燃油</w:t>
                  </w:r>
                </w:p>
              </w:tc>
            </w:tr>
            <w:tr w14:paraId="1F218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72" w:type="pct"/>
                  <w:gridSpan w:val="2"/>
                  <w:noWrap w:val="0"/>
                  <w:vAlign w:val="center"/>
                </w:tcPr>
                <w:p w14:paraId="4D0CF1AC">
                  <w:pPr>
                    <w:pStyle w:val="62"/>
                    <w:rPr>
                      <w:highlight w:val="none"/>
                    </w:rPr>
                  </w:pPr>
                  <w:r>
                    <w:rPr>
                      <w:highlight w:val="none"/>
                    </w:rPr>
                    <w:t>炉型</w:t>
                  </w:r>
                </w:p>
              </w:tc>
              <w:tc>
                <w:tcPr>
                  <w:tcW w:w="1461" w:type="pct"/>
                  <w:noWrap w:val="0"/>
                  <w:vAlign w:val="center"/>
                </w:tcPr>
                <w:p w14:paraId="50D650D7">
                  <w:pPr>
                    <w:pStyle w:val="62"/>
                    <w:rPr>
                      <w:highlight w:val="none"/>
                    </w:rPr>
                  </w:pPr>
                  <w:r>
                    <w:rPr>
                      <w:highlight w:val="none"/>
                    </w:rPr>
                    <w:t>层燃炉、流化床炉、室燃炉</w:t>
                  </w:r>
                </w:p>
              </w:tc>
              <w:tc>
                <w:tcPr>
                  <w:tcW w:w="812" w:type="pct"/>
                  <w:noWrap w:val="0"/>
                  <w:vAlign w:val="center"/>
                </w:tcPr>
                <w:p w14:paraId="7359A12B">
                  <w:pPr>
                    <w:pStyle w:val="62"/>
                    <w:rPr>
                      <w:highlight w:val="none"/>
                    </w:rPr>
                  </w:pPr>
                  <w:r>
                    <w:rPr>
                      <w:highlight w:val="none"/>
                    </w:rPr>
                    <w:t>层燃炉、流化床炉、室燃炉</w:t>
                  </w:r>
                </w:p>
              </w:tc>
              <w:tc>
                <w:tcPr>
                  <w:tcW w:w="650" w:type="pct"/>
                  <w:noWrap w:val="0"/>
                  <w:vAlign w:val="center"/>
                </w:tcPr>
                <w:p w14:paraId="3534EB0D">
                  <w:pPr>
                    <w:pStyle w:val="62"/>
                    <w:rPr>
                      <w:highlight w:val="none"/>
                    </w:rPr>
                  </w:pPr>
                  <w:r>
                    <w:rPr>
                      <w:highlight w:val="none"/>
                    </w:rPr>
                    <w:t>室燃炉</w:t>
                  </w:r>
                </w:p>
              </w:tc>
              <w:tc>
                <w:tcPr>
                  <w:tcW w:w="1103" w:type="pct"/>
                  <w:noWrap w:val="0"/>
                  <w:vAlign w:val="center"/>
                </w:tcPr>
                <w:p w14:paraId="05DBEE59">
                  <w:pPr>
                    <w:pStyle w:val="62"/>
                    <w:rPr>
                      <w:highlight w:val="none"/>
                    </w:rPr>
                  </w:pPr>
                  <w:r>
                    <w:rPr>
                      <w:highlight w:val="none"/>
                    </w:rPr>
                    <w:t>室燃炉</w:t>
                  </w:r>
                </w:p>
              </w:tc>
            </w:tr>
            <w:tr w14:paraId="0041F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84" w:type="pct"/>
                  <w:vMerge w:val="restart"/>
                  <w:noWrap w:val="0"/>
                  <w:vAlign w:val="center"/>
                </w:tcPr>
                <w:p w14:paraId="78EF7D1E">
                  <w:pPr>
                    <w:pStyle w:val="62"/>
                    <w:rPr>
                      <w:highlight w:val="none"/>
                    </w:rPr>
                  </w:pPr>
                  <w:r>
                    <w:rPr>
                      <w:highlight w:val="none"/>
                    </w:rPr>
                    <w:t>二氧化硫</w:t>
                  </w:r>
                </w:p>
              </w:tc>
              <w:tc>
                <w:tcPr>
                  <w:tcW w:w="487" w:type="pct"/>
                  <w:noWrap w:val="0"/>
                  <w:vAlign w:val="center"/>
                </w:tcPr>
                <w:p w14:paraId="4C75CA21">
                  <w:pPr>
                    <w:pStyle w:val="62"/>
                    <w:rPr>
                      <w:highlight w:val="none"/>
                    </w:rPr>
                  </w:pPr>
                  <w:r>
                    <w:rPr>
                      <w:highlight w:val="none"/>
                    </w:rPr>
                    <w:t>一般地区</w:t>
                  </w:r>
                </w:p>
              </w:tc>
              <w:tc>
                <w:tcPr>
                  <w:tcW w:w="1461" w:type="pct"/>
                  <w:noWrap w:val="0"/>
                  <w:vAlign w:val="center"/>
                </w:tcPr>
                <w:p w14:paraId="2DC3E5D7">
                  <w:pPr>
                    <w:pStyle w:val="62"/>
                    <w:rPr>
                      <w:highlight w:val="none"/>
                    </w:rPr>
                  </w:pPr>
                  <w:r>
                    <w:rPr>
                      <w:highlight w:val="none"/>
                    </w:rPr>
                    <w:t>燃用低硫煤+干法/半干法脱硫技术、湿法脱硫技术</w:t>
                  </w:r>
                </w:p>
              </w:tc>
              <w:tc>
                <w:tcPr>
                  <w:tcW w:w="812" w:type="pct"/>
                  <w:noWrap w:val="0"/>
                  <w:vAlign w:val="center"/>
                </w:tcPr>
                <w:p w14:paraId="30F5194D">
                  <w:pPr>
                    <w:pStyle w:val="62"/>
                    <w:rPr>
                      <w:highlight w:val="none"/>
                    </w:rPr>
                  </w:pPr>
                  <w:r>
                    <w:rPr>
                      <w:highlight w:val="none"/>
                    </w:rPr>
                    <w:t>/</w:t>
                  </w:r>
                </w:p>
              </w:tc>
              <w:tc>
                <w:tcPr>
                  <w:tcW w:w="650" w:type="pct"/>
                  <w:noWrap w:val="0"/>
                  <w:vAlign w:val="center"/>
                </w:tcPr>
                <w:p w14:paraId="7BE7430F">
                  <w:pPr>
                    <w:pStyle w:val="62"/>
                    <w:rPr>
                      <w:highlight w:val="none"/>
                    </w:rPr>
                  </w:pPr>
                  <w:r>
                    <w:rPr>
                      <w:highlight w:val="none"/>
                    </w:rPr>
                    <w:t>/</w:t>
                  </w:r>
                </w:p>
              </w:tc>
              <w:tc>
                <w:tcPr>
                  <w:tcW w:w="1103" w:type="pct"/>
                  <w:noWrap w:val="0"/>
                  <w:vAlign w:val="center"/>
                </w:tcPr>
                <w:p w14:paraId="0EC07FCE">
                  <w:pPr>
                    <w:pStyle w:val="62"/>
                    <w:rPr>
                      <w:highlight w:val="none"/>
                    </w:rPr>
                  </w:pPr>
                  <w:r>
                    <w:rPr>
                      <w:highlight w:val="none"/>
                    </w:rPr>
                    <w:t>燃用低硫油、湿法脱硫技术</w:t>
                  </w:r>
                </w:p>
              </w:tc>
            </w:tr>
            <w:tr w14:paraId="137DA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84" w:type="pct"/>
                  <w:vMerge w:val="continue"/>
                  <w:noWrap w:val="0"/>
                  <w:vAlign w:val="center"/>
                </w:tcPr>
                <w:p w14:paraId="6CC425D3">
                  <w:pPr>
                    <w:pStyle w:val="62"/>
                    <w:rPr>
                      <w:highlight w:val="none"/>
                    </w:rPr>
                  </w:pPr>
                </w:p>
              </w:tc>
              <w:tc>
                <w:tcPr>
                  <w:tcW w:w="487" w:type="pct"/>
                  <w:noWrap w:val="0"/>
                  <w:vAlign w:val="center"/>
                </w:tcPr>
                <w:p w14:paraId="6146F943">
                  <w:pPr>
                    <w:pStyle w:val="62"/>
                    <w:rPr>
                      <w:highlight w:val="none"/>
                    </w:rPr>
                  </w:pPr>
                  <w:r>
                    <w:rPr>
                      <w:highlight w:val="none"/>
                    </w:rPr>
                    <w:t>重点地区</w:t>
                  </w:r>
                </w:p>
              </w:tc>
              <w:tc>
                <w:tcPr>
                  <w:tcW w:w="1461" w:type="pct"/>
                  <w:noWrap w:val="0"/>
                  <w:vAlign w:val="center"/>
                </w:tcPr>
                <w:p w14:paraId="2313C8ED">
                  <w:pPr>
                    <w:pStyle w:val="62"/>
                    <w:rPr>
                      <w:highlight w:val="none"/>
                    </w:rPr>
                  </w:pPr>
                  <w:r>
                    <w:rPr>
                      <w:highlight w:val="none"/>
                    </w:rPr>
                    <w:t>燃用低硫煤+干法/半干法脱硫技术、燃用低硫煤+湿法脱硫技术</w:t>
                  </w:r>
                </w:p>
              </w:tc>
              <w:tc>
                <w:tcPr>
                  <w:tcW w:w="812" w:type="pct"/>
                  <w:noWrap w:val="0"/>
                  <w:vAlign w:val="center"/>
                </w:tcPr>
                <w:p w14:paraId="7D5211FF">
                  <w:pPr>
                    <w:pStyle w:val="62"/>
                    <w:rPr>
                      <w:highlight w:val="none"/>
                    </w:rPr>
                  </w:pPr>
                  <w:r>
                    <w:rPr>
                      <w:highlight w:val="none"/>
                    </w:rPr>
                    <w:t>/</w:t>
                  </w:r>
                </w:p>
              </w:tc>
              <w:tc>
                <w:tcPr>
                  <w:tcW w:w="650" w:type="pct"/>
                  <w:noWrap w:val="0"/>
                  <w:vAlign w:val="center"/>
                </w:tcPr>
                <w:p w14:paraId="33247849">
                  <w:pPr>
                    <w:pStyle w:val="62"/>
                    <w:rPr>
                      <w:highlight w:val="none"/>
                    </w:rPr>
                  </w:pPr>
                  <w:r>
                    <w:rPr>
                      <w:highlight w:val="none"/>
                    </w:rPr>
                    <w:t>/</w:t>
                  </w:r>
                </w:p>
              </w:tc>
              <w:tc>
                <w:tcPr>
                  <w:tcW w:w="1103" w:type="pct"/>
                  <w:noWrap w:val="0"/>
                  <w:vAlign w:val="center"/>
                </w:tcPr>
                <w:p w14:paraId="3A9DFCEF">
                  <w:pPr>
                    <w:pStyle w:val="62"/>
                    <w:rPr>
                      <w:highlight w:val="none"/>
                    </w:rPr>
                  </w:pPr>
                  <w:r>
                    <w:rPr>
                      <w:highlight w:val="none"/>
                    </w:rPr>
                    <w:t>燃用低硫油、燃用低硫油+湿法脱硫技术</w:t>
                  </w:r>
                </w:p>
              </w:tc>
            </w:tr>
            <w:tr w14:paraId="31736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84" w:type="pct"/>
                  <w:vMerge w:val="restart"/>
                  <w:noWrap w:val="0"/>
                  <w:vAlign w:val="center"/>
                </w:tcPr>
                <w:p w14:paraId="1B785F6A">
                  <w:pPr>
                    <w:pStyle w:val="62"/>
                    <w:rPr>
                      <w:highlight w:val="none"/>
                    </w:rPr>
                  </w:pPr>
                  <w:r>
                    <w:rPr>
                      <w:highlight w:val="none"/>
                    </w:rPr>
                    <w:t>氮氧化物</w:t>
                  </w:r>
                </w:p>
              </w:tc>
              <w:tc>
                <w:tcPr>
                  <w:tcW w:w="487" w:type="pct"/>
                  <w:noWrap w:val="0"/>
                  <w:vAlign w:val="center"/>
                </w:tcPr>
                <w:p w14:paraId="0A487733">
                  <w:pPr>
                    <w:pStyle w:val="62"/>
                    <w:rPr>
                      <w:highlight w:val="none"/>
                    </w:rPr>
                  </w:pPr>
                  <w:r>
                    <w:rPr>
                      <w:highlight w:val="none"/>
                    </w:rPr>
                    <w:t>一般地区</w:t>
                  </w:r>
                </w:p>
              </w:tc>
              <w:tc>
                <w:tcPr>
                  <w:tcW w:w="2273" w:type="pct"/>
                  <w:gridSpan w:val="2"/>
                  <w:noWrap w:val="0"/>
                  <w:vAlign w:val="center"/>
                </w:tcPr>
                <w:p w14:paraId="011A0EB2">
                  <w:pPr>
                    <w:pStyle w:val="62"/>
                    <w:rPr>
                      <w:highlight w:val="none"/>
                    </w:rPr>
                  </w:pPr>
                  <w:r>
                    <w:rPr>
                      <w:highlight w:val="none"/>
                    </w:rPr>
                    <w:t>低氮燃烧技术、低氮燃烧+SNCR脱硝技术、低氮燃烧+SCR脱硝技术、SNCR脱硝技术、SCR脱硝技术、SNCR-SCR联合脱硝技术</w:t>
                  </w:r>
                </w:p>
                <w:p w14:paraId="0915D9A7">
                  <w:pPr>
                    <w:pStyle w:val="62"/>
                    <w:rPr>
                      <w:highlight w:val="none"/>
                    </w:rPr>
                  </w:pPr>
                  <w:r>
                    <w:rPr>
                      <w:highlight w:val="none"/>
                    </w:rPr>
                    <w:t>/</w:t>
                  </w:r>
                </w:p>
              </w:tc>
              <w:tc>
                <w:tcPr>
                  <w:tcW w:w="650" w:type="pct"/>
                  <w:noWrap w:val="0"/>
                  <w:vAlign w:val="center"/>
                </w:tcPr>
                <w:p w14:paraId="42628D26">
                  <w:pPr>
                    <w:pStyle w:val="62"/>
                    <w:rPr>
                      <w:highlight w:val="none"/>
                    </w:rPr>
                  </w:pPr>
                  <w:r>
                    <w:rPr>
                      <w:highlight w:val="none"/>
                    </w:rPr>
                    <w:t>/</w:t>
                  </w:r>
                </w:p>
              </w:tc>
              <w:tc>
                <w:tcPr>
                  <w:tcW w:w="1103" w:type="pct"/>
                  <w:noWrap w:val="0"/>
                  <w:vAlign w:val="center"/>
                </w:tcPr>
                <w:p w14:paraId="1E32197A">
                  <w:pPr>
                    <w:pStyle w:val="62"/>
                    <w:rPr>
                      <w:highlight w:val="none"/>
                    </w:rPr>
                  </w:pPr>
                  <w:r>
                    <w:rPr>
                      <w:highlight w:val="none"/>
                    </w:rPr>
                    <w:t>低氮燃烧技术、低氮燃烧+SCR脱硝技术</w:t>
                  </w:r>
                </w:p>
              </w:tc>
            </w:tr>
            <w:tr w14:paraId="2B2B7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84" w:type="pct"/>
                  <w:vMerge w:val="continue"/>
                  <w:noWrap w:val="0"/>
                  <w:vAlign w:val="center"/>
                </w:tcPr>
                <w:p w14:paraId="0B45A611">
                  <w:pPr>
                    <w:pStyle w:val="62"/>
                    <w:rPr>
                      <w:highlight w:val="none"/>
                    </w:rPr>
                  </w:pPr>
                </w:p>
              </w:tc>
              <w:tc>
                <w:tcPr>
                  <w:tcW w:w="487" w:type="pct"/>
                  <w:noWrap w:val="0"/>
                  <w:vAlign w:val="center"/>
                </w:tcPr>
                <w:p w14:paraId="39DAEB76">
                  <w:pPr>
                    <w:pStyle w:val="62"/>
                    <w:rPr>
                      <w:highlight w:val="none"/>
                    </w:rPr>
                  </w:pPr>
                  <w:r>
                    <w:rPr>
                      <w:highlight w:val="none"/>
                    </w:rPr>
                    <w:t>重点地区</w:t>
                  </w:r>
                </w:p>
              </w:tc>
              <w:tc>
                <w:tcPr>
                  <w:tcW w:w="2273" w:type="pct"/>
                  <w:gridSpan w:val="2"/>
                  <w:noWrap w:val="0"/>
                  <w:vAlign w:val="center"/>
                </w:tcPr>
                <w:p w14:paraId="43C712A3">
                  <w:pPr>
                    <w:pStyle w:val="62"/>
                    <w:rPr>
                      <w:highlight w:val="none"/>
                    </w:rPr>
                  </w:pPr>
                  <w:r>
                    <w:rPr>
                      <w:highlight w:val="none"/>
                    </w:rPr>
                    <w:t>低氮燃烧+SNCR脱硝技术、低氮燃烧+SCR脱硝技术、SNCR脱硝技术、SCR脱硝技术、SNCR-SCR联合脱硝技术</w:t>
                  </w:r>
                </w:p>
                <w:p w14:paraId="59FC9EEC">
                  <w:pPr>
                    <w:pStyle w:val="62"/>
                    <w:rPr>
                      <w:highlight w:val="none"/>
                    </w:rPr>
                  </w:pPr>
                  <w:r>
                    <w:rPr>
                      <w:highlight w:val="none"/>
                    </w:rPr>
                    <w:t>/</w:t>
                  </w:r>
                </w:p>
              </w:tc>
              <w:tc>
                <w:tcPr>
                  <w:tcW w:w="650" w:type="pct"/>
                  <w:noWrap w:val="0"/>
                  <w:vAlign w:val="center"/>
                </w:tcPr>
                <w:p w14:paraId="2173D444">
                  <w:pPr>
                    <w:pStyle w:val="62"/>
                    <w:rPr>
                      <w:highlight w:val="none"/>
                    </w:rPr>
                  </w:pPr>
                  <w:r>
                    <w:rPr>
                      <w:highlight w:val="none"/>
                    </w:rPr>
                    <w:t>/</w:t>
                  </w:r>
                </w:p>
              </w:tc>
              <w:tc>
                <w:tcPr>
                  <w:tcW w:w="1103" w:type="pct"/>
                  <w:noWrap w:val="0"/>
                  <w:vAlign w:val="center"/>
                </w:tcPr>
                <w:p w14:paraId="2EA7151C">
                  <w:pPr>
                    <w:pStyle w:val="62"/>
                    <w:rPr>
                      <w:highlight w:val="none"/>
                    </w:rPr>
                  </w:pPr>
                  <w:r>
                    <w:rPr>
                      <w:highlight w:val="none"/>
                    </w:rPr>
                    <w:t>低氮燃烧技术、低氮燃烧+SCR脱硝技术</w:t>
                  </w:r>
                </w:p>
              </w:tc>
            </w:tr>
            <w:tr w14:paraId="70E71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84" w:type="pct"/>
                  <w:vMerge w:val="restart"/>
                  <w:noWrap w:val="0"/>
                  <w:vAlign w:val="center"/>
                </w:tcPr>
                <w:p w14:paraId="2974370D">
                  <w:pPr>
                    <w:pStyle w:val="62"/>
                    <w:rPr>
                      <w:highlight w:val="none"/>
                    </w:rPr>
                  </w:pPr>
                  <w:r>
                    <w:rPr>
                      <w:highlight w:val="none"/>
                    </w:rPr>
                    <w:t>颗粒物</w:t>
                  </w:r>
                </w:p>
              </w:tc>
              <w:tc>
                <w:tcPr>
                  <w:tcW w:w="487" w:type="pct"/>
                  <w:noWrap w:val="0"/>
                  <w:vAlign w:val="center"/>
                </w:tcPr>
                <w:p w14:paraId="349499FA">
                  <w:pPr>
                    <w:pStyle w:val="62"/>
                    <w:rPr>
                      <w:highlight w:val="none"/>
                    </w:rPr>
                  </w:pPr>
                  <w:r>
                    <w:rPr>
                      <w:highlight w:val="none"/>
                    </w:rPr>
                    <w:t>一般地区</w:t>
                  </w:r>
                </w:p>
              </w:tc>
              <w:tc>
                <w:tcPr>
                  <w:tcW w:w="1461" w:type="pct"/>
                  <w:vMerge w:val="restart"/>
                  <w:noWrap w:val="0"/>
                  <w:vAlign w:val="center"/>
                </w:tcPr>
                <w:p w14:paraId="41489757">
                  <w:pPr>
                    <w:pStyle w:val="62"/>
                    <w:rPr>
                      <w:highlight w:val="none"/>
                    </w:rPr>
                  </w:pPr>
                  <w:r>
                    <w:rPr>
                      <w:highlight w:val="none"/>
                    </w:rPr>
                    <w:t>袋式除尘技术、电除尘技术、电袋复合除尘技术、湿式电除尘技术</w:t>
                  </w:r>
                </w:p>
                <w:p w14:paraId="2715E1D3">
                  <w:pPr>
                    <w:pStyle w:val="62"/>
                    <w:rPr>
                      <w:highlight w:val="none"/>
                    </w:rPr>
                  </w:pPr>
                </w:p>
              </w:tc>
              <w:tc>
                <w:tcPr>
                  <w:tcW w:w="812" w:type="pct"/>
                  <w:vMerge w:val="restart"/>
                  <w:noWrap w:val="0"/>
                  <w:vAlign w:val="center"/>
                </w:tcPr>
                <w:p w14:paraId="48649C79">
                  <w:pPr>
                    <w:pStyle w:val="62"/>
                    <w:rPr>
                      <w:highlight w:val="none"/>
                    </w:rPr>
                  </w:pPr>
                  <w:r>
                    <w:rPr>
                      <w:highlight w:val="none"/>
                    </w:rPr>
                    <w:t>旋风除尘和袋式除尘组合技术</w:t>
                  </w:r>
                </w:p>
                <w:p w14:paraId="4D360AD8">
                  <w:pPr>
                    <w:pStyle w:val="62"/>
                    <w:rPr>
                      <w:highlight w:val="none"/>
                    </w:rPr>
                  </w:pPr>
                  <w:r>
                    <w:rPr>
                      <w:highlight w:val="none"/>
                    </w:rPr>
                    <w:t>/</w:t>
                  </w:r>
                </w:p>
              </w:tc>
              <w:tc>
                <w:tcPr>
                  <w:tcW w:w="650" w:type="pct"/>
                  <w:noWrap w:val="0"/>
                  <w:vAlign w:val="center"/>
                </w:tcPr>
                <w:p w14:paraId="7EDF2F5B">
                  <w:pPr>
                    <w:pStyle w:val="62"/>
                    <w:rPr>
                      <w:highlight w:val="none"/>
                    </w:rPr>
                  </w:pPr>
                  <w:r>
                    <w:rPr>
                      <w:highlight w:val="none"/>
                    </w:rPr>
                    <w:t>/</w:t>
                  </w:r>
                </w:p>
              </w:tc>
              <w:tc>
                <w:tcPr>
                  <w:tcW w:w="1103" w:type="pct"/>
                  <w:noWrap w:val="0"/>
                  <w:vAlign w:val="center"/>
                </w:tcPr>
                <w:p w14:paraId="48443EF2">
                  <w:pPr>
                    <w:pStyle w:val="62"/>
                    <w:rPr>
                      <w:highlight w:val="none"/>
                    </w:rPr>
                  </w:pPr>
                  <w:r>
                    <w:rPr>
                      <w:highlight w:val="none"/>
                    </w:rPr>
                    <w:t>袋式除尘技术</w:t>
                  </w:r>
                </w:p>
              </w:tc>
            </w:tr>
            <w:tr w14:paraId="44EF3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84" w:type="pct"/>
                  <w:vMerge w:val="continue"/>
                  <w:noWrap w:val="0"/>
                  <w:vAlign w:val="center"/>
                </w:tcPr>
                <w:p w14:paraId="4D38FD77">
                  <w:pPr>
                    <w:pStyle w:val="62"/>
                    <w:rPr>
                      <w:highlight w:val="none"/>
                    </w:rPr>
                  </w:pPr>
                </w:p>
              </w:tc>
              <w:tc>
                <w:tcPr>
                  <w:tcW w:w="487" w:type="pct"/>
                  <w:noWrap w:val="0"/>
                  <w:vAlign w:val="center"/>
                </w:tcPr>
                <w:p w14:paraId="641CB638">
                  <w:pPr>
                    <w:pStyle w:val="62"/>
                    <w:rPr>
                      <w:highlight w:val="none"/>
                    </w:rPr>
                  </w:pPr>
                  <w:r>
                    <w:rPr>
                      <w:highlight w:val="none"/>
                    </w:rPr>
                    <w:t>重点地区</w:t>
                  </w:r>
                </w:p>
              </w:tc>
              <w:tc>
                <w:tcPr>
                  <w:tcW w:w="1461" w:type="pct"/>
                  <w:vMerge w:val="continue"/>
                  <w:noWrap w:val="0"/>
                  <w:vAlign w:val="center"/>
                </w:tcPr>
                <w:p w14:paraId="41E75284">
                  <w:pPr>
                    <w:pStyle w:val="62"/>
                    <w:rPr>
                      <w:highlight w:val="none"/>
                    </w:rPr>
                  </w:pPr>
                </w:p>
              </w:tc>
              <w:tc>
                <w:tcPr>
                  <w:tcW w:w="812" w:type="pct"/>
                  <w:vMerge w:val="continue"/>
                  <w:noWrap w:val="0"/>
                  <w:vAlign w:val="center"/>
                </w:tcPr>
                <w:p w14:paraId="1C139948">
                  <w:pPr>
                    <w:pStyle w:val="62"/>
                    <w:rPr>
                      <w:highlight w:val="none"/>
                    </w:rPr>
                  </w:pPr>
                </w:p>
              </w:tc>
              <w:tc>
                <w:tcPr>
                  <w:tcW w:w="650" w:type="pct"/>
                  <w:noWrap w:val="0"/>
                  <w:vAlign w:val="center"/>
                </w:tcPr>
                <w:p w14:paraId="7841C313">
                  <w:pPr>
                    <w:pStyle w:val="62"/>
                    <w:rPr>
                      <w:highlight w:val="none"/>
                    </w:rPr>
                  </w:pPr>
                  <w:r>
                    <w:rPr>
                      <w:highlight w:val="none"/>
                    </w:rPr>
                    <w:t>/</w:t>
                  </w:r>
                </w:p>
              </w:tc>
              <w:tc>
                <w:tcPr>
                  <w:tcW w:w="1103" w:type="pct"/>
                  <w:noWrap w:val="0"/>
                  <w:vAlign w:val="center"/>
                </w:tcPr>
                <w:p w14:paraId="59B81B66">
                  <w:pPr>
                    <w:pStyle w:val="62"/>
                    <w:rPr>
                      <w:highlight w:val="none"/>
                    </w:rPr>
                  </w:pPr>
                  <w:r>
                    <w:rPr>
                      <w:highlight w:val="none"/>
                    </w:rPr>
                    <w:t>/</w:t>
                  </w:r>
                </w:p>
              </w:tc>
            </w:tr>
          </w:tbl>
          <w:p w14:paraId="10CF2524">
            <w:pPr>
              <w:pStyle w:val="61"/>
              <w:spacing w:line="480" w:lineRule="exact"/>
              <w:ind w:firstLine="520" w:firstLineChars="200"/>
              <w:jc w:val="left"/>
              <w:rPr>
                <w:rFonts w:hint="eastAsia"/>
                <w:highlight w:val="none"/>
              </w:rPr>
            </w:pPr>
            <w:r>
              <w:rPr>
                <w:rFonts w:hint="eastAsia"/>
                <w:highlight w:val="none"/>
              </w:rPr>
              <w:t>本项目</w:t>
            </w:r>
            <w:r>
              <w:rPr>
                <w:highlight w:val="none"/>
              </w:rPr>
              <w:t>NO</w:t>
            </w:r>
            <w:r>
              <w:rPr>
                <w:highlight w:val="none"/>
                <w:vertAlign w:val="subscript"/>
              </w:rPr>
              <w:t>X</w:t>
            </w:r>
            <w:r>
              <w:rPr>
                <w:rFonts w:hint="eastAsia"/>
                <w:highlight w:val="none"/>
              </w:rPr>
              <w:t>采用低氮燃烧技术，颗粒物采用布袋除尘技术。</w:t>
            </w:r>
          </w:p>
          <w:p w14:paraId="302C3217">
            <w:pPr>
              <w:pStyle w:val="61"/>
              <w:spacing w:line="480" w:lineRule="exact"/>
              <w:jc w:val="left"/>
              <w:rPr>
                <w:rFonts w:hint="eastAsia" w:ascii="Times New Roman" w:hAnsi="Times New Roman" w:eastAsia="宋体" w:cs="Times New Roman"/>
                <w:color w:val="000000"/>
                <w:kern w:val="2"/>
                <w:sz w:val="24"/>
                <w:szCs w:val="24"/>
                <w:highlight w:val="none"/>
                <w:u w:val="none"/>
                <w:lang w:val="en-US" w:eastAsia="zh-CN" w:bidi="ar-SA"/>
              </w:rPr>
            </w:pPr>
            <w:r>
              <w:rPr>
                <w:rFonts w:ascii="宋体" w:hAnsi="宋体" w:eastAsia="宋体" w:cs="宋体"/>
                <w:sz w:val="24"/>
                <w:szCs w:val="24"/>
                <w:highlight w:val="none"/>
              </w:rPr>
              <w:t>低氮燃烧是通过</w:t>
            </w:r>
            <w:r>
              <w:rPr>
                <w:rFonts w:hint="eastAsia"/>
                <w:highlight w:val="none"/>
              </w:rPr>
              <w:t>控制燃烧温度、优化燃烧空气分配、延长燃烧区还原氛围等手段，抑制燃烧过程中氮氧化物（NOₓ，主要为 NO 和 NO₂）的生成，最终降低烟气中 NOₓ的排放浓度</w:t>
            </w:r>
            <w:r>
              <w:rPr>
                <w:rFonts w:hint="eastAsia"/>
                <w:highlight w:val="none"/>
                <w:lang w:eastAsia="zh-CN"/>
              </w:rPr>
              <w:t>；</w:t>
            </w:r>
            <w:r>
              <w:rPr>
                <w:rFonts w:hint="eastAsia" w:ascii="Times New Roman" w:hAnsi="Times New Roman" w:eastAsia="宋体" w:cs="Times New Roman"/>
                <w:color w:val="000000"/>
                <w:kern w:val="2"/>
                <w:sz w:val="24"/>
                <w:szCs w:val="24"/>
                <w:highlight w:val="none"/>
                <w:u w:val="none"/>
                <w:lang w:val="en-US" w:eastAsia="zh-CN" w:bidi="ar-SA"/>
              </w:rPr>
              <w:t>袋式除尘器是一种干式高效除尘器，是利用纤维编制物制作的袋式过滤元件来捕集含尘气体中固体颗粒物的除尘装置。其作用原理是尘粒在绕过滤布纤维时因惯性力作用与纤维碰撞而被拦截，细微的尘粒</w:t>
            </w:r>
            <w:r>
              <w:rPr>
                <w:rFonts w:hint="default" w:ascii="Times New Roman" w:hAnsi="Times New Roman" w:eastAsia="宋体" w:cs="Times New Roman"/>
                <w:color w:val="000000"/>
                <w:kern w:val="2"/>
                <w:sz w:val="24"/>
                <w:szCs w:val="24"/>
                <w:highlight w:val="none"/>
                <w:u w:val="none"/>
                <w:lang w:val="en-US" w:eastAsia="zh-CN" w:bidi="ar-SA"/>
              </w:rPr>
              <w:t>(</w:t>
            </w:r>
            <w:r>
              <w:rPr>
                <w:rFonts w:hint="eastAsia" w:ascii="Times New Roman" w:hAnsi="Times New Roman" w:eastAsia="宋体" w:cs="Times New Roman"/>
                <w:color w:val="000000"/>
                <w:kern w:val="2"/>
                <w:sz w:val="24"/>
                <w:szCs w:val="24"/>
                <w:highlight w:val="none"/>
                <w:u w:val="none"/>
                <w:lang w:val="en-US" w:eastAsia="zh-CN" w:bidi="ar-SA"/>
              </w:rPr>
              <w:t>粒径为</w:t>
            </w:r>
            <w:r>
              <w:rPr>
                <w:rFonts w:hint="default" w:ascii="Times New Roman" w:hAnsi="Times New Roman" w:eastAsia="宋体" w:cs="Times New Roman"/>
                <w:color w:val="000000"/>
                <w:kern w:val="2"/>
                <w:sz w:val="24"/>
                <w:szCs w:val="24"/>
                <w:highlight w:val="none"/>
                <w:u w:val="none"/>
                <w:lang w:val="en-US" w:eastAsia="zh-CN" w:bidi="ar-SA"/>
              </w:rPr>
              <w:t>1um</w:t>
            </w:r>
            <w:r>
              <w:rPr>
                <w:rFonts w:hint="eastAsia" w:ascii="Times New Roman" w:hAnsi="Times New Roman" w:eastAsia="宋体" w:cs="Times New Roman"/>
                <w:color w:val="000000"/>
                <w:kern w:val="2"/>
                <w:sz w:val="24"/>
                <w:szCs w:val="24"/>
                <w:highlight w:val="none"/>
                <w:u w:val="none"/>
                <w:lang w:val="en-US" w:eastAsia="zh-CN" w:bidi="ar-SA"/>
              </w:rPr>
              <w:t>或更小</w:t>
            </w:r>
            <w:r>
              <w:rPr>
                <w:rFonts w:hint="default" w:ascii="Times New Roman" w:hAnsi="Times New Roman" w:eastAsia="宋体" w:cs="Times New Roman"/>
                <w:color w:val="000000"/>
                <w:kern w:val="2"/>
                <w:sz w:val="24"/>
                <w:szCs w:val="24"/>
                <w:highlight w:val="none"/>
                <w:u w:val="none"/>
                <w:lang w:val="en-US" w:eastAsia="zh-CN" w:bidi="ar-SA"/>
              </w:rPr>
              <w:t>)</w:t>
            </w:r>
            <w:r>
              <w:rPr>
                <w:rFonts w:hint="eastAsia" w:ascii="Times New Roman" w:hAnsi="Times New Roman" w:eastAsia="宋体" w:cs="Times New Roman"/>
                <w:color w:val="000000"/>
                <w:kern w:val="2"/>
                <w:sz w:val="24"/>
                <w:szCs w:val="24"/>
                <w:highlight w:val="none"/>
                <w:u w:val="none"/>
                <w:lang w:val="en-US" w:eastAsia="zh-CN" w:bidi="ar-SA"/>
              </w:rPr>
              <w:t>则受气体分子冲击不断改变着运动方向，由于纤维间的空隙小于气体分子布朗运动的自由路径，尘粒便与纤维碰撞接触而被分离出来。袋式除尘器按其清灰方式的不同可分为：振动式、气环反吹式、脉冲式、声波式及复合式等五种类型。脉冲清灰袋式除尘器由于其脉冲喷吹强度和频率可进行调节，清灰效果好，是目前世界上应用最为广泛的除尘装置。</w:t>
            </w:r>
          </w:p>
          <w:p w14:paraId="3FEB394D">
            <w:pPr>
              <w:pStyle w:val="61"/>
              <w:spacing w:line="480" w:lineRule="exact"/>
              <w:ind w:firstLine="520" w:firstLineChars="200"/>
              <w:jc w:val="left"/>
              <w:rPr>
                <w:rFonts w:hint="default" w:eastAsia="新宋体"/>
                <w:highlight w:val="none"/>
                <w:lang w:val="en-US" w:eastAsia="zh-CN"/>
              </w:rPr>
            </w:pPr>
            <w:r>
              <w:rPr>
                <w:rFonts w:hint="eastAsia"/>
                <w:highlight w:val="none"/>
                <w:lang w:val="en-US" w:eastAsia="zh-CN"/>
              </w:rPr>
              <w:t>根据预测，本项目</w:t>
            </w:r>
            <w:r>
              <w:rPr>
                <w:highlight w:val="none"/>
              </w:rPr>
              <w:t>NO</w:t>
            </w:r>
            <w:r>
              <w:rPr>
                <w:highlight w:val="none"/>
                <w:vertAlign w:val="subscript"/>
              </w:rPr>
              <w:t>X</w:t>
            </w:r>
            <w:r>
              <w:rPr>
                <w:rFonts w:hint="eastAsia"/>
                <w:highlight w:val="none"/>
              </w:rPr>
              <w:t>采用低氮燃烧技术，颗粒物采用布袋除尘</w:t>
            </w:r>
            <w:r>
              <w:rPr>
                <w:rFonts w:hint="eastAsia"/>
                <w:highlight w:val="none"/>
                <w:lang w:val="en-US" w:eastAsia="zh-CN"/>
              </w:rPr>
              <w:t>处理过后能够达标排放，对周边环境影响较小，因此是可行的。</w:t>
            </w:r>
          </w:p>
          <w:p w14:paraId="101CE113">
            <w:pPr>
              <w:pStyle w:val="14"/>
              <w:rPr>
                <w:rFonts w:hint="eastAsia"/>
                <w:highlight w:val="none"/>
                <w:lang w:val="en-US" w:eastAsia="zh-CN"/>
              </w:rPr>
            </w:pPr>
            <w:r>
              <w:rPr>
                <w:rFonts w:hint="eastAsia"/>
                <w:b/>
                <w:bCs/>
                <w:highlight w:val="none"/>
                <w:lang w:val="en-US" w:eastAsia="zh-CN"/>
              </w:rPr>
              <w:t>4.2.1.</w:t>
            </w:r>
            <w:r>
              <w:rPr>
                <w:rFonts w:hint="eastAsia"/>
                <w:b/>
                <w:bCs/>
                <w:highlight w:val="none"/>
                <w:lang w:val="en-US" w:eastAsia="zh-CN"/>
              </w:rPr>
              <w:t>3</w:t>
            </w:r>
            <w:r>
              <w:rPr>
                <w:rFonts w:hint="eastAsia"/>
                <w:b/>
                <w:bCs/>
                <w:highlight w:val="none"/>
                <w:lang w:val="en-US" w:eastAsia="zh-CN"/>
              </w:rPr>
              <w:t>排气筒高度合理性分析</w:t>
            </w:r>
          </w:p>
          <w:p w14:paraId="1B7EEB7A">
            <w:pPr>
              <w:pStyle w:val="61"/>
              <w:jc w:val="center"/>
              <w:rPr>
                <w:rFonts w:hint="eastAsia" w:cs="Times New Roman"/>
                <w:b/>
                <w:bCs w:val="0"/>
                <w:color w:val="000000"/>
                <w:kern w:val="2"/>
                <w:sz w:val="24"/>
                <w:szCs w:val="24"/>
                <w:highlight w:val="none"/>
                <w:u w:val="none"/>
                <w:lang w:val="en-US" w:eastAsia="zh-CN" w:bidi="ar-SA"/>
              </w:rPr>
            </w:pPr>
            <w:r>
              <w:rPr>
                <w:rFonts w:hint="eastAsia" w:cs="Times New Roman"/>
                <w:b/>
                <w:bCs w:val="0"/>
                <w:color w:val="000000"/>
                <w:kern w:val="2"/>
                <w:sz w:val="24"/>
                <w:szCs w:val="24"/>
                <w:highlight w:val="none"/>
                <w:u w:val="none"/>
                <w:lang w:val="en-US" w:eastAsia="zh-CN" w:bidi="ar-SA"/>
              </w:rPr>
              <w:t>4-4生产车间排气筒高度与排放标准符合性分析表</w:t>
            </w:r>
          </w:p>
          <w:tbl>
            <w:tblPr>
              <w:tblStyle w:val="29"/>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635"/>
              <w:gridCol w:w="3090"/>
              <w:gridCol w:w="1305"/>
              <w:gridCol w:w="903"/>
            </w:tblGrid>
            <w:tr w14:paraId="3316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Align w:val="top"/>
                </w:tcPr>
                <w:p w14:paraId="6BCDF042">
                  <w:pPr>
                    <w:pStyle w:val="61"/>
                    <w:ind w:firstLine="0" w:firstLineChars="0"/>
                    <w:jc w:val="cente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排气筒</w:t>
                  </w:r>
                </w:p>
              </w:tc>
              <w:tc>
                <w:tcPr>
                  <w:tcW w:w="1635" w:type="dxa"/>
                  <w:vAlign w:val="top"/>
                </w:tcPr>
                <w:p w14:paraId="2153D03D">
                  <w:pPr>
                    <w:pStyle w:val="61"/>
                    <w:ind w:firstLine="0" w:firstLineChars="0"/>
                    <w:jc w:val="cente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标准名称</w:t>
                  </w:r>
                </w:p>
              </w:tc>
              <w:tc>
                <w:tcPr>
                  <w:tcW w:w="3090" w:type="dxa"/>
                  <w:vAlign w:val="top"/>
                </w:tcPr>
                <w:p w14:paraId="601C07C6">
                  <w:pPr>
                    <w:pStyle w:val="61"/>
                    <w:ind w:firstLine="0" w:firstLineChars="0"/>
                    <w:jc w:val="cente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标准要求</w:t>
                  </w:r>
                </w:p>
              </w:tc>
              <w:tc>
                <w:tcPr>
                  <w:tcW w:w="1305" w:type="dxa"/>
                  <w:vAlign w:val="top"/>
                </w:tcPr>
                <w:p w14:paraId="2806B8EE">
                  <w:pPr>
                    <w:pStyle w:val="61"/>
                    <w:ind w:firstLine="0" w:firstLineChars="0"/>
                    <w:jc w:val="cente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本项目</w:t>
                  </w:r>
                </w:p>
              </w:tc>
              <w:tc>
                <w:tcPr>
                  <w:tcW w:w="903" w:type="dxa"/>
                  <w:vAlign w:val="top"/>
                </w:tcPr>
                <w:p w14:paraId="53A8A834">
                  <w:pPr>
                    <w:pStyle w:val="61"/>
                    <w:ind w:firstLine="0" w:firstLineChars="0"/>
                    <w:jc w:val="cente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符合性</w:t>
                  </w:r>
                </w:p>
              </w:tc>
            </w:tr>
            <w:tr w14:paraId="7F64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Align w:val="top"/>
                </w:tcPr>
                <w:p w14:paraId="6731FD25">
                  <w:pPr>
                    <w:pStyle w:val="61"/>
                    <w:ind w:firstLine="0" w:firstLineChars="0"/>
                    <w:jc w:val="both"/>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DA001</w:t>
                  </w:r>
                </w:p>
              </w:tc>
              <w:tc>
                <w:tcPr>
                  <w:tcW w:w="1635" w:type="dxa"/>
                  <w:vAlign w:val="top"/>
                </w:tcPr>
                <w:p w14:paraId="22CDE224">
                  <w:pPr>
                    <w:pStyle w:val="61"/>
                    <w:jc w:val="cente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《锅炉大气污染物排放标准》GB13271-2014）</w:t>
                  </w:r>
                </w:p>
              </w:tc>
              <w:tc>
                <w:tcPr>
                  <w:tcW w:w="3090" w:type="dxa"/>
                  <w:vAlign w:val="top"/>
                </w:tcPr>
                <w:p w14:paraId="3B4C5969">
                  <w:pPr>
                    <w:pStyle w:val="61"/>
                    <w:ind w:firstLine="0" w:firstLineChars="0"/>
                    <w:jc w:val="both"/>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新建锅炉房的烟肉周围半径 200m 距离内有建筑物时，其烟囱应高出最高建筑物 3m以上。</w:t>
                  </w:r>
                </w:p>
              </w:tc>
              <w:tc>
                <w:tcPr>
                  <w:tcW w:w="1305" w:type="dxa"/>
                  <w:vAlign w:val="top"/>
                </w:tcPr>
                <w:p w14:paraId="17803D22">
                  <w:pPr>
                    <w:pStyle w:val="61"/>
                    <w:ind w:firstLine="0" w:firstLineChars="0"/>
                    <w:jc w:val="both"/>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本项目厂房层高24m，排气筒高度为30m,</w:t>
                  </w:r>
                </w:p>
              </w:tc>
              <w:tc>
                <w:tcPr>
                  <w:tcW w:w="903" w:type="dxa"/>
                  <w:vAlign w:val="top"/>
                </w:tcPr>
                <w:p w14:paraId="0BB3A74F">
                  <w:pPr>
                    <w:pStyle w:val="61"/>
                    <w:ind w:firstLine="0" w:firstLineChars="0"/>
                    <w:jc w:val="both"/>
                    <w:rPr>
                      <w:rFonts w:hint="default"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符合</w:t>
                  </w:r>
                </w:p>
              </w:tc>
            </w:tr>
            <w:tr w14:paraId="1F2A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Align w:val="top"/>
                </w:tcPr>
                <w:p w14:paraId="379C991F">
                  <w:pPr>
                    <w:pStyle w:val="61"/>
                    <w:ind w:firstLine="0" w:firstLineChars="0"/>
                    <w:jc w:val="both"/>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DA002</w:t>
                  </w:r>
                </w:p>
              </w:tc>
              <w:tc>
                <w:tcPr>
                  <w:tcW w:w="1635" w:type="dxa"/>
                  <w:shd w:val="clear" w:color="auto" w:fill="auto"/>
                  <w:vAlign w:val="center"/>
                </w:tcPr>
                <w:p w14:paraId="13FED7B9">
                  <w:pPr>
                    <w:adjustRightInd w:val="0"/>
                    <w:snapToGrid w:val="0"/>
                    <w:spacing w:line="240" w:lineRule="auto"/>
                    <w:jc w:val="center"/>
                    <w:rPr>
                      <w:rFonts w:hint="eastAsia" w:asciiTheme="minorEastAsia" w:hAnsiTheme="minorEastAsia" w:eastAsiaTheme="minorEastAsia" w:cstheme="minorEastAsia"/>
                      <w:bCs/>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sz w:val="21"/>
                      <w:szCs w:val="21"/>
                      <w:highlight w:val="none"/>
                      <w:lang w:val="en-US" w:eastAsia="zh-CN"/>
                      <w14:textFill>
                        <w14:solidFill>
                          <w14:schemeClr w14:val="tx1"/>
                        </w14:solidFill>
                      </w14:textFill>
                    </w:rPr>
                    <w:t>《大气污染物综合排放标准》GB16297-1996</w:t>
                  </w:r>
                </w:p>
              </w:tc>
              <w:tc>
                <w:tcPr>
                  <w:tcW w:w="3090" w:type="dxa"/>
                  <w:vMerge w:val="restart"/>
                  <w:vAlign w:val="top"/>
                </w:tcPr>
                <w:p w14:paraId="2EC4C012">
                  <w:pPr>
                    <w:pStyle w:val="61"/>
                    <w:ind w:firstLine="0" w:firstLineChars="0"/>
                    <w:jc w:val="both"/>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高出周围200m半径范围的建筑5m 以上,不能达到该要求的排气简,应按其高度对应的表列排放速率标准值严格50%执行。</w:t>
                  </w:r>
                </w:p>
              </w:tc>
              <w:tc>
                <w:tcPr>
                  <w:tcW w:w="1305" w:type="dxa"/>
                  <w:vMerge w:val="restart"/>
                  <w:vAlign w:val="top"/>
                </w:tcPr>
                <w:p w14:paraId="7EEEA07E">
                  <w:pPr>
                    <w:pStyle w:val="61"/>
                    <w:ind w:firstLine="0" w:firstLineChars="0"/>
                    <w:jc w:val="both"/>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本项目厂房层高24m，排气筒高度为30m,</w:t>
                  </w:r>
                </w:p>
              </w:tc>
              <w:tc>
                <w:tcPr>
                  <w:tcW w:w="903" w:type="dxa"/>
                  <w:vAlign w:val="top"/>
                </w:tcPr>
                <w:p w14:paraId="0D9ED3A7">
                  <w:pPr>
                    <w:pStyle w:val="61"/>
                    <w:ind w:firstLine="0" w:firstLineChars="0"/>
                    <w:jc w:val="both"/>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符合</w:t>
                  </w:r>
                </w:p>
              </w:tc>
            </w:tr>
            <w:tr w14:paraId="273C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Align w:val="top"/>
                </w:tcPr>
                <w:p w14:paraId="4895E764">
                  <w:pPr>
                    <w:pStyle w:val="61"/>
                    <w:ind w:firstLine="0" w:firstLineChars="0"/>
                    <w:jc w:val="both"/>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DA003</w:t>
                  </w:r>
                </w:p>
              </w:tc>
              <w:tc>
                <w:tcPr>
                  <w:tcW w:w="1635" w:type="dxa"/>
                  <w:shd w:val="clear" w:color="auto" w:fill="auto"/>
                  <w:vAlign w:val="center"/>
                </w:tcPr>
                <w:p w14:paraId="0B60BCAF">
                  <w:pPr>
                    <w:adjustRightInd w:val="0"/>
                    <w:snapToGrid w:val="0"/>
                    <w:spacing w:line="240" w:lineRule="auto"/>
                    <w:jc w:val="center"/>
                    <w:rPr>
                      <w:rFonts w:hint="eastAsia" w:asciiTheme="minorEastAsia" w:hAnsiTheme="minorEastAsia" w:eastAsiaTheme="minorEastAsia" w:cstheme="minorEastAsia"/>
                      <w:bCs/>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sz w:val="21"/>
                      <w:szCs w:val="21"/>
                      <w:highlight w:val="none"/>
                      <w:lang w:val="en-US" w:eastAsia="zh-CN"/>
                      <w14:textFill>
                        <w14:solidFill>
                          <w14:schemeClr w14:val="tx1"/>
                        </w14:solidFill>
                      </w14:textFill>
                    </w:rPr>
                    <w:t>《大气污染物综合排放标准》GB16297-1996</w:t>
                  </w:r>
                </w:p>
              </w:tc>
              <w:tc>
                <w:tcPr>
                  <w:tcW w:w="3090" w:type="dxa"/>
                  <w:vMerge w:val="continue"/>
                  <w:vAlign w:val="top"/>
                </w:tcPr>
                <w:p w14:paraId="14D59DA9">
                  <w:pPr>
                    <w:pStyle w:val="61"/>
                    <w:jc w:val="cente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p>
              </w:tc>
              <w:tc>
                <w:tcPr>
                  <w:tcW w:w="1305" w:type="dxa"/>
                  <w:vMerge w:val="continue"/>
                  <w:vAlign w:val="top"/>
                </w:tcPr>
                <w:p w14:paraId="0A640024">
                  <w:pPr>
                    <w:pStyle w:val="61"/>
                    <w:jc w:val="cente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p>
              </w:tc>
              <w:tc>
                <w:tcPr>
                  <w:tcW w:w="903" w:type="dxa"/>
                  <w:vAlign w:val="top"/>
                </w:tcPr>
                <w:p w14:paraId="6373FAF5">
                  <w:pPr>
                    <w:pStyle w:val="61"/>
                    <w:ind w:firstLine="0" w:firstLineChars="0"/>
                    <w:jc w:val="both"/>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pPr>
                  <w:r>
                    <w:rPr>
                      <w:rFonts w:hint="eastAsia" w:asciiTheme="minorEastAsia" w:hAnsiTheme="minorEastAsia" w:eastAsiaTheme="minorEastAsia" w:cstheme="minorEastAsia"/>
                      <w:b w:val="0"/>
                      <w:bCs/>
                      <w:color w:val="000000"/>
                      <w:kern w:val="2"/>
                      <w:sz w:val="21"/>
                      <w:szCs w:val="21"/>
                      <w:highlight w:val="none"/>
                      <w:u w:val="none"/>
                      <w:vertAlign w:val="baseline"/>
                      <w:lang w:val="en-US" w:eastAsia="zh-CN" w:bidi="ar-SA"/>
                    </w:rPr>
                    <w:t>符合</w:t>
                  </w:r>
                </w:p>
              </w:tc>
            </w:tr>
          </w:tbl>
          <w:p w14:paraId="276A4E95">
            <w:pPr>
              <w:pStyle w:val="61"/>
              <w:spacing w:line="480" w:lineRule="exact"/>
              <w:jc w:val="left"/>
              <w:rPr>
                <w:rFonts w:hint="eastAsia" w:asciiTheme="minorEastAsia" w:hAnsiTheme="minorEastAsia" w:eastAsiaTheme="minorEastAsia" w:cstheme="minorEastAsia"/>
                <w:b w:val="0"/>
                <w:bCs/>
                <w:color w:val="000000"/>
                <w:kern w:val="2"/>
                <w:sz w:val="24"/>
                <w:szCs w:val="24"/>
                <w:highlight w:val="none"/>
                <w:u w:val="none"/>
                <w:lang w:val="en-US" w:eastAsia="zh-CN" w:bidi="ar-SA"/>
              </w:rPr>
            </w:pPr>
            <w:r>
              <w:rPr>
                <w:rFonts w:hint="eastAsia" w:asciiTheme="minorEastAsia" w:hAnsiTheme="minorEastAsia" w:eastAsiaTheme="minorEastAsia" w:cstheme="minorEastAsia"/>
                <w:b w:val="0"/>
                <w:bCs/>
                <w:color w:val="000000"/>
                <w:kern w:val="2"/>
                <w:sz w:val="24"/>
                <w:szCs w:val="24"/>
                <w:highlight w:val="none"/>
                <w:u w:val="none"/>
                <w:lang w:val="en-US" w:eastAsia="zh-CN" w:bidi="ar-SA"/>
              </w:rPr>
              <w:t>本项目生物质燃料蒸汽发生器废气执行《锅炉大气污染物排放标准》GB13271-2014），该标准规定有组织排放排气筒高度不低于 15m，排气筒高度应高出 200m 半径范围内周边建筑物 3m 以上。不能达到该要求的排气筒，应按其高度对应的排放速率限值的 50%执行。本项目厂房高度为24m，本项目排气简高度设置为30m符合标准要求；烘干废气执行《大气污染物综合排放标准》GB16297-1996，该标准规定有组织排放排气筒高度高出周围200m半径范围的建筑5m以上,不能达到该要求的排气简,应按其高度对应的表列排放速率标准值严格50%执行。不能达到该要求的排气筒，应按其高度对应的排放速率限值的 50%执行。本项目厂房高度为24m，本项目排气简高度设置为30m符合标准要求。</w:t>
            </w:r>
          </w:p>
          <w:p w14:paraId="6CC5BEFE">
            <w:pPr>
              <w:pStyle w:val="5"/>
              <w:numPr>
                <w:ilvl w:val="-1"/>
                <w:numId w:val="0"/>
              </w:numPr>
              <w:bidi w:val="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4.2.1.4</w:t>
            </w:r>
            <w:r>
              <w:rPr>
                <w:rFonts w:hint="default" w:ascii="Times New Roman" w:hAnsi="Times New Roman" w:cs="Times New Roman"/>
                <w:color w:val="000000" w:themeColor="text1"/>
                <w:highlight w:val="none"/>
                <w:lang w:val="en-US" w:eastAsia="zh-CN"/>
                <w14:textFill>
                  <w14:solidFill>
                    <w14:schemeClr w14:val="tx1"/>
                  </w14:solidFill>
                </w14:textFill>
              </w:rPr>
              <w:t>废气达标分析</w:t>
            </w:r>
          </w:p>
          <w:p w14:paraId="492B5828">
            <w:pPr>
              <w:pStyle w:val="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项目废气达</w:t>
            </w:r>
            <w:r>
              <w:rPr>
                <w:color w:val="000000" w:themeColor="text1"/>
                <w:highlight w:val="none"/>
                <w14:textFill>
                  <w14:solidFill>
                    <w14:schemeClr w14:val="tx1"/>
                  </w14:solidFill>
                </w14:textFill>
              </w:rPr>
              <w:t>标排放分析见</w:t>
            </w:r>
            <w:r>
              <w:rPr>
                <w:rFonts w:hint="eastAsia"/>
                <w:color w:val="000000" w:themeColor="text1"/>
                <w:highlight w:val="none"/>
                <w14:textFill>
                  <w14:solidFill>
                    <w14:schemeClr w14:val="tx1"/>
                  </w14:solidFill>
                </w14:textFill>
              </w:rPr>
              <w:t>下</w:t>
            </w:r>
            <w:r>
              <w:rPr>
                <w:color w:val="000000" w:themeColor="text1"/>
                <w:highlight w:val="none"/>
                <w14:textFill>
                  <w14:solidFill>
                    <w14:schemeClr w14:val="tx1"/>
                  </w14:solidFill>
                </w14:textFill>
              </w:rPr>
              <w:t>表。</w:t>
            </w:r>
          </w:p>
          <w:p w14:paraId="7FF6E4CD">
            <w:pPr>
              <w:pStyle w:val="6"/>
              <w:numPr>
                <w:ilvl w:val="4"/>
                <w:numId w:val="0"/>
              </w:numPr>
              <w:spacing w:before="156"/>
              <w:ind w:leftChars="0"/>
              <w:jc w:val="center"/>
              <w:outlineLvl w:val="4"/>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表4-</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有组织废气达标排放分析表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4"/>
              <w:gridCol w:w="657"/>
              <w:gridCol w:w="1175"/>
              <w:gridCol w:w="898"/>
              <w:gridCol w:w="903"/>
              <w:gridCol w:w="1840"/>
              <w:gridCol w:w="611"/>
              <w:gridCol w:w="863"/>
              <w:gridCol w:w="469"/>
            </w:tblGrid>
            <w:tr w14:paraId="0C4D3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6" w:type="pct"/>
                  <w:vMerge w:val="restart"/>
                  <w:tcBorders>
                    <w:tl2br w:val="nil"/>
                    <w:tr2bl w:val="nil"/>
                  </w:tcBorders>
                  <w:noWrap w:val="0"/>
                  <w:vAlign w:val="center"/>
                </w:tcPr>
                <w:p w14:paraId="273653AD">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排放口编号</w:t>
                  </w:r>
                </w:p>
              </w:tc>
              <w:tc>
                <w:tcPr>
                  <w:tcW w:w="398" w:type="pct"/>
                  <w:vMerge w:val="restart"/>
                  <w:tcBorders>
                    <w:tl2br w:val="nil"/>
                    <w:tr2bl w:val="nil"/>
                  </w:tcBorders>
                  <w:noWrap w:val="0"/>
                  <w:tcMar>
                    <w:top w:w="28" w:type="dxa"/>
                    <w:left w:w="28" w:type="dxa"/>
                    <w:bottom w:w="28" w:type="dxa"/>
                    <w:right w:w="28" w:type="dxa"/>
                  </w:tcMar>
                  <w:vAlign w:val="center"/>
                </w:tcPr>
                <w:p w14:paraId="6DA64782">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1803" w:type="pct"/>
                  <w:gridSpan w:val="3"/>
                  <w:tcBorders>
                    <w:tl2br w:val="nil"/>
                    <w:tr2bl w:val="nil"/>
                  </w:tcBorders>
                  <w:noWrap w:val="0"/>
                  <w:vAlign w:val="center"/>
                </w:tcPr>
                <w:p w14:paraId="0F13CC29">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排放情况</w:t>
                  </w:r>
                </w:p>
              </w:tc>
              <w:tc>
                <w:tcPr>
                  <w:tcW w:w="2008" w:type="pct"/>
                  <w:gridSpan w:val="3"/>
                  <w:tcBorders>
                    <w:tl2br w:val="nil"/>
                    <w:tr2bl w:val="nil"/>
                  </w:tcBorders>
                  <w:noWrap w:val="0"/>
                  <w:vAlign w:val="center"/>
                </w:tcPr>
                <w:p w14:paraId="6CE5B8EB">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排放要求</w:t>
                  </w:r>
                </w:p>
              </w:tc>
              <w:tc>
                <w:tcPr>
                  <w:tcW w:w="284" w:type="pct"/>
                  <w:vMerge w:val="restart"/>
                  <w:tcBorders>
                    <w:tl2br w:val="nil"/>
                    <w:tr2bl w:val="nil"/>
                  </w:tcBorders>
                  <w:noWrap w:val="0"/>
                  <w:vAlign w:val="center"/>
                </w:tcPr>
                <w:p w14:paraId="553AEFD5">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达标情况</w:t>
                  </w:r>
                </w:p>
              </w:tc>
            </w:tr>
            <w:tr w14:paraId="4F405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06" w:type="pct"/>
                  <w:vMerge w:val="continue"/>
                  <w:tcBorders>
                    <w:tl2br w:val="nil"/>
                    <w:tr2bl w:val="nil"/>
                  </w:tcBorders>
                  <w:noWrap w:val="0"/>
                  <w:vAlign w:val="center"/>
                </w:tcPr>
                <w:p w14:paraId="0142ECFD">
                  <w:pPr>
                    <w:pStyle w:val="56"/>
                    <w:jc w:val="center"/>
                    <w:rPr>
                      <w:rFonts w:hint="default"/>
                      <w:color w:val="000000" w:themeColor="text1"/>
                      <w:highlight w:val="none"/>
                      <w14:textFill>
                        <w14:solidFill>
                          <w14:schemeClr w14:val="tx1"/>
                        </w14:solidFill>
                      </w14:textFill>
                    </w:rPr>
                  </w:pPr>
                </w:p>
              </w:tc>
              <w:tc>
                <w:tcPr>
                  <w:tcW w:w="398" w:type="pct"/>
                  <w:vMerge w:val="continue"/>
                  <w:tcBorders>
                    <w:tl2br w:val="nil"/>
                    <w:tr2bl w:val="nil"/>
                  </w:tcBorders>
                  <w:noWrap w:val="0"/>
                  <w:tcMar>
                    <w:top w:w="28" w:type="dxa"/>
                    <w:left w:w="28" w:type="dxa"/>
                    <w:bottom w:w="28" w:type="dxa"/>
                    <w:right w:w="28" w:type="dxa"/>
                  </w:tcMar>
                  <w:vAlign w:val="center"/>
                </w:tcPr>
                <w:p w14:paraId="5339650E">
                  <w:pPr>
                    <w:pStyle w:val="56"/>
                    <w:jc w:val="center"/>
                    <w:rPr>
                      <w:rFonts w:hint="default"/>
                      <w:color w:val="000000" w:themeColor="text1"/>
                      <w:highlight w:val="none"/>
                      <w14:textFill>
                        <w14:solidFill>
                          <w14:schemeClr w14:val="tx1"/>
                        </w14:solidFill>
                      </w14:textFill>
                    </w:rPr>
                  </w:pPr>
                </w:p>
              </w:tc>
              <w:tc>
                <w:tcPr>
                  <w:tcW w:w="712" w:type="pct"/>
                  <w:tcBorders>
                    <w:tl2br w:val="nil"/>
                    <w:tr2bl w:val="nil"/>
                  </w:tcBorders>
                  <w:noWrap w:val="0"/>
                  <w:vAlign w:val="center"/>
                </w:tcPr>
                <w:p w14:paraId="30941327">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浓度mg/m</w:t>
                  </w:r>
                  <w:r>
                    <w:rPr>
                      <w:color w:val="000000" w:themeColor="text1"/>
                      <w:highlight w:val="none"/>
                      <w:vertAlign w:val="superscript"/>
                      <w14:textFill>
                        <w14:solidFill>
                          <w14:schemeClr w14:val="tx1"/>
                        </w14:solidFill>
                      </w14:textFill>
                    </w:rPr>
                    <w:t>3</w:t>
                  </w:r>
                </w:p>
              </w:tc>
              <w:tc>
                <w:tcPr>
                  <w:tcW w:w="544" w:type="pct"/>
                  <w:tcBorders>
                    <w:tl2br w:val="nil"/>
                    <w:tr2bl w:val="nil"/>
                  </w:tcBorders>
                  <w:noWrap w:val="0"/>
                  <w:vAlign w:val="center"/>
                </w:tcPr>
                <w:p w14:paraId="7BDC6184">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速率kg/h</w:t>
                  </w:r>
                </w:p>
              </w:tc>
              <w:tc>
                <w:tcPr>
                  <w:tcW w:w="546" w:type="pct"/>
                  <w:tcBorders>
                    <w:tl2br w:val="nil"/>
                    <w:tr2bl w:val="nil"/>
                  </w:tcBorders>
                  <w:noWrap w:val="0"/>
                  <w:vAlign w:val="center"/>
                </w:tcPr>
                <w:p w14:paraId="5325B7FC">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排放量t/a</w:t>
                  </w:r>
                </w:p>
              </w:tc>
              <w:tc>
                <w:tcPr>
                  <w:tcW w:w="1115" w:type="pct"/>
                  <w:tcBorders>
                    <w:tl2br w:val="nil"/>
                    <w:tr2bl w:val="nil"/>
                  </w:tcBorders>
                  <w:noWrap w:val="0"/>
                  <w:vAlign w:val="center"/>
                </w:tcPr>
                <w:p w14:paraId="28D092FE">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排放标准</w:t>
                  </w:r>
                </w:p>
              </w:tc>
              <w:tc>
                <w:tcPr>
                  <w:tcW w:w="370" w:type="pct"/>
                  <w:tcBorders>
                    <w:tl2br w:val="nil"/>
                    <w:tr2bl w:val="nil"/>
                  </w:tcBorders>
                  <w:noWrap w:val="0"/>
                  <w:vAlign w:val="center"/>
                </w:tcPr>
                <w:p w14:paraId="2D9239F5">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排放速率kg/h</w:t>
                  </w:r>
                </w:p>
              </w:tc>
              <w:tc>
                <w:tcPr>
                  <w:tcW w:w="523" w:type="pct"/>
                  <w:tcBorders>
                    <w:tl2br w:val="nil"/>
                    <w:tr2bl w:val="nil"/>
                  </w:tcBorders>
                  <w:noWrap w:val="0"/>
                  <w:vAlign w:val="center"/>
                </w:tcPr>
                <w:p w14:paraId="2DDF714A">
                  <w:pPr>
                    <w:pStyle w:val="56"/>
                    <w:jc w:val="center"/>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排放浓度限值mg/m</w:t>
                  </w:r>
                  <w:r>
                    <w:rPr>
                      <w:color w:val="000000" w:themeColor="text1"/>
                      <w:highlight w:val="none"/>
                      <w:vertAlign w:val="superscript"/>
                      <w14:textFill>
                        <w14:solidFill>
                          <w14:schemeClr w14:val="tx1"/>
                        </w14:solidFill>
                      </w14:textFill>
                    </w:rPr>
                    <w:t>3</w:t>
                  </w:r>
                </w:p>
              </w:tc>
              <w:tc>
                <w:tcPr>
                  <w:tcW w:w="284" w:type="pct"/>
                  <w:vMerge w:val="continue"/>
                  <w:tcBorders>
                    <w:tl2br w:val="nil"/>
                    <w:tr2bl w:val="nil"/>
                  </w:tcBorders>
                  <w:noWrap w:val="0"/>
                  <w:vAlign w:val="center"/>
                </w:tcPr>
                <w:p w14:paraId="05E72261">
                  <w:pPr>
                    <w:pStyle w:val="56"/>
                    <w:jc w:val="center"/>
                    <w:rPr>
                      <w:rFonts w:hint="default"/>
                      <w:color w:val="000000" w:themeColor="text1"/>
                      <w:highlight w:val="none"/>
                      <w14:textFill>
                        <w14:solidFill>
                          <w14:schemeClr w14:val="tx1"/>
                        </w14:solidFill>
                      </w14:textFill>
                    </w:rPr>
                  </w:pPr>
                </w:p>
              </w:tc>
            </w:tr>
            <w:tr w14:paraId="47AAC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06" w:type="pct"/>
                  <w:vMerge w:val="restart"/>
                  <w:tcBorders>
                    <w:tl2br w:val="nil"/>
                    <w:tr2bl w:val="nil"/>
                  </w:tcBorders>
                  <w:noWrap w:val="0"/>
                  <w:vAlign w:val="center"/>
                </w:tcPr>
                <w:p w14:paraId="0791C689">
                  <w:pPr>
                    <w:pStyle w:val="56"/>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DA001</w:t>
                  </w:r>
                </w:p>
              </w:tc>
              <w:tc>
                <w:tcPr>
                  <w:tcW w:w="398" w:type="pct"/>
                  <w:tcBorders>
                    <w:tl2br w:val="nil"/>
                    <w:tr2bl w:val="nil"/>
                  </w:tcBorders>
                  <w:shd w:val="clear" w:color="auto" w:fill="auto"/>
                  <w:noWrap w:val="0"/>
                  <w:tcMar>
                    <w:top w:w="28" w:type="dxa"/>
                    <w:left w:w="28" w:type="dxa"/>
                    <w:bottom w:w="28" w:type="dxa"/>
                    <w:right w:w="28" w:type="dxa"/>
                  </w:tcMar>
                  <w:vAlign w:val="center"/>
                </w:tcPr>
                <w:p w14:paraId="7FD43155">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二氧化硫</w:t>
                  </w:r>
                </w:p>
              </w:tc>
              <w:tc>
                <w:tcPr>
                  <w:tcW w:w="712" w:type="pct"/>
                  <w:tcBorders>
                    <w:tl2br w:val="nil"/>
                    <w:tr2bl w:val="nil"/>
                  </w:tcBorders>
                  <w:shd w:val="clear" w:color="auto" w:fill="auto"/>
                  <w:noWrap w:val="0"/>
                  <w:vAlign w:val="center"/>
                </w:tcPr>
                <w:p w14:paraId="0A6DCE2C">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0.643</w:t>
                  </w:r>
                </w:p>
              </w:tc>
              <w:tc>
                <w:tcPr>
                  <w:tcW w:w="544" w:type="pct"/>
                  <w:tcBorders>
                    <w:tl2br w:val="nil"/>
                    <w:tr2bl w:val="nil"/>
                  </w:tcBorders>
                  <w:shd w:val="clear" w:color="auto" w:fill="auto"/>
                  <w:noWrap w:val="0"/>
                  <w:vAlign w:val="center"/>
                </w:tcPr>
                <w:p w14:paraId="20FC8869">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0.002</w:t>
                  </w:r>
                </w:p>
              </w:tc>
              <w:tc>
                <w:tcPr>
                  <w:tcW w:w="546" w:type="pct"/>
                  <w:tcBorders>
                    <w:tl2br w:val="nil"/>
                    <w:tr2bl w:val="nil"/>
                  </w:tcBorders>
                  <w:shd w:val="clear" w:color="auto" w:fill="auto"/>
                  <w:noWrap w:val="0"/>
                  <w:vAlign w:val="center"/>
                </w:tcPr>
                <w:p w14:paraId="01BD2EA4">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0.004</w:t>
                  </w:r>
                </w:p>
              </w:tc>
              <w:tc>
                <w:tcPr>
                  <w:tcW w:w="1115" w:type="pct"/>
                  <w:vMerge w:val="restart"/>
                  <w:tcBorders>
                    <w:tl2br w:val="nil"/>
                    <w:tr2bl w:val="nil"/>
                  </w:tcBorders>
                  <w:noWrap w:val="0"/>
                  <w:vAlign w:val="center"/>
                </w:tcPr>
                <w:p w14:paraId="51194779">
                  <w:pPr>
                    <w:pStyle w:val="56"/>
                    <w:jc w:val="center"/>
                    <w:rPr>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《锅炉大气污染物排放标准》GB 13271-2014）</w:t>
                  </w:r>
                </w:p>
              </w:tc>
              <w:tc>
                <w:tcPr>
                  <w:tcW w:w="370" w:type="pct"/>
                  <w:tcBorders>
                    <w:tl2br w:val="nil"/>
                    <w:tr2bl w:val="nil"/>
                  </w:tcBorders>
                  <w:noWrap w:val="0"/>
                  <w:vAlign w:val="center"/>
                </w:tcPr>
                <w:p w14:paraId="642E44BE">
                  <w:pPr>
                    <w:pStyle w:val="56"/>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23" w:type="pct"/>
                  <w:tcBorders>
                    <w:tl2br w:val="nil"/>
                    <w:tr2bl w:val="nil"/>
                  </w:tcBorders>
                  <w:noWrap w:val="0"/>
                  <w:vAlign w:val="center"/>
                </w:tcPr>
                <w:p w14:paraId="36E3A447">
                  <w:pPr>
                    <w:pStyle w:val="56"/>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300</w:t>
                  </w:r>
                </w:p>
              </w:tc>
              <w:tc>
                <w:tcPr>
                  <w:tcW w:w="284" w:type="pct"/>
                  <w:tcBorders>
                    <w:tl2br w:val="nil"/>
                    <w:tr2bl w:val="nil"/>
                  </w:tcBorders>
                  <w:noWrap w:val="0"/>
                  <w:vAlign w:val="center"/>
                </w:tcPr>
                <w:p w14:paraId="37850CCA">
                  <w:pPr>
                    <w:pStyle w:val="56"/>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达标</w:t>
                  </w:r>
                </w:p>
              </w:tc>
            </w:tr>
            <w:tr w14:paraId="3B853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06" w:type="pct"/>
                  <w:vMerge w:val="continue"/>
                  <w:tcBorders>
                    <w:tl2br w:val="nil"/>
                    <w:tr2bl w:val="nil"/>
                  </w:tcBorders>
                  <w:noWrap w:val="0"/>
                  <w:vAlign w:val="center"/>
                </w:tcPr>
                <w:p w14:paraId="183612D0">
                  <w:pPr>
                    <w:pStyle w:val="56"/>
                    <w:jc w:val="center"/>
                    <w:rPr>
                      <w:rFonts w:hint="default"/>
                      <w:color w:val="000000" w:themeColor="text1"/>
                      <w:highlight w:val="none"/>
                      <w:lang w:val="en-US" w:eastAsia="zh-CN"/>
                      <w14:textFill>
                        <w14:solidFill>
                          <w14:schemeClr w14:val="tx1"/>
                        </w14:solidFill>
                      </w14:textFill>
                    </w:rPr>
                  </w:pPr>
                </w:p>
              </w:tc>
              <w:tc>
                <w:tcPr>
                  <w:tcW w:w="398" w:type="pct"/>
                  <w:tcBorders>
                    <w:tl2br w:val="nil"/>
                    <w:tr2bl w:val="nil"/>
                  </w:tcBorders>
                  <w:shd w:val="clear" w:color="auto" w:fill="auto"/>
                  <w:noWrap w:val="0"/>
                  <w:tcMar>
                    <w:top w:w="28" w:type="dxa"/>
                    <w:left w:w="28" w:type="dxa"/>
                    <w:bottom w:w="28" w:type="dxa"/>
                    <w:right w:w="28" w:type="dxa"/>
                  </w:tcMar>
                  <w:vAlign w:val="center"/>
                </w:tcPr>
                <w:p w14:paraId="7118287E">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712" w:type="pct"/>
                  <w:tcBorders>
                    <w:tl2br w:val="nil"/>
                    <w:tr2bl w:val="nil"/>
                  </w:tcBorders>
                  <w:shd w:val="clear" w:color="auto" w:fill="auto"/>
                  <w:noWrap w:val="0"/>
                  <w:vAlign w:val="center"/>
                </w:tcPr>
                <w:p w14:paraId="0116944D">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0.8</w:t>
                  </w:r>
                </w:p>
              </w:tc>
              <w:tc>
                <w:tcPr>
                  <w:tcW w:w="544" w:type="pct"/>
                  <w:tcBorders>
                    <w:tl2br w:val="nil"/>
                    <w:tr2bl w:val="nil"/>
                  </w:tcBorders>
                  <w:shd w:val="clear" w:color="auto" w:fill="auto"/>
                  <w:noWrap w:val="0"/>
                  <w:vAlign w:val="center"/>
                </w:tcPr>
                <w:p w14:paraId="52F4E290">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0.0025</w:t>
                  </w:r>
                </w:p>
              </w:tc>
              <w:tc>
                <w:tcPr>
                  <w:tcW w:w="546" w:type="pct"/>
                  <w:tcBorders>
                    <w:tl2br w:val="nil"/>
                    <w:tr2bl w:val="nil"/>
                  </w:tcBorders>
                  <w:shd w:val="clear" w:color="auto" w:fill="auto"/>
                  <w:noWrap w:val="0"/>
                  <w:vAlign w:val="center"/>
                </w:tcPr>
                <w:p w14:paraId="1D7B6DE4">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0.006</w:t>
                  </w:r>
                </w:p>
              </w:tc>
              <w:tc>
                <w:tcPr>
                  <w:tcW w:w="1115" w:type="pct"/>
                  <w:vMerge w:val="continue"/>
                  <w:tcBorders>
                    <w:tl2br w:val="nil"/>
                    <w:tr2bl w:val="nil"/>
                  </w:tcBorders>
                  <w:noWrap w:val="0"/>
                  <w:vAlign w:val="center"/>
                </w:tcPr>
                <w:p w14:paraId="52332808">
                  <w:pPr>
                    <w:pStyle w:val="56"/>
                    <w:jc w:val="center"/>
                    <w:rPr>
                      <w:color w:val="000000" w:themeColor="text1"/>
                      <w:highlight w:val="none"/>
                      <w14:textFill>
                        <w14:solidFill>
                          <w14:schemeClr w14:val="tx1"/>
                        </w14:solidFill>
                      </w14:textFill>
                    </w:rPr>
                  </w:pPr>
                </w:p>
              </w:tc>
              <w:tc>
                <w:tcPr>
                  <w:tcW w:w="370" w:type="pct"/>
                  <w:tcBorders>
                    <w:tl2br w:val="nil"/>
                    <w:tr2bl w:val="nil"/>
                  </w:tcBorders>
                  <w:shd w:val="clear" w:color="auto" w:fill="auto"/>
                  <w:noWrap w:val="0"/>
                  <w:vAlign w:val="center"/>
                </w:tcPr>
                <w:p w14:paraId="33DF3BF0">
                  <w:pPr>
                    <w:pStyle w:val="56"/>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23" w:type="pct"/>
                  <w:tcBorders>
                    <w:tl2br w:val="nil"/>
                    <w:tr2bl w:val="nil"/>
                  </w:tcBorders>
                  <w:shd w:val="clear" w:color="auto" w:fill="auto"/>
                  <w:noWrap w:val="0"/>
                  <w:vAlign w:val="center"/>
                </w:tcPr>
                <w:p w14:paraId="6D5A18A9">
                  <w:pPr>
                    <w:pStyle w:val="56"/>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50</w:t>
                  </w:r>
                </w:p>
              </w:tc>
              <w:tc>
                <w:tcPr>
                  <w:tcW w:w="284" w:type="pct"/>
                  <w:tcBorders>
                    <w:tl2br w:val="nil"/>
                    <w:tr2bl w:val="nil"/>
                  </w:tcBorders>
                  <w:shd w:val="clear" w:color="auto" w:fill="auto"/>
                  <w:noWrap w:val="0"/>
                  <w:vAlign w:val="center"/>
                </w:tcPr>
                <w:p w14:paraId="0696ED2E">
                  <w:pPr>
                    <w:pStyle w:val="56"/>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达标</w:t>
                  </w:r>
                </w:p>
              </w:tc>
            </w:tr>
            <w:tr w14:paraId="7714E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06" w:type="pct"/>
                  <w:vMerge w:val="continue"/>
                  <w:tcBorders>
                    <w:tl2br w:val="nil"/>
                    <w:tr2bl w:val="nil"/>
                  </w:tcBorders>
                  <w:noWrap w:val="0"/>
                  <w:vAlign w:val="center"/>
                </w:tcPr>
                <w:p w14:paraId="19C452C7">
                  <w:pPr>
                    <w:pStyle w:val="56"/>
                    <w:jc w:val="center"/>
                    <w:rPr>
                      <w:rFonts w:hint="eastAsia"/>
                      <w:color w:val="000000" w:themeColor="text1"/>
                      <w:highlight w:val="none"/>
                      <w:lang w:val="en-US" w:eastAsia="zh-CN"/>
                      <w14:textFill>
                        <w14:solidFill>
                          <w14:schemeClr w14:val="tx1"/>
                        </w14:solidFill>
                      </w14:textFill>
                    </w:rPr>
                  </w:pPr>
                </w:p>
              </w:tc>
              <w:tc>
                <w:tcPr>
                  <w:tcW w:w="398" w:type="pct"/>
                  <w:tcBorders>
                    <w:tl2br w:val="nil"/>
                    <w:tr2bl w:val="nil"/>
                  </w:tcBorders>
                  <w:shd w:val="clear" w:color="auto" w:fill="auto"/>
                  <w:noWrap w:val="0"/>
                  <w:tcMar>
                    <w:top w:w="28" w:type="dxa"/>
                    <w:left w:w="28" w:type="dxa"/>
                    <w:bottom w:w="28" w:type="dxa"/>
                    <w:right w:w="28" w:type="dxa"/>
                  </w:tcMar>
                  <w:vAlign w:val="center"/>
                </w:tcPr>
                <w:p w14:paraId="096DB969">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氮氧化物</w:t>
                  </w:r>
                </w:p>
              </w:tc>
              <w:tc>
                <w:tcPr>
                  <w:tcW w:w="712" w:type="pct"/>
                  <w:tcBorders>
                    <w:tl2br w:val="nil"/>
                    <w:tr2bl w:val="nil"/>
                  </w:tcBorders>
                  <w:shd w:val="clear" w:color="auto" w:fill="auto"/>
                  <w:noWrap w:val="0"/>
                  <w:vAlign w:val="center"/>
                </w:tcPr>
                <w:p w14:paraId="1572B0AD">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163.560</w:t>
                  </w:r>
                </w:p>
              </w:tc>
              <w:tc>
                <w:tcPr>
                  <w:tcW w:w="544" w:type="pct"/>
                  <w:tcBorders>
                    <w:tl2br w:val="nil"/>
                    <w:tr2bl w:val="nil"/>
                  </w:tcBorders>
                  <w:shd w:val="clear" w:color="auto" w:fill="auto"/>
                  <w:noWrap w:val="0"/>
                  <w:vAlign w:val="center"/>
                </w:tcPr>
                <w:p w14:paraId="03863FAA">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0.509</w:t>
                  </w:r>
                </w:p>
              </w:tc>
              <w:tc>
                <w:tcPr>
                  <w:tcW w:w="546" w:type="pct"/>
                  <w:tcBorders>
                    <w:tl2br w:val="nil"/>
                    <w:tr2bl w:val="nil"/>
                  </w:tcBorders>
                  <w:shd w:val="clear" w:color="auto" w:fill="auto"/>
                  <w:noWrap w:val="0"/>
                  <w:vAlign w:val="center"/>
                </w:tcPr>
                <w:p w14:paraId="71E342D3">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1.221</w:t>
                  </w:r>
                </w:p>
              </w:tc>
              <w:tc>
                <w:tcPr>
                  <w:tcW w:w="1115" w:type="pct"/>
                  <w:vMerge w:val="continue"/>
                  <w:tcBorders>
                    <w:tl2br w:val="nil"/>
                    <w:tr2bl w:val="nil"/>
                  </w:tcBorders>
                  <w:noWrap w:val="0"/>
                  <w:vAlign w:val="center"/>
                </w:tcPr>
                <w:p w14:paraId="59261D06">
                  <w:pPr>
                    <w:pStyle w:val="56"/>
                    <w:jc w:val="center"/>
                    <w:rPr>
                      <w:color w:val="000000" w:themeColor="text1"/>
                      <w:highlight w:val="none"/>
                      <w14:textFill>
                        <w14:solidFill>
                          <w14:schemeClr w14:val="tx1"/>
                        </w14:solidFill>
                      </w14:textFill>
                    </w:rPr>
                  </w:pPr>
                </w:p>
              </w:tc>
              <w:tc>
                <w:tcPr>
                  <w:tcW w:w="370" w:type="pct"/>
                  <w:tcBorders>
                    <w:tl2br w:val="nil"/>
                    <w:tr2bl w:val="nil"/>
                  </w:tcBorders>
                  <w:shd w:val="clear" w:color="auto" w:fill="auto"/>
                  <w:noWrap w:val="0"/>
                  <w:vAlign w:val="center"/>
                </w:tcPr>
                <w:p w14:paraId="39F75D51">
                  <w:pPr>
                    <w:pStyle w:val="56"/>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523" w:type="pct"/>
                  <w:tcBorders>
                    <w:tl2br w:val="nil"/>
                    <w:tr2bl w:val="nil"/>
                  </w:tcBorders>
                  <w:shd w:val="clear" w:color="auto" w:fill="auto"/>
                  <w:noWrap w:val="0"/>
                  <w:vAlign w:val="center"/>
                </w:tcPr>
                <w:p w14:paraId="150F15C6">
                  <w:pPr>
                    <w:pStyle w:val="56"/>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300</w:t>
                  </w:r>
                </w:p>
              </w:tc>
              <w:tc>
                <w:tcPr>
                  <w:tcW w:w="284" w:type="pct"/>
                  <w:tcBorders>
                    <w:tl2br w:val="nil"/>
                    <w:tr2bl w:val="nil"/>
                  </w:tcBorders>
                  <w:shd w:val="clear" w:color="auto" w:fill="auto"/>
                  <w:noWrap w:val="0"/>
                  <w:vAlign w:val="center"/>
                </w:tcPr>
                <w:p w14:paraId="55814C9E">
                  <w:pPr>
                    <w:pStyle w:val="56"/>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达标</w:t>
                  </w:r>
                </w:p>
              </w:tc>
            </w:tr>
            <w:tr w14:paraId="629E3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06" w:type="pct"/>
                  <w:tcBorders>
                    <w:tl2br w:val="nil"/>
                    <w:tr2bl w:val="nil"/>
                  </w:tcBorders>
                  <w:noWrap w:val="0"/>
                  <w:vAlign w:val="center"/>
                </w:tcPr>
                <w:p w14:paraId="6E6185B3">
                  <w:pPr>
                    <w:pStyle w:val="56"/>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DA002</w:t>
                  </w:r>
                </w:p>
              </w:tc>
              <w:tc>
                <w:tcPr>
                  <w:tcW w:w="398" w:type="pct"/>
                  <w:tcBorders>
                    <w:tl2br w:val="nil"/>
                    <w:tr2bl w:val="nil"/>
                  </w:tcBorders>
                  <w:shd w:val="clear" w:color="auto" w:fill="auto"/>
                  <w:noWrap w:val="0"/>
                  <w:tcMar>
                    <w:top w:w="28" w:type="dxa"/>
                    <w:left w:w="28" w:type="dxa"/>
                    <w:bottom w:w="28" w:type="dxa"/>
                    <w:right w:w="28" w:type="dxa"/>
                  </w:tcMar>
                  <w:vAlign w:val="center"/>
                </w:tcPr>
                <w:p w14:paraId="159D279E">
                  <w:pPr>
                    <w:pStyle w:val="5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712" w:type="pct"/>
                  <w:tcBorders>
                    <w:tl2br w:val="nil"/>
                    <w:tr2bl w:val="nil"/>
                  </w:tcBorders>
                  <w:shd w:val="clear" w:color="auto" w:fill="auto"/>
                  <w:noWrap w:val="0"/>
                  <w:vAlign w:val="center"/>
                </w:tcPr>
                <w:p w14:paraId="2A4AC27B">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0.25</w:t>
                  </w:r>
                </w:p>
              </w:tc>
              <w:tc>
                <w:tcPr>
                  <w:tcW w:w="544" w:type="pct"/>
                  <w:tcBorders>
                    <w:tl2br w:val="nil"/>
                    <w:tr2bl w:val="nil"/>
                  </w:tcBorders>
                  <w:shd w:val="clear" w:color="auto" w:fill="auto"/>
                  <w:noWrap w:val="0"/>
                  <w:vAlign w:val="center"/>
                </w:tcPr>
                <w:p w14:paraId="491F23E2">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0.0015</w:t>
                  </w:r>
                </w:p>
              </w:tc>
              <w:tc>
                <w:tcPr>
                  <w:tcW w:w="546" w:type="pct"/>
                  <w:tcBorders>
                    <w:tl2br w:val="nil"/>
                    <w:tr2bl w:val="nil"/>
                  </w:tcBorders>
                  <w:shd w:val="clear" w:color="auto" w:fill="auto"/>
                  <w:noWrap w:val="0"/>
                  <w:vAlign w:val="center"/>
                </w:tcPr>
                <w:p w14:paraId="763318F0">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0.0036</w:t>
                  </w:r>
                </w:p>
              </w:tc>
              <w:tc>
                <w:tcPr>
                  <w:tcW w:w="1115" w:type="pct"/>
                  <w:vMerge w:val="restart"/>
                  <w:tcBorders>
                    <w:tl2br w:val="nil"/>
                    <w:tr2bl w:val="nil"/>
                  </w:tcBorders>
                  <w:noWrap w:val="0"/>
                  <w:vAlign w:val="center"/>
                </w:tcPr>
                <w:p w14:paraId="32F3765F">
                  <w:pPr>
                    <w:pStyle w:val="5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《大气污染物综合排放标准》GB 16297-1996</w:t>
                  </w:r>
                </w:p>
              </w:tc>
              <w:tc>
                <w:tcPr>
                  <w:tcW w:w="370" w:type="pct"/>
                  <w:tcBorders>
                    <w:tl2br w:val="nil"/>
                    <w:tr2bl w:val="nil"/>
                  </w:tcBorders>
                  <w:shd w:val="clear" w:color="auto" w:fill="auto"/>
                  <w:noWrap w:val="0"/>
                  <w:vAlign w:val="center"/>
                </w:tcPr>
                <w:p w14:paraId="0F80C796">
                  <w:pPr>
                    <w:pStyle w:val="56"/>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23</w:t>
                  </w:r>
                </w:p>
              </w:tc>
              <w:tc>
                <w:tcPr>
                  <w:tcW w:w="523" w:type="pct"/>
                  <w:tcBorders>
                    <w:tl2br w:val="nil"/>
                    <w:tr2bl w:val="nil"/>
                  </w:tcBorders>
                  <w:shd w:val="clear" w:color="auto" w:fill="auto"/>
                  <w:noWrap w:val="0"/>
                  <w:vAlign w:val="center"/>
                </w:tcPr>
                <w:p w14:paraId="4341A60A">
                  <w:pPr>
                    <w:pStyle w:val="56"/>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120</w:t>
                  </w:r>
                </w:p>
              </w:tc>
              <w:tc>
                <w:tcPr>
                  <w:tcW w:w="284" w:type="pct"/>
                  <w:tcBorders>
                    <w:tl2br w:val="nil"/>
                    <w:tr2bl w:val="nil"/>
                  </w:tcBorders>
                  <w:shd w:val="clear" w:color="auto" w:fill="auto"/>
                  <w:noWrap w:val="0"/>
                  <w:vAlign w:val="center"/>
                </w:tcPr>
                <w:p w14:paraId="1D9A8611">
                  <w:pPr>
                    <w:pStyle w:val="56"/>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达标</w:t>
                  </w:r>
                </w:p>
              </w:tc>
            </w:tr>
            <w:tr w14:paraId="1F635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06" w:type="pct"/>
                  <w:tcBorders>
                    <w:tl2br w:val="nil"/>
                    <w:tr2bl w:val="nil"/>
                  </w:tcBorders>
                  <w:noWrap w:val="0"/>
                  <w:vAlign w:val="center"/>
                </w:tcPr>
                <w:p w14:paraId="7F3FF5B4">
                  <w:pPr>
                    <w:pStyle w:val="56"/>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DA003</w:t>
                  </w:r>
                </w:p>
              </w:tc>
              <w:tc>
                <w:tcPr>
                  <w:tcW w:w="398" w:type="pct"/>
                  <w:tcBorders>
                    <w:tl2br w:val="nil"/>
                    <w:tr2bl w:val="nil"/>
                  </w:tcBorders>
                  <w:shd w:val="clear" w:color="auto" w:fill="auto"/>
                  <w:noWrap w:val="0"/>
                  <w:tcMar>
                    <w:top w:w="28" w:type="dxa"/>
                    <w:left w:w="28" w:type="dxa"/>
                    <w:bottom w:w="28" w:type="dxa"/>
                    <w:right w:w="28" w:type="dxa"/>
                  </w:tcMar>
                  <w:vAlign w:val="center"/>
                </w:tcPr>
                <w:p w14:paraId="1C5B0EFB">
                  <w:pPr>
                    <w:pStyle w:val="5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712" w:type="pct"/>
                  <w:tcBorders>
                    <w:tl2br w:val="nil"/>
                    <w:tr2bl w:val="nil"/>
                  </w:tcBorders>
                  <w:shd w:val="clear" w:color="auto" w:fill="auto"/>
                  <w:noWrap w:val="0"/>
                  <w:vAlign w:val="center"/>
                </w:tcPr>
                <w:p w14:paraId="4479C800">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0.25</w:t>
                  </w:r>
                </w:p>
              </w:tc>
              <w:tc>
                <w:tcPr>
                  <w:tcW w:w="544" w:type="pct"/>
                  <w:tcBorders>
                    <w:tl2br w:val="nil"/>
                    <w:tr2bl w:val="nil"/>
                  </w:tcBorders>
                  <w:shd w:val="clear" w:color="auto" w:fill="auto"/>
                  <w:noWrap w:val="0"/>
                  <w:vAlign w:val="center"/>
                </w:tcPr>
                <w:p w14:paraId="3BBC3F6C">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0.0015</w:t>
                  </w:r>
                </w:p>
              </w:tc>
              <w:tc>
                <w:tcPr>
                  <w:tcW w:w="546" w:type="pct"/>
                  <w:tcBorders>
                    <w:tl2br w:val="nil"/>
                    <w:tr2bl w:val="nil"/>
                  </w:tcBorders>
                  <w:shd w:val="clear" w:color="auto" w:fill="auto"/>
                  <w:noWrap w:val="0"/>
                  <w:vAlign w:val="center"/>
                </w:tcPr>
                <w:p w14:paraId="782654B6">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0.0036</w:t>
                  </w:r>
                </w:p>
              </w:tc>
              <w:tc>
                <w:tcPr>
                  <w:tcW w:w="1115" w:type="pct"/>
                  <w:vMerge w:val="continue"/>
                  <w:tcBorders>
                    <w:tl2br w:val="nil"/>
                    <w:tr2bl w:val="nil"/>
                  </w:tcBorders>
                  <w:noWrap w:val="0"/>
                  <w:vAlign w:val="center"/>
                </w:tcPr>
                <w:p w14:paraId="53F3B39D">
                  <w:pPr>
                    <w:pStyle w:val="56"/>
                    <w:jc w:val="center"/>
                    <w:rPr>
                      <w:color w:val="000000" w:themeColor="text1"/>
                      <w:highlight w:val="none"/>
                      <w14:textFill>
                        <w14:solidFill>
                          <w14:schemeClr w14:val="tx1"/>
                        </w14:solidFill>
                      </w14:textFill>
                    </w:rPr>
                  </w:pPr>
                </w:p>
              </w:tc>
              <w:tc>
                <w:tcPr>
                  <w:tcW w:w="370" w:type="pct"/>
                  <w:tcBorders>
                    <w:tl2br w:val="nil"/>
                    <w:tr2bl w:val="nil"/>
                  </w:tcBorders>
                  <w:shd w:val="clear" w:color="auto" w:fill="auto"/>
                  <w:noWrap w:val="0"/>
                  <w:vAlign w:val="center"/>
                </w:tcPr>
                <w:p w14:paraId="237B3D9F">
                  <w:pPr>
                    <w:pStyle w:val="56"/>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23</w:t>
                  </w:r>
                </w:p>
              </w:tc>
              <w:tc>
                <w:tcPr>
                  <w:tcW w:w="523" w:type="pct"/>
                  <w:tcBorders>
                    <w:tl2br w:val="nil"/>
                    <w:tr2bl w:val="nil"/>
                  </w:tcBorders>
                  <w:shd w:val="clear" w:color="auto" w:fill="auto"/>
                  <w:noWrap w:val="0"/>
                  <w:vAlign w:val="center"/>
                </w:tcPr>
                <w:p w14:paraId="010ECC6E">
                  <w:pPr>
                    <w:pStyle w:val="56"/>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120</w:t>
                  </w:r>
                </w:p>
              </w:tc>
              <w:tc>
                <w:tcPr>
                  <w:tcW w:w="284" w:type="pct"/>
                  <w:tcBorders>
                    <w:tl2br w:val="nil"/>
                    <w:tr2bl w:val="nil"/>
                  </w:tcBorders>
                  <w:shd w:val="clear" w:color="auto" w:fill="auto"/>
                  <w:noWrap w:val="0"/>
                  <w:vAlign w:val="center"/>
                </w:tcPr>
                <w:p w14:paraId="127F2996">
                  <w:pPr>
                    <w:pStyle w:val="56"/>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达标</w:t>
                  </w:r>
                </w:p>
              </w:tc>
            </w:tr>
          </w:tbl>
          <w:p w14:paraId="1A2A90C3">
            <w:pPr>
              <w:pStyle w:val="5"/>
              <w:numPr>
                <w:ilvl w:val="-1"/>
                <w:numId w:val="0"/>
              </w:numPr>
              <w:bidi w:val="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4.2.1.5</w:t>
            </w:r>
            <w:r>
              <w:rPr>
                <w:rFonts w:hint="default" w:ascii="Times New Roman" w:hAnsi="Times New Roman" w:cs="Times New Roman"/>
                <w:color w:val="000000" w:themeColor="text1"/>
                <w:highlight w:val="none"/>
                <w:lang w:val="en-US" w:eastAsia="zh-CN"/>
                <w14:textFill>
                  <w14:solidFill>
                    <w14:schemeClr w14:val="tx1"/>
                  </w14:solidFill>
                </w14:textFill>
              </w:rPr>
              <w:t>非正常工况</w:t>
            </w:r>
          </w:p>
          <w:p w14:paraId="3317692E">
            <w:pPr>
              <w:pStyle w:val="50"/>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非正常工况是指装置在生产运行阶段的环保治理设施故障或失效、检修维护和一般性事故中产生的“三废”排放。根据本项目污染特点及工程分析，本项目非正常工况分析</w:t>
            </w:r>
            <w:r>
              <w:rPr>
                <w:highlight w:val="none"/>
              </w:rPr>
              <w:t>（考虑废气处理设施失效，处理效率为零的情况）</w:t>
            </w:r>
            <w:r>
              <w:rPr>
                <w:rFonts w:hint="default" w:ascii="Times New Roman" w:hAnsi="Times New Roman" w:cs="Times New Roman"/>
                <w:color w:val="000000" w:themeColor="text1"/>
                <w:highlight w:val="none"/>
                <w14:textFill>
                  <w14:solidFill>
                    <w14:schemeClr w14:val="tx1"/>
                  </w14:solidFill>
                </w14:textFill>
              </w:rPr>
              <w:t>主要为</w:t>
            </w:r>
            <w:r>
              <w:rPr>
                <w:rFonts w:hint="default" w:ascii="Times New Roman" w:hAnsi="Times New Roman" w:cs="Times New Roman"/>
                <w:color w:val="000000" w:themeColor="text1"/>
                <w:highlight w:val="none"/>
                <w:lang w:val="en-US" w:eastAsia="zh-CN"/>
                <w14:textFill>
                  <w14:solidFill>
                    <w14:schemeClr w14:val="tx1"/>
                  </w14:solidFill>
                </w14:textFill>
              </w:rPr>
              <w:t>废气治理设施损坏导致的废气污染物非正常排放；非正常工况下污染物排放情况见下表</w:t>
            </w:r>
            <w:r>
              <w:rPr>
                <w:rFonts w:hint="default" w:ascii="Times New Roman" w:hAnsi="Times New Roman" w:cs="Times New Roman"/>
                <w:color w:val="000000" w:themeColor="text1"/>
                <w:highlight w:val="none"/>
                <w14:textFill>
                  <w14:solidFill>
                    <w14:schemeClr w14:val="tx1"/>
                  </w14:solidFill>
                </w14:textFill>
              </w:rPr>
              <w:t>。</w:t>
            </w:r>
          </w:p>
          <w:p w14:paraId="5AFBD3BC">
            <w:pPr>
              <w:pStyle w:val="6"/>
              <w:numPr>
                <w:ilvl w:val="4"/>
                <w:numId w:val="0"/>
              </w:numPr>
              <w:bidi w:val="0"/>
              <w:ind w:leftChars="0"/>
              <w:jc w:val="center"/>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表4-</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14:textFill>
                  <w14:solidFill>
                    <w14:schemeClr w14:val="tx1"/>
                  </w14:solidFill>
                </w14:textFill>
              </w:rPr>
              <w:t>非正常排放源强</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129"/>
              <w:gridCol w:w="1345"/>
              <w:gridCol w:w="1066"/>
              <w:gridCol w:w="1129"/>
              <w:gridCol w:w="1058"/>
              <w:gridCol w:w="1733"/>
            </w:tblGrid>
            <w:tr w14:paraId="6D182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pct"/>
                  <w:vMerge w:val="restart"/>
                  <w:tcBorders>
                    <w:tl2br w:val="nil"/>
                    <w:tr2bl w:val="nil"/>
                  </w:tcBorders>
                  <w:noWrap w:val="0"/>
                  <w:tcMar>
                    <w:top w:w="28" w:type="dxa"/>
                    <w:left w:w="28" w:type="dxa"/>
                    <w:bottom w:w="28" w:type="dxa"/>
                    <w:right w:w="28" w:type="dxa"/>
                  </w:tcMar>
                  <w:vAlign w:val="center"/>
                </w:tcPr>
                <w:p w14:paraId="2283F782">
                  <w:pPr>
                    <w:pStyle w:val="56"/>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污染源</w:t>
                  </w:r>
                </w:p>
              </w:tc>
              <w:tc>
                <w:tcPr>
                  <w:tcW w:w="684" w:type="pct"/>
                  <w:vMerge w:val="restart"/>
                  <w:tcBorders>
                    <w:tl2br w:val="nil"/>
                    <w:tr2bl w:val="nil"/>
                  </w:tcBorders>
                  <w:noWrap w:val="0"/>
                  <w:tcMar>
                    <w:top w:w="28" w:type="dxa"/>
                    <w:left w:w="28" w:type="dxa"/>
                    <w:bottom w:w="28" w:type="dxa"/>
                    <w:right w:w="28" w:type="dxa"/>
                  </w:tcMar>
                  <w:vAlign w:val="center"/>
                </w:tcPr>
                <w:p w14:paraId="5E301350">
                  <w:pPr>
                    <w:pStyle w:val="56"/>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污染因子</w:t>
                  </w:r>
                </w:p>
              </w:tc>
              <w:tc>
                <w:tcPr>
                  <w:tcW w:w="815" w:type="pct"/>
                  <w:vMerge w:val="restart"/>
                  <w:tcBorders>
                    <w:tl2br w:val="nil"/>
                    <w:tr2bl w:val="nil"/>
                  </w:tcBorders>
                  <w:noWrap w:val="0"/>
                  <w:tcMar>
                    <w:top w:w="28" w:type="dxa"/>
                    <w:left w:w="28" w:type="dxa"/>
                    <w:bottom w:w="28" w:type="dxa"/>
                    <w:right w:w="28" w:type="dxa"/>
                  </w:tcMar>
                  <w:vAlign w:val="center"/>
                </w:tcPr>
                <w:p w14:paraId="18802E80">
                  <w:pPr>
                    <w:spacing w:line="240" w:lineRule="auto"/>
                    <w:ind w:left="-48" w:leftChars="-20" w:right="-48" w:rightChars="-2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iCs/>
                      <w:color w:val="000000" w:themeColor="text1"/>
                      <w:sz w:val="21"/>
                      <w:szCs w:val="21"/>
                      <w:highlight w:val="none"/>
                      <w14:textFill>
                        <w14:solidFill>
                          <w14:schemeClr w14:val="tx1"/>
                        </w14:solidFill>
                      </w14:textFill>
                    </w:rPr>
                    <w:t>排放浓度</w:t>
                  </w:r>
                  <w:r>
                    <w:rPr>
                      <w:rFonts w:hint="default" w:ascii="Times New Roman" w:hAnsi="Times New Roman" w:cs="Times New Roman"/>
                      <w:i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highlight w:val="none"/>
                      <w14:textFill>
                        <w14:solidFill>
                          <w14:schemeClr w14:val="tx1"/>
                        </w14:solidFill>
                      </w14:textFill>
                    </w:rPr>
                    <w:t>mg/m</w:t>
                  </w:r>
                  <w:r>
                    <w:rPr>
                      <w:rFonts w:hint="default" w:ascii="Times New Roman" w:hAnsi="Times New Roman"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1"/>
                      <w:szCs w:val="21"/>
                      <w:highlight w:val="none"/>
                      <w:vertAlign w:val="baseline"/>
                      <w:lang w:eastAsia="zh-CN"/>
                      <w14:textFill>
                        <w14:solidFill>
                          <w14:schemeClr w14:val="tx1"/>
                        </w14:solidFill>
                      </w14:textFill>
                    </w:rPr>
                    <w:t>）</w:t>
                  </w:r>
                </w:p>
              </w:tc>
              <w:tc>
                <w:tcPr>
                  <w:tcW w:w="646" w:type="pct"/>
                  <w:vMerge w:val="restart"/>
                  <w:tcBorders>
                    <w:tl2br w:val="nil"/>
                    <w:tr2bl w:val="nil"/>
                  </w:tcBorders>
                  <w:noWrap w:val="0"/>
                  <w:tcMar>
                    <w:top w:w="28" w:type="dxa"/>
                    <w:left w:w="28" w:type="dxa"/>
                    <w:bottom w:w="28" w:type="dxa"/>
                    <w:right w:w="28" w:type="dxa"/>
                  </w:tcMar>
                  <w:vAlign w:val="center"/>
                </w:tcPr>
                <w:p w14:paraId="1C8F8376">
                  <w:pPr>
                    <w:spacing w:line="240" w:lineRule="auto"/>
                    <w:ind w:left="-48" w:leftChars="-20" w:right="-48" w:rightChars="-2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iCs/>
                      <w:color w:val="000000" w:themeColor="text1"/>
                      <w:sz w:val="21"/>
                      <w:szCs w:val="21"/>
                      <w:highlight w:val="none"/>
                      <w14:textFill>
                        <w14:solidFill>
                          <w14:schemeClr w14:val="tx1"/>
                        </w14:solidFill>
                      </w14:textFill>
                    </w:rPr>
                    <w:t>排放速率</w:t>
                  </w:r>
                  <w:r>
                    <w:rPr>
                      <w:rFonts w:hint="default" w:ascii="Times New Roman" w:hAnsi="Times New Roman" w:cs="Times New Roman"/>
                      <w:i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highlight w:val="none"/>
                      <w14:textFill>
                        <w14:solidFill>
                          <w14:schemeClr w14:val="tx1"/>
                        </w14:solidFill>
                      </w14:textFill>
                    </w:rPr>
                    <w:t>kg/h</w:t>
                  </w:r>
                  <w:r>
                    <w:rPr>
                      <w:rFonts w:hint="default" w:ascii="Times New Roman" w:hAnsi="Times New Roman" w:cs="Times New Roman"/>
                      <w:color w:val="000000" w:themeColor="text1"/>
                      <w:kern w:val="0"/>
                      <w:sz w:val="21"/>
                      <w:szCs w:val="21"/>
                      <w:highlight w:val="none"/>
                      <w:lang w:eastAsia="zh-CN"/>
                      <w14:textFill>
                        <w14:solidFill>
                          <w14:schemeClr w14:val="tx1"/>
                        </w14:solidFill>
                      </w14:textFill>
                    </w:rPr>
                    <w:t>）</w:t>
                  </w:r>
                </w:p>
              </w:tc>
              <w:tc>
                <w:tcPr>
                  <w:tcW w:w="2375" w:type="pct"/>
                  <w:gridSpan w:val="3"/>
                  <w:tcBorders>
                    <w:tl2br w:val="nil"/>
                    <w:tr2bl w:val="nil"/>
                  </w:tcBorders>
                  <w:noWrap w:val="0"/>
                  <w:tcMar>
                    <w:top w:w="28" w:type="dxa"/>
                    <w:left w:w="28" w:type="dxa"/>
                    <w:bottom w:w="28" w:type="dxa"/>
                    <w:right w:w="28" w:type="dxa"/>
                  </w:tcMar>
                  <w:vAlign w:val="center"/>
                </w:tcPr>
                <w:p w14:paraId="6DB26327">
                  <w:pPr>
                    <w:pStyle w:val="56"/>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非正常工程</w:t>
                  </w:r>
                </w:p>
              </w:tc>
            </w:tr>
            <w:tr w14:paraId="244AD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pct"/>
                  <w:vMerge w:val="continue"/>
                  <w:tcBorders>
                    <w:tl2br w:val="nil"/>
                    <w:tr2bl w:val="nil"/>
                  </w:tcBorders>
                  <w:noWrap w:val="0"/>
                  <w:vAlign w:val="center"/>
                </w:tcPr>
                <w:p w14:paraId="3A271B31">
                  <w:pPr>
                    <w:pStyle w:val="56"/>
                    <w:bidi w:val="0"/>
                    <w:jc w:val="center"/>
                    <w:rPr>
                      <w:rFonts w:hint="default" w:ascii="Times New Roman" w:hAnsi="Times New Roman" w:cs="Times New Roman"/>
                      <w:color w:val="000000" w:themeColor="text1"/>
                      <w:highlight w:val="none"/>
                      <w14:textFill>
                        <w14:solidFill>
                          <w14:schemeClr w14:val="tx1"/>
                        </w14:solidFill>
                      </w14:textFill>
                    </w:rPr>
                  </w:pPr>
                </w:p>
              </w:tc>
              <w:tc>
                <w:tcPr>
                  <w:tcW w:w="684" w:type="pct"/>
                  <w:vMerge w:val="continue"/>
                  <w:tcBorders>
                    <w:tl2br w:val="nil"/>
                    <w:tr2bl w:val="nil"/>
                  </w:tcBorders>
                  <w:noWrap w:val="0"/>
                  <w:vAlign w:val="center"/>
                </w:tcPr>
                <w:p w14:paraId="37472052">
                  <w:pPr>
                    <w:pStyle w:val="56"/>
                    <w:bidi w:val="0"/>
                    <w:jc w:val="center"/>
                    <w:rPr>
                      <w:rFonts w:hint="default" w:ascii="Times New Roman" w:hAnsi="Times New Roman" w:cs="Times New Roman"/>
                      <w:color w:val="000000" w:themeColor="text1"/>
                      <w:highlight w:val="none"/>
                      <w14:textFill>
                        <w14:solidFill>
                          <w14:schemeClr w14:val="tx1"/>
                        </w14:solidFill>
                      </w14:textFill>
                    </w:rPr>
                  </w:pPr>
                </w:p>
              </w:tc>
              <w:tc>
                <w:tcPr>
                  <w:tcW w:w="815" w:type="pct"/>
                  <w:vMerge w:val="continue"/>
                  <w:tcBorders>
                    <w:tl2br w:val="nil"/>
                    <w:tr2bl w:val="nil"/>
                  </w:tcBorders>
                  <w:noWrap w:val="0"/>
                  <w:vAlign w:val="center"/>
                </w:tcPr>
                <w:p w14:paraId="3E7E07CD">
                  <w:pPr>
                    <w:spacing w:line="240" w:lineRule="auto"/>
                    <w:ind w:left="-48" w:leftChars="-20" w:right="-48" w:rightChars="-20"/>
                    <w:jc w:val="center"/>
                    <w:rPr>
                      <w:rFonts w:hint="default" w:ascii="Times New Roman" w:hAnsi="Times New Roman" w:cs="Times New Roman"/>
                      <w:color w:val="000000" w:themeColor="text1"/>
                      <w:highlight w:val="none"/>
                      <w14:textFill>
                        <w14:solidFill>
                          <w14:schemeClr w14:val="tx1"/>
                        </w14:solidFill>
                      </w14:textFill>
                    </w:rPr>
                  </w:pPr>
                </w:p>
              </w:tc>
              <w:tc>
                <w:tcPr>
                  <w:tcW w:w="646" w:type="pct"/>
                  <w:vMerge w:val="continue"/>
                  <w:tcBorders>
                    <w:tl2br w:val="nil"/>
                    <w:tr2bl w:val="nil"/>
                  </w:tcBorders>
                  <w:noWrap w:val="0"/>
                  <w:vAlign w:val="center"/>
                </w:tcPr>
                <w:p w14:paraId="7BC6CB7C">
                  <w:pPr>
                    <w:spacing w:line="240" w:lineRule="auto"/>
                    <w:ind w:left="-48" w:leftChars="-20" w:right="-48" w:rightChars="-20"/>
                    <w:jc w:val="center"/>
                    <w:rPr>
                      <w:rFonts w:hint="default" w:ascii="Times New Roman" w:hAnsi="Times New Roman" w:cs="Times New Roman"/>
                      <w:color w:val="000000" w:themeColor="text1"/>
                      <w:highlight w:val="none"/>
                      <w14:textFill>
                        <w14:solidFill>
                          <w14:schemeClr w14:val="tx1"/>
                        </w14:solidFill>
                      </w14:textFill>
                    </w:rPr>
                  </w:pPr>
                </w:p>
              </w:tc>
              <w:tc>
                <w:tcPr>
                  <w:tcW w:w="684" w:type="pct"/>
                  <w:tcBorders>
                    <w:tl2br w:val="nil"/>
                    <w:tr2bl w:val="nil"/>
                  </w:tcBorders>
                  <w:noWrap w:val="0"/>
                  <w:tcMar>
                    <w:top w:w="28" w:type="dxa"/>
                    <w:left w:w="28" w:type="dxa"/>
                    <w:bottom w:w="28" w:type="dxa"/>
                    <w:right w:w="28" w:type="dxa"/>
                  </w:tcMar>
                  <w:vAlign w:val="center"/>
                </w:tcPr>
                <w:p w14:paraId="6A95D44D">
                  <w:pPr>
                    <w:pStyle w:val="56"/>
                    <w:bidi w:val="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发生频次</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次</w:t>
                  </w:r>
                  <w:r>
                    <w:rPr>
                      <w:rFonts w:hint="eastAsia" w:ascii="Times New Roman" w:hAnsi="Times New Roman" w:cs="Times New Roman"/>
                      <w:color w:val="000000" w:themeColor="text1"/>
                      <w:highlight w:val="none"/>
                      <w:lang w:eastAsia="zh-CN"/>
                      <w14:textFill>
                        <w14:solidFill>
                          <w14:schemeClr w14:val="tx1"/>
                        </w14:solidFill>
                      </w14:textFill>
                    </w:rPr>
                    <w:t>）</w:t>
                  </w:r>
                </w:p>
              </w:tc>
              <w:tc>
                <w:tcPr>
                  <w:tcW w:w="641" w:type="pct"/>
                  <w:tcBorders>
                    <w:tl2br w:val="nil"/>
                    <w:tr2bl w:val="nil"/>
                  </w:tcBorders>
                  <w:noWrap w:val="0"/>
                  <w:tcMar>
                    <w:top w:w="28" w:type="dxa"/>
                    <w:left w:w="28" w:type="dxa"/>
                    <w:bottom w:w="28" w:type="dxa"/>
                    <w:right w:w="28" w:type="dxa"/>
                  </w:tcMar>
                  <w:vAlign w:val="center"/>
                </w:tcPr>
                <w:p w14:paraId="3C8F03C3">
                  <w:pPr>
                    <w:pStyle w:val="56"/>
                    <w:bidi w:val="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持续时间</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h</w:t>
                  </w:r>
                  <w:r>
                    <w:rPr>
                      <w:rFonts w:hint="eastAsia" w:ascii="Times New Roman" w:hAnsi="Times New Roman" w:cs="Times New Roman"/>
                      <w:color w:val="000000" w:themeColor="text1"/>
                      <w:highlight w:val="none"/>
                      <w:lang w:eastAsia="zh-CN"/>
                      <w14:textFill>
                        <w14:solidFill>
                          <w14:schemeClr w14:val="tx1"/>
                        </w14:solidFill>
                      </w14:textFill>
                    </w:rPr>
                    <w:t>）</w:t>
                  </w:r>
                </w:p>
              </w:tc>
              <w:tc>
                <w:tcPr>
                  <w:tcW w:w="1049" w:type="pct"/>
                  <w:tcBorders>
                    <w:tl2br w:val="nil"/>
                    <w:tr2bl w:val="nil"/>
                  </w:tcBorders>
                  <w:noWrap w:val="0"/>
                  <w:tcMar>
                    <w:top w:w="28" w:type="dxa"/>
                    <w:left w:w="28" w:type="dxa"/>
                    <w:bottom w:w="28" w:type="dxa"/>
                    <w:right w:w="28" w:type="dxa"/>
                  </w:tcMar>
                  <w:vAlign w:val="center"/>
                </w:tcPr>
                <w:p w14:paraId="0CD82E46">
                  <w:pPr>
                    <w:pStyle w:val="56"/>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措施</w:t>
                  </w:r>
                </w:p>
              </w:tc>
            </w:tr>
            <w:tr w14:paraId="31CE3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pct"/>
                  <w:vMerge w:val="restart"/>
                  <w:tcBorders>
                    <w:tl2br w:val="nil"/>
                    <w:tr2bl w:val="nil"/>
                  </w:tcBorders>
                  <w:noWrap w:val="0"/>
                  <w:tcMar>
                    <w:top w:w="28" w:type="dxa"/>
                    <w:left w:w="28" w:type="dxa"/>
                    <w:bottom w:w="28" w:type="dxa"/>
                    <w:right w:w="28" w:type="dxa"/>
                  </w:tcMar>
                  <w:vAlign w:val="center"/>
                </w:tcPr>
                <w:p w14:paraId="1EE3D494">
                  <w:pPr>
                    <w:pStyle w:val="56"/>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DA001</w:t>
                  </w:r>
                  <w:r>
                    <w:rPr>
                      <w:rFonts w:hint="default" w:ascii="Times New Roman" w:hAnsi="Times New Roman" w:cs="Times New Roman"/>
                      <w:color w:val="000000" w:themeColor="text1"/>
                      <w:highlight w:val="none"/>
                      <w:lang w:val="en-US" w:eastAsia="zh-CN"/>
                      <w14:textFill>
                        <w14:solidFill>
                          <w14:schemeClr w14:val="tx1"/>
                        </w14:solidFill>
                      </w14:textFill>
                    </w:rPr>
                    <w:t>排气筒</w:t>
                  </w:r>
                </w:p>
              </w:tc>
              <w:tc>
                <w:tcPr>
                  <w:tcW w:w="684" w:type="pct"/>
                  <w:tcBorders>
                    <w:tl2br w:val="nil"/>
                    <w:tr2bl w:val="nil"/>
                  </w:tcBorders>
                  <w:shd w:val="clear" w:color="auto" w:fill="auto"/>
                  <w:noWrap w:val="0"/>
                  <w:tcMar>
                    <w:top w:w="28" w:type="dxa"/>
                    <w:left w:w="28" w:type="dxa"/>
                    <w:bottom w:w="28" w:type="dxa"/>
                    <w:right w:w="28" w:type="dxa"/>
                  </w:tcMar>
                  <w:vAlign w:val="center"/>
                </w:tcPr>
                <w:p w14:paraId="5B12B527">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二氧化硫</w:t>
                  </w:r>
                </w:p>
              </w:tc>
              <w:tc>
                <w:tcPr>
                  <w:tcW w:w="815" w:type="pct"/>
                  <w:tcBorders>
                    <w:tl2br w:val="nil"/>
                    <w:tr2bl w:val="nil"/>
                  </w:tcBorders>
                  <w:shd w:val="clear" w:color="auto" w:fill="auto"/>
                  <w:noWrap w:val="0"/>
                  <w:tcMar>
                    <w:top w:w="28" w:type="dxa"/>
                    <w:left w:w="28" w:type="dxa"/>
                    <w:bottom w:w="28" w:type="dxa"/>
                    <w:right w:w="28" w:type="dxa"/>
                  </w:tcMar>
                  <w:vAlign w:val="center"/>
                </w:tcPr>
                <w:p w14:paraId="60CD1964">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0.643</w:t>
                  </w:r>
                </w:p>
              </w:tc>
              <w:tc>
                <w:tcPr>
                  <w:tcW w:w="646" w:type="pct"/>
                  <w:tcBorders>
                    <w:tl2br w:val="nil"/>
                    <w:tr2bl w:val="nil"/>
                  </w:tcBorders>
                  <w:shd w:val="clear" w:color="auto" w:fill="auto"/>
                  <w:noWrap w:val="0"/>
                  <w:tcMar>
                    <w:top w:w="28" w:type="dxa"/>
                    <w:left w:w="28" w:type="dxa"/>
                    <w:bottom w:w="28" w:type="dxa"/>
                    <w:right w:w="28" w:type="dxa"/>
                  </w:tcMar>
                  <w:vAlign w:val="center"/>
                </w:tcPr>
                <w:p w14:paraId="516962F2">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0.002</w:t>
                  </w:r>
                </w:p>
              </w:tc>
              <w:tc>
                <w:tcPr>
                  <w:tcW w:w="684" w:type="pct"/>
                  <w:vMerge w:val="restart"/>
                  <w:tcBorders>
                    <w:tl2br w:val="nil"/>
                    <w:tr2bl w:val="nil"/>
                  </w:tcBorders>
                  <w:noWrap w:val="0"/>
                  <w:tcMar>
                    <w:top w:w="28" w:type="dxa"/>
                    <w:left w:w="28" w:type="dxa"/>
                    <w:bottom w:w="28" w:type="dxa"/>
                    <w:right w:w="28" w:type="dxa"/>
                  </w:tcMar>
                  <w:vAlign w:val="center"/>
                </w:tcPr>
                <w:p w14:paraId="7FECCCCE">
                  <w:pPr>
                    <w:pStyle w:val="56"/>
                    <w:bidi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p>
              </w:tc>
              <w:tc>
                <w:tcPr>
                  <w:tcW w:w="641" w:type="pct"/>
                  <w:vMerge w:val="restart"/>
                  <w:tcBorders>
                    <w:tl2br w:val="nil"/>
                    <w:tr2bl w:val="nil"/>
                  </w:tcBorders>
                  <w:noWrap w:val="0"/>
                  <w:tcMar>
                    <w:top w:w="28" w:type="dxa"/>
                    <w:left w:w="28" w:type="dxa"/>
                    <w:bottom w:w="28" w:type="dxa"/>
                    <w:right w:w="28" w:type="dxa"/>
                  </w:tcMar>
                  <w:vAlign w:val="center"/>
                </w:tcPr>
                <w:p w14:paraId="680738D1">
                  <w:pPr>
                    <w:pStyle w:val="56"/>
                    <w:bidi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p>
              </w:tc>
              <w:tc>
                <w:tcPr>
                  <w:tcW w:w="1049" w:type="pct"/>
                  <w:vMerge w:val="restart"/>
                  <w:tcBorders>
                    <w:tl2br w:val="nil"/>
                    <w:tr2bl w:val="nil"/>
                  </w:tcBorders>
                  <w:noWrap w:val="0"/>
                  <w:tcMar>
                    <w:top w:w="28" w:type="dxa"/>
                    <w:left w:w="28" w:type="dxa"/>
                    <w:bottom w:w="28" w:type="dxa"/>
                    <w:right w:w="28" w:type="dxa"/>
                  </w:tcMar>
                  <w:vAlign w:val="center"/>
                </w:tcPr>
                <w:p w14:paraId="16A4D72E">
                  <w:pPr>
                    <w:pStyle w:val="56"/>
                    <w:bidi w:val="0"/>
                    <w:jc w:val="center"/>
                    <w:rPr>
                      <w:rFonts w:hint="default" w:ascii="Times New Roman" w:hAnsi="Times New Roman"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停产、检修</w:t>
                  </w:r>
                </w:p>
              </w:tc>
            </w:tr>
            <w:tr w14:paraId="73A45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pct"/>
                  <w:vMerge w:val="continue"/>
                  <w:tcBorders>
                    <w:tl2br w:val="nil"/>
                    <w:tr2bl w:val="nil"/>
                  </w:tcBorders>
                  <w:noWrap w:val="0"/>
                  <w:tcMar>
                    <w:top w:w="28" w:type="dxa"/>
                    <w:left w:w="28" w:type="dxa"/>
                    <w:bottom w:w="28" w:type="dxa"/>
                    <w:right w:w="28" w:type="dxa"/>
                  </w:tcMar>
                  <w:vAlign w:val="center"/>
                </w:tcPr>
                <w:p w14:paraId="02FB334E">
                  <w:pPr>
                    <w:pStyle w:val="56"/>
                    <w:bidi w:val="0"/>
                    <w:jc w:val="center"/>
                    <w:rPr>
                      <w:rFonts w:hint="default" w:ascii="Times New Roman" w:hAnsi="Times New Roman" w:cs="Times New Roman"/>
                      <w:color w:val="000000" w:themeColor="text1"/>
                      <w:highlight w:val="none"/>
                      <w14:textFill>
                        <w14:solidFill>
                          <w14:schemeClr w14:val="tx1"/>
                        </w14:solidFill>
                      </w14:textFill>
                    </w:rPr>
                  </w:pPr>
                </w:p>
              </w:tc>
              <w:tc>
                <w:tcPr>
                  <w:tcW w:w="684" w:type="pct"/>
                  <w:tcBorders>
                    <w:tl2br w:val="nil"/>
                    <w:tr2bl w:val="nil"/>
                  </w:tcBorders>
                  <w:shd w:val="clear" w:color="auto" w:fill="auto"/>
                  <w:noWrap w:val="0"/>
                  <w:tcMar>
                    <w:top w:w="28" w:type="dxa"/>
                    <w:left w:w="28" w:type="dxa"/>
                    <w:bottom w:w="28" w:type="dxa"/>
                    <w:right w:w="28" w:type="dxa"/>
                  </w:tcMar>
                  <w:vAlign w:val="center"/>
                </w:tcPr>
                <w:p w14:paraId="2996EF4C">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815" w:type="pct"/>
                  <w:tcBorders>
                    <w:tl2br w:val="nil"/>
                    <w:tr2bl w:val="nil"/>
                  </w:tcBorders>
                  <w:shd w:val="clear" w:color="auto" w:fill="auto"/>
                  <w:noWrap w:val="0"/>
                  <w:tcMar>
                    <w:top w:w="28" w:type="dxa"/>
                    <w:left w:w="28" w:type="dxa"/>
                    <w:bottom w:w="28" w:type="dxa"/>
                    <w:right w:w="28" w:type="dxa"/>
                  </w:tcMar>
                  <w:vAlign w:val="center"/>
                </w:tcPr>
                <w:p w14:paraId="5A26A96B">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80.334</w:t>
                  </w:r>
                </w:p>
              </w:tc>
              <w:tc>
                <w:tcPr>
                  <w:tcW w:w="646" w:type="pct"/>
                  <w:tcBorders>
                    <w:tl2br w:val="nil"/>
                    <w:tr2bl w:val="nil"/>
                  </w:tcBorders>
                  <w:shd w:val="clear" w:color="auto" w:fill="auto"/>
                  <w:noWrap w:val="0"/>
                  <w:tcMar>
                    <w:top w:w="28" w:type="dxa"/>
                    <w:left w:w="28" w:type="dxa"/>
                    <w:bottom w:w="28" w:type="dxa"/>
                    <w:right w:w="28" w:type="dxa"/>
                  </w:tcMar>
                  <w:vAlign w:val="center"/>
                </w:tcPr>
                <w:p w14:paraId="2A5DFC29">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0.25</w:t>
                  </w:r>
                </w:p>
              </w:tc>
              <w:tc>
                <w:tcPr>
                  <w:tcW w:w="684" w:type="pct"/>
                  <w:vMerge w:val="continue"/>
                  <w:tcBorders>
                    <w:tl2br w:val="nil"/>
                    <w:tr2bl w:val="nil"/>
                  </w:tcBorders>
                  <w:noWrap w:val="0"/>
                  <w:tcMar>
                    <w:top w:w="28" w:type="dxa"/>
                    <w:left w:w="28" w:type="dxa"/>
                    <w:bottom w:w="28" w:type="dxa"/>
                    <w:right w:w="28" w:type="dxa"/>
                  </w:tcMar>
                  <w:vAlign w:val="center"/>
                </w:tcPr>
                <w:p w14:paraId="17A86D90">
                  <w:pPr>
                    <w:pStyle w:val="56"/>
                    <w:bidi w:val="0"/>
                    <w:jc w:val="center"/>
                    <w:rPr>
                      <w:rFonts w:hint="default" w:ascii="Times New Roman" w:hAnsi="Times New Roman" w:cs="Times New Roman"/>
                      <w:color w:val="000000" w:themeColor="text1"/>
                      <w:highlight w:val="none"/>
                      <w14:textFill>
                        <w14:solidFill>
                          <w14:schemeClr w14:val="tx1"/>
                        </w14:solidFill>
                      </w14:textFill>
                    </w:rPr>
                  </w:pPr>
                </w:p>
              </w:tc>
              <w:tc>
                <w:tcPr>
                  <w:tcW w:w="641" w:type="pct"/>
                  <w:vMerge w:val="continue"/>
                  <w:tcBorders>
                    <w:tl2br w:val="nil"/>
                    <w:tr2bl w:val="nil"/>
                  </w:tcBorders>
                  <w:noWrap w:val="0"/>
                  <w:tcMar>
                    <w:top w:w="28" w:type="dxa"/>
                    <w:left w:w="28" w:type="dxa"/>
                    <w:bottom w:w="28" w:type="dxa"/>
                    <w:right w:w="28" w:type="dxa"/>
                  </w:tcMar>
                  <w:vAlign w:val="center"/>
                </w:tcPr>
                <w:p w14:paraId="1E0D625B">
                  <w:pPr>
                    <w:pStyle w:val="56"/>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049" w:type="pct"/>
                  <w:vMerge w:val="continue"/>
                  <w:tcBorders>
                    <w:tl2br w:val="nil"/>
                    <w:tr2bl w:val="nil"/>
                  </w:tcBorders>
                  <w:noWrap w:val="0"/>
                  <w:tcMar>
                    <w:top w:w="28" w:type="dxa"/>
                    <w:left w:w="28" w:type="dxa"/>
                    <w:bottom w:w="28" w:type="dxa"/>
                    <w:right w:w="28" w:type="dxa"/>
                  </w:tcMar>
                  <w:vAlign w:val="center"/>
                </w:tcPr>
                <w:p w14:paraId="758B9956">
                  <w:pPr>
                    <w:pStyle w:val="56"/>
                    <w:bidi w:val="0"/>
                    <w:jc w:val="center"/>
                    <w:rPr>
                      <w:rFonts w:hint="default" w:ascii="Times New Roman" w:hAnsi="Times New Roman" w:cs="Times New Roman"/>
                      <w:color w:val="000000" w:themeColor="text1"/>
                      <w:highlight w:val="none"/>
                      <w14:textFill>
                        <w14:solidFill>
                          <w14:schemeClr w14:val="tx1"/>
                        </w14:solidFill>
                      </w14:textFill>
                    </w:rPr>
                  </w:pPr>
                </w:p>
              </w:tc>
            </w:tr>
            <w:tr w14:paraId="72145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pct"/>
                  <w:vMerge w:val="continue"/>
                  <w:tcBorders>
                    <w:tl2br w:val="nil"/>
                    <w:tr2bl w:val="nil"/>
                  </w:tcBorders>
                  <w:noWrap w:val="0"/>
                  <w:tcMar>
                    <w:top w:w="28" w:type="dxa"/>
                    <w:left w:w="28" w:type="dxa"/>
                    <w:bottom w:w="28" w:type="dxa"/>
                    <w:right w:w="28" w:type="dxa"/>
                  </w:tcMar>
                  <w:vAlign w:val="center"/>
                </w:tcPr>
                <w:p w14:paraId="2639B693">
                  <w:pPr>
                    <w:pStyle w:val="56"/>
                    <w:bidi w:val="0"/>
                    <w:jc w:val="center"/>
                    <w:rPr>
                      <w:rFonts w:hint="default" w:ascii="Times New Roman" w:hAnsi="Times New Roman" w:cs="Times New Roman"/>
                      <w:color w:val="000000" w:themeColor="text1"/>
                      <w:highlight w:val="none"/>
                      <w14:textFill>
                        <w14:solidFill>
                          <w14:schemeClr w14:val="tx1"/>
                        </w14:solidFill>
                      </w14:textFill>
                    </w:rPr>
                  </w:pPr>
                </w:p>
              </w:tc>
              <w:tc>
                <w:tcPr>
                  <w:tcW w:w="684" w:type="pct"/>
                  <w:tcBorders>
                    <w:tl2br w:val="nil"/>
                    <w:tr2bl w:val="nil"/>
                  </w:tcBorders>
                  <w:shd w:val="clear" w:color="auto" w:fill="auto"/>
                  <w:noWrap w:val="0"/>
                  <w:tcMar>
                    <w:top w:w="28" w:type="dxa"/>
                    <w:left w:w="28" w:type="dxa"/>
                    <w:bottom w:w="28" w:type="dxa"/>
                    <w:right w:w="28" w:type="dxa"/>
                  </w:tcMar>
                  <w:vAlign w:val="center"/>
                </w:tcPr>
                <w:p w14:paraId="4E0C400E">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氮氧化物</w:t>
                  </w:r>
                </w:p>
              </w:tc>
              <w:tc>
                <w:tcPr>
                  <w:tcW w:w="815" w:type="pct"/>
                  <w:tcBorders>
                    <w:tl2br w:val="nil"/>
                    <w:tr2bl w:val="nil"/>
                  </w:tcBorders>
                  <w:shd w:val="clear" w:color="auto" w:fill="auto"/>
                  <w:noWrap w:val="0"/>
                  <w:tcMar>
                    <w:top w:w="28" w:type="dxa"/>
                    <w:left w:w="28" w:type="dxa"/>
                    <w:bottom w:w="28" w:type="dxa"/>
                    <w:right w:w="28" w:type="dxa"/>
                  </w:tcMar>
                  <w:vAlign w:val="center"/>
                </w:tcPr>
                <w:p w14:paraId="7E837BEB">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163.560</w:t>
                  </w:r>
                </w:p>
              </w:tc>
              <w:tc>
                <w:tcPr>
                  <w:tcW w:w="646" w:type="pct"/>
                  <w:tcBorders>
                    <w:tl2br w:val="nil"/>
                    <w:tr2bl w:val="nil"/>
                  </w:tcBorders>
                  <w:shd w:val="clear" w:color="auto" w:fill="auto"/>
                  <w:noWrap w:val="0"/>
                  <w:tcMar>
                    <w:top w:w="28" w:type="dxa"/>
                    <w:left w:w="28" w:type="dxa"/>
                    <w:bottom w:w="28" w:type="dxa"/>
                    <w:right w:w="28" w:type="dxa"/>
                  </w:tcMar>
                  <w:vAlign w:val="center"/>
                </w:tcPr>
                <w:p w14:paraId="06270D7C">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0.509</w:t>
                  </w:r>
                </w:p>
              </w:tc>
              <w:tc>
                <w:tcPr>
                  <w:tcW w:w="684" w:type="pct"/>
                  <w:vMerge w:val="continue"/>
                  <w:tcBorders>
                    <w:tl2br w:val="nil"/>
                    <w:tr2bl w:val="nil"/>
                  </w:tcBorders>
                  <w:noWrap w:val="0"/>
                  <w:tcMar>
                    <w:top w:w="28" w:type="dxa"/>
                    <w:left w:w="28" w:type="dxa"/>
                    <w:bottom w:w="28" w:type="dxa"/>
                    <w:right w:w="28" w:type="dxa"/>
                  </w:tcMar>
                  <w:vAlign w:val="center"/>
                </w:tcPr>
                <w:p w14:paraId="1996BF78">
                  <w:pPr>
                    <w:pStyle w:val="56"/>
                    <w:bidi w:val="0"/>
                    <w:jc w:val="center"/>
                    <w:rPr>
                      <w:rFonts w:hint="default" w:ascii="Times New Roman" w:hAnsi="Times New Roman" w:cs="Times New Roman"/>
                      <w:color w:val="000000" w:themeColor="text1"/>
                      <w:highlight w:val="none"/>
                      <w14:textFill>
                        <w14:solidFill>
                          <w14:schemeClr w14:val="tx1"/>
                        </w14:solidFill>
                      </w14:textFill>
                    </w:rPr>
                  </w:pPr>
                </w:p>
              </w:tc>
              <w:tc>
                <w:tcPr>
                  <w:tcW w:w="641" w:type="pct"/>
                  <w:vMerge w:val="continue"/>
                  <w:tcBorders>
                    <w:tl2br w:val="nil"/>
                    <w:tr2bl w:val="nil"/>
                  </w:tcBorders>
                  <w:noWrap w:val="0"/>
                  <w:tcMar>
                    <w:top w:w="28" w:type="dxa"/>
                    <w:left w:w="28" w:type="dxa"/>
                    <w:bottom w:w="28" w:type="dxa"/>
                    <w:right w:w="28" w:type="dxa"/>
                  </w:tcMar>
                  <w:vAlign w:val="center"/>
                </w:tcPr>
                <w:p w14:paraId="2783556C">
                  <w:pPr>
                    <w:pStyle w:val="56"/>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049" w:type="pct"/>
                  <w:vMerge w:val="continue"/>
                  <w:tcBorders>
                    <w:tl2br w:val="nil"/>
                    <w:tr2bl w:val="nil"/>
                  </w:tcBorders>
                  <w:noWrap w:val="0"/>
                  <w:tcMar>
                    <w:top w:w="28" w:type="dxa"/>
                    <w:left w:w="28" w:type="dxa"/>
                    <w:bottom w:w="28" w:type="dxa"/>
                    <w:right w:w="28" w:type="dxa"/>
                  </w:tcMar>
                  <w:vAlign w:val="center"/>
                </w:tcPr>
                <w:p w14:paraId="060AF8F9">
                  <w:pPr>
                    <w:pStyle w:val="56"/>
                    <w:bidi w:val="0"/>
                    <w:jc w:val="center"/>
                    <w:rPr>
                      <w:rFonts w:hint="default" w:ascii="Times New Roman" w:hAnsi="Times New Roman" w:cs="Times New Roman"/>
                      <w:color w:val="000000" w:themeColor="text1"/>
                      <w:highlight w:val="none"/>
                      <w14:textFill>
                        <w14:solidFill>
                          <w14:schemeClr w14:val="tx1"/>
                        </w14:solidFill>
                      </w14:textFill>
                    </w:rPr>
                  </w:pPr>
                </w:p>
              </w:tc>
            </w:tr>
            <w:tr w14:paraId="4FC57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pct"/>
                  <w:tcBorders>
                    <w:tl2br w:val="nil"/>
                    <w:tr2bl w:val="nil"/>
                  </w:tcBorders>
                  <w:noWrap w:val="0"/>
                  <w:tcMar>
                    <w:top w:w="28" w:type="dxa"/>
                    <w:left w:w="28" w:type="dxa"/>
                    <w:bottom w:w="28" w:type="dxa"/>
                    <w:right w:w="28" w:type="dxa"/>
                  </w:tcMar>
                  <w:vAlign w:val="center"/>
                </w:tcPr>
                <w:p w14:paraId="4409D25A">
                  <w:pPr>
                    <w:pStyle w:val="56"/>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DA002</w:t>
                  </w:r>
                </w:p>
              </w:tc>
              <w:tc>
                <w:tcPr>
                  <w:tcW w:w="684" w:type="pct"/>
                  <w:tcBorders>
                    <w:tl2br w:val="nil"/>
                    <w:tr2bl w:val="nil"/>
                  </w:tcBorders>
                  <w:shd w:val="clear" w:color="auto" w:fill="auto"/>
                  <w:noWrap w:val="0"/>
                  <w:tcMar>
                    <w:top w:w="28" w:type="dxa"/>
                    <w:left w:w="28" w:type="dxa"/>
                    <w:bottom w:w="28" w:type="dxa"/>
                    <w:right w:w="28" w:type="dxa"/>
                  </w:tcMar>
                  <w:vAlign w:val="center"/>
                </w:tcPr>
                <w:p w14:paraId="4513A2D3">
                  <w:pPr>
                    <w:pStyle w:val="5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815" w:type="pct"/>
                  <w:tcBorders>
                    <w:tl2br w:val="nil"/>
                    <w:tr2bl w:val="nil"/>
                  </w:tcBorders>
                  <w:shd w:val="clear" w:color="auto" w:fill="auto"/>
                  <w:noWrap w:val="0"/>
                  <w:tcMar>
                    <w:top w:w="28" w:type="dxa"/>
                    <w:left w:w="28" w:type="dxa"/>
                    <w:bottom w:w="28" w:type="dxa"/>
                    <w:right w:w="28" w:type="dxa"/>
                  </w:tcMar>
                  <w:vAlign w:val="center"/>
                </w:tcPr>
                <w:p w14:paraId="4602092F">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w:t>
                  </w:r>
                </w:p>
              </w:tc>
              <w:tc>
                <w:tcPr>
                  <w:tcW w:w="646" w:type="pct"/>
                  <w:tcBorders>
                    <w:tl2br w:val="nil"/>
                    <w:tr2bl w:val="nil"/>
                  </w:tcBorders>
                  <w:shd w:val="clear" w:color="auto" w:fill="auto"/>
                  <w:noWrap w:val="0"/>
                  <w:tcMar>
                    <w:top w:w="28" w:type="dxa"/>
                    <w:left w:w="28" w:type="dxa"/>
                    <w:bottom w:w="28" w:type="dxa"/>
                    <w:right w:w="28" w:type="dxa"/>
                  </w:tcMar>
                  <w:vAlign w:val="center"/>
                </w:tcPr>
                <w:p w14:paraId="785F1B00">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0.15</w:t>
                  </w:r>
                </w:p>
              </w:tc>
              <w:tc>
                <w:tcPr>
                  <w:tcW w:w="684" w:type="pct"/>
                  <w:tcBorders>
                    <w:tl2br w:val="nil"/>
                    <w:tr2bl w:val="nil"/>
                  </w:tcBorders>
                  <w:noWrap w:val="0"/>
                  <w:tcMar>
                    <w:top w:w="28" w:type="dxa"/>
                    <w:left w:w="28" w:type="dxa"/>
                    <w:bottom w:w="28" w:type="dxa"/>
                    <w:right w:w="28" w:type="dxa"/>
                  </w:tcMar>
                  <w:vAlign w:val="center"/>
                </w:tcPr>
                <w:p w14:paraId="514116BB">
                  <w:pPr>
                    <w:pStyle w:val="56"/>
                    <w:bidi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c>
                <w:tcPr>
                  <w:tcW w:w="641" w:type="pct"/>
                  <w:tcBorders>
                    <w:tl2br w:val="nil"/>
                    <w:tr2bl w:val="nil"/>
                  </w:tcBorders>
                  <w:noWrap w:val="0"/>
                  <w:tcMar>
                    <w:top w:w="28" w:type="dxa"/>
                    <w:left w:w="28" w:type="dxa"/>
                    <w:bottom w:w="28" w:type="dxa"/>
                    <w:right w:w="28" w:type="dxa"/>
                  </w:tcMar>
                  <w:vAlign w:val="center"/>
                </w:tcPr>
                <w:p w14:paraId="31BB97CF">
                  <w:pPr>
                    <w:pStyle w:val="56"/>
                    <w:bidi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c>
                <w:tcPr>
                  <w:tcW w:w="1049" w:type="pct"/>
                  <w:tcBorders>
                    <w:tl2br w:val="nil"/>
                    <w:tr2bl w:val="nil"/>
                  </w:tcBorders>
                  <w:noWrap w:val="0"/>
                  <w:tcMar>
                    <w:top w:w="28" w:type="dxa"/>
                    <w:left w:w="28" w:type="dxa"/>
                    <w:bottom w:w="28" w:type="dxa"/>
                    <w:right w:w="28" w:type="dxa"/>
                  </w:tcMar>
                  <w:vAlign w:val="center"/>
                </w:tcPr>
                <w:p w14:paraId="4AECC0D2">
                  <w:pPr>
                    <w:pStyle w:val="56"/>
                    <w:bidi w:val="0"/>
                    <w:jc w:val="center"/>
                    <w:rPr>
                      <w:rFonts w:hint="default" w:ascii="Times New Roman" w:hAnsi="Times New Roman"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停产、检修</w:t>
                  </w:r>
                </w:p>
              </w:tc>
            </w:tr>
            <w:tr w14:paraId="4026F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pct"/>
                  <w:tcBorders>
                    <w:tl2br w:val="nil"/>
                    <w:tr2bl w:val="nil"/>
                  </w:tcBorders>
                  <w:noWrap w:val="0"/>
                  <w:tcMar>
                    <w:top w:w="28" w:type="dxa"/>
                    <w:left w:w="28" w:type="dxa"/>
                    <w:bottom w:w="28" w:type="dxa"/>
                    <w:right w:w="28" w:type="dxa"/>
                  </w:tcMar>
                  <w:vAlign w:val="center"/>
                </w:tcPr>
                <w:p w14:paraId="10ADAAFC">
                  <w:pPr>
                    <w:pStyle w:val="56"/>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DA003</w:t>
                  </w:r>
                </w:p>
              </w:tc>
              <w:tc>
                <w:tcPr>
                  <w:tcW w:w="684" w:type="pct"/>
                  <w:tcBorders>
                    <w:tl2br w:val="nil"/>
                    <w:tr2bl w:val="nil"/>
                  </w:tcBorders>
                  <w:shd w:val="clear" w:color="auto" w:fill="auto"/>
                  <w:noWrap w:val="0"/>
                  <w:tcMar>
                    <w:top w:w="28" w:type="dxa"/>
                    <w:left w:w="28" w:type="dxa"/>
                    <w:bottom w:w="28" w:type="dxa"/>
                    <w:right w:w="28" w:type="dxa"/>
                  </w:tcMar>
                  <w:vAlign w:val="center"/>
                </w:tcPr>
                <w:p w14:paraId="3E451B5D">
                  <w:pPr>
                    <w:pStyle w:val="56"/>
                    <w:bidi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815" w:type="pct"/>
                  <w:tcBorders>
                    <w:tl2br w:val="nil"/>
                    <w:tr2bl w:val="nil"/>
                  </w:tcBorders>
                  <w:shd w:val="clear" w:color="auto" w:fill="auto"/>
                  <w:noWrap w:val="0"/>
                  <w:tcMar>
                    <w:top w:w="28" w:type="dxa"/>
                    <w:left w:w="28" w:type="dxa"/>
                    <w:bottom w:w="28" w:type="dxa"/>
                    <w:right w:w="28" w:type="dxa"/>
                  </w:tcMar>
                  <w:vAlign w:val="center"/>
                </w:tcPr>
                <w:p w14:paraId="69D2834C">
                  <w:pPr>
                    <w:pStyle w:val="56"/>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25</w:t>
                  </w:r>
                </w:p>
              </w:tc>
              <w:tc>
                <w:tcPr>
                  <w:tcW w:w="646" w:type="pct"/>
                  <w:tcBorders>
                    <w:tl2br w:val="nil"/>
                    <w:tr2bl w:val="nil"/>
                  </w:tcBorders>
                  <w:shd w:val="clear" w:color="auto" w:fill="auto"/>
                  <w:noWrap w:val="0"/>
                  <w:tcMar>
                    <w:top w:w="28" w:type="dxa"/>
                    <w:left w:w="28" w:type="dxa"/>
                    <w:bottom w:w="28" w:type="dxa"/>
                    <w:right w:w="28" w:type="dxa"/>
                  </w:tcMar>
                  <w:vAlign w:val="center"/>
                </w:tcPr>
                <w:p w14:paraId="1C9DB1CD">
                  <w:pPr>
                    <w:pStyle w:val="56"/>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0.15</w:t>
                  </w:r>
                </w:p>
              </w:tc>
              <w:tc>
                <w:tcPr>
                  <w:tcW w:w="684" w:type="pct"/>
                  <w:tcBorders>
                    <w:tl2br w:val="nil"/>
                    <w:tr2bl w:val="nil"/>
                  </w:tcBorders>
                  <w:noWrap w:val="0"/>
                  <w:tcMar>
                    <w:top w:w="28" w:type="dxa"/>
                    <w:left w:w="28" w:type="dxa"/>
                    <w:bottom w:w="28" w:type="dxa"/>
                    <w:right w:w="28" w:type="dxa"/>
                  </w:tcMar>
                  <w:vAlign w:val="center"/>
                </w:tcPr>
                <w:p w14:paraId="5E17F7ED">
                  <w:pPr>
                    <w:pStyle w:val="56"/>
                    <w:bidi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c>
                <w:tcPr>
                  <w:tcW w:w="641" w:type="pct"/>
                  <w:tcBorders>
                    <w:tl2br w:val="nil"/>
                    <w:tr2bl w:val="nil"/>
                  </w:tcBorders>
                  <w:noWrap w:val="0"/>
                  <w:tcMar>
                    <w:top w:w="28" w:type="dxa"/>
                    <w:left w:w="28" w:type="dxa"/>
                    <w:bottom w:w="28" w:type="dxa"/>
                    <w:right w:w="28" w:type="dxa"/>
                  </w:tcMar>
                  <w:vAlign w:val="center"/>
                </w:tcPr>
                <w:p w14:paraId="2FA0EF97">
                  <w:pPr>
                    <w:pStyle w:val="56"/>
                    <w:bidi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c>
                <w:tcPr>
                  <w:tcW w:w="1049" w:type="pct"/>
                  <w:tcBorders>
                    <w:tl2br w:val="nil"/>
                    <w:tr2bl w:val="nil"/>
                  </w:tcBorders>
                  <w:noWrap w:val="0"/>
                  <w:tcMar>
                    <w:top w:w="28" w:type="dxa"/>
                    <w:left w:w="28" w:type="dxa"/>
                    <w:bottom w:w="28" w:type="dxa"/>
                    <w:right w:w="28" w:type="dxa"/>
                  </w:tcMar>
                  <w:vAlign w:val="center"/>
                </w:tcPr>
                <w:p w14:paraId="48BB1FAD">
                  <w:pPr>
                    <w:pStyle w:val="56"/>
                    <w:bidi w:val="0"/>
                    <w:jc w:val="center"/>
                    <w:rPr>
                      <w:rFonts w:hint="default" w:ascii="Times New Roman" w:hAnsi="Times New Roman"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停产、检修</w:t>
                  </w:r>
                </w:p>
              </w:tc>
            </w:tr>
          </w:tbl>
          <w:p w14:paraId="305AA8A1">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本环评建议企业采取以下措施，确保废气处理设备正常运行。</w:t>
            </w:r>
          </w:p>
          <w:p w14:paraId="7CDC3B3F">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①在</w:t>
            </w:r>
            <w:r>
              <w:rPr>
                <w:rFonts w:hint="default" w:ascii="Times New Roman" w:hAnsi="Times New Roman" w:cs="Times New Roman"/>
                <w:color w:val="000000" w:themeColor="text1"/>
                <w:highlight w:val="none"/>
                <w:lang w:val="en-US" w:eastAsia="zh-CN"/>
                <w14:textFill>
                  <w14:solidFill>
                    <w14:schemeClr w14:val="tx1"/>
                  </w14:solidFill>
                </w14:textFill>
              </w:rPr>
              <w:t>废气治理</w:t>
            </w:r>
            <w:r>
              <w:rPr>
                <w:rFonts w:hint="default" w:ascii="Times New Roman" w:hAnsi="Times New Roman" w:cs="Times New Roman"/>
                <w:color w:val="000000" w:themeColor="text1"/>
                <w:highlight w:val="none"/>
                <w14:textFill>
                  <w14:solidFill>
                    <w14:schemeClr w14:val="tx1"/>
                  </w14:solidFill>
                </w14:textFill>
              </w:rPr>
              <w:t>设备异常或停止运行时，</w:t>
            </w:r>
            <w:r>
              <w:rPr>
                <w:rFonts w:hint="default" w:ascii="Times New Roman" w:hAnsi="Times New Roman" w:cs="Times New Roman"/>
                <w:color w:val="000000" w:themeColor="text1"/>
                <w:highlight w:val="none"/>
                <w:lang w:val="en-US" w:eastAsia="zh-CN"/>
                <w14:textFill>
                  <w14:solidFill>
                    <w14:schemeClr w14:val="tx1"/>
                  </w14:solidFill>
                </w14:textFill>
              </w:rPr>
              <w:t>相应的锅炉设备</w:t>
            </w:r>
            <w:r>
              <w:rPr>
                <w:rFonts w:hint="default" w:ascii="Times New Roman" w:hAnsi="Times New Roman" w:cs="Times New Roman"/>
                <w:color w:val="000000" w:themeColor="text1"/>
                <w:highlight w:val="none"/>
                <w14:textFill>
                  <w14:solidFill>
                    <w14:schemeClr w14:val="tx1"/>
                  </w14:solidFill>
                </w14:textFill>
              </w:rPr>
              <w:t>必须相应停止运行；</w:t>
            </w:r>
          </w:p>
          <w:p w14:paraId="3CCB01B6">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②在选择设备时，采用成熟可靠的产品，减少设备</w:t>
            </w:r>
            <w:r>
              <w:rPr>
                <w:rFonts w:hint="default" w:ascii="Times New Roman" w:hAnsi="Times New Roman" w:cs="Times New Roman"/>
                <w:color w:val="000000" w:themeColor="text1"/>
                <w:highlight w:val="none"/>
                <w:lang w:eastAsia="zh-CN"/>
                <w14:textFill>
                  <w14:solidFill>
                    <w14:schemeClr w14:val="tx1"/>
                  </w14:solidFill>
                </w14:textFill>
              </w:rPr>
              <w:t>发生</w:t>
            </w:r>
            <w:r>
              <w:rPr>
                <w:rFonts w:hint="default" w:ascii="Times New Roman" w:hAnsi="Times New Roman" w:cs="Times New Roman"/>
                <w:color w:val="000000" w:themeColor="text1"/>
                <w:highlight w:val="none"/>
                <w14:textFill>
                  <w14:solidFill>
                    <w14:schemeClr w14:val="tx1"/>
                  </w14:solidFill>
                </w14:textFill>
              </w:rPr>
              <w:t>故障的概率；</w:t>
            </w:r>
          </w:p>
          <w:p w14:paraId="61245912">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③建立健全的环保管理机构，对环保管理人员和技术人员进行岗位培训，委托具有专业资质的环境检测单位对排放的各类废气污染物进行定期检测；</w:t>
            </w:r>
          </w:p>
          <w:p w14:paraId="70D1C44D">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④安排专人负责环保设备的日常维护和管理，每隔固定时间检查、汇报情况。为防止非正常排放工况产生，企业应严格环保管理，建立运行台账，及时发现处理设备的隐患，避免低氮燃烧装置失效情况的发生。</w:t>
            </w:r>
          </w:p>
          <w:p w14:paraId="33589D52">
            <w:pPr>
              <w:pStyle w:val="5"/>
              <w:numPr>
                <w:ilvl w:val="-1"/>
                <w:numId w:val="0"/>
              </w:numPr>
              <w:bidi w:val="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4.2.1.6</w:t>
            </w:r>
            <w:r>
              <w:rPr>
                <w:rFonts w:hint="default" w:ascii="Times New Roman" w:hAnsi="Times New Roman" w:cs="Times New Roman"/>
                <w:color w:val="000000" w:themeColor="text1"/>
                <w:highlight w:val="none"/>
                <w14:textFill>
                  <w14:solidFill>
                    <w14:schemeClr w14:val="tx1"/>
                  </w14:solidFill>
                </w14:textFill>
              </w:rPr>
              <w:t>大气排放口情况</w:t>
            </w:r>
          </w:p>
          <w:p w14:paraId="16EBF934">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大气排放口基本情况详见</w:t>
            </w:r>
            <w:r>
              <w:rPr>
                <w:rFonts w:hint="default" w:ascii="Times New Roman" w:hAnsi="Times New Roman" w:cs="Times New Roman"/>
                <w:color w:val="000000" w:themeColor="text1"/>
                <w:highlight w:val="none"/>
                <w:lang w:val="en-US" w:eastAsia="zh-CN"/>
                <w14:textFill>
                  <w14:solidFill>
                    <w14:schemeClr w14:val="tx1"/>
                  </w14:solidFill>
                </w14:textFill>
              </w:rPr>
              <w:t>下</w:t>
            </w:r>
            <w:r>
              <w:rPr>
                <w:rFonts w:hint="default" w:ascii="Times New Roman" w:hAnsi="Times New Roman" w:cs="Times New Roman"/>
                <w:color w:val="000000" w:themeColor="text1"/>
                <w:highlight w:val="none"/>
                <w14:textFill>
                  <w14:solidFill>
                    <w14:schemeClr w14:val="tx1"/>
                  </w14:solidFill>
                </w14:textFill>
              </w:rPr>
              <w:t>表。</w:t>
            </w:r>
          </w:p>
          <w:p w14:paraId="0F660889">
            <w:pPr>
              <w:pStyle w:val="6"/>
              <w:numPr>
                <w:ilvl w:val="4"/>
                <w:numId w:val="0"/>
              </w:numPr>
              <w:bidi w:val="0"/>
              <w:ind w:leftChars="0"/>
              <w:jc w:val="center"/>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表4-</w:t>
            </w:r>
            <w:r>
              <w:rPr>
                <w:rFonts w:hint="eastAsia" w:cs="Times New Roman"/>
                <w:color w:val="000000" w:themeColor="text1"/>
                <w:highlight w:val="none"/>
                <w:lang w:val="en-US" w:eastAsia="zh-CN"/>
                <w14:textFill>
                  <w14:solidFill>
                    <w14:schemeClr w14:val="tx1"/>
                  </w14:solidFill>
                </w14:textFill>
              </w:rPr>
              <w:t>7</w:t>
            </w:r>
            <w:r>
              <w:rPr>
                <w:rFonts w:hint="eastAsia"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大气排放口基本情况表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896"/>
              <w:gridCol w:w="955"/>
              <w:gridCol w:w="1195"/>
              <w:gridCol w:w="1009"/>
              <w:gridCol w:w="1062"/>
              <w:gridCol w:w="619"/>
              <w:gridCol w:w="613"/>
              <w:gridCol w:w="1412"/>
            </w:tblGrid>
            <w:tr w14:paraId="5A9DC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restart"/>
                  <w:tcBorders>
                    <w:tl2br w:val="nil"/>
                    <w:tr2bl w:val="nil"/>
                  </w:tcBorders>
                  <w:noWrap w:val="0"/>
                  <w:tcMar>
                    <w:top w:w="28" w:type="dxa"/>
                    <w:left w:w="28" w:type="dxa"/>
                    <w:bottom w:w="28" w:type="dxa"/>
                    <w:right w:w="28" w:type="dxa"/>
                  </w:tcMar>
                  <w:vAlign w:val="center"/>
                </w:tcPr>
                <w:p w14:paraId="1FA44AA1">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排气筒编号</w:t>
                  </w:r>
                </w:p>
              </w:tc>
              <w:tc>
                <w:tcPr>
                  <w:tcW w:w="543" w:type="pct"/>
                  <w:vMerge w:val="restart"/>
                  <w:tcBorders>
                    <w:tl2br w:val="nil"/>
                    <w:tr2bl w:val="nil"/>
                  </w:tcBorders>
                  <w:noWrap w:val="0"/>
                  <w:vAlign w:val="center"/>
                </w:tcPr>
                <w:p w14:paraId="134BED85">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排放口编号</w:t>
                  </w:r>
                </w:p>
              </w:tc>
              <w:tc>
                <w:tcPr>
                  <w:tcW w:w="578" w:type="pct"/>
                  <w:vMerge w:val="restart"/>
                  <w:tcBorders>
                    <w:tl2br w:val="nil"/>
                    <w:tr2bl w:val="nil"/>
                  </w:tcBorders>
                  <w:noWrap w:val="0"/>
                  <w:tcMar>
                    <w:top w:w="28" w:type="dxa"/>
                    <w:left w:w="28" w:type="dxa"/>
                    <w:bottom w:w="28" w:type="dxa"/>
                    <w:right w:w="28" w:type="dxa"/>
                  </w:tcMar>
                  <w:vAlign w:val="center"/>
                </w:tcPr>
                <w:p w14:paraId="6A3A13D2">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排放口名称</w:t>
                  </w:r>
                </w:p>
              </w:tc>
              <w:tc>
                <w:tcPr>
                  <w:tcW w:w="724" w:type="pct"/>
                  <w:vMerge w:val="restart"/>
                  <w:tcBorders>
                    <w:tl2br w:val="nil"/>
                    <w:tr2bl w:val="nil"/>
                  </w:tcBorders>
                  <w:noWrap w:val="0"/>
                  <w:vAlign w:val="center"/>
                </w:tcPr>
                <w:p w14:paraId="6DDAD638">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污染物种类</w:t>
                  </w:r>
                </w:p>
              </w:tc>
              <w:tc>
                <w:tcPr>
                  <w:tcW w:w="1255" w:type="pct"/>
                  <w:gridSpan w:val="2"/>
                  <w:tcBorders>
                    <w:tl2br w:val="nil"/>
                    <w:tr2bl w:val="nil"/>
                  </w:tcBorders>
                  <w:noWrap w:val="0"/>
                  <w:tcMar>
                    <w:top w:w="28" w:type="dxa"/>
                    <w:left w:w="28" w:type="dxa"/>
                    <w:bottom w:w="28" w:type="dxa"/>
                    <w:right w:w="28" w:type="dxa"/>
                  </w:tcMar>
                  <w:vAlign w:val="center"/>
                </w:tcPr>
                <w:p w14:paraId="20AFAF4F">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排放口地理坐标</w:t>
                  </w:r>
                </w:p>
              </w:tc>
              <w:tc>
                <w:tcPr>
                  <w:tcW w:w="1602" w:type="pct"/>
                  <w:gridSpan w:val="3"/>
                  <w:tcBorders>
                    <w:tl2br w:val="nil"/>
                    <w:tr2bl w:val="nil"/>
                  </w:tcBorders>
                  <w:noWrap w:val="0"/>
                  <w:tcMar>
                    <w:top w:w="28" w:type="dxa"/>
                    <w:left w:w="28" w:type="dxa"/>
                    <w:bottom w:w="28" w:type="dxa"/>
                    <w:right w:w="28" w:type="dxa"/>
                  </w:tcMar>
                  <w:vAlign w:val="center"/>
                </w:tcPr>
                <w:p w14:paraId="43735C99">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排气筒参数</w:t>
                  </w:r>
                </w:p>
              </w:tc>
            </w:tr>
            <w:tr w14:paraId="1CA8F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tcBorders>
                    <w:tl2br w:val="nil"/>
                    <w:tr2bl w:val="nil"/>
                  </w:tcBorders>
                  <w:noWrap w:val="0"/>
                  <w:tcMar>
                    <w:top w:w="28" w:type="dxa"/>
                    <w:left w:w="28" w:type="dxa"/>
                    <w:bottom w:w="28" w:type="dxa"/>
                    <w:right w:w="28" w:type="dxa"/>
                  </w:tcMar>
                  <w:vAlign w:val="center"/>
                </w:tcPr>
                <w:p w14:paraId="43928E1A">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543" w:type="pct"/>
                  <w:vMerge w:val="continue"/>
                  <w:tcBorders>
                    <w:tl2br w:val="nil"/>
                    <w:tr2bl w:val="nil"/>
                  </w:tcBorders>
                  <w:noWrap w:val="0"/>
                  <w:vAlign w:val="center"/>
                </w:tcPr>
                <w:p w14:paraId="5C65D412">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578" w:type="pct"/>
                  <w:vMerge w:val="continue"/>
                  <w:tcBorders>
                    <w:tl2br w:val="nil"/>
                    <w:tr2bl w:val="nil"/>
                  </w:tcBorders>
                  <w:noWrap w:val="0"/>
                  <w:tcMar>
                    <w:top w:w="28" w:type="dxa"/>
                    <w:left w:w="28" w:type="dxa"/>
                    <w:bottom w:w="28" w:type="dxa"/>
                    <w:right w:w="28" w:type="dxa"/>
                  </w:tcMar>
                  <w:vAlign w:val="center"/>
                </w:tcPr>
                <w:p w14:paraId="2D2E938F">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724" w:type="pct"/>
                  <w:vMerge w:val="continue"/>
                  <w:tcBorders>
                    <w:tl2br w:val="nil"/>
                    <w:tr2bl w:val="nil"/>
                  </w:tcBorders>
                  <w:noWrap w:val="0"/>
                  <w:vAlign w:val="center"/>
                </w:tcPr>
                <w:p w14:paraId="4F904A18">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611" w:type="pct"/>
                  <w:tcBorders>
                    <w:tl2br w:val="nil"/>
                    <w:tr2bl w:val="nil"/>
                  </w:tcBorders>
                  <w:noWrap w:val="0"/>
                  <w:tcMar>
                    <w:top w:w="28" w:type="dxa"/>
                    <w:left w:w="28" w:type="dxa"/>
                    <w:bottom w:w="28" w:type="dxa"/>
                    <w:right w:w="28" w:type="dxa"/>
                  </w:tcMar>
                  <w:vAlign w:val="center"/>
                </w:tcPr>
                <w:p w14:paraId="1FEA3F8E">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经度</w:t>
                  </w:r>
                </w:p>
              </w:tc>
              <w:tc>
                <w:tcPr>
                  <w:tcW w:w="643" w:type="pct"/>
                  <w:tcBorders>
                    <w:tl2br w:val="nil"/>
                    <w:tr2bl w:val="nil"/>
                  </w:tcBorders>
                  <w:noWrap w:val="0"/>
                  <w:vAlign w:val="center"/>
                </w:tcPr>
                <w:p w14:paraId="257F1B60">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纬度</w:t>
                  </w:r>
                </w:p>
              </w:tc>
              <w:tc>
                <w:tcPr>
                  <w:tcW w:w="375" w:type="pct"/>
                  <w:tcBorders>
                    <w:tl2br w:val="nil"/>
                    <w:tr2bl w:val="nil"/>
                  </w:tcBorders>
                  <w:noWrap w:val="0"/>
                  <w:tcMar>
                    <w:top w:w="28" w:type="dxa"/>
                    <w:left w:w="28" w:type="dxa"/>
                    <w:bottom w:w="28" w:type="dxa"/>
                    <w:right w:w="28" w:type="dxa"/>
                  </w:tcMar>
                  <w:vAlign w:val="center"/>
                </w:tcPr>
                <w:p w14:paraId="302AB83A">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高度（m）</w:t>
                  </w:r>
                </w:p>
              </w:tc>
              <w:tc>
                <w:tcPr>
                  <w:tcW w:w="371" w:type="pct"/>
                  <w:tcBorders>
                    <w:tl2br w:val="nil"/>
                    <w:tr2bl w:val="nil"/>
                  </w:tcBorders>
                  <w:noWrap w:val="0"/>
                  <w:tcMar>
                    <w:top w:w="28" w:type="dxa"/>
                    <w:left w:w="28" w:type="dxa"/>
                    <w:bottom w:w="28" w:type="dxa"/>
                    <w:right w:w="28" w:type="dxa"/>
                  </w:tcMar>
                  <w:vAlign w:val="center"/>
                </w:tcPr>
                <w:p w14:paraId="3D45B9CC">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内径（m）</w:t>
                  </w:r>
                </w:p>
              </w:tc>
              <w:tc>
                <w:tcPr>
                  <w:tcW w:w="855" w:type="pct"/>
                  <w:tcBorders>
                    <w:tl2br w:val="nil"/>
                    <w:tr2bl w:val="nil"/>
                  </w:tcBorders>
                  <w:noWrap w:val="0"/>
                  <w:tcMar>
                    <w:top w:w="28" w:type="dxa"/>
                    <w:left w:w="28" w:type="dxa"/>
                    <w:bottom w:w="28" w:type="dxa"/>
                    <w:right w:w="28" w:type="dxa"/>
                  </w:tcMar>
                  <w:vAlign w:val="center"/>
                </w:tcPr>
                <w:p w14:paraId="128D3BDE">
                  <w:pPr>
                    <w:pStyle w:val="5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温度（℃）</w:t>
                  </w:r>
                </w:p>
              </w:tc>
            </w:tr>
            <w:tr w14:paraId="02F1D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l2br w:val="nil"/>
                    <w:tr2bl w:val="nil"/>
                  </w:tcBorders>
                  <w:noWrap w:val="0"/>
                  <w:tcMar>
                    <w:top w:w="28" w:type="dxa"/>
                    <w:left w:w="28" w:type="dxa"/>
                    <w:bottom w:w="28" w:type="dxa"/>
                    <w:right w:w="28" w:type="dxa"/>
                  </w:tcMar>
                  <w:vAlign w:val="center"/>
                </w:tcPr>
                <w:p w14:paraId="684E3DE0">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543" w:type="pct"/>
                  <w:tcBorders>
                    <w:tl2br w:val="nil"/>
                    <w:tr2bl w:val="nil"/>
                  </w:tcBorders>
                  <w:noWrap w:val="0"/>
                  <w:vAlign w:val="center"/>
                </w:tcPr>
                <w:p w14:paraId="1D37F900">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DA001</w:t>
                  </w:r>
                </w:p>
              </w:tc>
              <w:tc>
                <w:tcPr>
                  <w:tcW w:w="578" w:type="pct"/>
                  <w:tcBorders>
                    <w:tl2br w:val="nil"/>
                    <w:tr2bl w:val="nil"/>
                  </w:tcBorders>
                  <w:noWrap w:val="0"/>
                  <w:tcMar>
                    <w:top w:w="28" w:type="dxa"/>
                    <w:left w:w="28" w:type="dxa"/>
                    <w:bottom w:w="28" w:type="dxa"/>
                    <w:right w:w="28" w:type="dxa"/>
                  </w:tcMar>
                  <w:vAlign w:val="center"/>
                </w:tcPr>
                <w:p w14:paraId="5431B13E">
                  <w:pPr>
                    <w:pStyle w:val="56"/>
                    <w:bidi w:val="0"/>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生物质燃料蒸汽发生器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废气排放口</w:t>
                  </w:r>
                </w:p>
              </w:tc>
              <w:tc>
                <w:tcPr>
                  <w:tcW w:w="724" w:type="pct"/>
                  <w:tcBorders>
                    <w:tl2br w:val="nil"/>
                    <w:tr2bl w:val="nil"/>
                  </w:tcBorders>
                  <w:noWrap w:val="0"/>
                  <w:vAlign w:val="center"/>
                </w:tcPr>
                <w:p w14:paraId="1D29DB9C">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、颗粒物</w:t>
                  </w:r>
                </w:p>
              </w:tc>
              <w:tc>
                <w:tcPr>
                  <w:tcW w:w="611" w:type="pct"/>
                  <w:tcBorders>
                    <w:tl2br w:val="nil"/>
                    <w:tr2bl w:val="nil"/>
                  </w:tcBorders>
                  <w:noWrap w:val="0"/>
                  <w:tcMar>
                    <w:top w:w="28" w:type="dxa"/>
                    <w:left w:w="28" w:type="dxa"/>
                    <w:bottom w:w="28" w:type="dxa"/>
                    <w:right w:w="28" w:type="dxa"/>
                  </w:tcMar>
                  <w:vAlign w:val="center"/>
                </w:tcPr>
                <w:p w14:paraId="0807838D">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107.438082</w:t>
                  </w:r>
                </w:p>
              </w:tc>
              <w:tc>
                <w:tcPr>
                  <w:tcW w:w="643" w:type="pct"/>
                  <w:tcBorders>
                    <w:tl2br w:val="nil"/>
                    <w:tr2bl w:val="nil"/>
                  </w:tcBorders>
                  <w:noWrap w:val="0"/>
                  <w:vAlign w:val="center"/>
                </w:tcPr>
                <w:p w14:paraId="3AE008A2">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31.005766</w:t>
                  </w:r>
                </w:p>
              </w:tc>
              <w:tc>
                <w:tcPr>
                  <w:tcW w:w="375" w:type="pct"/>
                  <w:tcBorders>
                    <w:tl2br w:val="nil"/>
                    <w:tr2bl w:val="nil"/>
                  </w:tcBorders>
                  <w:noWrap w:val="0"/>
                  <w:tcMar>
                    <w:top w:w="28" w:type="dxa"/>
                    <w:left w:w="28" w:type="dxa"/>
                    <w:bottom w:w="28" w:type="dxa"/>
                    <w:right w:w="28" w:type="dxa"/>
                  </w:tcMar>
                  <w:vAlign w:val="center"/>
                </w:tcPr>
                <w:p w14:paraId="68F9BBB5">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371" w:type="pct"/>
                  <w:tcBorders>
                    <w:tl2br w:val="nil"/>
                    <w:tr2bl w:val="nil"/>
                  </w:tcBorders>
                  <w:noWrap w:val="0"/>
                  <w:tcMar>
                    <w:top w:w="28" w:type="dxa"/>
                    <w:left w:w="28" w:type="dxa"/>
                    <w:bottom w:w="28" w:type="dxa"/>
                    <w:right w:w="28" w:type="dxa"/>
                  </w:tcMar>
                  <w:vAlign w:val="center"/>
                </w:tcPr>
                <w:p w14:paraId="1F79D3A7">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0.3</w:t>
                  </w:r>
                </w:p>
              </w:tc>
              <w:tc>
                <w:tcPr>
                  <w:tcW w:w="855" w:type="pct"/>
                  <w:tcBorders>
                    <w:tl2br w:val="nil"/>
                    <w:tr2bl w:val="nil"/>
                  </w:tcBorders>
                  <w:noWrap w:val="0"/>
                  <w:tcMar>
                    <w:top w:w="28" w:type="dxa"/>
                    <w:left w:w="28" w:type="dxa"/>
                    <w:bottom w:w="28" w:type="dxa"/>
                    <w:right w:w="28" w:type="dxa"/>
                  </w:tcMar>
                  <w:vAlign w:val="center"/>
                </w:tcPr>
                <w:p w14:paraId="288B0D77">
                  <w:pPr>
                    <w:keepNext w:val="0"/>
                    <w:keepLines w:val="0"/>
                    <w:widowControl/>
                    <w:suppressLineNumbers w:val="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r>
            <w:tr w14:paraId="442A5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l2br w:val="nil"/>
                    <w:tr2bl w:val="nil"/>
                  </w:tcBorders>
                  <w:noWrap w:val="0"/>
                  <w:tcMar>
                    <w:top w:w="28" w:type="dxa"/>
                    <w:left w:w="28" w:type="dxa"/>
                    <w:bottom w:w="28" w:type="dxa"/>
                    <w:right w:w="28" w:type="dxa"/>
                  </w:tcMar>
                  <w:vAlign w:val="center"/>
                </w:tcPr>
                <w:p w14:paraId="6BAF0E75">
                  <w:pPr>
                    <w:pStyle w:val="5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543" w:type="pct"/>
                  <w:tcBorders>
                    <w:tl2br w:val="nil"/>
                    <w:tr2bl w:val="nil"/>
                  </w:tcBorders>
                  <w:noWrap w:val="0"/>
                  <w:vAlign w:val="center"/>
                </w:tcPr>
                <w:p w14:paraId="09D9AF3E">
                  <w:pPr>
                    <w:pStyle w:val="56"/>
                    <w:bidi w:val="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DA00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578" w:type="pct"/>
                  <w:tcBorders>
                    <w:tl2br w:val="nil"/>
                    <w:tr2bl w:val="nil"/>
                  </w:tcBorders>
                  <w:noWrap w:val="0"/>
                  <w:tcMar>
                    <w:top w:w="28" w:type="dxa"/>
                    <w:left w:w="28" w:type="dxa"/>
                    <w:bottom w:w="28" w:type="dxa"/>
                    <w:right w:w="28" w:type="dxa"/>
                  </w:tcMar>
                  <w:vAlign w:val="center"/>
                </w:tcPr>
                <w:p w14:paraId="1F1F18A5">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烘干废气排放口</w:t>
                  </w:r>
                </w:p>
              </w:tc>
              <w:tc>
                <w:tcPr>
                  <w:tcW w:w="724" w:type="pct"/>
                  <w:tcBorders>
                    <w:tl2br w:val="nil"/>
                    <w:tr2bl w:val="nil"/>
                  </w:tcBorders>
                  <w:noWrap w:val="0"/>
                  <w:vAlign w:val="center"/>
                </w:tcPr>
                <w:p w14:paraId="335ACB1B">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颗粒物</w:t>
                  </w:r>
                </w:p>
              </w:tc>
              <w:tc>
                <w:tcPr>
                  <w:tcW w:w="611" w:type="pct"/>
                  <w:tcBorders>
                    <w:tl2br w:val="nil"/>
                    <w:tr2bl w:val="nil"/>
                  </w:tcBorders>
                  <w:noWrap w:val="0"/>
                  <w:tcMar>
                    <w:top w:w="28" w:type="dxa"/>
                    <w:left w:w="28" w:type="dxa"/>
                    <w:bottom w:w="28" w:type="dxa"/>
                    <w:right w:w="28" w:type="dxa"/>
                  </w:tcMar>
                  <w:vAlign w:val="center"/>
                </w:tcPr>
                <w:p w14:paraId="2B31E6F6">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107.437710</w:t>
                  </w:r>
                </w:p>
              </w:tc>
              <w:tc>
                <w:tcPr>
                  <w:tcW w:w="643" w:type="pct"/>
                  <w:tcBorders>
                    <w:tl2br w:val="nil"/>
                    <w:tr2bl w:val="nil"/>
                  </w:tcBorders>
                  <w:noWrap w:val="0"/>
                  <w:vAlign w:val="center"/>
                </w:tcPr>
                <w:p w14:paraId="0094A44D">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31.005755</w:t>
                  </w:r>
                </w:p>
              </w:tc>
              <w:tc>
                <w:tcPr>
                  <w:tcW w:w="375" w:type="pct"/>
                  <w:tcBorders>
                    <w:tl2br w:val="nil"/>
                    <w:tr2bl w:val="nil"/>
                  </w:tcBorders>
                  <w:noWrap w:val="0"/>
                  <w:tcMar>
                    <w:top w:w="28" w:type="dxa"/>
                    <w:left w:w="28" w:type="dxa"/>
                    <w:bottom w:w="28" w:type="dxa"/>
                    <w:right w:w="28" w:type="dxa"/>
                  </w:tcMar>
                  <w:vAlign w:val="center"/>
                </w:tcPr>
                <w:p w14:paraId="64B51E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371" w:type="pct"/>
                  <w:tcBorders>
                    <w:tl2br w:val="nil"/>
                    <w:tr2bl w:val="nil"/>
                  </w:tcBorders>
                  <w:noWrap w:val="0"/>
                  <w:tcMar>
                    <w:top w:w="28" w:type="dxa"/>
                    <w:left w:w="28" w:type="dxa"/>
                    <w:bottom w:w="28" w:type="dxa"/>
                    <w:right w:w="28" w:type="dxa"/>
                  </w:tcMar>
                  <w:vAlign w:val="center"/>
                </w:tcPr>
                <w:p w14:paraId="5D3402D6">
                  <w:pPr>
                    <w:keepNext w:val="0"/>
                    <w:keepLines w:val="0"/>
                    <w:widowControl/>
                    <w:suppressLineNumbers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0.3</w:t>
                  </w:r>
                </w:p>
              </w:tc>
              <w:tc>
                <w:tcPr>
                  <w:tcW w:w="855" w:type="pct"/>
                  <w:tcBorders>
                    <w:tl2br w:val="nil"/>
                    <w:tr2bl w:val="nil"/>
                  </w:tcBorders>
                  <w:noWrap w:val="0"/>
                  <w:tcMar>
                    <w:top w:w="28" w:type="dxa"/>
                    <w:left w:w="28" w:type="dxa"/>
                    <w:bottom w:w="28" w:type="dxa"/>
                    <w:right w:w="28" w:type="dxa"/>
                  </w:tcMar>
                  <w:vAlign w:val="center"/>
                </w:tcPr>
                <w:p w14:paraId="244668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r>
            <w:tr w14:paraId="1D472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tcBorders>
                    <w:tl2br w:val="nil"/>
                    <w:tr2bl w:val="nil"/>
                  </w:tcBorders>
                  <w:noWrap w:val="0"/>
                  <w:tcMar>
                    <w:top w:w="28" w:type="dxa"/>
                    <w:left w:w="28" w:type="dxa"/>
                    <w:bottom w:w="28" w:type="dxa"/>
                    <w:right w:w="28" w:type="dxa"/>
                  </w:tcMar>
                  <w:vAlign w:val="center"/>
                </w:tcPr>
                <w:p w14:paraId="61D3C802">
                  <w:pPr>
                    <w:pStyle w:val="56"/>
                    <w:bidi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543" w:type="pct"/>
                  <w:tcBorders>
                    <w:tl2br w:val="nil"/>
                    <w:tr2bl w:val="nil"/>
                  </w:tcBorders>
                  <w:noWrap w:val="0"/>
                  <w:vAlign w:val="center"/>
                </w:tcPr>
                <w:p w14:paraId="06C389D0">
                  <w:pPr>
                    <w:pStyle w:val="56"/>
                    <w:bidi w:val="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DA00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578" w:type="pct"/>
                  <w:tcBorders>
                    <w:tl2br w:val="nil"/>
                    <w:tr2bl w:val="nil"/>
                  </w:tcBorders>
                  <w:noWrap w:val="0"/>
                  <w:tcMar>
                    <w:top w:w="28" w:type="dxa"/>
                    <w:left w:w="28" w:type="dxa"/>
                    <w:bottom w:w="28" w:type="dxa"/>
                    <w:right w:w="28" w:type="dxa"/>
                  </w:tcMar>
                  <w:vAlign w:val="center"/>
                </w:tcPr>
                <w:p w14:paraId="4C1CF67F">
                  <w:pPr>
                    <w:pStyle w:val="56"/>
                    <w:bidi w:val="0"/>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烘干废气排放口</w:t>
                  </w:r>
                </w:p>
              </w:tc>
              <w:tc>
                <w:tcPr>
                  <w:tcW w:w="724" w:type="pct"/>
                  <w:tcBorders>
                    <w:tl2br w:val="nil"/>
                    <w:tr2bl w:val="nil"/>
                  </w:tcBorders>
                  <w:noWrap w:val="0"/>
                  <w:vAlign w:val="center"/>
                </w:tcPr>
                <w:p w14:paraId="519A1BF2">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颗粒物</w:t>
                  </w:r>
                </w:p>
              </w:tc>
              <w:tc>
                <w:tcPr>
                  <w:tcW w:w="611" w:type="pct"/>
                  <w:tcBorders>
                    <w:tl2br w:val="nil"/>
                    <w:tr2bl w:val="nil"/>
                  </w:tcBorders>
                  <w:noWrap w:val="0"/>
                  <w:tcMar>
                    <w:top w:w="28" w:type="dxa"/>
                    <w:left w:w="28" w:type="dxa"/>
                    <w:bottom w:w="28" w:type="dxa"/>
                    <w:right w:w="28" w:type="dxa"/>
                  </w:tcMar>
                  <w:vAlign w:val="center"/>
                </w:tcPr>
                <w:p w14:paraId="4AAF1403">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107.437592</w:t>
                  </w:r>
                </w:p>
              </w:tc>
              <w:tc>
                <w:tcPr>
                  <w:tcW w:w="643" w:type="pct"/>
                  <w:tcBorders>
                    <w:tl2br w:val="nil"/>
                    <w:tr2bl w:val="nil"/>
                  </w:tcBorders>
                  <w:noWrap w:val="0"/>
                  <w:vAlign w:val="center"/>
                </w:tcPr>
                <w:p w14:paraId="2D08E9CA">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31.005779</w:t>
                  </w:r>
                </w:p>
              </w:tc>
              <w:tc>
                <w:tcPr>
                  <w:tcW w:w="375" w:type="pct"/>
                  <w:tcBorders>
                    <w:tl2br w:val="nil"/>
                    <w:tr2bl w:val="nil"/>
                  </w:tcBorders>
                  <w:noWrap w:val="0"/>
                  <w:tcMar>
                    <w:top w:w="28" w:type="dxa"/>
                    <w:left w:w="28" w:type="dxa"/>
                    <w:bottom w:w="28" w:type="dxa"/>
                    <w:right w:w="28" w:type="dxa"/>
                  </w:tcMar>
                  <w:vAlign w:val="center"/>
                </w:tcPr>
                <w:p w14:paraId="4A9807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371" w:type="pct"/>
                  <w:tcBorders>
                    <w:tl2br w:val="nil"/>
                    <w:tr2bl w:val="nil"/>
                  </w:tcBorders>
                  <w:noWrap w:val="0"/>
                  <w:tcMar>
                    <w:top w:w="28" w:type="dxa"/>
                    <w:left w:w="28" w:type="dxa"/>
                    <w:bottom w:w="28" w:type="dxa"/>
                    <w:right w:w="28" w:type="dxa"/>
                  </w:tcMar>
                  <w:vAlign w:val="center"/>
                </w:tcPr>
                <w:p w14:paraId="329A0F42">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0.3</w:t>
                  </w:r>
                </w:p>
              </w:tc>
              <w:tc>
                <w:tcPr>
                  <w:tcW w:w="855" w:type="pct"/>
                  <w:tcBorders>
                    <w:tl2br w:val="nil"/>
                    <w:tr2bl w:val="nil"/>
                  </w:tcBorders>
                  <w:noWrap w:val="0"/>
                  <w:tcMar>
                    <w:top w:w="28" w:type="dxa"/>
                    <w:left w:w="28" w:type="dxa"/>
                    <w:bottom w:w="28" w:type="dxa"/>
                    <w:right w:w="28" w:type="dxa"/>
                  </w:tcMar>
                  <w:vAlign w:val="center"/>
                </w:tcPr>
                <w:p w14:paraId="4B991F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r>
          </w:tbl>
          <w:p w14:paraId="7AFD80E8">
            <w:pPr>
              <w:pStyle w:val="5"/>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监测要求</w:t>
            </w:r>
          </w:p>
          <w:p w14:paraId="652A050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eastAsia"/>
                <w:highlight w:val="none"/>
              </w:rPr>
              <w:t>排污许可证申请与核发技术规范  锅炉》(HJ953-2018)、《排污单位自行监测技术指南</w:t>
            </w:r>
            <w:r>
              <w:rPr>
                <w:rFonts w:hint="eastAsia"/>
                <w:highlight w:val="none"/>
                <w:lang w:val="en-US" w:eastAsia="zh-CN"/>
              </w:rPr>
              <w:t xml:space="preserve">  </w:t>
            </w:r>
            <w:r>
              <w:rPr>
                <w:rFonts w:hint="eastAsia"/>
                <w:highlight w:val="none"/>
              </w:rPr>
              <w:t>火力发电及锅炉》（</w:t>
            </w:r>
            <w:r>
              <w:rPr>
                <w:highlight w:val="none"/>
              </w:rPr>
              <w:t>HJ820-2017</w:t>
            </w:r>
            <w:r>
              <w:rPr>
                <w:rFonts w:hint="eastAsia"/>
                <w:highlight w:val="none"/>
              </w:rPr>
              <w:t>）、</w:t>
            </w:r>
            <w:r>
              <w:rPr>
                <w:highlight w:val="none"/>
              </w:rPr>
              <w:t>《排污单位自行监测技术指南</w:t>
            </w:r>
            <w:r>
              <w:rPr>
                <w:rFonts w:hint="eastAsia"/>
                <w:highlight w:val="none"/>
              </w:rPr>
              <w:t xml:space="preserve"> </w:t>
            </w:r>
            <w:r>
              <w:rPr>
                <w:rFonts w:hint="eastAsia"/>
                <w:highlight w:val="none"/>
                <w:lang w:val="en-US" w:eastAsia="zh-CN"/>
              </w:rPr>
              <w:t xml:space="preserve"> </w:t>
            </w:r>
            <w:r>
              <w:rPr>
                <w:highlight w:val="none"/>
              </w:rPr>
              <w:t>总则》（HJ819-2017）</w:t>
            </w:r>
            <w:r>
              <w:rPr>
                <w:rFonts w:hint="eastAsia"/>
                <w:highlight w:val="none"/>
                <w:lang w:eastAsia="zh-CN"/>
              </w:rPr>
              <w:t>、《排污许可证申请与核发技术规范</w:t>
            </w:r>
            <w:r>
              <w:rPr>
                <w:rFonts w:hint="eastAsia"/>
                <w:highlight w:val="none"/>
                <w:lang w:val="en-US" w:eastAsia="zh-CN"/>
              </w:rPr>
              <w:t xml:space="preserve"> </w:t>
            </w:r>
            <w:r>
              <w:rPr>
                <w:rFonts w:hint="eastAsia"/>
                <w:highlight w:val="none"/>
                <w:lang w:eastAsia="zh-CN"/>
              </w:rPr>
              <w:t>纺织印染工业》</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HJ 879-2017</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cs="Times New Roman"/>
                <w:color w:val="000000" w:themeColor="text1"/>
                <w:sz w:val="24"/>
                <w:highlight w:val="none"/>
                <w14:textFill>
                  <w14:solidFill>
                    <w14:schemeClr w14:val="tx1"/>
                  </w14:solidFill>
                </w14:textFill>
              </w:rPr>
              <w:t>，本项目废气例行监测要求如下表。</w:t>
            </w:r>
          </w:p>
          <w:p w14:paraId="4024CD71">
            <w:pPr>
              <w:pStyle w:val="6"/>
              <w:numPr>
                <w:ilvl w:val="4"/>
                <w:numId w:val="0"/>
              </w:numPr>
              <w:bidi w:val="0"/>
              <w:ind w:leftChars="0"/>
              <w:jc w:val="center"/>
              <w:rPr>
                <w:rFonts w:hint="eastAsia" w:cs="Times New Roman"/>
                <w:color w:val="000000" w:themeColor="text1"/>
                <w:highlight w:val="none"/>
                <w:lang w:val="en-US" w:eastAsia="zh-CN"/>
                <w14:textFill>
                  <w14:solidFill>
                    <w14:schemeClr w14:val="tx1"/>
                  </w14:solidFill>
                </w14:textFill>
              </w:rPr>
            </w:pPr>
          </w:p>
          <w:p w14:paraId="39DDB7FD">
            <w:pPr>
              <w:pStyle w:val="6"/>
              <w:numPr>
                <w:ilvl w:val="4"/>
                <w:numId w:val="0"/>
              </w:numPr>
              <w:bidi w:val="0"/>
              <w:ind w:leftChars="0"/>
              <w:jc w:val="center"/>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表4-</w:t>
            </w:r>
            <w:r>
              <w:rPr>
                <w:rFonts w:hint="eastAsia" w:cs="Times New Roman"/>
                <w:color w:val="000000" w:themeColor="text1"/>
                <w:highlight w:val="none"/>
                <w:lang w:val="en-US" w:eastAsia="zh-CN"/>
                <w14:textFill>
                  <w14:solidFill>
                    <w14:schemeClr w14:val="tx1"/>
                  </w14:solidFill>
                </w14:textFill>
              </w:rPr>
              <w:t>8</w:t>
            </w:r>
            <w:r>
              <w:rPr>
                <w:rFonts w:hint="eastAsia"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废气例行监测计划表</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44"/>
              <w:gridCol w:w="850"/>
              <w:gridCol w:w="1741"/>
              <w:gridCol w:w="1210"/>
              <w:gridCol w:w="1076"/>
              <w:gridCol w:w="2929"/>
            </w:tblGrid>
            <w:tr w14:paraId="7FAE4E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jc w:val="center"/>
              </w:trPr>
              <w:tc>
                <w:tcPr>
                  <w:tcW w:w="784" w:type="pct"/>
                  <w:gridSpan w:val="2"/>
                  <w:tcBorders>
                    <w:right w:val="single" w:color="auto" w:sz="4" w:space="0"/>
                    <w:tl2br w:val="nil"/>
                    <w:tr2bl w:val="nil"/>
                  </w:tcBorders>
                  <w:noWrap w:val="0"/>
                  <w:vAlign w:val="center"/>
                </w:tcPr>
                <w:p w14:paraId="24655A3E">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监测项目</w:t>
                  </w:r>
                </w:p>
              </w:tc>
              <w:tc>
                <w:tcPr>
                  <w:tcW w:w="1055" w:type="pct"/>
                  <w:tcBorders>
                    <w:left w:val="single" w:color="auto" w:sz="4" w:space="0"/>
                    <w:tl2br w:val="nil"/>
                    <w:tr2bl w:val="nil"/>
                  </w:tcBorders>
                  <w:noWrap w:val="0"/>
                  <w:vAlign w:val="center"/>
                </w:tcPr>
                <w:p w14:paraId="7BD65599">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监测位置</w:t>
                  </w:r>
                </w:p>
              </w:tc>
              <w:tc>
                <w:tcPr>
                  <w:tcW w:w="733" w:type="pct"/>
                  <w:tcBorders>
                    <w:tl2br w:val="nil"/>
                    <w:tr2bl w:val="nil"/>
                  </w:tcBorders>
                  <w:noWrap w:val="0"/>
                  <w:vAlign w:val="center"/>
                </w:tcPr>
                <w:p w14:paraId="1BC72464">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监测因子</w:t>
                  </w:r>
                </w:p>
              </w:tc>
              <w:tc>
                <w:tcPr>
                  <w:tcW w:w="652" w:type="pct"/>
                  <w:tcBorders>
                    <w:tl2br w:val="nil"/>
                    <w:tr2bl w:val="nil"/>
                  </w:tcBorders>
                  <w:noWrap w:val="0"/>
                  <w:vAlign w:val="center"/>
                </w:tcPr>
                <w:p w14:paraId="2B244421">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监测频次</w:t>
                  </w:r>
                </w:p>
              </w:tc>
              <w:tc>
                <w:tcPr>
                  <w:tcW w:w="1775" w:type="pct"/>
                  <w:tcBorders>
                    <w:tl2br w:val="nil"/>
                    <w:tr2bl w:val="nil"/>
                  </w:tcBorders>
                  <w:noWrap w:val="0"/>
                  <w:vAlign w:val="center"/>
                </w:tcPr>
                <w:p w14:paraId="65B75560">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执行标准</w:t>
                  </w:r>
                </w:p>
              </w:tc>
            </w:tr>
            <w:tr w14:paraId="00AA6D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jc w:val="center"/>
              </w:trPr>
              <w:tc>
                <w:tcPr>
                  <w:tcW w:w="269" w:type="pct"/>
                  <w:vMerge w:val="restart"/>
                  <w:tcBorders>
                    <w:tl2br w:val="nil"/>
                    <w:tr2bl w:val="nil"/>
                  </w:tcBorders>
                  <w:noWrap w:val="0"/>
                  <w:vAlign w:val="center"/>
                </w:tcPr>
                <w:p w14:paraId="662F7A7B">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废气</w:t>
                  </w:r>
                </w:p>
              </w:tc>
              <w:tc>
                <w:tcPr>
                  <w:tcW w:w="515" w:type="pct"/>
                  <w:vMerge w:val="restart"/>
                  <w:tcBorders>
                    <w:right w:val="single" w:color="auto" w:sz="4" w:space="0"/>
                    <w:tl2br w:val="nil"/>
                    <w:tr2bl w:val="nil"/>
                  </w:tcBorders>
                  <w:noWrap w:val="0"/>
                  <w:vAlign w:val="center"/>
                </w:tcPr>
                <w:p w14:paraId="6C529DB4">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有组织</w:t>
                  </w:r>
                </w:p>
              </w:tc>
              <w:tc>
                <w:tcPr>
                  <w:tcW w:w="1055" w:type="pct"/>
                  <w:tcBorders>
                    <w:left w:val="single" w:color="auto" w:sz="4" w:space="0"/>
                    <w:tl2br w:val="nil"/>
                    <w:tr2bl w:val="nil"/>
                  </w:tcBorders>
                  <w:noWrap w:val="0"/>
                  <w:vAlign w:val="center"/>
                </w:tcPr>
                <w:p w14:paraId="369F091F">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生物质燃料蒸汽发生器</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废气排放口（DA001）</w:t>
                  </w:r>
                </w:p>
              </w:tc>
              <w:tc>
                <w:tcPr>
                  <w:tcW w:w="733" w:type="pct"/>
                  <w:tcBorders>
                    <w:tl2br w:val="nil"/>
                    <w:tr2bl w:val="nil"/>
                  </w:tcBorders>
                  <w:noWrap w:val="0"/>
                  <w:vAlign w:val="center"/>
                </w:tcPr>
                <w:p w14:paraId="666955B0">
                  <w:pPr>
                    <w:pStyle w:val="56"/>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SO</w:t>
                  </w:r>
                  <w:r>
                    <w:rPr>
                      <w:rFonts w:hint="default"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、NO</w:t>
                  </w:r>
                  <w:r>
                    <w:rPr>
                      <w:rFonts w:hint="default" w:ascii="Times New Roman" w:hAnsi="Times New Roman" w:cs="Times New Roman"/>
                      <w:color w:val="000000" w:themeColor="text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highlight w:val="none"/>
                      <w:lang w:val="en-US" w:eastAsia="zh-CN"/>
                      <w14:textFill>
                        <w14:solidFill>
                          <w14:schemeClr w14:val="tx1"/>
                        </w14:solidFill>
                      </w14:textFill>
                    </w:rPr>
                    <w:t>、颗粒物</w:t>
                  </w:r>
                  <w:r>
                    <w:rPr>
                      <w:rFonts w:hint="eastAsia"/>
                      <w:highlight w:val="none"/>
                      <w:lang w:eastAsia="zh-CN"/>
                    </w:rPr>
                    <w:t>、</w:t>
                  </w:r>
                  <w:r>
                    <w:rPr>
                      <w:rFonts w:hint="eastAsia"/>
                      <w:highlight w:val="none"/>
                      <w:lang w:val="en-US" w:eastAsia="zh-CN"/>
                    </w:rPr>
                    <w:t>林格曼黑度</w:t>
                  </w:r>
                </w:p>
              </w:tc>
              <w:tc>
                <w:tcPr>
                  <w:tcW w:w="652" w:type="pct"/>
                  <w:tcBorders>
                    <w:tl2br w:val="nil"/>
                    <w:tr2bl w:val="nil"/>
                  </w:tcBorders>
                  <w:noWrap w:val="0"/>
                  <w:vAlign w:val="center"/>
                </w:tcPr>
                <w:p w14:paraId="0453305C">
                  <w:pPr>
                    <w:pStyle w:val="56"/>
                    <w:bidi w:val="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1次/</w:t>
                  </w:r>
                  <w:r>
                    <w:rPr>
                      <w:rFonts w:hint="eastAsia" w:cs="Times New Roman"/>
                      <w:b w:val="0"/>
                      <w:bCs w:val="0"/>
                      <w:color w:val="000000" w:themeColor="text1"/>
                      <w:sz w:val="21"/>
                      <w:szCs w:val="21"/>
                      <w:highlight w:val="none"/>
                      <w:lang w:val="en-US" w:eastAsia="zh-CN"/>
                      <w14:textFill>
                        <w14:solidFill>
                          <w14:schemeClr w14:val="tx1"/>
                        </w14:solidFill>
                      </w14:textFill>
                    </w:rPr>
                    <w:t>月</w:t>
                  </w:r>
                </w:p>
              </w:tc>
              <w:tc>
                <w:tcPr>
                  <w:tcW w:w="1775" w:type="pct"/>
                  <w:tcBorders>
                    <w:tl2br w:val="nil"/>
                    <w:tr2bl w:val="nil"/>
                  </w:tcBorders>
                  <w:noWrap w:val="0"/>
                  <w:vAlign w:val="center"/>
                </w:tcPr>
                <w:p w14:paraId="73B52103">
                  <w:pPr>
                    <w:pStyle w:val="56"/>
                    <w:bidi w:val="0"/>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《锅炉大气污染物排放标准》GB 13271-2014）</w:t>
                  </w:r>
                </w:p>
              </w:tc>
            </w:tr>
            <w:tr w14:paraId="0E971B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jc w:val="center"/>
              </w:trPr>
              <w:tc>
                <w:tcPr>
                  <w:tcW w:w="269" w:type="pct"/>
                  <w:vMerge w:val="continue"/>
                  <w:tcBorders>
                    <w:tl2br w:val="nil"/>
                    <w:tr2bl w:val="nil"/>
                  </w:tcBorders>
                  <w:noWrap w:val="0"/>
                  <w:vAlign w:val="center"/>
                </w:tcPr>
                <w:p w14:paraId="649AF1DB">
                  <w:pPr>
                    <w:pStyle w:val="56"/>
                    <w:bidi w:val="0"/>
                    <w:rPr>
                      <w:rFonts w:hint="default" w:ascii="Times New Roman" w:hAnsi="Times New Roman" w:cs="Times New Roman"/>
                      <w:color w:val="000000" w:themeColor="text1"/>
                      <w:highlight w:val="none"/>
                      <w14:textFill>
                        <w14:solidFill>
                          <w14:schemeClr w14:val="tx1"/>
                        </w14:solidFill>
                      </w14:textFill>
                    </w:rPr>
                  </w:pPr>
                </w:p>
              </w:tc>
              <w:tc>
                <w:tcPr>
                  <w:tcW w:w="515" w:type="pct"/>
                  <w:vMerge w:val="continue"/>
                  <w:tcBorders>
                    <w:right w:val="single" w:color="auto" w:sz="4" w:space="0"/>
                    <w:tl2br w:val="nil"/>
                    <w:tr2bl w:val="nil"/>
                  </w:tcBorders>
                  <w:noWrap w:val="0"/>
                  <w:vAlign w:val="center"/>
                </w:tcPr>
                <w:p w14:paraId="428B6E0E">
                  <w:pPr>
                    <w:pStyle w:val="56"/>
                    <w:bidi w:val="0"/>
                    <w:rPr>
                      <w:rFonts w:hint="default" w:ascii="Times New Roman" w:hAnsi="Times New Roman" w:cs="Times New Roman"/>
                      <w:color w:val="000000" w:themeColor="text1"/>
                      <w:highlight w:val="none"/>
                      <w14:textFill>
                        <w14:solidFill>
                          <w14:schemeClr w14:val="tx1"/>
                        </w14:solidFill>
                      </w14:textFill>
                    </w:rPr>
                  </w:pPr>
                </w:p>
              </w:tc>
              <w:tc>
                <w:tcPr>
                  <w:tcW w:w="1055" w:type="pct"/>
                  <w:tcBorders>
                    <w:left w:val="single" w:color="auto" w:sz="4" w:space="0"/>
                    <w:tl2br w:val="nil"/>
                    <w:tr2bl w:val="nil"/>
                  </w:tcBorders>
                  <w:noWrap w:val="0"/>
                  <w:vAlign w:val="center"/>
                </w:tcPr>
                <w:p w14:paraId="2EFBBD95">
                  <w:pPr>
                    <w:pStyle w:val="56"/>
                    <w:bidi w:val="0"/>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烘干废气排放口（DA002）</w:t>
                  </w:r>
                </w:p>
              </w:tc>
              <w:tc>
                <w:tcPr>
                  <w:tcW w:w="733" w:type="pct"/>
                  <w:tcBorders>
                    <w:tl2br w:val="nil"/>
                    <w:tr2bl w:val="nil"/>
                  </w:tcBorders>
                  <w:noWrap w:val="0"/>
                  <w:vAlign w:val="center"/>
                </w:tcPr>
                <w:p w14:paraId="3B33C016">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颗粒物</w:t>
                  </w:r>
                </w:p>
              </w:tc>
              <w:tc>
                <w:tcPr>
                  <w:tcW w:w="652" w:type="pct"/>
                  <w:tcBorders>
                    <w:tl2br w:val="nil"/>
                    <w:tr2bl w:val="nil"/>
                  </w:tcBorders>
                  <w:noWrap w:val="0"/>
                  <w:vAlign w:val="center"/>
                </w:tcPr>
                <w:p w14:paraId="5D889B4A">
                  <w:pPr>
                    <w:pStyle w:val="56"/>
                    <w:bidi w:val="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1次/</w:t>
                  </w:r>
                  <w:r>
                    <w:rPr>
                      <w:rFonts w:hint="eastAsia" w:cs="Times New Roman"/>
                      <w:b w:val="0"/>
                      <w:bCs w:val="0"/>
                      <w:color w:val="000000" w:themeColor="text1"/>
                      <w:sz w:val="21"/>
                      <w:szCs w:val="21"/>
                      <w:highlight w:val="none"/>
                      <w:lang w:val="en-US" w:eastAsia="zh-CN"/>
                      <w14:textFill>
                        <w14:solidFill>
                          <w14:schemeClr w14:val="tx1"/>
                        </w14:solidFill>
                      </w14:textFill>
                    </w:rPr>
                    <w:t>半</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年</w:t>
                  </w:r>
                </w:p>
              </w:tc>
              <w:tc>
                <w:tcPr>
                  <w:tcW w:w="1775" w:type="pct"/>
                  <w:tcBorders>
                    <w:tl2br w:val="nil"/>
                    <w:tr2bl w:val="nil"/>
                  </w:tcBorders>
                  <w:noWrap w:val="0"/>
                  <w:vAlign w:val="center"/>
                </w:tcPr>
                <w:p w14:paraId="7BEC3CC7">
                  <w:pPr>
                    <w:pStyle w:val="56"/>
                    <w:bidi w:val="0"/>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《大气污染物综合排放标准》GB 16297-1996》</w:t>
                  </w:r>
                </w:p>
              </w:tc>
            </w:tr>
            <w:tr w14:paraId="037E1E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jc w:val="center"/>
              </w:trPr>
              <w:tc>
                <w:tcPr>
                  <w:tcW w:w="269" w:type="pct"/>
                  <w:vMerge w:val="continue"/>
                  <w:tcBorders>
                    <w:tl2br w:val="nil"/>
                    <w:tr2bl w:val="nil"/>
                  </w:tcBorders>
                  <w:noWrap w:val="0"/>
                  <w:vAlign w:val="center"/>
                </w:tcPr>
                <w:p w14:paraId="689520B1">
                  <w:pPr>
                    <w:pStyle w:val="56"/>
                    <w:bidi w:val="0"/>
                    <w:rPr>
                      <w:rFonts w:hint="default" w:ascii="Times New Roman" w:hAnsi="Times New Roman" w:cs="Times New Roman"/>
                      <w:color w:val="000000" w:themeColor="text1"/>
                      <w:highlight w:val="none"/>
                      <w14:textFill>
                        <w14:solidFill>
                          <w14:schemeClr w14:val="tx1"/>
                        </w14:solidFill>
                      </w14:textFill>
                    </w:rPr>
                  </w:pPr>
                </w:p>
              </w:tc>
              <w:tc>
                <w:tcPr>
                  <w:tcW w:w="515" w:type="pct"/>
                  <w:vMerge w:val="continue"/>
                  <w:tcBorders>
                    <w:right w:val="single" w:color="auto" w:sz="4" w:space="0"/>
                    <w:tl2br w:val="nil"/>
                    <w:tr2bl w:val="nil"/>
                  </w:tcBorders>
                  <w:noWrap w:val="0"/>
                  <w:vAlign w:val="center"/>
                </w:tcPr>
                <w:p w14:paraId="5A57B62C">
                  <w:pPr>
                    <w:pStyle w:val="56"/>
                    <w:bidi w:val="0"/>
                    <w:rPr>
                      <w:rFonts w:hint="default" w:ascii="Times New Roman" w:hAnsi="Times New Roman" w:cs="Times New Roman"/>
                      <w:color w:val="000000" w:themeColor="text1"/>
                      <w:highlight w:val="none"/>
                      <w14:textFill>
                        <w14:solidFill>
                          <w14:schemeClr w14:val="tx1"/>
                        </w14:solidFill>
                      </w14:textFill>
                    </w:rPr>
                  </w:pPr>
                </w:p>
              </w:tc>
              <w:tc>
                <w:tcPr>
                  <w:tcW w:w="1055" w:type="pct"/>
                  <w:tcBorders>
                    <w:left w:val="single" w:color="auto" w:sz="4" w:space="0"/>
                    <w:tl2br w:val="nil"/>
                    <w:tr2bl w:val="nil"/>
                  </w:tcBorders>
                  <w:noWrap w:val="0"/>
                  <w:vAlign w:val="center"/>
                </w:tcPr>
                <w:p w14:paraId="128ADE26">
                  <w:pPr>
                    <w:pStyle w:val="56"/>
                    <w:bidi w:val="0"/>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烘干废气排放口（DA002）</w:t>
                  </w:r>
                </w:p>
              </w:tc>
              <w:tc>
                <w:tcPr>
                  <w:tcW w:w="733" w:type="pct"/>
                  <w:tcBorders>
                    <w:tl2br w:val="nil"/>
                    <w:tr2bl w:val="nil"/>
                  </w:tcBorders>
                  <w:noWrap w:val="0"/>
                  <w:vAlign w:val="center"/>
                </w:tcPr>
                <w:p w14:paraId="4BFABACF">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颗粒物</w:t>
                  </w:r>
                </w:p>
              </w:tc>
              <w:tc>
                <w:tcPr>
                  <w:tcW w:w="652" w:type="pct"/>
                  <w:tcBorders>
                    <w:tl2br w:val="nil"/>
                    <w:tr2bl w:val="nil"/>
                  </w:tcBorders>
                  <w:noWrap w:val="0"/>
                  <w:vAlign w:val="center"/>
                </w:tcPr>
                <w:p w14:paraId="04C035EC">
                  <w:pPr>
                    <w:pStyle w:val="56"/>
                    <w:bidi w:val="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1次/</w:t>
                  </w:r>
                  <w:r>
                    <w:rPr>
                      <w:rFonts w:hint="eastAsia" w:cs="Times New Roman"/>
                      <w:b w:val="0"/>
                      <w:bCs w:val="0"/>
                      <w:color w:val="000000" w:themeColor="text1"/>
                      <w:sz w:val="21"/>
                      <w:szCs w:val="21"/>
                      <w:highlight w:val="none"/>
                      <w:lang w:val="en-US" w:eastAsia="zh-CN"/>
                      <w14:textFill>
                        <w14:solidFill>
                          <w14:schemeClr w14:val="tx1"/>
                        </w14:solidFill>
                      </w14:textFill>
                    </w:rPr>
                    <w:t>半年</w:t>
                  </w:r>
                </w:p>
              </w:tc>
              <w:tc>
                <w:tcPr>
                  <w:tcW w:w="1775" w:type="pct"/>
                  <w:tcBorders>
                    <w:tl2br w:val="nil"/>
                    <w:tr2bl w:val="nil"/>
                  </w:tcBorders>
                  <w:noWrap w:val="0"/>
                  <w:vAlign w:val="center"/>
                </w:tcPr>
                <w:p w14:paraId="4C013E07">
                  <w:pPr>
                    <w:pStyle w:val="56"/>
                    <w:bidi w:val="0"/>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《大气污染物综合排放标准》GB 16297-1996》</w:t>
                  </w:r>
                </w:p>
              </w:tc>
            </w:tr>
          </w:tbl>
          <w:p w14:paraId="0AEB06F5">
            <w:pPr>
              <w:pStyle w:val="5"/>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大气污染物影响分析</w:t>
            </w:r>
          </w:p>
          <w:p w14:paraId="5665D8A5">
            <w:pPr>
              <w:keepNext w:val="0"/>
              <w:keepLines w:val="0"/>
              <w:pageBreakBefore w:val="0"/>
              <w:kinsoku/>
              <w:wordWrap/>
              <w:overflowPunct/>
              <w:topLinePunct w:val="0"/>
              <w:autoSpaceDE/>
              <w:autoSpaceDN/>
              <w:bidi w:val="0"/>
              <w:adjustRightInd/>
              <w:snapToGrid/>
              <w:spacing w:line="460" w:lineRule="exact"/>
              <w:ind w:firstLine="48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本项目所在区域SO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、NO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、CO、PM</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10</w:t>
            </w:r>
            <w:r>
              <w:rPr>
                <w:rFonts w:hint="default" w:ascii="Times New Roman" w:hAnsi="Times New Roman" w:eastAsia="宋体" w:cs="Times New Roman"/>
                <w:color w:val="000000" w:themeColor="text1"/>
                <w:highlight w:val="none"/>
                <w14:textFill>
                  <w14:solidFill>
                    <w14:schemeClr w14:val="tx1"/>
                  </w14:solidFill>
                </w14:textFill>
              </w:rPr>
              <w:t>、O</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均满足《环境空气质量标准》（GB3095-2012）二级标准</w:t>
            </w:r>
            <w:r>
              <w:rPr>
                <w:rFonts w:hint="eastAsia" w:cs="Times New Roman"/>
                <w:color w:val="000000" w:themeColor="text1"/>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highlight w:val="none"/>
                <w14:textFill>
                  <w14:solidFill>
                    <w14:schemeClr w14:val="tx1"/>
                  </w14:solidFill>
                </w14:textFill>
              </w:rPr>
              <w:t>达标区</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本</w:t>
            </w:r>
            <w:r>
              <w:rPr>
                <w:rFonts w:hint="default" w:ascii="Times New Roman" w:hAnsi="Times New Roman" w:cs="Times New Roman"/>
                <w:color w:val="000000" w:themeColor="text1"/>
                <w:kern w:val="2"/>
                <w:sz w:val="24"/>
                <w:highlight w:val="none"/>
                <w14:textFill>
                  <w14:solidFill>
                    <w14:schemeClr w14:val="tx1"/>
                  </w14:solidFill>
                </w14:textFill>
              </w:rPr>
              <w:t>项目营运期废气</w:t>
            </w:r>
            <w:r>
              <w:rPr>
                <w:rFonts w:hint="default" w:ascii="Times New Roman" w:hAnsi="Times New Roman" w:cs="Times New Roman"/>
                <w:color w:val="000000" w:themeColor="text1"/>
                <w:kern w:val="2"/>
                <w:sz w:val="24"/>
                <w:highlight w:val="none"/>
                <w:lang w:val="en-US" w:eastAsia="zh-CN"/>
                <w14:textFill>
                  <w14:solidFill>
                    <w14:schemeClr w14:val="tx1"/>
                  </w14:solidFill>
                </w14:textFill>
              </w:rPr>
              <w:t>产生量较少</w:t>
            </w:r>
            <w:r>
              <w:rPr>
                <w:rFonts w:hint="default" w:ascii="Times New Roman" w:hAnsi="Times New Roman" w:cs="Times New Roman"/>
                <w:color w:val="000000" w:themeColor="text1"/>
                <w:kern w:val="2"/>
                <w:sz w:val="24"/>
                <w:highlight w:val="none"/>
                <w14:textFill>
                  <w14:solidFill>
                    <w14:schemeClr w14:val="tx1"/>
                  </w14:solidFill>
                </w14:textFill>
              </w:rPr>
              <w:t>，</w:t>
            </w:r>
            <w:r>
              <w:rPr>
                <w:rFonts w:hint="eastAsia" w:cs="Times New Roman"/>
                <w:color w:val="000000" w:themeColor="text1"/>
                <w:kern w:val="2"/>
                <w:sz w:val="24"/>
                <w:highlight w:val="none"/>
                <w:lang w:val="en-US" w:eastAsia="zh-CN"/>
                <w14:textFill>
                  <w14:solidFill>
                    <w14:schemeClr w14:val="tx1"/>
                  </w14:solidFill>
                </w14:textFill>
              </w:rPr>
              <w:t>经处理过后能够达标排放，</w:t>
            </w:r>
            <w:r>
              <w:rPr>
                <w:rFonts w:hint="default" w:ascii="Times New Roman" w:hAnsi="Times New Roman" w:cs="Times New Roman"/>
                <w:color w:val="000000" w:themeColor="text1"/>
                <w:sz w:val="24"/>
                <w:highlight w:val="none"/>
                <w:lang w:val="en-US" w:eastAsia="zh-CN"/>
                <w14:textFill>
                  <w14:solidFill>
                    <w14:schemeClr w14:val="tx1"/>
                  </w14:solidFill>
                </w14:textFill>
              </w:rPr>
              <w:t>对周边的环境影响可以接受。</w:t>
            </w:r>
            <w:r>
              <w:rPr>
                <w:rFonts w:hint="default" w:ascii="Times New Roman" w:hAnsi="Times New Roman" w:cs="Times New Roman"/>
                <w:color w:val="000000" w:themeColor="text1"/>
                <w:sz w:val="24"/>
                <w:highlight w:val="none"/>
                <w14:textFill>
                  <w14:solidFill>
                    <w14:schemeClr w14:val="tx1"/>
                  </w14:solidFill>
                </w14:textFill>
              </w:rPr>
              <w:t>综上所述，</w:t>
            </w:r>
            <w:r>
              <w:rPr>
                <w:rFonts w:hint="default" w:ascii="Times New Roman" w:hAnsi="Times New Roman" w:cs="Times New Roman"/>
                <w:color w:val="000000" w:themeColor="text1"/>
                <w:kern w:val="2"/>
                <w:sz w:val="24"/>
                <w:highlight w:val="none"/>
                <w14:textFill>
                  <w14:solidFill>
                    <w14:schemeClr w14:val="tx1"/>
                  </w14:solidFill>
                </w14:textFill>
              </w:rPr>
              <w:t>项目废气对大气环境影响较小。</w:t>
            </w:r>
          </w:p>
          <w:p w14:paraId="1BAF666E">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废水</w:t>
            </w:r>
          </w:p>
          <w:p w14:paraId="4DCE7175">
            <w:pPr>
              <w:pStyle w:val="5"/>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废水污染物产排污情况</w:t>
            </w:r>
          </w:p>
          <w:p w14:paraId="7F730269">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项目废水主要为生产废水</w:t>
            </w:r>
            <w:r>
              <w:rPr>
                <w:rFonts w:hint="eastAsia" w:ascii="宋体" w:hAnsi="宋体" w:cs="宋体"/>
                <w:color w:val="000000"/>
                <w:kern w:val="0"/>
                <w:sz w:val="24"/>
                <w:szCs w:val="24"/>
                <w:highlight w:val="none"/>
                <w:lang w:val="en-US" w:eastAsia="zh-CN" w:bidi="ar"/>
              </w:rPr>
              <w:t>和</w:t>
            </w:r>
            <w:r>
              <w:rPr>
                <w:rFonts w:hint="eastAsia" w:ascii="宋体" w:hAnsi="宋体" w:eastAsia="宋体" w:cs="宋体"/>
                <w:color w:val="000000"/>
                <w:kern w:val="0"/>
                <w:sz w:val="24"/>
                <w:szCs w:val="24"/>
                <w:highlight w:val="none"/>
                <w:lang w:val="en-US" w:eastAsia="zh-CN" w:bidi="ar"/>
              </w:rPr>
              <w:t>生活</w:t>
            </w:r>
            <w:r>
              <w:rPr>
                <w:rFonts w:hint="eastAsia" w:ascii="宋体" w:hAnsi="宋体" w:cs="宋体"/>
                <w:color w:val="000000"/>
                <w:kern w:val="0"/>
                <w:sz w:val="24"/>
                <w:szCs w:val="24"/>
                <w:highlight w:val="none"/>
                <w:lang w:val="en-US" w:eastAsia="zh-CN" w:bidi="ar"/>
              </w:rPr>
              <w:t>废</w:t>
            </w:r>
            <w:r>
              <w:rPr>
                <w:rFonts w:hint="eastAsia" w:ascii="宋体" w:hAnsi="宋体" w:eastAsia="宋体" w:cs="宋体"/>
                <w:color w:val="000000"/>
                <w:kern w:val="0"/>
                <w:sz w:val="24"/>
                <w:szCs w:val="24"/>
                <w:highlight w:val="none"/>
                <w:lang w:val="en-US" w:eastAsia="zh-CN" w:bidi="ar"/>
              </w:rPr>
              <w:t>水。</w:t>
            </w:r>
          </w:p>
          <w:p w14:paraId="0794A1B8">
            <w:pPr>
              <w:pStyle w:val="50"/>
              <w:numPr>
                <w:ilvl w:val="0"/>
                <w:numId w:val="0"/>
              </w:numPr>
              <w:bidi w:val="0"/>
              <w:ind w:firstLine="480" w:firstLineChars="20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本项目采用滚筒洗衣机，根据厂家提供用水量</w:t>
            </w:r>
            <w:r>
              <w:rPr>
                <w:rFonts w:hint="default" w:cs="Times New Roman"/>
                <w:color w:val="000000" w:themeColor="text1"/>
                <w:highlight w:val="none"/>
                <w:lang w:val="en-US" w:eastAsia="zh-CN"/>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5-12</w:t>
            </w:r>
            <w:r>
              <w:rPr>
                <w:rFonts w:hint="default" w:cs="Times New Roman"/>
                <w:color w:val="000000" w:themeColor="text1"/>
                <w:highlight w:val="none"/>
                <w:lang w:val="en-US" w:eastAsia="zh-CN"/>
                <w14:textFill>
                  <w14:solidFill>
                    <w14:schemeClr w14:val="tx1"/>
                  </w14:solidFill>
                </w14:textFill>
              </w:rPr>
              <w:t>L/kg干衣(本项目按照</w:t>
            </w:r>
            <w:r>
              <w:rPr>
                <w:rFonts w:hint="eastAsia" w:cs="Times New Roman"/>
                <w:color w:val="000000" w:themeColor="text1"/>
                <w:highlight w:val="none"/>
                <w:lang w:val="en-US" w:eastAsia="zh-CN"/>
                <w14:textFill>
                  <w14:solidFill>
                    <w14:schemeClr w14:val="tx1"/>
                  </w14:solidFill>
                </w14:textFill>
              </w:rPr>
              <w:t>12</w:t>
            </w:r>
            <w:r>
              <w:rPr>
                <w:rFonts w:hint="default" w:cs="Times New Roman"/>
                <w:color w:val="000000" w:themeColor="text1"/>
                <w:highlight w:val="none"/>
                <w:lang w:val="en-US" w:eastAsia="zh-CN"/>
                <w14:textFill>
                  <w14:solidFill>
                    <w14:schemeClr w14:val="tx1"/>
                  </w14:solidFill>
                </w14:textFill>
              </w:rPr>
              <w:t>L/kg干衣计算)，本项目年洗</w:t>
            </w:r>
            <w:r>
              <w:rPr>
                <w:rFonts w:hint="eastAsia" w:cs="Times New Roman"/>
                <w:color w:val="000000" w:themeColor="text1"/>
                <w:highlight w:val="none"/>
                <w:lang w:val="en-US" w:eastAsia="zh-CN"/>
                <w14:textFill>
                  <w14:solidFill>
                    <w14:schemeClr w14:val="tx1"/>
                  </w14:solidFill>
                </w14:textFill>
              </w:rPr>
              <w:t>牛仔裤240万件（720t）</w:t>
            </w:r>
            <w:r>
              <w:rPr>
                <w:rFonts w:hint="default" w:cs="Times New Roman"/>
                <w:color w:val="000000" w:themeColor="text1"/>
                <w:highlight w:val="none"/>
                <w:lang w:val="en-US" w:eastAsia="zh-CN"/>
                <w14:textFill>
                  <w14:solidFill>
                    <w14:schemeClr w14:val="tx1"/>
                  </w14:solidFill>
                </w14:textFill>
              </w:rPr>
              <w:t>，项目洗涤用水量约为</w:t>
            </w:r>
            <w:r>
              <w:rPr>
                <w:rFonts w:hint="eastAsia" w:cs="Times New Roman"/>
                <w:color w:val="000000" w:themeColor="text1"/>
                <w:highlight w:val="none"/>
                <w:lang w:val="en-US" w:eastAsia="zh-CN"/>
                <w14:textFill>
                  <w14:solidFill>
                    <w14:schemeClr w14:val="tx1"/>
                  </w14:solidFill>
                </w14:textFill>
              </w:rPr>
              <w:t>8640</w:t>
            </w:r>
            <w:r>
              <w:rPr>
                <w:rFonts w:hint="default"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default" w:cs="Times New Roman"/>
                <w:color w:val="000000" w:themeColor="text1"/>
                <w:highlight w:val="none"/>
                <w:lang w:val="en-US" w:eastAsia="zh-CN"/>
                <w14:textFill>
                  <w14:solidFill>
                    <w14:schemeClr w14:val="tx1"/>
                  </w14:solidFill>
                </w14:textFill>
              </w:rPr>
              <w:t>/a(</w:t>
            </w:r>
            <w:r>
              <w:rPr>
                <w:rFonts w:hint="eastAsia" w:cs="Times New Roman"/>
                <w:color w:val="000000" w:themeColor="text1"/>
                <w:highlight w:val="none"/>
                <w:lang w:val="en-US" w:eastAsia="zh-CN"/>
                <w14:textFill>
                  <w14:solidFill>
                    <w14:schemeClr w14:val="tx1"/>
                  </w14:solidFill>
                </w14:textFill>
              </w:rPr>
              <w:t>28.8</w:t>
            </w:r>
            <w:r>
              <w:rPr>
                <w:rFonts w:hint="default" w:cs="Times New Roman"/>
                <w:color w:val="000000" w:themeColor="text1"/>
                <w:highlight w:val="none"/>
                <w:lang w:val="en-US" w:eastAsia="zh-CN"/>
                <w14:textFill>
                  <w14:solidFill>
                    <w14:schemeClr w14:val="tx1"/>
                  </w14:solidFill>
                </w14:textFill>
              </w:rPr>
              <w:t>m/d)，产物系数按0.</w:t>
            </w:r>
            <w:r>
              <w:rPr>
                <w:rFonts w:hint="eastAsia" w:cs="Times New Roman"/>
                <w:color w:val="000000" w:themeColor="text1"/>
                <w:highlight w:val="none"/>
                <w:lang w:val="en-US" w:eastAsia="zh-CN"/>
                <w14:textFill>
                  <w14:solidFill>
                    <w14:schemeClr w14:val="tx1"/>
                  </w14:solidFill>
                </w14:textFill>
              </w:rPr>
              <w:t>9</w:t>
            </w:r>
            <w:r>
              <w:rPr>
                <w:rFonts w:hint="default" w:cs="Times New Roman"/>
                <w:color w:val="000000" w:themeColor="text1"/>
                <w:highlight w:val="none"/>
                <w:lang w:val="en-US" w:eastAsia="zh-CN"/>
                <w14:textFill>
                  <w14:solidFill>
                    <w14:schemeClr w14:val="tx1"/>
                  </w14:solidFill>
                </w14:textFill>
              </w:rPr>
              <w:t>计算，因此本项目平均洗涤废水产生量为</w:t>
            </w:r>
            <w:r>
              <w:rPr>
                <w:rFonts w:hint="eastAsia" w:cs="Times New Roman"/>
                <w:color w:val="000000" w:themeColor="text1"/>
                <w:highlight w:val="none"/>
                <w:lang w:val="en-US" w:eastAsia="zh-CN"/>
                <w14:textFill>
                  <w14:solidFill>
                    <w14:schemeClr w14:val="tx1"/>
                  </w14:solidFill>
                </w14:textFill>
              </w:rPr>
              <w:t>7776</w:t>
            </w:r>
            <w:r>
              <w:rPr>
                <w:rFonts w:hint="default"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default" w:cs="Times New Roman"/>
                <w:color w:val="000000" w:themeColor="text1"/>
                <w:highlight w:val="none"/>
                <w:lang w:val="en-US" w:eastAsia="zh-CN"/>
                <w14:textFill>
                  <w14:solidFill>
                    <w14:schemeClr w14:val="tx1"/>
                  </w14:solidFill>
                </w14:textFill>
              </w:rPr>
              <w:t>/a(</w:t>
            </w:r>
            <w:r>
              <w:rPr>
                <w:rFonts w:hint="eastAsia" w:cs="Times New Roman"/>
                <w:color w:val="000000" w:themeColor="text1"/>
                <w:highlight w:val="none"/>
                <w:lang w:val="en-US" w:eastAsia="zh-CN"/>
                <w14:textFill>
                  <w14:solidFill>
                    <w14:schemeClr w14:val="tx1"/>
                  </w14:solidFill>
                </w14:textFill>
              </w:rPr>
              <w:t>25.92</w:t>
            </w:r>
            <w:r>
              <w:rPr>
                <w:rFonts w:hint="default" w:cs="Times New Roman"/>
                <w:color w:val="000000" w:themeColor="text1"/>
                <w:highlight w:val="none"/>
                <w:lang w:val="en-US" w:eastAsia="zh-CN"/>
                <w14:textFill>
                  <w14:solidFill>
                    <w14:schemeClr w14:val="tx1"/>
                  </w14:solidFill>
                </w14:textFill>
              </w:rPr>
              <w:t>m/d)。</w:t>
            </w:r>
          </w:p>
          <w:p w14:paraId="612E75B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cs="Times New Roman"/>
                <w:bCs/>
                <w:color w:val="auto"/>
                <w:spacing w:val="0"/>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由于本项目只有成衣水洗工艺，不涉及染整工艺，生产废水相对水质较为简单。</w:t>
            </w:r>
            <w:r>
              <w:rPr>
                <w:rFonts w:hint="eastAsia" w:ascii="Times New Roman" w:hAnsi="Times New Roman" w:cs="Times New Roman"/>
                <w:bCs/>
                <w:color w:val="auto"/>
                <w:spacing w:val="0"/>
                <w:sz w:val="24"/>
                <w:szCs w:val="24"/>
                <w:highlight w:val="none"/>
                <w:lang w:val="en-US" w:eastAsia="zh-CN"/>
              </w:rPr>
              <w:t>根据环境部公告 2021年第24号关于发布《排放源统计调查产排污核算方法和技术手册》的公告中1819其它机织服装制造行业系数手册</w:t>
            </w:r>
            <w:r>
              <w:rPr>
                <w:rFonts w:hint="eastAsia" w:cs="Times New Roman"/>
                <w:bCs/>
                <w:color w:val="auto"/>
                <w:spacing w:val="0"/>
                <w:sz w:val="24"/>
                <w:szCs w:val="24"/>
                <w:highlight w:val="none"/>
                <w:lang w:val="en-US" w:eastAsia="zh-CN"/>
              </w:rPr>
              <w:t>：工业废水量88.06立方米/吨-产品</w:t>
            </w:r>
            <w:r>
              <w:rPr>
                <w:rFonts w:hint="eastAsia" w:ascii="Times New Roman" w:hAnsi="Times New Roman" w:cs="Times New Roman"/>
                <w:bCs/>
                <w:color w:val="auto"/>
                <w:spacing w:val="0"/>
                <w:sz w:val="24"/>
                <w:szCs w:val="24"/>
                <w:highlight w:val="none"/>
                <w:lang w:val="en-US" w:eastAsia="zh-CN"/>
              </w:rPr>
              <w:t>化学需氧量产污系数为74467.39克/吨-产品，氨氮产污系数为310.56克/吨-产品，总氮产污系数为2288.71克/吨-产品，总磷产污系数为687.87克/吨-产品，该产污系数为成衣水洗</w:t>
            </w:r>
            <w:r>
              <w:rPr>
                <w:rFonts w:hint="eastAsia" w:cs="Times New Roman"/>
                <w:bCs/>
                <w:color w:val="auto"/>
                <w:spacing w:val="0"/>
                <w:sz w:val="24"/>
                <w:szCs w:val="24"/>
                <w:highlight w:val="none"/>
                <w:lang w:val="en-US" w:eastAsia="zh-CN"/>
              </w:rPr>
              <w:t>。</w:t>
            </w:r>
          </w:p>
          <w:p w14:paraId="535B2589">
            <w:pPr>
              <w:pStyle w:val="50"/>
              <w:numPr>
                <w:ilvl w:val="0"/>
                <w:numId w:val="0"/>
              </w:numPr>
              <w:bidi w:val="0"/>
              <w:ind w:firstLine="480" w:firstLineChars="200"/>
              <w:rPr>
                <w:rFonts w:hint="eastAsia" w:ascii="Times New Roman" w:hAnsi="Times New Roman" w:cs="Times New Roman"/>
                <w:bCs/>
                <w:color w:val="auto"/>
                <w:spacing w:val="0"/>
                <w:sz w:val="24"/>
                <w:szCs w:val="24"/>
                <w:highlight w:val="none"/>
                <w:lang w:val="en-US" w:eastAsia="zh-CN"/>
              </w:rPr>
            </w:pPr>
            <w:r>
              <w:rPr>
                <w:rFonts w:hint="eastAsia" w:cs="Times New Roman"/>
                <w:bCs/>
                <w:color w:val="auto"/>
                <w:spacing w:val="0"/>
                <w:sz w:val="24"/>
                <w:szCs w:val="24"/>
                <w:highlight w:val="none"/>
                <w:lang w:val="en-US" w:eastAsia="zh-CN"/>
              </w:rPr>
              <w:t>根据产物系数折算后</w:t>
            </w:r>
            <w:r>
              <w:rPr>
                <w:rFonts w:hint="eastAsia" w:ascii="Times New Roman" w:hAnsi="Times New Roman" w:cs="Times New Roman"/>
                <w:bCs/>
                <w:color w:val="auto"/>
                <w:spacing w:val="0"/>
                <w:sz w:val="24"/>
                <w:szCs w:val="24"/>
                <w:highlight w:val="none"/>
                <w:lang w:val="en-US" w:eastAsia="zh-CN"/>
              </w:rPr>
              <w:t>化学需氧量产生浓度为</w:t>
            </w:r>
            <w:r>
              <w:rPr>
                <w:rFonts w:hint="eastAsia" w:cs="Times New Roman"/>
                <w:bCs/>
                <w:color w:val="auto"/>
                <w:spacing w:val="0"/>
                <w:sz w:val="24"/>
                <w:szCs w:val="24"/>
                <w:highlight w:val="none"/>
                <w:lang w:val="en-US" w:eastAsia="zh-CN"/>
              </w:rPr>
              <w:t>845.64</w:t>
            </w:r>
            <w:r>
              <w:rPr>
                <w:rFonts w:hint="eastAsia" w:ascii="Times New Roman" w:hAnsi="Times New Roman" w:cs="Times New Roman"/>
                <w:bCs/>
                <w:color w:val="auto"/>
                <w:spacing w:val="0"/>
                <w:sz w:val="24"/>
                <w:szCs w:val="24"/>
                <w:highlight w:val="none"/>
                <w:lang w:val="en-US" w:eastAsia="zh-CN"/>
              </w:rPr>
              <w:t xml:space="preserve">mg/L，氨氮产生浓度为 </w:t>
            </w:r>
            <w:r>
              <w:rPr>
                <w:rFonts w:hint="eastAsia" w:cs="Times New Roman"/>
                <w:bCs/>
                <w:color w:val="auto"/>
                <w:spacing w:val="0"/>
                <w:sz w:val="24"/>
                <w:szCs w:val="24"/>
                <w:highlight w:val="none"/>
                <w:lang w:val="en-US" w:eastAsia="zh-CN"/>
              </w:rPr>
              <w:t>3.53</w:t>
            </w:r>
            <w:r>
              <w:rPr>
                <w:rFonts w:hint="eastAsia" w:ascii="Times New Roman" w:hAnsi="Times New Roman" w:cs="Times New Roman"/>
                <w:bCs/>
                <w:color w:val="auto"/>
                <w:spacing w:val="0"/>
                <w:sz w:val="24"/>
                <w:szCs w:val="24"/>
                <w:highlight w:val="none"/>
                <w:lang w:val="en-US" w:eastAsia="zh-CN"/>
              </w:rPr>
              <w:t xml:space="preserve">mg/L，总氮产生浓度为 </w:t>
            </w:r>
            <w:r>
              <w:rPr>
                <w:rFonts w:hint="eastAsia" w:cs="Times New Roman"/>
                <w:bCs/>
                <w:color w:val="auto"/>
                <w:spacing w:val="0"/>
                <w:sz w:val="24"/>
                <w:szCs w:val="24"/>
                <w:highlight w:val="none"/>
                <w:lang w:val="en-US" w:eastAsia="zh-CN"/>
              </w:rPr>
              <w:t>25.99</w:t>
            </w:r>
            <w:r>
              <w:rPr>
                <w:rFonts w:hint="eastAsia" w:ascii="Times New Roman" w:hAnsi="Times New Roman" w:cs="Times New Roman"/>
                <w:bCs/>
                <w:color w:val="auto"/>
                <w:spacing w:val="0"/>
                <w:sz w:val="24"/>
                <w:szCs w:val="24"/>
                <w:highlight w:val="none"/>
                <w:lang w:val="en-US" w:eastAsia="zh-CN"/>
              </w:rPr>
              <w:t>mg/L，总磷产生浓度为</w:t>
            </w:r>
            <w:r>
              <w:rPr>
                <w:rFonts w:hint="eastAsia" w:cs="Times New Roman"/>
                <w:bCs/>
                <w:color w:val="auto"/>
                <w:spacing w:val="0"/>
                <w:sz w:val="24"/>
                <w:szCs w:val="24"/>
                <w:highlight w:val="none"/>
                <w:lang w:val="en-US" w:eastAsia="zh-CN"/>
              </w:rPr>
              <w:t>7.81</w:t>
            </w:r>
            <w:r>
              <w:rPr>
                <w:rFonts w:hint="eastAsia" w:ascii="Times New Roman" w:hAnsi="Times New Roman" w:cs="Times New Roman"/>
                <w:bCs/>
                <w:color w:val="auto"/>
                <w:spacing w:val="0"/>
                <w:sz w:val="24"/>
                <w:szCs w:val="24"/>
                <w:highlight w:val="none"/>
                <w:lang w:val="en-US" w:eastAsia="zh-CN"/>
              </w:rPr>
              <w:t>mg/L；阴离子表面活性剂、色度和悬浮物类比《海宁市嘉艺制衣有限公司年产 260 万条牛仔女裤生产项目》环境影响报告书数据，该公司生产牛仔裤260万条/年，</w:t>
            </w:r>
            <w:r>
              <w:rPr>
                <w:rFonts w:hint="eastAsia" w:cs="Times New Roman"/>
                <w:bCs/>
                <w:color w:val="auto"/>
                <w:spacing w:val="0"/>
                <w:sz w:val="24"/>
                <w:szCs w:val="24"/>
                <w:highlight w:val="none"/>
                <w:lang w:val="en-US" w:eastAsia="zh-CN"/>
              </w:rPr>
              <w:t>与本项目都是工业成衣水洗，故</w:t>
            </w:r>
            <w:r>
              <w:rPr>
                <w:rFonts w:hint="eastAsia" w:ascii="Times New Roman" w:hAnsi="Times New Roman" w:cs="Times New Roman"/>
                <w:bCs/>
                <w:color w:val="auto"/>
                <w:spacing w:val="0"/>
                <w:sz w:val="24"/>
                <w:szCs w:val="24"/>
                <w:highlight w:val="none"/>
                <w:lang w:val="en-US" w:eastAsia="zh-CN"/>
              </w:rPr>
              <w:t>引用数据可行。阴离子表面活性剂为40mg/L，色度为 64 倍，悬浮物为75mg/L。另根据业主提供的资料以及类比已审批的《烟台秀林养老洗涤有限公司洗涤及牛仔服装水洗加工加工项目环境影响报告书》《海宁市新亚运动服装厂年新增水洗500 万件牛仔服装、50万套酒店床单技改项目环境影响报告表》《浙江嘉艺时装有限公司新增120万条高端精洗牛仔裤项目环境影响报告表》等同类型项目，确定本项目的生产废水其余污染物</w:t>
            </w:r>
            <w:r>
              <w:rPr>
                <w:rFonts w:hint="eastAsia" w:cs="Times New Roman"/>
                <w:bCs/>
                <w:color w:val="auto"/>
                <w:spacing w:val="0"/>
                <w:sz w:val="24"/>
                <w:szCs w:val="24"/>
                <w:highlight w:val="none"/>
                <w:lang w:val="en-US" w:eastAsia="zh-CN"/>
              </w:rPr>
              <w:t>产生</w:t>
            </w:r>
            <w:r>
              <w:rPr>
                <w:rFonts w:hint="eastAsia" w:ascii="Times New Roman" w:hAnsi="Times New Roman" w:cs="Times New Roman"/>
                <w:bCs/>
                <w:color w:val="auto"/>
                <w:spacing w:val="0"/>
                <w:sz w:val="24"/>
                <w:szCs w:val="24"/>
                <w:highlight w:val="none"/>
                <w:lang w:val="en-US" w:eastAsia="zh-CN"/>
              </w:rPr>
              <w:t>浓度分别为：SS 400mg/L、BOD</w:t>
            </w:r>
            <w:r>
              <w:rPr>
                <w:rFonts w:hint="eastAsia" w:ascii="Times New Roman" w:hAnsi="Times New Roman" w:cs="Times New Roman"/>
                <w:bCs/>
                <w:color w:val="auto"/>
                <w:spacing w:val="0"/>
                <w:sz w:val="24"/>
                <w:szCs w:val="24"/>
                <w:highlight w:val="none"/>
                <w:vertAlign w:val="subscript"/>
                <w:lang w:val="en-US" w:eastAsia="zh-CN"/>
              </w:rPr>
              <w:t>5</w:t>
            </w:r>
            <w:r>
              <w:rPr>
                <w:rFonts w:hint="eastAsia" w:ascii="Times New Roman" w:hAnsi="Times New Roman" w:cs="Times New Roman"/>
                <w:bCs/>
                <w:color w:val="auto"/>
                <w:spacing w:val="0"/>
                <w:sz w:val="24"/>
                <w:szCs w:val="24"/>
                <w:highlight w:val="none"/>
                <w:lang w:val="en-US" w:eastAsia="zh-CN"/>
              </w:rPr>
              <w:t xml:space="preserve"> 250mg/L、LAS 40mg/L、色度80倍。</w:t>
            </w:r>
          </w:p>
          <w:p w14:paraId="5D146960">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eastAsia" w:ascii="Times New Roman" w:hAnsi="Times New Roman" w:cs="Times New Roman"/>
                <w:bCs/>
                <w:color w:val="auto"/>
                <w:spacing w:val="0"/>
                <w:sz w:val="24"/>
                <w:szCs w:val="24"/>
                <w:highlight w:val="none"/>
                <w:lang w:val="en-US" w:eastAsia="zh-CN"/>
              </w:rPr>
              <w:t>确定本项目营运期污废水源强核算详见表</w:t>
            </w:r>
            <w:r>
              <w:rPr>
                <w:rFonts w:hint="eastAsia" w:cs="Times New Roman"/>
                <w:bCs/>
                <w:color w:val="auto"/>
                <w:spacing w:val="0"/>
                <w:sz w:val="24"/>
                <w:szCs w:val="24"/>
                <w:highlight w:val="none"/>
                <w:lang w:val="en-US" w:eastAsia="zh-CN"/>
              </w:rPr>
              <w:t>4-</w:t>
            </w:r>
            <w:r>
              <w:rPr>
                <w:rFonts w:hint="eastAsia" w:cs="Times New Roman"/>
                <w:bCs/>
                <w:color w:val="auto"/>
                <w:spacing w:val="0"/>
                <w:sz w:val="24"/>
                <w:szCs w:val="24"/>
                <w:highlight w:val="none"/>
                <w:lang w:val="en-US" w:eastAsia="zh-CN"/>
              </w:rPr>
              <w:t>9</w:t>
            </w:r>
            <w:r>
              <w:rPr>
                <w:rFonts w:hint="eastAsia" w:ascii="宋体" w:hAnsi="宋体" w:eastAsia="宋体" w:cs="宋体"/>
                <w:color w:val="000000"/>
                <w:kern w:val="0"/>
                <w:sz w:val="24"/>
                <w:szCs w:val="24"/>
                <w:highlight w:val="none"/>
                <w:lang w:val="en-US" w:eastAsia="zh-CN" w:bidi="ar"/>
              </w:rPr>
              <w:t>。</w:t>
            </w:r>
          </w:p>
          <w:p w14:paraId="2F3B085B">
            <w:pPr>
              <w:pageBreakBefore w:val="0"/>
              <w:widowControl w:val="0"/>
              <w:kinsoku/>
              <w:wordWrap/>
              <w:overflowPunct/>
              <w:topLinePunct w:val="0"/>
              <w:autoSpaceDE/>
              <w:autoSpaceDN/>
              <w:bidi w:val="0"/>
              <w:spacing w:before="0" w:after="0" w:line="460" w:lineRule="exact"/>
              <w:ind w:left="0" w:right="0" w:firstLine="482" w:firstLineChars="20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表4-</w:t>
            </w:r>
            <w:r>
              <w:rPr>
                <w:rFonts w:hint="eastAsia" w:cs="Times New Roman"/>
                <w:b/>
                <w:bCs/>
                <w:color w:val="000000" w:themeColor="text1"/>
                <w:highlight w:val="none"/>
                <w:lang w:val="en-US" w:eastAsia="zh-CN"/>
                <w14:textFill>
                  <w14:solidFill>
                    <w14:schemeClr w14:val="tx1"/>
                  </w14:solidFill>
                </w14:textFill>
              </w:rPr>
              <w:t>9</w:t>
            </w:r>
            <w:r>
              <w:rPr>
                <w:rFonts w:hint="default" w:ascii="Times New Roman" w:hAnsi="Times New Roman" w:cs="Times New Roman"/>
                <w:b/>
                <w:bCs/>
                <w:color w:val="000000" w:themeColor="text1"/>
                <w:highlight w:val="none"/>
                <w14:textFill>
                  <w14:solidFill>
                    <w14:schemeClr w14:val="tx1"/>
                  </w14:solidFill>
                </w14:textFill>
              </w:rPr>
              <w:t>项目营运期水污染物产生量、排放量情况</w:t>
            </w:r>
          </w:p>
          <w:tbl>
            <w:tblPr>
              <w:tblStyle w:val="28"/>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845"/>
              <w:gridCol w:w="1091"/>
              <w:gridCol w:w="877"/>
              <w:gridCol w:w="1091"/>
              <w:gridCol w:w="868"/>
              <w:gridCol w:w="1091"/>
              <w:gridCol w:w="933"/>
            </w:tblGrid>
            <w:tr w14:paraId="237BE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73" w:type="pct"/>
                  <w:vMerge w:val="restart"/>
                  <w:tcBorders>
                    <w:tl2br w:val="nil"/>
                    <w:tr2bl w:val="nil"/>
                  </w:tcBorders>
                  <w:noWrap w:val="0"/>
                  <w:vAlign w:val="center"/>
                </w:tcPr>
                <w:p w14:paraId="3E43A06F">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废水量（m</w:t>
                  </w:r>
                  <w:r>
                    <w:rPr>
                      <w:rFonts w:hint="eastAsia" w:asciiTheme="minorEastAsia" w:hAnsiTheme="minorEastAsia" w:eastAsiaTheme="minorEastAsia" w:cstheme="minorEastAsia"/>
                      <w:color w:val="000000" w:themeColor="text1"/>
                      <w:sz w:val="21"/>
                      <w:szCs w:val="21"/>
                      <w:highlight w:val="none"/>
                      <w:vertAlign w:val="superscript"/>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w:t>
                  </w:r>
                </w:p>
              </w:tc>
              <w:tc>
                <w:tcPr>
                  <w:tcW w:w="513" w:type="pct"/>
                  <w:vMerge w:val="restart"/>
                  <w:tcBorders>
                    <w:tl2br w:val="nil"/>
                    <w:tr2bl w:val="nil"/>
                  </w:tcBorders>
                  <w:noWrap w:val="0"/>
                  <w:vAlign w:val="center"/>
                </w:tcPr>
                <w:p w14:paraId="08923489">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污染物</w:t>
                  </w:r>
                </w:p>
              </w:tc>
              <w:tc>
                <w:tcPr>
                  <w:tcW w:w="1194" w:type="pct"/>
                  <w:gridSpan w:val="2"/>
                  <w:tcBorders>
                    <w:tl2br w:val="nil"/>
                    <w:tr2bl w:val="nil"/>
                  </w:tcBorders>
                  <w:noWrap w:val="0"/>
                  <w:vAlign w:val="center"/>
                </w:tcPr>
                <w:p w14:paraId="479CC7B3">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产生情况</w:t>
                  </w:r>
                </w:p>
              </w:tc>
              <w:tc>
                <w:tcPr>
                  <w:tcW w:w="1189" w:type="pct"/>
                  <w:gridSpan w:val="2"/>
                  <w:tcBorders>
                    <w:tl2br w:val="nil"/>
                    <w:tr2bl w:val="nil"/>
                  </w:tcBorders>
                  <w:noWrap w:val="0"/>
                  <w:vAlign w:val="center"/>
                </w:tcPr>
                <w:p w14:paraId="6F312105">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排入园区管网</w:t>
                  </w:r>
                </w:p>
              </w:tc>
              <w:tc>
                <w:tcPr>
                  <w:tcW w:w="1228" w:type="pct"/>
                  <w:gridSpan w:val="2"/>
                  <w:tcBorders>
                    <w:tl2br w:val="nil"/>
                    <w:tr2bl w:val="nil"/>
                  </w:tcBorders>
                  <w:noWrap w:val="0"/>
                  <w:vAlign w:val="center"/>
                </w:tcPr>
                <w:p w14:paraId="0EAB3233">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排入环境</w:t>
                  </w:r>
                </w:p>
              </w:tc>
            </w:tr>
            <w:tr w14:paraId="3808B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3" w:type="pct"/>
                  <w:vMerge w:val="continue"/>
                  <w:tcBorders>
                    <w:tl2br w:val="nil"/>
                    <w:tr2bl w:val="nil"/>
                  </w:tcBorders>
                  <w:noWrap w:val="0"/>
                  <w:vAlign w:val="center"/>
                </w:tcPr>
                <w:p w14:paraId="778A1FE8">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vMerge w:val="continue"/>
                  <w:tcBorders>
                    <w:tl2br w:val="nil"/>
                    <w:tr2bl w:val="nil"/>
                  </w:tcBorders>
                  <w:noWrap w:val="0"/>
                  <w:vAlign w:val="center"/>
                </w:tcPr>
                <w:p w14:paraId="622A9613">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662" w:type="pct"/>
                  <w:tcBorders>
                    <w:tl2br w:val="nil"/>
                    <w:tr2bl w:val="nil"/>
                  </w:tcBorders>
                  <w:noWrap w:val="0"/>
                  <w:vAlign w:val="center"/>
                </w:tcPr>
                <w:p w14:paraId="260A4337">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浓度（mg/L）</w:t>
                  </w:r>
                </w:p>
              </w:tc>
              <w:tc>
                <w:tcPr>
                  <w:tcW w:w="532" w:type="pct"/>
                  <w:tcBorders>
                    <w:tl2br w:val="nil"/>
                    <w:tr2bl w:val="nil"/>
                  </w:tcBorders>
                  <w:noWrap w:val="0"/>
                  <w:vAlign w:val="center"/>
                </w:tcPr>
                <w:p w14:paraId="71E03403">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产生量（t/a）</w:t>
                  </w:r>
                </w:p>
              </w:tc>
              <w:tc>
                <w:tcPr>
                  <w:tcW w:w="662" w:type="pct"/>
                  <w:tcBorders>
                    <w:tl2br w:val="nil"/>
                    <w:tr2bl w:val="nil"/>
                  </w:tcBorders>
                  <w:noWrap w:val="0"/>
                  <w:vAlign w:val="center"/>
                </w:tcPr>
                <w:p w14:paraId="75524464">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浓度（mg/L）</w:t>
                  </w:r>
                </w:p>
              </w:tc>
              <w:tc>
                <w:tcPr>
                  <w:tcW w:w="527" w:type="pct"/>
                  <w:tcBorders>
                    <w:tl2br w:val="nil"/>
                    <w:tr2bl w:val="nil"/>
                  </w:tcBorders>
                  <w:noWrap w:val="0"/>
                  <w:vAlign w:val="center"/>
                </w:tcPr>
                <w:p w14:paraId="2914727F">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排放量（t/a）</w:t>
                  </w:r>
                </w:p>
              </w:tc>
              <w:tc>
                <w:tcPr>
                  <w:tcW w:w="662" w:type="pct"/>
                  <w:tcBorders>
                    <w:tl2br w:val="nil"/>
                    <w:tr2bl w:val="nil"/>
                  </w:tcBorders>
                  <w:noWrap w:val="0"/>
                  <w:vAlign w:val="center"/>
                </w:tcPr>
                <w:p w14:paraId="5B5B8084">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浓度（mg/L）</w:t>
                  </w:r>
                </w:p>
              </w:tc>
              <w:tc>
                <w:tcPr>
                  <w:tcW w:w="566" w:type="pct"/>
                  <w:tcBorders>
                    <w:tl2br w:val="nil"/>
                    <w:tr2bl w:val="nil"/>
                  </w:tcBorders>
                  <w:noWrap w:val="0"/>
                  <w:vAlign w:val="center"/>
                </w:tcPr>
                <w:p w14:paraId="3CF32FDE">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排放量（t/a）</w:t>
                  </w:r>
                </w:p>
              </w:tc>
            </w:tr>
            <w:tr w14:paraId="19B76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pct"/>
                  <w:vMerge w:val="restart"/>
                  <w:tcBorders>
                    <w:tl2br w:val="nil"/>
                    <w:tr2bl w:val="nil"/>
                  </w:tcBorders>
                  <w:noWrap w:val="0"/>
                  <w:vAlign w:val="center"/>
                </w:tcPr>
                <w:p w14:paraId="2FB635D4">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洗涤废水水（7776m</w:t>
                  </w:r>
                  <w:r>
                    <w:rPr>
                      <w:rFonts w:hint="eastAsia" w:asciiTheme="minorEastAsia" w:hAnsiTheme="minorEastAsia" w:eastAsiaTheme="minorEastAsia" w:cstheme="minorEastAsia"/>
                      <w:color w:val="000000" w:themeColor="text1"/>
                      <w:sz w:val="21"/>
                      <w:szCs w:val="21"/>
                      <w:highlight w:val="none"/>
                      <w:vertAlign w:val="superscript"/>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w:t>
                  </w:r>
                </w:p>
              </w:tc>
              <w:tc>
                <w:tcPr>
                  <w:tcW w:w="513" w:type="pct"/>
                  <w:tcBorders>
                    <w:tl2br w:val="nil"/>
                    <w:tr2bl w:val="nil"/>
                  </w:tcBorders>
                  <w:shd w:val="clear" w:color="auto" w:fill="auto"/>
                  <w:noWrap w:val="0"/>
                  <w:vAlign w:val="center"/>
                </w:tcPr>
                <w:p w14:paraId="66DD8D4E">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COD</w:t>
                  </w:r>
                </w:p>
              </w:tc>
              <w:tc>
                <w:tcPr>
                  <w:tcW w:w="662" w:type="pct"/>
                  <w:tcBorders>
                    <w:tl2br w:val="nil"/>
                    <w:tr2bl w:val="nil"/>
                  </w:tcBorders>
                  <w:shd w:val="clear" w:color="auto" w:fill="auto"/>
                  <w:noWrap w:val="0"/>
                  <w:vAlign w:val="center"/>
                </w:tcPr>
                <w:p w14:paraId="5C4ACF11">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845.64</w:t>
                  </w:r>
                </w:p>
              </w:tc>
              <w:tc>
                <w:tcPr>
                  <w:tcW w:w="532" w:type="pct"/>
                  <w:tcBorders>
                    <w:tl2br w:val="nil"/>
                    <w:tr2bl w:val="nil"/>
                  </w:tcBorders>
                  <w:shd w:val="clear" w:color="auto" w:fill="auto"/>
                  <w:noWrap w:val="0"/>
                  <w:vAlign w:val="center"/>
                </w:tcPr>
                <w:p w14:paraId="4965417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6.58 </w:t>
                  </w:r>
                </w:p>
              </w:tc>
              <w:tc>
                <w:tcPr>
                  <w:tcW w:w="662" w:type="pct"/>
                  <w:tcBorders>
                    <w:tl2br w:val="nil"/>
                    <w:tr2bl w:val="nil"/>
                  </w:tcBorders>
                  <w:shd w:val="clear" w:color="auto" w:fill="auto"/>
                  <w:noWrap w:val="0"/>
                  <w:vAlign w:val="center"/>
                </w:tcPr>
                <w:p w14:paraId="6EBDE1CA">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450</w:t>
                  </w:r>
                </w:p>
              </w:tc>
              <w:tc>
                <w:tcPr>
                  <w:tcW w:w="527" w:type="pct"/>
                  <w:tcBorders>
                    <w:tl2br w:val="nil"/>
                    <w:tr2bl w:val="nil"/>
                  </w:tcBorders>
                  <w:shd w:val="clear" w:color="auto" w:fill="auto"/>
                  <w:noWrap w:val="0"/>
                  <w:vAlign w:val="center"/>
                </w:tcPr>
                <w:p w14:paraId="6ADFCAD2">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 xml:space="preserve">3.499 </w:t>
                  </w:r>
                </w:p>
              </w:tc>
              <w:tc>
                <w:tcPr>
                  <w:tcW w:w="662" w:type="pct"/>
                  <w:tcBorders>
                    <w:tl2br w:val="nil"/>
                    <w:tr2bl w:val="nil"/>
                  </w:tcBorders>
                  <w:shd w:val="clear" w:color="auto" w:fill="auto"/>
                  <w:noWrap w:val="0"/>
                  <w:vAlign w:val="center"/>
                </w:tcPr>
                <w:p w14:paraId="4ACB35AB">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50</w:t>
                  </w:r>
                </w:p>
              </w:tc>
              <w:tc>
                <w:tcPr>
                  <w:tcW w:w="566" w:type="pct"/>
                  <w:tcBorders>
                    <w:tl2br w:val="nil"/>
                    <w:tr2bl w:val="nil"/>
                  </w:tcBorders>
                  <w:shd w:val="clear" w:color="auto" w:fill="auto"/>
                  <w:noWrap w:val="0"/>
                  <w:vAlign w:val="center"/>
                </w:tcPr>
                <w:p w14:paraId="0CE10B92">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0.389 </w:t>
                  </w:r>
                </w:p>
              </w:tc>
            </w:tr>
            <w:tr w14:paraId="3E699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pct"/>
                  <w:vMerge w:val="continue"/>
                  <w:tcBorders>
                    <w:tl2br w:val="nil"/>
                    <w:tr2bl w:val="nil"/>
                  </w:tcBorders>
                  <w:noWrap w:val="0"/>
                  <w:vAlign w:val="center"/>
                </w:tcPr>
                <w:p w14:paraId="1A6E8C62">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tcBorders>
                    <w:tl2br w:val="nil"/>
                    <w:tr2bl w:val="nil"/>
                  </w:tcBorders>
                  <w:shd w:val="clear" w:color="auto" w:fill="auto"/>
                  <w:noWrap w:val="0"/>
                  <w:vAlign w:val="center"/>
                </w:tcPr>
                <w:p w14:paraId="19249EED">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BOD</w:t>
                  </w:r>
                  <w:r>
                    <w:rPr>
                      <w:rFonts w:hint="eastAsia" w:asciiTheme="minorEastAsia" w:hAnsiTheme="minorEastAsia" w:eastAsiaTheme="minorEastAsia" w:cstheme="minorEastAsia"/>
                      <w:color w:val="000000" w:themeColor="text1"/>
                      <w:sz w:val="21"/>
                      <w:szCs w:val="21"/>
                      <w:highlight w:val="none"/>
                      <w:vertAlign w:val="superscript"/>
                      <w:lang w:val="en-US" w:eastAsia="zh-CN"/>
                      <w14:textFill>
                        <w14:solidFill>
                          <w14:schemeClr w14:val="tx1"/>
                        </w14:solidFill>
                      </w14:textFill>
                    </w:rPr>
                    <w:t>5</w:t>
                  </w:r>
                </w:p>
              </w:tc>
              <w:tc>
                <w:tcPr>
                  <w:tcW w:w="662" w:type="pct"/>
                  <w:tcBorders>
                    <w:tl2br w:val="nil"/>
                    <w:tr2bl w:val="nil"/>
                  </w:tcBorders>
                  <w:shd w:val="clear" w:color="auto" w:fill="auto"/>
                  <w:noWrap w:val="0"/>
                  <w:vAlign w:val="center"/>
                </w:tcPr>
                <w:p w14:paraId="5117BF22">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250</w:t>
                  </w:r>
                </w:p>
              </w:tc>
              <w:tc>
                <w:tcPr>
                  <w:tcW w:w="532" w:type="pct"/>
                  <w:tcBorders>
                    <w:tl2br w:val="nil"/>
                    <w:tr2bl w:val="nil"/>
                  </w:tcBorders>
                  <w:shd w:val="clear" w:color="auto" w:fill="auto"/>
                  <w:noWrap w:val="0"/>
                  <w:vAlign w:val="center"/>
                </w:tcPr>
                <w:p w14:paraId="7F30E74B">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1.94 </w:t>
                  </w:r>
                </w:p>
              </w:tc>
              <w:tc>
                <w:tcPr>
                  <w:tcW w:w="662" w:type="pct"/>
                  <w:tcBorders>
                    <w:tl2br w:val="nil"/>
                    <w:tr2bl w:val="nil"/>
                  </w:tcBorders>
                  <w:shd w:val="clear" w:color="auto" w:fill="auto"/>
                  <w:noWrap w:val="0"/>
                  <w:vAlign w:val="center"/>
                </w:tcPr>
                <w:p w14:paraId="239100F6">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150</w:t>
                  </w:r>
                </w:p>
              </w:tc>
              <w:tc>
                <w:tcPr>
                  <w:tcW w:w="527" w:type="pct"/>
                  <w:tcBorders>
                    <w:tl2br w:val="nil"/>
                    <w:tr2bl w:val="nil"/>
                  </w:tcBorders>
                  <w:shd w:val="clear" w:color="auto" w:fill="auto"/>
                  <w:noWrap w:val="0"/>
                  <w:vAlign w:val="center"/>
                </w:tcPr>
                <w:p w14:paraId="69057C29">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 xml:space="preserve">1.166 </w:t>
                  </w:r>
                </w:p>
              </w:tc>
              <w:tc>
                <w:tcPr>
                  <w:tcW w:w="662" w:type="pct"/>
                  <w:tcBorders>
                    <w:tl2br w:val="nil"/>
                    <w:tr2bl w:val="nil"/>
                  </w:tcBorders>
                  <w:shd w:val="clear" w:color="auto" w:fill="auto"/>
                  <w:noWrap w:val="0"/>
                  <w:vAlign w:val="center"/>
                </w:tcPr>
                <w:p w14:paraId="294957C2">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p>
              </w:tc>
              <w:tc>
                <w:tcPr>
                  <w:tcW w:w="566" w:type="pct"/>
                  <w:tcBorders>
                    <w:tl2br w:val="nil"/>
                    <w:tr2bl w:val="nil"/>
                  </w:tcBorders>
                  <w:shd w:val="clear" w:color="auto" w:fill="auto"/>
                  <w:noWrap w:val="0"/>
                  <w:vAlign w:val="center"/>
                </w:tcPr>
                <w:p w14:paraId="018ACF8F">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0.078 </w:t>
                  </w:r>
                </w:p>
              </w:tc>
            </w:tr>
            <w:tr w14:paraId="5B71C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3" w:type="pct"/>
                  <w:vMerge w:val="continue"/>
                  <w:tcBorders>
                    <w:tl2br w:val="nil"/>
                    <w:tr2bl w:val="nil"/>
                  </w:tcBorders>
                  <w:noWrap w:val="0"/>
                  <w:vAlign w:val="center"/>
                </w:tcPr>
                <w:p w14:paraId="176CD5F5">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tcBorders>
                    <w:tl2br w:val="nil"/>
                    <w:tr2bl w:val="nil"/>
                  </w:tcBorders>
                  <w:shd w:val="clear" w:color="auto" w:fill="auto"/>
                  <w:noWrap w:val="0"/>
                  <w:vAlign w:val="center"/>
                </w:tcPr>
                <w:p w14:paraId="72AA7692">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SS</w:t>
                  </w:r>
                </w:p>
              </w:tc>
              <w:tc>
                <w:tcPr>
                  <w:tcW w:w="662" w:type="pct"/>
                  <w:tcBorders>
                    <w:tl2br w:val="nil"/>
                    <w:tr2bl w:val="nil"/>
                  </w:tcBorders>
                  <w:shd w:val="clear" w:color="auto" w:fill="auto"/>
                  <w:noWrap w:val="0"/>
                  <w:vAlign w:val="center"/>
                </w:tcPr>
                <w:p w14:paraId="4CCCA533">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400</w:t>
                  </w:r>
                </w:p>
              </w:tc>
              <w:tc>
                <w:tcPr>
                  <w:tcW w:w="532" w:type="pct"/>
                  <w:tcBorders>
                    <w:tl2br w:val="nil"/>
                    <w:tr2bl w:val="nil"/>
                  </w:tcBorders>
                  <w:shd w:val="clear" w:color="auto" w:fill="auto"/>
                  <w:noWrap w:val="0"/>
                  <w:vAlign w:val="center"/>
                </w:tcPr>
                <w:p w14:paraId="1B2E7042">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3.11 </w:t>
                  </w:r>
                </w:p>
              </w:tc>
              <w:tc>
                <w:tcPr>
                  <w:tcW w:w="662" w:type="pct"/>
                  <w:tcBorders>
                    <w:tl2br w:val="nil"/>
                    <w:tr2bl w:val="nil"/>
                  </w:tcBorders>
                  <w:shd w:val="clear" w:color="auto" w:fill="auto"/>
                  <w:noWrap w:val="0"/>
                  <w:vAlign w:val="center"/>
                </w:tcPr>
                <w:p w14:paraId="7A8202BA">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100</w:t>
                  </w:r>
                </w:p>
              </w:tc>
              <w:tc>
                <w:tcPr>
                  <w:tcW w:w="527" w:type="pct"/>
                  <w:tcBorders>
                    <w:tl2br w:val="nil"/>
                    <w:tr2bl w:val="nil"/>
                  </w:tcBorders>
                  <w:shd w:val="clear" w:color="auto" w:fill="auto"/>
                  <w:noWrap w:val="0"/>
                  <w:vAlign w:val="center"/>
                </w:tcPr>
                <w:p w14:paraId="683C0533">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 xml:space="preserve">0.778 </w:t>
                  </w:r>
                </w:p>
              </w:tc>
              <w:tc>
                <w:tcPr>
                  <w:tcW w:w="662" w:type="pct"/>
                  <w:tcBorders>
                    <w:tl2br w:val="nil"/>
                    <w:tr2bl w:val="nil"/>
                  </w:tcBorders>
                  <w:shd w:val="clear" w:color="auto" w:fill="auto"/>
                  <w:noWrap w:val="0"/>
                  <w:vAlign w:val="center"/>
                </w:tcPr>
                <w:p w14:paraId="23334A28">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p>
              </w:tc>
              <w:tc>
                <w:tcPr>
                  <w:tcW w:w="566" w:type="pct"/>
                  <w:tcBorders>
                    <w:tl2br w:val="nil"/>
                    <w:tr2bl w:val="nil"/>
                  </w:tcBorders>
                  <w:shd w:val="clear" w:color="auto" w:fill="auto"/>
                  <w:noWrap w:val="0"/>
                  <w:vAlign w:val="center"/>
                </w:tcPr>
                <w:p w14:paraId="07141E31">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0.078 </w:t>
                  </w:r>
                </w:p>
              </w:tc>
            </w:tr>
            <w:tr w14:paraId="128C6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73" w:type="pct"/>
                  <w:vMerge w:val="continue"/>
                  <w:tcBorders>
                    <w:tl2br w:val="nil"/>
                    <w:tr2bl w:val="nil"/>
                  </w:tcBorders>
                  <w:noWrap w:val="0"/>
                  <w:vAlign w:val="center"/>
                </w:tcPr>
                <w:p w14:paraId="00C02CC6">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tcBorders>
                    <w:tl2br w:val="nil"/>
                    <w:tr2bl w:val="nil"/>
                  </w:tcBorders>
                  <w:shd w:val="clear" w:color="auto" w:fill="auto"/>
                  <w:noWrap w:val="0"/>
                  <w:vAlign w:val="center"/>
                </w:tcPr>
                <w:p w14:paraId="143C01C0">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氨氮</w:t>
                  </w:r>
                </w:p>
              </w:tc>
              <w:tc>
                <w:tcPr>
                  <w:tcW w:w="662" w:type="pct"/>
                  <w:tcBorders>
                    <w:tl2br w:val="nil"/>
                    <w:tr2bl w:val="nil"/>
                  </w:tcBorders>
                  <w:shd w:val="clear" w:color="auto" w:fill="auto"/>
                  <w:noWrap w:val="0"/>
                  <w:vAlign w:val="center"/>
                </w:tcPr>
                <w:p w14:paraId="419C9566">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3.53</w:t>
                  </w:r>
                </w:p>
              </w:tc>
              <w:tc>
                <w:tcPr>
                  <w:tcW w:w="532" w:type="pct"/>
                  <w:tcBorders>
                    <w:tl2br w:val="nil"/>
                    <w:tr2bl w:val="nil"/>
                  </w:tcBorders>
                  <w:shd w:val="clear" w:color="auto" w:fill="auto"/>
                  <w:noWrap w:val="0"/>
                  <w:vAlign w:val="center"/>
                </w:tcPr>
                <w:p w14:paraId="4693CC7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0.03 </w:t>
                  </w:r>
                </w:p>
              </w:tc>
              <w:tc>
                <w:tcPr>
                  <w:tcW w:w="662" w:type="pct"/>
                  <w:tcBorders>
                    <w:tl2br w:val="nil"/>
                    <w:tr2bl w:val="nil"/>
                  </w:tcBorders>
                  <w:shd w:val="clear" w:color="auto" w:fill="auto"/>
                  <w:noWrap w:val="0"/>
                  <w:vAlign w:val="center"/>
                </w:tcPr>
                <w:p w14:paraId="096FB7F0">
                  <w:pPr>
                    <w:snapToGrid/>
                    <w:spacing w:beforeLines="0" w:afterLines="0" w:line="240" w:lineRule="auto"/>
                    <w:ind w:firstLine="0" w:firstLineChars="0"/>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3.53</w:t>
                  </w:r>
                </w:p>
              </w:tc>
              <w:tc>
                <w:tcPr>
                  <w:tcW w:w="527" w:type="pct"/>
                  <w:tcBorders>
                    <w:tl2br w:val="nil"/>
                    <w:tr2bl w:val="nil"/>
                  </w:tcBorders>
                  <w:shd w:val="clear" w:color="auto" w:fill="auto"/>
                  <w:noWrap w:val="0"/>
                  <w:vAlign w:val="center"/>
                </w:tcPr>
                <w:p w14:paraId="50F96C5B">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 xml:space="preserve">0.156 </w:t>
                  </w:r>
                </w:p>
              </w:tc>
              <w:tc>
                <w:tcPr>
                  <w:tcW w:w="662" w:type="pct"/>
                  <w:tcBorders>
                    <w:tl2br w:val="nil"/>
                    <w:tr2bl w:val="nil"/>
                  </w:tcBorders>
                  <w:shd w:val="clear" w:color="auto" w:fill="auto"/>
                  <w:noWrap w:val="0"/>
                  <w:vAlign w:val="center"/>
                </w:tcPr>
                <w:p w14:paraId="5EC3F6A8">
                  <w:pPr>
                    <w:snapToGrid/>
                    <w:spacing w:beforeLines="0" w:afterLines="0" w:line="240" w:lineRule="auto"/>
                    <w:ind w:firstLine="0" w:firstLineChars="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8（5）</w:t>
                  </w:r>
                </w:p>
              </w:tc>
              <w:tc>
                <w:tcPr>
                  <w:tcW w:w="566" w:type="pct"/>
                  <w:tcBorders>
                    <w:tl2br w:val="nil"/>
                    <w:tr2bl w:val="nil"/>
                  </w:tcBorders>
                  <w:shd w:val="clear" w:color="auto" w:fill="auto"/>
                  <w:noWrap w:val="0"/>
                  <w:vAlign w:val="center"/>
                </w:tcPr>
                <w:p w14:paraId="07E59D3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0.062 </w:t>
                  </w:r>
                </w:p>
              </w:tc>
            </w:tr>
            <w:tr w14:paraId="74D59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73" w:type="pct"/>
                  <w:vMerge w:val="continue"/>
                  <w:tcBorders>
                    <w:tl2br w:val="nil"/>
                    <w:tr2bl w:val="nil"/>
                  </w:tcBorders>
                  <w:noWrap w:val="0"/>
                  <w:vAlign w:val="center"/>
                </w:tcPr>
                <w:p w14:paraId="41AE24D0">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tcBorders>
                    <w:tl2br w:val="nil"/>
                    <w:tr2bl w:val="nil"/>
                  </w:tcBorders>
                  <w:noWrap w:val="0"/>
                  <w:vAlign w:val="center"/>
                </w:tcPr>
                <w:p w14:paraId="6249AF56">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TN</w:t>
                  </w:r>
                </w:p>
              </w:tc>
              <w:tc>
                <w:tcPr>
                  <w:tcW w:w="662" w:type="pct"/>
                  <w:tcBorders>
                    <w:tl2br w:val="nil"/>
                    <w:tr2bl w:val="nil"/>
                  </w:tcBorders>
                  <w:shd w:val="clear" w:color="auto" w:fill="auto"/>
                  <w:noWrap w:val="0"/>
                  <w:vAlign w:val="center"/>
                </w:tcPr>
                <w:p w14:paraId="5CEC7E95">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25.99</w:t>
                  </w:r>
                </w:p>
              </w:tc>
              <w:tc>
                <w:tcPr>
                  <w:tcW w:w="532" w:type="pct"/>
                  <w:tcBorders>
                    <w:tl2br w:val="nil"/>
                    <w:tr2bl w:val="nil"/>
                  </w:tcBorders>
                  <w:shd w:val="clear" w:color="auto" w:fill="auto"/>
                  <w:noWrap w:val="0"/>
                  <w:vAlign w:val="center"/>
                </w:tcPr>
                <w:p w14:paraId="2B91AAB1">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0.20 </w:t>
                  </w:r>
                </w:p>
              </w:tc>
              <w:tc>
                <w:tcPr>
                  <w:tcW w:w="662" w:type="pct"/>
                  <w:tcBorders>
                    <w:tl2br w:val="nil"/>
                    <w:tr2bl w:val="nil"/>
                  </w:tcBorders>
                  <w:shd w:val="clear" w:color="auto" w:fill="auto"/>
                  <w:noWrap w:val="0"/>
                  <w:vAlign w:val="center"/>
                </w:tcPr>
                <w:p w14:paraId="46FE69FF">
                  <w:pPr>
                    <w:snapToGrid/>
                    <w:spacing w:beforeLines="0" w:afterLines="0" w:line="240" w:lineRule="auto"/>
                    <w:ind w:firstLine="0" w:firstLineChars="0"/>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25.99</w:t>
                  </w:r>
                </w:p>
              </w:tc>
              <w:tc>
                <w:tcPr>
                  <w:tcW w:w="527" w:type="pct"/>
                  <w:tcBorders>
                    <w:tl2br w:val="nil"/>
                    <w:tr2bl w:val="nil"/>
                  </w:tcBorders>
                  <w:shd w:val="clear" w:color="auto" w:fill="auto"/>
                  <w:noWrap w:val="0"/>
                  <w:vAlign w:val="center"/>
                </w:tcPr>
                <w:p w14:paraId="3DDFCAF8">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 xml:space="preserve">0.233 </w:t>
                  </w:r>
                </w:p>
              </w:tc>
              <w:tc>
                <w:tcPr>
                  <w:tcW w:w="662" w:type="pct"/>
                  <w:tcBorders>
                    <w:tl2br w:val="nil"/>
                    <w:tr2bl w:val="nil"/>
                  </w:tcBorders>
                  <w:noWrap w:val="0"/>
                  <w:vAlign w:val="center"/>
                </w:tcPr>
                <w:p w14:paraId="400A8B3B">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566" w:type="pct"/>
                  <w:tcBorders>
                    <w:tl2br w:val="nil"/>
                    <w:tr2bl w:val="nil"/>
                  </w:tcBorders>
                  <w:noWrap w:val="0"/>
                  <w:vAlign w:val="center"/>
                </w:tcPr>
                <w:p w14:paraId="69879F63">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0.117 </w:t>
                  </w:r>
                </w:p>
              </w:tc>
            </w:tr>
            <w:tr w14:paraId="1BF90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73" w:type="pct"/>
                  <w:vMerge w:val="continue"/>
                  <w:tcBorders>
                    <w:tl2br w:val="nil"/>
                    <w:tr2bl w:val="nil"/>
                  </w:tcBorders>
                  <w:noWrap w:val="0"/>
                  <w:vAlign w:val="center"/>
                </w:tcPr>
                <w:p w14:paraId="2697BA6D">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tcBorders>
                    <w:tl2br w:val="nil"/>
                    <w:tr2bl w:val="nil"/>
                  </w:tcBorders>
                  <w:noWrap w:val="0"/>
                  <w:vAlign w:val="center"/>
                </w:tcPr>
                <w:p w14:paraId="5BF700B7">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TP</w:t>
                  </w:r>
                </w:p>
              </w:tc>
              <w:tc>
                <w:tcPr>
                  <w:tcW w:w="662" w:type="pct"/>
                  <w:tcBorders>
                    <w:tl2br w:val="nil"/>
                    <w:tr2bl w:val="nil"/>
                  </w:tcBorders>
                  <w:shd w:val="clear" w:color="auto" w:fill="auto"/>
                  <w:noWrap w:val="0"/>
                  <w:vAlign w:val="center"/>
                </w:tcPr>
                <w:p w14:paraId="4C013720">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7.81</w:t>
                  </w:r>
                </w:p>
              </w:tc>
              <w:tc>
                <w:tcPr>
                  <w:tcW w:w="532" w:type="pct"/>
                  <w:tcBorders>
                    <w:tl2br w:val="nil"/>
                    <w:tr2bl w:val="nil"/>
                  </w:tcBorders>
                  <w:shd w:val="clear" w:color="auto" w:fill="auto"/>
                  <w:noWrap w:val="0"/>
                  <w:vAlign w:val="center"/>
                </w:tcPr>
                <w:p w14:paraId="17D99FA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0.06 </w:t>
                  </w:r>
                </w:p>
              </w:tc>
              <w:tc>
                <w:tcPr>
                  <w:tcW w:w="662" w:type="pct"/>
                  <w:tcBorders>
                    <w:tl2br w:val="nil"/>
                    <w:tr2bl w:val="nil"/>
                  </w:tcBorders>
                  <w:shd w:val="clear" w:color="auto" w:fill="auto"/>
                  <w:noWrap w:val="0"/>
                  <w:vAlign w:val="center"/>
                </w:tcPr>
                <w:p w14:paraId="58AA11BC">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527" w:type="pct"/>
                  <w:tcBorders>
                    <w:tl2br w:val="nil"/>
                    <w:tr2bl w:val="nil"/>
                  </w:tcBorders>
                  <w:shd w:val="clear" w:color="auto" w:fill="auto"/>
                  <w:noWrap w:val="0"/>
                  <w:vAlign w:val="center"/>
                </w:tcPr>
                <w:p w14:paraId="4E291E71">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 xml:space="preserve">0.012 </w:t>
                  </w:r>
                </w:p>
              </w:tc>
              <w:tc>
                <w:tcPr>
                  <w:tcW w:w="662" w:type="pct"/>
                  <w:tcBorders>
                    <w:tl2br w:val="nil"/>
                    <w:tr2bl w:val="nil"/>
                  </w:tcBorders>
                  <w:noWrap w:val="0"/>
                  <w:vAlign w:val="center"/>
                </w:tcPr>
                <w:p w14:paraId="3DFD14BC">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0.5</w:t>
                  </w:r>
                </w:p>
              </w:tc>
              <w:tc>
                <w:tcPr>
                  <w:tcW w:w="566" w:type="pct"/>
                  <w:tcBorders>
                    <w:tl2br w:val="nil"/>
                    <w:tr2bl w:val="nil"/>
                  </w:tcBorders>
                  <w:noWrap w:val="0"/>
                  <w:vAlign w:val="center"/>
                </w:tcPr>
                <w:p w14:paraId="26147C5C">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0.004 </w:t>
                  </w:r>
                </w:p>
              </w:tc>
            </w:tr>
            <w:tr w14:paraId="08F5F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73" w:type="pct"/>
                  <w:vMerge w:val="continue"/>
                  <w:tcBorders>
                    <w:tl2br w:val="nil"/>
                    <w:tr2bl w:val="nil"/>
                  </w:tcBorders>
                  <w:noWrap w:val="0"/>
                  <w:vAlign w:val="center"/>
                </w:tcPr>
                <w:p w14:paraId="63740628">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tcBorders>
                    <w:tl2br w:val="nil"/>
                    <w:tr2bl w:val="nil"/>
                  </w:tcBorders>
                  <w:noWrap w:val="0"/>
                  <w:vAlign w:val="center"/>
                </w:tcPr>
                <w:p w14:paraId="3A35F297">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LAS</w:t>
                  </w:r>
                </w:p>
              </w:tc>
              <w:tc>
                <w:tcPr>
                  <w:tcW w:w="662" w:type="pct"/>
                  <w:tcBorders>
                    <w:tl2br w:val="nil"/>
                    <w:tr2bl w:val="nil"/>
                  </w:tcBorders>
                  <w:shd w:val="clear" w:color="auto" w:fill="auto"/>
                  <w:noWrap w:val="0"/>
                  <w:vAlign w:val="center"/>
                </w:tcPr>
                <w:p w14:paraId="2ADAA783">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532" w:type="pct"/>
                  <w:tcBorders>
                    <w:tl2br w:val="nil"/>
                    <w:tr2bl w:val="nil"/>
                  </w:tcBorders>
                  <w:shd w:val="clear" w:color="auto" w:fill="auto"/>
                  <w:noWrap w:val="0"/>
                  <w:vAlign w:val="center"/>
                </w:tcPr>
                <w:p w14:paraId="4859CD1A">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0.31 </w:t>
                  </w:r>
                </w:p>
              </w:tc>
              <w:tc>
                <w:tcPr>
                  <w:tcW w:w="662" w:type="pct"/>
                  <w:tcBorders>
                    <w:tl2br w:val="nil"/>
                    <w:tr2bl w:val="nil"/>
                  </w:tcBorders>
                  <w:shd w:val="clear" w:color="auto" w:fill="auto"/>
                  <w:noWrap w:val="0"/>
                  <w:vAlign w:val="center"/>
                </w:tcPr>
                <w:p w14:paraId="5954D555">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20</w:t>
                  </w:r>
                </w:p>
              </w:tc>
              <w:tc>
                <w:tcPr>
                  <w:tcW w:w="527" w:type="pct"/>
                  <w:tcBorders>
                    <w:tl2br w:val="nil"/>
                    <w:tr2bl w:val="nil"/>
                  </w:tcBorders>
                  <w:shd w:val="clear" w:color="auto" w:fill="auto"/>
                  <w:noWrap w:val="0"/>
                  <w:vAlign w:val="center"/>
                </w:tcPr>
                <w:p w14:paraId="0DB0E5E6">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 xml:space="preserve">0.156 </w:t>
                  </w:r>
                </w:p>
              </w:tc>
              <w:tc>
                <w:tcPr>
                  <w:tcW w:w="662" w:type="pct"/>
                  <w:tcBorders>
                    <w:tl2br w:val="nil"/>
                    <w:tr2bl w:val="nil"/>
                  </w:tcBorders>
                  <w:noWrap w:val="0"/>
                  <w:vAlign w:val="center"/>
                </w:tcPr>
                <w:p w14:paraId="2C97CE0C">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0.5</w:t>
                  </w:r>
                </w:p>
              </w:tc>
              <w:tc>
                <w:tcPr>
                  <w:tcW w:w="566" w:type="pct"/>
                  <w:tcBorders>
                    <w:tl2br w:val="nil"/>
                    <w:tr2bl w:val="nil"/>
                  </w:tcBorders>
                  <w:noWrap w:val="0"/>
                  <w:vAlign w:val="center"/>
                </w:tcPr>
                <w:p w14:paraId="7DDE1C3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0.004 </w:t>
                  </w:r>
                </w:p>
              </w:tc>
            </w:tr>
            <w:tr w14:paraId="228AF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73" w:type="pct"/>
                  <w:vMerge w:val="continue"/>
                  <w:tcBorders>
                    <w:tl2br w:val="nil"/>
                    <w:tr2bl w:val="nil"/>
                  </w:tcBorders>
                  <w:noWrap w:val="0"/>
                  <w:vAlign w:val="center"/>
                </w:tcPr>
                <w:p w14:paraId="4EAB0FA0">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tcBorders>
                    <w:tl2br w:val="nil"/>
                    <w:tr2bl w:val="nil"/>
                  </w:tcBorders>
                  <w:noWrap w:val="0"/>
                  <w:vAlign w:val="center"/>
                </w:tcPr>
                <w:p w14:paraId="4A2684C2">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色度</w:t>
                  </w:r>
                </w:p>
              </w:tc>
              <w:tc>
                <w:tcPr>
                  <w:tcW w:w="662" w:type="pct"/>
                  <w:tcBorders>
                    <w:tl2br w:val="nil"/>
                    <w:tr2bl w:val="nil"/>
                  </w:tcBorders>
                  <w:shd w:val="clear" w:color="auto" w:fill="auto"/>
                  <w:noWrap w:val="0"/>
                  <w:vAlign w:val="center"/>
                </w:tcPr>
                <w:p w14:paraId="4B5A3B97">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80</w:t>
                  </w:r>
                </w:p>
              </w:tc>
              <w:tc>
                <w:tcPr>
                  <w:tcW w:w="532" w:type="pct"/>
                  <w:tcBorders>
                    <w:tl2br w:val="nil"/>
                    <w:tr2bl w:val="nil"/>
                  </w:tcBorders>
                  <w:shd w:val="clear" w:color="auto" w:fill="auto"/>
                  <w:noWrap w:val="0"/>
                  <w:vAlign w:val="center"/>
                </w:tcPr>
                <w:p w14:paraId="09A24D0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w:t>
                  </w:r>
                </w:p>
              </w:tc>
              <w:tc>
                <w:tcPr>
                  <w:tcW w:w="662" w:type="pct"/>
                  <w:tcBorders>
                    <w:tl2br w:val="nil"/>
                    <w:tr2bl w:val="nil"/>
                  </w:tcBorders>
                  <w:shd w:val="clear" w:color="auto" w:fill="auto"/>
                  <w:noWrap w:val="0"/>
                  <w:vAlign w:val="center"/>
                </w:tcPr>
                <w:p w14:paraId="457D6D71">
                  <w:pPr>
                    <w:snapToGrid/>
                    <w:spacing w:beforeLines="0" w:afterLines="0" w:line="240" w:lineRule="auto"/>
                    <w:ind w:firstLine="0" w:firstLineChars="0"/>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46.4</w:t>
                  </w:r>
                </w:p>
              </w:tc>
              <w:tc>
                <w:tcPr>
                  <w:tcW w:w="527" w:type="pct"/>
                  <w:tcBorders>
                    <w:tl2br w:val="nil"/>
                    <w:tr2bl w:val="nil"/>
                  </w:tcBorders>
                  <w:shd w:val="clear" w:color="auto" w:fill="auto"/>
                  <w:noWrap w:val="0"/>
                  <w:vAlign w:val="center"/>
                </w:tcPr>
                <w:p w14:paraId="3C2E80A7">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p>
              </w:tc>
              <w:tc>
                <w:tcPr>
                  <w:tcW w:w="662" w:type="pct"/>
                  <w:tcBorders>
                    <w:tl2br w:val="nil"/>
                    <w:tr2bl w:val="nil"/>
                  </w:tcBorders>
                  <w:noWrap w:val="0"/>
                  <w:vAlign w:val="center"/>
                </w:tcPr>
                <w:p w14:paraId="73D78F1B">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30</w:t>
                  </w:r>
                </w:p>
              </w:tc>
              <w:tc>
                <w:tcPr>
                  <w:tcW w:w="566" w:type="pct"/>
                  <w:tcBorders>
                    <w:tl2br w:val="nil"/>
                    <w:tr2bl w:val="nil"/>
                  </w:tcBorders>
                  <w:noWrap w:val="0"/>
                  <w:vAlign w:val="center"/>
                </w:tcPr>
                <w:p w14:paraId="2B05A649">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p>
              </w:tc>
            </w:tr>
            <w:tr w14:paraId="22B0C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3" w:type="pct"/>
                  <w:vMerge w:val="restart"/>
                  <w:tcBorders>
                    <w:tl2br w:val="nil"/>
                    <w:tr2bl w:val="nil"/>
                  </w:tcBorders>
                  <w:noWrap w:val="0"/>
                  <w:vAlign w:val="center"/>
                </w:tcPr>
                <w:p w14:paraId="486C55EC">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b/>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b/>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生活废水（135m3/a）</w:t>
                  </w:r>
                </w:p>
              </w:tc>
              <w:tc>
                <w:tcPr>
                  <w:tcW w:w="513" w:type="pct"/>
                  <w:tcBorders>
                    <w:tl2br w:val="nil"/>
                    <w:tr2bl w:val="nil"/>
                  </w:tcBorders>
                  <w:shd w:val="clear" w:color="auto" w:fill="auto"/>
                  <w:noWrap w:val="0"/>
                  <w:vAlign w:val="center"/>
                </w:tcPr>
                <w:p w14:paraId="715BF30A">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pH</w:t>
                  </w:r>
                </w:p>
              </w:tc>
              <w:tc>
                <w:tcPr>
                  <w:tcW w:w="662" w:type="pct"/>
                  <w:tcBorders>
                    <w:tl2br w:val="nil"/>
                    <w:tr2bl w:val="nil"/>
                  </w:tcBorders>
                  <w:shd w:val="clear" w:color="auto" w:fill="auto"/>
                  <w:noWrap w:val="0"/>
                  <w:vAlign w:val="center"/>
                </w:tcPr>
                <w:p w14:paraId="5BFB53F9">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6~9</w:t>
                  </w:r>
                </w:p>
              </w:tc>
              <w:tc>
                <w:tcPr>
                  <w:tcW w:w="532" w:type="pct"/>
                  <w:tcBorders>
                    <w:tl2br w:val="nil"/>
                    <w:tr2bl w:val="nil"/>
                  </w:tcBorders>
                  <w:shd w:val="clear" w:color="auto" w:fill="auto"/>
                  <w:noWrap w:val="0"/>
                  <w:vAlign w:val="center"/>
                </w:tcPr>
                <w:p w14:paraId="773C5F87">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p>
              </w:tc>
              <w:tc>
                <w:tcPr>
                  <w:tcW w:w="662" w:type="pct"/>
                  <w:tcBorders>
                    <w:tl2br w:val="nil"/>
                    <w:tr2bl w:val="nil"/>
                  </w:tcBorders>
                  <w:shd w:val="clear" w:color="auto" w:fill="auto"/>
                  <w:noWrap w:val="0"/>
                  <w:vAlign w:val="center"/>
                </w:tcPr>
                <w:p w14:paraId="7CA0B24D">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6~9</w:t>
                  </w:r>
                </w:p>
              </w:tc>
              <w:tc>
                <w:tcPr>
                  <w:tcW w:w="527" w:type="pct"/>
                  <w:tcBorders>
                    <w:tl2br w:val="nil"/>
                    <w:tr2bl w:val="nil"/>
                  </w:tcBorders>
                  <w:shd w:val="clear" w:color="auto" w:fill="auto"/>
                  <w:noWrap w:val="0"/>
                  <w:vAlign w:val="center"/>
                </w:tcPr>
                <w:p w14:paraId="29E95E10">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p>
              </w:tc>
              <w:tc>
                <w:tcPr>
                  <w:tcW w:w="662" w:type="pct"/>
                  <w:tcBorders>
                    <w:tl2br w:val="nil"/>
                    <w:tr2bl w:val="nil"/>
                  </w:tcBorders>
                  <w:noWrap w:val="0"/>
                  <w:vAlign w:val="center"/>
                </w:tcPr>
                <w:p w14:paraId="44B29A7A">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6~9</w:t>
                  </w:r>
                </w:p>
              </w:tc>
              <w:tc>
                <w:tcPr>
                  <w:tcW w:w="566" w:type="pct"/>
                  <w:tcBorders>
                    <w:tl2br w:val="nil"/>
                    <w:tr2bl w:val="nil"/>
                  </w:tcBorders>
                  <w:noWrap w:val="0"/>
                  <w:vAlign w:val="center"/>
                </w:tcPr>
                <w:p w14:paraId="4365F74E">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p>
              </w:tc>
            </w:tr>
            <w:tr w14:paraId="00968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3" w:type="pct"/>
                  <w:vMerge w:val="continue"/>
                  <w:tcBorders>
                    <w:tl2br w:val="nil"/>
                    <w:tr2bl w:val="nil"/>
                  </w:tcBorders>
                  <w:noWrap w:val="0"/>
                  <w:vAlign w:val="center"/>
                </w:tcPr>
                <w:p w14:paraId="2561E295">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tcBorders>
                    <w:tl2br w:val="nil"/>
                    <w:tr2bl w:val="nil"/>
                  </w:tcBorders>
                  <w:shd w:val="clear" w:color="auto" w:fill="auto"/>
                  <w:noWrap w:val="0"/>
                  <w:vAlign w:val="center"/>
                </w:tcPr>
                <w:p w14:paraId="477165D4">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COD</w:t>
                  </w:r>
                </w:p>
              </w:tc>
              <w:tc>
                <w:tcPr>
                  <w:tcW w:w="662" w:type="pct"/>
                  <w:tcBorders>
                    <w:tl2br w:val="nil"/>
                    <w:tr2bl w:val="nil"/>
                  </w:tcBorders>
                  <w:shd w:val="clear" w:color="auto" w:fill="auto"/>
                  <w:noWrap w:val="0"/>
                  <w:vAlign w:val="center"/>
                </w:tcPr>
                <w:p w14:paraId="7A995ACD">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400</w:t>
                  </w:r>
                </w:p>
              </w:tc>
              <w:tc>
                <w:tcPr>
                  <w:tcW w:w="532" w:type="pct"/>
                  <w:tcBorders>
                    <w:tl2br w:val="nil"/>
                    <w:tr2bl w:val="nil"/>
                  </w:tcBorders>
                  <w:shd w:val="clear" w:color="auto" w:fill="auto"/>
                  <w:noWrap w:val="0"/>
                  <w:vAlign w:val="center"/>
                </w:tcPr>
                <w:p w14:paraId="6B6EB892">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0.054</w:t>
                  </w:r>
                </w:p>
              </w:tc>
              <w:tc>
                <w:tcPr>
                  <w:tcW w:w="662" w:type="pct"/>
                  <w:tcBorders>
                    <w:tl2br w:val="nil"/>
                    <w:tr2bl w:val="nil"/>
                  </w:tcBorders>
                  <w:shd w:val="clear" w:color="auto" w:fill="auto"/>
                  <w:noWrap w:val="0"/>
                  <w:vAlign w:val="center"/>
                </w:tcPr>
                <w:p w14:paraId="210E029F">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400</w:t>
                  </w:r>
                </w:p>
              </w:tc>
              <w:tc>
                <w:tcPr>
                  <w:tcW w:w="527" w:type="pct"/>
                  <w:tcBorders>
                    <w:tl2br w:val="nil"/>
                    <w:tr2bl w:val="nil"/>
                  </w:tcBorders>
                  <w:shd w:val="clear" w:color="auto" w:fill="auto"/>
                  <w:noWrap w:val="0"/>
                  <w:vAlign w:val="center"/>
                </w:tcPr>
                <w:p w14:paraId="0DF4598E">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0.054</w:t>
                  </w:r>
                </w:p>
              </w:tc>
              <w:tc>
                <w:tcPr>
                  <w:tcW w:w="662" w:type="pct"/>
                  <w:tcBorders>
                    <w:tl2br w:val="nil"/>
                    <w:tr2bl w:val="nil"/>
                  </w:tcBorders>
                  <w:noWrap w:val="0"/>
                  <w:vAlign w:val="center"/>
                </w:tcPr>
                <w:p w14:paraId="732AECC0">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50</w:t>
                  </w:r>
                </w:p>
              </w:tc>
              <w:tc>
                <w:tcPr>
                  <w:tcW w:w="566" w:type="pct"/>
                  <w:tcBorders>
                    <w:tl2br w:val="nil"/>
                    <w:tr2bl w:val="nil"/>
                  </w:tcBorders>
                  <w:noWrap w:val="0"/>
                  <w:vAlign w:val="center"/>
                </w:tcPr>
                <w:p w14:paraId="3D51BF08">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0.007</w:t>
                  </w:r>
                </w:p>
              </w:tc>
            </w:tr>
            <w:tr w14:paraId="15F76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3" w:type="pct"/>
                  <w:vMerge w:val="continue"/>
                  <w:tcBorders>
                    <w:tl2br w:val="nil"/>
                    <w:tr2bl w:val="nil"/>
                  </w:tcBorders>
                  <w:noWrap w:val="0"/>
                  <w:vAlign w:val="center"/>
                </w:tcPr>
                <w:p w14:paraId="15E4D6C0">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tcBorders>
                    <w:tl2br w:val="nil"/>
                    <w:tr2bl w:val="nil"/>
                  </w:tcBorders>
                  <w:shd w:val="clear" w:color="auto" w:fill="auto"/>
                  <w:noWrap w:val="0"/>
                  <w:vAlign w:val="center"/>
                </w:tcPr>
                <w:p w14:paraId="5214A0AC">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BOD</w:t>
                  </w:r>
                  <w:r>
                    <w:rPr>
                      <w:rFonts w:hint="eastAsia" w:asciiTheme="minorEastAsia" w:hAnsiTheme="minorEastAsia" w:eastAsiaTheme="minorEastAsia" w:cstheme="minorEastAsia"/>
                      <w:color w:val="000000" w:themeColor="text1"/>
                      <w:sz w:val="21"/>
                      <w:szCs w:val="21"/>
                      <w:highlight w:val="none"/>
                      <w:vertAlign w:val="superscript"/>
                      <w:lang w:val="en-US" w:eastAsia="zh-CN"/>
                      <w14:textFill>
                        <w14:solidFill>
                          <w14:schemeClr w14:val="tx1"/>
                        </w14:solidFill>
                      </w14:textFill>
                    </w:rPr>
                    <w:t>5</w:t>
                  </w:r>
                </w:p>
              </w:tc>
              <w:tc>
                <w:tcPr>
                  <w:tcW w:w="662" w:type="pct"/>
                  <w:tcBorders>
                    <w:tl2br w:val="nil"/>
                    <w:tr2bl w:val="nil"/>
                  </w:tcBorders>
                  <w:shd w:val="clear" w:color="auto" w:fill="auto"/>
                  <w:noWrap w:val="0"/>
                  <w:vAlign w:val="center"/>
                </w:tcPr>
                <w:p w14:paraId="064B13B4">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300</w:t>
                  </w:r>
                </w:p>
              </w:tc>
              <w:tc>
                <w:tcPr>
                  <w:tcW w:w="532" w:type="pct"/>
                  <w:tcBorders>
                    <w:tl2br w:val="nil"/>
                    <w:tr2bl w:val="nil"/>
                  </w:tcBorders>
                  <w:shd w:val="clear" w:color="auto" w:fill="auto"/>
                  <w:noWrap w:val="0"/>
                  <w:vAlign w:val="center"/>
                </w:tcPr>
                <w:p w14:paraId="60CDE33A">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0.041</w:t>
                  </w:r>
                </w:p>
              </w:tc>
              <w:tc>
                <w:tcPr>
                  <w:tcW w:w="662" w:type="pct"/>
                  <w:tcBorders>
                    <w:tl2br w:val="nil"/>
                    <w:tr2bl w:val="nil"/>
                  </w:tcBorders>
                  <w:shd w:val="clear" w:color="auto" w:fill="auto"/>
                  <w:noWrap w:val="0"/>
                  <w:vAlign w:val="center"/>
                </w:tcPr>
                <w:p w14:paraId="35F43F4E">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250</w:t>
                  </w:r>
                </w:p>
              </w:tc>
              <w:tc>
                <w:tcPr>
                  <w:tcW w:w="527" w:type="pct"/>
                  <w:tcBorders>
                    <w:tl2br w:val="nil"/>
                    <w:tr2bl w:val="nil"/>
                  </w:tcBorders>
                  <w:shd w:val="clear" w:color="auto" w:fill="auto"/>
                  <w:noWrap w:val="0"/>
                  <w:vAlign w:val="center"/>
                </w:tcPr>
                <w:p w14:paraId="1695E219">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0.034</w:t>
                  </w:r>
                </w:p>
              </w:tc>
              <w:tc>
                <w:tcPr>
                  <w:tcW w:w="662" w:type="pct"/>
                  <w:tcBorders>
                    <w:tl2br w:val="nil"/>
                    <w:tr2bl w:val="nil"/>
                  </w:tcBorders>
                  <w:noWrap w:val="0"/>
                  <w:vAlign w:val="center"/>
                </w:tcPr>
                <w:p w14:paraId="7742CD2C">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p>
              </w:tc>
              <w:tc>
                <w:tcPr>
                  <w:tcW w:w="566" w:type="pct"/>
                  <w:tcBorders>
                    <w:tl2br w:val="nil"/>
                    <w:tr2bl w:val="nil"/>
                  </w:tcBorders>
                  <w:noWrap w:val="0"/>
                  <w:vAlign w:val="center"/>
                </w:tcPr>
                <w:p w14:paraId="1B2E3B9C">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0.001</w:t>
                  </w:r>
                </w:p>
              </w:tc>
            </w:tr>
            <w:tr w14:paraId="781E1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3" w:type="pct"/>
                  <w:vMerge w:val="continue"/>
                  <w:tcBorders>
                    <w:tl2br w:val="nil"/>
                    <w:tr2bl w:val="nil"/>
                  </w:tcBorders>
                  <w:noWrap w:val="0"/>
                  <w:vAlign w:val="center"/>
                </w:tcPr>
                <w:p w14:paraId="559CCC65">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tcBorders>
                    <w:tl2br w:val="nil"/>
                    <w:tr2bl w:val="nil"/>
                  </w:tcBorders>
                  <w:shd w:val="clear" w:color="auto" w:fill="auto"/>
                  <w:noWrap w:val="0"/>
                  <w:vAlign w:val="center"/>
                </w:tcPr>
                <w:p w14:paraId="3CDC4847">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SS</w:t>
                  </w:r>
                </w:p>
              </w:tc>
              <w:tc>
                <w:tcPr>
                  <w:tcW w:w="662" w:type="pct"/>
                  <w:tcBorders>
                    <w:tl2br w:val="nil"/>
                    <w:tr2bl w:val="nil"/>
                  </w:tcBorders>
                  <w:shd w:val="clear" w:color="auto" w:fill="auto"/>
                  <w:noWrap w:val="0"/>
                  <w:vAlign w:val="center"/>
                </w:tcPr>
                <w:p w14:paraId="70D0D8C3">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250</w:t>
                  </w:r>
                </w:p>
              </w:tc>
              <w:tc>
                <w:tcPr>
                  <w:tcW w:w="532" w:type="pct"/>
                  <w:tcBorders>
                    <w:tl2br w:val="nil"/>
                    <w:tr2bl w:val="nil"/>
                  </w:tcBorders>
                  <w:shd w:val="clear" w:color="auto" w:fill="auto"/>
                  <w:noWrap w:val="0"/>
                  <w:vAlign w:val="center"/>
                </w:tcPr>
                <w:p w14:paraId="0573EC77">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0.034</w:t>
                  </w:r>
                </w:p>
              </w:tc>
              <w:tc>
                <w:tcPr>
                  <w:tcW w:w="662" w:type="pct"/>
                  <w:tcBorders>
                    <w:tl2br w:val="nil"/>
                    <w:tr2bl w:val="nil"/>
                  </w:tcBorders>
                  <w:shd w:val="clear" w:color="auto" w:fill="auto"/>
                  <w:noWrap w:val="0"/>
                  <w:vAlign w:val="center"/>
                </w:tcPr>
                <w:p w14:paraId="52558D11">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150</w:t>
                  </w:r>
                </w:p>
              </w:tc>
              <w:tc>
                <w:tcPr>
                  <w:tcW w:w="527" w:type="pct"/>
                  <w:tcBorders>
                    <w:tl2br w:val="nil"/>
                    <w:tr2bl w:val="nil"/>
                  </w:tcBorders>
                  <w:shd w:val="clear" w:color="auto" w:fill="auto"/>
                  <w:noWrap w:val="0"/>
                  <w:vAlign w:val="center"/>
                </w:tcPr>
                <w:p w14:paraId="2C091C4F">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0.020</w:t>
                  </w:r>
                </w:p>
              </w:tc>
              <w:tc>
                <w:tcPr>
                  <w:tcW w:w="662" w:type="pct"/>
                  <w:tcBorders>
                    <w:tl2br w:val="nil"/>
                    <w:tr2bl w:val="nil"/>
                  </w:tcBorders>
                  <w:noWrap w:val="0"/>
                  <w:vAlign w:val="center"/>
                </w:tcPr>
                <w:p w14:paraId="7C3D6BE4">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p>
              </w:tc>
              <w:tc>
                <w:tcPr>
                  <w:tcW w:w="566" w:type="pct"/>
                  <w:tcBorders>
                    <w:tl2br w:val="nil"/>
                    <w:tr2bl w:val="nil"/>
                  </w:tcBorders>
                  <w:noWrap w:val="0"/>
                  <w:vAlign w:val="center"/>
                </w:tcPr>
                <w:p w14:paraId="6DD9D29C">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0.001</w:t>
                  </w:r>
                </w:p>
              </w:tc>
            </w:tr>
            <w:tr w14:paraId="0A589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73" w:type="pct"/>
                  <w:vMerge w:val="continue"/>
                </w:tcPr>
                <w:p w14:paraId="1F80DD16">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c>
                <w:tcPr>
                  <w:tcW w:w="513" w:type="pct"/>
                  <w:shd w:val="clear" w:color="auto" w:fill="auto"/>
                  <w:vAlign w:val="center"/>
                </w:tcPr>
                <w:p w14:paraId="1C1D15F8">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NH3-N</w:t>
                  </w:r>
                </w:p>
              </w:tc>
              <w:tc>
                <w:tcPr>
                  <w:tcW w:w="662" w:type="pct"/>
                  <w:shd w:val="clear" w:color="auto" w:fill="auto"/>
                  <w:vAlign w:val="center"/>
                </w:tcPr>
                <w:p w14:paraId="12D26B5A">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35</w:t>
                  </w:r>
                </w:p>
              </w:tc>
              <w:tc>
                <w:tcPr>
                  <w:tcW w:w="532" w:type="pct"/>
                  <w:shd w:val="clear" w:color="auto" w:fill="auto"/>
                  <w:vAlign w:val="center"/>
                </w:tcPr>
                <w:p w14:paraId="016BB301">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0.005</w:t>
                  </w:r>
                </w:p>
              </w:tc>
              <w:tc>
                <w:tcPr>
                  <w:tcW w:w="662" w:type="pct"/>
                  <w:shd w:val="clear" w:color="auto" w:fill="auto"/>
                  <w:vAlign w:val="center"/>
                </w:tcPr>
                <w:p w14:paraId="61393795">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35</w:t>
                  </w:r>
                </w:p>
              </w:tc>
              <w:tc>
                <w:tcPr>
                  <w:tcW w:w="527" w:type="pct"/>
                  <w:shd w:val="clear" w:color="auto" w:fill="auto"/>
                  <w:vAlign w:val="center"/>
                </w:tcPr>
                <w:p w14:paraId="6CC3ECB8">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0.005</w:t>
                  </w:r>
                </w:p>
              </w:tc>
              <w:tc>
                <w:tcPr>
                  <w:tcW w:w="662" w:type="pct"/>
                </w:tcPr>
                <w:p w14:paraId="642757A9">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8（5）</w:t>
                  </w:r>
                </w:p>
              </w:tc>
              <w:tc>
                <w:tcPr>
                  <w:tcW w:w="566" w:type="pct"/>
                  <w:vAlign w:val="center"/>
                </w:tcPr>
                <w:p w14:paraId="2B7E28A0">
                  <w:pPr>
                    <w:snapToGrid/>
                    <w:spacing w:beforeLines="0" w:afterLines="0" w:line="240" w:lineRule="auto"/>
                    <w:ind w:firstLine="0" w:firstLineChars="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0.001</w:t>
                  </w:r>
                </w:p>
              </w:tc>
            </w:tr>
          </w:tbl>
          <w:p w14:paraId="0848A14D">
            <w:pPr>
              <w:pStyle w:val="5"/>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废水污染防治措施</w:t>
            </w:r>
          </w:p>
          <w:p w14:paraId="511452AE">
            <w:pPr>
              <w:pStyle w:val="50"/>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生活污水经生化池处理达《污水综合排放标准》（</w:t>
            </w:r>
            <w:r>
              <w:rPr>
                <w:rFonts w:hint="default"/>
                <w:color w:val="000000" w:themeColor="text1"/>
                <w:highlight w:val="none"/>
                <w14:textFill>
                  <w14:solidFill>
                    <w14:schemeClr w14:val="tx1"/>
                  </w14:solidFill>
                </w14:textFill>
              </w:rPr>
              <w:t>GB8978-1996</w:t>
            </w:r>
            <w:r>
              <w:rPr>
                <w:rFonts w:hint="eastAsia"/>
                <w:color w:val="000000" w:themeColor="text1"/>
                <w:highlight w:val="none"/>
                <w:lang w:val="en-US" w:eastAsia="zh-CN"/>
                <w14:textFill>
                  <w14:solidFill>
                    <w14:schemeClr w14:val="tx1"/>
                  </w14:solidFill>
                </w14:textFill>
              </w:rPr>
              <w:t>）三级标准后排入</w:t>
            </w:r>
            <w:r>
              <w:rPr>
                <w:rFonts w:hint="eastAsia"/>
                <w:color w:val="000000" w:themeColor="text1"/>
                <w:highlight w:val="none"/>
                <w14:textFill>
                  <w14:solidFill>
                    <w14:schemeClr w14:val="tx1"/>
                  </w14:solidFill>
                </w14:textFill>
              </w:rPr>
              <w:t>工业园区污水处理厂处理达《城镇污水处理厂污染物排放标准》（GB18918-2002）一级A标准后排入</w:t>
            </w:r>
            <w:r>
              <w:rPr>
                <w:spacing w:val="-3"/>
                <w:highlight w:val="none"/>
              </w:rPr>
              <w:t>铜钵河</w:t>
            </w:r>
            <w:r>
              <w:rPr>
                <w:rFonts w:hint="eastAsia"/>
                <w:spacing w:val="-3"/>
                <w:highlight w:val="none"/>
                <w:lang w:eastAsia="zh-CN"/>
              </w:rPr>
              <w:t>；</w:t>
            </w:r>
            <w:r>
              <w:rPr>
                <w:rFonts w:hint="eastAsia"/>
                <w:color w:val="000000" w:themeColor="text1"/>
                <w:highlight w:val="none"/>
                <w:vertAlign w:val="baseline"/>
                <w:lang w:val="en-US" w:eastAsia="zh-CN"/>
                <w14:textFill>
                  <w14:solidFill>
                    <w14:schemeClr w14:val="tx1"/>
                  </w14:solidFill>
                </w14:textFill>
              </w:rPr>
              <w:t>洗涤废水经污水处理设施处理达《</w:t>
            </w:r>
            <w:r>
              <w:rPr>
                <w:rFonts w:ascii="宋体" w:hAnsi="宋体" w:eastAsia="宋体" w:cs="宋体"/>
                <w:sz w:val="24"/>
                <w:szCs w:val="24"/>
                <w:highlight w:val="none"/>
              </w:rPr>
              <w:t>纺织染整工业水污染物排放标准</w:t>
            </w:r>
            <w:r>
              <w:rPr>
                <w:rFonts w:hint="eastAsia"/>
                <w:color w:val="000000" w:themeColor="text1"/>
                <w:highlight w:val="none"/>
                <w:vertAlign w:val="baseline"/>
                <w:lang w:val="en-US" w:eastAsia="zh-CN"/>
                <w14:textFill>
                  <w14:solidFill>
                    <w14:schemeClr w14:val="tx1"/>
                  </w14:solidFill>
                </w14:textFill>
              </w:rPr>
              <w:t>》</w:t>
            </w:r>
            <w:r>
              <w:rPr>
                <w:rFonts w:ascii="宋体" w:hAnsi="宋体" w:eastAsia="宋体" w:cs="宋体"/>
                <w:sz w:val="24"/>
                <w:szCs w:val="24"/>
                <w:highlight w:val="none"/>
              </w:rPr>
              <w:t>（GB 4287-2012）及其修改单</w:t>
            </w:r>
            <w:r>
              <w:rPr>
                <w:rFonts w:hint="eastAsia" w:ascii="宋体" w:hAnsi="宋体" w:eastAsia="宋体" w:cs="宋体"/>
                <w:sz w:val="24"/>
                <w:szCs w:val="24"/>
                <w:highlight w:val="none"/>
                <w:lang w:val="en-US" w:eastAsia="zh-CN"/>
              </w:rPr>
              <w:t>后</w:t>
            </w:r>
            <w:r>
              <w:rPr>
                <w:rFonts w:hint="eastAsia"/>
                <w:color w:val="000000" w:themeColor="text1"/>
                <w:highlight w:val="none"/>
                <w:lang w:val="en-US" w:eastAsia="zh-CN"/>
                <w14:textFill>
                  <w14:solidFill>
                    <w14:schemeClr w14:val="tx1"/>
                  </w14:solidFill>
                </w14:textFill>
              </w:rPr>
              <w:t>排入</w:t>
            </w:r>
            <w:r>
              <w:rPr>
                <w:rFonts w:hint="eastAsia"/>
                <w:color w:val="000000" w:themeColor="text1"/>
                <w:highlight w:val="none"/>
                <w14:textFill>
                  <w14:solidFill>
                    <w14:schemeClr w14:val="tx1"/>
                  </w14:solidFill>
                </w14:textFill>
              </w:rPr>
              <w:t>园区污水处理厂处理达《城镇污水处理厂污染物排放标准》（GB18918-2002）一级A标准后排入</w:t>
            </w:r>
            <w:r>
              <w:rPr>
                <w:rFonts w:hint="eastAsia"/>
                <w:color w:val="000000" w:themeColor="text1"/>
                <w:highlight w:val="none"/>
                <w:vertAlign w:val="baseline"/>
                <w14:textFill>
                  <w14:solidFill>
                    <w14:schemeClr w14:val="tx1"/>
                  </w14:solidFill>
                </w14:textFill>
              </w:rPr>
              <w:t>铜钵</w:t>
            </w:r>
            <w:r>
              <w:rPr>
                <w:rFonts w:hint="default"/>
                <w:color w:val="000000" w:themeColor="text1"/>
                <w:highlight w:val="none"/>
                <w:lang w:val="en-US" w:eastAsia="zh-CN"/>
                <w14:textFill>
                  <w14:solidFill>
                    <w14:schemeClr w14:val="tx1"/>
                  </w14:solidFill>
                </w14:textFill>
              </w:rPr>
              <w:t>。</w:t>
            </w:r>
          </w:p>
          <w:p w14:paraId="0356552B">
            <w:pPr>
              <w:pStyle w:val="6"/>
              <w:numPr>
                <w:ilvl w:val="4"/>
                <w:numId w:val="0"/>
              </w:numPr>
              <w:spacing w:before="156"/>
              <w:ind w:leftChars="0"/>
              <w:jc w:val="center"/>
              <w:outlineLvl w:val="4"/>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表4-</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项目废水类别、污染物及污染治理设施信息表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3"/>
              <w:gridCol w:w="703"/>
              <w:gridCol w:w="986"/>
              <w:gridCol w:w="597"/>
              <w:gridCol w:w="856"/>
              <w:gridCol w:w="709"/>
              <w:gridCol w:w="763"/>
              <w:gridCol w:w="873"/>
              <w:gridCol w:w="705"/>
              <w:gridCol w:w="827"/>
              <w:gridCol w:w="631"/>
            </w:tblGrid>
            <w:tr w14:paraId="16E58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03" w:type="dxa"/>
                  <w:vMerge w:val="restart"/>
                  <w:noWrap w:val="0"/>
                  <w:vAlign w:val="center"/>
                </w:tcPr>
                <w:p w14:paraId="5A4A5DA2">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序号</w:t>
                  </w:r>
                </w:p>
              </w:tc>
              <w:tc>
                <w:tcPr>
                  <w:tcW w:w="703" w:type="dxa"/>
                  <w:vMerge w:val="restart"/>
                  <w:noWrap w:val="0"/>
                  <w:vAlign w:val="center"/>
                </w:tcPr>
                <w:p w14:paraId="575B3798">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废水类别</w:t>
                  </w:r>
                </w:p>
              </w:tc>
              <w:tc>
                <w:tcPr>
                  <w:tcW w:w="986" w:type="dxa"/>
                  <w:vMerge w:val="restart"/>
                  <w:noWrap w:val="0"/>
                  <w:vAlign w:val="center"/>
                </w:tcPr>
                <w:p w14:paraId="344E3422">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污染物种类</w:t>
                  </w:r>
                </w:p>
              </w:tc>
              <w:tc>
                <w:tcPr>
                  <w:tcW w:w="597" w:type="dxa"/>
                  <w:vMerge w:val="restart"/>
                  <w:noWrap w:val="0"/>
                  <w:vAlign w:val="center"/>
                </w:tcPr>
                <w:p w14:paraId="1F9111E2">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排放去向</w:t>
                  </w:r>
                </w:p>
              </w:tc>
              <w:tc>
                <w:tcPr>
                  <w:tcW w:w="856" w:type="dxa"/>
                  <w:vMerge w:val="restart"/>
                  <w:noWrap w:val="0"/>
                  <w:vAlign w:val="center"/>
                </w:tcPr>
                <w:p w14:paraId="70CDD364">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排放规律</w:t>
                  </w:r>
                </w:p>
              </w:tc>
              <w:tc>
                <w:tcPr>
                  <w:tcW w:w="2345" w:type="dxa"/>
                  <w:gridSpan w:val="3"/>
                  <w:noWrap w:val="0"/>
                  <w:vAlign w:val="center"/>
                </w:tcPr>
                <w:p w14:paraId="16607097">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污染物治理设施</w:t>
                  </w:r>
                </w:p>
              </w:tc>
              <w:tc>
                <w:tcPr>
                  <w:tcW w:w="705" w:type="dxa"/>
                  <w:vMerge w:val="restart"/>
                  <w:noWrap w:val="0"/>
                  <w:vAlign w:val="center"/>
                </w:tcPr>
                <w:p w14:paraId="2C4B20FD">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排放口编号</w:t>
                  </w:r>
                </w:p>
              </w:tc>
              <w:tc>
                <w:tcPr>
                  <w:tcW w:w="827" w:type="dxa"/>
                  <w:vMerge w:val="restart"/>
                  <w:noWrap w:val="0"/>
                  <w:vAlign w:val="center"/>
                </w:tcPr>
                <w:p w14:paraId="58B62A48">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排放口设置是否符合要求</w:t>
                  </w:r>
                </w:p>
              </w:tc>
              <w:tc>
                <w:tcPr>
                  <w:tcW w:w="631" w:type="dxa"/>
                  <w:vMerge w:val="restart"/>
                  <w:noWrap w:val="0"/>
                  <w:vAlign w:val="center"/>
                </w:tcPr>
                <w:p w14:paraId="7570121B">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排放口类型</w:t>
                  </w:r>
                </w:p>
              </w:tc>
            </w:tr>
            <w:tr w14:paraId="40184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603" w:type="dxa"/>
                  <w:vMerge w:val="continue"/>
                  <w:noWrap w:val="0"/>
                  <w:vAlign w:val="center"/>
                </w:tcPr>
                <w:p w14:paraId="124FD742">
                  <w:pPr>
                    <w:pStyle w:val="56"/>
                    <w:spacing w:line="240" w:lineRule="auto"/>
                    <w:rPr>
                      <w:rFonts w:hint="default"/>
                      <w:color w:val="000000" w:themeColor="text1"/>
                      <w:sz w:val="21"/>
                      <w:szCs w:val="21"/>
                      <w:highlight w:val="none"/>
                      <w14:textFill>
                        <w14:solidFill>
                          <w14:schemeClr w14:val="tx1"/>
                        </w14:solidFill>
                      </w14:textFill>
                    </w:rPr>
                  </w:pPr>
                </w:p>
              </w:tc>
              <w:tc>
                <w:tcPr>
                  <w:tcW w:w="703" w:type="dxa"/>
                  <w:vMerge w:val="continue"/>
                  <w:noWrap w:val="0"/>
                  <w:vAlign w:val="center"/>
                </w:tcPr>
                <w:p w14:paraId="14B91129">
                  <w:pPr>
                    <w:pStyle w:val="56"/>
                    <w:spacing w:line="240" w:lineRule="auto"/>
                    <w:rPr>
                      <w:rFonts w:hint="default"/>
                      <w:color w:val="000000" w:themeColor="text1"/>
                      <w:sz w:val="21"/>
                      <w:szCs w:val="21"/>
                      <w:highlight w:val="none"/>
                      <w14:textFill>
                        <w14:solidFill>
                          <w14:schemeClr w14:val="tx1"/>
                        </w14:solidFill>
                      </w14:textFill>
                    </w:rPr>
                  </w:pPr>
                </w:p>
              </w:tc>
              <w:tc>
                <w:tcPr>
                  <w:tcW w:w="986" w:type="dxa"/>
                  <w:vMerge w:val="continue"/>
                  <w:noWrap w:val="0"/>
                  <w:vAlign w:val="center"/>
                </w:tcPr>
                <w:p w14:paraId="2D37BC2D">
                  <w:pPr>
                    <w:pStyle w:val="56"/>
                    <w:spacing w:line="240" w:lineRule="auto"/>
                    <w:rPr>
                      <w:rFonts w:hint="default"/>
                      <w:color w:val="000000" w:themeColor="text1"/>
                      <w:sz w:val="21"/>
                      <w:szCs w:val="21"/>
                      <w:highlight w:val="none"/>
                      <w14:textFill>
                        <w14:solidFill>
                          <w14:schemeClr w14:val="tx1"/>
                        </w14:solidFill>
                      </w14:textFill>
                    </w:rPr>
                  </w:pPr>
                </w:p>
              </w:tc>
              <w:tc>
                <w:tcPr>
                  <w:tcW w:w="597" w:type="dxa"/>
                  <w:vMerge w:val="continue"/>
                  <w:noWrap w:val="0"/>
                  <w:vAlign w:val="center"/>
                </w:tcPr>
                <w:p w14:paraId="648B7395">
                  <w:pPr>
                    <w:pStyle w:val="56"/>
                    <w:spacing w:line="240" w:lineRule="auto"/>
                    <w:rPr>
                      <w:rFonts w:hint="default"/>
                      <w:color w:val="000000" w:themeColor="text1"/>
                      <w:sz w:val="21"/>
                      <w:szCs w:val="21"/>
                      <w:highlight w:val="none"/>
                      <w14:textFill>
                        <w14:solidFill>
                          <w14:schemeClr w14:val="tx1"/>
                        </w14:solidFill>
                      </w14:textFill>
                    </w:rPr>
                  </w:pPr>
                </w:p>
              </w:tc>
              <w:tc>
                <w:tcPr>
                  <w:tcW w:w="856" w:type="dxa"/>
                  <w:vMerge w:val="continue"/>
                  <w:noWrap w:val="0"/>
                  <w:vAlign w:val="center"/>
                </w:tcPr>
                <w:p w14:paraId="75B57AC8">
                  <w:pPr>
                    <w:pStyle w:val="56"/>
                    <w:spacing w:line="240" w:lineRule="auto"/>
                    <w:rPr>
                      <w:rFonts w:hint="default"/>
                      <w:color w:val="000000" w:themeColor="text1"/>
                      <w:sz w:val="21"/>
                      <w:szCs w:val="21"/>
                      <w:highlight w:val="none"/>
                      <w14:textFill>
                        <w14:solidFill>
                          <w14:schemeClr w14:val="tx1"/>
                        </w14:solidFill>
                      </w14:textFill>
                    </w:rPr>
                  </w:pPr>
                </w:p>
              </w:tc>
              <w:tc>
                <w:tcPr>
                  <w:tcW w:w="709" w:type="dxa"/>
                  <w:noWrap w:val="0"/>
                  <w:vAlign w:val="center"/>
                </w:tcPr>
                <w:p w14:paraId="4ADB9809">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污染治理设施编号</w:t>
                  </w:r>
                </w:p>
              </w:tc>
              <w:tc>
                <w:tcPr>
                  <w:tcW w:w="763" w:type="dxa"/>
                  <w:noWrap w:val="0"/>
                  <w:vAlign w:val="center"/>
                </w:tcPr>
                <w:p w14:paraId="48BDBC96">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污染治理设施名称</w:t>
                  </w:r>
                </w:p>
              </w:tc>
              <w:tc>
                <w:tcPr>
                  <w:tcW w:w="873" w:type="dxa"/>
                  <w:noWrap w:val="0"/>
                  <w:vAlign w:val="center"/>
                </w:tcPr>
                <w:p w14:paraId="4418972A">
                  <w:pPr>
                    <w:pStyle w:val="56"/>
                    <w:spacing w:line="240" w:lineRule="auto"/>
                    <w:rPr>
                      <w:rFonts w:hint="default"/>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污染治理设施工艺</w:t>
                  </w:r>
                </w:p>
              </w:tc>
              <w:tc>
                <w:tcPr>
                  <w:tcW w:w="705" w:type="dxa"/>
                  <w:vMerge w:val="continue"/>
                  <w:noWrap w:val="0"/>
                  <w:vAlign w:val="center"/>
                </w:tcPr>
                <w:p w14:paraId="421C57F8">
                  <w:pPr>
                    <w:pStyle w:val="56"/>
                    <w:spacing w:line="240" w:lineRule="auto"/>
                    <w:rPr>
                      <w:rFonts w:hint="default"/>
                      <w:color w:val="000000" w:themeColor="text1"/>
                      <w:sz w:val="21"/>
                      <w:szCs w:val="21"/>
                      <w:highlight w:val="none"/>
                      <w14:textFill>
                        <w14:solidFill>
                          <w14:schemeClr w14:val="tx1"/>
                        </w14:solidFill>
                      </w14:textFill>
                    </w:rPr>
                  </w:pPr>
                </w:p>
              </w:tc>
              <w:tc>
                <w:tcPr>
                  <w:tcW w:w="827" w:type="dxa"/>
                  <w:vMerge w:val="continue"/>
                  <w:noWrap w:val="0"/>
                  <w:vAlign w:val="center"/>
                </w:tcPr>
                <w:p w14:paraId="18B61499">
                  <w:pPr>
                    <w:pStyle w:val="56"/>
                    <w:spacing w:line="240" w:lineRule="auto"/>
                    <w:rPr>
                      <w:rFonts w:hint="default"/>
                      <w:color w:val="000000" w:themeColor="text1"/>
                      <w:sz w:val="21"/>
                      <w:szCs w:val="21"/>
                      <w:highlight w:val="none"/>
                      <w14:textFill>
                        <w14:solidFill>
                          <w14:schemeClr w14:val="tx1"/>
                        </w14:solidFill>
                      </w14:textFill>
                    </w:rPr>
                  </w:pPr>
                </w:p>
              </w:tc>
              <w:tc>
                <w:tcPr>
                  <w:tcW w:w="631" w:type="dxa"/>
                  <w:vMerge w:val="continue"/>
                  <w:noWrap w:val="0"/>
                  <w:vAlign w:val="center"/>
                </w:tcPr>
                <w:p w14:paraId="5A7B6E77">
                  <w:pPr>
                    <w:pStyle w:val="56"/>
                    <w:spacing w:line="240" w:lineRule="auto"/>
                    <w:rPr>
                      <w:rFonts w:hint="default"/>
                      <w:color w:val="000000" w:themeColor="text1"/>
                      <w:sz w:val="21"/>
                      <w:szCs w:val="21"/>
                      <w:highlight w:val="none"/>
                      <w14:textFill>
                        <w14:solidFill>
                          <w14:schemeClr w14:val="tx1"/>
                        </w14:solidFill>
                      </w14:textFill>
                    </w:rPr>
                  </w:pPr>
                </w:p>
              </w:tc>
            </w:tr>
            <w:tr w14:paraId="685DA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noWrap w:val="0"/>
                  <w:vAlign w:val="center"/>
                </w:tcPr>
                <w:p w14:paraId="5DF05651">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703" w:type="dxa"/>
                  <w:noWrap w:val="0"/>
                  <w:vAlign w:val="center"/>
                </w:tcPr>
                <w:p w14:paraId="4DB02816">
                  <w:pPr>
                    <w:pStyle w:val="56"/>
                    <w:spacing w:line="240" w:lineRule="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生活污水</w:t>
                  </w:r>
                </w:p>
              </w:tc>
              <w:tc>
                <w:tcPr>
                  <w:tcW w:w="986" w:type="dxa"/>
                  <w:noWrap w:val="0"/>
                  <w:vAlign w:val="center"/>
                </w:tcPr>
                <w:p w14:paraId="7D0B95F6">
                  <w:pPr>
                    <w:pStyle w:val="56"/>
                    <w:spacing w:line="240" w:lineRule="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Ph、COD、SS、BOD5、氨氮</w:t>
                  </w:r>
                </w:p>
              </w:tc>
              <w:tc>
                <w:tcPr>
                  <w:tcW w:w="597" w:type="dxa"/>
                  <w:noWrap w:val="0"/>
                  <w:vAlign w:val="center"/>
                </w:tcPr>
                <w:p w14:paraId="620048B5">
                  <w:pPr>
                    <w:pStyle w:val="56"/>
                    <w:spacing w:line="240" w:lineRule="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生化池</w:t>
                  </w:r>
                </w:p>
              </w:tc>
              <w:tc>
                <w:tcPr>
                  <w:tcW w:w="856" w:type="dxa"/>
                  <w:noWrap w:val="0"/>
                  <w:vAlign w:val="center"/>
                </w:tcPr>
                <w:p w14:paraId="2B69D2D1">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间断排放、排放期间流量不稳定</w:t>
                  </w:r>
                </w:p>
              </w:tc>
              <w:tc>
                <w:tcPr>
                  <w:tcW w:w="709" w:type="dxa"/>
                  <w:noWrap w:val="0"/>
                  <w:vAlign w:val="center"/>
                </w:tcPr>
                <w:p w14:paraId="7752D02B">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w:t>
                  </w:r>
                  <w:r>
                    <w:rPr>
                      <w:rFonts w:ascii="Times New Roman" w:hAnsi="Times New Roman" w:cs="Times New Roman"/>
                      <w:color w:val="000000" w:themeColor="text1"/>
                      <w:sz w:val="21"/>
                      <w:szCs w:val="21"/>
                      <w:highlight w:val="none"/>
                      <w14:textFill>
                        <w14:solidFill>
                          <w14:schemeClr w14:val="tx1"/>
                        </w14:solidFill>
                      </w14:textFill>
                    </w:rPr>
                    <w:t>001</w:t>
                  </w:r>
                </w:p>
              </w:tc>
              <w:tc>
                <w:tcPr>
                  <w:tcW w:w="763" w:type="dxa"/>
                  <w:noWrap w:val="0"/>
                  <w:vAlign w:val="center"/>
                </w:tcPr>
                <w:p w14:paraId="603BBE4B">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生化池</w:t>
                  </w:r>
                </w:p>
              </w:tc>
              <w:tc>
                <w:tcPr>
                  <w:tcW w:w="873" w:type="dxa"/>
                  <w:noWrap w:val="0"/>
                  <w:vAlign w:val="center"/>
                </w:tcPr>
                <w:p w14:paraId="4E9ABB6C">
                  <w:pPr>
                    <w:pStyle w:val="56"/>
                    <w:spacing w:line="240" w:lineRule="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生化处理</w:t>
                  </w:r>
                </w:p>
              </w:tc>
              <w:tc>
                <w:tcPr>
                  <w:tcW w:w="705" w:type="dxa"/>
                  <w:noWrap w:val="0"/>
                  <w:vAlign w:val="center"/>
                </w:tcPr>
                <w:p w14:paraId="4D746628">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DW001</w:t>
                  </w:r>
                </w:p>
              </w:tc>
              <w:tc>
                <w:tcPr>
                  <w:tcW w:w="827" w:type="dxa"/>
                  <w:noWrap w:val="0"/>
                  <w:vAlign w:val="center"/>
                </w:tcPr>
                <w:p w14:paraId="5458F23C">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☑是</w:t>
                  </w:r>
                </w:p>
                <w:p w14:paraId="18C96683">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否</w:t>
                  </w:r>
                </w:p>
              </w:tc>
              <w:tc>
                <w:tcPr>
                  <w:tcW w:w="631" w:type="dxa"/>
                  <w:noWrap w:val="0"/>
                  <w:vAlign w:val="center"/>
                </w:tcPr>
                <w:p w14:paraId="2FB657C6">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一般排放口</w:t>
                  </w:r>
                </w:p>
              </w:tc>
            </w:tr>
            <w:tr w14:paraId="2EA03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noWrap w:val="0"/>
                  <w:vAlign w:val="center"/>
                </w:tcPr>
                <w:p w14:paraId="58C24D31">
                  <w:pPr>
                    <w:pStyle w:val="56"/>
                    <w:spacing w:line="240" w:lineRule="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703" w:type="dxa"/>
                  <w:noWrap w:val="0"/>
                  <w:vAlign w:val="center"/>
                </w:tcPr>
                <w:p w14:paraId="0E1A18F4">
                  <w:pPr>
                    <w:pStyle w:val="56"/>
                    <w:spacing w:line="240" w:lineRule="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洗涤废水</w:t>
                  </w:r>
                </w:p>
              </w:tc>
              <w:tc>
                <w:tcPr>
                  <w:tcW w:w="986" w:type="dxa"/>
                  <w:noWrap w:val="0"/>
                  <w:vAlign w:val="center"/>
                </w:tcPr>
                <w:p w14:paraId="24AE3B4D">
                  <w:pPr>
                    <w:pStyle w:val="56"/>
                    <w:spacing w:line="240" w:lineRule="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Ph、COD、BOD5、SS、氨氮、TN、TP、LAS</w:t>
                  </w:r>
                </w:p>
              </w:tc>
              <w:tc>
                <w:tcPr>
                  <w:tcW w:w="597" w:type="dxa"/>
                  <w:noWrap w:val="0"/>
                  <w:vAlign w:val="center"/>
                </w:tcPr>
                <w:p w14:paraId="323DCD29">
                  <w:pPr>
                    <w:pStyle w:val="56"/>
                    <w:spacing w:line="240" w:lineRule="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污水处理设施</w:t>
                  </w:r>
                </w:p>
              </w:tc>
              <w:tc>
                <w:tcPr>
                  <w:tcW w:w="856" w:type="dxa"/>
                  <w:noWrap w:val="0"/>
                  <w:vAlign w:val="center"/>
                </w:tcPr>
                <w:p w14:paraId="143C8306">
                  <w:pPr>
                    <w:pStyle w:val="56"/>
                    <w:spacing w:line="240" w:lineRule="auto"/>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间断排放、排放期间流量不稳定</w:t>
                  </w:r>
                </w:p>
              </w:tc>
              <w:tc>
                <w:tcPr>
                  <w:tcW w:w="709" w:type="dxa"/>
                  <w:noWrap w:val="0"/>
                  <w:vAlign w:val="center"/>
                </w:tcPr>
                <w:p w14:paraId="723FA783">
                  <w:pPr>
                    <w:pStyle w:val="56"/>
                    <w:spacing w:line="240" w:lineRule="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TW002</w:t>
                  </w:r>
                </w:p>
              </w:tc>
              <w:tc>
                <w:tcPr>
                  <w:tcW w:w="763" w:type="dxa"/>
                  <w:noWrap w:val="0"/>
                  <w:vAlign w:val="center"/>
                </w:tcPr>
                <w:p w14:paraId="6077A706">
                  <w:pPr>
                    <w:pStyle w:val="56"/>
                    <w:spacing w:line="240" w:lineRule="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洗涤污水处理设施</w:t>
                  </w:r>
                </w:p>
              </w:tc>
              <w:tc>
                <w:tcPr>
                  <w:tcW w:w="873" w:type="dxa"/>
                  <w:noWrap w:val="0"/>
                  <w:vAlign w:val="center"/>
                </w:tcPr>
                <w:p w14:paraId="0E19FE7F">
                  <w:pPr>
                    <w:pStyle w:val="56"/>
                    <w:spacing w:line="240" w:lineRule="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调节沉淀池+气浮机+A/O</w:t>
                  </w:r>
                </w:p>
              </w:tc>
              <w:tc>
                <w:tcPr>
                  <w:tcW w:w="705" w:type="dxa"/>
                  <w:shd w:val="clear" w:color="auto" w:fill="auto"/>
                  <w:noWrap w:val="0"/>
                  <w:vAlign w:val="center"/>
                </w:tcPr>
                <w:p w14:paraId="3F7ADB78">
                  <w:pPr>
                    <w:pStyle w:val="56"/>
                    <w:spacing w:line="240" w:lineRule="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DW001</w:t>
                  </w:r>
                </w:p>
              </w:tc>
              <w:tc>
                <w:tcPr>
                  <w:tcW w:w="827" w:type="dxa"/>
                  <w:shd w:val="clear" w:color="auto" w:fill="auto"/>
                  <w:noWrap w:val="0"/>
                  <w:vAlign w:val="center"/>
                </w:tcPr>
                <w:p w14:paraId="05BAFE02">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☑是</w:t>
                  </w:r>
                </w:p>
                <w:p w14:paraId="738E83BF">
                  <w:pPr>
                    <w:pStyle w:val="56"/>
                    <w:spacing w:line="240" w:lineRule="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否</w:t>
                  </w:r>
                </w:p>
              </w:tc>
              <w:tc>
                <w:tcPr>
                  <w:tcW w:w="631" w:type="dxa"/>
                  <w:shd w:val="clear" w:color="auto" w:fill="auto"/>
                  <w:noWrap w:val="0"/>
                  <w:vAlign w:val="center"/>
                </w:tcPr>
                <w:p w14:paraId="790CC6AF">
                  <w:pPr>
                    <w:pStyle w:val="56"/>
                    <w:spacing w:line="240" w:lineRule="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一般排放口</w:t>
                  </w:r>
                </w:p>
              </w:tc>
            </w:tr>
          </w:tbl>
          <w:p w14:paraId="7A7B53A9">
            <w:pPr>
              <w:pStyle w:val="6"/>
              <w:numPr>
                <w:ilvl w:val="4"/>
                <w:numId w:val="0"/>
              </w:numPr>
              <w:spacing w:before="156"/>
              <w:ind w:leftChars="0"/>
              <w:jc w:val="center"/>
              <w:outlineLvl w:val="4"/>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表4-1</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废水间接排放口基本情况表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54"/>
              <w:gridCol w:w="859"/>
              <w:gridCol w:w="818"/>
              <w:gridCol w:w="1064"/>
              <w:gridCol w:w="423"/>
              <w:gridCol w:w="532"/>
              <w:gridCol w:w="805"/>
              <w:gridCol w:w="1008"/>
              <w:gridCol w:w="1413"/>
            </w:tblGrid>
            <w:tr w14:paraId="74DEF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77" w:type="dxa"/>
                  <w:vMerge w:val="restart"/>
                  <w:tcBorders>
                    <w:tl2br w:val="nil"/>
                    <w:tr2bl w:val="nil"/>
                  </w:tcBorders>
                  <w:noWrap w:val="0"/>
                  <w:vAlign w:val="center"/>
                </w:tcPr>
                <w:p w14:paraId="24856E85">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废水或废水类别</w:t>
                  </w:r>
                </w:p>
              </w:tc>
              <w:tc>
                <w:tcPr>
                  <w:tcW w:w="654" w:type="dxa"/>
                  <w:vMerge w:val="restart"/>
                  <w:tcBorders>
                    <w:tl2br w:val="nil"/>
                    <w:tr2bl w:val="nil"/>
                  </w:tcBorders>
                  <w:noWrap w:val="0"/>
                  <w:vAlign w:val="center"/>
                </w:tcPr>
                <w:p w14:paraId="7C60DF07">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排放口编号</w:t>
                  </w:r>
                </w:p>
              </w:tc>
              <w:tc>
                <w:tcPr>
                  <w:tcW w:w="1677" w:type="dxa"/>
                  <w:gridSpan w:val="2"/>
                  <w:tcBorders>
                    <w:tl2br w:val="nil"/>
                    <w:tr2bl w:val="nil"/>
                  </w:tcBorders>
                  <w:noWrap w:val="0"/>
                  <w:vAlign w:val="center"/>
                </w:tcPr>
                <w:p w14:paraId="7BAB067F">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排放口地理坐标</w:t>
                  </w:r>
                </w:p>
              </w:tc>
              <w:tc>
                <w:tcPr>
                  <w:tcW w:w="1064" w:type="dxa"/>
                  <w:vMerge w:val="restart"/>
                  <w:tcBorders>
                    <w:tl2br w:val="nil"/>
                    <w:tr2bl w:val="nil"/>
                  </w:tcBorders>
                  <w:noWrap w:val="0"/>
                  <w:vAlign w:val="center"/>
                </w:tcPr>
                <w:p w14:paraId="53A3E03F">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废水排放量/</w:t>
                  </w:r>
                  <w:r>
                    <w:rPr>
                      <w:rFonts w:cs="Times New Roman"/>
                      <w:color w:val="000000" w:themeColor="text1"/>
                      <w:highlight w:val="none"/>
                      <w14:textFill>
                        <w14:solidFill>
                          <w14:schemeClr w14:val="tx1"/>
                        </w14:solidFill>
                      </w14:textFill>
                    </w:rPr>
                    <w:t>（</w:t>
                  </w:r>
                  <w:r>
                    <w:rPr>
                      <w:rFonts w:hint="default" w:cs="Times New Roman"/>
                      <w:color w:val="000000" w:themeColor="text1"/>
                      <w:highlight w:val="none"/>
                      <w14:textFill>
                        <w14:solidFill>
                          <w14:schemeClr w14:val="tx1"/>
                        </w14:solidFill>
                      </w14:textFill>
                    </w:rPr>
                    <w:t>万t/a</w:t>
                  </w:r>
                  <w:r>
                    <w:rPr>
                      <w:rFonts w:cs="Times New Roman"/>
                      <w:color w:val="000000" w:themeColor="text1"/>
                      <w:highlight w:val="none"/>
                      <w14:textFill>
                        <w14:solidFill>
                          <w14:schemeClr w14:val="tx1"/>
                        </w14:solidFill>
                      </w14:textFill>
                    </w:rPr>
                    <w:t>）</w:t>
                  </w:r>
                </w:p>
              </w:tc>
              <w:tc>
                <w:tcPr>
                  <w:tcW w:w="423" w:type="dxa"/>
                  <w:vMerge w:val="restart"/>
                  <w:tcBorders>
                    <w:tl2br w:val="nil"/>
                    <w:tr2bl w:val="nil"/>
                  </w:tcBorders>
                  <w:noWrap w:val="0"/>
                  <w:vAlign w:val="center"/>
                </w:tcPr>
                <w:p w14:paraId="74623893">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排放去向</w:t>
                  </w:r>
                </w:p>
              </w:tc>
              <w:tc>
                <w:tcPr>
                  <w:tcW w:w="532" w:type="dxa"/>
                  <w:vMerge w:val="restart"/>
                  <w:tcBorders>
                    <w:tl2br w:val="nil"/>
                    <w:tr2bl w:val="nil"/>
                  </w:tcBorders>
                  <w:noWrap w:val="0"/>
                  <w:vAlign w:val="center"/>
                </w:tcPr>
                <w:p w14:paraId="1A2DF132">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排放规律</w:t>
                  </w:r>
                </w:p>
              </w:tc>
              <w:tc>
                <w:tcPr>
                  <w:tcW w:w="3226" w:type="dxa"/>
                  <w:gridSpan w:val="3"/>
                  <w:tcBorders>
                    <w:tl2br w:val="nil"/>
                    <w:tr2bl w:val="nil"/>
                  </w:tcBorders>
                  <w:noWrap w:val="0"/>
                  <w:vAlign w:val="center"/>
                </w:tcPr>
                <w:p w14:paraId="4A952843">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受纳污水处理厂信息</w:t>
                  </w:r>
                </w:p>
              </w:tc>
            </w:tr>
            <w:tr w14:paraId="68526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677" w:type="dxa"/>
                  <w:vMerge w:val="continue"/>
                  <w:tcBorders>
                    <w:tl2br w:val="nil"/>
                    <w:tr2bl w:val="nil"/>
                  </w:tcBorders>
                  <w:noWrap w:val="0"/>
                  <w:vAlign w:val="center"/>
                </w:tcPr>
                <w:p w14:paraId="5BEA5D7E">
                  <w:pPr>
                    <w:pStyle w:val="56"/>
                    <w:rPr>
                      <w:rFonts w:hint="default" w:cs="Times New Roman"/>
                      <w:color w:val="000000" w:themeColor="text1"/>
                      <w:highlight w:val="none"/>
                      <w14:textFill>
                        <w14:solidFill>
                          <w14:schemeClr w14:val="tx1"/>
                        </w14:solidFill>
                      </w14:textFill>
                    </w:rPr>
                  </w:pPr>
                </w:p>
              </w:tc>
              <w:tc>
                <w:tcPr>
                  <w:tcW w:w="654" w:type="dxa"/>
                  <w:vMerge w:val="continue"/>
                  <w:tcBorders>
                    <w:tl2br w:val="nil"/>
                    <w:tr2bl w:val="nil"/>
                  </w:tcBorders>
                  <w:noWrap w:val="0"/>
                  <w:vAlign w:val="center"/>
                </w:tcPr>
                <w:p w14:paraId="7B87FAAA">
                  <w:pPr>
                    <w:pStyle w:val="56"/>
                    <w:rPr>
                      <w:rFonts w:hint="default" w:cs="Times New Roman"/>
                      <w:color w:val="000000" w:themeColor="text1"/>
                      <w:highlight w:val="none"/>
                      <w14:textFill>
                        <w14:solidFill>
                          <w14:schemeClr w14:val="tx1"/>
                        </w14:solidFill>
                      </w14:textFill>
                    </w:rPr>
                  </w:pPr>
                </w:p>
              </w:tc>
              <w:tc>
                <w:tcPr>
                  <w:tcW w:w="859" w:type="dxa"/>
                  <w:tcBorders>
                    <w:tl2br w:val="nil"/>
                    <w:tr2bl w:val="nil"/>
                  </w:tcBorders>
                  <w:noWrap w:val="0"/>
                  <w:vAlign w:val="center"/>
                </w:tcPr>
                <w:p w14:paraId="27E3245B">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经度</w:t>
                  </w:r>
                </w:p>
              </w:tc>
              <w:tc>
                <w:tcPr>
                  <w:tcW w:w="818" w:type="dxa"/>
                  <w:tcBorders>
                    <w:tl2br w:val="nil"/>
                    <w:tr2bl w:val="nil"/>
                  </w:tcBorders>
                  <w:noWrap w:val="0"/>
                  <w:vAlign w:val="center"/>
                </w:tcPr>
                <w:p w14:paraId="1B399880">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纬度</w:t>
                  </w:r>
                </w:p>
              </w:tc>
              <w:tc>
                <w:tcPr>
                  <w:tcW w:w="1064" w:type="dxa"/>
                  <w:vMerge w:val="continue"/>
                  <w:tcBorders>
                    <w:tl2br w:val="nil"/>
                    <w:tr2bl w:val="nil"/>
                  </w:tcBorders>
                  <w:noWrap w:val="0"/>
                  <w:vAlign w:val="center"/>
                </w:tcPr>
                <w:p w14:paraId="1153F9A2">
                  <w:pPr>
                    <w:pStyle w:val="56"/>
                    <w:rPr>
                      <w:rFonts w:hint="default" w:cs="Times New Roman"/>
                      <w:color w:val="000000" w:themeColor="text1"/>
                      <w:highlight w:val="none"/>
                      <w14:textFill>
                        <w14:solidFill>
                          <w14:schemeClr w14:val="tx1"/>
                        </w14:solidFill>
                      </w14:textFill>
                    </w:rPr>
                  </w:pPr>
                </w:p>
              </w:tc>
              <w:tc>
                <w:tcPr>
                  <w:tcW w:w="423" w:type="dxa"/>
                  <w:vMerge w:val="continue"/>
                  <w:tcBorders>
                    <w:tl2br w:val="nil"/>
                    <w:tr2bl w:val="nil"/>
                  </w:tcBorders>
                  <w:noWrap w:val="0"/>
                  <w:vAlign w:val="center"/>
                </w:tcPr>
                <w:p w14:paraId="68CA1676">
                  <w:pPr>
                    <w:pStyle w:val="56"/>
                    <w:rPr>
                      <w:rFonts w:hint="default" w:cs="Times New Roman"/>
                      <w:color w:val="000000" w:themeColor="text1"/>
                      <w:highlight w:val="none"/>
                      <w14:textFill>
                        <w14:solidFill>
                          <w14:schemeClr w14:val="tx1"/>
                        </w14:solidFill>
                      </w14:textFill>
                    </w:rPr>
                  </w:pPr>
                </w:p>
              </w:tc>
              <w:tc>
                <w:tcPr>
                  <w:tcW w:w="532" w:type="dxa"/>
                  <w:vMerge w:val="continue"/>
                  <w:tcBorders>
                    <w:tl2br w:val="nil"/>
                    <w:tr2bl w:val="nil"/>
                  </w:tcBorders>
                  <w:noWrap w:val="0"/>
                  <w:vAlign w:val="center"/>
                </w:tcPr>
                <w:p w14:paraId="68BF08D9">
                  <w:pPr>
                    <w:pStyle w:val="56"/>
                    <w:rPr>
                      <w:rFonts w:hint="default" w:cs="Times New Roman"/>
                      <w:color w:val="000000" w:themeColor="text1"/>
                      <w:highlight w:val="none"/>
                      <w14:textFill>
                        <w14:solidFill>
                          <w14:schemeClr w14:val="tx1"/>
                        </w14:solidFill>
                      </w14:textFill>
                    </w:rPr>
                  </w:pPr>
                </w:p>
              </w:tc>
              <w:tc>
                <w:tcPr>
                  <w:tcW w:w="805" w:type="dxa"/>
                  <w:tcBorders>
                    <w:tl2br w:val="nil"/>
                    <w:tr2bl w:val="nil"/>
                  </w:tcBorders>
                  <w:noWrap w:val="0"/>
                  <w:vAlign w:val="center"/>
                </w:tcPr>
                <w:p w14:paraId="09362717">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名称</w:t>
                  </w:r>
                </w:p>
              </w:tc>
              <w:tc>
                <w:tcPr>
                  <w:tcW w:w="1008" w:type="dxa"/>
                  <w:tcBorders>
                    <w:tl2br w:val="nil"/>
                    <w:tr2bl w:val="nil"/>
                  </w:tcBorders>
                  <w:noWrap w:val="0"/>
                  <w:vAlign w:val="center"/>
                </w:tcPr>
                <w:p w14:paraId="0E966DFB">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污染物种类</w:t>
                  </w:r>
                </w:p>
              </w:tc>
              <w:tc>
                <w:tcPr>
                  <w:tcW w:w="1413" w:type="dxa"/>
                  <w:tcBorders>
                    <w:tl2br w:val="nil"/>
                    <w:tr2bl w:val="nil"/>
                  </w:tcBorders>
                  <w:noWrap w:val="0"/>
                  <w:vAlign w:val="center"/>
                </w:tcPr>
                <w:p w14:paraId="09FD133B">
                  <w:pPr>
                    <w:pStyle w:val="56"/>
                    <w:rPr>
                      <w:rFonts w:hint="default"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w:t>
                  </w:r>
                  <w:r>
                    <w:rPr>
                      <w:rFonts w:hint="default" w:cs="Times New Roman"/>
                      <w:color w:val="000000" w:themeColor="text1"/>
                      <w:highlight w:val="none"/>
                      <w14:textFill>
                        <w14:solidFill>
                          <w14:schemeClr w14:val="tx1"/>
                        </w14:solidFill>
                      </w14:textFill>
                    </w:rPr>
                    <w:t>GB18918-2002</w:t>
                  </w:r>
                  <w:r>
                    <w:rPr>
                      <w:rFonts w:cs="Times New Roman"/>
                      <w:color w:val="000000" w:themeColor="text1"/>
                      <w:highlight w:val="none"/>
                      <w14:textFill>
                        <w14:solidFill>
                          <w14:schemeClr w14:val="tx1"/>
                        </w14:solidFill>
                      </w14:textFill>
                    </w:rPr>
                    <w:t>）</w:t>
                  </w:r>
                  <w:r>
                    <w:rPr>
                      <w:rFonts w:hint="default" w:cs="Times New Roman"/>
                      <w:color w:val="000000" w:themeColor="text1"/>
                      <w:highlight w:val="none"/>
                      <w14:textFill>
                        <w14:solidFill>
                          <w14:schemeClr w14:val="tx1"/>
                        </w14:solidFill>
                      </w14:textFill>
                    </w:rPr>
                    <w:t>一级A标准（mg/L）</w:t>
                  </w:r>
                </w:p>
              </w:tc>
            </w:tr>
            <w:tr w14:paraId="1F6D7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677" w:type="dxa"/>
                  <w:vMerge w:val="restart"/>
                  <w:tcBorders>
                    <w:tl2br w:val="nil"/>
                    <w:tr2bl w:val="nil"/>
                  </w:tcBorders>
                  <w:noWrap w:val="0"/>
                  <w:vAlign w:val="center"/>
                </w:tcPr>
                <w:p w14:paraId="2FA5C51F">
                  <w:pPr>
                    <w:pStyle w:val="56"/>
                    <w:rPr>
                      <w:rFonts w:hint="default" w:cs="Times New Roman"/>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综合废水</w:t>
                  </w:r>
                </w:p>
              </w:tc>
              <w:tc>
                <w:tcPr>
                  <w:tcW w:w="654" w:type="dxa"/>
                  <w:vMerge w:val="restart"/>
                  <w:tcBorders>
                    <w:tl2br w:val="nil"/>
                    <w:tr2bl w:val="nil"/>
                  </w:tcBorders>
                  <w:noWrap w:val="0"/>
                  <w:vAlign w:val="center"/>
                </w:tcPr>
                <w:p w14:paraId="2A8B7351">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DW001</w:t>
                  </w:r>
                </w:p>
              </w:tc>
              <w:tc>
                <w:tcPr>
                  <w:tcW w:w="859" w:type="dxa"/>
                  <w:vMerge w:val="restart"/>
                  <w:tcBorders>
                    <w:tl2br w:val="nil"/>
                    <w:tr2bl w:val="nil"/>
                  </w:tcBorders>
                  <w:noWrap w:val="0"/>
                  <w:vAlign w:val="center"/>
                </w:tcPr>
                <w:p w14:paraId="54F071BB">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18" w:type="dxa"/>
                  <w:vMerge w:val="restart"/>
                  <w:tcBorders>
                    <w:tl2br w:val="nil"/>
                    <w:tr2bl w:val="nil"/>
                  </w:tcBorders>
                  <w:noWrap w:val="0"/>
                  <w:vAlign w:val="center"/>
                </w:tcPr>
                <w:p w14:paraId="415A6860">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064" w:type="dxa"/>
                  <w:vMerge w:val="restart"/>
                  <w:tcBorders>
                    <w:tl2br w:val="nil"/>
                    <w:tr2bl w:val="nil"/>
                  </w:tcBorders>
                  <w:noWrap w:val="0"/>
                  <w:vAlign w:val="center"/>
                </w:tcPr>
                <w:p w14:paraId="450F93BF">
                  <w:pPr>
                    <w:pStyle w:val="56"/>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26.37</w:t>
                  </w:r>
                </w:p>
              </w:tc>
              <w:tc>
                <w:tcPr>
                  <w:tcW w:w="423" w:type="dxa"/>
                  <w:vMerge w:val="restart"/>
                  <w:tcBorders>
                    <w:tl2br w:val="nil"/>
                    <w:tr2bl w:val="nil"/>
                  </w:tcBorders>
                  <w:noWrap w:val="0"/>
                  <w:vAlign w:val="center"/>
                </w:tcPr>
                <w:p w14:paraId="50CE239A">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市政污水管网</w:t>
                  </w:r>
                </w:p>
              </w:tc>
              <w:tc>
                <w:tcPr>
                  <w:tcW w:w="532" w:type="dxa"/>
                  <w:vMerge w:val="restart"/>
                  <w:tcBorders>
                    <w:tl2br w:val="nil"/>
                    <w:tr2bl w:val="nil"/>
                  </w:tcBorders>
                  <w:noWrap w:val="0"/>
                  <w:vAlign w:val="center"/>
                </w:tcPr>
                <w:p w14:paraId="44C319C7">
                  <w:pPr>
                    <w:pStyle w:val="56"/>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间断</w:t>
                  </w:r>
                  <w:r>
                    <w:rPr>
                      <w:rFonts w:hint="default" w:cs="Times New Roman"/>
                      <w:color w:val="000000" w:themeColor="text1"/>
                      <w:highlight w:val="none"/>
                      <w14:textFill>
                        <w14:solidFill>
                          <w14:schemeClr w14:val="tx1"/>
                        </w14:solidFill>
                      </w14:textFill>
                    </w:rPr>
                    <w:t>排放，排放期间流量稳定</w:t>
                  </w:r>
                </w:p>
              </w:tc>
              <w:tc>
                <w:tcPr>
                  <w:tcW w:w="805" w:type="dxa"/>
                  <w:vMerge w:val="restart"/>
                  <w:tcBorders>
                    <w:tl2br w:val="nil"/>
                    <w:tr2bl w:val="nil"/>
                  </w:tcBorders>
                  <w:noWrap w:val="0"/>
                  <w:vAlign w:val="center"/>
                </w:tcPr>
                <w:p w14:paraId="2D9C9426">
                  <w:pPr>
                    <w:pStyle w:val="56"/>
                    <w:rPr>
                      <w:rFonts w:hint="default" w:cs="Times New Roman"/>
                      <w:color w:val="000000" w:themeColor="text1"/>
                      <w:highlight w:val="none"/>
                      <w14:textFill>
                        <w14:solidFill>
                          <w14:schemeClr w14:val="tx1"/>
                        </w14:solidFill>
                      </w14:textFill>
                    </w:rPr>
                  </w:pPr>
                  <w:r>
                    <w:rPr>
                      <w:rFonts w:hint="eastAsia" w:ascii="Times New Roman" w:hAnsi="Times New Roman" w:cs="Times New Roman"/>
                      <w:sz w:val="21"/>
                      <w:szCs w:val="21"/>
                      <w:highlight w:val="none"/>
                      <w:lang w:val="en-US" w:eastAsia="zh-CN"/>
                    </w:rPr>
                    <w:t>园区</w:t>
                  </w:r>
                  <w:r>
                    <w:rPr>
                      <w:rFonts w:hint="default" w:ascii="Times New Roman" w:hAnsi="Times New Roman" w:cs="Times New Roman"/>
                      <w:sz w:val="21"/>
                      <w:szCs w:val="21"/>
                      <w:highlight w:val="none"/>
                      <w:lang w:eastAsia="zh-Hans"/>
                    </w:rPr>
                    <w:t>污水处理厂</w:t>
                  </w:r>
                </w:p>
              </w:tc>
              <w:tc>
                <w:tcPr>
                  <w:tcW w:w="1008" w:type="dxa"/>
                  <w:tcBorders>
                    <w:tl2br w:val="nil"/>
                    <w:tr2bl w:val="nil"/>
                  </w:tcBorders>
                  <w:noWrap w:val="0"/>
                  <w:vAlign w:val="center"/>
                </w:tcPr>
                <w:p w14:paraId="187CE994">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pH</w:t>
                  </w:r>
                </w:p>
              </w:tc>
              <w:tc>
                <w:tcPr>
                  <w:tcW w:w="1413" w:type="dxa"/>
                  <w:tcBorders>
                    <w:tl2br w:val="nil"/>
                    <w:tr2bl w:val="nil"/>
                  </w:tcBorders>
                  <w:noWrap w:val="0"/>
                  <w:vAlign w:val="center"/>
                </w:tcPr>
                <w:p w14:paraId="391152F1">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6~9</w:t>
                  </w:r>
                </w:p>
              </w:tc>
            </w:tr>
            <w:tr w14:paraId="6FC96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77" w:type="dxa"/>
                  <w:vMerge w:val="continue"/>
                  <w:tcBorders>
                    <w:tl2br w:val="nil"/>
                    <w:tr2bl w:val="nil"/>
                  </w:tcBorders>
                  <w:noWrap w:val="0"/>
                  <w:vAlign w:val="center"/>
                </w:tcPr>
                <w:p w14:paraId="32E461C4">
                  <w:pPr>
                    <w:pStyle w:val="56"/>
                    <w:rPr>
                      <w:rFonts w:hint="default" w:cs="Times New Roman"/>
                      <w:color w:val="000000" w:themeColor="text1"/>
                      <w:highlight w:val="none"/>
                      <w14:textFill>
                        <w14:solidFill>
                          <w14:schemeClr w14:val="tx1"/>
                        </w14:solidFill>
                      </w14:textFill>
                    </w:rPr>
                  </w:pPr>
                </w:p>
              </w:tc>
              <w:tc>
                <w:tcPr>
                  <w:tcW w:w="654" w:type="dxa"/>
                  <w:vMerge w:val="continue"/>
                  <w:tcBorders>
                    <w:tl2br w:val="nil"/>
                    <w:tr2bl w:val="nil"/>
                  </w:tcBorders>
                  <w:noWrap w:val="0"/>
                  <w:vAlign w:val="center"/>
                </w:tcPr>
                <w:p w14:paraId="42BDE9EF">
                  <w:pPr>
                    <w:pStyle w:val="56"/>
                    <w:rPr>
                      <w:rFonts w:hint="default" w:cs="Times New Roman"/>
                      <w:color w:val="000000" w:themeColor="text1"/>
                      <w:highlight w:val="none"/>
                      <w14:textFill>
                        <w14:solidFill>
                          <w14:schemeClr w14:val="tx1"/>
                        </w14:solidFill>
                      </w14:textFill>
                    </w:rPr>
                  </w:pPr>
                </w:p>
              </w:tc>
              <w:tc>
                <w:tcPr>
                  <w:tcW w:w="859" w:type="dxa"/>
                  <w:vMerge w:val="continue"/>
                  <w:tcBorders>
                    <w:tl2br w:val="nil"/>
                    <w:tr2bl w:val="nil"/>
                  </w:tcBorders>
                  <w:noWrap w:val="0"/>
                  <w:vAlign w:val="center"/>
                </w:tcPr>
                <w:p w14:paraId="735C52A5">
                  <w:pPr>
                    <w:pStyle w:val="56"/>
                    <w:rPr>
                      <w:rFonts w:hint="default" w:cs="Times New Roman"/>
                      <w:color w:val="000000" w:themeColor="text1"/>
                      <w:highlight w:val="none"/>
                      <w14:textFill>
                        <w14:solidFill>
                          <w14:schemeClr w14:val="tx1"/>
                        </w14:solidFill>
                      </w14:textFill>
                    </w:rPr>
                  </w:pPr>
                </w:p>
              </w:tc>
              <w:tc>
                <w:tcPr>
                  <w:tcW w:w="818" w:type="dxa"/>
                  <w:vMerge w:val="continue"/>
                  <w:tcBorders>
                    <w:tl2br w:val="nil"/>
                    <w:tr2bl w:val="nil"/>
                  </w:tcBorders>
                  <w:noWrap w:val="0"/>
                  <w:vAlign w:val="center"/>
                </w:tcPr>
                <w:p w14:paraId="1210595B">
                  <w:pPr>
                    <w:pStyle w:val="56"/>
                    <w:rPr>
                      <w:rFonts w:hint="default" w:cs="Times New Roman"/>
                      <w:color w:val="000000" w:themeColor="text1"/>
                      <w:highlight w:val="none"/>
                      <w14:textFill>
                        <w14:solidFill>
                          <w14:schemeClr w14:val="tx1"/>
                        </w14:solidFill>
                      </w14:textFill>
                    </w:rPr>
                  </w:pPr>
                </w:p>
              </w:tc>
              <w:tc>
                <w:tcPr>
                  <w:tcW w:w="1064" w:type="dxa"/>
                  <w:vMerge w:val="continue"/>
                  <w:tcBorders>
                    <w:tl2br w:val="nil"/>
                    <w:tr2bl w:val="nil"/>
                  </w:tcBorders>
                  <w:noWrap w:val="0"/>
                  <w:vAlign w:val="center"/>
                </w:tcPr>
                <w:p w14:paraId="5F440385">
                  <w:pPr>
                    <w:pStyle w:val="56"/>
                    <w:rPr>
                      <w:rFonts w:hint="default" w:cs="Times New Roman"/>
                      <w:color w:val="000000" w:themeColor="text1"/>
                      <w:highlight w:val="none"/>
                      <w14:textFill>
                        <w14:solidFill>
                          <w14:schemeClr w14:val="tx1"/>
                        </w14:solidFill>
                      </w14:textFill>
                    </w:rPr>
                  </w:pPr>
                </w:p>
              </w:tc>
              <w:tc>
                <w:tcPr>
                  <w:tcW w:w="423" w:type="dxa"/>
                  <w:vMerge w:val="continue"/>
                  <w:tcBorders>
                    <w:tl2br w:val="nil"/>
                    <w:tr2bl w:val="nil"/>
                  </w:tcBorders>
                  <w:noWrap w:val="0"/>
                  <w:vAlign w:val="center"/>
                </w:tcPr>
                <w:p w14:paraId="35C8E675">
                  <w:pPr>
                    <w:pStyle w:val="56"/>
                    <w:rPr>
                      <w:rFonts w:hint="default" w:cs="Times New Roman"/>
                      <w:color w:val="000000" w:themeColor="text1"/>
                      <w:highlight w:val="none"/>
                      <w14:textFill>
                        <w14:solidFill>
                          <w14:schemeClr w14:val="tx1"/>
                        </w14:solidFill>
                      </w14:textFill>
                    </w:rPr>
                  </w:pPr>
                </w:p>
              </w:tc>
              <w:tc>
                <w:tcPr>
                  <w:tcW w:w="532" w:type="dxa"/>
                  <w:vMerge w:val="continue"/>
                  <w:tcBorders>
                    <w:tl2br w:val="nil"/>
                    <w:tr2bl w:val="nil"/>
                  </w:tcBorders>
                  <w:noWrap w:val="0"/>
                  <w:vAlign w:val="center"/>
                </w:tcPr>
                <w:p w14:paraId="7B810199">
                  <w:pPr>
                    <w:pStyle w:val="56"/>
                    <w:rPr>
                      <w:rFonts w:hint="default" w:cs="Times New Roman"/>
                      <w:color w:val="000000" w:themeColor="text1"/>
                      <w:highlight w:val="none"/>
                      <w14:textFill>
                        <w14:solidFill>
                          <w14:schemeClr w14:val="tx1"/>
                        </w14:solidFill>
                      </w14:textFill>
                    </w:rPr>
                  </w:pPr>
                </w:p>
              </w:tc>
              <w:tc>
                <w:tcPr>
                  <w:tcW w:w="805" w:type="dxa"/>
                  <w:vMerge w:val="continue"/>
                  <w:tcBorders>
                    <w:tl2br w:val="nil"/>
                    <w:tr2bl w:val="nil"/>
                  </w:tcBorders>
                  <w:noWrap w:val="0"/>
                  <w:vAlign w:val="center"/>
                </w:tcPr>
                <w:p w14:paraId="1C10DB72">
                  <w:pPr>
                    <w:pStyle w:val="56"/>
                    <w:rPr>
                      <w:rFonts w:hint="default" w:cs="Times New Roman"/>
                      <w:color w:val="000000" w:themeColor="text1"/>
                      <w:highlight w:val="none"/>
                      <w14:textFill>
                        <w14:solidFill>
                          <w14:schemeClr w14:val="tx1"/>
                        </w14:solidFill>
                      </w14:textFill>
                    </w:rPr>
                  </w:pPr>
                </w:p>
              </w:tc>
              <w:tc>
                <w:tcPr>
                  <w:tcW w:w="1008" w:type="dxa"/>
                  <w:tcBorders>
                    <w:tl2br w:val="nil"/>
                    <w:tr2bl w:val="nil"/>
                  </w:tcBorders>
                  <w:noWrap w:val="0"/>
                  <w:vAlign w:val="center"/>
                </w:tcPr>
                <w:p w14:paraId="0B5C808D">
                  <w:pPr>
                    <w:pStyle w:val="56"/>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COD</w:t>
                  </w:r>
                </w:p>
              </w:tc>
              <w:tc>
                <w:tcPr>
                  <w:tcW w:w="1413" w:type="dxa"/>
                  <w:tcBorders>
                    <w:tl2br w:val="nil"/>
                    <w:tr2bl w:val="nil"/>
                  </w:tcBorders>
                  <w:noWrap w:val="0"/>
                  <w:vAlign w:val="center"/>
                </w:tcPr>
                <w:p w14:paraId="44143F63">
                  <w:pPr>
                    <w:pStyle w:val="56"/>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w:t>
                  </w:r>
                  <w:r>
                    <w:rPr>
                      <w:rFonts w:hint="default" w:cs="Times New Roman"/>
                      <w:color w:val="000000" w:themeColor="text1"/>
                      <w:highlight w:val="none"/>
                      <w14:textFill>
                        <w14:solidFill>
                          <w14:schemeClr w14:val="tx1"/>
                        </w14:solidFill>
                      </w14:textFill>
                    </w:rPr>
                    <w:t>0</w:t>
                  </w:r>
                </w:p>
              </w:tc>
            </w:tr>
            <w:tr w14:paraId="58CA4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77" w:type="dxa"/>
                  <w:vMerge w:val="continue"/>
                  <w:tcBorders>
                    <w:tl2br w:val="nil"/>
                    <w:tr2bl w:val="nil"/>
                  </w:tcBorders>
                  <w:noWrap w:val="0"/>
                  <w:vAlign w:val="center"/>
                </w:tcPr>
                <w:p w14:paraId="6769D513">
                  <w:pPr>
                    <w:pStyle w:val="56"/>
                    <w:rPr>
                      <w:rFonts w:hint="default" w:cs="Times New Roman"/>
                      <w:color w:val="000000" w:themeColor="text1"/>
                      <w:highlight w:val="none"/>
                      <w14:textFill>
                        <w14:solidFill>
                          <w14:schemeClr w14:val="tx1"/>
                        </w14:solidFill>
                      </w14:textFill>
                    </w:rPr>
                  </w:pPr>
                </w:p>
              </w:tc>
              <w:tc>
                <w:tcPr>
                  <w:tcW w:w="654" w:type="dxa"/>
                  <w:vMerge w:val="continue"/>
                  <w:tcBorders>
                    <w:tl2br w:val="nil"/>
                    <w:tr2bl w:val="nil"/>
                  </w:tcBorders>
                  <w:noWrap w:val="0"/>
                  <w:vAlign w:val="center"/>
                </w:tcPr>
                <w:p w14:paraId="064B88B1">
                  <w:pPr>
                    <w:pStyle w:val="56"/>
                    <w:rPr>
                      <w:rFonts w:hint="default" w:cs="Times New Roman"/>
                      <w:color w:val="000000" w:themeColor="text1"/>
                      <w:highlight w:val="none"/>
                      <w14:textFill>
                        <w14:solidFill>
                          <w14:schemeClr w14:val="tx1"/>
                        </w14:solidFill>
                      </w14:textFill>
                    </w:rPr>
                  </w:pPr>
                </w:p>
              </w:tc>
              <w:tc>
                <w:tcPr>
                  <w:tcW w:w="859" w:type="dxa"/>
                  <w:vMerge w:val="continue"/>
                  <w:tcBorders>
                    <w:tl2br w:val="nil"/>
                    <w:tr2bl w:val="nil"/>
                  </w:tcBorders>
                  <w:noWrap w:val="0"/>
                  <w:vAlign w:val="center"/>
                </w:tcPr>
                <w:p w14:paraId="1098EC9E">
                  <w:pPr>
                    <w:pStyle w:val="56"/>
                    <w:rPr>
                      <w:rFonts w:hint="default" w:cs="Times New Roman"/>
                      <w:color w:val="000000" w:themeColor="text1"/>
                      <w:highlight w:val="none"/>
                      <w14:textFill>
                        <w14:solidFill>
                          <w14:schemeClr w14:val="tx1"/>
                        </w14:solidFill>
                      </w14:textFill>
                    </w:rPr>
                  </w:pPr>
                </w:p>
              </w:tc>
              <w:tc>
                <w:tcPr>
                  <w:tcW w:w="818" w:type="dxa"/>
                  <w:vMerge w:val="continue"/>
                  <w:tcBorders>
                    <w:tl2br w:val="nil"/>
                    <w:tr2bl w:val="nil"/>
                  </w:tcBorders>
                  <w:noWrap w:val="0"/>
                  <w:vAlign w:val="center"/>
                </w:tcPr>
                <w:p w14:paraId="424371D7">
                  <w:pPr>
                    <w:pStyle w:val="56"/>
                    <w:rPr>
                      <w:rFonts w:hint="default" w:cs="Times New Roman"/>
                      <w:color w:val="000000" w:themeColor="text1"/>
                      <w:highlight w:val="none"/>
                      <w14:textFill>
                        <w14:solidFill>
                          <w14:schemeClr w14:val="tx1"/>
                        </w14:solidFill>
                      </w14:textFill>
                    </w:rPr>
                  </w:pPr>
                </w:p>
              </w:tc>
              <w:tc>
                <w:tcPr>
                  <w:tcW w:w="1064" w:type="dxa"/>
                  <w:vMerge w:val="continue"/>
                  <w:tcBorders>
                    <w:tl2br w:val="nil"/>
                    <w:tr2bl w:val="nil"/>
                  </w:tcBorders>
                  <w:noWrap w:val="0"/>
                  <w:vAlign w:val="center"/>
                </w:tcPr>
                <w:p w14:paraId="7FE5FCF1">
                  <w:pPr>
                    <w:pStyle w:val="56"/>
                    <w:rPr>
                      <w:rFonts w:hint="default" w:cs="Times New Roman"/>
                      <w:color w:val="000000" w:themeColor="text1"/>
                      <w:highlight w:val="none"/>
                      <w14:textFill>
                        <w14:solidFill>
                          <w14:schemeClr w14:val="tx1"/>
                        </w14:solidFill>
                      </w14:textFill>
                    </w:rPr>
                  </w:pPr>
                </w:p>
              </w:tc>
              <w:tc>
                <w:tcPr>
                  <w:tcW w:w="423" w:type="dxa"/>
                  <w:vMerge w:val="continue"/>
                  <w:tcBorders>
                    <w:tl2br w:val="nil"/>
                    <w:tr2bl w:val="nil"/>
                  </w:tcBorders>
                  <w:noWrap w:val="0"/>
                  <w:vAlign w:val="center"/>
                </w:tcPr>
                <w:p w14:paraId="15D35FD8">
                  <w:pPr>
                    <w:pStyle w:val="56"/>
                    <w:rPr>
                      <w:rFonts w:hint="default" w:cs="Times New Roman"/>
                      <w:color w:val="000000" w:themeColor="text1"/>
                      <w:highlight w:val="none"/>
                      <w14:textFill>
                        <w14:solidFill>
                          <w14:schemeClr w14:val="tx1"/>
                        </w14:solidFill>
                      </w14:textFill>
                    </w:rPr>
                  </w:pPr>
                </w:p>
              </w:tc>
              <w:tc>
                <w:tcPr>
                  <w:tcW w:w="532" w:type="dxa"/>
                  <w:vMerge w:val="continue"/>
                  <w:tcBorders>
                    <w:tl2br w:val="nil"/>
                    <w:tr2bl w:val="nil"/>
                  </w:tcBorders>
                  <w:noWrap w:val="0"/>
                  <w:vAlign w:val="center"/>
                </w:tcPr>
                <w:p w14:paraId="3846E5E3">
                  <w:pPr>
                    <w:pStyle w:val="56"/>
                    <w:rPr>
                      <w:rFonts w:hint="default" w:cs="Times New Roman"/>
                      <w:color w:val="000000" w:themeColor="text1"/>
                      <w:highlight w:val="none"/>
                      <w14:textFill>
                        <w14:solidFill>
                          <w14:schemeClr w14:val="tx1"/>
                        </w14:solidFill>
                      </w14:textFill>
                    </w:rPr>
                  </w:pPr>
                </w:p>
              </w:tc>
              <w:tc>
                <w:tcPr>
                  <w:tcW w:w="805" w:type="dxa"/>
                  <w:vMerge w:val="continue"/>
                  <w:tcBorders>
                    <w:tl2br w:val="nil"/>
                    <w:tr2bl w:val="nil"/>
                  </w:tcBorders>
                  <w:noWrap w:val="0"/>
                  <w:vAlign w:val="center"/>
                </w:tcPr>
                <w:p w14:paraId="615BA73F">
                  <w:pPr>
                    <w:pStyle w:val="56"/>
                    <w:rPr>
                      <w:rFonts w:hint="default" w:cs="Times New Roman"/>
                      <w:color w:val="000000" w:themeColor="text1"/>
                      <w:highlight w:val="none"/>
                      <w14:textFill>
                        <w14:solidFill>
                          <w14:schemeClr w14:val="tx1"/>
                        </w14:solidFill>
                      </w14:textFill>
                    </w:rPr>
                  </w:pPr>
                </w:p>
              </w:tc>
              <w:tc>
                <w:tcPr>
                  <w:tcW w:w="1008" w:type="dxa"/>
                  <w:tcBorders>
                    <w:tl2br w:val="nil"/>
                    <w:tr2bl w:val="nil"/>
                  </w:tcBorders>
                  <w:noWrap w:val="0"/>
                  <w:vAlign w:val="center"/>
                </w:tcPr>
                <w:p w14:paraId="71EEFA6D">
                  <w:pPr>
                    <w:pStyle w:val="5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s="Times New Roman"/>
                      <w:color w:val="000000" w:themeColor="text1"/>
                      <w:highlight w:val="none"/>
                      <w14:textFill>
                        <w14:solidFill>
                          <w14:schemeClr w14:val="tx1"/>
                        </w14:solidFill>
                      </w14:textFill>
                    </w:rPr>
                    <w:t>SS</w:t>
                  </w:r>
                </w:p>
              </w:tc>
              <w:tc>
                <w:tcPr>
                  <w:tcW w:w="1413" w:type="dxa"/>
                  <w:tcBorders>
                    <w:tl2br w:val="nil"/>
                    <w:tr2bl w:val="nil"/>
                  </w:tcBorders>
                  <w:noWrap w:val="0"/>
                  <w:vAlign w:val="center"/>
                </w:tcPr>
                <w:p w14:paraId="1769B3EC">
                  <w:pPr>
                    <w:pStyle w:val="56"/>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s="Times New Roman"/>
                      <w:color w:val="000000" w:themeColor="text1"/>
                      <w:highlight w:val="none"/>
                      <w14:textFill>
                        <w14:solidFill>
                          <w14:schemeClr w14:val="tx1"/>
                        </w14:solidFill>
                      </w14:textFill>
                    </w:rPr>
                    <w:t>10</w:t>
                  </w:r>
                </w:p>
              </w:tc>
            </w:tr>
            <w:tr w14:paraId="4458B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77" w:type="dxa"/>
                  <w:vMerge w:val="continue"/>
                  <w:tcBorders>
                    <w:tl2br w:val="nil"/>
                    <w:tr2bl w:val="nil"/>
                  </w:tcBorders>
                  <w:noWrap w:val="0"/>
                  <w:vAlign w:val="center"/>
                </w:tcPr>
                <w:p w14:paraId="069BDB6E">
                  <w:pPr>
                    <w:pStyle w:val="56"/>
                    <w:rPr>
                      <w:rFonts w:hint="default" w:cs="Times New Roman"/>
                      <w:color w:val="000000" w:themeColor="text1"/>
                      <w:highlight w:val="none"/>
                      <w14:textFill>
                        <w14:solidFill>
                          <w14:schemeClr w14:val="tx1"/>
                        </w14:solidFill>
                      </w14:textFill>
                    </w:rPr>
                  </w:pPr>
                </w:p>
              </w:tc>
              <w:tc>
                <w:tcPr>
                  <w:tcW w:w="654" w:type="dxa"/>
                  <w:vMerge w:val="continue"/>
                  <w:tcBorders>
                    <w:tl2br w:val="nil"/>
                    <w:tr2bl w:val="nil"/>
                  </w:tcBorders>
                  <w:noWrap w:val="0"/>
                  <w:vAlign w:val="center"/>
                </w:tcPr>
                <w:p w14:paraId="279A968F">
                  <w:pPr>
                    <w:pStyle w:val="56"/>
                    <w:rPr>
                      <w:rFonts w:hint="default" w:cs="Times New Roman"/>
                      <w:color w:val="000000" w:themeColor="text1"/>
                      <w:highlight w:val="none"/>
                      <w14:textFill>
                        <w14:solidFill>
                          <w14:schemeClr w14:val="tx1"/>
                        </w14:solidFill>
                      </w14:textFill>
                    </w:rPr>
                  </w:pPr>
                </w:p>
              </w:tc>
              <w:tc>
                <w:tcPr>
                  <w:tcW w:w="859" w:type="dxa"/>
                  <w:vMerge w:val="continue"/>
                  <w:tcBorders>
                    <w:tl2br w:val="nil"/>
                    <w:tr2bl w:val="nil"/>
                  </w:tcBorders>
                  <w:noWrap w:val="0"/>
                  <w:vAlign w:val="center"/>
                </w:tcPr>
                <w:p w14:paraId="13A2F8E4">
                  <w:pPr>
                    <w:pStyle w:val="56"/>
                    <w:rPr>
                      <w:rFonts w:hint="default" w:cs="Times New Roman"/>
                      <w:color w:val="000000" w:themeColor="text1"/>
                      <w:highlight w:val="none"/>
                      <w14:textFill>
                        <w14:solidFill>
                          <w14:schemeClr w14:val="tx1"/>
                        </w14:solidFill>
                      </w14:textFill>
                    </w:rPr>
                  </w:pPr>
                </w:p>
              </w:tc>
              <w:tc>
                <w:tcPr>
                  <w:tcW w:w="818" w:type="dxa"/>
                  <w:vMerge w:val="continue"/>
                  <w:tcBorders>
                    <w:tl2br w:val="nil"/>
                    <w:tr2bl w:val="nil"/>
                  </w:tcBorders>
                  <w:noWrap w:val="0"/>
                  <w:vAlign w:val="center"/>
                </w:tcPr>
                <w:p w14:paraId="71CD7EEC">
                  <w:pPr>
                    <w:pStyle w:val="56"/>
                    <w:rPr>
                      <w:rFonts w:hint="default" w:cs="Times New Roman"/>
                      <w:color w:val="000000" w:themeColor="text1"/>
                      <w:highlight w:val="none"/>
                      <w14:textFill>
                        <w14:solidFill>
                          <w14:schemeClr w14:val="tx1"/>
                        </w14:solidFill>
                      </w14:textFill>
                    </w:rPr>
                  </w:pPr>
                </w:p>
              </w:tc>
              <w:tc>
                <w:tcPr>
                  <w:tcW w:w="1064" w:type="dxa"/>
                  <w:vMerge w:val="continue"/>
                  <w:tcBorders>
                    <w:tl2br w:val="nil"/>
                    <w:tr2bl w:val="nil"/>
                  </w:tcBorders>
                  <w:noWrap w:val="0"/>
                  <w:vAlign w:val="center"/>
                </w:tcPr>
                <w:p w14:paraId="16D415B2">
                  <w:pPr>
                    <w:pStyle w:val="56"/>
                    <w:rPr>
                      <w:rFonts w:hint="default" w:cs="Times New Roman"/>
                      <w:color w:val="000000" w:themeColor="text1"/>
                      <w:highlight w:val="none"/>
                      <w14:textFill>
                        <w14:solidFill>
                          <w14:schemeClr w14:val="tx1"/>
                        </w14:solidFill>
                      </w14:textFill>
                    </w:rPr>
                  </w:pPr>
                </w:p>
              </w:tc>
              <w:tc>
                <w:tcPr>
                  <w:tcW w:w="423" w:type="dxa"/>
                  <w:vMerge w:val="continue"/>
                  <w:tcBorders>
                    <w:tl2br w:val="nil"/>
                    <w:tr2bl w:val="nil"/>
                  </w:tcBorders>
                  <w:noWrap w:val="0"/>
                  <w:vAlign w:val="center"/>
                </w:tcPr>
                <w:p w14:paraId="119CD479">
                  <w:pPr>
                    <w:pStyle w:val="56"/>
                    <w:rPr>
                      <w:rFonts w:hint="default" w:cs="Times New Roman"/>
                      <w:color w:val="000000" w:themeColor="text1"/>
                      <w:highlight w:val="none"/>
                      <w14:textFill>
                        <w14:solidFill>
                          <w14:schemeClr w14:val="tx1"/>
                        </w14:solidFill>
                      </w14:textFill>
                    </w:rPr>
                  </w:pPr>
                </w:p>
              </w:tc>
              <w:tc>
                <w:tcPr>
                  <w:tcW w:w="532" w:type="dxa"/>
                  <w:vMerge w:val="continue"/>
                  <w:tcBorders>
                    <w:tl2br w:val="nil"/>
                    <w:tr2bl w:val="nil"/>
                  </w:tcBorders>
                  <w:noWrap w:val="0"/>
                  <w:vAlign w:val="center"/>
                </w:tcPr>
                <w:p w14:paraId="78B332FF">
                  <w:pPr>
                    <w:pStyle w:val="56"/>
                    <w:rPr>
                      <w:rFonts w:hint="default" w:cs="Times New Roman"/>
                      <w:color w:val="000000" w:themeColor="text1"/>
                      <w:highlight w:val="none"/>
                      <w14:textFill>
                        <w14:solidFill>
                          <w14:schemeClr w14:val="tx1"/>
                        </w14:solidFill>
                      </w14:textFill>
                    </w:rPr>
                  </w:pPr>
                </w:p>
              </w:tc>
              <w:tc>
                <w:tcPr>
                  <w:tcW w:w="805" w:type="dxa"/>
                  <w:vMerge w:val="continue"/>
                  <w:tcBorders>
                    <w:tl2br w:val="nil"/>
                    <w:tr2bl w:val="nil"/>
                  </w:tcBorders>
                  <w:noWrap w:val="0"/>
                  <w:vAlign w:val="center"/>
                </w:tcPr>
                <w:p w14:paraId="37293DBD">
                  <w:pPr>
                    <w:pStyle w:val="56"/>
                    <w:rPr>
                      <w:rFonts w:hint="default" w:cs="Times New Roman"/>
                      <w:color w:val="000000" w:themeColor="text1"/>
                      <w:highlight w:val="none"/>
                      <w14:textFill>
                        <w14:solidFill>
                          <w14:schemeClr w14:val="tx1"/>
                        </w14:solidFill>
                      </w14:textFill>
                    </w:rPr>
                  </w:pPr>
                </w:p>
              </w:tc>
              <w:tc>
                <w:tcPr>
                  <w:tcW w:w="1008" w:type="dxa"/>
                  <w:tcBorders>
                    <w:tl2br w:val="nil"/>
                    <w:tr2bl w:val="nil"/>
                  </w:tcBorders>
                  <w:noWrap w:val="0"/>
                  <w:vAlign w:val="center"/>
                </w:tcPr>
                <w:p w14:paraId="2017F352">
                  <w:pPr>
                    <w:pStyle w:val="56"/>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BOD</w:t>
                  </w:r>
                  <w:r>
                    <w:rPr>
                      <w:rFonts w:hint="eastAsia" w:cs="Times New Roman"/>
                      <w:color w:val="000000" w:themeColor="text1"/>
                      <w:highlight w:val="none"/>
                      <w:vertAlign w:val="subscript"/>
                      <w:lang w:val="en-US" w:eastAsia="zh-CN"/>
                      <w14:textFill>
                        <w14:solidFill>
                          <w14:schemeClr w14:val="tx1"/>
                        </w14:solidFill>
                      </w14:textFill>
                    </w:rPr>
                    <w:t>5</w:t>
                  </w:r>
                </w:p>
              </w:tc>
              <w:tc>
                <w:tcPr>
                  <w:tcW w:w="1413" w:type="dxa"/>
                  <w:tcBorders>
                    <w:tl2br w:val="nil"/>
                    <w:tr2bl w:val="nil"/>
                  </w:tcBorders>
                  <w:noWrap w:val="0"/>
                  <w:vAlign w:val="center"/>
                </w:tcPr>
                <w:p w14:paraId="57EDDAB1">
                  <w:pPr>
                    <w:pStyle w:val="5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10</w:t>
                  </w:r>
                </w:p>
              </w:tc>
            </w:tr>
            <w:tr w14:paraId="0B20B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77" w:type="dxa"/>
                  <w:vMerge w:val="continue"/>
                  <w:tcBorders>
                    <w:tl2br w:val="nil"/>
                    <w:tr2bl w:val="nil"/>
                  </w:tcBorders>
                  <w:noWrap w:val="0"/>
                  <w:vAlign w:val="center"/>
                </w:tcPr>
                <w:p w14:paraId="53B7518E">
                  <w:pPr>
                    <w:pStyle w:val="56"/>
                    <w:rPr>
                      <w:rFonts w:hint="default" w:cs="Times New Roman"/>
                      <w:color w:val="000000" w:themeColor="text1"/>
                      <w:highlight w:val="none"/>
                      <w14:textFill>
                        <w14:solidFill>
                          <w14:schemeClr w14:val="tx1"/>
                        </w14:solidFill>
                      </w14:textFill>
                    </w:rPr>
                  </w:pPr>
                </w:p>
              </w:tc>
              <w:tc>
                <w:tcPr>
                  <w:tcW w:w="654" w:type="dxa"/>
                  <w:vMerge w:val="continue"/>
                  <w:tcBorders>
                    <w:tl2br w:val="nil"/>
                    <w:tr2bl w:val="nil"/>
                  </w:tcBorders>
                  <w:noWrap w:val="0"/>
                  <w:vAlign w:val="center"/>
                </w:tcPr>
                <w:p w14:paraId="5235392C">
                  <w:pPr>
                    <w:pStyle w:val="56"/>
                    <w:rPr>
                      <w:rFonts w:hint="default" w:cs="Times New Roman"/>
                      <w:color w:val="000000" w:themeColor="text1"/>
                      <w:highlight w:val="none"/>
                      <w14:textFill>
                        <w14:solidFill>
                          <w14:schemeClr w14:val="tx1"/>
                        </w14:solidFill>
                      </w14:textFill>
                    </w:rPr>
                  </w:pPr>
                </w:p>
              </w:tc>
              <w:tc>
                <w:tcPr>
                  <w:tcW w:w="859" w:type="dxa"/>
                  <w:vMerge w:val="continue"/>
                  <w:tcBorders>
                    <w:tl2br w:val="nil"/>
                    <w:tr2bl w:val="nil"/>
                  </w:tcBorders>
                  <w:noWrap w:val="0"/>
                  <w:vAlign w:val="center"/>
                </w:tcPr>
                <w:p w14:paraId="5C092CBB">
                  <w:pPr>
                    <w:pStyle w:val="56"/>
                    <w:rPr>
                      <w:rFonts w:hint="default" w:cs="Times New Roman"/>
                      <w:color w:val="000000" w:themeColor="text1"/>
                      <w:highlight w:val="none"/>
                      <w14:textFill>
                        <w14:solidFill>
                          <w14:schemeClr w14:val="tx1"/>
                        </w14:solidFill>
                      </w14:textFill>
                    </w:rPr>
                  </w:pPr>
                </w:p>
              </w:tc>
              <w:tc>
                <w:tcPr>
                  <w:tcW w:w="818" w:type="dxa"/>
                  <w:vMerge w:val="continue"/>
                  <w:tcBorders>
                    <w:tl2br w:val="nil"/>
                    <w:tr2bl w:val="nil"/>
                  </w:tcBorders>
                  <w:noWrap w:val="0"/>
                  <w:vAlign w:val="center"/>
                </w:tcPr>
                <w:p w14:paraId="35288859">
                  <w:pPr>
                    <w:pStyle w:val="56"/>
                    <w:rPr>
                      <w:rFonts w:hint="default" w:cs="Times New Roman"/>
                      <w:color w:val="000000" w:themeColor="text1"/>
                      <w:highlight w:val="none"/>
                      <w14:textFill>
                        <w14:solidFill>
                          <w14:schemeClr w14:val="tx1"/>
                        </w14:solidFill>
                      </w14:textFill>
                    </w:rPr>
                  </w:pPr>
                </w:p>
              </w:tc>
              <w:tc>
                <w:tcPr>
                  <w:tcW w:w="1064" w:type="dxa"/>
                  <w:vMerge w:val="continue"/>
                  <w:tcBorders>
                    <w:tl2br w:val="nil"/>
                    <w:tr2bl w:val="nil"/>
                  </w:tcBorders>
                  <w:noWrap w:val="0"/>
                  <w:vAlign w:val="center"/>
                </w:tcPr>
                <w:p w14:paraId="48795F6B">
                  <w:pPr>
                    <w:pStyle w:val="56"/>
                    <w:rPr>
                      <w:rFonts w:hint="default" w:cs="Times New Roman"/>
                      <w:color w:val="000000" w:themeColor="text1"/>
                      <w:highlight w:val="none"/>
                      <w14:textFill>
                        <w14:solidFill>
                          <w14:schemeClr w14:val="tx1"/>
                        </w14:solidFill>
                      </w14:textFill>
                    </w:rPr>
                  </w:pPr>
                </w:p>
              </w:tc>
              <w:tc>
                <w:tcPr>
                  <w:tcW w:w="423" w:type="dxa"/>
                  <w:vMerge w:val="continue"/>
                  <w:tcBorders>
                    <w:tl2br w:val="nil"/>
                    <w:tr2bl w:val="nil"/>
                  </w:tcBorders>
                  <w:noWrap w:val="0"/>
                  <w:vAlign w:val="center"/>
                </w:tcPr>
                <w:p w14:paraId="42FB6136">
                  <w:pPr>
                    <w:pStyle w:val="56"/>
                    <w:rPr>
                      <w:rFonts w:hint="default" w:cs="Times New Roman"/>
                      <w:color w:val="000000" w:themeColor="text1"/>
                      <w:highlight w:val="none"/>
                      <w14:textFill>
                        <w14:solidFill>
                          <w14:schemeClr w14:val="tx1"/>
                        </w14:solidFill>
                      </w14:textFill>
                    </w:rPr>
                  </w:pPr>
                </w:p>
              </w:tc>
              <w:tc>
                <w:tcPr>
                  <w:tcW w:w="532" w:type="dxa"/>
                  <w:vMerge w:val="continue"/>
                  <w:tcBorders>
                    <w:tl2br w:val="nil"/>
                    <w:tr2bl w:val="nil"/>
                  </w:tcBorders>
                  <w:noWrap w:val="0"/>
                  <w:vAlign w:val="center"/>
                </w:tcPr>
                <w:p w14:paraId="5560AEA1">
                  <w:pPr>
                    <w:pStyle w:val="56"/>
                    <w:rPr>
                      <w:rFonts w:hint="default" w:cs="Times New Roman"/>
                      <w:color w:val="000000" w:themeColor="text1"/>
                      <w:highlight w:val="none"/>
                      <w14:textFill>
                        <w14:solidFill>
                          <w14:schemeClr w14:val="tx1"/>
                        </w14:solidFill>
                      </w14:textFill>
                    </w:rPr>
                  </w:pPr>
                </w:p>
              </w:tc>
              <w:tc>
                <w:tcPr>
                  <w:tcW w:w="805" w:type="dxa"/>
                  <w:vMerge w:val="continue"/>
                  <w:tcBorders>
                    <w:tl2br w:val="nil"/>
                    <w:tr2bl w:val="nil"/>
                  </w:tcBorders>
                  <w:noWrap w:val="0"/>
                  <w:vAlign w:val="center"/>
                </w:tcPr>
                <w:p w14:paraId="1799FC8E">
                  <w:pPr>
                    <w:pStyle w:val="56"/>
                    <w:rPr>
                      <w:rFonts w:hint="default" w:cs="Times New Roman"/>
                      <w:color w:val="000000" w:themeColor="text1"/>
                      <w:highlight w:val="none"/>
                      <w14:textFill>
                        <w14:solidFill>
                          <w14:schemeClr w14:val="tx1"/>
                        </w14:solidFill>
                      </w14:textFill>
                    </w:rPr>
                  </w:pPr>
                </w:p>
              </w:tc>
              <w:tc>
                <w:tcPr>
                  <w:tcW w:w="1008" w:type="dxa"/>
                  <w:tcBorders>
                    <w:tl2br w:val="nil"/>
                    <w:tr2bl w:val="nil"/>
                  </w:tcBorders>
                  <w:shd w:val="clear" w:color="auto" w:fill="auto"/>
                  <w:noWrap w:val="0"/>
                  <w:vAlign w:val="center"/>
                </w:tcPr>
                <w:p w14:paraId="6498B8D2">
                  <w:pPr>
                    <w:pStyle w:val="56"/>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氨氮</w:t>
                  </w:r>
                </w:p>
              </w:tc>
              <w:tc>
                <w:tcPr>
                  <w:tcW w:w="1413" w:type="dxa"/>
                  <w:tcBorders>
                    <w:tl2br w:val="nil"/>
                    <w:tr2bl w:val="nil"/>
                  </w:tcBorders>
                  <w:shd w:val="clear" w:color="auto" w:fill="auto"/>
                  <w:noWrap w:val="0"/>
                  <w:vAlign w:val="center"/>
                </w:tcPr>
                <w:p w14:paraId="1D7CFE72">
                  <w:pPr>
                    <w:pStyle w:val="56"/>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8（5）</w:t>
                  </w:r>
                </w:p>
              </w:tc>
            </w:tr>
            <w:tr w14:paraId="5D8CB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77" w:type="dxa"/>
                  <w:vMerge w:val="continue"/>
                  <w:tcBorders>
                    <w:tl2br w:val="nil"/>
                    <w:tr2bl w:val="nil"/>
                  </w:tcBorders>
                  <w:noWrap w:val="0"/>
                  <w:vAlign w:val="center"/>
                </w:tcPr>
                <w:p w14:paraId="07D8B2A8">
                  <w:pPr>
                    <w:pStyle w:val="56"/>
                    <w:rPr>
                      <w:rFonts w:hint="default" w:cs="Times New Roman"/>
                      <w:color w:val="000000" w:themeColor="text1"/>
                      <w:highlight w:val="none"/>
                      <w14:textFill>
                        <w14:solidFill>
                          <w14:schemeClr w14:val="tx1"/>
                        </w14:solidFill>
                      </w14:textFill>
                    </w:rPr>
                  </w:pPr>
                </w:p>
              </w:tc>
              <w:tc>
                <w:tcPr>
                  <w:tcW w:w="654" w:type="dxa"/>
                  <w:vMerge w:val="continue"/>
                  <w:tcBorders>
                    <w:tl2br w:val="nil"/>
                    <w:tr2bl w:val="nil"/>
                  </w:tcBorders>
                  <w:noWrap w:val="0"/>
                  <w:vAlign w:val="center"/>
                </w:tcPr>
                <w:p w14:paraId="650E4B22">
                  <w:pPr>
                    <w:pStyle w:val="56"/>
                    <w:rPr>
                      <w:rFonts w:hint="default" w:cs="Times New Roman"/>
                      <w:color w:val="000000" w:themeColor="text1"/>
                      <w:highlight w:val="none"/>
                      <w14:textFill>
                        <w14:solidFill>
                          <w14:schemeClr w14:val="tx1"/>
                        </w14:solidFill>
                      </w14:textFill>
                    </w:rPr>
                  </w:pPr>
                </w:p>
              </w:tc>
              <w:tc>
                <w:tcPr>
                  <w:tcW w:w="859" w:type="dxa"/>
                  <w:vMerge w:val="continue"/>
                  <w:tcBorders>
                    <w:tl2br w:val="nil"/>
                    <w:tr2bl w:val="nil"/>
                  </w:tcBorders>
                  <w:noWrap w:val="0"/>
                  <w:vAlign w:val="center"/>
                </w:tcPr>
                <w:p w14:paraId="76299EAA">
                  <w:pPr>
                    <w:pStyle w:val="56"/>
                    <w:rPr>
                      <w:rFonts w:hint="default" w:cs="Times New Roman"/>
                      <w:color w:val="000000" w:themeColor="text1"/>
                      <w:highlight w:val="none"/>
                      <w14:textFill>
                        <w14:solidFill>
                          <w14:schemeClr w14:val="tx1"/>
                        </w14:solidFill>
                      </w14:textFill>
                    </w:rPr>
                  </w:pPr>
                </w:p>
              </w:tc>
              <w:tc>
                <w:tcPr>
                  <w:tcW w:w="818" w:type="dxa"/>
                  <w:vMerge w:val="continue"/>
                  <w:tcBorders>
                    <w:tl2br w:val="nil"/>
                    <w:tr2bl w:val="nil"/>
                  </w:tcBorders>
                  <w:noWrap w:val="0"/>
                  <w:vAlign w:val="center"/>
                </w:tcPr>
                <w:p w14:paraId="72505E1A">
                  <w:pPr>
                    <w:pStyle w:val="56"/>
                    <w:rPr>
                      <w:rFonts w:hint="default" w:cs="Times New Roman"/>
                      <w:color w:val="000000" w:themeColor="text1"/>
                      <w:highlight w:val="none"/>
                      <w14:textFill>
                        <w14:solidFill>
                          <w14:schemeClr w14:val="tx1"/>
                        </w14:solidFill>
                      </w14:textFill>
                    </w:rPr>
                  </w:pPr>
                </w:p>
              </w:tc>
              <w:tc>
                <w:tcPr>
                  <w:tcW w:w="1064" w:type="dxa"/>
                  <w:vMerge w:val="continue"/>
                  <w:tcBorders>
                    <w:tl2br w:val="nil"/>
                    <w:tr2bl w:val="nil"/>
                  </w:tcBorders>
                  <w:noWrap w:val="0"/>
                  <w:vAlign w:val="center"/>
                </w:tcPr>
                <w:p w14:paraId="4AAFBDB2">
                  <w:pPr>
                    <w:pStyle w:val="56"/>
                    <w:rPr>
                      <w:rFonts w:hint="default" w:cs="Times New Roman"/>
                      <w:color w:val="000000" w:themeColor="text1"/>
                      <w:highlight w:val="none"/>
                      <w14:textFill>
                        <w14:solidFill>
                          <w14:schemeClr w14:val="tx1"/>
                        </w14:solidFill>
                      </w14:textFill>
                    </w:rPr>
                  </w:pPr>
                </w:p>
              </w:tc>
              <w:tc>
                <w:tcPr>
                  <w:tcW w:w="423" w:type="dxa"/>
                  <w:vMerge w:val="continue"/>
                  <w:tcBorders>
                    <w:tl2br w:val="nil"/>
                    <w:tr2bl w:val="nil"/>
                  </w:tcBorders>
                  <w:noWrap w:val="0"/>
                  <w:vAlign w:val="center"/>
                </w:tcPr>
                <w:p w14:paraId="0FC8180D">
                  <w:pPr>
                    <w:pStyle w:val="56"/>
                    <w:rPr>
                      <w:rFonts w:hint="default" w:cs="Times New Roman"/>
                      <w:color w:val="000000" w:themeColor="text1"/>
                      <w:highlight w:val="none"/>
                      <w14:textFill>
                        <w14:solidFill>
                          <w14:schemeClr w14:val="tx1"/>
                        </w14:solidFill>
                      </w14:textFill>
                    </w:rPr>
                  </w:pPr>
                </w:p>
              </w:tc>
              <w:tc>
                <w:tcPr>
                  <w:tcW w:w="532" w:type="dxa"/>
                  <w:vMerge w:val="continue"/>
                  <w:tcBorders>
                    <w:tl2br w:val="nil"/>
                    <w:tr2bl w:val="nil"/>
                  </w:tcBorders>
                  <w:noWrap w:val="0"/>
                  <w:vAlign w:val="center"/>
                </w:tcPr>
                <w:p w14:paraId="64CA444D">
                  <w:pPr>
                    <w:pStyle w:val="56"/>
                    <w:rPr>
                      <w:rFonts w:hint="default" w:cs="Times New Roman"/>
                      <w:color w:val="000000" w:themeColor="text1"/>
                      <w:highlight w:val="none"/>
                      <w14:textFill>
                        <w14:solidFill>
                          <w14:schemeClr w14:val="tx1"/>
                        </w14:solidFill>
                      </w14:textFill>
                    </w:rPr>
                  </w:pPr>
                </w:p>
              </w:tc>
              <w:tc>
                <w:tcPr>
                  <w:tcW w:w="805" w:type="dxa"/>
                  <w:vMerge w:val="continue"/>
                  <w:tcBorders>
                    <w:tl2br w:val="nil"/>
                    <w:tr2bl w:val="nil"/>
                  </w:tcBorders>
                  <w:noWrap w:val="0"/>
                  <w:vAlign w:val="center"/>
                </w:tcPr>
                <w:p w14:paraId="1C898B04">
                  <w:pPr>
                    <w:pStyle w:val="56"/>
                    <w:rPr>
                      <w:rFonts w:hint="default" w:cs="Times New Roman"/>
                      <w:color w:val="000000" w:themeColor="text1"/>
                      <w:highlight w:val="none"/>
                      <w14:textFill>
                        <w14:solidFill>
                          <w14:schemeClr w14:val="tx1"/>
                        </w14:solidFill>
                      </w14:textFill>
                    </w:rPr>
                  </w:pPr>
                </w:p>
              </w:tc>
              <w:tc>
                <w:tcPr>
                  <w:tcW w:w="1008" w:type="dxa"/>
                  <w:tcBorders>
                    <w:tl2br w:val="nil"/>
                    <w:tr2bl w:val="nil"/>
                  </w:tcBorders>
                  <w:shd w:val="clear" w:color="auto" w:fill="auto"/>
                  <w:noWrap w:val="0"/>
                  <w:vAlign w:val="center"/>
                </w:tcPr>
                <w:p w14:paraId="4790DC0D">
                  <w:pPr>
                    <w:pStyle w:val="5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TN</w:t>
                  </w:r>
                </w:p>
              </w:tc>
              <w:tc>
                <w:tcPr>
                  <w:tcW w:w="1413" w:type="dxa"/>
                  <w:tcBorders>
                    <w:tl2br w:val="nil"/>
                    <w:tr2bl w:val="nil"/>
                  </w:tcBorders>
                  <w:shd w:val="clear" w:color="auto" w:fill="auto"/>
                  <w:noWrap w:val="0"/>
                  <w:vAlign w:val="center"/>
                </w:tcPr>
                <w:p w14:paraId="569992A1">
                  <w:pPr>
                    <w:pStyle w:val="5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w:t>
                  </w:r>
                </w:p>
              </w:tc>
            </w:tr>
            <w:tr w14:paraId="2FA20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77" w:type="dxa"/>
                  <w:vMerge w:val="continue"/>
                  <w:tcBorders>
                    <w:tl2br w:val="nil"/>
                    <w:tr2bl w:val="nil"/>
                  </w:tcBorders>
                  <w:noWrap w:val="0"/>
                  <w:vAlign w:val="center"/>
                </w:tcPr>
                <w:p w14:paraId="6B3ED5DE">
                  <w:pPr>
                    <w:pStyle w:val="56"/>
                    <w:rPr>
                      <w:rFonts w:hint="default" w:cs="Times New Roman"/>
                      <w:color w:val="000000" w:themeColor="text1"/>
                      <w:highlight w:val="none"/>
                      <w14:textFill>
                        <w14:solidFill>
                          <w14:schemeClr w14:val="tx1"/>
                        </w14:solidFill>
                      </w14:textFill>
                    </w:rPr>
                  </w:pPr>
                </w:p>
              </w:tc>
              <w:tc>
                <w:tcPr>
                  <w:tcW w:w="654" w:type="dxa"/>
                  <w:vMerge w:val="continue"/>
                  <w:tcBorders>
                    <w:tl2br w:val="nil"/>
                    <w:tr2bl w:val="nil"/>
                  </w:tcBorders>
                  <w:noWrap w:val="0"/>
                  <w:vAlign w:val="center"/>
                </w:tcPr>
                <w:p w14:paraId="348CC33C">
                  <w:pPr>
                    <w:pStyle w:val="56"/>
                    <w:rPr>
                      <w:rFonts w:hint="default" w:cs="Times New Roman"/>
                      <w:color w:val="000000" w:themeColor="text1"/>
                      <w:highlight w:val="none"/>
                      <w14:textFill>
                        <w14:solidFill>
                          <w14:schemeClr w14:val="tx1"/>
                        </w14:solidFill>
                      </w14:textFill>
                    </w:rPr>
                  </w:pPr>
                </w:p>
              </w:tc>
              <w:tc>
                <w:tcPr>
                  <w:tcW w:w="859" w:type="dxa"/>
                  <w:vMerge w:val="continue"/>
                  <w:tcBorders>
                    <w:tl2br w:val="nil"/>
                    <w:tr2bl w:val="nil"/>
                  </w:tcBorders>
                  <w:noWrap w:val="0"/>
                  <w:vAlign w:val="center"/>
                </w:tcPr>
                <w:p w14:paraId="05C3060C">
                  <w:pPr>
                    <w:pStyle w:val="56"/>
                    <w:rPr>
                      <w:rFonts w:hint="default" w:cs="Times New Roman"/>
                      <w:color w:val="000000" w:themeColor="text1"/>
                      <w:highlight w:val="none"/>
                      <w14:textFill>
                        <w14:solidFill>
                          <w14:schemeClr w14:val="tx1"/>
                        </w14:solidFill>
                      </w14:textFill>
                    </w:rPr>
                  </w:pPr>
                </w:p>
              </w:tc>
              <w:tc>
                <w:tcPr>
                  <w:tcW w:w="818" w:type="dxa"/>
                  <w:vMerge w:val="continue"/>
                  <w:tcBorders>
                    <w:tl2br w:val="nil"/>
                    <w:tr2bl w:val="nil"/>
                  </w:tcBorders>
                  <w:noWrap w:val="0"/>
                  <w:vAlign w:val="center"/>
                </w:tcPr>
                <w:p w14:paraId="075CEA83">
                  <w:pPr>
                    <w:pStyle w:val="56"/>
                    <w:rPr>
                      <w:rFonts w:hint="default" w:cs="Times New Roman"/>
                      <w:color w:val="000000" w:themeColor="text1"/>
                      <w:highlight w:val="none"/>
                      <w14:textFill>
                        <w14:solidFill>
                          <w14:schemeClr w14:val="tx1"/>
                        </w14:solidFill>
                      </w14:textFill>
                    </w:rPr>
                  </w:pPr>
                </w:p>
              </w:tc>
              <w:tc>
                <w:tcPr>
                  <w:tcW w:w="1064" w:type="dxa"/>
                  <w:vMerge w:val="continue"/>
                  <w:tcBorders>
                    <w:tl2br w:val="nil"/>
                    <w:tr2bl w:val="nil"/>
                  </w:tcBorders>
                  <w:noWrap w:val="0"/>
                  <w:vAlign w:val="center"/>
                </w:tcPr>
                <w:p w14:paraId="776756CD">
                  <w:pPr>
                    <w:pStyle w:val="56"/>
                    <w:rPr>
                      <w:rFonts w:hint="default" w:cs="Times New Roman"/>
                      <w:color w:val="000000" w:themeColor="text1"/>
                      <w:highlight w:val="none"/>
                      <w14:textFill>
                        <w14:solidFill>
                          <w14:schemeClr w14:val="tx1"/>
                        </w14:solidFill>
                      </w14:textFill>
                    </w:rPr>
                  </w:pPr>
                </w:p>
              </w:tc>
              <w:tc>
                <w:tcPr>
                  <w:tcW w:w="423" w:type="dxa"/>
                  <w:vMerge w:val="continue"/>
                  <w:tcBorders>
                    <w:tl2br w:val="nil"/>
                    <w:tr2bl w:val="nil"/>
                  </w:tcBorders>
                  <w:noWrap w:val="0"/>
                  <w:vAlign w:val="center"/>
                </w:tcPr>
                <w:p w14:paraId="78A71915">
                  <w:pPr>
                    <w:pStyle w:val="56"/>
                    <w:rPr>
                      <w:rFonts w:hint="default" w:cs="Times New Roman"/>
                      <w:color w:val="000000" w:themeColor="text1"/>
                      <w:highlight w:val="none"/>
                      <w14:textFill>
                        <w14:solidFill>
                          <w14:schemeClr w14:val="tx1"/>
                        </w14:solidFill>
                      </w14:textFill>
                    </w:rPr>
                  </w:pPr>
                </w:p>
              </w:tc>
              <w:tc>
                <w:tcPr>
                  <w:tcW w:w="532" w:type="dxa"/>
                  <w:vMerge w:val="continue"/>
                  <w:tcBorders>
                    <w:tl2br w:val="nil"/>
                    <w:tr2bl w:val="nil"/>
                  </w:tcBorders>
                  <w:noWrap w:val="0"/>
                  <w:vAlign w:val="center"/>
                </w:tcPr>
                <w:p w14:paraId="66ECC317">
                  <w:pPr>
                    <w:pStyle w:val="56"/>
                    <w:rPr>
                      <w:rFonts w:hint="default" w:cs="Times New Roman"/>
                      <w:color w:val="000000" w:themeColor="text1"/>
                      <w:highlight w:val="none"/>
                      <w14:textFill>
                        <w14:solidFill>
                          <w14:schemeClr w14:val="tx1"/>
                        </w14:solidFill>
                      </w14:textFill>
                    </w:rPr>
                  </w:pPr>
                </w:p>
              </w:tc>
              <w:tc>
                <w:tcPr>
                  <w:tcW w:w="805" w:type="dxa"/>
                  <w:vMerge w:val="continue"/>
                  <w:tcBorders>
                    <w:tl2br w:val="nil"/>
                    <w:tr2bl w:val="nil"/>
                  </w:tcBorders>
                  <w:noWrap w:val="0"/>
                  <w:vAlign w:val="center"/>
                </w:tcPr>
                <w:p w14:paraId="5C3639CA">
                  <w:pPr>
                    <w:pStyle w:val="56"/>
                    <w:rPr>
                      <w:rFonts w:hint="default" w:cs="Times New Roman"/>
                      <w:color w:val="000000" w:themeColor="text1"/>
                      <w:highlight w:val="none"/>
                      <w14:textFill>
                        <w14:solidFill>
                          <w14:schemeClr w14:val="tx1"/>
                        </w14:solidFill>
                      </w14:textFill>
                    </w:rPr>
                  </w:pPr>
                </w:p>
              </w:tc>
              <w:tc>
                <w:tcPr>
                  <w:tcW w:w="1008" w:type="dxa"/>
                  <w:tcBorders>
                    <w:tl2br w:val="nil"/>
                    <w:tr2bl w:val="nil"/>
                  </w:tcBorders>
                  <w:shd w:val="clear" w:color="auto" w:fill="auto"/>
                  <w:noWrap w:val="0"/>
                  <w:vAlign w:val="center"/>
                </w:tcPr>
                <w:p w14:paraId="61136AF6">
                  <w:pPr>
                    <w:pStyle w:val="5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TP</w:t>
                  </w:r>
                </w:p>
              </w:tc>
              <w:tc>
                <w:tcPr>
                  <w:tcW w:w="1413" w:type="dxa"/>
                  <w:tcBorders>
                    <w:tl2br w:val="nil"/>
                    <w:tr2bl w:val="nil"/>
                  </w:tcBorders>
                  <w:shd w:val="clear" w:color="auto" w:fill="auto"/>
                  <w:noWrap w:val="0"/>
                  <w:vAlign w:val="center"/>
                </w:tcPr>
                <w:p w14:paraId="476A5268">
                  <w:pPr>
                    <w:pStyle w:val="56"/>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0.5</w:t>
                  </w:r>
                </w:p>
              </w:tc>
            </w:tr>
            <w:tr w14:paraId="13B96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7" w:type="dxa"/>
                  <w:vMerge w:val="continue"/>
                  <w:tcBorders>
                    <w:tl2br w:val="nil"/>
                    <w:tr2bl w:val="nil"/>
                  </w:tcBorders>
                  <w:noWrap w:val="0"/>
                  <w:vAlign w:val="center"/>
                </w:tcPr>
                <w:p w14:paraId="25B190BB">
                  <w:pPr>
                    <w:pStyle w:val="56"/>
                    <w:rPr>
                      <w:rFonts w:hint="default" w:cs="Times New Roman"/>
                      <w:color w:val="000000" w:themeColor="text1"/>
                      <w:highlight w:val="none"/>
                      <w14:textFill>
                        <w14:solidFill>
                          <w14:schemeClr w14:val="tx1"/>
                        </w14:solidFill>
                      </w14:textFill>
                    </w:rPr>
                  </w:pPr>
                </w:p>
              </w:tc>
              <w:tc>
                <w:tcPr>
                  <w:tcW w:w="654" w:type="dxa"/>
                  <w:vMerge w:val="continue"/>
                  <w:tcBorders>
                    <w:tl2br w:val="nil"/>
                    <w:tr2bl w:val="nil"/>
                  </w:tcBorders>
                  <w:noWrap w:val="0"/>
                  <w:vAlign w:val="center"/>
                </w:tcPr>
                <w:p w14:paraId="6442E41A">
                  <w:pPr>
                    <w:pStyle w:val="56"/>
                    <w:rPr>
                      <w:rFonts w:hint="default" w:cs="Times New Roman"/>
                      <w:color w:val="000000" w:themeColor="text1"/>
                      <w:highlight w:val="none"/>
                      <w14:textFill>
                        <w14:solidFill>
                          <w14:schemeClr w14:val="tx1"/>
                        </w14:solidFill>
                      </w14:textFill>
                    </w:rPr>
                  </w:pPr>
                </w:p>
              </w:tc>
              <w:tc>
                <w:tcPr>
                  <w:tcW w:w="859" w:type="dxa"/>
                  <w:vMerge w:val="continue"/>
                  <w:tcBorders>
                    <w:tl2br w:val="nil"/>
                    <w:tr2bl w:val="nil"/>
                  </w:tcBorders>
                  <w:noWrap w:val="0"/>
                  <w:vAlign w:val="center"/>
                </w:tcPr>
                <w:p w14:paraId="5C4D59DE">
                  <w:pPr>
                    <w:pStyle w:val="56"/>
                    <w:rPr>
                      <w:rFonts w:hint="default" w:cs="Times New Roman"/>
                      <w:color w:val="000000" w:themeColor="text1"/>
                      <w:highlight w:val="none"/>
                      <w14:textFill>
                        <w14:solidFill>
                          <w14:schemeClr w14:val="tx1"/>
                        </w14:solidFill>
                      </w14:textFill>
                    </w:rPr>
                  </w:pPr>
                </w:p>
              </w:tc>
              <w:tc>
                <w:tcPr>
                  <w:tcW w:w="818" w:type="dxa"/>
                  <w:vMerge w:val="continue"/>
                  <w:tcBorders>
                    <w:tl2br w:val="nil"/>
                    <w:tr2bl w:val="nil"/>
                  </w:tcBorders>
                  <w:noWrap w:val="0"/>
                  <w:vAlign w:val="center"/>
                </w:tcPr>
                <w:p w14:paraId="4A0FD74E">
                  <w:pPr>
                    <w:pStyle w:val="56"/>
                    <w:rPr>
                      <w:rFonts w:hint="default" w:cs="Times New Roman"/>
                      <w:color w:val="000000" w:themeColor="text1"/>
                      <w:highlight w:val="none"/>
                      <w14:textFill>
                        <w14:solidFill>
                          <w14:schemeClr w14:val="tx1"/>
                        </w14:solidFill>
                      </w14:textFill>
                    </w:rPr>
                  </w:pPr>
                </w:p>
              </w:tc>
              <w:tc>
                <w:tcPr>
                  <w:tcW w:w="1064" w:type="dxa"/>
                  <w:vMerge w:val="continue"/>
                  <w:tcBorders>
                    <w:tl2br w:val="nil"/>
                    <w:tr2bl w:val="nil"/>
                  </w:tcBorders>
                  <w:noWrap w:val="0"/>
                  <w:vAlign w:val="center"/>
                </w:tcPr>
                <w:p w14:paraId="10C1FC01">
                  <w:pPr>
                    <w:pStyle w:val="56"/>
                    <w:rPr>
                      <w:rFonts w:hint="default" w:cs="Times New Roman"/>
                      <w:color w:val="000000" w:themeColor="text1"/>
                      <w:highlight w:val="none"/>
                      <w14:textFill>
                        <w14:solidFill>
                          <w14:schemeClr w14:val="tx1"/>
                        </w14:solidFill>
                      </w14:textFill>
                    </w:rPr>
                  </w:pPr>
                </w:p>
              </w:tc>
              <w:tc>
                <w:tcPr>
                  <w:tcW w:w="423" w:type="dxa"/>
                  <w:vMerge w:val="continue"/>
                  <w:tcBorders>
                    <w:tl2br w:val="nil"/>
                    <w:tr2bl w:val="nil"/>
                  </w:tcBorders>
                  <w:noWrap w:val="0"/>
                  <w:vAlign w:val="center"/>
                </w:tcPr>
                <w:p w14:paraId="6EF6BFCC">
                  <w:pPr>
                    <w:pStyle w:val="56"/>
                    <w:rPr>
                      <w:rFonts w:hint="default" w:cs="Times New Roman"/>
                      <w:color w:val="000000" w:themeColor="text1"/>
                      <w:highlight w:val="none"/>
                      <w14:textFill>
                        <w14:solidFill>
                          <w14:schemeClr w14:val="tx1"/>
                        </w14:solidFill>
                      </w14:textFill>
                    </w:rPr>
                  </w:pPr>
                </w:p>
              </w:tc>
              <w:tc>
                <w:tcPr>
                  <w:tcW w:w="532" w:type="dxa"/>
                  <w:vMerge w:val="continue"/>
                  <w:tcBorders>
                    <w:tl2br w:val="nil"/>
                    <w:tr2bl w:val="nil"/>
                  </w:tcBorders>
                  <w:noWrap w:val="0"/>
                  <w:vAlign w:val="center"/>
                </w:tcPr>
                <w:p w14:paraId="5A65D33F">
                  <w:pPr>
                    <w:pStyle w:val="56"/>
                    <w:rPr>
                      <w:rFonts w:hint="default" w:cs="Times New Roman"/>
                      <w:color w:val="000000" w:themeColor="text1"/>
                      <w:highlight w:val="none"/>
                      <w14:textFill>
                        <w14:solidFill>
                          <w14:schemeClr w14:val="tx1"/>
                        </w14:solidFill>
                      </w14:textFill>
                    </w:rPr>
                  </w:pPr>
                </w:p>
              </w:tc>
              <w:tc>
                <w:tcPr>
                  <w:tcW w:w="805" w:type="dxa"/>
                  <w:vMerge w:val="continue"/>
                  <w:tcBorders>
                    <w:tl2br w:val="nil"/>
                    <w:tr2bl w:val="nil"/>
                  </w:tcBorders>
                  <w:noWrap w:val="0"/>
                  <w:vAlign w:val="center"/>
                </w:tcPr>
                <w:p w14:paraId="67503C5B">
                  <w:pPr>
                    <w:pStyle w:val="56"/>
                    <w:rPr>
                      <w:rFonts w:hint="default" w:cs="Times New Roman"/>
                      <w:color w:val="000000" w:themeColor="text1"/>
                      <w:highlight w:val="none"/>
                      <w14:textFill>
                        <w14:solidFill>
                          <w14:schemeClr w14:val="tx1"/>
                        </w14:solidFill>
                      </w14:textFill>
                    </w:rPr>
                  </w:pPr>
                </w:p>
              </w:tc>
              <w:tc>
                <w:tcPr>
                  <w:tcW w:w="1008" w:type="dxa"/>
                  <w:tcBorders>
                    <w:tl2br w:val="nil"/>
                    <w:tr2bl w:val="nil"/>
                  </w:tcBorders>
                  <w:noWrap w:val="0"/>
                  <w:vAlign w:val="center"/>
                </w:tcPr>
                <w:p w14:paraId="0ACAF21A">
                  <w:pPr>
                    <w:pStyle w:val="5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LAS</w:t>
                  </w:r>
                </w:p>
              </w:tc>
              <w:tc>
                <w:tcPr>
                  <w:tcW w:w="1413" w:type="dxa"/>
                  <w:tcBorders>
                    <w:tl2br w:val="nil"/>
                    <w:tr2bl w:val="nil"/>
                  </w:tcBorders>
                  <w:noWrap w:val="0"/>
                  <w:vAlign w:val="center"/>
                </w:tcPr>
                <w:p w14:paraId="464C37FC">
                  <w:pPr>
                    <w:pStyle w:val="5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0.5</w:t>
                  </w:r>
                </w:p>
              </w:tc>
            </w:tr>
          </w:tbl>
          <w:p w14:paraId="11E7103E">
            <w:pPr>
              <w:pStyle w:val="5"/>
              <w:bidi w:val="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废水治理设施依托可行性分析</w:t>
            </w:r>
          </w:p>
          <w:p w14:paraId="3604C596">
            <w:pPr>
              <w:pStyle w:val="18"/>
              <w:keepNext w:val="0"/>
              <w:keepLines w:val="0"/>
              <w:pageBreakBefore w:val="0"/>
              <w:widowControl w:val="0"/>
              <w:kinsoku/>
              <w:wordWrap/>
              <w:overflowPunct/>
              <w:topLinePunct w:val="0"/>
              <w:bidi w:val="0"/>
              <w:snapToGrid w:val="0"/>
              <w:spacing w:line="460" w:lineRule="exact"/>
              <w:ind w:firstLine="482" w:firstLineChars="200"/>
              <w:jc w:val="both"/>
              <w:outlineLvl w:val="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（1）生化池依托可行性分析</w:t>
            </w:r>
          </w:p>
          <w:p w14:paraId="0378FCBC">
            <w:pPr>
              <w:pStyle w:val="18"/>
              <w:keepNext w:val="0"/>
              <w:keepLines w:val="0"/>
              <w:pageBreakBefore w:val="0"/>
              <w:widowControl w:val="0"/>
              <w:kinsoku/>
              <w:wordWrap/>
              <w:overflowPunct/>
              <w:topLinePunct w:val="0"/>
              <w:autoSpaceDE/>
              <w:autoSpaceDN/>
              <w:bidi w:val="0"/>
              <w:adjustRightInd/>
              <w:snapToGrid w:val="0"/>
              <w:spacing w:line="460" w:lineRule="exact"/>
              <w:ind w:firstLine="480" w:firstLineChars="200"/>
              <w:jc w:val="both"/>
              <w:textAlignment w:val="auto"/>
              <w:outlineLvl w:val="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本项目产生的生活污水依托厂房已建的生化池进行处理，本项目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生活污水的</w:t>
            </w:r>
            <w:r>
              <w:rPr>
                <w:rFonts w:hint="default" w:ascii="Times New Roman" w:hAnsi="Times New Roman" w:eastAsia="宋体" w:cs="Times New Roman"/>
                <w:color w:val="000000" w:themeColor="text1"/>
                <w:sz w:val="24"/>
                <w:szCs w:val="24"/>
                <w:highlight w:val="none"/>
                <w14:textFill>
                  <w14:solidFill>
                    <w14:schemeClr w14:val="tx1"/>
                  </w14:solidFill>
                </w14:textFill>
              </w:rPr>
              <w:t>排放量为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0.45</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根据调查，该生化池采用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生物氧化</w:t>
            </w:r>
            <w:r>
              <w:rPr>
                <w:rFonts w:hint="default" w:ascii="Times New Roman" w:hAnsi="Times New Roman" w:eastAsia="宋体" w:cs="Times New Roman"/>
                <w:color w:val="000000" w:themeColor="text1"/>
                <w:sz w:val="24"/>
                <w:szCs w:val="24"/>
                <w:highlight w:val="none"/>
                <w14:textFill>
                  <w14:solidFill>
                    <w14:schemeClr w14:val="tx1"/>
                  </w14:solidFill>
                </w14:textFill>
              </w:rPr>
              <w:t>工艺，处理能力</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剩余量约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/d</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可以容纳本项目的废水。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生化池采用厌氧工艺，污水中的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instrText xml:space="preserve">HYPERLINK "http://baike.baidu.com/item/%E6%9C%89%E6%9C%BA%E7%89%A9" \t "_blank"</w:instrTex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有机物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被厌氧细菌分解、代谢、消化，使得污水中的有机物含量大幅减少，厌氧处理后再经沉淀、过滤滤除污水中悬浮物后，可接入市政污水管网。废水处理工艺其治理效果经济可行，能满足本项目废水处理需要，属于排污许可推荐的可行技术。</w:t>
            </w:r>
          </w:p>
          <w:p w14:paraId="2CA8C7E0">
            <w:pPr>
              <w:pStyle w:val="18"/>
              <w:keepNext w:val="0"/>
              <w:keepLines w:val="0"/>
              <w:pageBreakBefore w:val="0"/>
              <w:widowControl w:val="0"/>
              <w:numPr>
                <w:ilvl w:val="0"/>
                <w:numId w:val="6"/>
              </w:numPr>
              <w:kinsoku/>
              <w:wordWrap/>
              <w:overflowPunct/>
              <w:topLinePunct w:val="0"/>
              <w:autoSpaceDE/>
              <w:autoSpaceDN/>
              <w:bidi w:val="0"/>
              <w:adjustRightInd/>
              <w:snapToGrid w:val="0"/>
              <w:spacing w:line="460" w:lineRule="exact"/>
              <w:ind w:firstLine="482" w:firstLineChars="200"/>
              <w:jc w:val="both"/>
              <w:textAlignment w:val="auto"/>
              <w:outlineLvl w:val="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污水处理设施</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可行性分析</w:t>
            </w:r>
          </w:p>
          <w:p w14:paraId="35E66C84">
            <w:pPr>
              <w:pStyle w:val="18"/>
              <w:keepNext w:val="0"/>
              <w:keepLines w:val="0"/>
              <w:pageBreakBefore w:val="0"/>
              <w:widowControl w:val="0"/>
              <w:numPr>
                <w:ilvl w:val="0"/>
                <w:numId w:val="0"/>
              </w:numPr>
              <w:kinsoku/>
              <w:wordWrap/>
              <w:overflowPunct/>
              <w:topLinePunct w:val="0"/>
              <w:autoSpaceDE/>
              <w:autoSpaceDN/>
              <w:bidi w:val="0"/>
              <w:adjustRightInd/>
              <w:snapToGrid w:val="0"/>
              <w:spacing w:line="460" w:lineRule="exact"/>
              <w:jc w:val="both"/>
              <w:textAlignment w:val="auto"/>
              <w:outlineLvl w:val="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highlight w:val="none"/>
              </w:rPr>
              <w:drawing>
                <wp:anchor distT="0" distB="0" distL="114300" distR="114300" simplePos="0" relativeHeight="251683840" behindDoc="1" locked="0" layoutInCell="1" allowOverlap="1">
                  <wp:simplePos x="0" y="0"/>
                  <wp:positionH relativeFrom="column">
                    <wp:posOffset>8255</wp:posOffset>
                  </wp:positionH>
                  <wp:positionV relativeFrom="paragraph">
                    <wp:posOffset>187960</wp:posOffset>
                  </wp:positionV>
                  <wp:extent cx="5235575" cy="415290"/>
                  <wp:effectExtent l="0" t="0" r="3175" b="381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2"/>
                          <a:stretch>
                            <a:fillRect/>
                          </a:stretch>
                        </pic:blipFill>
                        <pic:spPr>
                          <a:xfrm>
                            <a:off x="0" y="0"/>
                            <a:ext cx="5235575" cy="415290"/>
                          </a:xfrm>
                          <a:prstGeom prst="rect">
                            <a:avLst/>
                          </a:prstGeom>
                          <a:noFill/>
                          <a:ln>
                            <a:noFill/>
                          </a:ln>
                        </pic:spPr>
                      </pic:pic>
                    </a:graphicData>
                  </a:graphic>
                </wp:anchor>
              </w:drawing>
            </w:r>
          </w:p>
          <w:p w14:paraId="294C4B9D">
            <w:pPr>
              <w:pStyle w:val="18"/>
              <w:keepNext w:val="0"/>
              <w:keepLines w:val="0"/>
              <w:pageBreakBefore w:val="0"/>
              <w:widowControl w:val="0"/>
              <w:numPr>
                <w:ilvl w:val="0"/>
                <w:numId w:val="0"/>
              </w:numPr>
              <w:kinsoku/>
              <w:wordWrap/>
              <w:overflowPunct/>
              <w:topLinePunct w:val="0"/>
              <w:autoSpaceDE/>
              <w:autoSpaceDN/>
              <w:bidi w:val="0"/>
              <w:adjustRightInd/>
              <w:snapToGrid w:val="0"/>
              <w:spacing w:line="460" w:lineRule="exact"/>
              <w:jc w:val="both"/>
              <w:textAlignment w:val="auto"/>
              <w:outlineLvl w:val="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047DCA47">
            <w:pPr>
              <w:pStyle w:val="18"/>
              <w:keepNext w:val="0"/>
              <w:keepLines w:val="0"/>
              <w:pageBreakBefore w:val="0"/>
              <w:widowControl w:val="0"/>
              <w:numPr>
                <w:ilvl w:val="0"/>
                <w:numId w:val="0"/>
              </w:numPr>
              <w:kinsoku/>
              <w:wordWrap/>
              <w:overflowPunct/>
              <w:topLinePunct w:val="0"/>
              <w:autoSpaceDE/>
              <w:autoSpaceDN/>
              <w:bidi w:val="0"/>
              <w:adjustRightInd/>
              <w:snapToGrid w:val="0"/>
              <w:spacing w:line="460" w:lineRule="exact"/>
              <w:jc w:val="center"/>
              <w:textAlignment w:val="auto"/>
              <w:outlineLvl w:val="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图4.1废水处理工艺流程</w:t>
            </w:r>
          </w:p>
          <w:p w14:paraId="1453AAB2">
            <w:pPr>
              <w:pStyle w:val="18"/>
              <w:keepNext w:val="0"/>
              <w:keepLines w:val="0"/>
              <w:pageBreakBefore w:val="0"/>
              <w:widowControl w:val="0"/>
              <w:numPr>
                <w:ilvl w:val="0"/>
                <w:numId w:val="0"/>
              </w:numPr>
              <w:kinsoku/>
              <w:wordWrap/>
              <w:overflowPunct/>
              <w:topLinePunct w:val="0"/>
              <w:autoSpaceDE/>
              <w:autoSpaceDN/>
              <w:bidi w:val="0"/>
              <w:adjustRightInd/>
              <w:snapToGrid w:val="0"/>
              <w:spacing w:line="460" w:lineRule="exact"/>
              <w:jc w:val="center"/>
              <w:textAlignment w:val="auto"/>
              <w:outlineLvl w:val="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4-1</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废水去除效率一览表</w:t>
            </w:r>
          </w:p>
          <w:tbl>
            <w:tblPr>
              <w:tblStyle w:val="29"/>
              <w:tblW w:w="8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781"/>
              <w:gridCol w:w="917"/>
              <w:gridCol w:w="917"/>
              <w:gridCol w:w="917"/>
              <w:gridCol w:w="917"/>
              <w:gridCol w:w="917"/>
              <w:gridCol w:w="917"/>
              <w:gridCol w:w="917"/>
            </w:tblGrid>
            <w:tr w14:paraId="1FA7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14:paraId="79BF5F39">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项目</w:t>
                  </w:r>
                </w:p>
              </w:tc>
              <w:tc>
                <w:tcPr>
                  <w:tcW w:w="781" w:type="dxa"/>
                  <w:shd w:val="clear" w:color="auto" w:fill="auto"/>
                  <w:vAlign w:val="center"/>
                </w:tcPr>
                <w:p w14:paraId="7F4666B9">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COD</w:t>
                  </w:r>
                </w:p>
              </w:tc>
              <w:tc>
                <w:tcPr>
                  <w:tcW w:w="917" w:type="dxa"/>
                  <w:shd w:val="clear" w:color="auto" w:fill="auto"/>
                  <w:vAlign w:val="center"/>
                </w:tcPr>
                <w:p w14:paraId="5B613015">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BOD5</w:t>
                  </w:r>
                </w:p>
              </w:tc>
              <w:tc>
                <w:tcPr>
                  <w:tcW w:w="917" w:type="dxa"/>
                  <w:shd w:val="clear" w:color="auto" w:fill="auto"/>
                  <w:vAlign w:val="center"/>
                </w:tcPr>
                <w:p w14:paraId="65763828">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NH3-N</w:t>
                  </w:r>
                </w:p>
              </w:tc>
              <w:tc>
                <w:tcPr>
                  <w:tcW w:w="917" w:type="dxa"/>
                  <w:shd w:val="clear" w:color="auto" w:fill="auto"/>
                  <w:vAlign w:val="center"/>
                </w:tcPr>
                <w:p w14:paraId="4D24D581">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SS</w:t>
                  </w:r>
                </w:p>
              </w:tc>
              <w:tc>
                <w:tcPr>
                  <w:tcW w:w="917" w:type="dxa"/>
                  <w:shd w:val="clear" w:color="auto" w:fill="auto"/>
                  <w:vAlign w:val="center"/>
                </w:tcPr>
                <w:p w14:paraId="0B1E20C4">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TN</w:t>
                  </w:r>
                </w:p>
              </w:tc>
              <w:tc>
                <w:tcPr>
                  <w:tcW w:w="917" w:type="dxa"/>
                  <w:shd w:val="clear" w:color="auto" w:fill="auto"/>
                  <w:vAlign w:val="center"/>
                </w:tcPr>
                <w:p w14:paraId="253875EA">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TP</w:t>
                  </w:r>
                </w:p>
              </w:tc>
              <w:tc>
                <w:tcPr>
                  <w:tcW w:w="917" w:type="dxa"/>
                  <w:shd w:val="clear" w:color="auto" w:fill="auto"/>
                  <w:vAlign w:val="center"/>
                </w:tcPr>
                <w:p w14:paraId="2E62F88D">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LAS</w:t>
                  </w:r>
                </w:p>
              </w:tc>
              <w:tc>
                <w:tcPr>
                  <w:tcW w:w="917" w:type="dxa"/>
                  <w:shd w:val="clear" w:color="auto" w:fill="auto"/>
                  <w:vAlign w:val="center"/>
                </w:tcPr>
                <w:p w14:paraId="0C8A16A3">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色度</w:t>
                  </w:r>
                </w:p>
              </w:tc>
            </w:tr>
            <w:tr w14:paraId="199A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14:paraId="4DF956D7">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进水浓度</w:t>
                  </w:r>
                </w:p>
              </w:tc>
              <w:tc>
                <w:tcPr>
                  <w:tcW w:w="781" w:type="dxa"/>
                  <w:vAlign w:val="center"/>
                </w:tcPr>
                <w:p w14:paraId="13B4EE4A">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845</w:t>
                  </w:r>
                </w:p>
              </w:tc>
              <w:tc>
                <w:tcPr>
                  <w:tcW w:w="917" w:type="dxa"/>
                  <w:vAlign w:val="center"/>
                </w:tcPr>
                <w:p w14:paraId="1D7148AC">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250</w:t>
                  </w:r>
                </w:p>
              </w:tc>
              <w:tc>
                <w:tcPr>
                  <w:tcW w:w="917" w:type="dxa"/>
                  <w:vAlign w:val="center"/>
                </w:tcPr>
                <w:p w14:paraId="63489944">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3.53</w:t>
                  </w:r>
                </w:p>
              </w:tc>
              <w:tc>
                <w:tcPr>
                  <w:tcW w:w="917" w:type="dxa"/>
                  <w:vAlign w:val="center"/>
                </w:tcPr>
                <w:p w14:paraId="72C5677C">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400</w:t>
                  </w:r>
                </w:p>
              </w:tc>
              <w:tc>
                <w:tcPr>
                  <w:tcW w:w="917" w:type="dxa"/>
                  <w:vAlign w:val="center"/>
                </w:tcPr>
                <w:p w14:paraId="08BF5A53">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25.99</w:t>
                  </w:r>
                </w:p>
              </w:tc>
              <w:tc>
                <w:tcPr>
                  <w:tcW w:w="917" w:type="dxa"/>
                  <w:vAlign w:val="center"/>
                </w:tcPr>
                <w:p w14:paraId="30D27ED8">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7.81</w:t>
                  </w:r>
                </w:p>
              </w:tc>
              <w:tc>
                <w:tcPr>
                  <w:tcW w:w="917" w:type="dxa"/>
                  <w:vAlign w:val="center"/>
                </w:tcPr>
                <w:p w14:paraId="487A5C74">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40</w:t>
                  </w:r>
                </w:p>
              </w:tc>
              <w:tc>
                <w:tcPr>
                  <w:tcW w:w="917" w:type="dxa"/>
                  <w:vAlign w:val="center"/>
                </w:tcPr>
                <w:p w14:paraId="66EEA57B">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80</w:t>
                  </w:r>
                </w:p>
              </w:tc>
            </w:tr>
            <w:tr w14:paraId="2107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14:paraId="65CF5E2B">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排放浓度</w:t>
                  </w:r>
                </w:p>
              </w:tc>
              <w:tc>
                <w:tcPr>
                  <w:tcW w:w="781" w:type="dxa"/>
                  <w:vAlign w:val="center"/>
                </w:tcPr>
                <w:p w14:paraId="6E715E9D">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450</w:t>
                  </w:r>
                </w:p>
              </w:tc>
              <w:tc>
                <w:tcPr>
                  <w:tcW w:w="917" w:type="dxa"/>
                  <w:vAlign w:val="center"/>
                </w:tcPr>
                <w:p w14:paraId="77E6D608">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150</w:t>
                  </w:r>
                </w:p>
              </w:tc>
              <w:tc>
                <w:tcPr>
                  <w:tcW w:w="917" w:type="dxa"/>
                  <w:vAlign w:val="center"/>
                </w:tcPr>
                <w:p w14:paraId="3A76287B">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40</w:t>
                  </w:r>
                </w:p>
              </w:tc>
              <w:tc>
                <w:tcPr>
                  <w:tcW w:w="917" w:type="dxa"/>
                  <w:vAlign w:val="center"/>
                </w:tcPr>
                <w:p w14:paraId="1F251A79">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w:t>
                  </w:r>
                </w:p>
              </w:tc>
              <w:tc>
                <w:tcPr>
                  <w:tcW w:w="917" w:type="dxa"/>
                  <w:vAlign w:val="center"/>
                </w:tcPr>
                <w:p w14:paraId="09B28494">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30</w:t>
                  </w:r>
                </w:p>
              </w:tc>
              <w:tc>
                <w:tcPr>
                  <w:tcW w:w="917" w:type="dxa"/>
                  <w:vAlign w:val="center"/>
                </w:tcPr>
                <w:p w14:paraId="135B6B5C">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w:t>
                  </w:r>
                </w:p>
              </w:tc>
              <w:tc>
                <w:tcPr>
                  <w:tcW w:w="917" w:type="dxa"/>
                  <w:vAlign w:val="center"/>
                </w:tcPr>
                <w:p w14:paraId="53FDBBEE">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20</w:t>
                  </w:r>
                </w:p>
              </w:tc>
              <w:tc>
                <w:tcPr>
                  <w:tcW w:w="917" w:type="dxa"/>
                  <w:vAlign w:val="center"/>
                </w:tcPr>
                <w:p w14:paraId="16EE18C0">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46.4</w:t>
                  </w:r>
                </w:p>
              </w:tc>
            </w:tr>
            <w:tr w14:paraId="5C9E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14:paraId="011C1D10">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综合处理效率</w:t>
                  </w:r>
                </w:p>
              </w:tc>
              <w:tc>
                <w:tcPr>
                  <w:tcW w:w="781" w:type="dxa"/>
                  <w:vAlign w:val="center"/>
                </w:tcPr>
                <w:p w14:paraId="2452DE60">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 xml:space="preserve">46.75 </w:t>
                  </w:r>
                </w:p>
              </w:tc>
              <w:tc>
                <w:tcPr>
                  <w:tcW w:w="917" w:type="dxa"/>
                  <w:vAlign w:val="center"/>
                </w:tcPr>
                <w:p w14:paraId="247EAD99">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 xml:space="preserve">40.00 </w:t>
                  </w:r>
                </w:p>
              </w:tc>
              <w:tc>
                <w:tcPr>
                  <w:tcW w:w="917" w:type="dxa"/>
                  <w:vAlign w:val="center"/>
                </w:tcPr>
                <w:p w14:paraId="66DD1179">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917" w:type="dxa"/>
                  <w:vAlign w:val="center"/>
                </w:tcPr>
                <w:p w14:paraId="28E5ECCB">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 xml:space="preserve">75.00 </w:t>
                  </w:r>
                </w:p>
              </w:tc>
              <w:tc>
                <w:tcPr>
                  <w:tcW w:w="917" w:type="dxa"/>
                  <w:vAlign w:val="center"/>
                </w:tcPr>
                <w:p w14:paraId="345DD06D">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917" w:type="dxa"/>
                  <w:vAlign w:val="center"/>
                </w:tcPr>
                <w:p w14:paraId="358611A4">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 xml:space="preserve">80.79 </w:t>
                  </w:r>
                </w:p>
              </w:tc>
              <w:tc>
                <w:tcPr>
                  <w:tcW w:w="917" w:type="dxa"/>
                  <w:vAlign w:val="center"/>
                </w:tcPr>
                <w:p w14:paraId="5AFC70B8">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 xml:space="preserve">50.00 </w:t>
                  </w:r>
                </w:p>
              </w:tc>
              <w:tc>
                <w:tcPr>
                  <w:tcW w:w="917" w:type="dxa"/>
                  <w:vAlign w:val="center"/>
                </w:tcPr>
                <w:p w14:paraId="6AD8E1AD">
                  <w:pPr>
                    <w:pStyle w:val="56"/>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 xml:space="preserve">42.00 </w:t>
                  </w:r>
                </w:p>
              </w:tc>
            </w:tr>
          </w:tbl>
          <w:p w14:paraId="6364B3B4">
            <w:pPr>
              <w:pStyle w:val="50"/>
              <w:numPr>
                <w:ilvl w:val="0"/>
                <w:numId w:val="0"/>
              </w:numPr>
              <w:ind w:firstLine="480" w:firstLineChars="20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w:t>
            </w:r>
            <w:r>
              <w:rPr>
                <w:rFonts w:hint="eastAsia" w:cs="Times New Roman"/>
                <w:color w:val="000000" w:themeColor="text1"/>
                <w:kern w:val="0"/>
                <w:sz w:val="24"/>
                <w:szCs w:val="24"/>
                <w:highlight w:val="none"/>
                <w:lang w:val="en-US" w:eastAsia="zh-CN" w:bidi="ar-SA"/>
                <w14:textFill>
                  <w14:solidFill>
                    <w14:schemeClr w14:val="tx1"/>
                  </w14:solidFill>
                </w14:textFill>
              </w:rPr>
              <w:t>新建</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设1</w:t>
            </w:r>
            <w:r>
              <w:rPr>
                <w:rFonts w:hint="eastAsia" w:cs="Times New Roman"/>
                <w:color w:val="000000" w:themeColor="text1"/>
                <w:kern w:val="0"/>
                <w:sz w:val="24"/>
                <w:szCs w:val="24"/>
                <w:highlight w:val="none"/>
                <w:lang w:val="en-US" w:eastAsia="zh-CN" w:bidi="ar-SA"/>
                <w14:textFill>
                  <w14:solidFill>
                    <w14:schemeClr w14:val="tx1"/>
                  </w14:solidFill>
                </w14:textFill>
              </w:rPr>
              <w:t>套27m</w:t>
            </w:r>
            <w:r>
              <w:rPr>
                <w:rFonts w:hint="eastAsia" w:cs="Times New Roman"/>
                <w:color w:val="000000" w:themeColor="text1"/>
                <w:kern w:val="0"/>
                <w:sz w:val="24"/>
                <w:szCs w:val="24"/>
                <w:highlight w:val="none"/>
                <w:vertAlign w:val="superscript"/>
                <w:lang w:val="en-US" w:eastAsia="zh-CN" w:bidi="ar-SA"/>
                <w14:textFill>
                  <w14:solidFill>
                    <w14:schemeClr w14:val="tx1"/>
                  </w14:solidFill>
                </w14:textFill>
              </w:rPr>
              <w:t>3</w:t>
            </w:r>
            <w:r>
              <w:rPr>
                <w:rFonts w:hint="eastAsia" w:cs="Times New Roman"/>
                <w:color w:val="000000" w:themeColor="text1"/>
                <w:kern w:val="0"/>
                <w:sz w:val="24"/>
                <w:szCs w:val="24"/>
                <w:highlight w:val="none"/>
                <w:lang w:val="en-US" w:eastAsia="zh-CN" w:bidi="ar-SA"/>
                <w14:textFill>
                  <w14:solidFill>
                    <w14:schemeClr w14:val="tx1"/>
                  </w14:solidFill>
                </w14:textFill>
              </w:rPr>
              <w:t>/d的污水处理设施，处理工艺为</w:t>
            </w:r>
            <w:r>
              <w:rPr>
                <w:rFonts w:hint="eastAsia" w:ascii="宋体" w:hAnsi="宋体" w:eastAsia="宋体" w:cs="宋体"/>
                <w:color w:val="000000"/>
                <w:kern w:val="0"/>
                <w:sz w:val="24"/>
                <w:szCs w:val="24"/>
                <w:highlight w:val="none"/>
                <w:lang w:val="en-US" w:eastAsia="zh-CN" w:bidi="ar"/>
              </w:rPr>
              <w:t>“调节沉淀池</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气浮机</w:t>
            </w:r>
            <w:r>
              <w:rPr>
                <w:rFonts w:hint="default" w:ascii="Times New Roman" w:hAnsi="Times New Roman" w:eastAsia="宋体" w:cs="Times New Roman"/>
                <w:color w:val="000000"/>
                <w:kern w:val="0"/>
                <w:sz w:val="24"/>
                <w:szCs w:val="24"/>
                <w:highlight w:val="none"/>
                <w:lang w:val="en-US" w:eastAsia="zh-CN" w:bidi="ar"/>
              </w:rPr>
              <w:t>+A/O</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，用于处理</w:t>
            </w:r>
            <w:r>
              <w:rPr>
                <w:rFonts w:hint="eastAsia" w:cs="Times New Roman"/>
                <w:color w:val="000000" w:themeColor="text1"/>
                <w:kern w:val="0"/>
                <w:sz w:val="24"/>
                <w:szCs w:val="24"/>
                <w:highlight w:val="none"/>
                <w:lang w:val="en-US" w:eastAsia="zh-CN" w:bidi="ar-SA"/>
                <w14:textFill>
                  <w14:solidFill>
                    <w14:schemeClr w14:val="tx1"/>
                  </w14:solidFill>
                </w14:textFill>
              </w:rPr>
              <w:t>洗涤污水</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cs="Times New Roman"/>
                <w:color w:val="000000" w:themeColor="text1"/>
                <w:kern w:val="0"/>
                <w:sz w:val="24"/>
                <w:szCs w:val="24"/>
                <w:highlight w:val="none"/>
                <w:lang w:val="en-US" w:eastAsia="zh-CN" w:bidi="ar-SA"/>
                <w14:textFill>
                  <w14:solidFill>
                    <w14:schemeClr w14:val="tx1"/>
                  </w14:solidFill>
                </w14:textFill>
              </w:rPr>
              <w:t>本项目每天排放洗涤污水约25.92</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/d</w:t>
            </w:r>
            <w:r>
              <w:rPr>
                <w:rFonts w:hint="eastAsia" w:ascii="Times New Roman" w:hAnsi="Times New Roman" w:cs="Times New Roman"/>
                <w:color w:val="auto"/>
                <w:kern w:val="0"/>
                <w:sz w:val="21"/>
                <w:szCs w:val="21"/>
                <w:highlight w:val="none"/>
                <w:lang w:eastAsia="zh-CN"/>
              </w:rPr>
              <w:t>，</w:t>
            </w:r>
            <w:r>
              <w:rPr>
                <w:rFonts w:hint="eastAsia" w:ascii="Times New Roman" w:hAnsi="Times New Roman" w:cs="Times New Roman"/>
                <w:color w:val="auto"/>
                <w:kern w:val="0"/>
                <w:sz w:val="21"/>
                <w:szCs w:val="21"/>
                <w:highlight w:val="none"/>
                <w:lang w:val="en-US" w:eastAsia="zh-CN"/>
              </w:rPr>
              <w:t>新建</w:t>
            </w:r>
            <w:r>
              <w:rPr>
                <w:rFonts w:hint="eastAsia" w:cs="Times New Roman"/>
                <w:color w:val="000000" w:themeColor="text1"/>
                <w:kern w:val="0"/>
                <w:sz w:val="24"/>
                <w:szCs w:val="24"/>
                <w:highlight w:val="none"/>
                <w:lang w:val="en-US" w:eastAsia="zh-CN" w:bidi="ar-SA"/>
                <w14:textFill>
                  <w14:solidFill>
                    <w14:schemeClr w14:val="tx1"/>
                  </w14:solidFill>
                </w14:textFill>
              </w:rPr>
              <w:t>27m</w:t>
            </w:r>
            <w:r>
              <w:rPr>
                <w:rFonts w:hint="eastAsia" w:cs="Times New Roman"/>
                <w:color w:val="000000" w:themeColor="text1"/>
                <w:kern w:val="0"/>
                <w:sz w:val="24"/>
                <w:szCs w:val="24"/>
                <w:highlight w:val="none"/>
                <w:vertAlign w:val="superscript"/>
                <w:lang w:val="en-US" w:eastAsia="zh-CN" w:bidi="ar-SA"/>
                <w14:textFill>
                  <w14:solidFill>
                    <w14:schemeClr w14:val="tx1"/>
                  </w14:solidFill>
                </w14:textFill>
              </w:rPr>
              <w:t>3</w:t>
            </w:r>
            <w:r>
              <w:rPr>
                <w:rFonts w:hint="eastAsia" w:cs="Times New Roman"/>
                <w:color w:val="000000" w:themeColor="text1"/>
                <w:kern w:val="0"/>
                <w:sz w:val="24"/>
                <w:szCs w:val="24"/>
                <w:highlight w:val="none"/>
                <w:lang w:val="en-US" w:eastAsia="zh-CN" w:bidi="ar-SA"/>
                <w14:textFill>
                  <w14:solidFill>
                    <w14:schemeClr w14:val="tx1"/>
                  </w14:solidFill>
                </w14:textFill>
              </w:rPr>
              <w:t>/d的污水处理设施</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可</w:t>
            </w:r>
            <w:r>
              <w:rPr>
                <w:rFonts w:hint="eastAsia" w:cs="Times New Roman"/>
                <w:color w:val="000000" w:themeColor="text1"/>
                <w:kern w:val="0"/>
                <w:sz w:val="24"/>
                <w:szCs w:val="24"/>
                <w:highlight w:val="none"/>
                <w:lang w:val="en-US" w:eastAsia="zh-CN" w:bidi="ar-SA"/>
                <w14:textFill>
                  <w14:solidFill>
                    <w14:schemeClr w14:val="tx1"/>
                  </w14:solidFill>
                </w14:textFill>
              </w:rPr>
              <w:t>满足污水处理要求，</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满足环境可行性要求。</w:t>
            </w:r>
          </w:p>
          <w:p w14:paraId="076441E0">
            <w:pPr>
              <w:pStyle w:val="18"/>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482" w:firstLineChars="200"/>
              <w:jc w:val="both"/>
              <w:textAlignment w:val="auto"/>
              <w:outlineLvl w:val="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（3）依托达川工业园区北部污水处理厂可行性分析：</w:t>
            </w:r>
          </w:p>
          <w:p w14:paraId="686ED42A">
            <w:pPr>
              <w:pStyle w:val="60"/>
              <w:spacing w:before="177" w:line="376" w:lineRule="auto"/>
              <w:ind w:left="106" w:right="126" w:firstLine="479"/>
              <w:jc w:val="left"/>
              <w:rPr>
                <w:highlight w:val="none"/>
              </w:rPr>
            </w:pPr>
            <w:r>
              <w:rPr>
                <w:highlight w:val="none"/>
              </w:rPr>
              <w:t>达川工业园区污水处理厂位于达州市达川区百节镇三牌村六</w:t>
            </w:r>
            <w:r>
              <w:rPr>
                <w:spacing w:val="-1"/>
                <w:highlight w:val="none"/>
              </w:rPr>
              <w:t>社，已建成日污水处理规模为</w:t>
            </w:r>
            <w:r>
              <w:rPr>
                <w:rFonts w:ascii="Times New Roman" w:hAnsi="Times New Roman" w:eastAsia="Times New Roman" w:cs="Times New Roman"/>
                <w:spacing w:val="-1"/>
                <w:highlight w:val="none"/>
              </w:rPr>
              <w:t>10000m</w:t>
            </w:r>
            <w:r>
              <w:rPr>
                <w:rFonts w:ascii="Times New Roman" w:hAnsi="Times New Roman" w:eastAsia="Times New Roman" w:cs="Times New Roman"/>
                <w:spacing w:val="-1"/>
                <w:position w:val="7"/>
                <w:sz w:val="15"/>
                <w:szCs w:val="15"/>
                <w:highlight w:val="none"/>
              </w:rPr>
              <w:t>3</w:t>
            </w:r>
            <w:r>
              <w:rPr>
                <w:rFonts w:ascii="Times New Roman" w:hAnsi="Times New Roman" w:eastAsia="Times New Roman" w:cs="Times New Roman"/>
                <w:spacing w:val="-1"/>
                <w:highlight w:val="none"/>
              </w:rPr>
              <w:t>/d</w:t>
            </w:r>
            <w:r>
              <w:rPr>
                <w:spacing w:val="-1"/>
                <w:highlight w:val="none"/>
              </w:rPr>
              <w:t>的污水处理设施，项目区内预留有远期建设用地，设计远期污水处理</w:t>
            </w:r>
            <w:r>
              <w:rPr>
                <w:highlight w:val="none"/>
              </w:rPr>
              <w:t>规模达到</w:t>
            </w:r>
            <w:r>
              <w:rPr>
                <w:rFonts w:ascii="Times New Roman" w:hAnsi="Times New Roman" w:eastAsia="Times New Roman" w:cs="Times New Roman"/>
                <w:highlight w:val="none"/>
              </w:rPr>
              <w:t>40000m3/d</w:t>
            </w:r>
            <w:r>
              <w:rPr>
                <w:highlight w:val="none"/>
              </w:rPr>
              <w:t>。污水收集及服务范围为：达川工业园区及毗邻区（马家乡、百节镇、赵家镇、石板镇、空港片区）的工业废水和生活污水，规划服务范围</w:t>
            </w:r>
            <w:r>
              <w:rPr>
                <w:rFonts w:ascii="Times New Roman" w:hAnsi="Times New Roman" w:eastAsia="Times New Roman" w:cs="Times New Roman"/>
                <w:highlight w:val="none"/>
              </w:rPr>
              <w:t>23.0km</w:t>
            </w:r>
            <w:r>
              <w:rPr>
                <w:rFonts w:ascii="Times New Roman" w:hAnsi="Times New Roman" w:eastAsia="Times New Roman" w:cs="Times New Roman"/>
                <w:position w:val="8"/>
                <w:sz w:val="15"/>
                <w:szCs w:val="15"/>
                <w:highlight w:val="none"/>
              </w:rPr>
              <w:t>2</w:t>
            </w:r>
            <w:r>
              <w:rPr>
                <w:highlight w:val="none"/>
              </w:rPr>
              <w:t>。现有污水处理采用</w:t>
            </w:r>
            <w:r>
              <w:rPr>
                <w:rFonts w:ascii="Times New Roman" w:hAnsi="Times New Roman" w:eastAsia="Times New Roman" w:cs="Times New Roman"/>
                <w:highlight w:val="none"/>
              </w:rPr>
              <w:t>“</w:t>
            </w:r>
            <w:r>
              <w:rPr>
                <w:highlight w:val="none"/>
              </w:rPr>
              <w:t>格栅</w:t>
            </w:r>
            <w:r>
              <w:rPr>
                <w:rFonts w:ascii="Times New Roman" w:hAnsi="Times New Roman" w:eastAsia="Times New Roman" w:cs="Times New Roman"/>
                <w:highlight w:val="none"/>
              </w:rPr>
              <w:t>+</w:t>
            </w:r>
            <w:r>
              <w:rPr>
                <w:highlight w:val="none"/>
              </w:rPr>
              <w:t>旋流沉砂池</w:t>
            </w:r>
            <w:r>
              <w:rPr>
                <w:rFonts w:ascii="Times New Roman" w:hAnsi="Times New Roman" w:eastAsia="Times New Roman" w:cs="Times New Roman"/>
                <w:highlight w:val="none"/>
              </w:rPr>
              <w:t>+</w:t>
            </w:r>
            <w:r>
              <w:rPr>
                <w:highlight w:val="none"/>
              </w:rPr>
              <w:t>一体化改良型氧化沟</w:t>
            </w:r>
            <w:r>
              <w:rPr>
                <w:rFonts w:ascii="Times New Roman" w:hAnsi="Times New Roman" w:eastAsia="Times New Roman" w:cs="Times New Roman"/>
                <w:highlight w:val="none"/>
              </w:rPr>
              <w:t>+</w:t>
            </w:r>
            <w:r>
              <w:rPr>
                <w:highlight w:val="none"/>
              </w:rPr>
              <w:t>纤维转盘</w:t>
            </w:r>
            <w:r>
              <w:rPr>
                <w:spacing w:val="-1"/>
                <w:highlight w:val="none"/>
              </w:rPr>
              <w:t>滤池</w:t>
            </w:r>
            <w:r>
              <w:rPr>
                <w:rFonts w:ascii="Times New Roman" w:hAnsi="Times New Roman" w:eastAsia="Times New Roman" w:cs="Times New Roman"/>
                <w:spacing w:val="-1"/>
                <w:highlight w:val="none"/>
              </w:rPr>
              <w:t>+</w:t>
            </w:r>
            <w:r>
              <w:rPr>
                <w:spacing w:val="-1"/>
                <w:highlight w:val="none"/>
              </w:rPr>
              <w:t>紫外消毒</w:t>
            </w:r>
            <w:r>
              <w:rPr>
                <w:rFonts w:ascii="Times New Roman" w:hAnsi="Times New Roman" w:eastAsia="Times New Roman" w:cs="Times New Roman"/>
                <w:spacing w:val="-1"/>
                <w:highlight w:val="none"/>
              </w:rPr>
              <w:t>”</w:t>
            </w:r>
            <w:r>
              <w:rPr>
                <w:spacing w:val="-1"/>
                <w:highlight w:val="none"/>
              </w:rPr>
              <w:t>工</w:t>
            </w:r>
            <w:r>
              <w:rPr>
                <w:highlight w:val="none"/>
              </w:rPr>
              <w:t>艺，出水水质满足《城镇污水处理厂污染物排放标准》（</w:t>
            </w:r>
            <w:r>
              <w:rPr>
                <w:rFonts w:ascii="Times New Roman" w:hAnsi="Times New Roman" w:eastAsia="Times New Roman" w:cs="Times New Roman"/>
                <w:highlight w:val="none"/>
              </w:rPr>
              <w:t>GB18918-2</w:t>
            </w:r>
            <w:r>
              <w:rPr>
                <w:rFonts w:ascii="Times New Roman" w:hAnsi="Times New Roman" w:eastAsia="Times New Roman" w:cs="Times New Roman"/>
                <w:spacing w:val="-1"/>
                <w:highlight w:val="none"/>
              </w:rPr>
              <w:t>002</w:t>
            </w:r>
            <w:r>
              <w:rPr>
                <w:spacing w:val="-1"/>
                <w:highlight w:val="none"/>
              </w:rPr>
              <w:t>）中的一级</w:t>
            </w:r>
            <w:r>
              <w:rPr>
                <w:rFonts w:ascii="Times New Roman" w:hAnsi="Times New Roman" w:eastAsia="Times New Roman" w:cs="Times New Roman"/>
                <w:spacing w:val="-1"/>
                <w:highlight w:val="none"/>
              </w:rPr>
              <w:t>A</w:t>
            </w:r>
            <w:r>
              <w:rPr>
                <w:spacing w:val="-1"/>
                <w:highlight w:val="none"/>
              </w:rPr>
              <w:t>标</w:t>
            </w:r>
            <w:r>
              <w:rPr>
                <w:spacing w:val="-3"/>
                <w:highlight w:val="none"/>
              </w:rPr>
              <w:t>准后，尾水排入铜钵河（州河支流</w:t>
            </w:r>
            <w:r>
              <w:rPr>
                <w:spacing w:val="2"/>
                <w:highlight w:val="none"/>
              </w:rPr>
              <w:t>），</w:t>
            </w:r>
            <w:r>
              <w:rPr>
                <w:spacing w:val="-3"/>
                <w:highlight w:val="none"/>
              </w:rPr>
              <w:t>目前已建成运行。</w:t>
            </w:r>
          </w:p>
          <w:p w14:paraId="75A34761">
            <w:pPr>
              <w:pStyle w:val="60"/>
              <w:spacing w:before="77" w:line="379" w:lineRule="auto"/>
              <w:ind w:left="107" w:right="92" w:firstLine="479"/>
              <w:jc w:val="left"/>
              <w:rPr>
                <w:highlight w:val="none"/>
              </w:rPr>
            </w:pPr>
            <w:r>
              <w:rPr>
                <w:highlight w:val="none"/>
              </w:rPr>
              <w:t>根据调查及了解，本项目位于达川工业园区规划范围内，</w:t>
            </w:r>
            <w:r>
              <w:rPr>
                <w:spacing w:val="-1"/>
                <w:highlight w:val="none"/>
              </w:rPr>
              <w:t>在达川工业园区污水处理</w:t>
            </w:r>
            <w:r>
              <w:rPr>
                <w:spacing w:val="-2"/>
                <w:highlight w:val="none"/>
              </w:rPr>
              <w:t>厂纳污范围内，目前，达川工业园区内的截污干管已敷设完成，项目产生的污水均可通</w:t>
            </w:r>
            <w:r>
              <w:rPr>
                <w:highlight w:val="none"/>
              </w:rPr>
              <w:t>过园区管网进入达川工业园区污水处理厂收集及处理。本项</w:t>
            </w:r>
            <w:r>
              <w:rPr>
                <w:spacing w:val="-1"/>
                <w:highlight w:val="none"/>
              </w:rPr>
              <w:t>目产生的污水经化粪池处理后达到《污水综合排放标准》（</w:t>
            </w:r>
            <w:r>
              <w:rPr>
                <w:rFonts w:ascii="Times New Roman" w:hAnsi="Times New Roman" w:eastAsia="Times New Roman" w:cs="Times New Roman"/>
                <w:spacing w:val="-1"/>
                <w:highlight w:val="none"/>
              </w:rPr>
              <w:t>GB8978-1996</w:t>
            </w:r>
            <w:r>
              <w:rPr>
                <w:spacing w:val="-1"/>
                <w:highlight w:val="none"/>
              </w:rPr>
              <w:t>）表</w:t>
            </w:r>
            <w:r>
              <w:rPr>
                <w:rFonts w:ascii="Times New Roman" w:hAnsi="Times New Roman" w:eastAsia="Times New Roman" w:cs="Times New Roman"/>
                <w:spacing w:val="-1"/>
                <w:highlight w:val="none"/>
              </w:rPr>
              <w:t>4</w:t>
            </w:r>
            <w:r>
              <w:rPr>
                <w:spacing w:val="-1"/>
                <w:highlight w:val="none"/>
              </w:rPr>
              <w:t>中三级标准经园区污水管网</w:t>
            </w:r>
            <w:r>
              <w:rPr>
                <w:spacing w:val="-2"/>
                <w:highlight w:val="none"/>
              </w:rPr>
              <w:t>进入达</w:t>
            </w:r>
            <w:r>
              <w:rPr>
                <w:spacing w:val="-1"/>
                <w:highlight w:val="none"/>
              </w:rPr>
              <w:t>川工业园区污水处理厂处理达到《城镇污水处理厂污染物排放标准》（</w:t>
            </w:r>
            <w:r>
              <w:rPr>
                <w:rFonts w:ascii="Times New Roman" w:hAnsi="Times New Roman" w:eastAsia="Times New Roman" w:cs="Times New Roman"/>
                <w:spacing w:val="-1"/>
                <w:highlight w:val="none"/>
              </w:rPr>
              <w:t>GB18918-2002</w:t>
            </w:r>
            <w:r>
              <w:rPr>
                <w:spacing w:val="-1"/>
                <w:highlight w:val="none"/>
              </w:rPr>
              <w:t>）中的一级</w:t>
            </w:r>
            <w:r>
              <w:rPr>
                <w:rFonts w:ascii="Times New Roman" w:hAnsi="Times New Roman" w:eastAsia="Times New Roman" w:cs="Times New Roman"/>
                <w:spacing w:val="-1"/>
                <w:highlight w:val="none"/>
              </w:rPr>
              <w:t>A</w:t>
            </w:r>
            <w:r>
              <w:rPr>
                <w:spacing w:val="-1"/>
                <w:highlight w:val="none"/>
              </w:rPr>
              <w:t>标准后排入铜钵河（州河支流）。</w:t>
            </w:r>
          </w:p>
          <w:p w14:paraId="4CFD51CB">
            <w:pPr>
              <w:pStyle w:val="60"/>
              <w:keepNext w:val="0"/>
              <w:keepLines w:val="0"/>
              <w:pageBreakBefore w:val="0"/>
              <w:widowControl w:val="0"/>
              <w:kinsoku/>
              <w:wordWrap/>
              <w:overflowPunct/>
              <w:topLinePunct w:val="0"/>
              <w:autoSpaceDE/>
              <w:autoSpaceDN/>
              <w:bidi w:val="0"/>
              <w:adjustRightInd/>
              <w:snapToGrid/>
              <w:spacing w:before="153" w:line="480" w:lineRule="exact"/>
              <w:ind w:left="102" w:right="102" w:firstLine="528" w:firstLineChars="200"/>
              <w:jc w:val="left"/>
              <w:textAlignment w:val="auto"/>
              <w:rPr>
                <w:highlight w:val="none"/>
              </w:rPr>
            </w:pPr>
            <w:r>
              <w:rPr>
                <w:spacing w:val="12"/>
                <w:position w:val="2"/>
                <w:highlight w:val="none"/>
              </w:rPr>
              <w:t>达川工业园区污水处理厂现有污水处理规模为</w:t>
            </w:r>
            <w:r>
              <w:rPr>
                <w:rFonts w:ascii="Times New Roman" w:hAnsi="Times New Roman" w:eastAsia="Times New Roman" w:cs="Times New Roman"/>
                <w:spacing w:val="12"/>
                <w:position w:val="2"/>
                <w:highlight w:val="none"/>
              </w:rPr>
              <w:t>10000m</w:t>
            </w:r>
            <w:r>
              <w:rPr>
                <w:rFonts w:ascii="Times New Roman" w:hAnsi="Times New Roman" w:eastAsia="Times New Roman" w:cs="Times New Roman"/>
                <w:spacing w:val="12"/>
                <w:position w:val="9"/>
                <w:sz w:val="15"/>
                <w:szCs w:val="15"/>
                <w:highlight w:val="none"/>
              </w:rPr>
              <w:t>3</w:t>
            </w:r>
            <w:r>
              <w:rPr>
                <w:rFonts w:ascii="Times New Roman" w:hAnsi="Times New Roman" w:eastAsia="Times New Roman" w:cs="Times New Roman"/>
                <w:spacing w:val="12"/>
                <w:position w:val="2"/>
                <w:highlight w:val="none"/>
              </w:rPr>
              <w:t>/d</w:t>
            </w:r>
            <w:r>
              <w:rPr>
                <w:spacing w:val="12"/>
                <w:position w:val="2"/>
                <w:highlight w:val="none"/>
              </w:rPr>
              <w:t>，现有实际收水量约</w:t>
            </w:r>
            <w:r>
              <w:rPr>
                <w:rFonts w:ascii="Times New Roman" w:hAnsi="Times New Roman" w:eastAsia="Times New Roman" w:cs="Times New Roman"/>
                <w:spacing w:val="-2"/>
                <w:highlight w:val="none"/>
              </w:rPr>
              <w:t>2000m</w:t>
            </w:r>
            <w:r>
              <w:rPr>
                <w:rFonts w:ascii="Times New Roman" w:hAnsi="Times New Roman" w:eastAsia="Times New Roman" w:cs="Times New Roman"/>
                <w:spacing w:val="-2"/>
                <w:position w:val="7"/>
                <w:sz w:val="15"/>
                <w:szCs w:val="15"/>
                <w:highlight w:val="none"/>
              </w:rPr>
              <w:t>3</w:t>
            </w:r>
            <w:r>
              <w:rPr>
                <w:rFonts w:ascii="Times New Roman" w:hAnsi="Times New Roman" w:eastAsia="Times New Roman" w:cs="Times New Roman"/>
                <w:spacing w:val="-2"/>
                <w:highlight w:val="none"/>
              </w:rPr>
              <w:t>/d</w:t>
            </w:r>
            <w:r>
              <w:rPr>
                <w:spacing w:val="-2"/>
                <w:highlight w:val="none"/>
              </w:rPr>
              <w:t>，富裕污水处理能力约</w:t>
            </w:r>
            <w:r>
              <w:rPr>
                <w:rFonts w:ascii="Times New Roman" w:hAnsi="Times New Roman" w:eastAsia="Times New Roman" w:cs="Times New Roman"/>
                <w:spacing w:val="-2"/>
                <w:highlight w:val="none"/>
              </w:rPr>
              <w:t>8000m</w:t>
            </w:r>
            <w:r>
              <w:rPr>
                <w:rFonts w:ascii="Times New Roman" w:hAnsi="Times New Roman" w:eastAsia="Times New Roman" w:cs="Times New Roman"/>
                <w:spacing w:val="-2"/>
                <w:position w:val="7"/>
                <w:sz w:val="15"/>
                <w:szCs w:val="15"/>
                <w:highlight w:val="none"/>
              </w:rPr>
              <w:t>3</w:t>
            </w:r>
            <w:r>
              <w:rPr>
                <w:rFonts w:ascii="Times New Roman" w:hAnsi="Times New Roman" w:eastAsia="Times New Roman" w:cs="Times New Roman"/>
                <w:spacing w:val="-2"/>
                <w:highlight w:val="none"/>
              </w:rPr>
              <w:t>/d</w:t>
            </w:r>
            <w:r>
              <w:rPr>
                <w:spacing w:val="-2"/>
                <w:highlight w:val="none"/>
              </w:rPr>
              <w:t>，本项目污水</w:t>
            </w:r>
            <w:r>
              <w:rPr>
                <w:spacing w:val="-3"/>
                <w:highlight w:val="none"/>
              </w:rPr>
              <w:t>量约</w:t>
            </w:r>
            <w:r>
              <w:rPr>
                <w:rFonts w:ascii="Times New Roman" w:hAnsi="Times New Roman" w:eastAsia="Times New Roman" w:cs="Times New Roman"/>
                <w:spacing w:val="-3"/>
                <w:highlight w:val="none"/>
              </w:rPr>
              <w:t>3.4m</w:t>
            </w:r>
            <w:r>
              <w:rPr>
                <w:rFonts w:ascii="Times New Roman" w:hAnsi="Times New Roman" w:eastAsia="Times New Roman" w:cs="Times New Roman"/>
                <w:spacing w:val="-3"/>
                <w:position w:val="7"/>
                <w:sz w:val="15"/>
                <w:szCs w:val="15"/>
                <w:highlight w:val="none"/>
              </w:rPr>
              <w:t>3</w:t>
            </w:r>
            <w:r>
              <w:rPr>
                <w:rFonts w:ascii="Times New Roman" w:hAnsi="Times New Roman" w:eastAsia="Times New Roman" w:cs="Times New Roman"/>
                <w:spacing w:val="-3"/>
                <w:highlight w:val="none"/>
              </w:rPr>
              <w:t>/d</w:t>
            </w:r>
            <w:r>
              <w:rPr>
                <w:spacing w:val="-3"/>
                <w:highlight w:val="none"/>
              </w:rPr>
              <w:t>，远小于园区污水处</w:t>
            </w:r>
            <w:r>
              <w:rPr>
                <w:spacing w:val="-1"/>
                <w:highlight w:val="none"/>
              </w:rPr>
              <w:t>理厂的处理能力，水量不会突破污水处理厂的处理能力上线。</w:t>
            </w:r>
          </w:p>
          <w:p w14:paraId="2C0640DE">
            <w:pPr>
              <w:pStyle w:val="60"/>
              <w:spacing w:before="61" w:line="385" w:lineRule="auto"/>
              <w:ind w:left="107" w:right="102" w:firstLine="482"/>
              <w:jc w:val="left"/>
              <w:rPr>
                <w:highlight w:val="none"/>
              </w:rPr>
            </w:pPr>
            <w:r>
              <w:rPr>
                <w:highlight w:val="none"/>
              </w:rPr>
              <w:t>项目附近已有污水收集管网，标高低于项目</w:t>
            </w:r>
            <w:r>
              <w:rPr>
                <w:rFonts w:hint="eastAsia"/>
                <w:highlight w:val="none"/>
                <w:lang w:val="en-US" w:eastAsia="zh-CN"/>
              </w:rPr>
              <w:t>生化池</w:t>
            </w:r>
            <w:r>
              <w:rPr>
                <w:highlight w:val="none"/>
              </w:rPr>
              <w:t>出水口标高，</w:t>
            </w:r>
            <w:r>
              <w:rPr>
                <w:rFonts w:hint="eastAsia"/>
                <w:highlight w:val="none"/>
                <w:lang w:val="en-US" w:eastAsia="zh-CN"/>
              </w:rPr>
              <w:t>生化池</w:t>
            </w:r>
            <w:r>
              <w:rPr>
                <w:highlight w:val="none"/>
              </w:rPr>
              <w:t>出水口可自流排至污水管网，最终进入园区污水处理厂处理。因此，本项目污水排入园区污水</w:t>
            </w:r>
            <w:r>
              <w:rPr>
                <w:spacing w:val="-1"/>
                <w:highlight w:val="none"/>
              </w:rPr>
              <w:t>处理厂处理是可行的，也是可靠的。</w:t>
            </w:r>
          </w:p>
          <w:p w14:paraId="1C60A19D">
            <w:pPr>
              <w:pStyle w:val="60"/>
              <w:spacing w:line="371" w:lineRule="auto"/>
              <w:ind w:left="106" w:right="126" w:firstLine="482"/>
              <w:jc w:val="left"/>
              <w:rPr>
                <w:rFonts w:hint="eastAsia" w:eastAsia="宋体"/>
                <w:color w:val="000000" w:themeColor="text1"/>
                <w:highlight w:val="none"/>
                <w:lang w:eastAsia="zh-CN"/>
                <w14:textFill>
                  <w14:solidFill>
                    <w14:schemeClr w14:val="tx1"/>
                  </w14:solidFill>
                </w14:textFill>
              </w:rPr>
            </w:pPr>
            <w:r>
              <w:rPr>
                <w:highlight w:val="none"/>
              </w:rPr>
              <w:t>综上，</w:t>
            </w:r>
            <w:r>
              <w:rPr>
                <w:spacing w:val="-1"/>
                <w:highlight w:val="none"/>
              </w:rPr>
              <w:t>项目运营期不会对周边地表水环境产生明显影响。</w:t>
            </w:r>
          </w:p>
          <w:p w14:paraId="048684A4">
            <w:pPr>
              <w:pStyle w:val="5"/>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监测要求</w:t>
            </w:r>
          </w:p>
          <w:p w14:paraId="28CBE338">
            <w:pPr>
              <w:pStyle w:val="50"/>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根据《排污单位自行监测技术指南 纺织印染工业》（HJ 879-2017），项目</w:t>
            </w:r>
          </w:p>
          <w:p w14:paraId="3965AA42">
            <w:pPr>
              <w:pStyle w:val="50"/>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废水监测计划见下表：</w:t>
            </w:r>
            <w:r>
              <w:rPr>
                <w:color w:val="000000" w:themeColor="text1"/>
                <w:highlight w:val="none"/>
                <w14:textFill>
                  <w14:solidFill>
                    <w14:schemeClr w14:val="tx1"/>
                  </w14:solidFill>
                </w14:textFill>
              </w:rPr>
              <w:t>。</w:t>
            </w:r>
          </w:p>
          <w:p w14:paraId="46C1B4BF">
            <w:pPr>
              <w:pStyle w:val="6"/>
              <w:numPr>
                <w:ilvl w:val="4"/>
                <w:numId w:val="0"/>
              </w:numPr>
              <w:bidi w:val="0"/>
              <w:ind w:left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表4-1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废水</w:t>
            </w:r>
            <w:r>
              <w:rPr>
                <w:color w:val="000000" w:themeColor="text1"/>
                <w:highlight w:val="none"/>
                <w14:textFill>
                  <w14:solidFill>
                    <w14:schemeClr w14:val="tx1"/>
                  </w14:solidFill>
                </w14:textFill>
              </w:rPr>
              <w:t>监测计划表</w:t>
            </w:r>
          </w:p>
          <w:tbl>
            <w:tblPr>
              <w:tblStyle w:val="28"/>
              <w:tblpPr w:leftFromText="180" w:rightFromText="180" w:vertAnchor="text" w:horzAnchor="margin" w:tblpY="63"/>
              <w:tblOverlap w:val="never"/>
              <w:tblW w:w="4995"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73"/>
              <w:gridCol w:w="1735"/>
              <w:gridCol w:w="818"/>
              <w:gridCol w:w="2482"/>
              <w:gridCol w:w="2037"/>
            </w:tblGrid>
            <w:tr w14:paraId="737B12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trPr>
              <w:tc>
                <w:tcPr>
                  <w:tcW w:w="711" w:type="pct"/>
                  <w:tcBorders>
                    <w:tl2br w:val="nil"/>
                    <w:tr2bl w:val="nil"/>
                  </w:tcBorders>
                  <w:noWrap w:val="0"/>
                  <w:vAlign w:val="center"/>
                </w:tcPr>
                <w:p w14:paraId="45FA8597">
                  <w:pPr>
                    <w:adjustRightInd w:val="0"/>
                    <w:snapToGrid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监测项目</w:t>
                  </w:r>
                </w:p>
              </w:tc>
              <w:tc>
                <w:tcPr>
                  <w:tcW w:w="1052" w:type="pct"/>
                  <w:tcBorders>
                    <w:tl2br w:val="nil"/>
                    <w:tr2bl w:val="nil"/>
                  </w:tcBorders>
                  <w:noWrap w:val="0"/>
                  <w:vAlign w:val="center"/>
                </w:tcPr>
                <w:p w14:paraId="41EC3A3F">
                  <w:pPr>
                    <w:adjustRightInd w:val="0"/>
                    <w:snapToGrid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监测因子</w:t>
                  </w:r>
                </w:p>
              </w:tc>
              <w:tc>
                <w:tcPr>
                  <w:tcW w:w="496" w:type="pct"/>
                  <w:tcBorders>
                    <w:tl2br w:val="nil"/>
                    <w:tr2bl w:val="nil"/>
                  </w:tcBorders>
                  <w:noWrap w:val="0"/>
                  <w:vAlign w:val="center"/>
                </w:tcPr>
                <w:p w14:paraId="0D2158B3">
                  <w:pPr>
                    <w:adjustRightInd w:val="0"/>
                    <w:snapToGrid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监测位置</w:t>
                  </w:r>
                </w:p>
              </w:tc>
              <w:tc>
                <w:tcPr>
                  <w:tcW w:w="1505" w:type="pct"/>
                  <w:tcBorders>
                    <w:tl2br w:val="nil"/>
                    <w:tr2bl w:val="nil"/>
                  </w:tcBorders>
                  <w:noWrap w:val="0"/>
                  <w:vAlign w:val="top"/>
                </w:tcPr>
                <w:p w14:paraId="2F1952C2">
                  <w:pPr>
                    <w:adjustRightInd w:val="0"/>
                    <w:snapToGrid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监测频次</w:t>
                  </w:r>
                </w:p>
              </w:tc>
              <w:tc>
                <w:tcPr>
                  <w:tcW w:w="1235" w:type="pct"/>
                  <w:tcBorders>
                    <w:tl2br w:val="nil"/>
                    <w:tr2bl w:val="nil"/>
                  </w:tcBorders>
                  <w:noWrap w:val="0"/>
                  <w:vAlign w:val="top"/>
                </w:tcPr>
                <w:p w14:paraId="0DFE5F5D">
                  <w:pPr>
                    <w:adjustRightInd w:val="0"/>
                    <w:snapToGrid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执行标准</w:t>
                  </w:r>
                </w:p>
              </w:tc>
            </w:tr>
            <w:tr w14:paraId="5998D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trPr>
              <w:tc>
                <w:tcPr>
                  <w:tcW w:w="711" w:type="pct"/>
                  <w:vMerge w:val="restart"/>
                  <w:tcBorders>
                    <w:tl2br w:val="nil"/>
                    <w:tr2bl w:val="nil"/>
                  </w:tcBorders>
                  <w:noWrap w:val="0"/>
                  <w:vAlign w:val="center"/>
                </w:tcPr>
                <w:p w14:paraId="0AAAB3A3">
                  <w:pPr>
                    <w:adjustRightInd w:val="0"/>
                    <w:snapToGrid w:val="0"/>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洗涤废水</w:t>
                  </w:r>
                </w:p>
              </w:tc>
              <w:tc>
                <w:tcPr>
                  <w:tcW w:w="1052" w:type="pct"/>
                  <w:tcBorders>
                    <w:tl2br w:val="nil"/>
                    <w:tr2bl w:val="nil"/>
                  </w:tcBorders>
                  <w:noWrap w:val="0"/>
                  <w:vAlign w:val="center"/>
                </w:tcPr>
                <w:p w14:paraId="50FED062">
                  <w:pPr>
                    <w:adjustRightInd w:val="0"/>
                    <w:snapToGrid w:val="0"/>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流量、</w:t>
                  </w:r>
                  <w:r>
                    <w:rPr>
                      <w:color w:val="000000" w:themeColor="text1"/>
                      <w:sz w:val="21"/>
                      <w:szCs w:val="21"/>
                      <w:highlight w:val="none"/>
                      <w14:textFill>
                        <w14:solidFill>
                          <w14:schemeClr w14:val="tx1"/>
                        </w14:solidFill>
                      </w14:textFill>
                    </w:rPr>
                    <w:t>pH</w:t>
                  </w:r>
                  <w:r>
                    <w:rPr>
                      <w:rFonts w:hint="eastAsia"/>
                      <w:color w:val="000000" w:themeColor="text1"/>
                      <w:sz w:val="21"/>
                      <w:szCs w:val="21"/>
                      <w:highlight w:val="none"/>
                      <w14:textFill>
                        <w14:solidFill>
                          <w14:schemeClr w14:val="tx1"/>
                        </w14:solidFill>
                      </w14:textFill>
                    </w:rPr>
                    <w:t>、COD、N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eastAsia="zh-CN"/>
                      <w14:textFill>
                        <w14:solidFill>
                          <w14:schemeClr w14:val="tx1"/>
                        </w14:solidFill>
                      </w14:textFill>
                    </w:rPr>
                    <w:t>、</w:t>
                  </w:r>
                </w:p>
              </w:tc>
              <w:tc>
                <w:tcPr>
                  <w:tcW w:w="496" w:type="pct"/>
                  <w:vMerge w:val="restart"/>
                  <w:tcBorders>
                    <w:tl2br w:val="nil"/>
                    <w:tr2bl w:val="nil"/>
                  </w:tcBorders>
                  <w:noWrap w:val="0"/>
                  <w:vAlign w:val="center"/>
                </w:tcPr>
                <w:p w14:paraId="2670F914">
                  <w:pPr>
                    <w:adjustRightInd w:val="0"/>
                    <w:snapToGrid w:val="0"/>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污水处理设施</w:t>
                  </w:r>
                </w:p>
              </w:tc>
              <w:tc>
                <w:tcPr>
                  <w:tcW w:w="1505" w:type="pct"/>
                  <w:tcBorders>
                    <w:tl2br w:val="nil"/>
                    <w:tr2bl w:val="nil"/>
                  </w:tcBorders>
                  <w:noWrap w:val="0"/>
                  <w:vAlign w:val="center"/>
                </w:tcPr>
                <w:p w14:paraId="52CB344C">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自动监测</w:t>
                  </w:r>
                </w:p>
              </w:tc>
              <w:tc>
                <w:tcPr>
                  <w:tcW w:w="1235" w:type="pct"/>
                  <w:vMerge w:val="restart"/>
                  <w:tcBorders>
                    <w:tl2br w:val="nil"/>
                    <w:tr2bl w:val="nil"/>
                  </w:tcBorders>
                  <w:noWrap w:val="0"/>
                  <w:vAlign w:val="top"/>
                </w:tcPr>
                <w:p w14:paraId="24B354BC">
                  <w:pPr>
                    <w:widowControl/>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《纺织染整工业水污染物排放标准》GB 4287-2012</w:t>
                  </w:r>
                </w:p>
              </w:tc>
            </w:tr>
            <w:tr w14:paraId="677811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trPr>
              <w:tc>
                <w:tcPr>
                  <w:tcW w:w="711" w:type="pct"/>
                  <w:vMerge w:val="continue"/>
                  <w:tcBorders>
                    <w:tl2br w:val="nil"/>
                    <w:tr2bl w:val="nil"/>
                  </w:tcBorders>
                  <w:noWrap w:val="0"/>
                  <w:vAlign w:val="center"/>
                </w:tcPr>
                <w:p w14:paraId="5970D532">
                  <w:pPr>
                    <w:adjustRightInd w:val="0"/>
                    <w:snapToGrid w:val="0"/>
                    <w:spacing w:line="240" w:lineRule="auto"/>
                    <w:jc w:val="center"/>
                    <w:rPr>
                      <w:color w:val="000000" w:themeColor="text1"/>
                      <w:sz w:val="21"/>
                      <w:szCs w:val="21"/>
                      <w:highlight w:val="none"/>
                      <w14:textFill>
                        <w14:solidFill>
                          <w14:schemeClr w14:val="tx1"/>
                        </w14:solidFill>
                      </w14:textFill>
                    </w:rPr>
                  </w:pPr>
                </w:p>
              </w:tc>
              <w:tc>
                <w:tcPr>
                  <w:tcW w:w="1052" w:type="pct"/>
                  <w:tcBorders>
                    <w:tl2br w:val="nil"/>
                    <w:tr2bl w:val="nil"/>
                  </w:tcBorders>
                  <w:shd w:val="clear" w:color="auto" w:fill="auto"/>
                  <w:noWrap w:val="0"/>
                  <w:vAlign w:val="center"/>
                </w:tcPr>
                <w:p w14:paraId="6667BC64">
                  <w:pP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SS、</w:t>
                  </w:r>
                  <w:r>
                    <w:rPr>
                      <w:rFonts w:hint="eastAsia"/>
                      <w:color w:val="000000" w:themeColor="text1"/>
                      <w:sz w:val="21"/>
                      <w:szCs w:val="21"/>
                      <w:highlight w:val="none"/>
                      <w:lang w:val="en-US" w:eastAsia="zh-CN"/>
                      <w14:textFill>
                        <w14:solidFill>
                          <w14:schemeClr w14:val="tx1"/>
                        </w14:solidFill>
                      </w14:textFill>
                    </w:rPr>
                    <w:t>色度</w:t>
                  </w:r>
                </w:p>
              </w:tc>
              <w:tc>
                <w:tcPr>
                  <w:tcW w:w="496" w:type="pct"/>
                  <w:vMerge w:val="continue"/>
                  <w:tcBorders>
                    <w:tl2br w:val="nil"/>
                    <w:tr2bl w:val="nil"/>
                  </w:tcBorders>
                  <w:noWrap w:val="0"/>
                  <w:vAlign w:val="center"/>
                </w:tcPr>
                <w:p w14:paraId="0DEAF180">
                  <w:pPr>
                    <w:adjustRightInd w:val="0"/>
                    <w:snapToGrid w:val="0"/>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1505" w:type="pct"/>
                  <w:tcBorders>
                    <w:tl2br w:val="nil"/>
                    <w:tr2bl w:val="nil"/>
                  </w:tcBorders>
                  <w:noWrap w:val="0"/>
                  <w:vAlign w:val="center"/>
                </w:tcPr>
                <w:p w14:paraId="0443D9B9">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1次/周</w:t>
                  </w:r>
                </w:p>
              </w:tc>
              <w:tc>
                <w:tcPr>
                  <w:tcW w:w="1235" w:type="pct"/>
                  <w:vMerge w:val="continue"/>
                  <w:tcBorders>
                    <w:tl2br w:val="nil"/>
                    <w:tr2bl w:val="nil"/>
                  </w:tcBorders>
                  <w:noWrap w:val="0"/>
                  <w:vAlign w:val="top"/>
                </w:tcPr>
                <w:p w14:paraId="236CA509">
                  <w:pPr>
                    <w:widowControl/>
                    <w:spacing w:line="240" w:lineRule="auto"/>
                    <w:jc w:val="center"/>
                    <w:rPr>
                      <w:color w:val="000000" w:themeColor="text1"/>
                      <w:sz w:val="21"/>
                      <w:szCs w:val="21"/>
                      <w:highlight w:val="none"/>
                      <w14:textFill>
                        <w14:solidFill>
                          <w14:schemeClr w14:val="tx1"/>
                        </w14:solidFill>
                      </w14:textFill>
                    </w:rPr>
                  </w:pPr>
                </w:p>
              </w:tc>
            </w:tr>
            <w:tr w14:paraId="6E5A22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trPr>
              <w:tc>
                <w:tcPr>
                  <w:tcW w:w="711" w:type="pct"/>
                  <w:vMerge w:val="continue"/>
                  <w:tcBorders>
                    <w:tl2br w:val="nil"/>
                    <w:tr2bl w:val="nil"/>
                  </w:tcBorders>
                  <w:noWrap w:val="0"/>
                  <w:vAlign w:val="center"/>
                </w:tcPr>
                <w:p w14:paraId="5EBFAB74">
                  <w:pPr>
                    <w:adjustRightInd w:val="0"/>
                    <w:snapToGrid w:val="0"/>
                    <w:spacing w:line="240" w:lineRule="auto"/>
                    <w:jc w:val="center"/>
                    <w:rPr>
                      <w:color w:val="000000" w:themeColor="text1"/>
                      <w:sz w:val="21"/>
                      <w:szCs w:val="21"/>
                      <w:highlight w:val="none"/>
                      <w14:textFill>
                        <w14:solidFill>
                          <w14:schemeClr w14:val="tx1"/>
                        </w14:solidFill>
                      </w14:textFill>
                    </w:rPr>
                  </w:pPr>
                </w:p>
              </w:tc>
              <w:tc>
                <w:tcPr>
                  <w:tcW w:w="1052" w:type="pct"/>
                  <w:tcBorders>
                    <w:tl2br w:val="nil"/>
                    <w:tr2bl w:val="nil"/>
                  </w:tcBorders>
                  <w:shd w:val="clear" w:color="auto" w:fill="auto"/>
                  <w:noWrap w:val="0"/>
                  <w:vAlign w:val="center"/>
                </w:tcPr>
                <w:p w14:paraId="3468D369">
                  <w:pP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BOD</w:t>
                  </w:r>
                  <w:r>
                    <w:rPr>
                      <w:rFonts w:hint="eastAsia"/>
                      <w:color w:val="000000" w:themeColor="text1"/>
                      <w:sz w:val="21"/>
                      <w:szCs w:val="21"/>
                      <w:highlight w:val="none"/>
                      <w:vertAlign w:val="subscript"/>
                      <w14:textFill>
                        <w14:solidFill>
                          <w14:schemeClr w14:val="tx1"/>
                        </w14:solidFill>
                      </w14:textFill>
                    </w:rPr>
                    <w:t>5</w:t>
                  </w:r>
                </w:p>
              </w:tc>
              <w:tc>
                <w:tcPr>
                  <w:tcW w:w="496" w:type="pct"/>
                  <w:vMerge w:val="continue"/>
                  <w:tcBorders>
                    <w:tl2br w:val="nil"/>
                    <w:tr2bl w:val="nil"/>
                  </w:tcBorders>
                  <w:noWrap w:val="0"/>
                  <w:vAlign w:val="center"/>
                </w:tcPr>
                <w:p w14:paraId="75C71939">
                  <w:pPr>
                    <w:adjustRightInd w:val="0"/>
                    <w:snapToGrid w:val="0"/>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1505" w:type="pct"/>
                  <w:tcBorders>
                    <w:tl2br w:val="nil"/>
                    <w:tr2bl w:val="nil"/>
                  </w:tcBorders>
                  <w:noWrap w:val="0"/>
                  <w:vAlign w:val="center"/>
                </w:tcPr>
                <w:p w14:paraId="2C02EEBE">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1次/月</w:t>
                  </w:r>
                </w:p>
              </w:tc>
              <w:tc>
                <w:tcPr>
                  <w:tcW w:w="1235" w:type="pct"/>
                  <w:vMerge w:val="continue"/>
                  <w:tcBorders>
                    <w:tl2br w:val="nil"/>
                    <w:tr2bl w:val="nil"/>
                  </w:tcBorders>
                  <w:noWrap w:val="0"/>
                  <w:vAlign w:val="top"/>
                </w:tcPr>
                <w:p w14:paraId="45F66A28">
                  <w:pPr>
                    <w:widowControl/>
                    <w:spacing w:line="240" w:lineRule="auto"/>
                    <w:jc w:val="center"/>
                    <w:rPr>
                      <w:color w:val="000000" w:themeColor="text1"/>
                      <w:sz w:val="21"/>
                      <w:szCs w:val="21"/>
                      <w:highlight w:val="none"/>
                      <w14:textFill>
                        <w14:solidFill>
                          <w14:schemeClr w14:val="tx1"/>
                        </w14:solidFill>
                      </w14:textFill>
                    </w:rPr>
                  </w:pPr>
                </w:p>
              </w:tc>
            </w:tr>
            <w:tr w14:paraId="2009C7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trPr>
              <w:tc>
                <w:tcPr>
                  <w:tcW w:w="711" w:type="pct"/>
                  <w:vMerge w:val="continue"/>
                  <w:tcBorders>
                    <w:tl2br w:val="nil"/>
                    <w:tr2bl w:val="nil"/>
                  </w:tcBorders>
                  <w:noWrap w:val="0"/>
                  <w:vAlign w:val="center"/>
                </w:tcPr>
                <w:p w14:paraId="075E301E">
                  <w:pPr>
                    <w:adjustRightInd w:val="0"/>
                    <w:snapToGrid w:val="0"/>
                    <w:spacing w:line="240" w:lineRule="auto"/>
                    <w:jc w:val="center"/>
                    <w:rPr>
                      <w:color w:val="000000" w:themeColor="text1"/>
                      <w:sz w:val="21"/>
                      <w:szCs w:val="21"/>
                      <w:highlight w:val="none"/>
                      <w14:textFill>
                        <w14:solidFill>
                          <w14:schemeClr w14:val="tx1"/>
                        </w14:solidFill>
                      </w14:textFill>
                    </w:rPr>
                  </w:pPr>
                </w:p>
              </w:tc>
              <w:tc>
                <w:tcPr>
                  <w:tcW w:w="1052" w:type="pct"/>
                  <w:tcBorders>
                    <w:tl2br w:val="nil"/>
                    <w:tr2bl w:val="nil"/>
                  </w:tcBorders>
                  <w:shd w:val="clear" w:color="auto" w:fill="auto"/>
                  <w:noWrap w:val="0"/>
                  <w:vAlign w:val="center"/>
                </w:tcPr>
                <w:p w14:paraId="4D64C236">
                  <w:pPr>
                    <w:adjustRightInd w:val="0"/>
                    <w:snapToGrid w:val="0"/>
                    <w:spacing w:line="240" w:lineRule="auto"/>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TP、TN、LAS</w:t>
                  </w:r>
                </w:p>
              </w:tc>
              <w:tc>
                <w:tcPr>
                  <w:tcW w:w="496" w:type="pct"/>
                  <w:vMerge w:val="continue"/>
                  <w:tcBorders>
                    <w:tl2br w:val="nil"/>
                    <w:tr2bl w:val="nil"/>
                  </w:tcBorders>
                  <w:noWrap w:val="0"/>
                  <w:vAlign w:val="center"/>
                </w:tcPr>
                <w:p w14:paraId="06AC6A16">
                  <w:pPr>
                    <w:adjustRightInd w:val="0"/>
                    <w:snapToGrid w:val="0"/>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1505" w:type="pct"/>
                  <w:tcBorders>
                    <w:tl2br w:val="nil"/>
                    <w:tr2bl w:val="nil"/>
                  </w:tcBorders>
                  <w:noWrap w:val="0"/>
                  <w:vAlign w:val="center"/>
                </w:tcPr>
                <w:p w14:paraId="71429D6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1次/季</w:t>
                  </w:r>
                </w:p>
              </w:tc>
              <w:tc>
                <w:tcPr>
                  <w:tcW w:w="1235" w:type="pct"/>
                  <w:vMerge w:val="continue"/>
                  <w:tcBorders>
                    <w:tl2br w:val="nil"/>
                    <w:tr2bl w:val="nil"/>
                  </w:tcBorders>
                  <w:noWrap w:val="0"/>
                  <w:vAlign w:val="top"/>
                </w:tcPr>
                <w:p w14:paraId="6EFEF6C8">
                  <w:pPr>
                    <w:widowControl/>
                    <w:spacing w:line="240" w:lineRule="auto"/>
                    <w:jc w:val="center"/>
                    <w:rPr>
                      <w:color w:val="000000" w:themeColor="text1"/>
                      <w:sz w:val="21"/>
                      <w:szCs w:val="21"/>
                      <w:highlight w:val="none"/>
                      <w14:textFill>
                        <w14:solidFill>
                          <w14:schemeClr w14:val="tx1"/>
                        </w14:solidFill>
                      </w14:textFill>
                    </w:rPr>
                  </w:pPr>
                </w:p>
              </w:tc>
            </w:tr>
            <w:tr w14:paraId="2CD41D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trPr>
              <w:tc>
                <w:tcPr>
                  <w:tcW w:w="711" w:type="pct"/>
                  <w:tcBorders>
                    <w:tl2br w:val="nil"/>
                    <w:tr2bl w:val="nil"/>
                  </w:tcBorders>
                  <w:noWrap w:val="0"/>
                  <w:vAlign w:val="center"/>
                </w:tcPr>
                <w:p w14:paraId="65EC55D6">
                  <w:pPr>
                    <w:adjustRightInd w:val="0"/>
                    <w:snapToGrid w:val="0"/>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生活废水</w:t>
                  </w:r>
                </w:p>
              </w:tc>
              <w:tc>
                <w:tcPr>
                  <w:tcW w:w="1052" w:type="pct"/>
                  <w:tcBorders>
                    <w:tl2br w:val="nil"/>
                    <w:tr2bl w:val="nil"/>
                  </w:tcBorders>
                  <w:shd w:val="clear" w:color="auto" w:fill="auto"/>
                  <w:noWrap w:val="0"/>
                  <w:vAlign w:val="center"/>
                </w:tcPr>
                <w:p w14:paraId="18F8847F">
                  <w:pPr>
                    <w:adjustRightInd w:val="0"/>
                    <w:snapToGrid w:val="0"/>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Ph、COD、SS、BOD5、氨氮</w:t>
                  </w:r>
                </w:p>
              </w:tc>
              <w:tc>
                <w:tcPr>
                  <w:tcW w:w="496" w:type="pct"/>
                  <w:tcBorders>
                    <w:tl2br w:val="nil"/>
                    <w:tr2bl w:val="nil"/>
                  </w:tcBorders>
                  <w:noWrap w:val="0"/>
                  <w:vAlign w:val="center"/>
                </w:tcPr>
                <w:p w14:paraId="1CED75D1">
                  <w:pPr>
                    <w:adjustRightInd w:val="0"/>
                    <w:snapToGrid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生化池</w:t>
                  </w:r>
                </w:p>
              </w:tc>
              <w:tc>
                <w:tcPr>
                  <w:tcW w:w="1505" w:type="pct"/>
                  <w:tcBorders>
                    <w:tl2br w:val="nil"/>
                    <w:tr2bl w:val="nil"/>
                  </w:tcBorders>
                  <w:noWrap w:val="0"/>
                  <w:vAlign w:val="center"/>
                </w:tcPr>
                <w:p w14:paraId="1AAAEA75">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验收时监测一次，今后纳</w:t>
                  </w:r>
                </w:p>
                <w:p w14:paraId="47FD89ED">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入生化池、污水处理站的</w:t>
                  </w:r>
                </w:p>
                <w:p w14:paraId="7D9B3E25">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环保责任单位负责日常</w:t>
                  </w:r>
                </w:p>
                <w:p w14:paraId="682472C4">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的环境管理工作中</w:t>
                  </w:r>
                </w:p>
              </w:tc>
              <w:tc>
                <w:tcPr>
                  <w:tcW w:w="1235" w:type="pct"/>
                  <w:tcBorders>
                    <w:tl2br w:val="nil"/>
                    <w:tr2bl w:val="nil"/>
                  </w:tcBorders>
                  <w:noWrap w:val="0"/>
                  <w:vAlign w:val="top"/>
                </w:tcPr>
                <w:p w14:paraId="19C71723">
                  <w:pPr>
                    <w:widowControl/>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《污水综合排放标准》（GB8978-1996）三级排放标准</w:t>
                  </w:r>
                </w:p>
              </w:tc>
            </w:tr>
          </w:tbl>
          <w:p w14:paraId="0D2D82DE">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噪声</w:t>
            </w:r>
          </w:p>
          <w:p w14:paraId="20CD5E62">
            <w:pPr>
              <w:pStyle w:val="5"/>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噪声源强</w:t>
            </w:r>
            <w:r>
              <w:rPr>
                <w:rFonts w:hint="eastAsia" w:cs="Times New Roman"/>
                <w:color w:val="000000" w:themeColor="text1"/>
                <w:highlight w:val="none"/>
                <w:lang w:val="en-US" w:eastAsia="zh-CN"/>
                <w14:textFill>
                  <w14:solidFill>
                    <w14:schemeClr w14:val="tx1"/>
                  </w14:solidFill>
                </w14:textFill>
              </w:rPr>
              <w:t>调查清单参数</w:t>
            </w:r>
          </w:p>
          <w:p w14:paraId="1FCFF2F3">
            <w:pPr>
              <w:pStyle w:val="50"/>
              <w:pageBreakBefore w:val="0"/>
              <w:widowControl w:val="0"/>
              <w:kinsoku/>
              <w:wordWrap/>
              <w:overflowPunct/>
              <w:topLinePunct w:val="0"/>
              <w:autoSpaceDE/>
              <w:autoSpaceDN/>
              <w:bidi w:val="0"/>
              <w:snapToGrid/>
              <w:spacing w:line="460" w:lineRule="exac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w:t>
            </w:r>
            <w:r>
              <w:rPr>
                <w:rFonts w:hint="default" w:ascii="Times New Roman" w:hAnsi="Times New Roman" w:cs="Times New Roman"/>
                <w:color w:val="000000" w:themeColor="text1"/>
                <w:highlight w:val="none"/>
                <w14:textFill>
                  <w14:solidFill>
                    <w14:schemeClr w14:val="tx1"/>
                  </w14:solidFill>
                </w14:textFill>
              </w:rPr>
              <w:t>项目营运期的噪声主要来自各种</w:t>
            </w:r>
            <w:r>
              <w:rPr>
                <w:rFonts w:hint="default" w:ascii="Times New Roman" w:hAnsi="Times New Roman" w:cs="Times New Roman"/>
                <w:color w:val="000000" w:themeColor="text1"/>
                <w:highlight w:val="none"/>
                <w:lang w:val="en-US" w:eastAsia="zh-CN"/>
                <w14:textFill>
                  <w14:solidFill>
                    <w14:schemeClr w14:val="tx1"/>
                  </w14:solidFill>
                </w14:textFill>
              </w:rPr>
              <w:t>生产</w:t>
            </w:r>
            <w:r>
              <w:rPr>
                <w:rFonts w:hint="default" w:ascii="Times New Roman" w:hAnsi="Times New Roman" w:cs="Times New Roman"/>
                <w:color w:val="000000" w:themeColor="text1"/>
                <w:highlight w:val="none"/>
                <w14:textFill>
                  <w14:solidFill>
                    <w14:schemeClr w14:val="tx1"/>
                  </w14:solidFill>
                </w14:textFill>
              </w:rPr>
              <w:t>设备</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根据</w:t>
            </w:r>
            <w:r>
              <w:rPr>
                <w:rFonts w:hint="default" w:ascii="Times New Roman" w:hAnsi="Times New Roman" w:cs="Times New Roman"/>
                <w:color w:val="000000" w:themeColor="text1"/>
                <w:highlight w:val="none"/>
                <w14:textFill>
                  <w14:solidFill>
                    <w14:schemeClr w14:val="tx1"/>
                  </w14:solidFill>
                </w14:textFill>
              </w:rPr>
              <w:t>同类型设备类比监测资料，其噪声值在</w:t>
            </w:r>
            <w:r>
              <w:rPr>
                <w:rFonts w:hint="eastAsia" w:cs="Times New Roman"/>
                <w:color w:val="000000" w:themeColor="text1"/>
                <w:highlight w:val="none"/>
                <w:lang w:val="en-US" w:eastAsia="zh-CN"/>
                <w14:textFill>
                  <w14:solidFill>
                    <w14:schemeClr w14:val="tx1"/>
                  </w14:solidFill>
                </w14:textFill>
              </w:rPr>
              <w:t>80</w:t>
            </w:r>
            <w:r>
              <w:rPr>
                <w:rFonts w:hint="default" w:ascii="Times New Roman" w:hAnsi="Times New Roman" w:cs="Times New Roman"/>
                <w:color w:val="000000" w:themeColor="text1"/>
                <w:highlight w:val="none"/>
                <w14:textFill>
                  <w14:solidFill>
                    <w14:schemeClr w14:val="tx1"/>
                  </w14:solidFill>
                </w14:textFill>
              </w:rPr>
              <w:t>dB（A），</w:t>
            </w:r>
            <w:r>
              <w:rPr>
                <w:rFonts w:hint="default" w:ascii="Times New Roman" w:hAnsi="Times New Roman" w:cs="Times New Roman"/>
                <w:color w:val="000000" w:themeColor="text1"/>
                <w:highlight w:val="none"/>
                <w:lang w:val="en-US" w:eastAsia="zh-CN"/>
                <w14:textFill>
                  <w14:solidFill>
                    <w14:schemeClr w14:val="tx1"/>
                  </w14:solidFill>
                </w14:textFill>
              </w:rPr>
              <w:t>本项目主要噪声设备见下表。</w:t>
            </w:r>
          </w:p>
          <w:p w14:paraId="517214EC">
            <w:pPr>
              <w:pStyle w:val="50"/>
              <w:pageBreakBefore w:val="0"/>
              <w:widowControl w:val="0"/>
              <w:kinsoku/>
              <w:wordWrap/>
              <w:overflowPunct/>
              <w:topLinePunct w:val="0"/>
              <w:autoSpaceDE/>
              <w:autoSpaceDN/>
              <w:bidi w:val="0"/>
              <w:snapToGrid/>
              <w:spacing w:line="460" w:lineRule="exac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p w14:paraId="7C7BA2A6">
            <w:pPr>
              <w:pStyle w:val="6"/>
              <w:numPr>
                <w:ilvl w:val="4"/>
                <w:numId w:val="0"/>
              </w:numPr>
              <w:bidi w:val="0"/>
              <w:ind w:left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表4-1</w:t>
            </w:r>
            <w:r>
              <w:rPr>
                <w:rFonts w:hint="eastAsia"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lang w:val="en-US" w:eastAsia="zh-CN"/>
                <w14:textFill>
                  <w14:solidFill>
                    <w14:schemeClr w14:val="tx1"/>
                  </w14:solidFill>
                </w14:textFill>
              </w:rPr>
              <w:t xml:space="preserve">  B5厂房</w:t>
            </w:r>
            <w:r>
              <w:rPr>
                <w:rFonts w:hint="default" w:ascii="Times New Roman" w:hAnsi="Times New Roman" w:cs="Times New Roman"/>
                <w:color w:val="000000" w:themeColor="text1"/>
                <w:highlight w:val="none"/>
                <w:lang w:val="en-US" w:eastAsia="zh-CN"/>
                <w14:textFill>
                  <w14:solidFill>
                    <w14:schemeClr w14:val="tx1"/>
                  </w14:solidFill>
                </w14:textFill>
              </w:rPr>
              <w:t>主要设备及其噪声源强一览表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3"/>
              <w:gridCol w:w="2425"/>
              <w:gridCol w:w="987"/>
              <w:gridCol w:w="870"/>
              <w:gridCol w:w="1849"/>
              <w:gridCol w:w="1146"/>
            </w:tblGrid>
            <w:tr w14:paraId="75AE4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pct"/>
                  <w:tcBorders>
                    <w:tl2br w:val="nil"/>
                    <w:tr2bl w:val="nil"/>
                  </w:tcBorders>
                  <w:noWrap w:val="0"/>
                  <w:vAlign w:val="center"/>
                </w:tcPr>
                <w:p w14:paraId="59C1B7E5">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序号</w:t>
                  </w:r>
                </w:p>
              </w:tc>
              <w:tc>
                <w:tcPr>
                  <w:tcW w:w="1469" w:type="pct"/>
                  <w:tcBorders>
                    <w:tl2br w:val="nil"/>
                    <w:tr2bl w:val="nil"/>
                  </w:tcBorders>
                  <w:noWrap w:val="0"/>
                  <w:vAlign w:val="center"/>
                </w:tcPr>
                <w:p w14:paraId="2F7D2C7A">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名称</w:t>
                  </w:r>
                </w:p>
              </w:tc>
              <w:tc>
                <w:tcPr>
                  <w:tcW w:w="598" w:type="pct"/>
                  <w:tcBorders>
                    <w:tl2br w:val="nil"/>
                    <w:tr2bl w:val="nil"/>
                  </w:tcBorders>
                  <w:noWrap w:val="0"/>
                  <w:vAlign w:val="center"/>
                </w:tcPr>
                <w:p w14:paraId="25D88D71">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单位</w:t>
                  </w:r>
                </w:p>
              </w:tc>
              <w:tc>
                <w:tcPr>
                  <w:tcW w:w="527" w:type="pct"/>
                  <w:tcBorders>
                    <w:tl2br w:val="nil"/>
                    <w:tr2bl w:val="nil"/>
                  </w:tcBorders>
                  <w:noWrap w:val="0"/>
                  <w:vAlign w:val="center"/>
                </w:tcPr>
                <w:p w14:paraId="5C257F3C">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数量</w:t>
                  </w:r>
                </w:p>
              </w:tc>
              <w:tc>
                <w:tcPr>
                  <w:tcW w:w="1120" w:type="pct"/>
                  <w:tcBorders>
                    <w:tl2br w:val="nil"/>
                    <w:tr2bl w:val="nil"/>
                  </w:tcBorders>
                  <w:noWrap w:val="0"/>
                  <w:vAlign w:val="center"/>
                </w:tcPr>
                <w:p w14:paraId="302CA951">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声功率级/dB（A）</w:t>
                  </w:r>
                </w:p>
              </w:tc>
              <w:tc>
                <w:tcPr>
                  <w:tcW w:w="694" w:type="pct"/>
                  <w:tcBorders>
                    <w:tl2br w:val="nil"/>
                    <w:tr2bl w:val="nil"/>
                  </w:tcBorders>
                  <w:noWrap w:val="0"/>
                  <w:vAlign w:val="center"/>
                </w:tcPr>
                <w:p w14:paraId="075AE3E3">
                  <w:pPr>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持续时间</w:t>
                  </w:r>
                </w:p>
              </w:tc>
            </w:tr>
            <w:tr w14:paraId="540A9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89" w:type="pct"/>
                  <w:tcBorders>
                    <w:tl2br w:val="nil"/>
                    <w:tr2bl w:val="nil"/>
                  </w:tcBorders>
                  <w:noWrap w:val="0"/>
                  <w:vAlign w:val="center"/>
                </w:tcPr>
                <w:p w14:paraId="75BD024D">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1469" w:type="pct"/>
                  <w:tcBorders>
                    <w:tl2br w:val="nil"/>
                    <w:tr2bl w:val="nil"/>
                  </w:tcBorders>
                  <w:noWrap w:val="0"/>
                  <w:vAlign w:val="center"/>
                </w:tcPr>
                <w:p w14:paraId="2ABE6471">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滚筒洗衣机</w:t>
                  </w:r>
                </w:p>
              </w:tc>
              <w:tc>
                <w:tcPr>
                  <w:tcW w:w="598" w:type="pct"/>
                  <w:tcBorders>
                    <w:tl2br w:val="nil"/>
                    <w:tr2bl w:val="nil"/>
                  </w:tcBorders>
                  <w:noWrap w:val="0"/>
                  <w:vAlign w:val="center"/>
                </w:tcPr>
                <w:p w14:paraId="62FB2871">
                  <w:pPr>
                    <w:pStyle w:val="5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台</w:t>
                  </w:r>
                </w:p>
              </w:tc>
              <w:tc>
                <w:tcPr>
                  <w:tcW w:w="527" w:type="pct"/>
                  <w:tcBorders>
                    <w:tl2br w:val="nil"/>
                    <w:tr2bl w:val="nil"/>
                  </w:tcBorders>
                  <w:noWrap w:val="0"/>
                  <w:vAlign w:val="center"/>
                </w:tcPr>
                <w:p w14:paraId="1ABFB20C">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120" w:type="pct"/>
                  <w:tcBorders>
                    <w:tl2br w:val="nil"/>
                    <w:tr2bl w:val="nil"/>
                  </w:tcBorders>
                  <w:noWrap w:val="0"/>
                  <w:vAlign w:val="center"/>
                </w:tcPr>
                <w:p w14:paraId="16C27398">
                  <w:pPr>
                    <w:pStyle w:val="56"/>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80</w:t>
                  </w:r>
                </w:p>
              </w:tc>
              <w:tc>
                <w:tcPr>
                  <w:tcW w:w="694" w:type="pct"/>
                  <w:vMerge w:val="restart"/>
                  <w:tcBorders>
                    <w:tl2br w:val="nil"/>
                    <w:tr2bl w:val="nil"/>
                  </w:tcBorders>
                  <w:noWrap w:val="0"/>
                  <w:vAlign w:val="center"/>
                </w:tcPr>
                <w:p w14:paraId="788D88C6">
                  <w:pPr>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连续</w:t>
                  </w:r>
                  <w:r>
                    <w:rPr>
                      <w:rFonts w:hint="default" w:ascii="Times New Roman" w:hAnsi="Times New Roman" w:cs="Times New Roman"/>
                      <w:color w:val="000000" w:themeColor="text1"/>
                      <w:sz w:val="21"/>
                      <w:szCs w:val="21"/>
                      <w:highlight w:val="none"/>
                      <w14:textFill>
                        <w14:solidFill>
                          <w14:schemeClr w14:val="tx1"/>
                        </w14:solidFill>
                      </w14:textFill>
                    </w:rPr>
                    <w:t>作业</w:t>
                  </w:r>
                </w:p>
              </w:tc>
            </w:tr>
            <w:tr w14:paraId="52C20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pct"/>
                  <w:tcBorders>
                    <w:tl2br w:val="nil"/>
                    <w:tr2bl w:val="nil"/>
                  </w:tcBorders>
                  <w:noWrap w:val="0"/>
                  <w:vAlign w:val="center"/>
                </w:tcPr>
                <w:p w14:paraId="2CE358F9">
                  <w:pPr>
                    <w:pStyle w:val="56"/>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469" w:type="pct"/>
                  <w:tcBorders>
                    <w:tl2br w:val="nil"/>
                    <w:tr2bl w:val="nil"/>
                  </w:tcBorders>
                  <w:shd w:val="clear" w:color="auto" w:fill="auto"/>
                  <w:noWrap w:val="0"/>
                  <w:vAlign w:val="center"/>
                </w:tcPr>
                <w:p w14:paraId="16BBAD90">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烘干机</w:t>
                  </w:r>
                </w:p>
              </w:tc>
              <w:tc>
                <w:tcPr>
                  <w:tcW w:w="598" w:type="pct"/>
                  <w:tcBorders>
                    <w:tl2br w:val="nil"/>
                    <w:tr2bl w:val="nil"/>
                  </w:tcBorders>
                  <w:shd w:val="clear" w:color="auto" w:fill="auto"/>
                  <w:noWrap w:val="0"/>
                  <w:vAlign w:val="center"/>
                </w:tcPr>
                <w:p w14:paraId="3EA31554">
                  <w:pPr>
                    <w:pStyle w:val="5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527" w:type="pct"/>
                  <w:tcBorders>
                    <w:tl2br w:val="nil"/>
                    <w:tr2bl w:val="nil"/>
                  </w:tcBorders>
                  <w:shd w:val="clear" w:color="auto" w:fill="auto"/>
                  <w:noWrap w:val="0"/>
                  <w:vAlign w:val="center"/>
                </w:tcPr>
                <w:p w14:paraId="0CC152DC">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1120" w:type="pct"/>
                  <w:tcBorders>
                    <w:tl2br w:val="nil"/>
                    <w:tr2bl w:val="nil"/>
                  </w:tcBorders>
                  <w:shd w:val="clear" w:color="auto" w:fill="auto"/>
                  <w:noWrap w:val="0"/>
                  <w:vAlign w:val="center"/>
                </w:tcPr>
                <w:p w14:paraId="2D82D876">
                  <w:pPr>
                    <w:pStyle w:val="56"/>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p>
              </w:tc>
              <w:tc>
                <w:tcPr>
                  <w:tcW w:w="694" w:type="pct"/>
                  <w:vMerge w:val="continue"/>
                  <w:tcBorders>
                    <w:tl2br w:val="nil"/>
                    <w:tr2bl w:val="nil"/>
                  </w:tcBorders>
                  <w:noWrap w:val="0"/>
                  <w:vAlign w:val="center"/>
                </w:tcPr>
                <w:p w14:paraId="7CDA73AB">
                  <w:pPr>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r>
            <w:tr w14:paraId="14D1A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pct"/>
                  <w:tcBorders>
                    <w:tl2br w:val="nil"/>
                    <w:tr2bl w:val="nil"/>
                  </w:tcBorders>
                  <w:noWrap w:val="0"/>
                  <w:vAlign w:val="center"/>
                </w:tcPr>
                <w:p w14:paraId="34AF5AFC">
                  <w:pPr>
                    <w:pStyle w:val="56"/>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469" w:type="pct"/>
                  <w:tcBorders>
                    <w:tl2br w:val="nil"/>
                    <w:tr2bl w:val="nil"/>
                  </w:tcBorders>
                  <w:noWrap w:val="0"/>
                  <w:vAlign w:val="center"/>
                </w:tcPr>
                <w:p w14:paraId="36E586CA">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反裤机</w:t>
                  </w:r>
                </w:p>
              </w:tc>
              <w:tc>
                <w:tcPr>
                  <w:tcW w:w="598" w:type="pct"/>
                  <w:tcBorders>
                    <w:tl2br w:val="nil"/>
                    <w:tr2bl w:val="nil"/>
                  </w:tcBorders>
                  <w:shd w:val="clear" w:color="auto" w:fill="auto"/>
                  <w:noWrap w:val="0"/>
                  <w:vAlign w:val="center"/>
                </w:tcPr>
                <w:p w14:paraId="4192712F">
                  <w:pPr>
                    <w:pStyle w:val="56"/>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台</w:t>
                  </w:r>
                </w:p>
              </w:tc>
              <w:tc>
                <w:tcPr>
                  <w:tcW w:w="527" w:type="pct"/>
                  <w:tcBorders>
                    <w:tl2br w:val="nil"/>
                    <w:tr2bl w:val="nil"/>
                  </w:tcBorders>
                  <w:noWrap w:val="0"/>
                  <w:vAlign w:val="center"/>
                </w:tcPr>
                <w:p w14:paraId="322CA81E">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120" w:type="pct"/>
                  <w:tcBorders>
                    <w:tl2br w:val="nil"/>
                    <w:tr2bl w:val="nil"/>
                  </w:tcBorders>
                  <w:noWrap w:val="0"/>
                  <w:vAlign w:val="center"/>
                </w:tcPr>
                <w:p w14:paraId="7B5BB3FF">
                  <w:pPr>
                    <w:pStyle w:val="56"/>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p>
              </w:tc>
              <w:tc>
                <w:tcPr>
                  <w:tcW w:w="694" w:type="pct"/>
                  <w:vMerge w:val="continue"/>
                  <w:tcBorders>
                    <w:tl2br w:val="nil"/>
                    <w:tr2bl w:val="nil"/>
                  </w:tcBorders>
                  <w:noWrap w:val="0"/>
                  <w:vAlign w:val="center"/>
                </w:tcPr>
                <w:p w14:paraId="06F091E9">
                  <w:pPr>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r>
          </w:tbl>
          <w:p w14:paraId="76B82674">
            <w:pPr>
              <w:pStyle w:val="6"/>
              <w:numPr>
                <w:ilvl w:val="4"/>
                <w:numId w:val="0"/>
              </w:numPr>
              <w:bidi w:val="0"/>
              <w:ind w:left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表4-1</w:t>
            </w:r>
            <w:r>
              <w:rPr>
                <w:rFonts w:hint="eastAsia"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lang w:val="en-US" w:eastAsia="zh-CN"/>
                <w14:textFill>
                  <w14:solidFill>
                    <w14:schemeClr w14:val="tx1"/>
                  </w14:solidFill>
                </w14:textFill>
              </w:rPr>
              <w:t xml:space="preserve">  B6厂房</w:t>
            </w:r>
            <w:r>
              <w:rPr>
                <w:rFonts w:hint="default" w:ascii="Times New Roman" w:hAnsi="Times New Roman" w:cs="Times New Roman"/>
                <w:color w:val="000000" w:themeColor="text1"/>
                <w:highlight w:val="none"/>
                <w:lang w:val="en-US" w:eastAsia="zh-CN"/>
                <w14:textFill>
                  <w14:solidFill>
                    <w14:schemeClr w14:val="tx1"/>
                  </w14:solidFill>
                </w14:textFill>
              </w:rPr>
              <w:t>主要设备及其噪声源强一览表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3"/>
              <w:gridCol w:w="2425"/>
              <w:gridCol w:w="987"/>
              <w:gridCol w:w="870"/>
              <w:gridCol w:w="1849"/>
              <w:gridCol w:w="1146"/>
            </w:tblGrid>
            <w:tr w14:paraId="0D08A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pct"/>
                  <w:tcBorders>
                    <w:tl2br w:val="nil"/>
                    <w:tr2bl w:val="nil"/>
                  </w:tcBorders>
                  <w:noWrap w:val="0"/>
                  <w:vAlign w:val="center"/>
                </w:tcPr>
                <w:p w14:paraId="5B0D7AD2">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序号</w:t>
                  </w:r>
                </w:p>
              </w:tc>
              <w:tc>
                <w:tcPr>
                  <w:tcW w:w="1469" w:type="pct"/>
                  <w:tcBorders>
                    <w:tl2br w:val="nil"/>
                    <w:tr2bl w:val="nil"/>
                  </w:tcBorders>
                  <w:noWrap w:val="0"/>
                  <w:vAlign w:val="center"/>
                </w:tcPr>
                <w:p w14:paraId="09880CE7">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名称</w:t>
                  </w:r>
                </w:p>
              </w:tc>
              <w:tc>
                <w:tcPr>
                  <w:tcW w:w="598" w:type="pct"/>
                  <w:tcBorders>
                    <w:tl2br w:val="nil"/>
                    <w:tr2bl w:val="nil"/>
                  </w:tcBorders>
                  <w:noWrap w:val="0"/>
                  <w:vAlign w:val="center"/>
                </w:tcPr>
                <w:p w14:paraId="528FC1EA">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单位</w:t>
                  </w:r>
                </w:p>
              </w:tc>
              <w:tc>
                <w:tcPr>
                  <w:tcW w:w="527" w:type="pct"/>
                  <w:tcBorders>
                    <w:tl2br w:val="nil"/>
                    <w:tr2bl w:val="nil"/>
                  </w:tcBorders>
                  <w:noWrap w:val="0"/>
                  <w:vAlign w:val="center"/>
                </w:tcPr>
                <w:p w14:paraId="7379BAEC">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数量</w:t>
                  </w:r>
                </w:p>
              </w:tc>
              <w:tc>
                <w:tcPr>
                  <w:tcW w:w="1120" w:type="pct"/>
                  <w:tcBorders>
                    <w:tl2br w:val="nil"/>
                    <w:tr2bl w:val="nil"/>
                  </w:tcBorders>
                  <w:noWrap w:val="0"/>
                  <w:vAlign w:val="center"/>
                </w:tcPr>
                <w:p w14:paraId="31B714BF">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声功率级/dB（A）</w:t>
                  </w:r>
                </w:p>
              </w:tc>
              <w:tc>
                <w:tcPr>
                  <w:tcW w:w="694" w:type="pct"/>
                  <w:tcBorders>
                    <w:tl2br w:val="nil"/>
                    <w:tr2bl w:val="nil"/>
                  </w:tcBorders>
                  <w:noWrap w:val="0"/>
                  <w:vAlign w:val="center"/>
                </w:tcPr>
                <w:p w14:paraId="4D45BFB7">
                  <w:pPr>
                    <w:spacing w:line="24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持续时间</w:t>
                  </w:r>
                </w:p>
              </w:tc>
            </w:tr>
            <w:tr w14:paraId="66887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89" w:type="pct"/>
                  <w:tcBorders>
                    <w:tl2br w:val="nil"/>
                    <w:tr2bl w:val="nil"/>
                  </w:tcBorders>
                  <w:noWrap w:val="0"/>
                  <w:vAlign w:val="center"/>
                </w:tcPr>
                <w:p w14:paraId="7E6BBC0C">
                  <w:pPr>
                    <w:pStyle w:val="56"/>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1469" w:type="pct"/>
                  <w:tcBorders>
                    <w:tl2br w:val="nil"/>
                    <w:tr2bl w:val="nil"/>
                  </w:tcBorders>
                  <w:noWrap w:val="0"/>
                  <w:vAlign w:val="center"/>
                </w:tcPr>
                <w:p w14:paraId="14AAF2D9">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滚筒洗衣机</w:t>
                  </w:r>
                </w:p>
              </w:tc>
              <w:tc>
                <w:tcPr>
                  <w:tcW w:w="598" w:type="pct"/>
                  <w:tcBorders>
                    <w:tl2br w:val="nil"/>
                    <w:tr2bl w:val="nil"/>
                  </w:tcBorders>
                  <w:noWrap w:val="0"/>
                  <w:vAlign w:val="center"/>
                </w:tcPr>
                <w:p w14:paraId="276944BC">
                  <w:pPr>
                    <w:pStyle w:val="5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台</w:t>
                  </w:r>
                </w:p>
              </w:tc>
              <w:tc>
                <w:tcPr>
                  <w:tcW w:w="527" w:type="pct"/>
                  <w:tcBorders>
                    <w:tl2br w:val="nil"/>
                    <w:tr2bl w:val="nil"/>
                  </w:tcBorders>
                  <w:noWrap w:val="0"/>
                  <w:vAlign w:val="center"/>
                </w:tcPr>
                <w:p w14:paraId="1090707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120" w:type="pct"/>
                  <w:tcBorders>
                    <w:tl2br w:val="nil"/>
                    <w:tr2bl w:val="nil"/>
                  </w:tcBorders>
                  <w:noWrap w:val="0"/>
                  <w:vAlign w:val="center"/>
                </w:tcPr>
                <w:p w14:paraId="662B8ED1">
                  <w:pPr>
                    <w:pStyle w:val="56"/>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80</w:t>
                  </w:r>
                </w:p>
              </w:tc>
              <w:tc>
                <w:tcPr>
                  <w:tcW w:w="694" w:type="pct"/>
                  <w:vMerge w:val="restart"/>
                  <w:tcBorders>
                    <w:tl2br w:val="nil"/>
                    <w:tr2bl w:val="nil"/>
                  </w:tcBorders>
                  <w:noWrap w:val="0"/>
                  <w:vAlign w:val="center"/>
                </w:tcPr>
                <w:p w14:paraId="204D9992">
                  <w:pPr>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连续</w:t>
                  </w:r>
                  <w:r>
                    <w:rPr>
                      <w:rFonts w:hint="default" w:ascii="Times New Roman" w:hAnsi="Times New Roman" w:cs="Times New Roman"/>
                      <w:color w:val="000000" w:themeColor="text1"/>
                      <w:sz w:val="21"/>
                      <w:szCs w:val="21"/>
                      <w:highlight w:val="none"/>
                      <w14:textFill>
                        <w14:solidFill>
                          <w14:schemeClr w14:val="tx1"/>
                        </w14:solidFill>
                      </w14:textFill>
                    </w:rPr>
                    <w:t>作业</w:t>
                  </w:r>
                </w:p>
              </w:tc>
            </w:tr>
            <w:tr w14:paraId="625DC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pct"/>
                  <w:tcBorders>
                    <w:tl2br w:val="nil"/>
                    <w:tr2bl w:val="nil"/>
                  </w:tcBorders>
                  <w:noWrap w:val="0"/>
                  <w:vAlign w:val="center"/>
                </w:tcPr>
                <w:p w14:paraId="5E40A283">
                  <w:pPr>
                    <w:pStyle w:val="56"/>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469" w:type="pct"/>
                  <w:tcBorders>
                    <w:tl2br w:val="nil"/>
                    <w:tr2bl w:val="nil"/>
                  </w:tcBorders>
                  <w:shd w:val="clear" w:color="auto" w:fill="auto"/>
                  <w:noWrap w:val="0"/>
                  <w:vAlign w:val="center"/>
                </w:tcPr>
                <w:p w14:paraId="65254DB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烘干机</w:t>
                  </w:r>
                </w:p>
              </w:tc>
              <w:tc>
                <w:tcPr>
                  <w:tcW w:w="598" w:type="pct"/>
                  <w:tcBorders>
                    <w:tl2br w:val="nil"/>
                    <w:tr2bl w:val="nil"/>
                  </w:tcBorders>
                  <w:shd w:val="clear" w:color="auto" w:fill="auto"/>
                  <w:noWrap w:val="0"/>
                  <w:vAlign w:val="center"/>
                </w:tcPr>
                <w:p w14:paraId="5A73B04B">
                  <w:pPr>
                    <w:pStyle w:val="5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527" w:type="pct"/>
                  <w:tcBorders>
                    <w:tl2br w:val="nil"/>
                    <w:tr2bl w:val="nil"/>
                  </w:tcBorders>
                  <w:shd w:val="clear" w:color="auto" w:fill="auto"/>
                  <w:noWrap w:val="0"/>
                  <w:vAlign w:val="center"/>
                </w:tcPr>
                <w:p w14:paraId="4C3A8665">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1120" w:type="pct"/>
                  <w:tcBorders>
                    <w:tl2br w:val="nil"/>
                    <w:tr2bl w:val="nil"/>
                  </w:tcBorders>
                  <w:shd w:val="clear" w:color="auto" w:fill="auto"/>
                  <w:noWrap w:val="0"/>
                  <w:vAlign w:val="center"/>
                </w:tcPr>
                <w:p w14:paraId="4814EFB9">
                  <w:pPr>
                    <w:pStyle w:val="56"/>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p>
              </w:tc>
              <w:tc>
                <w:tcPr>
                  <w:tcW w:w="694" w:type="pct"/>
                  <w:vMerge w:val="continue"/>
                  <w:tcBorders>
                    <w:tl2br w:val="nil"/>
                    <w:tr2bl w:val="nil"/>
                  </w:tcBorders>
                  <w:noWrap w:val="0"/>
                  <w:vAlign w:val="center"/>
                </w:tcPr>
                <w:p w14:paraId="2126F2E9">
                  <w:pPr>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r>
            <w:tr w14:paraId="2EA46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pct"/>
                  <w:tcBorders>
                    <w:tl2br w:val="nil"/>
                    <w:tr2bl w:val="nil"/>
                  </w:tcBorders>
                  <w:noWrap w:val="0"/>
                  <w:vAlign w:val="center"/>
                </w:tcPr>
                <w:p w14:paraId="31BC1C2B">
                  <w:pPr>
                    <w:pStyle w:val="56"/>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469" w:type="pct"/>
                  <w:tcBorders>
                    <w:tl2br w:val="nil"/>
                    <w:tr2bl w:val="nil"/>
                  </w:tcBorders>
                  <w:noWrap w:val="0"/>
                  <w:vAlign w:val="center"/>
                </w:tcPr>
                <w:p w14:paraId="2CE6E231">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反裤机</w:t>
                  </w:r>
                </w:p>
              </w:tc>
              <w:tc>
                <w:tcPr>
                  <w:tcW w:w="598" w:type="pct"/>
                  <w:tcBorders>
                    <w:tl2br w:val="nil"/>
                    <w:tr2bl w:val="nil"/>
                  </w:tcBorders>
                  <w:shd w:val="clear" w:color="auto" w:fill="auto"/>
                  <w:noWrap w:val="0"/>
                  <w:vAlign w:val="center"/>
                </w:tcPr>
                <w:p w14:paraId="103353EF">
                  <w:pPr>
                    <w:pStyle w:val="56"/>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台</w:t>
                  </w:r>
                </w:p>
              </w:tc>
              <w:tc>
                <w:tcPr>
                  <w:tcW w:w="527" w:type="pct"/>
                  <w:tcBorders>
                    <w:tl2br w:val="nil"/>
                    <w:tr2bl w:val="nil"/>
                  </w:tcBorders>
                  <w:noWrap w:val="0"/>
                  <w:vAlign w:val="center"/>
                </w:tcPr>
                <w:p w14:paraId="035F9C32">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120" w:type="pct"/>
                  <w:tcBorders>
                    <w:tl2br w:val="nil"/>
                    <w:tr2bl w:val="nil"/>
                  </w:tcBorders>
                  <w:noWrap w:val="0"/>
                  <w:vAlign w:val="center"/>
                </w:tcPr>
                <w:p w14:paraId="699ECC22">
                  <w:pPr>
                    <w:pStyle w:val="56"/>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p>
              </w:tc>
              <w:tc>
                <w:tcPr>
                  <w:tcW w:w="694" w:type="pct"/>
                  <w:vMerge w:val="continue"/>
                  <w:tcBorders>
                    <w:tl2br w:val="nil"/>
                    <w:tr2bl w:val="nil"/>
                  </w:tcBorders>
                  <w:noWrap w:val="0"/>
                  <w:vAlign w:val="center"/>
                </w:tcPr>
                <w:p w14:paraId="65A6E4AC">
                  <w:pPr>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r>
            <w:tr w14:paraId="79DED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9" w:type="pct"/>
                  <w:tcBorders>
                    <w:tl2br w:val="nil"/>
                    <w:tr2bl w:val="nil"/>
                  </w:tcBorders>
                  <w:noWrap w:val="0"/>
                  <w:vAlign w:val="center"/>
                </w:tcPr>
                <w:p w14:paraId="72D3EF96">
                  <w:pPr>
                    <w:pStyle w:val="56"/>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1469" w:type="pct"/>
                  <w:tcBorders>
                    <w:tl2br w:val="nil"/>
                    <w:tr2bl w:val="nil"/>
                  </w:tcBorders>
                  <w:noWrap w:val="0"/>
                  <w:vAlign w:val="center"/>
                </w:tcPr>
                <w:p w14:paraId="15C9D6DE">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生物质燃料蒸汽发生器</w:t>
                  </w:r>
                </w:p>
              </w:tc>
              <w:tc>
                <w:tcPr>
                  <w:tcW w:w="598" w:type="pct"/>
                  <w:tcBorders>
                    <w:tl2br w:val="nil"/>
                    <w:tr2bl w:val="nil"/>
                  </w:tcBorders>
                  <w:shd w:val="clear" w:color="auto" w:fill="auto"/>
                  <w:noWrap w:val="0"/>
                  <w:vAlign w:val="center"/>
                </w:tcPr>
                <w:p w14:paraId="593401BE">
                  <w:pPr>
                    <w:pStyle w:val="56"/>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527" w:type="pct"/>
                  <w:tcBorders>
                    <w:tl2br w:val="nil"/>
                    <w:tr2bl w:val="nil"/>
                  </w:tcBorders>
                  <w:noWrap w:val="0"/>
                  <w:vAlign w:val="center"/>
                </w:tcPr>
                <w:p w14:paraId="5BAABEA2">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120" w:type="pct"/>
                  <w:tcBorders>
                    <w:tl2br w:val="nil"/>
                    <w:tr2bl w:val="nil"/>
                  </w:tcBorders>
                  <w:noWrap w:val="0"/>
                  <w:vAlign w:val="center"/>
                </w:tcPr>
                <w:p w14:paraId="23A733DE">
                  <w:pPr>
                    <w:pStyle w:val="56"/>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w:t>
                  </w:r>
                </w:p>
              </w:tc>
              <w:tc>
                <w:tcPr>
                  <w:tcW w:w="694" w:type="pct"/>
                  <w:vMerge w:val="continue"/>
                  <w:tcBorders>
                    <w:tl2br w:val="nil"/>
                    <w:tr2bl w:val="nil"/>
                  </w:tcBorders>
                  <w:noWrap w:val="0"/>
                  <w:vAlign w:val="center"/>
                </w:tcPr>
                <w:p w14:paraId="5CDEFF25">
                  <w:pPr>
                    <w:spacing w:line="240" w:lineRule="auto"/>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r>
          </w:tbl>
          <w:p w14:paraId="2CFE8E32">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根据《环境影响评价技术导则声环境》</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HJ2.4-2021</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附录B的公式计算设备噪声的室内边界声级及建筑物外噪声。</w:t>
            </w:r>
          </w:p>
          <w:p w14:paraId="7D4ADFD9">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highlight w:val="none"/>
              </w:rPr>
            </w:pPr>
            <w:r>
              <w:rPr>
                <w:color w:val="auto"/>
                <w:sz w:val="24"/>
                <w:highlight w:val="none"/>
              </w:rPr>
              <w:t>A</w:t>
            </w:r>
            <w:r>
              <w:rPr>
                <w:rFonts w:hint="eastAsia"/>
                <w:color w:val="auto"/>
                <w:sz w:val="24"/>
                <w:highlight w:val="none"/>
              </w:rPr>
              <w:t>.</w:t>
            </w:r>
            <w:r>
              <w:rPr>
                <w:color w:val="auto"/>
                <w:sz w:val="24"/>
                <w:highlight w:val="none"/>
              </w:rPr>
              <w:t>室内声源等效室外声源声功率级计算方法</w:t>
            </w:r>
          </w:p>
          <w:p w14:paraId="3C7A85C9">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left"/>
              <w:textAlignment w:val="auto"/>
              <w:rPr>
                <w:color w:val="auto"/>
                <w:sz w:val="24"/>
                <w:highlight w:val="none"/>
              </w:rPr>
            </w:pPr>
            <w:r>
              <w:rPr>
                <w:b/>
                <w:bCs/>
                <w:color w:val="auto"/>
                <w:sz w:val="24"/>
                <w:highlight w:val="none"/>
              </w:rPr>
              <w:t>室外的倍频带声压级</w:t>
            </w:r>
          </w:p>
          <w:p w14:paraId="436B56E5">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highlight w:val="none"/>
              </w:rPr>
            </w:pPr>
            <w:r>
              <w:rPr>
                <w:color w:val="auto"/>
                <w:position w:val="-14"/>
                <w:sz w:val="24"/>
                <w:highlight w:val="none"/>
              </w:rPr>
              <w:object>
                <v:shape id="_x0000_i1025" o:spt="75" type="#_x0000_t75" style="height:18.4pt;width:99.6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14:paraId="07F17818">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highlight w:val="none"/>
              </w:rPr>
            </w:pPr>
            <w:r>
              <w:rPr>
                <w:color w:val="auto"/>
                <w:sz w:val="24"/>
                <w:highlight w:val="none"/>
              </w:rPr>
              <w:t>式中：TL—隔墙（或窗户）倍频带或A声级的隔声量，dB；</w:t>
            </w:r>
          </w:p>
          <w:p w14:paraId="5598EF95">
            <w:pPr>
              <w:pStyle w:val="70"/>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highlight w:val="none"/>
              </w:rPr>
              <w:t>L</w:t>
            </w:r>
            <w:r>
              <w:rPr>
                <w:color w:val="auto"/>
                <w:highlight w:val="none"/>
                <w:vertAlign w:val="subscript"/>
              </w:rPr>
              <w:t>p1</w:t>
            </w:r>
            <w:r>
              <w:rPr>
                <w:color w:val="auto"/>
                <w:sz w:val="24"/>
                <w:highlight w:val="none"/>
              </w:rPr>
              <w:t>—靠近开口处（或窗户）室内某倍频带的声压级或A声级，dB；</w:t>
            </w:r>
          </w:p>
          <w:p w14:paraId="672C102D">
            <w:pPr>
              <w:pStyle w:val="70"/>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highlight w:val="none"/>
              </w:rPr>
              <w:t>L</w:t>
            </w:r>
            <w:r>
              <w:rPr>
                <w:color w:val="auto"/>
                <w:highlight w:val="none"/>
                <w:vertAlign w:val="subscript"/>
              </w:rPr>
              <w:t>p2</w:t>
            </w:r>
            <w:r>
              <w:rPr>
                <w:color w:val="auto"/>
                <w:sz w:val="24"/>
                <w:highlight w:val="none"/>
              </w:rPr>
              <w:t>—靠近开口处（或窗户）室内某倍频带的声压级或A声级，dB</w:t>
            </w:r>
          </w:p>
          <w:p w14:paraId="20758184">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left"/>
              <w:textAlignment w:val="auto"/>
              <w:rPr>
                <w:b/>
                <w:bCs/>
                <w:color w:val="auto"/>
                <w:sz w:val="24"/>
                <w:highlight w:val="none"/>
              </w:rPr>
            </w:pPr>
            <w:r>
              <w:rPr>
                <w:b/>
                <w:bCs/>
                <w:color w:val="auto"/>
                <w:sz w:val="24"/>
                <w:highlight w:val="none"/>
              </w:rPr>
              <w:t>某一室内声源靠近围护结构处产生的倍频带声压级</w:t>
            </w:r>
          </w:p>
          <w:p w14:paraId="56F65F65">
            <w:pPr>
              <w:keepNext w:val="0"/>
              <w:keepLines w:val="0"/>
              <w:pageBreakBefore w:val="0"/>
              <w:widowControl w:val="0"/>
              <w:kinsoku/>
              <w:wordWrap/>
              <w:overflowPunct/>
              <w:topLinePunct w:val="0"/>
              <w:autoSpaceDE/>
              <w:autoSpaceDN/>
              <w:bidi w:val="0"/>
              <w:adjustRightInd/>
              <w:snapToGrid/>
              <w:spacing w:line="1000" w:lineRule="exact"/>
              <w:ind w:firstLine="480" w:firstLineChars="200"/>
              <w:jc w:val="left"/>
              <w:textAlignment w:val="auto"/>
              <w:rPr>
                <w:color w:val="auto"/>
                <w:sz w:val="24"/>
                <w:highlight w:val="none"/>
              </w:rPr>
            </w:pPr>
            <w:r>
              <w:rPr>
                <w:color w:val="auto"/>
                <w:position w:val="-24"/>
                <w:sz w:val="24"/>
                <w:highlight w:val="none"/>
              </w:rPr>
              <w:object>
                <v:shape id="_x0000_i1026" o:spt="75" type="#_x0000_t75" style="height:40.5pt;width:179.55pt;" o:ole="t" filled="f" o:preferrelative="t" stroked="f" coordsize="21600,21600">
                  <v:path/>
                  <v:fill on="f" focussize="0,0"/>
                  <v:stroke on="f"/>
                  <v:imagedata r:id="rId16" o:title=""/>
                  <o:lock v:ext="edit" aspectratio="t"/>
                  <w10:wrap type="none"/>
                  <w10:anchorlock/>
                </v:shape>
                <o:OLEObject Type="Embed" ProgID="Equation.3" ShapeID="_x0000_i1026" DrawAspect="Content" ObjectID="_1468075726" r:id="rId15">
                  <o:LockedField>false</o:LockedField>
                </o:OLEObject>
              </w:object>
            </w:r>
          </w:p>
          <w:p w14:paraId="44B6999B">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highlight w:val="none"/>
              </w:rPr>
            </w:pPr>
            <w:r>
              <w:rPr>
                <w:color w:val="auto"/>
                <w:sz w:val="24"/>
                <w:highlight w:val="none"/>
              </w:rPr>
              <w:t>式中：Q—指向性因数；</w:t>
            </w:r>
          </w:p>
          <w:p w14:paraId="2C2FA913">
            <w:pPr>
              <w:pStyle w:val="70"/>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highlight w:val="none"/>
              </w:rPr>
              <w:t>R—房间常数；</w:t>
            </w:r>
          </w:p>
          <w:p w14:paraId="3B76089B">
            <w:pPr>
              <w:pStyle w:val="70"/>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highlight w:val="none"/>
              </w:rPr>
              <w:t>r—声源在靠近围护结构某点处的距离，m。</w:t>
            </w:r>
          </w:p>
          <w:p w14:paraId="3A34FFD2">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left"/>
              <w:textAlignment w:val="auto"/>
              <w:rPr>
                <w:color w:val="auto"/>
                <w:sz w:val="24"/>
                <w:highlight w:val="none"/>
              </w:rPr>
            </w:pPr>
            <w:r>
              <w:rPr>
                <w:b/>
                <w:bCs/>
                <w:color w:val="auto"/>
                <w:sz w:val="24"/>
                <w:highlight w:val="none"/>
              </w:rPr>
              <w:t>室内声源在围护结构处产生的i倍频带叠加声压级</w:t>
            </w:r>
            <w:r>
              <w:rPr>
                <w:color w:val="auto"/>
                <w:sz w:val="24"/>
                <w:highlight w:val="none"/>
              </w:rPr>
              <w:t>：</w:t>
            </w:r>
          </w:p>
          <w:p w14:paraId="1E46E924">
            <w:pPr>
              <w:keepNext w:val="0"/>
              <w:keepLines w:val="0"/>
              <w:pageBreakBefore w:val="0"/>
              <w:widowControl w:val="0"/>
              <w:kinsoku/>
              <w:wordWrap/>
              <w:overflowPunct/>
              <w:topLinePunct w:val="0"/>
              <w:autoSpaceDE/>
              <w:autoSpaceDN/>
              <w:bidi w:val="0"/>
              <w:adjustRightInd/>
              <w:snapToGrid/>
              <w:spacing w:line="1000" w:lineRule="exact"/>
              <w:ind w:firstLine="480" w:firstLineChars="200"/>
              <w:jc w:val="left"/>
              <w:textAlignment w:val="auto"/>
              <w:rPr>
                <w:color w:val="auto"/>
                <w:sz w:val="24"/>
                <w:highlight w:val="none"/>
              </w:rPr>
            </w:pPr>
            <w:r>
              <w:rPr>
                <w:color w:val="auto"/>
                <w:position w:val="-30"/>
                <w:sz w:val="24"/>
                <w:highlight w:val="none"/>
              </w:rPr>
              <w:object>
                <v:shape id="_x0000_i1027" o:spt="75" type="#_x0000_t75" style="height:47.7pt;width:172.7pt;" o:ole="t" filled="f" o:preferrelative="t" stroked="f" coordsize="21600,21600">
                  <v:path/>
                  <v:fill on="f" focussize="0,0"/>
                  <v:stroke on="f"/>
                  <v:imagedata r:id="rId18" o:title=""/>
                  <o:lock v:ext="edit" aspectratio="t"/>
                  <w10:wrap type="none"/>
                  <w10:anchorlock/>
                </v:shape>
                <o:OLEObject Type="Embed" ProgID="Equation.3" ShapeID="_x0000_i1027" DrawAspect="Content" ObjectID="_1468075727" r:id="rId17">
                  <o:LockedField>false</o:LockedField>
                </o:OLEObject>
              </w:object>
            </w:r>
          </w:p>
          <w:p w14:paraId="216AD95B">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highlight w:val="none"/>
              </w:rPr>
            </w:pPr>
            <w:r>
              <w:rPr>
                <w:color w:val="auto"/>
                <w:sz w:val="24"/>
                <w:highlight w:val="none"/>
              </w:rPr>
              <w:t>式中：L</w:t>
            </w:r>
            <w:r>
              <w:rPr>
                <w:color w:val="auto"/>
                <w:sz w:val="24"/>
                <w:highlight w:val="none"/>
                <w:vertAlign w:val="subscript"/>
              </w:rPr>
              <w:t>p1i</w:t>
            </w:r>
            <w:r>
              <w:rPr>
                <w:color w:val="auto"/>
                <w:sz w:val="24"/>
                <w:highlight w:val="none"/>
              </w:rPr>
              <w:t>(T)—靠近围护结构处室内N个声源i倍频带的叠加声压级，dB；</w:t>
            </w:r>
          </w:p>
          <w:p w14:paraId="1B213248">
            <w:pPr>
              <w:pStyle w:val="70"/>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highlight w:val="none"/>
              </w:rPr>
              <w:t>L</w:t>
            </w:r>
            <w:r>
              <w:rPr>
                <w:color w:val="auto"/>
                <w:sz w:val="24"/>
                <w:highlight w:val="none"/>
                <w:vertAlign w:val="subscript"/>
              </w:rPr>
              <w:t>p1ij</w:t>
            </w:r>
            <w:r>
              <w:rPr>
                <w:color w:val="auto"/>
                <w:sz w:val="24"/>
                <w:highlight w:val="none"/>
              </w:rPr>
              <w:t>—室内j声源i倍频带的声压级，dB；</w:t>
            </w:r>
          </w:p>
          <w:p w14:paraId="6392ACCD">
            <w:pPr>
              <w:pStyle w:val="70"/>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highlight w:val="none"/>
              </w:rPr>
              <w:t>N—室内声源总数。</w:t>
            </w:r>
          </w:p>
          <w:p w14:paraId="0CFC1A9A">
            <w:pPr>
              <w:keepNext w:val="0"/>
              <w:keepLines w:val="0"/>
              <w:pageBreakBefore w:val="0"/>
              <w:widowControl w:val="0"/>
              <w:kinsoku/>
              <w:wordWrap/>
              <w:overflowPunct/>
              <w:topLinePunct w:val="0"/>
              <w:autoSpaceDE/>
              <w:autoSpaceDN/>
              <w:bidi w:val="0"/>
              <w:adjustRightInd/>
              <w:snapToGrid/>
              <w:spacing w:line="600" w:lineRule="exact"/>
              <w:ind w:firstLine="602" w:firstLineChars="250"/>
              <w:jc w:val="left"/>
              <w:textAlignment w:val="auto"/>
              <w:rPr>
                <w:b/>
                <w:bCs/>
                <w:color w:val="auto"/>
                <w:sz w:val="24"/>
                <w:highlight w:val="none"/>
              </w:rPr>
            </w:pPr>
            <w:r>
              <w:rPr>
                <w:b/>
                <w:bCs/>
                <w:color w:val="auto"/>
                <w:sz w:val="24"/>
                <w:highlight w:val="none"/>
              </w:rPr>
              <w:t>按下式计算出靠近室外围护结构处的声压级</w:t>
            </w:r>
          </w:p>
          <w:p w14:paraId="3E954F86">
            <w:pPr>
              <w:keepNext w:val="0"/>
              <w:keepLines w:val="0"/>
              <w:pageBreakBefore w:val="0"/>
              <w:widowControl w:val="0"/>
              <w:kinsoku/>
              <w:wordWrap/>
              <w:overflowPunct/>
              <w:topLinePunct w:val="0"/>
              <w:autoSpaceDE/>
              <w:autoSpaceDN/>
              <w:bidi w:val="0"/>
              <w:adjustRightInd/>
              <w:snapToGrid/>
              <w:spacing w:line="600" w:lineRule="exact"/>
              <w:ind w:firstLine="600" w:firstLineChars="250"/>
              <w:jc w:val="left"/>
              <w:textAlignment w:val="auto"/>
              <w:rPr>
                <w:color w:val="auto"/>
                <w:sz w:val="24"/>
                <w:highlight w:val="none"/>
              </w:rPr>
            </w:pPr>
            <w:r>
              <w:rPr>
                <w:color w:val="auto"/>
                <w:position w:val="-14"/>
                <w:highlight w:val="none"/>
              </w:rPr>
              <w:object>
                <v:shape id="_x0000_i1028" o:spt="75" type="#_x0000_t75" style="height:18.4pt;width:135.6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p>
          <w:p w14:paraId="0118AFC2">
            <w:pPr>
              <w:keepNext w:val="0"/>
              <w:keepLines w:val="0"/>
              <w:pageBreakBefore w:val="0"/>
              <w:widowControl w:val="0"/>
              <w:kinsoku/>
              <w:wordWrap/>
              <w:overflowPunct/>
              <w:topLinePunct w:val="0"/>
              <w:autoSpaceDE/>
              <w:autoSpaceDN/>
              <w:bidi w:val="0"/>
              <w:adjustRightInd/>
              <w:snapToGrid/>
              <w:spacing w:line="600" w:lineRule="exact"/>
              <w:ind w:firstLine="600" w:firstLineChars="250"/>
              <w:jc w:val="left"/>
              <w:textAlignment w:val="auto"/>
              <w:rPr>
                <w:color w:val="auto"/>
                <w:sz w:val="24"/>
                <w:highlight w:val="none"/>
              </w:rPr>
            </w:pPr>
            <w:r>
              <w:rPr>
                <w:color w:val="auto"/>
                <w:sz w:val="24"/>
                <w:szCs w:val="36"/>
                <w:highlight w:val="none"/>
              </w:rPr>
              <w:t>式中：</w:t>
            </w:r>
            <w:r>
              <w:rPr>
                <w:color w:val="auto"/>
                <w:sz w:val="24"/>
                <w:highlight w:val="none"/>
              </w:rPr>
              <w:t>L</w:t>
            </w:r>
            <w:r>
              <w:rPr>
                <w:color w:val="auto"/>
                <w:sz w:val="24"/>
                <w:highlight w:val="none"/>
                <w:vertAlign w:val="subscript"/>
              </w:rPr>
              <w:t>p2i</w:t>
            </w:r>
            <w:r>
              <w:rPr>
                <w:color w:val="auto"/>
                <w:sz w:val="24"/>
                <w:highlight w:val="none"/>
              </w:rPr>
              <w:t>(T)—靠近围护结构处室外N个声源i倍频带的叠加声压级，dB；</w:t>
            </w:r>
          </w:p>
          <w:p w14:paraId="2B1B646B">
            <w:pPr>
              <w:keepNext w:val="0"/>
              <w:keepLines w:val="0"/>
              <w:pageBreakBefore w:val="0"/>
              <w:widowControl w:val="0"/>
              <w:kinsoku/>
              <w:wordWrap/>
              <w:overflowPunct/>
              <w:topLinePunct w:val="0"/>
              <w:autoSpaceDE/>
              <w:autoSpaceDN/>
              <w:bidi w:val="0"/>
              <w:adjustRightInd/>
              <w:snapToGrid/>
              <w:spacing w:line="600" w:lineRule="exact"/>
              <w:ind w:firstLine="600" w:firstLineChars="250"/>
              <w:jc w:val="left"/>
              <w:textAlignment w:val="auto"/>
              <w:rPr>
                <w:color w:val="auto"/>
                <w:sz w:val="24"/>
                <w:highlight w:val="none"/>
              </w:rPr>
            </w:pPr>
            <w:r>
              <w:rPr>
                <w:color w:val="auto"/>
                <w:sz w:val="24"/>
                <w:highlight w:val="none"/>
              </w:rPr>
              <w:t>L</w:t>
            </w:r>
            <w:r>
              <w:rPr>
                <w:color w:val="auto"/>
                <w:sz w:val="24"/>
                <w:highlight w:val="none"/>
                <w:vertAlign w:val="subscript"/>
              </w:rPr>
              <w:t>p1i</w:t>
            </w:r>
            <w:r>
              <w:rPr>
                <w:color w:val="auto"/>
                <w:sz w:val="24"/>
                <w:highlight w:val="none"/>
              </w:rPr>
              <w:t>(T)—靠近围护结构处室内N个声源i倍频带的叠加声压级，dB；</w:t>
            </w:r>
          </w:p>
          <w:p w14:paraId="54E82687">
            <w:pPr>
              <w:keepNext w:val="0"/>
              <w:keepLines w:val="0"/>
              <w:pageBreakBefore w:val="0"/>
              <w:widowControl w:val="0"/>
              <w:kinsoku/>
              <w:wordWrap/>
              <w:overflowPunct/>
              <w:topLinePunct w:val="0"/>
              <w:autoSpaceDE/>
              <w:autoSpaceDN/>
              <w:bidi w:val="0"/>
              <w:adjustRightInd/>
              <w:snapToGrid/>
              <w:spacing w:line="600" w:lineRule="exact"/>
              <w:ind w:firstLine="600" w:firstLineChars="250"/>
              <w:jc w:val="left"/>
              <w:textAlignment w:val="auto"/>
              <w:rPr>
                <w:color w:val="auto"/>
                <w:sz w:val="24"/>
                <w:highlight w:val="none"/>
              </w:rPr>
            </w:pPr>
            <w:r>
              <w:rPr>
                <w:color w:val="auto"/>
                <w:sz w:val="24"/>
                <w:highlight w:val="none"/>
              </w:rPr>
              <w:t>TL</w:t>
            </w:r>
            <w:r>
              <w:rPr>
                <w:color w:val="auto"/>
                <w:sz w:val="24"/>
                <w:highlight w:val="none"/>
                <w:vertAlign w:val="subscript"/>
              </w:rPr>
              <w:t>i</w:t>
            </w:r>
            <w:r>
              <w:rPr>
                <w:color w:val="auto"/>
                <w:sz w:val="24"/>
                <w:highlight w:val="none"/>
              </w:rPr>
              <w:t>—围护结构i倍频带的隔声量，dB。</w:t>
            </w:r>
          </w:p>
          <w:p w14:paraId="691ADD39">
            <w:pPr>
              <w:keepNext w:val="0"/>
              <w:keepLines w:val="0"/>
              <w:pageBreakBefore w:val="0"/>
              <w:widowControl w:val="0"/>
              <w:kinsoku/>
              <w:wordWrap/>
              <w:overflowPunct/>
              <w:topLinePunct w:val="0"/>
              <w:autoSpaceDE/>
              <w:autoSpaceDN/>
              <w:bidi w:val="0"/>
              <w:adjustRightInd/>
              <w:snapToGrid/>
              <w:spacing w:line="600" w:lineRule="exact"/>
              <w:ind w:firstLine="600" w:firstLineChars="250"/>
              <w:jc w:val="left"/>
              <w:textAlignment w:val="auto"/>
              <w:rPr>
                <w:color w:val="auto"/>
                <w:sz w:val="24"/>
                <w:highlight w:val="none"/>
              </w:rPr>
            </w:pPr>
            <w:r>
              <w:rPr>
                <w:color w:val="auto"/>
                <w:sz w:val="24"/>
                <w:highlight w:val="none"/>
              </w:rPr>
              <w:t>E</w:t>
            </w:r>
            <w:r>
              <w:rPr>
                <w:rFonts w:hint="eastAsia"/>
                <w:color w:val="auto"/>
                <w:sz w:val="24"/>
                <w:highlight w:val="none"/>
              </w:rPr>
              <w:t>.</w:t>
            </w:r>
            <w:r>
              <w:rPr>
                <w:color w:val="auto"/>
                <w:sz w:val="24"/>
                <w:highlight w:val="none"/>
              </w:rPr>
              <w:t>按下式将室外声源的声压级和透过面积换算成等效的室外声源，计算出中心位置位于透声面积（S）处的等效声源的倍频带声功率级</w:t>
            </w:r>
          </w:p>
          <w:p w14:paraId="46A5C380">
            <w:pPr>
              <w:keepNext w:val="0"/>
              <w:keepLines w:val="0"/>
              <w:pageBreakBefore w:val="0"/>
              <w:widowControl w:val="0"/>
              <w:kinsoku/>
              <w:wordWrap/>
              <w:overflowPunct/>
              <w:topLinePunct w:val="0"/>
              <w:autoSpaceDE/>
              <w:autoSpaceDN/>
              <w:bidi w:val="0"/>
              <w:adjustRightInd/>
              <w:snapToGrid/>
              <w:spacing w:line="600" w:lineRule="exact"/>
              <w:ind w:firstLine="600" w:firstLineChars="250"/>
              <w:jc w:val="left"/>
              <w:textAlignment w:val="auto"/>
              <w:rPr>
                <w:color w:val="auto"/>
                <w:sz w:val="24"/>
                <w:highlight w:val="none"/>
              </w:rPr>
            </w:pPr>
            <w:r>
              <w:rPr>
                <w:color w:val="auto"/>
                <w:position w:val="-14"/>
                <w:highlight w:val="none"/>
              </w:rPr>
              <w:object>
                <v:shape id="_x0000_i1029" o:spt="75" type="#_x0000_t75" style="height:18.4pt;width:101.45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p>
          <w:p w14:paraId="6049DFA3">
            <w:pPr>
              <w:keepNext w:val="0"/>
              <w:keepLines w:val="0"/>
              <w:pageBreakBefore w:val="0"/>
              <w:widowControl w:val="0"/>
              <w:kinsoku/>
              <w:wordWrap/>
              <w:overflowPunct/>
              <w:topLinePunct w:val="0"/>
              <w:autoSpaceDE/>
              <w:autoSpaceDN/>
              <w:bidi w:val="0"/>
              <w:adjustRightInd/>
              <w:snapToGrid/>
              <w:spacing w:line="600" w:lineRule="exact"/>
              <w:ind w:firstLine="600" w:firstLineChars="250"/>
              <w:jc w:val="left"/>
              <w:textAlignment w:val="auto"/>
              <w:rPr>
                <w:color w:val="auto"/>
                <w:sz w:val="24"/>
                <w:highlight w:val="none"/>
              </w:rPr>
            </w:pPr>
            <w:r>
              <w:rPr>
                <w:color w:val="auto"/>
                <w:sz w:val="24"/>
                <w:szCs w:val="36"/>
                <w:highlight w:val="none"/>
              </w:rPr>
              <w:t>式中：L</w:t>
            </w:r>
            <w:r>
              <w:rPr>
                <w:color w:val="auto"/>
                <w:sz w:val="24"/>
                <w:szCs w:val="36"/>
                <w:highlight w:val="none"/>
                <w:vertAlign w:val="subscript"/>
              </w:rPr>
              <w:t>w</w:t>
            </w:r>
            <w:r>
              <w:rPr>
                <w:color w:val="auto"/>
                <w:sz w:val="24"/>
                <w:highlight w:val="none"/>
              </w:rPr>
              <w:t>—中心位置位于透声面积（S）处的等效声源的倍频带声功率级，dB；</w:t>
            </w:r>
          </w:p>
          <w:p w14:paraId="0D155DC3">
            <w:pPr>
              <w:keepNext w:val="0"/>
              <w:keepLines w:val="0"/>
              <w:pageBreakBefore w:val="0"/>
              <w:widowControl w:val="0"/>
              <w:kinsoku/>
              <w:wordWrap/>
              <w:overflowPunct/>
              <w:topLinePunct w:val="0"/>
              <w:autoSpaceDE/>
              <w:autoSpaceDN/>
              <w:bidi w:val="0"/>
              <w:adjustRightInd/>
              <w:snapToGrid/>
              <w:spacing w:line="600" w:lineRule="exact"/>
              <w:ind w:firstLine="600" w:firstLineChars="250"/>
              <w:jc w:val="left"/>
              <w:textAlignment w:val="auto"/>
              <w:rPr>
                <w:color w:val="auto"/>
                <w:sz w:val="24"/>
                <w:highlight w:val="none"/>
              </w:rPr>
            </w:pPr>
            <w:r>
              <w:rPr>
                <w:color w:val="auto"/>
                <w:sz w:val="24"/>
                <w:highlight w:val="none"/>
              </w:rPr>
              <w:t>L</w:t>
            </w:r>
            <w:r>
              <w:rPr>
                <w:color w:val="auto"/>
                <w:sz w:val="24"/>
                <w:highlight w:val="none"/>
                <w:vertAlign w:val="subscript"/>
              </w:rPr>
              <w:t>p2</w:t>
            </w:r>
            <w:r>
              <w:rPr>
                <w:color w:val="auto"/>
                <w:sz w:val="24"/>
                <w:highlight w:val="none"/>
              </w:rPr>
              <w:t xml:space="preserve"> (T)—靠近围护结构处室外声源的声压级，dB；</w:t>
            </w:r>
          </w:p>
          <w:p w14:paraId="07BACAC0">
            <w:pPr>
              <w:keepNext w:val="0"/>
              <w:keepLines w:val="0"/>
              <w:pageBreakBefore w:val="0"/>
              <w:widowControl w:val="0"/>
              <w:kinsoku/>
              <w:wordWrap/>
              <w:overflowPunct/>
              <w:topLinePunct w:val="0"/>
              <w:autoSpaceDE/>
              <w:autoSpaceDN/>
              <w:bidi w:val="0"/>
              <w:adjustRightInd/>
              <w:snapToGrid/>
              <w:spacing w:line="600" w:lineRule="exact"/>
              <w:ind w:firstLine="600" w:firstLineChars="250"/>
              <w:jc w:val="left"/>
              <w:textAlignment w:val="auto"/>
              <w:rPr>
                <w:color w:val="auto"/>
                <w:sz w:val="24"/>
                <w:szCs w:val="36"/>
                <w:highlight w:val="none"/>
              </w:rPr>
            </w:pPr>
            <w:r>
              <w:rPr>
                <w:color w:val="auto"/>
                <w:sz w:val="24"/>
                <w:szCs w:val="36"/>
                <w:highlight w:val="none"/>
              </w:rPr>
              <w:t>S</w:t>
            </w:r>
            <w:r>
              <w:rPr>
                <w:color w:val="auto"/>
                <w:sz w:val="24"/>
                <w:highlight w:val="none"/>
              </w:rPr>
              <w:t>—透声面积，m</w:t>
            </w:r>
            <w:r>
              <w:rPr>
                <w:color w:val="auto"/>
                <w:sz w:val="24"/>
                <w:highlight w:val="none"/>
                <w:vertAlign w:val="superscript"/>
              </w:rPr>
              <w:t>2</w:t>
            </w:r>
            <w:r>
              <w:rPr>
                <w:color w:val="auto"/>
                <w:sz w:val="24"/>
                <w:highlight w:val="none"/>
              </w:rPr>
              <w:t>。</w:t>
            </w:r>
          </w:p>
          <w:p w14:paraId="2400D11D">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szCs w:val="36"/>
                <w:highlight w:val="none"/>
              </w:rPr>
            </w:pPr>
            <w:r>
              <w:rPr>
                <w:color w:val="auto"/>
                <w:sz w:val="24"/>
                <w:szCs w:val="36"/>
                <w:highlight w:val="none"/>
              </w:rPr>
              <w:t>B</w:t>
            </w:r>
            <w:r>
              <w:rPr>
                <w:rFonts w:hint="eastAsia"/>
                <w:color w:val="auto"/>
                <w:sz w:val="24"/>
                <w:szCs w:val="36"/>
                <w:highlight w:val="none"/>
              </w:rPr>
              <w:t>.</w:t>
            </w:r>
            <w:r>
              <w:rPr>
                <w:color w:val="auto"/>
                <w:sz w:val="24"/>
                <w:szCs w:val="36"/>
                <w:highlight w:val="none"/>
              </w:rPr>
              <w:t>室外声源预测模式</w:t>
            </w:r>
          </w:p>
          <w:p w14:paraId="4E630333">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szCs w:val="36"/>
                <w:highlight w:val="none"/>
              </w:rPr>
            </w:pPr>
            <w:r>
              <w:rPr>
                <w:color w:val="auto"/>
                <w:sz w:val="24"/>
                <w:szCs w:val="36"/>
                <w:highlight w:val="none"/>
              </w:rPr>
              <w:t>结合项目平面布置情况和外环境关系，本次噪声预测只考虑几何发散衰减，其室外声源预测方法计算预测点处的A声级按下式进行计算：</w:t>
            </w:r>
          </w:p>
          <w:p w14:paraId="477EA82C">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szCs w:val="36"/>
                <w:highlight w:val="none"/>
              </w:rPr>
            </w:pPr>
            <w:r>
              <w:rPr>
                <w:color w:val="auto"/>
                <w:position w:val="-14"/>
                <w:highlight w:val="none"/>
              </w:rPr>
              <w:object>
                <v:shape id="_x0000_i1030" o:spt="75" type="#_x0000_t75" style="height:18.4pt;width:98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0" r:id="rId23">
                  <o:LockedField>false</o:LockedField>
                </o:OLEObject>
              </w:object>
            </w:r>
          </w:p>
          <w:p w14:paraId="6106885C">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szCs w:val="36"/>
                <w:highlight w:val="none"/>
              </w:rPr>
            </w:pPr>
            <w:r>
              <w:rPr>
                <w:color w:val="auto"/>
                <w:sz w:val="24"/>
                <w:szCs w:val="36"/>
                <w:highlight w:val="none"/>
              </w:rPr>
              <w:t>式中：L</w:t>
            </w:r>
            <w:r>
              <w:rPr>
                <w:color w:val="auto"/>
                <w:sz w:val="24"/>
                <w:szCs w:val="36"/>
                <w:highlight w:val="none"/>
                <w:vertAlign w:val="subscript"/>
              </w:rPr>
              <w:t>p</w:t>
            </w:r>
            <w:r>
              <w:rPr>
                <w:color w:val="auto"/>
                <w:sz w:val="24"/>
                <w:szCs w:val="36"/>
                <w:highlight w:val="none"/>
              </w:rPr>
              <w:t>(r)—预测点处声压级，dB；</w:t>
            </w:r>
          </w:p>
          <w:p w14:paraId="52AA0C3C">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szCs w:val="36"/>
                <w:highlight w:val="none"/>
              </w:rPr>
            </w:pPr>
            <w:r>
              <w:rPr>
                <w:color w:val="auto"/>
                <w:sz w:val="24"/>
                <w:szCs w:val="36"/>
                <w:highlight w:val="none"/>
              </w:rPr>
              <w:t>L</w:t>
            </w:r>
            <w:r>
              <w:rPr>
                <w:color w:val="auto"/>
                <w:sz w:val="24"/>
                <w:szCs w:val="36"/>
                <w:highlight w:val="none"/>
                <w:vertAlign w:val="subscript"/>
              </w:rPr>
              <w:t>p</w:t>
            </w:r>
            <w:r>
              <w:rPr>
                <w:color w:val="auto"/>
                <w:sz w:val="24"/>
                <w:szCs w:val="36"/>
                <w:highlight w:val="none"/>
              </w:rPr>
              <w:t>(r</w:t>
            </w:r>
            <w:r>
              <w:rPr>
                <w:color w:val="auto"/>
                <w:sz w:val="24"/>
                <w:szCs w:val="36"/>
                <w:highlight w:val="none"/>
                <w:vertAlign w:val="subscript"/>
              </w:rPr>
              <w:t>0</w:t>
            </w:r>
            <w:r>
              <w:rPr>
                <w:color w:val="auto"/>
                <w:sz w:val="24"/>
                <w:szCs w:val="36"/>
                <w:highlight w:val="none"/>
              </w:rPr>
              <w:t>)—参考位置r</w:t>
            </w:r>
            <w:r>
              <w:rPr>
                <w:color w:val="auto"/>
                <w:sz w:val="24"/>
                <w:szCs w:val="36"/>
                <w:highlight w:val="none"/>
                <w:vertAlign w:val="subscript"/>
              </w:rPr>
              <w:t>0</w:t>
            </w:r>
            <w:r>
              <w:rPr>
                <w:color w:val="auto"/>
                <w:sz w:val="24"/>
                <w:szCs w:val="36"/>
                <w:highlight w:val="none"/>
              </w:rPr>
              <w:t>处的声压级，dB；</w:t>
            </w:r>
          </w:p>
          <w:p w14:paraId="60A43954">
            <w:pPr>
              <w:pStyle w:val="70"/>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szCs w:val="36"/>
                <w:highlight w:val="none"/>
              </w:rPr>
              <w:t>A</w:t>
            </w:r>
            <w:r>
              <w:rPr>
                <w:color w:val="auto"/>
                <w:sz w:val="24"/>
                <w:szCs w:val="36"/>
                <w:highlight w:val="none"/>
                <w:vertAlign w:val="subscript"/>
              </w:rPr>
              <w:t>div</w:t>
            </w:r>
            <w:r>
              <w:rPr>
                <w:color w:val="auto"/>
                <w:sz w:val="24"/>
                <w:szCs w:val="36"/>
                <w:highlight w:val="none"/>
              </w:rPr>
              <w:t>—几何发散引起的衰减，dB；</w:t>
            </w:r>
            <w:r>
              <w:rPr>
                <w:color w:val="auto"/>
                <w:position w:val="-12"/>
                <w:highlight w:val="none"/>
              </w:rPr>
              <w:object>
                <v:shape id="_x0000_i1031" o:spt="75" type="#_x0000_t75" style="height:18.4pt;width:86.2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25">
                  <o:LockedField>false</o:LockedField>
                </o:OLEObject>
              </w:object>
            </w:r>
          </w:p>
          <w:p w14:paraId="17383C10">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left"/>
              <w:textAlignment w:val="auto"/>
              <w:rPr>
                <w:b/>
                <w:bCs/>
                <w:color w:val="auto"/>
                <w:sz w:val="24"/>
                <w:highlight w:val="none"/>
              </w:rPr>
            </w:pPr>
            <w:r>
              <w:rPr>
                <w:b/>
                <w:bCs/>
                <w:color w:val="auto"/>
                <w:sz w:val="24"/>
                <w:highlight w:val="none"/>
              </w:rPr>
              <w:t>噪声贡献值计算</w:t>
            </w:r>
          </w:p>
          <w:p w14:paraId="6364DE8B">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highlight w:val="none"/>
              </w:rPr>
            </w:pPr>
            <w:r>
              <w:rPr>
                <w:rFonts w:hint="eastAsia"/>
                <w:color w:val="auto"/>
                <w:sz w:val="24"/>
                <w:highlight w:val="none"/>
              </w:rPr>
              <w:t>本</w:t>
            </w:r>
            <w:r>
              <w:rPr>
                <w:color w:val="auto"/>
                <w:sz w:val="24"/>
                <w:highlight w:val="none"/>
              </w:rPr>
              <w:t>项目声源对预测点产生的贡献值为：</w:t>
            </w:r>
          </w:p>
          <w:p w14:paraId="2FBA6532">
            <w:pPr>
              <w:keepNext w:val="0"/>
              <w:keepLines w:val="0"/>
              <w:pageBreakBefore w:val="0"/>
              <w:widowControl w:val="0"/>
              <w:kinsoku/>
              <w:wordWrap/>
              <w:overflowPunct/>
              <w:topLinePunct w:val="0"/>
              <w:autoSpaceDE/>
              <w:autoSpaceDN/>
              <w:bidi w:val="0"/>
              <w:adjustRightInd/>
              <w:snapToGrid/>
              <w:spacing w:line="1000" w:lineRule="exact"/>
              <w:ind w:firstLine="480" w:firstLineChars="200"/>
              <w:jc w:val="left"/>
              <w:textAlignment w:val="auto"/>
              <w:rPr>
                <w:color w:val="auto"/>
                <w:sz w:val="24"/>
                <w:highlight w:val="none"/>
              </w:rPr>
            </w:pPr>
            <w:r>
              <w:rPr>
                <w:color w:val="auto"/>
                <w:position w:val="-34"/>
                <w:sz w:val="24"/>
                <w:highlight w:val="none"/>
              </w:rPr>
              <w:object>
                <v:shape id="_x0000_i1032" o:spt="75" type="#_x0000_t75" style="height:55.25pt;width:277.55pt;" o:ole="t" filled="f" o:preferrelative="t" stroked="f" coordsize="21600,21600">
                  <v:path/>
                  <v:fill on="f" focussize="0,0"/>
                  <v:stroke on="f"/>
                  <v:imagedata r:id="rId28" o:title=""/>
                  <o:lock v:ext="edit" aspectratio="t"/>
                  <w10:wrap type="none"/>
                  <w10:anchorlock/>
                </v:shape>
                <o:OLEObject Type="Embed" ProgID="Equation.3" ShapeID="_x0000_i1032" DrawAspect="Content" ObjectID="_1468075732" r:id="rId27">
                  <o:LockedField>false</o:LockedField>
                </o:OLEObject>
              </w:object>
            </w:r>
          </w:p>
          <w:p w14:paraId="1CC8FBD1">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highlight w:val="none"/>
              </w:rPr>
            </w:pPr>
            <w:r>
              <w:rPr>
                <w:color w:val="auto"/>
                <w:sz w:val="24"/>
                <w:highlight w:val="none"/>
              </w:rPr>
              <w:t>式中：L</w:t>
            </w:r>
            <w:r>
              <w:rPr>
                <w:color w:val="auto"/>
                <w:sz w:val="24"/>
                <w:highlight w:val="none"/>
                <w:vertAlign w:val="subscript"/>
              </w:rPr>
              <w:t>eqg</w:t>
            </w:r>
            <w:r>
              <w:rPr>
                <w:color w:val="auto"/>
                <w:sz w:val="24"/>
                <w:highlight w:val="none"/>
              </w:rPr>
              <w:t>—建设项目声源在预测点的等效声级贡献值，dB(A</w:t>
            </w:r>
            <w:r>
              <w:rPr>
                <w:rFonts w:hint="eastAsia"/>
                <w:color w:val="auto"/>
                <w:sz w:val="24"/>
                <w:highlight w:val="none"/>
              </w:rPr>
              <w:t>）</w:t>
            </w:r>
            <w:r>
              <w:rPr>
                <w:color w:val="auto"/>
                <w:sz w:val="24"/>
                <w:highlight w:val="none"/>
              </w:rPr>
              <w:t>；</w:t>
            </w:r>
          </w:p>
          <w:p w14:paraId="657153CB">
            <w:pPr>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highlight w:val="none"/>
              </w:rPr>
              <w:t>t</w:t>
            </w:r>
            <w:r>
              <w:rPr>
                <w:color w:val="auto"/>
                <w:sz w:val="24"/>
                <w:highlight w:val="none"/>
                <w:vertAlign w:val="subscript"/>
              </w:rPr>
              <w:t>j</w:t>
            </w:r>
            <w:r>
              <w:rPr>
                <w:color w:val="auto"/>
                <w:sz w:val="24"/>
                <w:highlight w:val="none"/>
              </w:rPr>
              <w:t>—在T时间内j声源工作时间，s；</w:t>
            </w:r>
          </w:p>
          <w:p w14:paraId="47A88EE7">
            <w:pPr>
              <w:pStyle w:val="70"/>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highlight w:val="none"/>
              </w:rPr>
              <w:t>t</w:t>
            </w:r>
            <w:r>
              <w:rPr>
                <w:color w:val="auto"/>
                <w:sz w:val="24"/>
                <w:highlight w:val="none"/>
                <w:vertAlign w:val="subscript"/>
              </w:rPr>
              <w:t>i</w:t>
            </w:r>
            <w:r>
              <w:rPr>
                <w:color w:val="auto"/>
                <w:sz w:val="24"/>
                <w:highlight w:val="none"/>
              </w:rPr>
              <w:t>—在T时间内i声源工作时间，s；</w:t>
            </w:r>
          </w:p>
          <w:p w14:paraId="287F0CEF">
            <w:pPr>
              <w:pStyle w:val="70"/>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highlight w:val="none"/>
              </w:rPr>
              <w:t>T—用于计算等效声级的时间，s；</w:t>
            </w:r>
          </w:p>
          <w:p w14:paraId="2D1FFE93">
            <w:pPr>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highlight w:val="none"/>
              </w:rPr>
              <w:t>N—室外声源个数；</w:t>
            </w:r>
          </w:p>
          <w:p w14:paraId="3F760766">
            <w:pPr>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highlight w:val="none"/>
              </w:rPr>
              <w:t>M—等效室外声源个数。</w:t>
            </w:r>
          </w:p>
          <w:p w14:paraId="2E069E29">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left"/>
              <w:textAlignment w:val="auto"/>
              <w:rPr>
                <w:b/>
                <w:bCs/>
                <w:color w:val="auto"/>
                <w:sz w:val="24"/>
                <w:highlight w:val="none"/>
              </w:rPr>
            </w:pPr>
            <w:r>
              <w:rPr>
                <w:b/>
                <w:bCs/>
                <w:color w:val="auto"/>
                <w:sz w:val="24"/>
                <w:highlight w:val="none"/>
              </w:rPr>
              <w:t>预测值计算</w:t>
            </w:r>
          </w:p>
          <w:p w14:paraId="4EEE5705">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highlight w:val="none"/>
              </w:rPr>
            </w:pPr>
            <w:r>
              <w:rPr>
                <w:color w:val="auto"/>
                <w:sz w:val="24"/>
                <w:highlight w:val="none"/>
              </w:rPr>
              <w:t>预测点的噪声预测值（L</w:t>
            </w:r>
            <w:r>
              <w:rPr>
                <w:color w:val="auto"/>
                <w:sz w:val="24"/>
                <w:highlight w:val="none"/>
                <w:vertAlign w:val="subscript"/>
              </w:rPr>
              <w:t>eq</w:t>
            </w:r>
            <w:r>
              <w:rPr>
                <w:color w:val="auto"/>
                <w:sz w:val="24"/>
                <w:highlight w:val="none"/>
              </w:rPr>
              <w:t>）计算公式：</w:t>
            </w:r>
          </w:p>
          <w:p w14:paraId="288D49A3">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highlight w:val="none"/>
              </w:rPr>
            </w:pPr>
            <w:r>
              <w:rPr>
                <w:color w:val="auto"/>
                <w:position w:val="-14"/>
                <w:sz w:val="24"/>
                <w:highlight w:val="none"/>
              </w:rPr>
              <w:object>
                <v:shape id="_x0000_i1033" o:spt="75" type="#_x0000_t75" style="height:21.8pt;width:135.6pt;" o:ole="t" filled="f" o:preferrelative="t" stroked="f" coordsize="21600,21600">
                  <v:path/>
                  <v:fill on="f" focussize="0,0"/>
                  <v:stroke on="f" joinstyle="miter"/>
                  <v:imagedata r:id="rId30" o:title=""/>
                  <o:lock v:ext="edit" aspectratio="t"/>
                  <w10:wrap type="none"/>
                  <w10:anchorlock/>
                </v:shape>
                <o:OLEObject Type="Embed" ProgID="Equation.3" ShapeID="_x0000_i1033" DrawAspect="Content" ObjectID="_1468075733" r:id="rId29">
                  <o:LockedField>false</o:LockedField>
                </o:OLEObject>
              </w:object>
            </w:r>
          </w:p>
          <w:p w14:paraId="4F4EBE7E">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color w:val="auto"/>
                <w:sz w:val="24"/>
                <w:highlight w:val="none"/>
              </w:rPr>
            </w:pPr>
            <w:r>
              <w:rPr>
                <w:color w:val="auto"/>
                <w:sz w:val="24"/>
                <w:highlight w:val="none"/>
              </w:rPr>
              <w:t>式中：L</w:t>
            </w:r>
            <w:r>
              <w:rPr>
                <w:color w:val="auto"/>
                <w:sz w:val="24"/>
                <w:highlight w:val="none"/>
                <w:vertAlign w:val="subscript"/>
              </w:rPr>
              <w:t>eq</w:t>
            </w:r>
            <w:r>
              <w:rPr>
                <w:color w:val="auto"/>
                <w:sz w:val="24"/>
                <w:highlight w:val="none"/>
              </w:rPr>
              <w:t>—预测点的噪声预测值，dB；</w:t>
            </w:r>
          </w:p>
          <w:p w14:paraId="1AEEBE2B">
            <w:pPr>
              <w:keepNext w:val="0"/>
              <w:keepLines w:val="0"/>
              <w:pageBreakBefore w:val="0"/>
              <w:widowControl w:val="0"/>
              <w:kinsoku/>
              <w:wordWrap/>
              <w:overflowPunct/>
              <w:topLinePunct w:val="0"/>
              <w:autoSpaceDE/>
              <w:autoSpaceDN/>
              <w:bidi w:val="0"/>
              <w:adjustRightInd/>
              <w:snapToGrid/>
              <w:spacing w:line="600" w:lineRule="exact"/>
              <w:ind w:firstLine="1200" w:firstLineChars="500"/>
              <w:jc w:val="left"/>
              <w:textAlignment w:val="auto"/>
              <w:rPr>
                <w:color w:val="auto"/>
                <w:sz w:val="24"/>
                <w:highlight w:val="none"/>
              </w:rPr>
            </w:pPr>
            <w:r>
              <w:rPr>
                <w:color w:val="auto"/>
                <w:sz w:val="24"/>
                <w:highlight w:val="none"/>
              </w:rPr>
              <w:t>L</w:t>
            </w:r>
            <w:r>
              <w:rPr>
                <w:color w:val="auto"/>
                <w:sz w:val="24"/>
                <w:highlight w:val="none"/>
                <w:vertAlign w:val="subscript"/>
              </w:rPr>
              <w:t>eqg</w:t>
            </w:r>
            <w:r>
              <w:rPr>
                <w:color w:val="auto"/>
                <w:sz w:val="24"/>
                <w:highlight w:val="none"/>
              </w:rPr>
              <w:t>—建设项目声源在预测点产生的噪声贡献值，dB；</w:t>
            </w:r>
          </w:p>
          <w:p w14:paraId="54023BA8">
            <w:pPr>
              <w:pStyle w:val="71"/>
              <w:keepNext w:val="0"/>
              <w:keepLines w:val="0"/>
              <w:pageBreakBefore w:val="0"/>
              <w:widowControl w:val="0"/>
              <w:kinsoku/>
              <w:wordWrap/>
              <w:overflowPunct/>
              <w:topLinePunct w:val="0"/>
              <w:autoSpaceDE/>
              <w:autoSpaceDN/>
              <w:bidi w:val="0"/>
              <w:adjustRightInd/>
              <w:snapToGrid/>
              <w:spacing w:line="600" w:lineRule="exact"/>
              <w:ind w:firstLine="480"/>
              <w:jc w:val="left"/>
              <w:textAlignment w:val="auto"/>
              <w:rPr>
                <w:color w:val="auto"/>
                <w:highlight w:val="none"/>
              </w:rPr>
            </w:pPr>
            <w:r>
              <w:rPr>
                <w:color w:val="auto"/>
                <w:sz w:val="24"/>
                <w:highlight w:val="none"/>
              </w:rPr>
              <w:t>L</w:t>
            </w:r>
            <w:r>
              <w:rPr>
                <w:color w:val="auto"/>
                <w:sz w:val="24"/>
                <w:highlight w:val="none"/>
                <w:vertAlign w:val="subscript"/>
              </w:rPr>
              <w:t>eqb</w:t>
            </w:r>
            <w:r>
              <w:rPr>
                <w:color w:val="auto"/>
                <w:sz w:val="24"/>
                <w:highlight w:val="none"/>
              </w:rPr>
              <w:t>—预测点的背景噪声值，dB</w:t>
            </w:r>
            <w:r>
              <w:rPr>
                <w:color w:val="auto"/>
                <w:highlight w:val="none"/>
              </w:rPr>
              <w:t>。</w:t>
            </w:r>
          </w:p>
          <w:p w14:paraId="0DFDFE61">
            <w:pPr>
              <w:pStyle w:val="50"/>
              <w:bidi w:val="0"/>
              <w:ind w:firstLine="1200" w:firstLineChars="500"/>
              <w:rPr>
                <w:rFonts w:hint="default" w:ascii="Times New Roman" w:hAnsi="Times New Roman" w:cs="Times New Roman"/>
                <w:color w:val="000000" w:themeColor="text1"/>
                <w:highlight w:val="none"/>
                <w14:textFill>
                  <w14:solidFill>
                    <w14:schemeClr w14:val="tx1"/>
                  </w14:solidFill>
                </w14:textFill>
              </w:rPr>
            </w:pPr>
          </w:p>
          <w:p w14:paraId="0AB6D719">
            <w:pPr>
              <w:pStyle w:val="5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C.建筑物隔声量</w:t>
            </w:r>
          </w:p>
          <w:p w14:paraId="24037C4F">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隔声量参考《环境工程手册环境噪声控制卷》</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高等教育出版社</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声控制与建筑声学设备和材料选用手册》</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化学工业出版社</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、《噪声与振动控制工程手册》</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机械工业出版社</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取值</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本项目为钢结构厂房，墙体隔声量按15dB（A）计</w:t>
            </w:r>
            <w:r>
              <w:rPr>
                <w:rFonts w:hint="default" w:ascii="Times New Roman" w:hAnsi="Times New Roman" w:cs="Times New Roman"/>
                <w:color w:val="000000" w:themeColor="text1"/>
                <w:highlight w:val="none"/>
                <w14:textFill>
                  <w14:solidFill>
                    <w14:schemeClr w14:val="tx1"/>
                  </w14:solidFill>
                </w14:textFill>
              </w:rPr>
              <w:t>。</w:t>
            </w:r>
          </w:p>
          <w:p w14:paraId="01A52591">
            <w:pPr>
              <w:pStyle w:val="50"/>
              <w:bidi w:val="0"/>
              <w:rPr>
                <w:color w:val="000000" w:themeColor="text1"/>
                <w:highlight w:val="none"/>
                <w:vertAlign w:val="baseli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本项目噪声源强调查情况见下表。</w:t>
            </w:r>
          </w:p>
        </w:tc>
      </w:tr>
    </w:tbl>
    <w:p w14:paraId="09196657">
      <w:pPr>
        <w:jc w:val="both"/>
        <w:rPr>
          <w:color w:val="000000" w:themeColor="text1"/>
          <w:highlight w:val="none"/>
          <w14:textFill>
            <w14:solidFill>
              <w14:schemeClr w14:val="tx1"/>
            </w14:solidFill>
          </w14:textFill>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0C3496A">
      <w:pPr>
        <w:pStyle w:val="6"/>
        <w:numPr>
          <w:ilvl w:val="4"/>
          <w:numId w:val="0"/>
        </w:numPr>
        <w:bidi w:val="0"/>
        <w:ind w:leftChars="0"/>
        <w:jc w:val="center"/>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表4-1</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 xml:space="preserve"> B5厂房</w:t>
      </w:r>
      <w:r>
        <w:rPr>
          <w:rFonts w:hint="default"/>
          <w:color w:val="000000" w:themeColor="text1"/>
          <w:highlight w:val="none"/>
          <w14:textFill>
            <w14:solidFill>
              <w14:schemeClr w14:val="tx1"/>
            </w14:solidFill>
          </w14:textFill>
        </w:rPr>
        <w:t>项目噪声源清单（室内声源）</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0"/>
        <w:gridCol w:w="903"/>
        <w:gridCol w:w="1042"/>
        <w:gridCol w:w="1409"/>
        <w:gridCol w:w="1243"/>
        <w:gridCol w:w="951"/>
        <w:gridCol w:w="800"/>
        <w:gridCol w:w="588"/>
        <w:gridCol w:w="698"/>
        <w:gridCol w:w="701"/>
        <w:gridCol w:w="1429"/>
        <w:gridCol w:w="903"/>
        <w:gridCol w:w="1569"/>
        <w:gridCol w:w="1018"/>
        <w:gridCol w:w="1042"/>
      </w:tblGrid>
      <w:tr w14:paraId="34E5B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16A8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序号</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4767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建筑物名称</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DE5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声源名称</w:t>
            </w:r>
          </w:p>
        </w:tc>
        <w:tc>
          <w:tcPr>
            <w:tcW w:w="476" w:type="pct"/>
            <w:vMerge w:val="restart"/>
            <w:tcBorders>
              <w:top w:val="single" w:color="000000" w:sz="4" w:space="0"/>
              <w:left w:val="single" w:color="000000" w:sz="4" w:space="0"/>
              <w:right w:val="single" w:color="000000" w:sz="4" w:space="0"/>
            </w:tcBorders>
            <w:shd w:val="clear" w:color="auto" w:fill="auto"/>
            <w:noWrap/>
            <w:vAlign w:val="center"/>
          </w:tcPr>
          <w:p w14:paraId="42F78FC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声功率级</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br w:type="textWrapping"/>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/dB(A</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AA22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声源控制措施</w:t>
            </w:r>
          </w:p>
        </w:tc>
        <w:tc>
          <w:tcPr>
            <w:tcW w:w="79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B3B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空间相对位置/m</w:t>
            </w:r>
          </w:p>
        </w:tc>
        <w:tc>
          <w:tcPr>
            <w:tcW w:w="473" w:type="pct"/>
            <w:gridSpan w:val="2"/>
            <w:vMerge w:val="restart"/>
            <w:tcBorders>
              <w:top w:val="single" w:color="000000" w:sz="4" w:space="0"/>
              <w:left w:val="single" w:color="000000" w:sz="4" w:space="0"/>
              <w:right w:val="single" w:color="000000" w:sz="4" w:space="0"/>
            </w:tcBorders>
            <w:shd w:val="clear" w:color="auto" w:fill="auto"/>
            <w:noWrap/>
            <w:vAlign w:val="center"/>
          </w:tcPr>
          <w:p w14:paraId="18DBA70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距室内边界距离/m</w:t>
            </w:r>
          </w:p>
        </w:tc>
        <w:tc>
          <w:tcPr>
            <w:tcW w:w="4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F2C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室内边界声级/dB(A)</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F515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运行时段</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333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建筑物插入损失/dB(A)</w:t>
            </w:r>
          </w:p>
        </w:tc>
        <w:tc>
          <w:tcPr>
            <w:tcW w:w="6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2B0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建筑物外噪声</w:t>
            </w:r>
          </w:p>
        </w:tc>
      </w:tr>
      <w:tr w14:paraId="7B33E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854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B043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9785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left w:val="single" w:color="000000" w:sz="4" w:space="0"/>
              <w:bottom w:val="single" w:color="000000" w:sz="4" w:space="0"/>
              <w:right w:val="single" w:color="000000" w:sz="4" w:space="0"/>
            </w:tcBorders>
            <w:shd w:val="clear" w:color="auto" w:fill="auto"/>
            <w:vAlign w:val="center"/>
          </w:tcPr>
          <w:p w14:paraId="35E0721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7DB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8FC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X</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6E61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Y</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972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Z</w:t>
            </w:r>
          </w:p>
        </w:tc>
        <w:tc>
          <w:tcPr>
            <w:tcW w:w="473"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5134EA0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81BA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B532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D494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E76C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声压级/dB(A)</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039B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建筑物外距离</w:t>
            </w:r>
          </w:p>
        </w:tc>
      </w:tr>
      <w:tr w14:paraId="70C78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FA2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194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B54B0">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B5FD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5169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4F70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ED79">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1137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9FBB">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DD00">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D9F0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859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B6513">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504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F064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4D5AF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48FE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B056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144D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9B02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77A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0A5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3260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AF2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BE2A9">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0558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2233">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56.02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DF8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FDF9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6930F">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35.02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5F19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DD87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24D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85B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7FF8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FC5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5301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F1A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A76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078A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A2D71">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168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D39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412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7BDA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DF88A">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60A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710FB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7981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517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CF6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ED97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5949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FF7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B01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665F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3B0C2">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F845">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53077">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54.56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2E0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08BB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2AEC">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33.56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8815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4CBA9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00C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576A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6BDAD">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451E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AF18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EAEF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E603A">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11B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BC23">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6567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332BF">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82D9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3037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F95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185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6E201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6DC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440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E55C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3644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D8C3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E810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5B2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BB23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8C3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FEED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28</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D6FA">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55.53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8B9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4BC8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714C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34.53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00D7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45E52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14D6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544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9D5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9D8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8C4B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95C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642C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227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93E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0CE9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F53C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C35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51E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2BFB5">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BCD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75C0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DC6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FAF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6AFE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BEC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912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E23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453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73A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861E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118C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32</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BC5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54.95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01E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EC7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B42F7">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33.95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6BA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B264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D284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C727">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0EC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C2D8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A60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4C89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06599">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6A37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5A7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7BF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457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7B6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A52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221B">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5EC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180BA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525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B52C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D97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3840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F9AB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9B6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C59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F6C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FBB95">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567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EE96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55.09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08B8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7FCA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EC2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34.09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FEA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4531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BF8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A05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04AB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C741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010F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BCD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223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B02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AB242">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05AF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3A02">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65D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14B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9D6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0E7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381C9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EDA7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2243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52F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8C3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F02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7539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6FF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7CAC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569E8">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D35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1620A">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55.38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D8A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627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9497">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34.38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22B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43A61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8D2F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1C35">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2E2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89D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F60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5FDB">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C42D">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F0147">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p w14:paraId="1019F7B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7C36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6C69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A19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F60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CA49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7B08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DD3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608F8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27CF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8E5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A17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AEF4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9F23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FE5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AD43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007F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759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E60F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98572">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54.69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6E4E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835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F04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33.69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C0C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33168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24C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213B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A7C5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FEC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29D5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0145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F35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8B6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E84A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0C8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569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55E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D0EA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D3CF5">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2C38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64345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53B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600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7A32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A9B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593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48D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459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1793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E3F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75A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FA8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55.85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4B0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49C6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97CF2">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34.85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057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67986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1458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ADBA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4FEE3">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0BD40">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EE1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2116">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CFA8">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3E323">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p w14:paraId="1D2A81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1E002">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4F7D">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18D2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B79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22CC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D0B5">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414A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39856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E7B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96D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062B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4942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0EFF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D19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A090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A8A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C374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5403E">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7DB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54.32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892A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A98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5B362">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33.32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0E6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1D450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69E9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EAF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6A44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E7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BEF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8171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CB32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4E54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723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114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434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80BE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385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F6E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B900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8035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3454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308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C76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E6D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3D89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768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458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FF1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D134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5084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5FEEF">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56.38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BDCB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1D0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92E6F">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35.38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9856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63D5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F92F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9E34">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2786">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4E63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267F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88CF">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2F66">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D4A74">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F2D2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8735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8E747">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C561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B349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EF1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33E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2545F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736E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5AC7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EB81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CAC7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3CCB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93E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446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68C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3FAA6">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428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C35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976D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BB98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5BC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1E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7B24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D710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E5E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B48D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20EF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F79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6EB4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A4B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9D9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7014">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AD32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967B">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3A7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4FB0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1322B">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91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673E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CDE9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D8B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9375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096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79B9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90FA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21C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10B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04CC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3BC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C0111">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56.99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7D53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BED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B46B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35.99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58C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1CD9C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B9A0">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77BE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AB45">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AD82">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0555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E6C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C1A0">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D241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23306">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9888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36B07">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B9A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CF2ED">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9D35">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02BC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7E792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E1EE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AB5F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19B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321E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526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85F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FA0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BAD8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A5AD2">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E82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592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48.24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3A5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27E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4E3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27.24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6F8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0D11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75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0F0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92D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357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B3E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FC8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579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0AC3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5809B">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E2F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CD94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E38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848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427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B2EC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7CCB4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C25E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4937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D56D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1AF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795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F5B4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8B7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89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20DC1">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5A97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AEFF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43.47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754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EAFA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E11A">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22.47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2DF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560E3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C864">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722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E4B0">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B453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FD1D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230E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3BB15">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F02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439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A12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B289C">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852C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972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D885F">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D28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5E0DF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2208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4F1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076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2AA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719A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874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BA6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A887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AD7A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6A10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A8CB7">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47.70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C07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0F33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648DC">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26.70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84C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6B01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C52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8C8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56C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E0FD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C8B5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755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67E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4BB7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EC596">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04B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BD7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49A2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45C6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414F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16A4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47128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1078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8988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4DB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836D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6B81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A78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6DC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B7C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B6FD">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42EB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FB9B">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43.67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9F2A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CC0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765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22.67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007A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0D49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3F48">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BA551">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B85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0AD1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97C9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4863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8F470">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2F8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2D1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460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BEA05">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277E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465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4798C">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C7F6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5CA3E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281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03A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252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11D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18B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083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47C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C336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E7E7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6D07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4C9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47.21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1EF5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9706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4DE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26.21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CE52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70C28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8BE4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26C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85C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0BC2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2852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C68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2C9B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56E6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C2B1">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824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664A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C310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44E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3F903">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DCF1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5F3DE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225B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85B6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9046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154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F3F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E435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C8B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5759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CF2D">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BB96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2911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43.87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BB77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C42C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36E22">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22.87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2A19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739F0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489D">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p>
          <w:p w14:paraId="28E060B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C93D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55526">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p w14:paraId="5A37237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3638">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p w14:paraId="0E523642">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A80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BA9F">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00D7">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C2720">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p w14:paraId="4F11B36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F05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99AE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FE7E7">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39AE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163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1ADA">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F64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5B88D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3D8D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03F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CA8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F8F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F802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EEB9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950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7D53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E547">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7A85">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E3AF">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46.78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BE5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444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6E9A5">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25.78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39D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3467C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E889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CA32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155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8983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389A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C59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AA48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223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0B87">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2A4CE">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DD37">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968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2CA1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EB18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A889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7CC9A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EC1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262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C272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33D1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4D28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D133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283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E885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394B3">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073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E0A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44.09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CD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CC3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8ECAC">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23.09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F5A5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5D55E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F68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p>
          <w:p w14:paraId="5BD2C62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0F385">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02E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p w14:paraId="65232194">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42B6">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p w14:paraId="2EEDD1E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240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7781">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5746">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DA00">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p w14:paraId="689DBFD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369E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937C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F90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CC8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8D57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CD5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6D3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6AD14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2FA3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764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C0BB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DC6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AC4C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AB6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2A22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5808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F53B1">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DA245">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CA4E2">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46.38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B929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27F4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04D8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25.38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A3D8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55B06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CB4E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A2B9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85D2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4BE6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AB5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D28E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6E31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F0C1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27DB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3EE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FF063">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721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AA66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7E2BB">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00AE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36F6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D72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DCCB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8486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63A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EFF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F5A0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2C02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5718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9DD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24F3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BB26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44.32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3A6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90F1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0DFF">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23.32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67CF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39EF2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6210">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p w14:paraId="7A1F43B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196A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C1D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EF8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2CFB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09B2">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E102D">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8BA41">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39DC1">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6BA6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0E8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AA11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7D31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BC2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E8C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07760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9AB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9E25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ACCA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692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9A43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9386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B679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9E52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008B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F56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99A3">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46.02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B92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6A06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9B3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25.02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F09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1253E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08C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D030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A4FA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4D79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3025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4DA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697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E8E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6CD3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4DEB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22D1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F3FD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677A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1B3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AC1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76706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434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F42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1EE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412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532F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BB4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E296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8A1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7270">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8AB61">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F594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44.56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5D7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F04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C681">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23.56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C242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5B794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7B6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13</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5F3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EF08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p w14:paraId="5C501679">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1C74">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p w14:paraId="19E93AE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9F6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7368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6B6F4">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3C93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0334">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81D5">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9BF3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5EE4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A07FF">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877E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D19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7E738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E314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238B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46D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7C9D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2C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6BE4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330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CED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09D08">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8ED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012F">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45.69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0F2E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896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AE4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24.69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8717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5158C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FF8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F7F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382B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4A4A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1294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8A6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275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CBA3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F117D">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E70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759F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B4CB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E4B4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4BB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4070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45D4C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9B7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A7C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772F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6B8D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94B8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4B4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F3F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A4A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E6F08">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4DD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8A2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44.81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B97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FEE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522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23.81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8B50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5691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FE920">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56FBD">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A693D">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p w14:paraId="583DE0A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8620">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p w14:paraId="17E7F0C1">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DEE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58F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FCA7">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7B9D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9345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3CD60">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049C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9C3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B65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24FC">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12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30B04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761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64EE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0A03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BA51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C0C7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B29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C35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E1F5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F666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355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CE73">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9B4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035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FA29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82C3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60D51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831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40D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E5D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1C66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B3C7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9A5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4C0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DBE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B362">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A4CD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3B5A">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4CE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615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B5FA">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C63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9076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96F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BAE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92EE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2748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279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E950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E82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FEC5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E8D8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46E1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ED487">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45.09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B5A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2ADF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5A7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24.09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1AA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0655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71F38">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18F04">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C802">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23B3">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0FE9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2B44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CD8B">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1FE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5A76">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DBCC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3FAA1">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CEB2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93C9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8C4B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0CB4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2AE3F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1F8D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5FD3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67B1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D27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711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57B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7D2E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912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EF9D1">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4CD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5421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45.09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95E7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48AF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C98E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24.09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8ED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75314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5BA7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B054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4EE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A984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89C1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67BB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A48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00A1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ACC8">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CBB6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539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0C1E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DE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034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B37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3BFE9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91B9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6D2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8DF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90D7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2103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0C22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4622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44AD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5127">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C53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35A3B">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B2B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77DB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7A345">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12A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C031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C7664">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D50E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A204D">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p w14:paraId="0B5F6C61">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02C7">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p w14:paraId="657514B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EEE1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1283">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E66F">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66FC8">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p w14:paraId="5BEE6BC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EE0F2">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431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A083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6281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7D1C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A268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B5C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5F679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2D34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C89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5F5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73BD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8A2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0FC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6AD2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55E7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D3A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AD8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1E0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44.81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BE5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932B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6B1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23.81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0DDC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7C5B5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6DF7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D22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5F7B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623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25A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6B8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3481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6455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53AC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6B5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AA47">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C8C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EFB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9AE6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C4FD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84F0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6F4F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2A7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F97C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728F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E516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712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5725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CE1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30E3">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E49E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40BB">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45.69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D47D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BE8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7D3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24.69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A9F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9029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A13C">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17</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99E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1E627">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p w14:paraId="6F251D8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839D5">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p w14:paraId="71B4EA94">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4163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F18A">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40F6">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B80F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p w14:paraId="489A35F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FB73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305D">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70E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AF63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0E87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C1C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684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3A0C4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4F7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412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C44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ED2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8FA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452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98B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9ABD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D24B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A60F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EDC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44.56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916C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4C30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8FC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23.56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E39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62785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D64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B18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9830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37BC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7A56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6408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2C8D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812C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B541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ACFF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DC9A3">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D78A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FA2A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16F5">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E6E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4F072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946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721A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0AD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8CDF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5890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2E8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1543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93EA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179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2010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12DC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46.02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3E73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6650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1E66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25.02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F147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5A299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E5891">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18</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BACD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ADE01">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602F4">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95FC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3847">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0091">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7118">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17E7">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B9D5">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CAFDC">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88C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20C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219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93C9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6BF48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C172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7DBE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2A1E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30FD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4358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E67F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F21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8A5F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86C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0638D">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D67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44.32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53C8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D953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9ADB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23.32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6BE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78446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0472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B09B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3CE5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2D5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EBD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8FB4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EB8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BAC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D6CBC">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858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6DC9">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000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0D6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8C68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EC4F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11AC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EDD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63B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55FE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F26C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7451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8AB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EEE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56A4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BE26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D439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FE4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46.38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353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246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69F9C">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25.38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0CD9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12B3B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7066">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19</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C6EE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4283">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反裤机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A739">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C6B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826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FE4B">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4BF7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ED421">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0CAB1">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4AE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49.59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858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5A78">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23286">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28.59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2222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6BD4A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AE18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D8F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1A1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0F1B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EF30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E61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6600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BA81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D799">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17B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571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50.00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748B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275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578A">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29.00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D93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0AAA3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348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896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D9EC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0BBF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F55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419A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7A4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E7F9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83A15">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E407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A0C1">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50.46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CC4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012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F733">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29.46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B18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D9F2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952B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947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4EE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E17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46348">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E82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CEB9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6B4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5AE0E">
            <w:pPr>
              <w:pStyle w:val="56"/>
              <w:bidi w:val="0"/>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6F3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3EE8B">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C07E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A6C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09DF">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0D2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6A77D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9A16">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20</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097D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F4A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反裤机</w:t>
            </w:r>
          </w:p>
          <w:p w14:paraId="0F0FDB4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BC9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p w14:paraId="3BEEBB7B">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C40F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B3B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0905">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3AE1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16EA0">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41A4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12</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DCC1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49.21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0C2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9600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8A394">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28.21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257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0F0D4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E8A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7A0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24E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CBB3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1272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6AD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283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974E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B686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65020">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CAD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50.00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0071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3A08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D6AF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29.00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746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13D98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E299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727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557F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837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660F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ECF4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0D7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C6E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BD4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0D5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C38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50.97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162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449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6E612">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29.97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A550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2559F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3123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7F9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B13D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7C02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9402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3454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11D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D6A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EB5E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630D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68B08">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633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1D47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BA4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8428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32155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53F2">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21</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5AD7">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3C0F">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反裤机</w:t>
            </w:r>
          </w:p>
          <w:p w14:paraId="20E46699">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81A6">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60</w:t>
            </w:r>
          </w:p>
          <w:p w14:paraId="28366847">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F9D8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4C7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0BFE">
            <w:pPr>
              <w:pStyle w:val="56"/>
              <w:bidi w:val="0"/>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7CE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8CCCE">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88A6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FCC0C">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48.86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F8CA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B80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3580">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27.86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4F29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r>
      <w:tr w14:paraId="4DE33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B91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4B08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096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46E0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6F4A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EC23">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23E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8E8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EFA0">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9DEB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2D5EE">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50.00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0A5E">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0355C">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AC25">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29.00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632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7DA7F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A73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53A91">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481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FAC6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33E39">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BD4A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9370">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E1D5D">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983F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A225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6FED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51.55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F50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D8E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34A1">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30.55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05A3B">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r w14:paraId="3904B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ABEE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661A">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1257">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929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BEE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C2C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B0942">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FF0F5">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8E91A">
            <w:pPr>
              <w:pStyle w:val="56"/>
              <w:bidi w:val="0"/>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805B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03F8D">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8F81F">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8316">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F8292">
            <w:pPr>
              <w:keepNext w:val="0"/>
              <w:keepLines w:val="0"/>
              <w:widowControl/>
              <w:suppressLineNumbers w:val="0"/>
              <w:jc w:val="right"/>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72BD4">
            <w:pPr>
              <w:pStyle w:val="56"/>
              <w:bidi w:val="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tc>
      </w:tr>
    </w:tbl>
    <w:p w14:paraId="521B6BEE">
      <w:pPr>
        <w:pStyle w:val="56"/>
        <w:bidi w:val="0"/>
        <w:jc w:val="both"/>
        <w:rPr>
          <w:rFonts w:hint="default"/>
          <w:color w:val="000000" w:themeColor="text1"/>
          <w:highlight w:val="none"/>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备注：以项目厂界西南角为原点（0，0，0），东西向为X轴，南北向为Y轴。</w:t>
      </w:r>
      <w:r>
        <w:rPr>
          <w:rStyle w:val="58"/>
          <w:rFonts w:hint="eastAsia"/>
          <w:color w:val="000000" w:themeColor="text1"/>
          <w:highlight w:val="none"/>
          <w:lang w:val="en-US" w:eastAsia="zh-CN"/>
          <w14:textFill>
            <w14:solidFill>
              <w14:schemeClr w14:val="tx1"/>
            </w14:solidFill>
          </w14:textFill>
        </w:rPr>
        <w:t>②建筑物外声压级=室内边界声级-15-6。</w:t>
      </w:r>
    </w:p>
    <w:p w14:paraId="15143C3B">
      <w:pPr>
        <w:pStyle w:val="56"/>
        <w:bidi w:val="0"/>
        <w:jc w:val="both"/>
        <w:rPr>
          <w:rFonts w:hint="eastAsia"/>
          <w:color w:val="000000" w:themeColor="text1"/>
          <w:sz w:val="21"/>
          <w:szCs w:val="18"/>
          <w:highlight w:val="none"/>
          <w:lang w:val="en-US" w:eastAsia="zh-CN"/>
          <w14:textFill>
            <w14:solidFill>
              <w14:schemeClr w14:val="tx1"/>
            </w14:solidFill>
          </w14:textFill>
        </w:rPr>
      </w:pPr>
    </w:p>
    <w:p w14:paraId="24720C16">
      <w:pPr>
        <w:pStyle w:val="56"/>
        <w:bidi w:val="0"/>
        <w:jc w:val="center"/>
        <w:rPr>
          <w:rFonts w:hint="eastAsia"/>
          <w:b/>
          <w:bCs/>
          <w:color w:val="000000" w:themeColor="text1"/>
          <w:sz w:val="21"/>
          <w:szCs w:val="18"/>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表4-1</w:t>
      </w:r>
      <w:r>
        <w:rPr>
          <w:rFonts w:hint="eastAsia"/>
          <w:b/>
          <w:bCs/>
          <w:color w:val="000000" w:themeColor="text1"/>
          <w:highlight w:val="none"/>
          <w:lang w:val="en-US" w:eastAsia="zh-CN"/>
          <w14:textFill>
            <w14:solidFill>
              <w14:schemeClr w14:val="tx1"/>
            </w14:solidFill>
          </w14:textFill>
        </w:rPr>
        <w:t>7</w:t>
      </w:r>
      <w:r>
        <w:rPr>
          <w:rFonts w:hint="eastAsia"/>
          <w:b/>
          <w:bCs/>
          <w:color w:val="000000" w:themeColor="text1"/>
          <w:highlight w:val="none"/>
          <w:lang w:val="en-US" w:eastAsia="zh-CN"/>
          <w14:textFill>
            <w14:solidFill>
              <w14:schemeClr w14:val="tx1"/>
            </w14:solidFill>
          </w14:textFill>
        </w:rPr>
        <w:t xml:space="preserve"> B6厂房</w:t>
      </w:r>
      <w:r>
        <w:rPr>
          <w:rFonts w:hint="default"/>
          <w:b/>
          <w:bCs/>
          <w:color w:val="000000" w:themeColor="text1"/>
          <w:highlight w:val="none"/>
          <w14:textFill>
            <w14:solidFill>
              <w14:schemeClr w14:val="tx1"/>
            </w14:solidFill>
          </w14:textFill>
        </w:rPr>
        <w:t>项目噪声源清单（室内声源）</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0"/>
        <w:gridCol w:w="903"/>
        <w:gridCol w:w="1042"/>
        <w:gridCol w:w="1409"/>
        <w:gridCol w:w="1243"/>
        <w:gridCol w:w="951"/>
        <w:gridCol w:w="800"/>
        <w:gridCol w:w="588"/>
        <w:gridCol w:w="698"/>
        <w:gridCol w:w="701"/>
        <w:gridCol w:w="1429"/>
        <w:gridCol w:w="903"/>
        <w:gridCol w:w="1569"/>
        <w:gridCol w:w="1018"/>
        <w:gridCol w:w="1042"/>
      </w:tblGrid>
      <w:tr w14:paraId="330E1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1F48">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序号</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251F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建筑物名称</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2EA3E">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声源名称</w:t>
            </w:r>
          </w:p>
        </w:tc>
        <w:tc>
          <w:tcPr>
            <w:tcW w:w="476" w:type="pct"/>
            <w:vMerge w:val="restart"/>
            <w:tcBorders>
              <w:top w:val="single" w:color="000000" w:sz="4" w:space="0"/>
              <w:left w:val="single" w:color="000000" w:sz="4" w:space="0"/>
              <w:right w:val="single" w:color="000000" w:sz="4" w:space="0"/>
            </w:tcBorders>
            <w:shd w:val="clear" w:color="auto" w:fill="auto"/>
            <w:noWrap/>
            <w:vAlign w:val="center"/>
          </w:tcPr>
          <w:p w14:paraId="54C4F744">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声功率级</w:t>
            </w:r>
            <w:r>
              <w:rPr>
                <w:rFonts w:hint="eastAsia"/>
                <w:color w:val="000000" w:themeColor="text1"/>
                <w:highlight w:val="none"/>
                <w:lang w:val="en-US" w:eastAsia="zh-CN"/>
                <w14:textFill>
                  <w14:solidFill>
                    <w14:schemeClr w14:val="tx1"/>
                  </w14:solidFill>
                </w14:textFill>
              </w:rPr>
              <w:br w:type="textWrapping"/>
            </w:r>
            <w:r>
              <w:rPr>
                <w:rFonts w:hint="eastAsia"/>
                <w:color w:val="000000" w:themeColor="text1"/>
                <w:highlight w:val="none"/>
                <w:lang w:val="en-US" w:eastAsia="zh-CN"/>
                <w14:textFill>
                  <w14:solidFill>
                    <w14:schemeClr w14:val="tx1"/>
                  </w14:solidFill>
                </w14:textFill>
              </w:rPr>
              <w:t>/dB(A</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9061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声源控制措施</w:t>
            </w:r>
          </w:p>
        </w:tc>
        <w:tc>
          <w:tcPr>
            <w:tcW w:w="79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01FA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空间相对位置/m</w:t>
            </w:r>
          </w:p>
        </w:tc>
        <w:tc>
          <w:tcPr>
            <w:tcW w:w="473" w:type="pct"/>
            <w:gridSpan w:val="2"/>
            <w:vMerge w:val="restart"/>
            <w:tcBorders>
              <w:top w:val="single" w:color="000000" w:sz="4" w:space="0"/>
              <w:left w:val="single" w:color="000000" w:sz="4" w:space="0"/>
              <w:right w:val="single" w:color="000000" w:sz="4" w:space="0"/>
            </w:tcBorders>
            <w:shd w:val="clear" w:color="auto" w:fill="auto"/>
            <w:noWrap/>
            <w:vAlign w:val="center"/>
          </w:tcPr>
          <w:p w14:paraId="4CCFBB14">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距室内边界距离/m</w:t>
            </w:r>
          </w:p>
        </w:tc>
        <w:tc>
          <w:tcPr>
            <w:tcW w:w="4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7B4BC">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室内边界声级/dB(A)</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D68C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运行时段</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3D3B">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建筑物插入损失/dB(A)</w:t>
            </w:r>
          </w:p>
        </w:tc>
        <w:tc>
          <w:tcPr>
            <w:tcW w:w="6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26FFB">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建筑物外噪声</w:t>
            </w:r>
          </w:p>
        </w:tc>
      </w:tr>
      <w:tr w14:paraId="45DFA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E763E">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A0C7F">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61F7">
            <w:pPr>
              <w:pStyle w:val="56"/>
              <w:bidi w:val="0"/>
              <w:rPr>
                <w:rFonts w:hint="eastAsia"/>
                <w:color w:val="000000" w:themeColor="text1"/>
                <w:highlight w:val="none"/>
                <w14:textFill>
                  <w14:solidFill>
                    <w14:schemeClr w14:val="tx1"/>
                  </w14:solidFill>
                </w14:textFill>
              </w:rPr>
            </w:pPr>
          </w:p>
        </w:tc>
        <w:tc>
          <w:tcPr>
            <w:tcW w:w="476" w:type="pct"/>
            <w:vMerge w:val="continue"/>
            <w:tcBorders>
              <w:left w:val="single" w:color="000000" w:sz="4" w:space="0"/>
              <w:bottom w:val="single" w:color="000000" w:sz="4" w:space="0"/>
              <w:right w:val="single" w:color="000000" w:sz="4" w:space="0"/>
            </w:tcBorders>
            <w:shd w:val="clear" w:color="auto" w:fill="auto"/>
            <w:vAlign w:val="center"/>
          </w:tcPr>
          <w:p w14:paraId="70C99E1B">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1FC9">
            <w:pPr>
              <w:pStyle w:val="56"/>
              <w:bidi w:val="0"/>
              <w:rPr>
                <w:rFonts w:hint="eastAsia"/>
                <w:color w:val="000000" w:themeColor="text1"/>
                <w:highlight w:val="none"/>
                <w14:textFill>
                  <w14:solidFill>
                    <w14:schemeClr w14:val="tx1"/>
                  </w14:solidFill>
                </w14:textFill>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E76AB">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X</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43500">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Y</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BE6D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Z</w:t>
            </w:r>
          </w:p>
        </w:tc>
        <w:tc>
          <w:tcPr>
            <w:tcW w:w="473"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757FC838">
            <w:pPr>
              <w:pStyle w:val="56"/>
              <w:bidi w:val="0"/>
              <w:rPr>
                <w:rFonts w:hint="eastAsia"/>
                <w:color w:val="000000" w:themeColor="text1"/>
                <w:highlight w:val="none"/>
                <w14:textFill>
                  <w14:solidFill>
                    <w14:schemeClr w14:val="tx1"/>
                  </w14:solidFill>
                </w14:textFill>
              </w:rPr>
            </w:pPr>
          </w:p>
        </w:tc>
        <w:tc>
          <w:tcPr>
            <w:tcW w:w="4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1CBAC">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AB2BD">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370D1">
            <w:pPr>
              <w:pStyle w:val="56"/>
              <w:bidi w:val="0"/>
              <w:rPr>
                <w:rFonts w:hint="eastAsia"/>
                <w:color w:val="000000" w:themeColor="text1"/>
                <w:highlight w:val="none"/>
                <w14:textFill>
                  <w14:solidFill>
                    <w14:schemeClr w14:val="tx1"/>
                  </w14:solidFill>
                </w14:textFill>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384A">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声压级/dB(A)</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C0F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建筑物外距离</w:t>
            </w:r>
          </w:p>
        </w:tc>
      </w:tr>
      <w:tr w14:paraId="0A7E8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2F125">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81EC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6365">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58A2D">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A22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391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41749">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CCFB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33423">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A3F2">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D40DB">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B38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B2AE">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B4D22">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ED61">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87D6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B1099">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FCE2">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DB47">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90089">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CB90">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8158">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B645">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9329A">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1240">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239F">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A44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56.02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B766">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357E">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8D6B">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35.02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8979A">
            <w:pPr>
              <w:pStyle w:val="56"/>
              <w:bidi w:val="0"/>
              <w:rPr>
                <w:rFonts w:hint="eastAsia"/>
                <w:color w:val="000000" w:themeColor="text1"/>
                <w:highlight w:val="none"/>
                <w14:textFill>
                  <w14:solidFill>
                    <w14:schemeClr w14:val="tx1"/>
                  </w14:solidFill>
                </w14:textFill>
              </w:rPr>
            </w:pPr>
          </w:p>
        </w:tc>
      </w:tr>
      <w:tr w14:paraId="0270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3F86">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4FED3">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C790">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0613A">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94CF5">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673CD">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8D0F6">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29FD">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9A072">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9A266">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AF26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520A2">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B9143">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C13E">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649C7">
            <w:pPr>
              <w:pStyle w:val="56"/>
              <w:bidi w:val="0"/>
              <w:rPr>
                <w:rFonts w:hint="eastAsia"/>
                <w:color w:val="000000" w:themeColor="text1"/>
                <w:highlight w:val="none"/>
                <w14:textFill>
                  <w14:solidFill>
                    <w14:schemeClr w14:val="tx1"/>
                  </w14:solidFill>
                </w14:textFill>
              </w:rPr>
            </w:pPr>
          </w:p>
        </w:tc>
      </w:tr>
      <w:tr w14:paraId="3EE4A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EA1F">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F87CC">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D4C5">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AC2C4">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22E6">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C77A9">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8E20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422A5">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8AC01">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7B512">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E1C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54.56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BE35">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A7BE">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BB3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33.56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07C2">
            <w:pPr>
              <w:pStyle w:val="56"/>
              <w:bidi w:val="0"/>
              <w:rPr>
                <w:rFonts w:hint="eastAsia"/>
                <w:color w:val="000000" w:themeColor="text1"/>
                <w:highlight w:val="none"/>
                <w14:textFill>
                  <w14:solidFill>
                    <w14:schemeClr w14:val="tx1"/>
                  </w14:solidFill>
                </w14:textFill>
              </w:rPr>
            </w:pPr>
          </w:p>
        </w:tc>
      </w:tr>
      <w:tr w14:paraId="4414D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12BAB">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4853">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FA68">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4D704">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2AD9">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2C7D">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3FA5">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9890">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12DC">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1DC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514B">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A817">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F7AC">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EC3C4">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61E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14A76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F4BB4">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0B103">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B616B">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A9328">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3DE87">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F51E">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77565">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97C2">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D897">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48CF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28</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1532">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55.53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A7525">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9C6E6">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09E1">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34.53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AD18">
            <w:pPr>
              <w:pStyle w:val="56"/>
              <w:bidi w:val="0"/>
              <w:rPr>
                <w:rFonts w:hint="eastAsia"/>
                <w:color w:val="000000" w:themeColor="text1"/>
                <w:highlight w:val="none"/>
                <w14:textFill>
                  <w14:solidFill>
                    <w14:schemeClr w14:val="tx1"/>
                  </w14:solidFill>
                </w14:textFill>
              </w:rPr>
            </w:pPr>
          </w:p>
        </w:tc>
      </w:tr>
      <w:tr w14:paraId="1EB5D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C5003">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074FE">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9FF7">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AEC0E">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DBF7">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32E88">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EEED7">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EDF8">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8548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D4F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CA4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98A3">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A23D">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0164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0FF5">
            <w:pPr>
              <w:pStyle w:val="56"/>
              <w:bidi w:val="0"/>
              <w:rPr>
                <w:rFonts w:hint="eastAsia"/>
                <w:color w:val="000000" w:themeColor="text1"/>
                <w:highlight w:val="none"/>
                <w14:textFill>
                  <w14:solidFill>
                    <w14:schemeClr w14:val="tx1"/>
                  </w14:solidFill>
                </w14:textFill>
              </w:rPr>
            </w:pPr>
          </w:p>
        </w:tc>
      </w:tr>
      <w:tr w14:paraId="23853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1C3F">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ACAB">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FDFFF">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A2B70">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83E5">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1B919">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F680">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911C">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B4CF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2B0CA">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32</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5D7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54.95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54559">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EA1A4">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0720F">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33.95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67191">
            <w:pPr>
              <w:pStyle w:val="56"/>
              <w:bidi w:val="0"/>
              <w:rPr>
                <w:rFonts w:hint="eastAsia"/>
                <w:color w:val="000000" w:themeColor="text1"/>
                <w:highlight w:val="none"/>
                <w14:textFill>
                  <w14:solidFill>
                    <w14:schemeClr w14:val="tx1"/>
                  </w14:solidFill>
                </w14:textFill>
              </w:rPr>
            </w:pPr>
          </w:p>
        </w:tc>
      </w:tr>
      <w:tr w14:paraId="5FFC2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D98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38F2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70C4A">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4800">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9467">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85135">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9F29">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0189">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E8179">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E4FE">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A0E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C6EE">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895C1">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0FCB2">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8DC0">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1BD2F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99E0B">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DDCC">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83E0C">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B0C8">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FA5DD">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C06F">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090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92D9F">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F517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0181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0073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55.09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CEEE0">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F8D9F">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711AE">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34.09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32CCB">
            <w:pPr>
              <w:pStyle w:val="56"/>
              <w:bidi w:val="0"/>
              <w:rPr>
                <w:rFonts w:hint="eastAsia"/>
                <w:color w:val="000000" w:themeColor="text1"/>
                <w:highlight w:val="none"/>
                <w14:textFill>
                  <w14:solidFill>
                    <w14:schemeClr w14:val="tx1"/>
                  </w14:solidFill>
                </w14:textFill>
              </w:rPr>
            </w:pPr>
          </w:p>
        </w:tc>
      </w:tr>
      <w:tr w14:paraId="7A568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97CFF">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3D17">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8FD17">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F4DE2">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0E75">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20009">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827F">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2748">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273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6FB4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A97B">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1CBF3">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E9F44">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B360">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D640">
            <w:pPr>
              <w:pStyle w:val="56"/>
              <w:bidi w:val="0"/>
              <w:rPr>
                <w:rFonts w:hint="eastAsia"/>
                <w:color w:val="000000" w:themeColor="text1"/>
                <w:highlight w:val="none"/>
                <w14:textFill>
                  <w14:solidFill>
                    <w14:schemeClr w14:val="tx1"/>
                  </w14:solidFill>
                </w14:textFill>
              </w:rPr>
            </w:pPr>
          </w:p>
        </w:tc>
      </w:tr>
      <w:tr w14:paraId="01C5F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B954">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121F">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8D6FC">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A2E5">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17856">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6981">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1F09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C6724">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ED799">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42B9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33E0">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55.38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E169">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6AB0">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5A7E">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34.38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454E">
            <w:pPr>
              <w:pStyle w:val="56"/>
              <w:bidi w:val="0"/>
              <w:rPr>
                <w:rFonts w:hint="eastAsia"/>
                <w:color w:val="000000" w:themeColor="text1"/>
                <w:highlight w:val="none"/>
                <w14:textFill>
                  <w14:solidFill>
                    <w14:schemeClr w14:val="tx1"/>
                  </w14:solidFill>
                </w14:textFill>
              </w:rPr>
            </w:pPr>
          </w:p>
        </w:tc>
      </w:tr>
      <w:tr w14:paraId="19936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9AE1C">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E2108">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84E1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C01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3EA16">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D5C9D">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CE1E1">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7A0CA">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p w14:paraId="6F76550B">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405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673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3A350">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320A">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53E6">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C02A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C461">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070F8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9D8AC">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C53F">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01EA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0212C">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E6C63">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87980">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8695">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EADA">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AD3B">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8E36D">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D43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54.69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CFF9">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FDCB1">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BB162">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33.69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23F3">
            <w:pPr>
              <w:pStyle w:val="56"/>
              <w:bidi w:val="0"/>
              <w:rPr>
                <w:rFonts w:hint="eastAsia"/>
                <w:color w:val="000000" w:themeColor="text1"/>
                <w:highlight w:val="none"/>
                <w14:textFill>
                  <w14:solidFill>
                    <w14:schemeClr w14:val="tx1"/>
                  </w14:solidFill>
                </w14:textFill>
              </w:rPr>
            </w:pPr>
          </w:p>
        </w:tc>
      </w:tr>
      <w:tr w14:paraId="1A8BE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1A96">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AF428">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5B4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818D">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83E2">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19489">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2ADA0">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2CF45">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E967">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1D86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0EC4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5AB17">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206AD">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857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B0F9">
            <w:pPr>
              <w:pStyle w:val="56"/>
              <w:bidi w:val="0"/>
              <w:rPr>
                <w:rFonts w:hint="eastAsia"/>
                <w:color w:val="000000" w:themeColor="text1"/>
                <w:highlight w:val="none"/>
                <w14:textFill>
                  <w14:solidFill>
                    <w14:schemeClr w14:val="tx1"/>
                  </w14:solidFill>
                </w14:textFill>
              </w:rPr>
            </w:pPr>
          </w:p>
        </w:tc>
      </w:tr>
      <w:tr w14:paraId="6F9E1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7CDCC">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CEBF">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017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CBAD">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3AF3">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BC04">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8884">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4704E">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701E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F25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BAF9E">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55.85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5ECE">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2D56">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795F">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34.85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AFD89">
            <w:pPr>
              <w:pStyle w:val="56"/>
              <w:bidi w:val="0"/>
              <w:rPr>
                <w:rFonts w:hint="eastAsia"/>
                <w:color w:val="000000" w:themeColor="text1"/>
                <w:highlight w:val="none"/>
                <w14:textFill>
                  <w14:solidFill>
                    <w14:schemeClr w14:val="tx1"/>
                  </w14:solidFill>
                </w14:textFill>
              </w:rPr>
            </w:pPr>
          </w:p>
        </w:tc>
      </w:tr>
      <w:tr w14:paraId="1DE4F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5BA9">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AD3C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7831A">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0BBBC">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2708">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96695">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8E189">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8FC63">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p w14:paraId="1213342E">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FE20">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268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68EBD">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02C4">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84EC4">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0E23">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2F4B">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3F70E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B37E2">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6B0CB">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7791">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53C61">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6FB1B">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842E4">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0849C">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99B62">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BAC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7B2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5B20D">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54.32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07088">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67A0">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EC1F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33.32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B839">
            <w:pPr>
              <w:pStyle w:val="56"/>
              <w:bidi w:val="0"/>
              <w:rPr>
                <w:rFonts w:hint="eastAsia"/>
                <w:color w:val="000000" w:themeColor="text1"/>
                <w:highlight w:val="none"/>
                <w14:textFill>
                  <w14:solidFill>
                    <w14:schemeClr w14:val="tx1"/>
                  </w14:solidFill>
                </w14:textFill>
              </w:rPr>
            </w:pPr>
          </w:p>
        </w:tc>
      </w:tr>
      <w:tr w14:paraId="70E1F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FF0D">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09F0">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BB5B">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CF58">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A564">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D4D2">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17B3A">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8DC45">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075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3265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154A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4371">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ED66">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62A7D">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E5782">
            <w:pPr>
              <w:pStyle w:val="56"/>
              <w:bidi w:val="0"/>
              <w:rPr>
                <w:rFonts w:hint="eastAsia"/>
                <w:color w:val="000000" w:themeColor="text1"/>
                <w:highlight w:val="none"/>
                <w14:textFill>
                  <w14:solidFill>
                    <w14:schemeClr w14:val="tx1"/>
                  </w14:solidFill>
                </w14:textFill>
              </w:rPr>
            </w:pPr>
          </w:p>
        </w:tc>
      </w:tr>
      <w:tr w14:paraId="1E892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1ED80">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B29D">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F1E6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EA00">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BBCA">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3149A">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376F">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E4FCE">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CA8FB">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EDA6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7D8C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56.38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A4D0">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A6AF">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C8281">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35.38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E668">
            <w:pPr>
              <w:pStyle w:val="56"/>
              <w:bidi w:val="0"/>
              <w:rPr>
                <w:rFonts w:hint="eastAsia"/>
                <w:color w:val="000000" w:themeColor="text1"/>
                <w:highlight w:val="none"/>
                <w14:textFill>
                  <w14:solidFill>
                    <w14:schemeClr w14:val="tx1"/>
                  </w14:solidFill>
                </w14:textFill>
              </w:rPr>
            </w:pPr>
          </w:p>
        </w:tc>
      </w:tr>
      <w:tr w14:paraId="761E5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8E6EC">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0A603">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D26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滚筒洗衣机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795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15EEB">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96FAA">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A4A9">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EDFB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BD2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254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D2C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61.55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307D">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212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430E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40.55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EA3D0">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0D76C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266BA">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77CB">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16EC">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B237C">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756C0">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31A3">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7A2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45E0">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BB44B">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139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40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2D8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B7D64">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1E540">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E23D7">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2D80B">
            <w:pPr>
              <w:pStyle w:val="56"/>
              <w:bidi w:val="0"/>
              <w:rPr>
                <w:rFonts w:hint="eastAsia"/>
                <w:color w:val="000000" w:themeColor="text1"/>
                <w:highlight w:val="none"/>
                <w14:textFill>
                  <w14:solidFill>
                    <w14:schemeClr w14:val="tx1"/>
                  </w14:solidFill>
                </w14:textFill>
              </w:rPr>
            </w:pPr>
          </w:p>
        </w:tc>
      </w:tr>
      <w:tr w14:paraId="6F929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9B74">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0183">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B0A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4B61">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B0E9E">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9035">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C0C0">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5FFC">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D10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A19B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FB71">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58.86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764E">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2299">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0B18B">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37.86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DE52">
            <w:pPr>
              <w:pStyle w:val="56"/>
              <w:bidi w:val="0"/>
              <w:rPr>
                <w:rFonts w:hint="eastAsia"/>
                <w:color w:val="000000" w:themeColor="text1"/>
                <w:highlight w:val="none"/>
                <w14:textFill>
                  <w14:solidFill>
                    <w14:schemeClr w14:val="tx1"/>
                  </w14:solidFill>
                </w14:textFill>
              </w:rPr>
            </w:pPr>
          </w:p>
        </w:tc>
      </w:tr>
      <w:tr w14:paraId="55DC7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085B">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6675">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B610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F3307">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E6B0F">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05DB1">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4E39">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6BDC8">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56ED">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491F">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F5EF">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56.99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C4007">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C1E0">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54EC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35.99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BABCF">
            <w:pPr>
              <w:pStyle w:val="56"/>
              <w:bidi w:val="0"/>
              <w:rPr>
                <w:rFonts w:hint="eastAsia"/>
                <w:color w:val="000000" w:themeColor="text1"/>
                <w:highlight w:val="none"/>
                <w14:textFill>
                  <w14:solidFill>
                    <w14:schemeClr w14:val="tx1"/>
                  </w14:solidFill>
                </w14:textFill>
              </w:rPr>
            </w:pPr>
          </w:p>
        </w:tc>
      </w:tr>
      <w:tr w14:paraId="3A46C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5358">
            <w:pPr>
              <w:pStyle w:val="56"/>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E6E6">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D954D">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99F7">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188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37A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D8A17">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6793D">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A7FA3">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4CE4A">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3FCE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AB44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BBD38">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271BD">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A1BE">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3031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9C11">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5715">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6F3F">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975B1">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0226">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178AF">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32A9D">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12E9">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E0EE5">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A59D">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12367">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48.24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7BA1">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3450">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3B9E4">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27.24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FA2E">
            <w:pPr>
              <w:pStyle w:val="56"/>
              <w:bidi w:val="0"/>
              <w:rPr>
                <w:rFonts w:hint="eastAsia"/>
                <w:color w:val="000000" w:themeColor="text1"/>
                <w:highlight w:val="none"/>
                <w14:textFill>
                  <w14:solidFill>
                    <w14:schemeClr w14:val="tx1"/>
                  </w14:solidFill>
                </w14:textFill>
              </w:rPr>
            </w:pPr>
          </w:p>
        </w:tc>
      </w:tr>
      <w:tr w14:paraId="0CB1D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5709">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2980D">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6C57">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454C8">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F9AB">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FF67">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5014">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ACBAA">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5C0F">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8ABE">
            <w:pPr>
              <w:keepNext w:val="0"/>
              <w:keepLines w:val="0"/>
              <w:widowControl/>
              <w:suppressLineNumbers w:val="0"/>
              <w:jc w:val="center"/>
              <w:textAlignment w:val="center"/>
              <w:rPr>
                <w:rFonts w:hint="eastAsia"/>
                <w:color w:val="000000" w:themeColor="text1"/>
                <w:highlight w:val="none"/>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ED84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CA54B">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4C336">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C6C4">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6274">
            <w:pPr>
              <w:pStyle w:val="56"/>
              <w:bidi w:val="0"/>
              <w:rPr>
                <w:rFonts w:hint="eastAsia"/>
                <w:color w:val="000000" w:themeColor="text1"/>
                <w:highlight w:val="none"/>
                <w14:textFill>
                  <w14:solidFill>
                    <w14:schemeClr w14:val="tx1"/>
                  </w14:solidFill>
                </w14:textFill>
              </w:rPr>
            </w:pPr>
          </w:p>
        </w:tc>
      </w:tr>
      <w:tr w14:paraId="66D81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C507C">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192E">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3A19A">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4152F">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FFB3">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449C">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114B">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3E70D">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BF91">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6160A">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45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11D5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43.47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DE0F8">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3F90A">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6153">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22.47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BC462">
            <w:pPr>
              <w:pStyle w:val="56"/>
              <w:bidi w:val="0"/>
              <w:rPr>
                <w:rFonts w:hint="eastAsia"/>
                <w:color w:val="000000" w:themeColor="text1"/>
                <w:highlight w:val="none"/>
                <w14:textFill>
                  <w14:solidFill>
                    <w14:schemeClr w14:val="tx1"/>
                  </w14:solidFill>
                </w14:textFill>
              </w:rPr>
            </w:pPr>
          </w:p>
        </w:tc>
      </w:tr>
      <w:tr w14:paraId="71AC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A49B9">
            <w:pPr>
              <w:pStyle w:val="56"/>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AC89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6AC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BB265">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7039">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AF9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0E3E">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5644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C1BF7">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A0E1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14B4">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56EE">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F5A9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9C7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C4840">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4ACBE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3AE8">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D3F64">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A8B7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B02FD">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7889">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F2B9">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027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52278">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85D2">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777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7F7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47.70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FBC69">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2615E">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0742">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26.70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D51F1">
            <w:pPr>
              <w:pStyle w:val="56"/>
              <w:bidi w:val="0"/>
              <w:rPr>
                <w:rFonts w:hint="eastAsia"/>
                <w:color w:val="000000" w:themeColor="text1"/>
                <w:highlight w:val="none"/>
                <w14:textFill>
                  <w14:solidFill>
                    <w14:schemeClr w14:val="tx1"/>
                  </w14:solidFill>
                </w14:textFill>
              </w:rPr>
            </w:pPr>
          </w:p>
        </w:tc>
      </w:tr>
      <w:tr w14:paraId="620EA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F9CE">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E56A">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06C7D">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2778">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FFC6A">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C5DA">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C3D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A109A">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393B">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8D435">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7394">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10BB2">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2B0FB">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E833">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9543">
            <w:pPr>
              <w:pStyle w:val="56"/>
              <w:bidi w:val="0"/>
              <w:rPr>
                <w:rFonts w:hint="eastAsia"/>
                <w:color w:val="000000" w:themeColor="text1"/>
                <w:highlight w:val="none"/>
                <w14:textFill>
                  <w14:solidFill>
                    <w14:schemeClr w14:val="tx1"/>
                  </w14:solidFill>
                </w14:textFill>
              </w:rPr>
            </w:pPr>
          </w:p>
        </w:tc>
      </w:tr>
      <w:tr w14:paraId="7F9E3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C276B">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29850">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25B80">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588B">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9886">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5536E">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E794B">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48F7">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5F08C">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09F0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43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94E70">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43.67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4BD8">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DD1AC">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901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22.67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E6BD">
            <w:pPr>
              <w:pStyle w:val="56"/>
              <w:bidi w:val="0"/>
              <w:rPr>
                <w:rFonts w:hint="eastAsia"/>
                <w:color w:val="000000" w:themeColor="text1"/>
                <w:highlight w:val="none"/>
                <w14:textFill>
                  <w14:solidFill>
                    <w14:schemeClr w14:val="tx1"/>
                  </w14:solidFill>
                </w14:textFill>
              </w:rPr>
            </w:pPr>
          </w:p>
        </w:tc>
      </w:tr>
      <w:tr w14:paraId="7D253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11C66">
            <w:pPr>
              <w:pStyle w:val="56"/>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8311C">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B966C">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56763">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F46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78A7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119E8">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343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FE0E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B0A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64D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824A">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65C14">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6311">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60B7C">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3490D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BD2C">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BD97">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CEA05">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AD3B">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C91D1">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F44C">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FABA">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BCAB4">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59E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6821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C15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47.21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EA167">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9FFAE">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C80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26.21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C1B2">
            <w:pPr>
              <w:pStyle w:val="56"/>
              <w:bidi w:val="0"/>
              <w:rPr>
                <w:rFonts w:hint="eastAsia"/>
                <w:color w:val="000000" w:themeColor="text1"/>
                <w:highlight w:val="none"/>
                <w14:textFill>
                  <w14:solidFill>
                    <w14:schemeClr w14:val="tx1"/>
                  </w14:solidFill>
                </w14:textFill>
              </w:rPr>
            </w:pPr>
          </w:p>
        </w:tc>
      </w:tr>
      <w:tr w14:paraId="42734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3110">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89306">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2DE0A">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0FC5F">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9AF4">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A267B">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F11D6">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0CB9">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C1C02">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D726">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A15C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8EA2">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E84E">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0A2E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B38F">
            <w:pPr>
              <w:pStyle w:val="56"/>
              <w:bidi w:val="0"/>
              <w:rPr>
                <w:rFonts w:hint="eastAsia"/>
                <w:color w:val="000000" w:themeColor="text1"/>
                <w:highlight w:val="none"/>
                <w14:textFill>
                  <w14:solidFill>
                    <w14:schemeClr w14:val="tx1"/>
                  </w14:solidFill>
                </w14:textFill>
              </w:rPr>
            </w:pPr>
          </w:p>
        </w:tc>
      </w:tr>
      <w:tr w14:paraId="1FA59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1065">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E0A31">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C8A36">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E19F">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FDCC">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5494">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7F0A">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A758">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3F12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876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41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D4A4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43.87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91060">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F1C2">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9B0B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22.87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099EE">
            <w:pPr>
              <w:pStyle w:val="56"/>
              <w:bidi w:val="0"/>
              <w:rPr>
                <w:rFonts w:hint="eastAsia"/>
                <w:color w:val="000000" w:themeColor="text1"/>
                <w:highlight w:val="none"/>
                <w14:textFill>
                  <w14:solidFill>
                    <w14:schemeClr w14:val="tx1"/>
                  </w14:solidFill>
                </w14:textFill>
              </w:rPr>
            </w:pPr>
          </w:p>
        </w:tc>
      </w:tr>
      <w:tr w14:paraId="6491C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7410F">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p w14:paraId="4E62AE8B">
            <w:pPr>
              <w:pStyle w:val="56"/>
              <w:bidi w:val="0"/>
              <w:rPr>
                <w:rFonts w:hint="eastAsia"/>
                <w:color w:val="000000" w:themeColor="text1"/>
                <w:highlight w:val="none"/>
                <w14:textFill>
                  <w14:solidFill>
                    <w14:schemeClr w14:val="tx1"/>
                  </w14:solidFill>
                </w14:textFill>
              </w:rPr>
            </w:pP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C68A9">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32583">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p w14:paraId="6886F75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411C">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p w14:paraId="3112CE39">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03BED">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4B051">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9C66">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43042">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p w14:paraId="7780FA7F">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CFF9">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0D2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22C5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D0C35">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5CD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C1BB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6E11">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E13D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42EC">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3258C">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A7E0">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F0E7A">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1372">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3596">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3FAB">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422B">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F6F4D">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F7E5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C542D">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46.78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5138">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3735">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7B19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25.78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2863">
            <w:pPr>
              <w:pStyle w:val="56"/>
              <w:bidi w:val="0"/>
              <w:rPr>
                <w:rFonts w:hint="eastAsia"/>
                <w:color w:val="000000" w:themeColor="text1"/>
                <w:highlight w:val="none"/>
                <w14:textFill>
                  <w14:solidFill>
                    <w14:schemeClr w14:val="tx1"/>
                  </w14:solidFill>
                </w14:textFill>
              </w:rPr>
            </w:pPr>
          </w:p>
        </w:tc>
      </w:tr>
      <w:tr w14:paraId="5F1AB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78EBF">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AA8BF">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10FA0">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8AC88">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F64E2">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367B">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F59C">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9F2C4">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FBED3">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6B35">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149D">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702D5">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90F4">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7CE57">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DF94F">
            <w:pPr>
              <w:pStyle w:val="56"/>
              <w:bidi w:val="0"/>
              <w:rPr>
                <w:rFonts w:hint="eastAsia"/>
                <w:color w:val="000000" w:themeColor="text1"/>
                <w:highlight w:val="none"/>
                <w14:textFill>
                  <w14:solidFill>
                    <w14:schemeClr w14:val="tx1"/>
                  </w14:solidFill>
                </w14:textFill>
              </w:rPr>
            </w:pPr>
          </w:p>
        </w:tc>
      </w:tr>
      <w:tr w14:paraId="679E9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E41D1">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CF75">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D79B5">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24B28">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8146">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1E57">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D3B3">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9C019">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19C2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55F3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911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44.09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22DD8">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DFAA">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8A03F">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23.09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17F35">
            <w:pPr>
              <w:pStyle w:val="56"/>
              <w:bidi w:val="0"/>
              <w:rPr>
                <w:rFonts w:hint="eastAsia"/>
                <w:color w:val="000000" w:themeColor="text1"/>
                <w:highlight w:val="none"/>
                <w14:textFill>
                  <w14:solidFill>
                    <w14:schemeClr w14:val="tx1"/>
                  </w14:solidFill>
                </w14:textFill>
              </w:rPr>
            </w:pPr>
          </w:p>
        </w:tc>
      </w:tr>
      <w:tr w14:paraId="248C6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DEAF">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w:t>
            </w:r>
          </w:p>
          <w:p w14:paraId="5B8BC747">
            <w:pPr>
              <w:pStyle w:val="56"/>
              <w:bidi w:val="0"/>
              <w:rPr>
                <w:rFonts w:hint="eastAsia"/>
                <w:color w:val="000000" w:themeColor="text1"/>
                <w:highlight w:val="none"/>
                <w14:textFill>
                  <w14:solidFill>
                    <w14:schemeClr w14:val="tx1"/>
                  </w14:solidFill>
                </w14:textFill>
              </w:rPr>
            </w:pP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9224B">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AE3A9">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p w14:paraId="66C1659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F8404">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p w14:paraId="76D35DD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5219">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22FC1">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AACEF">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7AC2">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p w14:paraId="330B1FDD">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6479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AF5F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E10B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FE18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54BE">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048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AECD0">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5976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0EEF5">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F5003">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D111">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5D240">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221BC">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98A7">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11C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7235C">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C4DB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1C1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5AE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46.38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8922">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CD08">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A18A3">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25.38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213CC">
            <w:pPr>
              <w:pStyle w:val="56"/>
              <w:bidi w:val="0"/>
              <w:rPr>
                <w:rFonts w:hint="eastAsia"/>
                <w:color w:val="000000" w:themeColor="text1"/>
                <w:highlight w:val="none"/>
                <w14:textFill>
                  <w14:solidFill>
                    <w14:schemeClr w14:val="tx1"/>
                  </w14:solidFill>
                </w14:textFill>
              </w:rPr>
            </w:pPr>
          </w:p>
        </w:tc>
      </w:tr>
      <w:tr w14:paraId="3D4F1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39C6F">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0AF18">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0913">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FFC7">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3404B">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9EBB3">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9D21">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F2FA">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1020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623E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44A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5070C">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F4C8">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4A08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ECF31">
            <w:pPr>
              <w:pStyle w:val="56"/>
              <w:bidi w:val="0"/>
              <w:rPr>
                <w:rFonts w:hint="eastAsia"/>
                <w:color w:val="000000" w:themeColor="text1"/>
                <w:highlight w:val="none"/>
                <w14:textFill>
                  <w14:solidFill>
                    <w14:schemeClr w14:val="tx1"/>
                  </w14:solidFill>
                </w14:textFill>
              </w:rPr>
            </w:pPr>
          </w:p>
        </w:tc>
      </w:tr>
      <w:tr w14:paraId="53D15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F70F3">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8CDD">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51CD">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7AE9">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D462B">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C3093">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08CD">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F0C0C">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00ED">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2819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9B4B">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44.32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1933B">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12645">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DCDE3">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23.32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928C0">
            <w:pPr>
              <w:pStyle w:val="56"/>
              <w:bidi w:val="0"/>
              <w:rPr>
                <w:rFonts w:hint="eastAsia"/>
                <w:color w:val="000000" w:themeColor="text1"/>
                <w:highlight w:val="none"/>
                <w14:textFill>
                  <w14:solidFill>
                    <w14:schemeClr w14:val="tx1"/>
                  </w14:solidFill>
                </w14:textFill>
              </w:rPr>
            </w:pPr>
          </w:p>
        </w:tc>
      </w:tr>
      <w:tr w14:paraId="1565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4F583">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w:t>
            </w:r>
          </w:p>
          <w:p w14:paraId="6447166A">
            <w:pPr>
              <w:pStyle w:val="56"/>
              <w:bidi w:val="0"/>
              <w:rPr>
                <w:rFonts w:hint="eastAsia"/>
                <w:color w:val="000000" w:themeColor="text1"/>
                <w:highlight w:val="none"/>
                <w14:textFill>
                  <w14:solidFill>
                    <w14:schemeClr w14:val="tx1"/>
                  </w14:solidFill>
                </w14:textFill>
              </w:rPr>
            </w:pP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E3BA">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8AC7">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9BAA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E867E">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666CF">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55DA">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A44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9505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1B3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4FB8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6B0C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EEF8">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43D9B">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1F345">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7A18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E10C">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2FF7B">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F5B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1504E">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C459">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271C4">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E8F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A0305">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4C3B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DE58">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C798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46.02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B9870">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4146A">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6D9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25.02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153C">
            <w:pPr>
              <w:pStyle w:val="56"/>
              <w:bidi w:val="0"/>
              <w:rPr>
                <w:rFonts w:hint="eastAsia"/>
                <w:color w:val="000000" w:themeColor="text1"/>
                <w:highlight w:val="none"/>
                <w14:textFill>
                  <w14:solidFill>
                    <w14:schemeClr w14:val="tx1"/>
                  </w14:solidFill>
                </w14:textFill>
              </w:rPr>
            </w:pPr>
          </w:p>
        </w:tc>
      </w:tr>
      <w:tr w14:paraId="19D76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BB88">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8721">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B227">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36E96">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1E03F">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9ADC">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3662">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03C79">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F228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A75A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93C7">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4816">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CBD2E">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6BCB">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69CB">
            <w:pPr>
              <w:pStyle w:val="56"/>
              <w:bidi w:val="0"/>
              <w:rPr>
                <w:rFonts w:hint="eastAsia"/>
                <w:color w:val="000000" w:themeColor="text1"/>
                <w:highlight w:val="none"/>
                <w14:textFill>
                  <w14:solidFill>
                    <w14:schemeClr w14:val="tx1"/>
                  </w14:solidFill>
                </w14:textFill>
              </w:rPr>
            </w:pPr>
          </w:p>
        </w:tc>
      </w:tr>
      <w:tr w14:paraId="5C60A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21E4A">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18D0">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D088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2276A">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C6D80">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C5C1">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8ECF2">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34CF">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7837">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A7EB5">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60CF7">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44.56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503A">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64A2">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8073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23.56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F434D">
            <w:pPr>
              <w:pStyle w:val="56"/>
              <w:bidi w:val="0"/>
              <w:rPr>
                <w:rFonts w:hint="eastAsia"/>
                <w:color w:val="000000" w:themeColor="text1"/>
                <w:highlight w:val="none"/>
                <w14:textFill>
                  <w14:solidFill>
                    <w14:schemeClr w14:val="tx1"/>
                  </w14:solidFill>
                </w14:textFill>
              </w:rPr>
            </w:pPr>
          </w:p>
        </w:tc>
      </w:tr>
      <w:tr w14:paraId="51510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18B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A2B95">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ED55">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p w14:paraId="59CECB8D">
            <w:pPr>
              <w:pStyle w:val="56"/>
              <w:bidi w:val="0"/>
              <w:rPr>
                <w:rFonts w:hint="default"/>
                <w:color w:val="000000" w:themeColor="text1"/>
                <w:highlight w:val="none"/>
                <w:lang w:val="en-US"/>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B835A">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p w14:paraId="2227F5BC">
            <w:pPr>
              <w:pStyle w:val="56"/>
              <w:bidi w:val="0"/>
              <w:rPr>
                <w:rFonts w:hint="eastAsia"/>
                <w:color w:val="000000" w:themeColor="text1"/>
                <w:highlight w:val="none"/>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F87B">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3F76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1C6C2">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461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7691">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A940B">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526B">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218B1">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F4B9">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7E7D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385B6">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4D3AA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A7E13">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3B1D8">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CD18">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3453">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216A">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45AC">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4BA6F">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9F072">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CF1F0">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92F2">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6D5F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45.69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7A1FF">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378E1">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37B2">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24.69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C7F30">
            <w:pPr>
              <w:pStyle w:val="56"/>
              <w:bidi w:val="0"/>
              <w:rPr>
                <w:rFonts w:hint="eastAsia"/>
                <w:color w:val="000000" w:themeColor="text1"/>
                <w:highlight w:val="none"/>
                <w14:textFill>
                  <w14:solidFill>
                    <w14:schemeClr w14:val="tx1"/>
                  </w14:solidFill>
                </w14:textFill>
              </w:rPr>
            </w:pPr>
          </w:p>
        </w:tc>
      </w:tr>
      <w:tr w14:paraId="3454C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E96D">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9FE5F">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B83F">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76452">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F4C5D">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590A">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2720">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EF599">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07A98">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F1584">
            <w:pPr>
              <w:keepNext w:val="0"/>
              <w:keepLines w:val="0"/>
              <w:widowControl/>
              <w:suppressLineNumbers w:val="0"/>
              <w:jc w:val="center"/>
              <w:textAlignment w:val="center"/>
              <w:rPr>
                <w:rFonts w:hint="eastAsia"/>
                <w:color w:val="000000" w:themeColor="text1"/>
                <w:highlight w:val="none"/>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604D">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4E1C">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A582">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D570">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2B9EF">
            <w:pPr>
              <w:pStyle w:val="56"/>
              <w:bidi w:val="0"/>
              <w:rPr>
                <w:rFonts w:hint="eastAsia"/>
                <w:color w:val="000000" w:themeColor="text1"/>
                <w:highlight w:val="none"/>
                <w14:textFill>
                  <w14:solidFill>
                    <w14:schemeClr w14:val="tx1"/>
                  </w14:solidFill>
                </w14:textFill>
              </w:rPr>
            </w:pPr>
          </w:p>
        </w:tc>
      </w:tr>
      <w:tr w14:paraId="56393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F2455">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CE70">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C2E5">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45B8">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FE6C">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2EB6B">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AA19">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FA05">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2839">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6354">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24510">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44.81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8728F">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D1021">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FFD1F">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23.81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B085">
            <w:pPr>
              <w:pStyle w:val="56"/>
              <w:bidi w:val="0"/>
              <w:rPr>
                <w:rFonts w:hint="eastAsia"/>
                <w:color w:val="000000" w:themeColor="text1"/>
                <w:highlight w:val="none"/>
                <w14:textFill>
                  <w14:solidFill>
                    <w14:schemeClr w14:val="tx1"/>
                  </w14:solidFill>
                </w14:textFill>
              </w:rPr>
            </w:pPr>
          </w:p>
        </w:tc>
      </w:tr>
      <w:tr w14:paraId="48F3C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113E">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DC13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D499">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p w14:paraId="0EC8625D">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EA974">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p w14:paraId="2DCB14F5">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B9108">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307FA">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ABCEF">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45B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D1A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523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F12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0F05">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0586">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3467">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2CC4">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457F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DB4BF">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FED9">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544D8">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0FD7C">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BAFC9">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D519">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80F38">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BED68">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6CCD8">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4AE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544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38755">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3D54A">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F08F">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BB84F">
            <w:pPr>
              <w:pStyle w:val="56"/>
              <w:bidi w:val="0"/>
              <w:rPr>
                <w:rFonts w:hint="eastAsia"/>
                <w:color w:val="000000" w:themeColor="text1"/>
                <w:highlight w:val="none"/>
                <w14:textFill>
                  <w14:solidFill>
                    <w14:schemeClr w14:val="tx1"/>
                  </w14:solidFill>
                </w14:textFill>
              </w:rPr>
            </w:pPr>
          </w:p>
        </w:tc>
      </w:tr>
      <w:tr w14:paraId="5F6BA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39195">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6D3D">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BD40">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7E3F">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7ED3F">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8FA0">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84DD">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6EF6">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E3E2">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0F4CC">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F5E6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5D56">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DEC1F">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9148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E8CF">
            <w:pPr>
              <w:pStyle w:val="56"/>
              <w:bidi w:val="0"/>
              <w:rPr>
                <w:rFonts w:hint="eastAsia"/>
                <w:color w:val="000000" w:themeColor="text1"/>
                <w:highlight w:val="none"/>
                <w14:textFill>
                  <w14:solidFill>
                    <w14:schemeClr w14:val="tx1"/>
                  </w14:solidFill>
                </w14:textFill>
              </w:rPr>
            </w:pPr>
          </w:p>
        </w:tc>
      </w:tr>
      <w:tr w14:paraId="6AEC3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582D">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A12E">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D261">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5093">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D416E">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0A68">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2D08">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74779">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01E87">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7476">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554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45.09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A4F08">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B3FBC">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08A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24.09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9E05">
            <w:pPr>
              <w:pStyle w:val="56"/>
              <w:bidi w:val="0"/>
              <w:rPr>
                <w:rFonts w:hint="eastAsia"/>
                <w:color w:val="000000" w:themeColor="text1"/>
                <w:highlight w:val="none"/>
                <w14:textFill>
                  <w14:solidFill>
                    <w14:schemeClr w14:val="tx1"/>
                  </w14:solidFill>
                </w14:textFill>
              </w:rPr>
            </w:pPr>
          </w:p>
        </w:tc>
      </w:tr>
      <w:tr w14:paraId="4D169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70F8B">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6D1C0">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F60CC">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2402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865E0">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E978">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7CEE1">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2086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33972">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3A74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8763">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64F5">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021D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6C1F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0E1D8">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414EB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7B32">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35E42">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8EE1A">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19DB9">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9CEB">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0664E">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F9361">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C8E4">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09C8">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032A">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420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45.09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9B835">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B41D">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F9E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24.09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4610D">
            <w:pPr>
              <w:pStyle w:val="56"/>
              <w:bidi w:val="0"/>
              <w:rPr>
                <w:rFonts w:hint="eastAsia"/>
                <w:color w:val="000000" w:themeColor="text1"/>
                <w:highlight w:val="none"/>
                <w14:textFill>
                  <w14:solidFill>
                    <w14:schemeClr w14:val="tx1"/>
                  </w14:solidFill>
                </w14:textFill>
              </w:rPr>
            </w:pPr>
          </w:p>
        </w:tc>
      </w:tr>
      <w:tr w14:paraId="4DCCF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46C5">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B5C8">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349F">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2BFE">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B249">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26AB9">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5341">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F945">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9950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C2D8">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80A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B012">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052B0">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E78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3B965">
            <w:pPr>
              <w:pStyle w:val="56"/>
              <w:bidi w:val="0"/>
              <w:rPr>
                <w:rFonts w:hint="eastAsia"/>
                <w:color w:val="000000" w:themeColor="text1"/>
                <w:highlight w:val="none"/>
                <w14:textFill>
                  <w14:solidFill>
                    <w14:schemeClr w14:val="tx1"/>
                  </w14:solidFill>
                </w14:textFill>
              </w:rPr>
            </w:pPr>
          </w:p>
        </w:tc>
      </w:tr>
      <w:tr w14:paraId="67561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085C7">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113A1">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A35EC">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A829">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003D">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1735">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5271">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39737">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CE8C0">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6D3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05C4">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DE34">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DE042">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A3E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C47F">
            <w:pPr>
              <w:pStyle w:val="56"/>
              <w:bidi w:val="0"/>
              <w:rPr>
                <w:rFonts w:hint="eastAsia"/>
                <w:color w:val="000000" w:themeColor="text1"/>
                <w:highlight w:val="none"/>
                <w14:textFill>
                  <w14:solidFill>
                    <w14:schemeClr w14:val="tx1"/>
                  </w14:solidFill>
                </w14:textFill>
              </w:rPr>
            </w:pPr>
          </w:p>
        </w:tc>
      </w:tr>
      <w:tr w14:paraId="1CB7B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1C9F">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06DF7">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45BC6">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p w14:paraId="6CEC6212">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237FD">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p w14:paraId="34D6622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E23D">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6DB8">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BBAB">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61A4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p w14:paraId="6CB0F5D2">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7F6E7">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02FF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F31B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13D97">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91D57">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ACC11">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4B2E7">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1B3F9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6638">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F779">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768F">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E99BB">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FBCEB">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D107">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28A7">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3BF36">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383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FCC66">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A87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44.81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A0126">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BCAC6">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D9A4">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23.81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2C9A">
            <w:pPr>
              <w:pStyle w:val="56"/>
              <w:bidi w:val="0"/>
              <w:rPr>
                <w:rFonts w:hint="eastAsia"/>
                <w:color w:val="000000" w:themeColor="text1"/>
                <w:highlight w:val="none"/>
                <w14:textFill>
                  <w14:solidFill>
                    <w14:schemeClr w14:val="tx1"/>
                  </w14:solidFill>
                </w14:textFill>
              </w:rPr>
            </w:pPr>
          </w:p>
        </w:tc>
      </w:tr>
      <w:tr w14:paraId="56A9F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D149">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43A8A">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C1B1">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8F09">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96476">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BB7C">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205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1480">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EA28">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C1DE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E35DD">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F5AA">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EBF6">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ABDCE">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0E88B">
            <w:pPr>
              <w:pStyle w:val="56"/>
              <w:bidi w:val="0"/>
              <w:rPr>
                <w:rFonts w:hint="eastAsia"/>
                <w:color w:val="000000" w:themeColor="text1"/>
                <w:highlight w:val="none"/>
                <w14:textFill>
                  <w14:solidFill>
                    <w14:schemeClr w14:val="tx1"/>
                  </w14:solidFill>
                </w14:textFill>
              </w:rPr>
            </w:pPr>
          </w:p>
        </w:tc>
      </w:tr>
      <w:tr w14:paraId="15308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8C1DD">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5DAD">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BAA53">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2E8B">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44A0">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C8BC">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607C">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0A3A">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817A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6BB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EC2B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45.69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64F5">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DBE7E">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A53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24.69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416C">
            <w:pPr>
              <w:pStyle w:val="56"/>
              <w:bidi w:val="0"/>
              <w:rPr>
                <w:rFonts w:hint="eastAsia"/>
                <w:color w:val="000000" w:themeColor="text1"/>
                <w:highlight w:val="none"/>
                <w14:textFill>
                  <w14:solidFill>
                    <w14:schemeClr w14:val="tx1"/>
                  </w14:solidFill>
                </w14:textFill>
              </w:rPr>
            </w:pPr>
          </w:p>
        </w:tc>
      </w:tr>
      <w:tr w14:paraId="783DA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9AD85">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17</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FD0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C440">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p w14:paraId="69E9839B">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80A8">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p w14:paraId="541B125D">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8B4A">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7003">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0EF7">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67808">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p w14:paraId="4232E9FE">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7878">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FD4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D3B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F7DAC">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FEFA">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A7D90">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344BE">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71332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7062F">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6B74E">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16B9">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46BF">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3A7D7">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9D71">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80A80">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6A02">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88398">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BCE44">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F0D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44.56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270F">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338D">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A7ADE">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23.56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9EBC">
            <w:pPr>
              <w:pStyle w:val="56"/>
              <w:bidi w:val="0"/>
              <w:rPr>
                <w:rFonts w:hint="eastAsia"/>
                <w:color w:val="000000" w:themeColor="text1"/>
                <w:highlight w:val="none"/>
                <w14:textFill>
                  <w14:solidFill>
                    <w14:schemeClr w14:val="tx1"/>
                  </w14:solidFill>
                </w14:textFill>
              </w:rPr>
            </w:pPr>
          </w:p>
        </w:tc>
      </w:tr>
      <w:tr w14:paraId="467EA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9AD7">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81E2">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38CD">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6846">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80D50">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1320">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C665">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E295C">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DBDC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FE61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9C3F">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6563">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26851">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11D11">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F5FB9">
            <w:pPr>
              <w:pStyle w:val="56"/>
              <w:bidi w:val="0"/>
              <w:rPr>
                <w:rFonts w:hint="eastAsia"/>
                <w:color w:val="000000" w:themeColor="text1"/>
                <w:highlight w:val="none"/>
                <w14:textFill>
                  <w14:solidFill>
                    <w14:schemeClr w14:val="tx1"/>
                  </w14:solidFill>
                </w14:textFill>
              </w:rPr>
            </w:pPr>
          </w:p>
        </w:tc>
      </w:tr>
      <w:tr w14:paraId="787BD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ED6F4">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EE3D5">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335EC">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E6BF8">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7827D">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C6AE">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4729">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16FE5">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369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5E6E">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8403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46.02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53D36">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568D">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FEE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25.02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322B9">
            <w:pPr>
              <w:pStyle w:val="56"/>
              <w:bidi w:val="0"/>
              <w:rPr>
                <w:rFonts w:hint="eastAsia"/>
                <w:color w:val="000000" w:themeColor="text1"/>
                <w:highlight w:val="none"/>
                <w14:textFill>
                  <w14:solidFill>
                    <w14:schemeClr w14:val="tx1"/>
                  </w14:solidFill>
                </w14:textFill>
              </w:rPr>
            </w:pPr>
          </w:p>
        </w:tc>
      </w:tr>
      <w:tr w14:paraId="65C0F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9AB4">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5193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075D">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烘干机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A8B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35124">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2BAA">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14A97">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FBE1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3D28A">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F47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16</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4CE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D94FD">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1FA9">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009DB">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26.96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95A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11A02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B4DB">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5EF46">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9E016">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1D074">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0171">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A5851">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A5E66">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48702">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33DED">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80A79">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37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EDB4">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44.32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608C9">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2E1E">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C82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23.32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E56F2">
            <w:pPr>
              <w:pStyle w:val="56"/>
              <w:bidi w:val="0"/>
              <w:rPr>
                <w:rFonts w:hint="eastAsia"/>
                <w:color w:val="000000" w:themeColor="text1"/>
                <w:highlight w:val="none"/>
                <w14:textFill>
                  <w14:solidFill>
                    <w14:schemeClr w14:val="tx1"/>
                  </w14:solidFill>
                </w14:textFill>
              </w:rPr>
            </w:pPr>
          </w:p>
        </w:tc>
      </w:tr>
      <w:tr w14:paraId="331CB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53DE8">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B7208">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B9585">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C04D0">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80E31">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08BFA">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403B">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613C">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ABC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A6A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kern w:val="0"/>
                <w:sz w:val="21"/>
                <w:szCs w:val="21"/>
                <w:highlight w:val="none"/>
                <w:u w:val="none"/>
                <w:lang w:val="en-US" w:eastAsia="zh-CN" w:bidi="ar"/>
              </w:rPr>
              <w:t>4</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09D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A93A">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8B8D">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9A1F">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1DB3">
            <w:pPr>
              <w:pStyle w:val="56"/>
              <w:bidi w:val="0"/>
              <w:rPr>
                <w:rFonts w:hint="eastAsia"/>
                <w:color w:val="000000" w:themeColor="text1"/>
                <w:highlight w:val="none"/>
                <w14:textFill>
                  <w14:solidFill>
                    <w14:schemeClr w14:val="tx1"/>
                  </w14:solidFill>
                </w14:textFill>
              </w:rPr>
            </w:pPr>
          </w:p>
        </w:tc>
      </w:tr>
      <w:tr w14:paraId="33E71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47AE7">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820A">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E6F67">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C502">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84B7">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47B6">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16F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C03B">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0E426">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564E">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3D74">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46.38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226C7">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BED5">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338F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25.38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8B3B8">
            <w:pPr>
              <w:pStyle w:val="56"/>
              <w:bidi w:val="0"/>
              <w:rPr>
                <w:rFonts w:hint="eastAsia"/>
                <w:color w:val="000000" w:themeColor="text1"/>
                <w:highlight w:val="none"/>
                <w14:textFill>
                  <w14:solidFill>
                    <w14:schemeClr w14:val="tx1"/>
                  </w14:solidFill>
                </w14:textFill>
              </w:rPr>
            </w:pPr>
          </w:p>
        </w:tc>
      </w:tr>
      <w:tr w14:paraId="475CE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2B47">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19</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A68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0DAD">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反裤机</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251A">
            <w:pPr>
              <w:pStyle w:val="56"/>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B231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4F14">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55F1D">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5DD4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2A7C">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0871">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11</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3DC22">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49.59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80901">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17CD">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A7C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28.59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E56F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794E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2623">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49118">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D76B">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C418">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0544">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D603E">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8013">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32FD">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8A22">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D384">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0D8C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50.00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B75E1">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F299">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00AE">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29.00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E3C7B">
            <w:pPr>
              <w:pStyle w:val="56"/>
              <w:bidi w:val="0"/>
              <w:rPr>
                <w:rFonts w:hint="eastAsia"/>
                <w:color w:val="000000" w:themeColor="text1"/>
                <w:highlight w:val="none"/>
                <w14:textFill>
                  <w14:solidFill>
                    <w14:schemeClr w14:val="tx1"/>
                  </w14:solidFill>
                </w14:textFill>
              </w:rPr>
            </w:pPr>
          </w:p>
        </w:tc>
      </w:tr>
      <w:tr w14:paraId="0D27D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8D3B">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AD5F2">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4E4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68D6">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9F91A">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A12A">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BC75">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695EF">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FC68">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5C583">
            <w:pPr>
              <w:keepNext w:val="0"/>
              <w:keepLines w:val="0"/>
              <w:widowControl/>
              <w:suppressLineNumbers w:val="0"/>
              <w:jc w:val="center"/>
              <w:textAlignment w:val="center"/>
              <w:rPr>
                <w:rFonts w:hint="eastAsia"/>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9</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AE69">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50.46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B4EF">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B3E96">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C2F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29.46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325F">
            <w:pPr>
              <w:pStyle w:val="56"/>
              <w:bidi w:val="0"/>
              <w:rPr>
                <w:rFonts w:hint="eastAsia"/>
                <w:color w:val="000000" w:themeColor="text1"/>
                <w:highlight w:val="none"/>
                <w14:textFill>
                  <w14:solidFill>
                    <w14:schemeClr w14:val="tx1"/>
                  </w14:solidFill>
                </w14:textFill>
              </w:rPr>
            </w:pPr>
          </w:p>
        </w:tc>
      </w:tr>
      <w:tr w14:paraId="43E86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EEF4">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2AD2">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6435B">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E580">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A61EF">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83BD">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676EF">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52C2">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1047">
            <w:pPr>
              <w:pStyle w:val="56"/>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ECB3">
            <w:pPr>
              <w:keepNext w:val="0"/>
              <w:keepLines w:val="0"/>
              <w:widowControl/>
              <w:suppressLineNumbers w:val="0"/>
              <w:jc w:val="center"/>
              <w:textAlignment w:val="center"/>
              <w:rPr>
                <w:rFonts w:hint="default"/>
                <w:color w:val="000000" w:themeColor="text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40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6AE0">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34BF4">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C63E">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F9D2">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BFB52">
            <w:pPr>
              <w:pStyle w:val="56"/>
              <w:bidi w:val="0"/>
              <w:rPr>
                <w:rFonts w:hint="eastAsia"/>
                <w:color w:val="000000" w:themeColor="text1"/>
                <w:highlight w:val="none"/>
                <w14:textFill>
                  <w14:solidFill>
                    <w14:schemeClr w14:val="tx1"/>
                  </w14:solidFill>
                </w14:textFill>
              </w:rPr>
            </w:pPr>
          </w:p>
        </w:tc>
      </w:tr>
      <w:tr w14:paraId="56DED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088F">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62A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5EEC">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反裤机</w:t>
            </w:r>
          </w:p>
          <w:p w14:paraId="49E5C52B">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963CE">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p w14:paraId="2C746811">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0A795">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98CA">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22E4">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EAED4">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C5EC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F7B3F">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12</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CE06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49.21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CE2E">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4374">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BDB0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28.21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9C1F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9B30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6604B">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0D29">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A55AC">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4BDD">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79B5">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7A3E">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27BB">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5A3C">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7303">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72A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724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50.00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25E8">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CFAC6">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461A">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29.00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D23AB">
            <w:pPr>
              <w:pStyle w:val="56"/>
              <w:bidi w:val="0"/>
              <w:rPr>
                <w:rFonts w:hint="eastAsia"/>
                <w:color w:val="000000" w:themeColor="text1"/>
                <w:highlight w:val="none"/>
                <w14:textFill>
                  <w14:solidFill>
                    <w14:schemeClr w14:val="tx1"/>
                  </w14:solidFill>
                </w14:textFill>
              </w:rPr>
            </w:pPr>
          </w:p>
        </w:tc>
      </w:tr>
      <w:tr w14:paraId="016E7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DD464">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66D9">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709B">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7333B">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B7EDD">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21B9">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EFBB3">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BD12">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3700">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A6D0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8</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C4D2D">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50.97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FD767">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AFDDC">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1F8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29.97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7BB0">
            <w:pPr>
              <w:pStyle w:val="56"/>
              <w:bidi w:val="0"/>
              <w:rPr>
                <w:rFonts w:hint="eastAsia"/>
                <w:color w:val="000000" w:themeColor="text1"/>
                <w:highlight w:val="none"/>
                <w14:textFill>
                  <w14:solidFill>
                    <w14:schemeClr w14:val="tx1"/>
                  </w14:solidFill>
                </w14:textFill>
              </w:rPr>
            </w:pPr>
          </w:p>
        </w:tc>
      </w:tr>
      <w:tr w14:paraId="49D2D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795C7">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0617">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49AE">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BB1A2">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32CB3">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F90A4">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29A51">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8E7C">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219DC">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C415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40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DE8F">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04FDC">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3FF42">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50F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9762">
            <w:pPr>
              <w:pStyle w:val="56"/>
              <w:bidi w:val="0"/>
              <w:rPr>
                <w:rFonts w:hint="eastAsia"/>
                <w:color w:val="000000" w:themeColor="text1"/>
                <w:highlight w:val="none"/>
                <w14:textFill>
                  <w14:solidFill>
                    <w14:schemeClr w14:val="tx1"/>
                  </w14:solidFill>
                </w14:textFill>
              </w:rPr>
            </w:pPr>
          </w:p>
        </w:tc>
      </w:tr>
      <w:tr w14:paraId="20717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5695">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21</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5D80">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21F11">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反裤机</w:t>
            </w:r>
          </w:p>
          <w:p w14:paraId="6ECFEE3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A5E2">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p w14:paraId="0D55B00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32A8A">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A983C">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EEDF">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48FE">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AF42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20BA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13</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E49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48.86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3132F">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7CF2">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04B3">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27.86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9498">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48E51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680CC">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E2C3">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1A942">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B2521">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2947F">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2B6F1">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1632">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78FC8">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A60E">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80EC">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2E79F">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50.00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B9F5">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7567">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E220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29.00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8E5EB">
            <w:pPr>
              <w:pStyle w:val="56"/>
              <w:bidi w:val="0"/>
              <w:rPr>
                <w:rFonts w:hint="eastAsia"/>
                <w:color w:val="000000" w:themeColor="text1"/>
                <w:highlight w:val="none"/>
                <w14:textFill>
                  <w14:solidFill>
                    <w14:schemeClr w14:val="tx1"/>
                  </w14:solidFill>
                </w14:textFill>
              </w:rPr>
            </w:pPr>
          </w:p>
        </w:tc>
      </w:tr>
      <w:tr w14:paraId="13AD0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71015">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80882">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34A91">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002F7">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FE212">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C81F">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1781">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869EF">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FCBF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F265C">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D7EC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51.55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540F9">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30637">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85FD0">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30.55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1F0C8">
            <w:pPr>
              <w:pStyle w:val="56"/>
              <w:bidi w:val="0"/>
              <w:rPr>
                <w:rFonts w:hint="eastAsia"/>
                <w:color w:val="000000" w:themeColor="text1"/>
                <w:highlight w:val="none"/>
                <w14:textFill>
                  <w14:solidFill>
                    <w14:schemeClr w14:val="tx1"/>
                  </w14:solidFill>
                </w14:textFill>
              </w:rPr>
            </w:pPr>
          </w:p>
        </w:tc>
      </w:tr>
      <w:tr w14:paraId="7B47F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44CB">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8FCB">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0ED8">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96AF">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59DF">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ECEA0">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B36A">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607AE">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57B4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B590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40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1BE7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43.98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BA67">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006B">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01343">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22.98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E5C1">
            <w:pPr>
              <w:pStyle w:val="56"/>
              <w:bidi w:val="0"/>
              <w:rPr>
                <w:rFonts w:hint="eastAsia"/>
                <w:color w:val="000000" w:themeColor="text1"/>
                <w:highlight w:val="none"/>
                <w14:textFill>
                  <w14:solidFill>
                    <w14:schemeClr w14:val="tx1"/>
                  </w14:solidFill>
                </w14:textFill>
              </w:rPr>
            </w:pPr>
          </w:p>
        </w:tc>
      </w:tr>
      <w:tr w14:paraId="04CDB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A6B9F">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4E9E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洗涤车间</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CD47B">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生物质燃料蒸汽发生器</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4E521">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9FDD8">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基础减振、建筑隔声、距离衰减</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1A30">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509D">
            <w:pPr>
              <w:pStyle w:val="56"/>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2DF64">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p w14:paraId="1AE1FF0F">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E37D">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东</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456C">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15028">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63.01 </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49EC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A425">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5FFA1">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42.01 </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B0D3">
            <w:pPr>
              <w:pStyle w:val="56"/>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7FC95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4D2A8">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83351">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4D7B">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9DF6">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949B">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58B6">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CE1C5">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A81A">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722BF">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C42AA">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97E3">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53.01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B8352">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0E82">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4510">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32.01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7FDB1">
            <w:pPr>
              <w:pStyle w:val="56"/>
              <w:bidi w:val="0"/>
              <w:rPr>
                <w:rFonts w:hint="eastAsia"/>
                <w:color w:val="000000" w:themeColor="text1"/>
                <w:highlight w:val="none"/>
                <w14:textFill>
                  <w14:solidFill>
                    <w14:schemeClr w14:val="tx1"/>
                  </w14:solidFill>
                </w14:textFill>
              </w:rPr>
            </w:pPr>
          </w:p>
        </w:tc>
      </w:tr>
      <w:tr w14:paraId="17AEF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F57FC">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F3F8">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66FCD">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C5A0">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1474">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FC5CB">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ABB7">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2EF3">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A69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西</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0F27">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A9A5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58.24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894AE">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580C">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BBF25">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37.24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ED3CD">
            <w:pPr>
              <w:pStyle w:val="56"/>
              <w:bidi w:val="0"/>
              <w:rPr>
                <w:rFonts w:hint="eastAsia"/>
                <w:color w:val="000000" w:themeColor="text1"/>
                <w:highlight w:val="none"/>
                <w14:textFill>
                  <w14:solidFill>
                    <w14:schemeClr w14:val="tx1"/>
                  </w14:solidFill>
                </w14:textFill>
              </w:rPr>
            </w:pPr>
          </w:p>
        </w:tc>
      </w:tr>
      <w:tr w14:paraId="0537F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DBCC5">
            <w:pPr>
              <w:pStyle w:val="56"/>
              <w:bidi w:val="0"/>
              <w:rPr>
                <w:rFonts w:hint="eastAsia"/>
                <w:color w:val="000000" w:themeColor="text1"/>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C9FF4">
            <w:pPr>
              <w:pStyle w:val="56"/>
              <w:bidi w:val="0"/>
              <w:rPr>
                <w:rFonts w:hint="eastAsia"/>
                <w:color w:val="000000" w:themeColor="text1"/>
                <w:highlight w:val="none"/>
                <w14:textFill>
                  <w14:solidFill>
                    <w14:schemeClr w14:val="tx1"/>
                  </w14:solidFill>
                </w14:textFill>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BB2A9">
            <w:pPr>
              <w:pStyle w:val="56"/>
              <w:bidi w:val="0"/>
              <w:rPr>
                <w:rFonts w:hint="eastAsia"/>
                <w:color w:val="000000" w:themeColor="text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3BC4">
            <w:pPr>
              <w:pStyle w:val="56"/>
              <w:bidi w:val="0"/>
              <w:rPr>
                <w:rFonts w:hint="eastAsia"/>
                <w:color w:val="000000" w:themeColor="text1"/>
                <w:highlight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7B717">
            <w:pPr>
              <w:pStyle w:val="56"/>
              <w:bidi w:val="0"/>
              <w:rPr>
                <w:rFonts w:hint="eastAsia"/>
                <w:color w:val="000000" w:themeColor="text1"/>
                <w:highlight w:val="none"/>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EA33">
            <w:pPr>
              <w:pStyle w:val="56"/>
              <w:bidi w:val="0"/>
              <w:rPr>
                <w:rFonts w:hint="eastAsia"/>
                <w:color w:val="000000" w:themeColor="text1"/>
                <w:highlight w:val="none"/>
                <w14:textFill>
                  <w14:solidFill>
                    <w14:schemeClr w14:val="tx1"/>
                  </w14:solidFill>
                </w14:textFill>
              </w:rPr>
            </w:pPr>
          </w:p>
        </w:tc>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AC77E">
            <w:pPr>
              <w:pStyle w:val="56"/>
              <w:bidi w:val="0"/>
              <w:rPr>
                <w:rFonts w:hint="eastAsia"/>
                <w:color w:val="000000" w:themeColor="text1"/>
                <w:highlight w:val="none"/>
                <w14:textFill>
                  <w14:solidFill>
                    <w14:schemeClr w14:val="tx1"/>
                  </w14:solidFill>
                </w14:textFill>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D102A">
            <w:pPr>
              <w:pStyle w:val="56"/>
              <w:bidi w:val="0"/>
              <w:rPr>
                <w:rFonts w:hint="eastAsia"/>
                <w:color w:val="000000" w:themeColor="text1"/>
                <w:highlight w:val="none"/>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82215">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F908">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2582C">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60.00 </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968B9">
            <w:pPr>
              <w:pStyle w:val="56"/>
              <w:bidi w:val="0"/>
              <w:rPr>
                <w:rFonts w:hint="eastAsia"/>
                <w:color w:val="000000" w:themeColor="text1"/>
                <w:highlight w:val="none"/>
                <w14:textFill>
                  <w14:solidFill>
                    <w14:schemeClr w14:val="tx1"/>
                  </w14:solidFill>
                </w14:textFill>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D2B6">
            <w:pPr>
              <w:pStyle w:val="56"/>
              <w:bidi w:val="0"/>
              <w:rPr>
                <w:rFonts w:hint="eastAsia"/>
                <w:color w:val="000000" w:themeColor="text1"/>
                <w:highlight w:val="none"/>
                <w14:textFill>
                  <w14:solidFill>
                    <w14:schemeClr w14:val="tx1"/>
                  </w14:solidFill>
                </w14:textFill>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E926">
            <w:pPr>
              <w:keepNext w:val="0"/>
              <w:keepLines w:val="0"/>
              <w:widowControl/>
              <w:suppressLineNumbers w:val="0"/>
              <w:jc w:val="right"/>
              <w:textAlignment w:val="center"/>
              <w:rPr>
                <w:rFonts w:hint="eastAsia"/>
                <w:color w:val="000000" w:themeColor="text1"/>
                <w:highlight w:val="none"/>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39.00 </w:t>
            </w:r>
          </w:p>
        </w:tc>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DE1F">
            <w:pPr>
              <w:pStyle w:val="56"/>
              <w:bidi w:val="0"/>
              <w:rPr>
                <w:rFonts w:hint="eastAsia"/>
                <w:color w:val="000000" w:themeColor="text1"/>
                <w:highlight w:val="none"/>
                <w14:textFill>
                  <w14:solidFill>
                    <w14:schemeClr w14:val="tx1"/>
                  </w14:solidFill>
                </w14:textFill>
              </w:rPr>
            </w:pPr>
          </w:p>
        </w:tc>
      </w:tr>
    </w:tbl>
    <w:p w14:paraId="2927193F">
      <w:pPr>
        <w:pStyle w:val="56"/>
        <w:bidi w:val="0"/>
        <w:jc w:val="both"/>
        <w:rPr>
          <w:rFonts w:hint="eastAsia"/>
          <w:color w:val="000000" w:themeColor="text1"/>
          <w:sz w:val="21"/>
          <w:szCs w:val="18"/>
          <w:highlight w:val="none"/>
          <w:lang w:val="en-US" w:eastAsia="zh-CN"/>
          <w14:textFill>
            <w14:solidFill>
              <w14:schemeClr w14:val="tx1"/>
            </w14:solidFill>
          </w14:textFill>
        </w:rPr>
      </w:pPr>
    </w:p>
    <w:p w14:paraId="2E52AD1A">
      <w:pPr>
        <w:pStyle w:val="56"/>
        <w:bidi w:val="0"/>
        <w:jc w:val="both"/>
        <w:rPr>
          <w:rFonts w:hint="default"/>
          <w:color w:val="000000" w:themeColor="text1"/>
          <w:highlight w:val="none"/>
          <w14:textFill>
            <w14:solidFill>
              <w14:schemeClr w14:val="tx1"/>
            </w14:solidFill>
          </w14:textFill>
        </w:rPr>
      </w:pPr>
      <w:r>
        <w:rPr>
          <w:rFonts w:hint="eastAsia"/>
          <w:color w:val="000000" w:themeColor="text1"/>
          <w:sz w:val="21"/>
          <w:szCs w:val="18"/>
          <w:highlight w:val="none"/>
          <w:lang w:val="en-US" w:eastAsia="zh-CN"/>
          <w14:textFill>
            <w14:solidFill>
              <w14:schemeClr w14:val="tx1"/>
            </w14:solidFill>
          </w14:textFill>
        </w:rPr>
        <w:t>备注：以项目厂界西南角为原点（0，0，0），东西向为X轴，南北向为Y轴。</w:t>
      </w:r>
      <w:r>
        <w:rPr>
          <w:rStyle w:val="58"/>
          <w:rFonts w:hint="eastAsia"/>
          <w:color w:val="000000" w:themeColor="text1"/>
          <w:highlight w:val="none"/>
          <w:lang w:val="en-US" w:eastAsia="zh-CN"/>
          <w14:textFill>
            <w14:solidFill>
              <w14:schemeClr w14:val="tx1"/>
            </w14:solidFill>
          </w14:textFill>
        </w:rPr>
        <w:t>②建筑物外声压级=室内边界声级-15-6。</w:t>
      </w:r>
    </w:p>
    <w:p w14:paraId="45D708F3">
      <w:pPr>
        <w:jc w:val="both"/>
        <w:rPr>
          <w:color w:val="000000" w:themeColor="text1"/>
          <w:highlight w:val="none"/>
          <w14:textFill>
            <w14:solidFill>
              <w14:schemeClr w14:val="tx1"/>
            </w14:solidFill>
          </w14:textFill>
        </w:rPr>
      </w:pPr>
    </w:p>
    <w:p w14:paraId="1820F56E">
      <w:pPr>
        <w:ind w:firstLine="480"/>
        <w:rPr>
          <w:color w:val="000000" w:themeColor="text1"/>
          <w:highlight w:val="none"/>
          <w14:textFill>
            <w14:solidFill>
              <w14:schemeClr w14:val="tx1"/>
            </w14:solidFill>
          </w14:textFill>
        </w:rPr>
        <w:sectPr>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type="lines" w:linePitch="326" w:charSpace="0"/>
        </w:sectPr>
      </w:pP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5"/>
        <w:gridCol w:w="8225"/>
      </w:tblGrid>
      <w:tr w14:paraId="52D0D8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25" w:type="dxa"/>
            <w:noWrap w:val="0"/>
            <w:vAlign w:val="center"/>
          </w:tcPr>
          <w:p w14:paraId="4B9F30BF">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运营期环境影响和保护措施</w:t>
            </w:r>
          </w:p>
        </w:tc>
        <w:tc>
          <w:tcPr>
            <w:tcW w:w="8225" w:type="dxa"/>
            <w:noWrap w:val="0"/>
            <w:vAlign w:val="center"/>
          </w:tcPr>
          <w:p w14:paraId="29677ED5">
            <w:pPr>
              <w:pStyle w:val="5"/>
              <w:numPr>
                <w:ilvl w:val="3"/>
                <w:numId w:val="0"/>
              </w:numPr>
              <w:bidi w:val="0"/>
              <w:ind w:left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噪声影响预测结果</w:t>
            </w:r>
          </w:p>
          <w:p w14:paraId="262C8211">
            <w:pPr>
              <w:pStyle w:val="50"/>
              <w:numPr>
                <w:ilvl w:val="0"/>
                <w:numId w:val="7"/>
              </w:num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厂界噪声预测</w:t>
            </w:r>
          </w:p>
          <w:p w14:paraId="2F0C2A93">
            <w:pPr>
              <w:pStyle w:val="50"/>
              <w:numPr>
                <w:ilvl w:val="0"/>
                <w:numId w:val="0"/>
              </w:numPr>
              <w:bidi w:val="0"/>
              <w:ind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rFonts w:hint="default"/>
                <w:color w:val="000000" w:themeColor="text1"/>
                <w:highlight w:val="none"/>
                <w:lang w:val="en-US" w:eastAsia="zh-CN"/>
                <w14:textFill>
                  <w14:solidFill>
                    <w14:schemeClr w14:val="tx1"/>
                  </w14:solidFill>
                </w14:textFill>
              </w:rPr>
              <w:t>项目所在区域为</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类声环境功能区，因此，</w:t>
            </w:r>
            <w:r>
              <w:rPr>
                <w:rFonts w:hint="eastAsia"/>
                <w:color w:val="000000" w:themeColor="text1"/>
                <w:highlight w:val="none"/>
                <w:lang w:val="en-US" w:eastAsia="zh-CN"/>
                <w14:textFill>
                  <w14:solidFill>
                    <w14:schemeClr w14:val="tx1"/>
                  </w14:solidFill>
                </w14:textFill>
              </w:rPr>
              <w:t>项目</w:t>
            </w:r>
            <w:r>
              <w:rPr>
                <w:rFonts w:hint="default"/>
                <w:color w:val="000000" w:themeColor="text1"/>
                <w:highlight w:val="none"/>
                <w:lang w:val="en-US" w:eastAsia="zh-CN"/>
                <w14:textFill>
                  <w14:solidFill>
                    <w14:schemeClr w14:val="tx1"/>
                  </w14:solidFill>
                </w14:textFill>
              </w:rPr>
              <w:t>执行《工业企业厂界环境噪声排放标准》</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GB12348-2008</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类标准。</w:t>
            </w:r>
          </w:p>
          <w:p w14:paraId="49B10617">
            <w:pPr>
              <w:pStyle w:val="6"/>
              <w:numPr>
                <w:ilvl w:val="4"/>
                <w:numId w:val="0"/>
              </w:numPr>
              <w:bidi w:val="0"/>
              <w:ind w:leftChars="0"/>
              <w:jc w:val="center"/>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表4-1</w:t>
            </w:r>
            <w:r>
              <w:rPr>
                <w:rFonts w:hint="eastAsia" w:cs="Times New Roman"/>
                <w:color w:val="000000" w:themeColor="text1"/>
                <w:highlight w:val="none"/>
                <w:lang w:val="en-US" w:eastAsia="zh-CN"/>
                <w14:textFill>
                  <w14:solidFill>
                    <w14:schemeClr w14:val="tx1"/>
                  </w14:solidFill>
                </w14:textFill>
              </w:rPr>
              <w:t>8</w:t>
            </w:r>
            <w:r>
              <w:rPr>
                <w:rFonts w:hint="eastAsia" w:cs="Times New Roman"/>
                <w:color w:val="000000" w:themeColor="text1"/>
                <w:highlight w:val="none"/>
                <w:lang w:val="en-US" w:eastAsia="zh-CN"/>
                <w14:textFill>
                  <w14:solidFill>
                    <w14:schemeClr w14:val="tx1"/>
                  </w14:solidFill>
                </w14:textFill>
              </w:rPr>
              <w:t xml:space="preserve"> B5厂房</w:t>
            </w:r>
            <w:r>
              <w:rPr>
                <w:rFonts w:hint="default" w:ascii="Times New Roman" w:hAnsi="Times New Roman" w:cs="Times New Roman"/>
                <w:color w:val="000000" w:themeColor="text1"/>
                <w:highlight w:val="none"/>
                <w14:textFill>
                  <w14:solidFill>
                    <w14:schemeClr w14:val="tx1"/>
                  </w14:solidFill>
                </w14:textFill>
              </w:rPr>
              <w:t>各噪声源对厂界的噪声影响预测值</w:t>
            </w:r>
          </w:p>
          <w:tbl>
            <w:tblPr>
              <w:tblStyle w:val="2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01"/>
              <w:gridCol w:w="2002"/>
              <w:gridCol w:w="2376"/>
              <w:gridCol w:w="1627"/>
            </w:tblGrid>
            <w:tr w14:paraId="254290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49" w:type="pct"/>
                  <w:tcBorders>
                    <w:tl2br w:val="nil"/>
                    <w:tr2bl w:val="nil"/>
                  </w:tcBorders>
                  <w:noWrap/>
                  <w:vAlign w:val="center"/>
                </w:tcPr>
                <w:p w14:paraId="11C325E0">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预测点位</w:t>
                  </w:r>
                </w:p>
              </w:tc>
              <w:tc>
                <w:tcPr>
                  <w:tcW w:w="1250" w:type="pct"/>
                  <w:tcBorders>
                    <w:tl2br w:val="nil"/>
                    <w:tr2bl w:val="nil"/>
                  </w:tcBorders>
                  <w:noWrap/>
                  <w:vAlign w:val="center"/>
                </w:tcPr>
                <w:p w14:paraId="4F4BF873">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昼间贡献值</w:t>
                  </w:r>
                </w:p>
              </w:tc>
              <w:tc>
                <w:tcPr>
                  <w:tcW w:w="1483" w:type="pct"/>
                  <w:tcBorders>
                    <w:tl2br w:val="nil"/>
                    <w:tr2bl w:val="nil"/>
                  </w:tcBorders>
                  <w:noWrap/>
                  <w:vAlign w:val="center"/>
                </w:tcPr>
                <w:p w14:paraId="507D7C88">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评价标准dB</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p>
              </w:tc>
              <w:tc>
                <w:tcPr>
                  <w:tcW w:w="1016" w:type="pct"/>
                  <w:tcBorders>
                    <w:tl2br w:val="nil"/>
                    <w:tr2bl w:val="nil"/>
                  </w:tcBorders>
                  <w:noWrap/>
                  <w:vAlign w:val="center"/>
                </w:tcPr>
                <w:p w14:paraId="33C06746">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达标情况</w:t>
                  </w:r>
                </w:p>
              </w:tc>
            </w:tr>
            <w:tr w14:paraId="0C1BA5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249" w:type="pct"/>
                  <w:tcBorders>
                    <w:tl2br w:val="nil"/>
                    <w:tr2bl w:val="nil"/>
                  </w:tcBorders>
                  <w:noWrap/>
                  <w:vAlign w:val="center"/>
                </w:tcPr>
                <w:p w14:paraId="4FAB9D23">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东厂界</w:t>
                  </w:r>
                </w:p>
              </w:tc>
              <w:tc>
                <w:tcPr>
                  <w:tcW w:w="2002" w:type="dxa"/>
                  <w:tcBorders>
                    <w:tl2br w:val="nil"/>
                    <w:tr2bl w:val="nil"/>
                  </w:tcBorders>
                  <w:noWrap/>
                  <w:vAlign w:val="center"/>
                </w:tcPr>
                <w:p w14:paraId="33433DF1">
                  <w:pPr>
                    <w:keepNext w:val="0"/>
                    <w:keepLines w:val="0"/>
                    <w:widowControl/>
                    <w:suppressLineNumbers w:val="0"/>
                    <w:jc w:val="right"/>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47.96 </w:t>
                  </w:r>
                </w:p>
              </w:tc>
              <w:tc>
                <w:tcPr>
                  <w:tcW w:w="1483" w:type="pct"/>
                  <w:vMerge w:val="restart"/>
                  <w:tcBorders>
                    <w:tl2br w:val="nil"/>
                    <w:tr2bl w:val="nil"/>
                  </w:tcBorders>
                  <w:noWrap/>
                  <w:vAlign w:val="center"/>
                </w:tcPr>
                <w:p w14:paraId="7B0D1FF0">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昼间≤65，夜间≤55</w:t>
                  </w:r>
                </w:p>
              </w:tc>
              <w:tc>
                <w:tcPr>
                  <w:tcW w:w="1016" w:type="pct"/>
                  <w:tcBorders>
                    <w:tl2br w:val="nil"/>
                    <w:tr2bl w:val="nil"/>
                  </w:tcBorders>
                  <w:noWrap/>
                  <w:vAlign w:val="center"/>
                </w:tcPr>
                <w:p w14:paraId="7639B4CA">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540415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249" w:type="pct"/>
                  <w:tcBorders>
                    <w:tl2br w:val="nil"/>
                    <w:tr2bl w:val="nil"/>
                  </w:tcBorders>
                  <w:noWrap/>
                  <w:vAlign w:val="center"/>
                </w:tcPr>
                <w:p w14:paraId="0EB22CAF">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南厂界</w:t>
                  </w:r>
                </w:p>
              </w:tc>
              <w:tc>
                <w:tcPr>
                  <w:tcW w:w="2002" w:type="dxa"/>
                  <w:tcBorders>
                    <w:tl2br w:val="nil"/>
                    <w:tr2bl w:val="nil"/>
                  </w:tcBorders>
                  <w:noWrap/>
                  <w:vAlign w:val="center"/>
                </w:tcPr>
                <w:p w14:paraId="10E43E17">
                  <w:pPr>
                    <w:keepNext w:val="0"/>
                    <w:keepLines w:val="0"/>
                    <w:widowControl/>
                    <w:suppressLineNumbers w:val="0"/>
                    <w:jc w:val="right"/>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43.30 </w:t>
                  </w:r>
                </w:p>
              </w:tc>
              <w:tc>
                <w:tcPr>
                  <w:tcW w:w="1483" w:type="pct"/>
                  <w:vMerge w:val="continue"/>
                  <w:tcBorders>
                    <w:tl2br w:val="nil"/>
                    <w:tr2bl w:val="nil"/>
                  </w:tcBorders>
                  <w:noWrap w:val="0"/>
                  <w:vAlign w:val="center"/>
                </w:tcPr>
                <w:p w14:paraId="54E6D1DA">
                  <w:pPr>
                    <w:pStyle w:val="56"/>
                    <w:rPr>
                      <w:rFonts w:hint="default" w:ascii="Times New Roman" w:hAnsi="Times New Roman" w:cs="Times New Roman"/>
                      <w:color w:val="000000" w:themeColor="text1"/>
                      <w:highlight w:val="none"/>
                      <w14:textFill>
                        <w14:solidFill>
                          <w14:schemeClr w14:val="tx1"/>
                        </w14:solidFill>
                      </w14:textFill>
                    </w:rPr>
                  </w:pPr>
                </w:p>
              </w:tc>
              <w:tc>
                <w:tcPr>
                  <w:tcW w:w="1016" w:type="pct"/>
                  <w:tcBorders>
                    <w:tl2br w:val="nil"/>
                    <w:tr2bl w:val="nil"/>
                  </w:tcBorders>
                  <w:noWrap/>
                  <w:vAlign w:val="center"/>
                </w:tcPr>
                <w:p w14:paraId="1EFD4B5B">
                  <w:pPr>
                    <w:pStyle w:val="56"/>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709BDD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2" w:hRule="atLeast"/>
              </w:trPr>
              <w:tc>
                <w:tcPr>
                  <w:tcW w:w="1249" w:type="pct"/>
                  <w:tcBorders>
                    <w:tl2br w:val="nil"/>
                    <w:tr2bl w:val="nil"/>
                  </w:tcBorders>
                  <w:noWrap/>
                  <w:vAlign w:val="center"/>
                </w:tcPr>
                <w:p w14:paraId="0FB33335">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西厂界</w:t>
                  </w:r>
                </w:p>
              </w:tc>
              <w:tc>
                <w:tcPr>
                  <w:tcW w:w="2002" w:type="dxa"/>
                  <w:tcBorders>
                    <w:tl2br w:val="nil"/>
                    <w:tr2bl w:val="nil"/>
                  </w:tcBorders>
                  <w:noWrap/>
                  <w:vAlign w:val="center"/>
                </w:tcPr>
                <w:p w14:paraId="04D49948">
                  <w:pPr>
                    <w:keepNext w:val="0"/>
                    <w:keepLines w:val="0"/>
                    <w:widowControl/>
                    <w:suppressLineNumbers w:val="0"/>
                    <w:jc w:val="right"/>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48.87 </w:t>
                  </w:r>
                </w:p>
              </w:tc>
              <w:tc>
                <w:tcPr>
                  <w:tcW w:w="1483" w:type="pct"/>
                  <w:vMerge w:val="continue"/>
                  <w:tcBorders>
                    <w:tl2br w:val="nil"/>
                    <w:tr2bl w:val="nil"/>
                  </w:tcBorders>
                  <w:noWrap w:val="0"/>
                  <w:vAlign w:val="center"/>
                </w:tcPr>
                <w:p w14:paraId="5C3B0DAA">
                  <w:pPr>
                    <w:pStyle w:val="56"/>
                    <w:rPr>
                      <w:rFonts w:hint="default" w:ascii="Times New Roman" w:hAnsi="Times New Roman" w:cs="Times New Roman"/>
                      <w:color w:val="000000" w:themeColor="text1"/>
                      <w:highlight w:val="none"/>
                      <w14:textFill>
                        <w14:solidFill>
                          <w14:schemeClr w14:val="tx1"/>
                        </w14:solidFill>
                      </w14:textFill>
                    </w:rPr>
                  </w:pPr>
                </w:p>
              </w:tc>
              <w:tc>
                <w:tcPr>
                  <w:tcW w:w="1016" w:type="pct"/>
                  <w:tcBorders>
                    <w:tl2br w:val="nil"/>
                    <w:tr2bl w:val="nil"/>
                  </w:tcBorders>
                  <w:noWrap/>
                  <w:vAlign w:val="center"/>
                </w:tcPr>
                <w:p w14:paraId="48992D06">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5BEE90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1249" w:type="pct"/>
                  <w:tcBorders>
                    <w:tl2br w:val="nil"/>
                    <w:tr2bl w:val="nil"/>
                  </w:tcBorders>
                  <w:noWrap/>
                  <w:vAlign w:val="center"/>
                </w:tcPr>
                <w:p w14:paraId="378EC4F1">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北厂界</w:t>
                  </w:r>
                </w:p>
              </w:tc>
              <w:tc>
                <w:tcPr>
                  <w:tcW w:w="2002" w:type="dxa"/>
                  <w:tcBorders>
                    <w:tl2br w:val="nil"/>
                    <w:tr2bl w:val="nil"/>
                  </w:tcBorders>
                  <w:noWrap/>
                  <w:vAlign w:val="center"/>
                </w:tcPr>
                <w:p w14:paraId="481BAC89">
                  <w:pPr>
                    <w:keepNext w:val="0"/>
                    <w:keepLines w:val="0"/>
                    <w:widowControl/>
                    <w:suppressLineNumbers w:val="0"/>
                    <w:jc w:val="right"/>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43.32 </w:t>
                  </w:r>
                </w:p>
              </w:tc>
              <w:tc>
                <w:tcPr>
                  <w:tcW w:w="1483" w:type="pct"/>
                  <w:vMerge w:val="continue"/>
                  <w:tcBorders>
                    <w:tl2br w:val="nil"/>
                    <w:tr2bl w:val="nil"/>
                  </w:tcBorders>
                  <w:noWrap w:val="0"/>
                  <w:vAlign w:val="center"/>
                </w:tcPr>
                <w:p w14:paraId="2BC160B6">
                  <w:pPr>
                    <w:pStyle w:val="56"/>
                    <w:rPr>
                      <w:rFonts w:hint="default" w:ascii="Times New Roman" w:hAnsi="Times New Roman" w:cs="Times New Roman"/>
                      <w:color w:val="000000" w:themeColor="text1"/>
                      <w:highlight w:val="none"/>
                      <w14:textFill>
                        <w14:solidFill>
                          <w14:schemeClr w14:val="tx1"/>
                        </w14:solidFill>
                      </w14:textFill>
                    </w:rPr>
                  </w:pPr>
                </w:p>
              </w:tc>
              <w:tc>
                <w:tcPr>
                  <w:tcW w:w="1016" w:type="pct"/>
                  <w:tcBorders>
                    <w:tl2br w:val="nil"/>
                    <w:tr2bl w:val="nil"/>
                  </w:tcBorders>
                  <w:noWrap/>
                  <w:vAlign w:val="center"/>
                </w:tcPr>
                <w:p w14:paraId="43DFB8B3">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bl>
          <w:p w14:paraId="03FEF3B6">
            <w:pPr>
              <w:pStyle w:val="6"/>
              <w:numPr>
                <w:ilvl w:val="4"/>
                <w:numId w:val="0"/>
              </w:numPr>
              <w:bidi w:val="0"/>
              <w:ind w:leftChars="0"/>
              <w:jc w:val="center"/>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4-1</w:t>
            </w:r>
            <w:r>
              <w:rPr>
                <w:rFonts w:hint="eastAsia" w:cs="Times New Roman"/>
                <w:color w:val="000000" w:themeColor="text1"/>
                <w:highlight w:val="none"/>
                <w:lang w:val="en-US" w:eastAsia="zh-CN"/>
                <w14:textFill>
                  <w14:solidFill>
                    <w14:schemeClr w14:val="tx1"/>
                  </w14:solidFill>
                </w14:textFill>
              </w:rPr>
              <w:t>9</w:t>
            </w:r>
            <w:r>
              <w:rPr>
                <w:rFonts w:hint="eastAsia" w:cs="Times New Roman"/>
                <w:color w:val="000000" w:themeColor="text1"/>
                <w:highlight w:val="none"/>
                <w:lang w:val="en-US" w:eastAsia="zh-CN"/>
                <w14:textFill>
                  <w14:solidFill>
                    <w14:schemeClr w14:val="tx1"/>
                  </w14:solidFill>
                </w14:textFill>
              </w:rPr>
              <w:t xml:space="preserve"> B6厂房</w:t>
            </w:r>
            <w:r>
              <w:rPr>
                <w:rFonts w:hint="default" w:ascii="Times New Roman" w:hAnsi="Times New Roman" w:cs="Times New Roman"/>
                <w:color w:val="000000" w:themeColor="text1"/>
                <w:highlight w:val="none"/>
                <w14:textFill>
                  <w14:solidFill>
                    <w14:schemeClr w14:val="tx1"/>
                  </w14:solidFill>
                </w14:textFill>
              </w:rPr>
              <w:t>各噪声源对厂界的噪声影响预测值</w:t>
            </w:r>
          </w:p>
          <w:tbl>
            <w:tblPr>
              <w:tblStyle w:val="2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01"/>
              <w:gridCol w:w="2002"/>
              <w:gridCol w:w="2376"/>
              <w:gridCol w:w="1627"/>
            </w:tblGrid>
            <w:tr w14:paraId="604AEB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49" w:type="pct"/>
                  <w:tcBorders>
                    <w:tl2br w:val="nil"/>
                    <w:tr2bl w:val="nil"/>
                  </w:tcBorders>
                  <w:noWrap/>
                  <w:vAlign w:val="center"/>
                </w:tcPr>
                <w:p w14:paraId="57218460">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预测点位</w:t>
                  </w:r>
                </w:p>
              </w:tc>
              <w:tc>
                <w:tcPr>
                  <w:tcW w:w="1250" w:type="pct"/>
                  <w:tcBorders>
                    <w:tl2br w:val="nil"/>
                    <w:tr2bl w:val="nil"/>
                  </w:tcBorders>
                  <w:noWrap/>
                  <w:vAlign w:val="center"/>
                </w:tcPr>
                <w:p w14:paraId="592CBA05">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昼间贡献值</w:t>
                  </w:r>
                </w:p>
              </w:tc>
              <w:tc>
                <w:tcPr>
                  <w:tcW w:w="1483" w:type="pct"/>
                  <w:tcBorders>
                    <w:tl2br w:val="nil"/>
                    <w:tr2bl w:val="nil"/>
                  </w:tcBorders>
                  <w:noWrap/>
                  <w:vAlign w:val="center"/>
                </w:tcPr>
                <w:p w14:paraId="2EC51683">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评价标准dB</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p>
              </w:tc>
              <w:tc>
                <w:tcPr>
                  <w:tcW w:w="1016" w:type="pct"/>
                  <w:tcBorders>
                    <w:tl2br w:val="nil"/>
                    <w:tr2bl w:val="nil"/>
                  </w:tcBorders>
                  <w:noWrap/>
                  <w:vAlign w:val="center"/>
                </w:tcPr>
                <w:p w14:paraId="0A1F0306">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达标情况</w:t>
                  </w:r>
                </w:p>
              </w:tc>
            </w:tr>
            <w:tr w14:paraId="77D322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249" w:type="pct"/>
                  <w:tcBorders>
                    <w:tl2br w:val="nil"/>
                    <w:tr2bl w:val="nil"/>
                  </w:tcBorders>
                  <w:noWrap/>
                  <w:vAlign w:val="center"/>
                </w:tcPr>
                <w:p w14:paraId="1FE7C793">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东厂界</w:t>
                  </w:r>
                </w:p>
              </w:tc>
              <w:tc>
                <w:tcPr>
                  <w:tcW w:w="2002" w:type="dxa"/>
                  <w:tcBorders>
                    <w:tl2br w:val="nil"/>
                    <w:tr2bl w:val="nil"/>
                  </w:tcBorders>
                  <w:noWrap/>
                  <w:vAlign w:val="center"/>
                </w:tcPr>
                <w:p w14:paraId="3F1F9909">
                  <w:pPr>
                    <w:keepNext w:val="0"/>
                    <w:keepLines w:val="0"/>
                    <w:widowControl/>
                    <w:suppressLineNumbers w:val="0"/>
                    <w:jc w:val="right"/>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49.63 </w:t>
                  </w:r>
                </w:p>
              </w:tc>
              <w:tc>
                <w:tcPr>
                  <w:tcW w:w="1483" w:type="pct"/>
                  <w:vMerge w:val="restart"/>
                  <w:tcBorders>
                    <w:tl2br w:val="nil"/>
                    <w:tr2bl w:val="nil"/>
                  </w:tcBorders>
                  <w:noWrap/>
                  <w:vAlign w:val="center"/>
                </w:tcPr>
                <w:p w14:paraId="0B894651">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昼间≤65，夜间≤55</w:t>
                  </w:r>
                </w:p>
              </w:tc>
              <w:tc>
                <w:tcPr>
                  <w:tcW w:w="1016" w:type="pct"/>
                  <w:tcBorders>
                    <w:tl2br w:val="nil"/>
                    <w:tr2bl w:val="nil"/>
                  </w:tcBorders>
                  <w:noWrap/>
                  <w:vAlign w:val="center"/>
                </w:tcPr>
                <w:p w14:paraId="542721AD">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3D169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249" w:type="pct"/>
                  <w:tcBorders>
                    <w:tl2br w:val="nil"/>
                    <w:tr2bl w:val="nil"/>
                  </w:tcBorders>
                  <w:noWrap/>
                  <w:vAlign w:val="center"/>
                </w:tcPr>
                <w:p w14:paraId="2281F5EA">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南厂界</w:t>
                  </w:r>
                </w:p>
              </w:tc>
              <w:tc>
                <w:tcPr>
                  <w:tcW w:w="2002" w:type="dxa"/>
                  <w:tcBorders>
                    <w:tl2br w:val="nil"/>
                    <w:tr2bl w:val="nil"/>
                  </w:tcBorders>
                  <w:noWrap/>
                  <w:vAlign w:val="center"/>
                </w:tcPr>
                <w:p w14:paraId="5701F92C">
                  <w:pPr>
                    <w:keepNext w:val="0"/>
                    <w:keepLines w:val="0"/>
                    <w:widowControl/>
                    <w:suppressLineNumbers w:val="0"/>
                    <w:jc w:val="right"/>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43.61 </w:t>
                  </w:r>
                </w:p>
              </w:tc>
              <w:tc>
                <w:tcPr>
                  <w:tcW w:w="1483" w:type="pct"/>
                  <w:vMerge w:val="continue"/>
                  <w:tcBorders>
                    <w:tl2br w:val="nil"/>
                    <w:tr2bl w:val="nil"/>
                  </w:tcBorders>
                  <w:noWrap w:val="0"/>
                  <w:vAlign w:val="center"/>
                </w:tcPr>
                <w:p w14:paraId="30DF6E24">
                  <w:pPr>
                    <w:pStyle w:val="56"/>
                    <w:rPr>
                      <w:rFonts w:hint="default" w:ascii="Times New Roman" w:hAnsi="Times New Roman" w:cs="Times New Roman"/>
                      <w:color w:val="000000" w:themeColor="text1"/>
                      <w:highlight w:val="none"/>
                      <w14:textFill>
                        <w14:solidFill>
                          <w14:schemeClr w14:val="tx1"/>
                        </w14:solidFill>
                      </w14:textFill>
                    </w:rPr>
                  </w:pPr>
                </w:p>
              </w:tc>
              <w:tc>
                <w:tcPr>
                  <w:tcW w:w="1016" w:type="pct"/>
                  <w:tcBorders>
                    <w:tl2br w:val="nil"/>
                    <w:tr2bl w:val="nil"/>
                  </w:tcBorders>
                  <w:noWrap/>
                  <w:vAlign w:val="center"/>
                </w:tcPr>
                <w:p w14:paraId="0D54C1A4">
                  <w:pPr>
                    <w:pStyle w:val="56"/>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489D6C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2" w:hRule="atLeast"/>
              </w:trPr>
              <w:tc>
                <w:tcPr>
                  <w:tcW w:w="1249" w:type="pct"/>
                  <w:tcBorders>
                    <w:tl2br w:val="nil"/>
                    <w:tr2bl w:val="nil"/>
                  </w:tcBorders>
                  <w:noWrap/>
                  <w:vAlign w:val="center"/>
                </w:tcPr>
                <w:p w14:paraId="0D3E733F">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西厂界</w:t>
                  </w:r>
                </w:p>
              </w:tc>
              <w:tc>
                <w:tcPr>
                  <w:tcW w:w="2002" w:type="dxa"/>
                  <w:tcBorders>
                    <w:tl2br w:val="nil"/>
                    <w:tr2bl w:val="nil"/>
                  </w:tcBorders>
                  <w:noWrap/>
                  <w:vAlign w:val="center"/>
                </w:tcPr>
                <w:p w14:paraId="2BFB8295">
                  <w:pPr>
                    <w:keepNext w:val="0"/>
                    <w:keepLines w:val="0"/>
                    <w:widowControl/>
                    <w:suppressLineNumbers w:val="0"/>
                    <w:jc w:val="right"/>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48.38 </w:t>
                  </w:r>
                </w:p>
              </w:tc>
              <w:tc>
                <w:tcPr>
                  <w:tcW w:w="1483" w:type="pct"/>
                  <w:vMerge w:val="continue"/>
                  <w:tcBorders>
                    <w:tl2br w:val="nil"/>
                    <w:tr2bl w:val="nil"/>
                  </w:tcBorders>
                  <w:noWrap w:val="0"/>
                  <w:vAlign w:val="center"/>
                </w:tcPr>
                <w:p w14:paraId="67E45888">
                  <w:pPr>
                    <w:pStyle w:val="56"/>
                    <w:rPr>
                      <w:rFonts w:hint="default" w:ascii="Times New Roman" w:hAnsi="Times New Roman" w:cs="Times New Roman"/>
                      <w:color w:val="000000" w:themeColor="text1"/>
                      <w:highlight w:val="none"/>
                      <w14:textFill>
                        <w14:solidFill>
                          <w14:schemeClr w14:val="tx1"/>
                        </w14:solidFill>
                      </w14:textFill>
                    </w:rPr>
                  </w:pPr>
                </w:p>
              </w:tc>
              <w:tc>
                <w:tcPr>
                  <w:tcW w:w="1016" w:type="pct"/>
                  <w:tcBorders>
                    <w:tl2br w:val="nil"/>
                    <w:tr2bl w:val="nil"/>
                  </w:tcBorders>
                  <w:noWrap/>
                  <w:vAlign w:val="center"/>
                </w:tcPr>
                <w:p w14:paraId="0641BC03">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3E42C9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1249" w:type="pct"/>
                  <w:tcBorders>
                    <w:tl2br w:val="nil"/>
                    <w:tr2bl w:val="nil"/>
                  </w:tcBorders>
                  <w:noWrap/>
                  <w:vAlign w:val="center"/>
                </w:tcPr>
                <w:p w14:paraId="7BF508A0">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北厂界</w:t>
                  </w:r>
                </w:p>
              </w:tc>
              <w:tc>
                <w:tcPr>
                  <w:tcW w:w="2002" w:type="dxa"/>
                  <w:tcBorders>
                    <w:tl2br w:val="nil"/>
                    <w:tr2bl w:val="nil"/>
                  </w:tcBorders>
                  <w:noWrap/>
                  <w:vAlign w:val="center"/>
                </w:tcPr>
                <w:p w14:paraId="21EC5C3C">
                  <w:pPr>
                    <w:keepNext w:val="0"/>
                    <w:keepLines w:val="0"/>
                    <w:widowControl/>
                    <w:suppressLineNumbers w:val="0"/>
                    <w:jc w:val="right"/>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4"/>
                      <w:szCs w:val="24"/>
                      <w:highlight w:val="none"/>
                      <w:u w:val="none"/>
                      <w:lang w:val="en-US" w:eastAsia="zh-CN" w:bidi="ar"/>
                    </w:rPr>
                    <w:t xml:space="preserve">44.69 </w:t>
                  </w:r>
                </w:p>
              </w:tc>
              <w:tc>
                <w:tcPr>
                  <w:tcW w:w="1483" w:type="pct"/>
                  <w:vMerge w:val="continue"/>
                  <w:tcBorders>
                    <w:tl2br w:val="nil"/>
                    <w:tr2bl w:val="nil"/>
                  </w:tcBorders>
                  <w:noWrap w:val="0"/>
                  <w:vAlign w:val="center"/>
                </w:tcPr>
                <w:p w14:paraId="6E941D59">
                  <w:pPr>
                    <w:pStyle w:val="56"/>
                    <w:rPr>
                      <w:rFonts w:hint="default" w:ascii="Times New Roman" w:hAnsi="Times New Roman" w:cs="Times New Roman"/>
                      <w:color w:val="000000" w:themeColor="text1"/>
                      <w:highlight w:val="none"/>
                      <w14:textFill>
                        <w14:solidFill>
                          <w14:schemeClr w14:val="tx1"/>
                        </w14:solidFill>
                      </w14:textFill>
                    </w:rPr>
                  </w:pPr>
                </w:p>
              </w:tc>
              <w:tc>
                <w:tcPr>
                  <w:tcW w:w="1016" w:type="pct"/>
                  <w:tcBorders>
                    <w:tl2br w:val="nil"/>
                    <w:tr2bl w:val="nil"/>
                  </w:tcBorders>
                  <w:noWrap/>
                  <w:vAlign w:val="center"/>
                </w:tcPr>
                <w:p w14:paraId="4CE4FE1D">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bl>
          <w:p w14:paraId="22811B5D">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由上表可知，通过采取厂房隔声，对各类设备基础减振，设置减震垫等，并合理布局高噪声设备等综合降噪措施之后，</w:t>
            </w:r>
            <w:r>
              <w:rPr>
                <w:rFonts w:hint="eastAsia" w:cs="Times New Roman"/>
                <w:color w:val="000000" w:themeColor="text1"/>
                <w:highlight w:val="none"/>
                <w:lang w:val="en-US" w:eastAsia="zh-CN"/>
                <w14:textFill>
                  <w14:solidFill>
                    <w14:schemeClr w14:val="tx1"/>
                  </w14:solidFill>
                </w14:textFill>
              </w:rPr>
              <w:t>厂界噪声满足</w:t>
            </w:r>
            <w:r>
              <w:rPr>
                <w:rFonts w:hint="default" w:ascii="Times New Roman" w:hAnsi="Times New Roman" w:cs="Times New Roman"/>
                <w:color w:val="000000" w:themeColor="text1"/>
                <w:highlight w:val="none"/>
                <w14:textFill>
                  <w14:solidFill>
                    <w14:schemeClr w14:val="tx1"/>
                  </w14:solidFill>
                </w14:textFill>
              </w:rPr>
              <w:t>《工业企业厂界环境噪声排放标准》（GB12348-2008）</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类标准。运营期生产设备产生的噪声对周围环境影响较小。</w:t>
            </w:r>
          </w:p>
          <w:p w14:paraId="72C81C5D">
            <w:pPr>
              <w:pStyle w:val="50"/>
              <w:numPr>
                <w:ilvl w:val="0"/>
                <w:numId w:val="7"/>
              </w:numPr>
              <w:bidi w:val="0"/>
              <w:ind w:left="0" w:leftChars="0" w:firstLine="480" w:firstLineChars="20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声环境保护目标噪声预测</w:t>
            </w:r>
          </w:p>
          <w:p w14:paraId="40FA4330">
            <w:pPr>
              <w:pStyle w:val="50"/>
              <w:numPr>
                <w:ilvl w:val="0"/>
                <w:numId w:val="0"/>
              </w:numPr>
              <w:bidi w:val="0"/>
              <w:ind w:leftChars="200"/>
              <w:rPr>
                <w:rFonts w:hint="eastAsia"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rFonts w:hint="eastAsia"/>
                <w:color w:val="000000" w:themeColor="text1"/>
                <w:highlight w:val="none"/>
                <w14:textFill>
                  <w14:solidFill>
                    <w14:schemeClr w14:val="tx1"/>
                  </w14:solidFill>
                </w14:textFill>
              </w:rPr>
              <w:t>项目厂界外50</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14:textFill>
                  <w14:solidFill>
                    <w14:schemeClr w14:val="tx1"/>
                  </w14:solidFill>
                </w14:textFill>
              </w:rPr>
              <w:t>范围内</w:t>
            </w:r>
            <w:r>
              <w:rPr>
                <w:rFonts w:hint="eastAsia"/>
                <w:color w:val="000000" w:themeColor="text1"/>
                <w:highlight w:val="none"/>
                <w:lang w:eastAsia="zh-CN"/>
                <w14:textFill>
                  <w14:solidFill>
                    <w14:schemeClr w14:val="tx1"/>
                  </w14:solidFill>
                </w14:textFill>
              </w:rPr>
              <w:t>无</w:t>
            </w:r>
            <w:r>
              <w:rPr>
                <w:rFonts w:hint="eastAsia"/>
                <w:color w:val="000000" w:themeColor="text1"/>
                <w:highlight w:val="none"/>
                <w14:textFill>
                  <w14:solidFill>
                    <w14:schemeClr w14:val="tx1"/>
                  </w14:solidFill>
                </w14:textFill>
              </w:rPr>
              <w:t>声环境保护目标</w:t>
            </w:r>
            <w:r>
              <w:rPr>
                <w:rFonts w:hint="eastAsia"/>
                <w:color w:val="000000" w:themeColor="text1"/>
                <w:highlight w:val="none"/>
                <w:lang w:eastAsia="zh-CN"/>
                <w14:textFill>
                  <w14:solidFill>
                    <w14:schemeClr w14:val="tx1"/>
                  </w14:solidFill>
                </w14:textFill>
              </w:rPr>
              <w:t>。</w:t>
            </w:r>
          </w:p>
          <w:p w14:paraId="235DE62A">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）噪声污染防治措施</w:t>
            </w:r>
          </w:p>
          <w:p w14:paraId="1017FB5E">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为保证噪声满足《工业企业厂界环境噪声排放标准》（GB12348-2008）</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类标准，针对本项目的特征，本环评建议建设单位采用以下噪声防治措施：</w:t>
            </w:r>
          </w:p>
          <w:p w14:paraId="7BC02DBA">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1 \* GB3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声源控制：各生产及辅助设备均选购低噪声、低振动设备，从源头控制噪声的产生。</w:t>
            </w:r>
          </w:p>
          <w:p w14:paraId="5F63409F">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2 \* GB3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②</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基础减震：对</w:t>
            </w:r>
            <w:r>
              <w:rPr>
                <w:rFonts w:hint="eastAsia" w:cs="Times New Roman"/>
                <w:color w:val="000000" w:themeColor="text1"/>
                <w:highlight w:val="none"/>
                <w:lang w:val="en-US" w:eastAsia="zh-CN"/>
                <w14:textFill>
                  <w14:solidFill>
                    <w14:schemeClr w14:val="tx1"/>
                  </w14:solidFill>
                </w14:textFill>
              </w:rPr>
              <w:t>产噪设备</w:t>
            </w:r>
            <w:r>
              <w:rPr>
                <w:rFonts w:hint="default" w:ascii="Times New Roman" w:hAnsi="Times New Roman" w:cs="Times New Roman"/>
                <w:color w:val="000000" w:themeColor="text1"/>
                <w:highlight w:val="none"/>
                <w14:textFill>
                  <w14:solidFill>
                    <w14:schemeClr w14:val="tx1"/>
                  </w14:solidFill>
                </w14:textFill>
              </w:rPr>
              <w:t>安装减震基础。</w:t>
            </w:r>
          </w:p>
          <w:p w14:paraId="44A6A266">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3 \* GB3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③</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建筑隔声：通过</w:t>
            </w:r>
            <w:r>
              <w:rPr>
                <w:rFonts w:hint="eastAsia" w:cs="Times New Roman"/>
                <w:color w:val="000000" w:themeColor="text1"/>
                <w:highlight w:val="none"/>
                <w:lang w:val="en-US" w:eastAsia="zh-CN"/>
                <w14:textFill>
                  <w14:solidFill>
                    <w14:schemeClr w14:val="tx1"/>
                  </w14:solidFill>
                </w14:textFill>
              </w:rPr>
              <w:t>厂房</w:t>
            </w:r>
            <w:r>
              <w:rPr>
                <w:rFonts w:hint="default" w:ascii="Times New Roman" w:hAnsi="Times New Roman" w:cs="Times New Roman"/>
                <w:color w:val="000000" w:themeColor="text1"/>
                <w:highlight w:val="none"/>
                <w14:textFill>
                  <w14:solidFill>
                    <w14:schemeClr w14:val="tx1"/>
                  </w14:solidFill>
                </w14:textFill>
              </w:rPr>
              <w:t>墙体隔声。</w:t>
            </w:r>
          </w:p>
          <w:p w14:paraId="42D259E5">
            <w:pPr>
              <w:pStyle w:val="5"/>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监测要求</w:t>
            </w:r>
          </w:p>
          <w:p w14:paraId="0BA4D1C4">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结合《排污许可证申请与核发技术规范工业噪声》（HJ1301-2023）等规范要求，本项目噪声监测计划详见下表。</w:t>
            </w:r>
          </w:p>
          <w:p w14:paraId="4112ADA9">
            <w:pPr>
              <w:pStyle w:val="6"/>
              <w:numPr>
                <w:ilvl w:val="4"/>
                <w:numId w:val="0"/>
              </w:numPr>
              <w:bidi w:val="0"/>
              <w:ind w:leftChars="0"/>
              <w:jc w:val="center"/>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表4-</w:t>
            </w:r>
            <w:r>
              <w:rPr>
                <w:rFonts w:hint="eastAsia" w:cs="Times New Roman"/>
                <w:color w:val="000000" w:themeColor="text1"/>
                <w:highlight w:val="none"/>
                <w:lang w:val="en-US" w:eastAsia="zh-CN"/>
                <w14:textFill>
                  <w14:solidFill>
                    <w14:schemeClr w14:val="tx1"/>
                  </w14:solidFill>
                </w14:textFill>
              </w:rPr>
              <w:t>20</w:t>
            </w:r>
            <w:r>
              <w:rPr>
                <w:rFonts w:hint="eastAsia"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监测要求一览表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4"/>
              <w:gridCol w:w="1275"/>
              <w:gridCol w:w="1968"/>
              <w:gridCol w:w="1880"/>
            </w:tblGrid>
            <w:tr w14:paraId="54AA9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1" w:hRule="atLeast"/>
                <w:jc w:val="center"/>
              </w:trPr>
              <w:tc>
                <w:tcPr>
                  <w:tcW w:w="1800" w:type="pct"/>
                  <w:tcBorders>
                    <w:tl2br w:val="nil"/>
                    <w:tr2bl w:val="nil"/>
                  </w:tcBorders>
                  <w:noWrap w:val="0"/>
                  <w:vAlign w:val="center"/>
                </w:tcPr>
                <w:p w14:paraId="7C8D41A5">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监测点位</w:t>
                  </w:r>
                </w:p>
              </w:tc>
              <w:tc>
                <w:tcPr>
                  <w:tcW w:w="796" w:type="pct"/>
                  <w:tcBorders>
                    <w:tl2br w:val="nil"/>
                    <w:tr2bl w:val="nil"/>
                  </w:tcBorders>
                  <w:noWrap w:val="0"/>
                  <w:tcMar>
                    <w:top w:w="28" w:type="dxa"/>
                    <w:left w:w="28" w:type="dxa"/>
                    <w:bottom w:w="28" w:type="dxa"/>
                    <w:right w:w="28" w:type="dxa"/>
                  </w:tcMar>
                  <w:vAlign w:val="center"/>
                </w:tcPr>
                <w:p w14:paraId="12C82BE5">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点位数</w:t>
                  </w:r>
                </w:p>
              </w:tc>
              <w:tc>
                <w:tcPr>
                  <w:tcW w:w="1228" w:type="pct"/>
                  <w:tcBorders>
                    <w:tl2br w:val="nil"/>
                    <w:tr2bl w:val="nil"/>
                  </w:tcBorders>
                  <w:noWrap w:val="0"/>
                  <w:vAlign w:val="center"/>
                </w:tcPr>
                <w:p w14:paraId="2F385D06">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监测因子</w:t>
                  </w:r>
                </w:p>
              </w:tc>
              <w:tc>
                <w:tcPr>
                  <w:tcW w:w="1173" w:type="pct"/>
                  <w:tcBorders>
                    <w:tl2br w:val="nil"/>
                    <w:tr2bl w:val="nil"/>
                  </w:tcBorders>
                  <w:noWrap w:val="0"/>
                  <w:vAlign w:val="center"/>
                </w:tcPr>
                <w:p w14:paraId="133F3C36">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监测频次</w:t>
                  </w:r>
                </w:p>
              </w:tc>
            </w:tr>
            <w:tr w14:paraId="7BAD9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0" w:type="pct"/>
                  <w:tcBorders>
                    <w:tl2br w:val="nil"/>
                    <w:tr2bl w:val="nil"/>
                  </w:tcBorders>
                  <w:noWrap w:val="0"/>
                  <w:vAlign w:val="center"/>
                </w:tcPr>
                <w:p w14:paraId="64D1006D">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B5</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B6栋厂房外</w:t>
                  </w:r>
                  <w:r>
                    <w:rPr>
                      <w:rFonts w:hint="default" w:ascii="Times New Roman" w:hAnsi="Times New Roman" w:cs="Times New Roman"/>
                      <w:color w:val="000000" w:themeColor="text1"/>
                      <w:highlight w:val="none"/>
                      <w14:textFill>
                        <w14:solidFill>
                          <w14:schemeClr w14:val="tx1"/>
                        </w14:solidFill>
                      </w14:textFill>
                    </w:rPr>
                    <w:t>1m</w:t>
                  </w:r>
                </w:p>
              </w:tc>
              <w:tc>
                <w:tcPr>
                  <w:tcW w:w="796" w:type="pct"/>
                  <w:tcBorders>
                    <w:tl2br w:val="nil"/>
                    <w:tr2bl w:val="nil"/>
                  </w:tcBorders>
                  <w:noWrap w:val="0"/>
                  <w:tcMar>
                    <w:top w:w="28" w:type="dxa"/>
                    <w:left w:w="28" w:type="dxa"/>
                    <w:bottom w:w="28" w:type="dxa"/>
                    <w:right w:w="28" w:type="dxa"/>
                  </w:tcMar>
                  <w:vAlign w:val="center"/>
                </w:tcPr>
                <w:p w14:paraId="454EFA8C">
                  <w:pPr>
                    <w:pStyle w:val="56"/>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w:t>
                  </w:r>
                </w:p>
              </w:tc>
              <w:tc>
                <w:tcPr>
                  <w:tcW w:w="1228" w:type="pct"/>
                  <w:tcBorders>
                    <w:tl2br w:val="nil"/>
                    <w:tr2bl w:val="nil"/>
                  </w:tcBorders>
                  <w:noWrap w:val="0"/>
                  <w:vAlign w:val="center"/>
                </w:tcPr>
                <w:p w14:paraId="1096B5DF">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等效连续A声级</w:t>
                  </w:r>
                </w:p>
              </w:tc>
              <w:tc>
                <w:tcPr>
                  <w:tcW w:w="1173" w:type="pct"/>
                  <w:tcBorders>
                    <w:tl2br w:val="nil"/>
                    <w:tr2bl w:val="nil"/>
                  </w:tcBorders>
                  <w:noWrap w:val="0"/>
                  <w:vAlign w:val="center"/>
                </w:tcPr>
                <w:p w14:paraId="676ECA14">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1次/季度</w:t>
                  </w:r>
                </w:p>
              </w:tc>
            </w:tr>
          </w:tbl>
          <w:p w14:paraId="5868E451">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固体废物</w:t>
            </w:r>
          </w:p>
          <w:p w14:paraId="1212D9F8">
            <w:pPr>
              <w:pStyle w:val="5"/>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固体废物产生及处置情况</w:t>
            </w:r>
          </w:p>
          <w:p w14:paraId="3DED2782">
            <w:pPr>
              <w:pStyle w:val="50"/>
              <w:bidi w:val="0"/>
              <w:ind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本项目运营期的固体废物主要为洗衣</w:t>
            </w:r>
            <w:r>
              <w:rPr>
                <w:rFonts w:hint="eastAsia" w:cs="Times New Roman"/>
                <w:color w:val="000000" w:themeColor="text1"/>
                <w:highlight w:val="none"/>
                <w:lang w:val="en-US" w:eastAsia="zh-CN"/>
                <w14:textFill>
                  <w14:solidFill>
                    <w14:schemeClr w14:val="tx1"/>
                  </w14:solidFill>
                </w14:textFill>
              </w:rPr>
              <w:t>液</w:t>
            </w:r>
            <w:r>
              <w:rPr>
                <w:rFonts w:hint="default" w:ascii="Times New Roman" w:hAnsi="Times New Roman" w:cs="Times New Roman"/>
                <w:color w:val="000000" w:themeColor="text1"/>
                <w:highlight w:val="none"/>
                <w:lang w:val="en-US" w:eastAsia="zh-CN"/>
                <w14:textFill>
                  <w14:solidFill>
                    <w14:schemeClr w14:val="tx1"/>
                  </w14:solidFill>
                </w14:textFill>
              </w:rPr>
              <w:t>等辅料</w:t>
            </w:r>
            <w:r>
              <w:rPr>
                <w:rFonts w:hint="eastAsia" w:cs="Times New Roman"/>
                <w:color w:val="000000" w:themeColor="text1"/>
                <w:highlight w:val="none"/>
                <w:lang w:val="en-US" w:eastAsia="zh-CN"/>
                <w14:textFill>
                  <w14:solidFill>
                    <w14:schemeClr w14:val="tx1"/>
                  </w14:solidFill>
                </w14:textFill>
              </w:rPr>
              <w:t>废包装材料</w:t>
            </w:r>
            <w:r>
              <w:rPr>
                <w:rFonts w:hint="default" w:ascii="Times New Roman" w:hAnsi="Times New Roman" w:cs="Times New Roman"/>
                <w:color w:val="000000" w:themeColor="text1"/>
                <w:highlight w:val="none"/>
                <w:lang w:val="en-US" w:eastAsia="zh-CN"/>
                <w14:textFill>
                  <w14:solidFill>
                    <w14:schemeClr w14:val="tx1"/>
                  </w14:solidFill>
                </w14:textFill>
              </w:rPr>
              <w:t>、职工生活垃圾、污水处理站污泥</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生物质</w:t>
            </w:r>
            <w:r>
              <w:rPr>
                <w:rFonts w:hint="eastAsia" w:cs="Times New Roman"/>
                <w:color w:val="000000" w:themeColor="text1"/>
                <w:highlight w:val="none"/>
                <w:lang w:val="en-US" w:eastAsia="zh-CN"/>
                <w14:textFill>
                  <w14:solidFill>
                    <w14:schemeClr w14:val="tx1"/>
                  </w14:solidFill>
                </w14:textFill>
              </w:rPr>
              <w:t>燃料</w:t>
            </w:r>
            <w:r>
              <w:rPr>
                <w:rFonts w:hint="default" w:ascii="Times New Roman" w:hAnsi="Times New Roman" w:cs="Times New Roman"/>
                <w:color w:val="000000" w:themeColor="text1"/>
                <w:highlight w:val="none"/>
                <w:lang w:val="en-US" w:eastAsia="zh-CN"/>
                <w14:textFill>
                  <w14:solidFill>
                    <w14:schemeClr w14:val="tx1"/>
                  </w14:solidFill>
                </w14:textFill>
              </w:rPr>
              <w:t>产生的灰渣</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废树脂</w:t>
            </w:r>
            <w:r>
              <w:rPr>
                <w:rFonts w:hint="eastAsia" w:cs="Times New Roman"/>
                <w:color w:val="000000" w:themeColor="text1"/>
                <w:highlight w:val="none"/>
                <w:lang w:val="en-US" w:eastAsia="zh-CN"/>
                <w14:textFill>
                  <w14:solidFill>
                    <w14:schemeClr w14:val="tx1"/>
                  </w14:solidFill>
                </w14:textFill>
              </w:rPr>
              <w:t>及除尘灰</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53C34813">
            <w:pPr>
              <w:pStyle w:val="5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(1)废弃包装材料</w:t>
            </w:r>
          </w:p>
          <w:p w14:paraId="4A844C6D">
            <w:pPr>
              <w:pStyle w:val="5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本项日废弃包装材料包括</w:t>
            </w:r>
            <w:r>
              <w:rPr>
                <w:rFonts w:hint="eastAsia" w:cs="Times New Roman"/>
                <w:color w:val="000000" w:themeColor="text1"/>
                <w:highlight w:val="none"/>
                <w:lang w:val="en-US" w:eastAsia="zh-CN"/>
                <w14:textFill>
                  <w14:solidFill>
                    <w14:schemeClr w14:val="tx1"/>
                  </w14:solidFill>
                </w14:textFill>
              </w:rPr>
              <w:t>洗衣液桶、硅油桶和软化剂桶</w:t>
            </w:r>
            <w:r>
              <w:rPr>
                <w:rFonts w:hint="default" w:ascii="Times New Roman" w:hAnsi="Times New Roman" w:cs="Times New Roman"/>
                <w:color w:val="000000" w:themeColor="text1"/>
                <w:highlight w:val="none"/>
                <w:lang w:val="en-US" w:eastAsia="zh-CN"/>
                <w14:textFill>
                  <w14:solidFill>
                    <w14:schemeClr w14:val="tx1"/>
                  </w14:solidFill>
                </w14:textFill>
              </w:rPr>
              <w:t>等，类比同类行业，产生量约0.3ta。统一收集暂存于</w:t>
            </w:r>
            <w:r>
              <w:rPr>
                <w:rFonts w:hint="eastAsia" w:cs="Times New Roman"/>
                <w:color w:val="000000" w:themeColor="text1"/>
                <w:highlight w:val="none"/>
                <w:lang w:val="en-US" w:eastAsia="zh-CN"/>
                <w14:textFill>
                  <w14:solidFill>
                    <w14:schemeClr w14:val="tx1"/>
                  </w14:solidFill>
                </w14:textFill>
              </w:rPr>
              <w:t>一般固废贮存点</w:t>
            </w:r>
            <w:r>
              <w:rPr>
                <w:rFonts w:hint="default" w:ascii="Times New Roman" w:hAnsi="Times New Roman" w:cs="Times New Roman"/>
                <w:color w:val="000000" w:themeColor="text1"/>
                <w:highlight w:val="none"/>
                <w:lang w:val="en-US" w:eastAsia="zh-CN"/>
                <w14:textFill>
                  <w14:solidFill>
                    <w14:schemeClr w14:val="tx1"/>
                  </w14:solidFill>
                </w14:textFill>
              </w:rPr>
              <w:t>，并定期外卖至废品收购站。</w:t>
            </w:r>
          </w:p>
          <w:p w14:paraId="5966DBCE">
            <w:pPr>
              <w:pStyle w:val="5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)灰渣</w:t>
            </w:r>
            <w:r>
              <w:rPr>
                <w:rFonts w:hint="eastAsia" w:cs="Times New Roman"/>
                <w:color w:val="000000" w:themeColor="text1"/>
                <w:highlight w:val="none"/>
                <w:lang w:val="en-US" w:eastAsia="zh-CN"/>
                <w14:textFill>
                  <w14:solidFill>
                    <w14:schemeClr w14:val="tx1"/>
                  </w14:solidFill>
                </w14:textFill>
              </w:rPr>
              <w:t>及收集粉尘</w:t>
            </w:r>
          </w:p>
          <w:p w14:paraId="6CCDC22C">
            <w:pPr>
              <w:pStyle w:val="5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生物质颗粒燃烧会产生灰渣，根据生物质颗粒灰分含量</w:t>
            </w:r>
            <w:r>
              <w:rPr>
                <w:rFonts w:hint="eastAsia"/>
                <w:color w:val="000000" w:themeColor="text1"/>
                <w:highlight w:val="none"/>
                <w:lang w:val="en-US" w:eastAsia="zh-CN"/>
                <w14:textFill>
                  <w14:solidFill>
                    <w14:schemeClr w14:val="tx1"/>
                  </w14:solidFill>
                </w14:textFill>
              </w:rPr>
              <w:t>1.3%</w:t>
            </w:r>
            <w:r>
              <w:rPr>
                <w:rFonts w:hint="eastAsia" w:cs="Times New Roman"/>
                <w:b w:val="0"/>
                <w:bCs w:val="0"/>
                <w:color w:val="000000" w:themeColor="text1"/>
                <w:sz w:val="24"/>
                <w:szCs w:val="24"/>
                <w:highlight w:val="none"/>
                <w:lang w:val="en-US" w:eastAsia="zh-CN"/>
                <w14:textFill>
                  <w14:solidFill>
                    <w14:schemeClr w14:val="tx1"/>
                  </w14:solidFill>
                </w14:textFill>
              </w:rPr>
              <w:t>，年用成型的生物质颗粒1197t/a,产生的灰渣约15.561t/a，收集粉尘约0.593t/a，</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集中收集后</w:t>
            </w:r>
            <w:r>
              <w:rPr>
                <w:rFonts w:hint="eastAsia" w:cs="Times New Roman"/>
                <w:b w:val="0"/>
                <w:bCs w:val="0"/>
                <w:color w:val="000000" w:themeColor="text1"/>
                <w:sz w:val="24"/>
                <w:szCs w:val="24"/>
                <w:highlight w:val="none"/>
                <w:lang w:val="en-US" w:eastAsia="zh-CN"/>
                <w14:textFill>
                  <w14:solidFill>
                    <w14:schemeClr w14:val="tx1"/>
                  </w14:solidFill>
                </w14:textFill>
              </w:rPr>
              <w:t>外售</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p>
          <w:p w14:paraId="46A2AA52">
            <w:pPr>
              <w:pStyle w:val="5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)软水离子交换废树脂</w:t>
            </w:r>
          </w:p>
          <w:p w14:paraId="575B5722">
            <w:pPr>
              <w:pStyle w:val="5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业主提供运行资料，本项目每年需要将锅炉运至厂家进行检修，同时更换软水离子交换废树脂，每年更换一次，更换量为0.0lta,“属于一般工业固废本项目更换树脂过程在设备厂家进行，废树脂由厂家负责收集处置，不在厂区内存放，对本项目周边环境影响较小。</w:t>
            </w:r>
          </w:p>
          <w:p w14:paraId="35D3057C">
            <w:pPr>
              <w:pStyle w:val="50"/>
              <w:bidi w:val="0"/>
              <w:rPr>
                <w:rFonts w:hint="eastAsia" w:asciiTheme="minorEastAsia" w:hAnsiTheme="minorEastAsia" w:eastAsiaTheme="minorEastAsia" w:cstheme="minorEastAsia"/>
                <w:sz w:val="24"/>
                <w:szCs w:val="24"/>
                <w:highlight w:val="none"/>
                <w:lang w:val="en-US" w:eastAsia="zh-CN"/>
              </w:rPr>
            </w:pPr>
            <w:r>
              <w:rPr>
                <w:rFonts w:hint="eastAsia" w:cs="Times New Roman"/>
                <w:color w:val="000000" w:themeColor="text1"/>
                <w:highlight w:val="none"/>
                <w:lang w:val="en-US" w:eastAsia="zh-CN"/>
                <w14:textFill>
                  <w14:solidFill>
                    <w14:schemeClr w14:val="tx1"/>
                  </w14:solidFill>
                </w14:textFill>
              </w:rPr>
              <w:t>（4）烘干废气收集的</w:t>
            </w:r>
            <w:r>
              <w:rPr>
                <w:rFonts w:hint="eastAsia" w:asciiTheme="minorEastAsia" w:hAnsiTheme="minorEastAsia" w:eastAsiaTheme="minorEastAsia" w:cstheme="minorEastAsia"/>
                <w:sz w:val="24"/>
                <w:szCs w:val="24"/>
                <w:highlight w:val="none"/>
                <w:lang w:val="en-US" w:eastAsia="zh-CN"/>
              </w:rPr>
              <w:t>粉尘</w:t>
            </w:r>
          </w:p>
          <w:p w14:paraId="4B5790D1">
            <w:pPr>
              <w:pStyle w:val="5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heme="minorEastAsia" w:hAnsiTheme="minorEastAsia" w:eastAsiaTheme="minorEastAsia" w:cstheme="minorEastAsia"/>
                <w:sz w:val="24"/>
                <w:szCs w:val="24"/>
                <w:highlight w:val="none"/>
                <w:lang w:val="en-US" w:eastAsia="zh-CN"/>
              </w:rPr>
              <w:t>烘干废气处理效率约99%，产生量约0.72t/a，则粉尘收集量0.7128t/a，交环卫部门处理。</w:t>
            </w:r>
          </w:p>
          <w:p w14:paraId="1DC61E1D">
            <w:pPr>
              <w:pStyle w:val="5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)生活垃圾</w:t>
            </w:r>
          </w:p>
          <w:p w14:paraId="19EE537D">
            <w:pPr>
              <w:pStyle w:val="5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w:t>
            </w:r>
            <w:r>
              <w:rPr>
                <w:rFonts w:hint="default" w:ascii="Times New Roman" w:hAnsi="Times New Roman" w:cs="Times New Roman"/>
                <w:color w:val="000000" w:themeColor="text1"/>
                <w:highlight w:val="none"/>
                <w:lang w:val="en-US" w:eastAsia="zh-CN"/>
                <w14:textFill>
                  <w14:solidFill>
                    <w14:schemeClr w14:val="tx1"/>
                  </w14:solidFill>
                </w14:textFill>
              </w:rPr>
              <w:t>活垃圾产生量以0.5kg/人·d计，本厂区员工10人，生活垃圾产生量为5kg/d;全年工作300天，则运营期生活垃圾总产生量为1.5ta。统一收集后委托当地环卫部门统一清运处理。</w:t>
            </w:r>
          </w:p>
          <w:p w14:paraId="3B8A37D8">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固废产生量及处置情况见</w:t>
            </w:r>
            <w:r>
              <w:rPr>
                <w:rFonts w:hint="default" w:ascii="Times New Roman" w:hAnsi="Times New Roman" w:cs="Times New Roman"/>
                <w:color w:val="000000" w:themeColor="text1"/>
                <w:highlight w:val="none"/>
                <w:lang w:val="en-US" w:eastAsia="zh-CN"/>
                <w14:textFill>
                  <w14:solidFill>
                    <w14:schemeClr w14:val="tx1"/>
                  </w14:solidFill>
                </w14:textFill>
              </w:rPr>
              <w:t>下</w:t>
            </w:r>
            <w:r>
              <w:rPr>
                <w:rFonts w:hint="default" w:ascii="Times New Roman" w:hAnsi="Times New Roman" w:cs="Times New Roman"/>
                <w:color w:val="000000" w:themeColor="text1"/>
                <w:highlight w:val="none"/>
                <w14:textFill>
                  <w14:solidFill>
                    <w14:schemeClr w14:val="tx1"/>
                  </w14:solidFill>
                </w14:textFill>
              </w:rPr>
              <w:t>表。</w:t>
            </w:r>
          </w:p>
          <w:p w14:paraId="43ED13AF">
            <w:pPr>
              <w:pStyle w:val="6"/>
              <w:numPr>
                <w:ilvl w:val="4"/>
                <w:numId w:val="0"/>
              </w:numPr>
              <w:bidi w:val="0"/>
              <w:ind w:leftChars="0"/>
              <w:jc w:val="center"/>
              <w:rPr>
                <w:rFonts w:hint="eastAsia" w:cs="Times New Roman"/>
                <w:color w:val="000000" w:themeColor="text1"/>
                <w:highlight w:val="none"/>
                <w:lang w:val="en-US" w:eastAsia="zh-CN"/>
                <w14:textFill>
                  <w14:solidFill>
                    <w14:schemeClr w14:val="tx1"/>
                  </w14:solidFill>
                </w14:textFill>
              </w:rPr>
            </w:pPr>
          </w:p>
          <w:p w14:paraId="56CFDB69">
            <w:pPr>
              <w:pStyle w:val="6"/>
              <w:numPr>
                <w:ilvl w:val="4"/>
                <w:numId w:val="0"/>
              </w:numPr>
              <w:bidi w:val="0"/>
              <w:ind w:leftChars="0"/>
              <w:jc w:val="center"/>
              <w:rPr>
                <w:rFonts w:hint="eastAsia" w:cs="Times New Roman"/>
                <w:color w:val="000000" w:themeColor="text1"/>
                <w:highlight w:val="none"/>
                <w:lang w:val="en-US" w:eastAsia="zh-CN"/>
                <w14:textFill>
                  <w14:solidFill>
                    <w14:schemeClr w14:val="tx1"/>
                  </w14:solidFill>
                </w14:textFill>
              </w:rPr>
            </w:pPr>
          </w:p>
          <w:p w14:paraId="617271F2">
            <w:pPr>
              <w:pStyle w:val="6"/>
              <w:numPr>
                <w:ilvl w:val="4"/>
                <w:numId w:val="0"/>
              </w:numPr>
              <w:bidi w:val="0"/>
              <w:ind w:leftChars="0"/>
              <w:jc w:val="center"/>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表4-</w:t>
            </w:r>
            <w:r>
              <w:rPr>
                <w:rFonts w:hint="eastAsia" w:cs="Times New Roman"/>
                <w:color w:val="000000" w:themeColor="text1"/>
                <w:highlight w:val="none"/>
                <w:lang w:val="en-US" w:eastAsia="zh-CN"/>
                <w14:textFill>
                  <w14:solidFill>
                    <w14:schemeClr w14:val="tx1"/>
                  </w14:solidFill>
                </w14:textFill>
              </w:rPr>
              <w:t>21</w:t>
            </w:r>
            <w:r>
              <w:rPr>
                <w:rFonts w:hint="eastAsia"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固废产生量及处置情况汇总表</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775"/>
              <w:gridCol w:w="607"/>
              <w:gridCol w:w="1343"/>
              <w:gridCol w:w="571"/>
              <w:gridCol w:w="880"/>
              <w:gridCol w:w="890"/>
              <w:gridCol w:w="583"/>
              <w:gridCol w:w="746"/>
              <w:gridCol w:w="853"/>
            </w:tblGrid>
            <w:tr w14:paraId="53BC5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71" w:type="pct"/>
                  <w:vMerge w:val="restart"/>
                  <w:tcBorders>
                    <w:tl2br w:val="nil"/>
                    <w:tr2bl w:val="nil"/>
                  </w:tcBorders>
                  <w:noWrap w:val="0"/>
                  <w:vAlign w:val="center"/>
                </w:tcPr>
                <w:p w14:paraId="2B033B66">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产生环节</w:t>
                  </w:r>
                </w:p>
              </w:tc>
              <w:tc>
                <w:tcPr>
                  <w:tcW w:w="484" w:type="pct"/>
                  <w:vMerge w:val="restart"/>
                  <w:tcBorders>
                    <w:tl2br w:val="nil"/>
                    <w:tr2bl w:val="nil"/>
                  </w:tcBorders>
                  <w:noWrap w:val="0"/>
                  <w:tcMar>
                    <w:top w:w="28" w:type="dxa"/>
                    <w:left w:w="28" w:type="dxa"/>
                    <w:bottom w:w="28" w:type="dxa"/>
                    <w:right w:w="28" w:type="dxa"/>
                  </w:tcMar>
                  <w:vAlign w:val="center"/>
                </w:tcPr>
                <w:p w14:paraId="614FB090">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固废名称</w:t>
                  </w:r>
                </w:p>
              </w:tc>
              <w:tc>
                <w:tcPr>
                  <w:tcW w:w="1218" w:type="pct"/>
                  <w:gridSpan w:val="2"/>
                  <w:tcBorders>
                    <w:tl2br w:val="nil"/>
                    <w:tr2bl w:val="nil"/>
                  </w:tcBorders>
                  <w:noWrap w:val="0"/>
                  <w:tcMar>
                    <w:top w:w="28" w:type="dxa"/>
                    <w:left w:w="28" w:type="dxa"/>
                    <w:bottom w:w="28" w:type="dxa"/>
                    <w:right w:w="28" w:type="dxa"/>
                  </w:tcMar>
                  <w:vAlign w:val="center"/>
                </w:tcPr>
                <w:p w14:paraId="335C5114">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固废属性</w:t>
                  </w:r>
                </w:p>
              </w:tc>
              <w:tc>
                <w:tcPr>
                  <w:tcW w:w="356" w:type="pct"/>
                  <w:vMerge w:val="restart"/>
                  <w:tcBorders>
                    <w:tl2br w:val="nil"/>
                    <w:tr2bl w:val="nil"/>
                  </w:tcBorders>
                  <w:noWrap w:val="0"/>
                  <w:tcMar>
                    <w:top w:w="28" w:type="dxa"/>
                    <w:left w:w="28" w:type="dxa"/>
                    <w:bottom w:w="28" w:type="dxa"/>
                    <w:right w:w="28" w:type="dxa"/>
                  </w:tcMar>
                  <w:vAlign w:val="center"/>
                </w:tcPr>
                <w:p w14:paraId="7F678608">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物理性状</w:t>
                  </w:r>
                </w:p>
              </w:tc>
              <w:tc>
                <w:tcPr>
                  <w:tcW w:w="549" w:type="pct"/>
                  <w:vMerge w:val="restart"/>
                  <w:tcBorders>
                    <w:tl2br w:val="nil"/>
                    <w:tr2bl w:val="nil"/>
                  </w:tcBorders>
                  <w:noWrap w:val="0"/>
                  <w:tcMar>
                    <w:top w:w="28" w:type="dxa"/>
                    <w:left w:w="28" w:type="dxa"/>
                    <w:bottom w:w="28" w:type="dxa"/>
                    <w:right w:w="28" w:type="dxa"/>
                  </w:tcMar>
                  <w:vAlign w:val="center"/>
                </w:tcPr>
                <w:p w14:paraId="393CD875">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主要成分</w:t>
                  </w:r>
                </w:p>
              </w:tc>
              <w:tc>
                <w:tcPr>
                  <w:tcW w:w="556" w:type="pct"/>
                  <w:vMerge w:val="restart"/>
                  <w:tcBorders>
                    <w:tl2br w:val="nil"/>
                    <w:tr2bl w:val="nil"/>
                  </w:tcBorders>
                  <w:noWrap w:val="0"/>
                  <w:tcMar>
                    <w:top w:w="28" w:type="dxa"/>
                    <w:left w:w="28" w:type="dxa"/>
                    <w:bottom w:w="28" w:type="dxa"/>
                    <w:right w:w="28" w:type="dxa"/>
                  </w:tcMar>
                  <w:vAlign w:val="center"/>
                </w:tcPr>
                <w:p w14:paraId="6801E544">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主要有毒有害物质名称</w:t>
                  </w:r>
                </w:p>
              </w:tc>
              <w:tc>
                <w:tcPr>
                  <w:tcW w:w="364" w:type="pct"/>
                  <w:vMerge w:val="restart"/>
                  <w:tcBorders>
                    <w:tl2br w:val="nil"/>
                    <w:tr2bl w:val="nil"/>
                  </w:tcBorders>
                  <w:noWrap w:val="0"/>
                  <w:tcMar>
                    <w:top w:w="28" w:type="dxa"/>
                    <w:left w:w="28" w:type="dxa"/>
                    <w:bottom w:w="28" w:type="dxa"/>
                    <w:right w:w="28" w:type="dxa"/>
                  </w:tcMar>
                  <w:vAlign w:val="center"/>
                </w:tcPr>
                <w:p w14:paraId="69D3EB1D">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产废周期</w:t>
                  </w:r>
                </w:p>
              </w:tc>
              <w:tc>
                <w:tcPr>
                  <w:tcW w:w="466" w:type="pct"/>
                  <w:vMerge w:val="restart"/>
                  <w:tcBorders>
                    <w:tl2br w:val="nil"/>
                    <w:tr2bl w:val="nil"/>
                  </w:tcBorders>
                  <w:shd w:val="clear" w:color="auto" w:fill="auto"/>
                  <w:noWrap w:val="0"/>
                  <w:tcMar>
                    <w:top w:w="28" w:type="dxa"/>
                    <w:left w:w="28" w:type="dxa"/>
                    <w:bottom w:w="28" w:type="dxa"/>
                    <w:right w:w="28" w:type="dxa"/>
                  </w:tcMar>
                  <w:vAlign w:val="center"/>
                </w:tcPr>
                <w:p w14:paraId="7777703B">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环境危险特性</w:t>
                  </w:r>
                </w:p>
              </w:tc>
              <w:tc>
                <w:tcPr>
                  <w:tcW w:w="532" w:type="pct"/>
                  <w:vMerge w:val="restart"/>
                  <w:tcBorders>
                    <w:tl2br w:val="nil"/>
                    <w:tr2bl w:val="nil"/>
                  </w:tcBorders>
                  <w:shd w:val="clear" w:color="auto" w:fill="auto"/>
                  <w:noWrap w:val="0"/>
                  <w:tcMar>
                    <w:top w:w="28" w:type="dxa"/>
                    <w:left w:w="28" w:type="dxa"/>
                    <w:bottom w:w="28" w:type="dxa"/>
                    <w:right w:w="28" w:type="dxa"/>
                  </w:tcMar>
                  <w:vAlign w:val="center"/>
                </w:tcPr>
                <w:p w14:paraId="398F573E">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产生量（t/a）</w:t>
                  </w:r>
                </w:p>
              </w:tc>
            </w:tr>
            <w:tr w14:paraId="10FFB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71" w:type="pct"/>
                  <w:vMerge w:val="continue"/>
                  <w:tcBorders>
                    <w:tl2br w:val="nil"/>
                    <w:tr2bl w:val="nil"/>
                  </w:tcBorders>
                  <w:noWrap w:val="0"/>
                  <w:vAlign w:val="center"/>
                </w:tcPr>
                <w:p w14:paraId="30048A75">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484" w:type="pct"/>
                  <w:vMerge w:val="continue"/>
                  <w:tcBorders>
                    <w:tl2br w:val="nil"/>
                    <w:tr2bl w:val="nil"/>
                  </w:tcBorders>
                  <w:noWrap w:val="0"/>
                  <w:tcMar>
                    <w:top w:w="28" w:type="dxa"/>
                    <w:left w:w="28" w:type="dxa"/>
                    <w:bottom w:w="28" w:type="dxa"/>
                    <w:right w:w="28" w:type="dxa"/>
                  </w:tcMar>
                  <w:vAlign w:val="center"/>
                </w:tcPr>
                <w:p w14:paraId="1A6D4806">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379" w:type="pct"/>
                  <w:tcBorders>
                    <w:tl2br w:val="nil"/>
                    <w:tr2bl w:val="nil"/>
                  </w:tcBorders>
                  <w:noWrap w:val="0"/>
                  <w:tcMar>
                    <w:top w:w="28" w:type="dxa"/>
                    <w:left w:w="28" w:type="dxa"/>
                    <w:bottom w:w="28" w:type="dxa"/>
                    <w:right w:w="28" w:type="dxa"/>
                  </w:tcMar>
                  <w:vAlign w:val="center"/>
                </w:tcPr>
                <w:p w14:paraId="4EEAACD2">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固废类别</w:t>
                  </w:r>
                </w:p>
              </w:tc>
              <w:tc>
                <w:tcPr>
                  <w:tcW w:w="839" w:type="pct"/>
                  <w:tcBorders>
                    <w:tl2br w:val="nil"/>
                    <w:tr2bl w:val="nil"/>
                  </w:tcBorders>
                  <w:noWrap w:val="0"/>
                  <w:tcMar>
                    <w:top w:w="28" w:type="dxa"/>
                    <w:left w:w="28" w:type="dxa"/>
                    <w:bottom w:w="28" w:type="dxa"/>
                    <w:right w:w="28" w:type="dxa"/>
                  </w:tcMar>
                  <w:vAlign w:val="center"/>
                </w:tcPr>
                <w:p w14:paraId="3A4AE207">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代码</w:t>
                  </w:r>
                </w:p>
              </w:tc>
              <w:tc>
                <w:tcPr>
                  <w:tcW w:w="356" w:type="pct"/>
                  <w:vMerge w:val="continue"/>
                  <w:tcBorders>
                    <w:tl2br w:val="nil"/>
                    <w:tr2bl w:val="nil"/>
                  </w:tcBorders>
                  <w:noWrap w:val="0"/>
                  <w:tcMar>
                    <w:top w:w="28" w:type="dxa"/>
                    <w:left w:w="28" w:type="dxa"/>
                    <w:bottom w:w="28" w:type="dxa"/>
                    <w:right w:w="28" w:type="dxa"/>
                  </w:tcMar>
                  <w:vAlign w:val="center"/>
                </w:tcPr>
                <w:p w14:paraId="0E1C85AB">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549" w:type="pct"/>
                  <w:vMerge w:val="continue"/>
                  <w:tcBorders>
                    <w:tl2br w:val="nil"/>
                    <w:tr2bl w:val="nil"/>
                  </w:tcBorders>
                  <w:noWrap w:val="0"/>
                  <w:tcMar>
                    <w:top w:w="28" w:type="dxa"/>
                    <w:left w:w="28" w:type="dxa"/>
                    <w:bottom w:w="28" w:type="dxa"/>
                    <w:right w:w="28" w:type="dxa"/>
                  </w:tcMar>
                  <w:vAlign w:val="center"/>
                </w:tcPr>
                <w:p w14:paraId="57DDA9ED">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556" w:type="pct"/>
                  <w:vMerge w:val="continue"/>
                  <w:tcBorders>
                    <w:tl2br w:val="nil"/>
                    <w:tr2bl w:val="nil"/>
                  </w:tcBorders>
                  <w:noWrap w:val="0"/>
                  <w:tcMar>
                    <w:top w:w="28" w:type="dxa"/>
                    <w:left w:w="28" w:type="dxa"/>
                    <w:bottom w:w="28" w:type="dxa"/>
                    <w:right w:w="28" w:type="dxa"/>
                  </w:tcMar>
                  <w:vAlign w:val="center"/>
                </w:tcPr>
                <w:p w14:paraId="66E767AD">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364" w:type="pct"/>
                  <w:vMerge w:val="continue"/>
                  <w:tcBorders>
                    <w:tl2br w:val="nil"/>
                    <w:tr2bl w:val="nil"/>
                  </w:tcBorders>
                  <w:noWrap w:val="0"/>
                  <w:tcMar>
                    <w:top w:w="28" w:type="dxa"/>
                    <w:left w:w="28" w:type="dxa"/>
                    <w:bottom w:w="28" w:type="dxa"/>
                    <w:right w:w="28" w:type="dxa"/>
                  </w:tcMar>
                  <w:vAlign w:val="center"/>
                </w:tcPr>
                <w:p w14:paraId="2EE10B04">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p>
              </w:tc>
              <w:tc>
                <w:tcPr>
                  <w:tcW w:w="466" w:type="pct"/>
                  <w:vMerge w:val="continue"/>
                  <w:tcBorders>
                    <w:tl2br w:val="nil"/>
                    <w:tr2bl w:val="nil"/>
                  </w:tcBorders>
                  <w:shd w:val="clear" w:color="auto" w:fill="auto"/>
                  <w:noWrap w:val="0"/>
                  <w:tcMar>
                    <w:top w:w="28" w:type="dxa"/>
                    <w:left w:w="28" w:type="dxa"/>
                    <w:bottom w:w="28" w:type="dxa"/>
                    <w:right w:w="28" w:type="dxa"/>
                  </w:tcMar>
                  <w:vAlign w:val="center"/>
                </w:tcPr>
                <w:p w14:paraId="098FA144">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32" w:type="pct"/>
                  <w:vMerge w:val="continue"/>
                  <w:tcBorders>
                    <w:tl2br w:val="nil"/>
                    <w:tr2bl w:val="nil"/>
                  </w:tcBorders>
                  <w:shd w:val="clear" w:color="auto" w:fill="auto"/>
                  <w:noWrap w:val="0"/>
                  <w:tcMar>
                    <w:top w:w="28" w:type="dxa"/>
                    <w:left w:w="28" w:type="dxa"/>
                    <w:bottom w:w="28" w:type="dxa"/>
                    <w:right w:w="28" w:type="dxa"/>
                  </w:tcMar>
                  <w:vAlign w:val="center"/>
                </w:tcPr>
                <w:p w14:paraId="23049465">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543E3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71" w:type="pct"/>
                  <w:tcBorders>
                    <w:tl2br w:val="nil"/>
                    <w:tr2bl w:val="nil"/>
                  </w:tcBorders>
                  <w:noWrap w:val="0"/>
                  <w:vAlign w:val="center"/>
                </w:tcPr>
                <w:p w14:paraId="04667280">
                  <w:pPr>
                    <w:pStyle w:val="56"/>
                    <w:bidi w:val="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生产</w:t>
                  </w:r>
                </w:p>
              </w:tc>
              <w:tc>
                <w:tcPr>
                  <w:tcW w:w="484" w:type="pct"/>
                  <w:tcBorders>
                    <w:tl2br w:val="nil"/>
                    <w:tr2bl w:val="nil"/>
                  </w:tcBorders>
                  <w:shd w:val="clear" w:color="auto" w:fill="auto"/>
                  <w:noWrap w:val="0"/>
                  <w:tcMar>
                    <w:top w:w="28" w:type="dxa"/>
                    <w:left w:w="28" w:type="dxa"/>
                    <w:bottom w:w="28" w:type="dxa"/>
                    <w:right w:w="28" w:type="dxa"/>
                  </w:tcMar>
                  <w:vAlign w:val="center"/>
                </w:tcPr>
                <w:p w14:paraId="0062134D">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废包装材料</w:t>
                  </w:r>
                </w:p>
              </w:tc>
              <w:tc>
                <w:tcPr>
                  <w:tcW w:w="379" w:type="pct"/>
                  <w:vMerge w:val="restart"/>
                  <w:tcBorders>
                    <w:tl2br w:val="nil"/>
                    <w:tr2bl w:val="nil"/>
                  </w:tcBorders>
                  <w:shd w:val="clear" w:color="auto" w:fill="auto"/>
                  <w:noWrap w:val="0"/>
                  <w:tcMar>
                    <w:top w:w="28" w:type="dxa"/>
                    <w:left w:w="28" w:type="dxa"/>
                    <w:bottom w:w="28" w:type="dxa"/>
                    <w:right w:w="28" w:type="dxa"/>
                  </w:tcMar>
                  <w:vAlign w:val="center"/>
                </w:tcPr>
                <w:p w14:paraId="56E2FE57">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一般工业固废</w:t>
                  </w:r>
                </w:p>
              </w:tc>
              <w:tc>
                <w:tcPr>
                  <w:tcW w:w="839" w:type="pct"/>
                  <w:tcBorders>
                    <w:tl2br w:val="nil"/>
                    <w:tr2bl w:val="nil"/>
                  </w:tcBorders>
                  <w:shd w:val="clear" w:color="auto" w:fill="auto"/>
                  <w:noWrap w:val="0"/>
                  <w:tcMar>
                    <w:top w:w="28" w:type="dxa"/>
                    <w:left w:w="28" w:type="dxa"/>
                    <w:bottom w:w="28" w:type="dxa"/>
                    <w:right w:w="28" w:type="dxa"/>
                  </w:tcMar>
                  <w:vAlign w:val="center"/>
                </w:tcPr>
                <w:p w14:paraId="470232A8">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pacing w:val="-3"/>
                      <w:position w:val="1"/>
                      <w:sz w:val="21"/>
                      <w:szCs w:val="21"/>
                      <w:highlight w:val="none"/>
                      <w:lang w:val="en-US" w:eastAsia="zh-CN"/>
                    </w:rPr>
                    <w:t>900-005-S17</w:t>
                  </w:r>
                </w:p>
              </w:tc>
              <w:tc>
                <w:tcPr>
                  <w:tcW w:w="356" w:type="pct"/>
                  <w:tcBorders>
                    <w:tl2br w:val="nil"/>
                    <w:tr2bl w:val="nil"/>
                  </w:tcBorders>
                  <w:shd w:val="clear" w:color="auto" w:fill="auto"/>
                  <w:noWrap w:val="0"/>
                  <w:tcMar>
                    <w:top w:w="28" w:type="dxa"/>
                    <w:left w:w="28" w:type="dxa"/>
                    <w:bottom w:w="28" w:type="dxa"/>
                    <w:right w:w="28" w:type="dxa"/>
                  </w:tcMar>
                  <w:vAlign w:val="center"/>
                </w:tcPr>
                <w:p w14:paraId="1549F82F">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固态</w:t>
                  </w:r>
                </w:p>
              </w:tc>
              <w:tc>
                <w:tcPr>
                  <w:tcW w:w="549" w:type="pct"/>
                  <w:tcBorders>
                    <w:tl2br w:val="nil"/>
                    <w:tr2bl w:val="nil"/>
                  </w:tcBorders>
                  <w:shd w:val="clear" w:color="auto" w:fill="auto"/>
                  <w:noWrap w:val="0"/>
                  <w:tcMar>
                    <w:top w:w="28" w:type="dxa"/>
                    <w:left w:w="28" w:type="dxa"/>
                    <w:bottom w:w="28" w:type="dxa"/>
                    <w:right w:w="28" w:type="dxa"/>
                  </w:tcMar>
                  <w:vAlign w:val="center"/>
                </w:tcPr>
                <w:p w14:paraId="42034994">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556" w:type="pct"/>
                  <w:tcBorders>
                    <w:tl2br w:val="nil"/>
                    <w:tr2bl w:val="nil"/>
                  </w:tcBorders>
                  <w:shd w:val="clear" w:color="auto" w:fill="auto"/>
                  <w:noWrap w:val="0"/>
                  <w:tcMar>
                    <w:top w:w="28" w:type="dxa"/>
                    <w:left w:w="28" w:type="dxa"/>
                    <w:bottom w:w="28" w:type="dxa"/>
                    <w:right w:w="28" w:type="dxa"/>
                  </w:tcMar>
                  <w:vAlign w:val="center"/>
                </w:tcPr>
                <w:p w14:paraId="43B66AD4">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64" w:type="pct"/>
                  <w:tcBorders>
                    <w:tl2br w:val="nil"/>
                    <w:tr2bl w:val="nil"/>
                  </w:tcBorders>
                  <w:shd w:val="clear" w:color="auto" w:fill="auto"/>
                  <w:noWrap w:val="0"/>
                  <w:tcMar>
                    <w:top w:w="28" w:type="dxa"/>
                    <w:left w:w="28" w:type="dxa"/>
                    <w:bottom w:w="28" w:type="dxa"/>
                    <w:right w:w="28" w:type="dxa"/>
                  </w:tcMar>
                  <w:vAlign w:val="center"/>
                </w:tcPr>
                <w:p w14:paraId="32074636">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每天</w:t>
                  </w:r>
                </w:p>
              </w:tc>
              <w:tc>
                <w:tcPr>
                  <w:tcW w:w="466" w:type="pct"/>
                  <w:tcBorders>
                    <w:tl2br w:val="nil"/>
                    <w:tr2bl w:val="nil"/>
                  </w:tcBorders>
                  <w:shd w:val="clear" w:color="auto" w:fill="auto"/>
                  <w:noWrap w:val="0"/>
                  <w:tcMar>
                    <w:top w:w="28" w:type="dxa"/>
                    <w:left w:w="28" w:type="dxa"/>
                    <w:bottom w:w="28" w:type="dxa"/>
                    <w:right w:w="28" w:type="dxa"/>
                  </w:tcMar>
                  <w:vAlign w:val="center"/>
                </w:tcPr>
                <w:p w14:paraId="62D4B6E3">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532" w:type="pct"/>
                  <w:tcBorders>
                    <w:tl2br w:val="nil"/>
                    <w:tr2bl w:val="nil"/>
                  </w:tcBorders>
                  <w:shd w:val="clear" w:color="auto" w:fill="auto"/>
                  <w:noWrap w:val="0"/>
                  <w:tcMar>
                    <w:top w:w="28" w:type="dxa"/>
                    <w:left w:w="28" w:type="dxa"/>
                    <w:bottom w:w="28" w:type="dxa"/>
                    <w:right w:w="28" w:type="dxa"/>
                  </w:tcMar>
                  <w:vAlign w:val="center"/>
                </w:tcPr>
                <w:p w14:paraId="255429A6">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w:t>
                  </w:r>
                </w:p>
              </w:tc>
            </w:tr>
            <w:tr w14:paraId="18E41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71" w:type="pct"/>
                  <w:tcBorders>
                    <w:tl2br w:val="nil"/>
                    <w:tr2bl w:val="nil"/>
                  </w:tcBorders>
                  <w:shd w:val="clear" w:color="auto" w:fill="auto"/>
                  <w:noWrap w:val="0"/>
                  <w:vAlign w:val="center"/>
                </w:tcPr>
                <w:p w14:paraId="243CFEED">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生产</w:t>
                  </w:r>
                </w:p>
              </w:tc>
              <w:tc>
                <w:tcPr>
                  <w:tcW w:w="484" w:type="pct"/>
                  <w:tcBorders>
                    <w:tl2br w:val="nil"/>
                    <w:tr2bl w:val="nil"/>
                  </w:tcBorders>
                  <w:shd w:val="clear" w:color="auto" w:fill="auto"/>
                  <w:noWrap w:val="0"/>
                  <w:tcMar>
                    <w:top w:w="28" w:type="dxa"/>
                    <w:left w:w="28" w:type="dxa"/>
                    <w:bottom w:w="28" w:type="dxa"/>
                    <w:right w:w="28" w:type="dxa"/>
                  </w:tcMar>
                  <w:vAlign w:val="center"/>
                </w:tcPr>
                <w:p w14:paraId="54409E98">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灰渣</w:t>
                  </w:r>
                  <w:r>
                    <w:rPr>
                      <w:rFonts w:hint="eastAsia" w:cs="Times New Roman"/>
                      <w:color w:val="000000" w:themeColor="text1"/>
                      <w:highlight w:val="none"/>
                      <w:lang w:val="en-US" w:eastAsia="zh-CN"/>
                      <w14:textFill>
                        <w14:solidFill>
                          <w14:schemeClr w14:val="tx1"/>
                        </w14:solidFill>
                      </w14:textFill>
                    </w:rPr>
                    <w:t>及收集粉尘</w:t>
                  </w:r>
                </w:p>
              </w:tc>
              <w:tc>
                <w:tcPr>
                  <w:tcW w:w="379" w:type="pct"/>
                  <w:vMerge w:val="continue"/>
                  <w:tcBorders>
                    <w:tl2br w:val="nil"/>
                    <w:tr2bl w:val="nil"/>
                  </w:tcBorders>
                  <w:shd w:val="clear" w:color="auto" w:fill="auto"/>
                  <w:noWrap w:val="0"/>
                  <w:tcMar>
                    <w:top w:w="28" w:type="dxa"/>
                    <w:left w:w="28" w:type="dxa"/>
                    <w:bottom w:w="28" w:type="dxa"/>
                    <w:right w:w="28" w:type="dxa"/>
                  </w:tcMar>
                  <w:vAlign w:val="center"/>
                </w:tcPr>
                <w:p w14:paraId="3C65BEEB">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39" w:type="pct"/>
                  <w:tcBorders>
                    <w:tl2br w:val="nil"/>
                    <w:tr2bl w:val="nil"/>
                  </w:tcBorders>
                  <w:shd w:val="clear" w:color="auto" w:fill="auto"/>
                  <w:noWrap w:val="0"/>
                  <w:tcMar>
                    <w:top w:w="28" w:type="dxa"/>
                    <w:left w:w="28" w:type="dxa"/>
                    <w:bottom w:w="28" w:type="dxa"/>
                    <w:right w:w="28" w:type="dxa"/>
                  </w:tcMar>
                  <w:vAlign w:val="center"/>
                </w:tcPr>
                <w:p w14:paraId="1BA09741">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900-099-S03</w:t>
                  </w:r>
                </w:p>
              </w:tc>
              <w:tc>
                <w:tcPr>
                  <w:tcW w:w="356" w:type="pct"/>
                  <w:tcBorders>
                    <w:tl2br w:val="nil"/>
                    <w:tr2bl w:val="nil"/>
                  </w:tcBorders>
                  <w:shd w:val="clear" w:color="auto" w:fill="auto"/>
                  <w:noWrap w:val="0"/>
                  <w:tcMar>
                    <w:top w:w="28" w:type="dxa"/>
                    <w:left w:w="28" w:type="dxa"/>
                    <w:bottom w:w="28" w:type="dxa"/>
                    <w:right w:w="28" w:type="dxa"/>
                  </w:tcMar>
                  <w:vAlign w:val="center"/>
                </w:tcPr>
                <w:p w14:paraId="77985093">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549" w:type="pct"/>
                  <w:tcBorders>
                    <w:tl2br w:val="nil"/>
                    <w:tr2bl w:val="nil"/>
                  </w:tcBorders>
                  <w:shd w:val="clear" w:color="auto" w:fill="auto"/>
                  <w:noWrap w:val="0"/>
                  <w:tcMar>
                    <w:top w:w="28" w:type="dxa"/>
                    <w:left w:w="28" w:type="dxa"/>
                    <w:bottom w:w="28" w:type="dxa"/>
                    <w:right w:w="28" w:type="dxa"/>
                  </w:tcMar>
                  <w:vAlign w:val="top"/>
                </w:tcPr>
                <w:p w14:paraId="10CF8C04">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556" w:type="pct"/>
                  <w:tcBorders>
                    <w:tl2br w:val="nil"/>
                    <w:tr2bl w:val="nil"/>
                  </w:tcBorders>
                  <w:shd w:val="clear" w:color="auto" w:fill="auto"/>
                  <w:noWrap w:val="0"/>
                  <w:tcMar>
                    <w:top w:w="28" w:type="dxa"/>
                    <w:left w:w="28" w:type="dxa"/>
                    <w:bottom w:w="28" w:type="dxa"/>
                    <w:right w:w="28" w:type="dxa"/>
                  </w:tcMar>
                  <w:vAlign w:val="center"/>
                </w:tcPr>
                <w:p w14:paraId="62FA5B61">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364" w:type="pct"/>
                  <w:tcBorders>
                    <w:tl2br w:val="nil"/>
                    <w:tr2bl w:val="nil"/>
                  </w:tcBorders>
                  <w:shd w:val="clear" w:color="auto" w:fill="auto"/>
                  <w:noWrap w:val="0"/>
                  <w:tcMar>
                    <w:top w:w="28" w:type="dxa"/>
                    <w:left w:w="28" w:type="dxa"/>
                    <w:bottom w:w="28" w:type="dxa"/>
                    <w:right w:w="28" w:type="dxa"/>
                  </w:tcMar>
                  <w:vAlign w:val="center"/>
                </w:tcPr>
                <w:p w14:paraId="31FFAD1F">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每天</w:t>
                  </w:r>
                </w:p>
              </w:tc>
              <w:tc>
                <w:tcPr>
                  <w:tcW w:w="466" w:type="pct"/>
                  <w:tcBorders>
                    <w:tl2br w:val="nil"/>
                    <w:tr2bl w:val="nil"/>
                  </w:tcBorders>
                  <w:shd w:val="clear" w:color="auto" w:fill="auto"/>
                  <w:noWrap w:val="0"/>
                  <w:tcMar>
                    <w:top w:w="28" w:type="dxa"/>
                    <w:left w:w="28" w:type="dxa"/>
                    <w:bottom w:w="28" w:type="dxa"/>
                    <w:right w:w="28" w:type="dxa"/>
                  </w:tcMar>
                  <w:vAlign w:val="center"/>
                </w:tcPr>
                <w:p w14:paraId="572AC1A7">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532" w:type="pct"/>
                  <w:tcBorders>
                    <w:tl2br w:val="nil"/>
                    <w:tr2bl w:val="nil"/>
                  </w:tcBorders>
                  <w:shd w:val="clear" w:color="auto" w:fill="auto"/>
                  <w:noWrap w:val="0"/>
                  <w:tcMar>
                    <w:top w:w="28" w:type="dxa"/>
                    <w:left w:w="28" w:type="dxa"/>
                    <w:bottom w:w="28" w:type="dxa"/>
                    <w:right w:w="28" w:type="dxa"/>
                  </w:tcMar>
                  <w:vAlign w:val="center"/>
                </w:tcPr>
                <w:p w14:paraId="4C8E01F7">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16.154</w:t>
                  </w:r>
                </w:p>
              </w:tc>
            </w:tr>
            <w:tr w14:paraId="47D99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71" w:type="pct"/>
                  <w:tcBorders>
                    <w:tl2br w:val="nil"/>
                    <w:tr2bl w:val="nil"/>
                  </w:tcBorders>
                  <w:shd w:val="clear" w:color="auto" w:fill="auto"/>
                  <w:noWrap w:val="0"/>
                  <w:vAlign w:val="center"/>
                </w:tcPr>
                <w:p w14:paraId="27584A46">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烘干</w:t>
                  </w:r>
                </w:p>
              </w:tc>
              <w:tc>
                <w:tcPr>
                  <w:tcW w:w="484" w:type="pct"/>
                  <w:tcBorders>
                    <w:tl2br w:val="nil"/>
                    <w:tr2bl w:val="nil"/>
                  </w:tcBorders>
                  <w:shd w:val="clear" w:color="auto" w:fill="auto"/>
                  <w:noWrap w:val="0"/>
                  <w:tcMar>
                    <w:top w:w="28" w:type="dxa"/>
                    <w:left w:w="28" w:type="dxa"/>
                    <w:bottom w:w="28" w:type="dxa"/>
                    <w:right w:w="28" w:type="dxa"/>
                  </w:tcMar>
                  <w:vAlign w:val="center"/>
                </w:tcPr>
                <w:p w14:paraId="13A52BC1">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粉尘</w:t>
                  </w:r>
                </w:p>
              </w:tc>
              <w:tc>
                <w:tcPr>
                  <w:tcW w:w="379" w:type="pct"/>
                  <w:vMerge w:val="continue"/>
                  <w:tcBorders>
                    <w:tl2br w:val="nil"/>
                    <w:tr2bl w:val="nil"/>
                  </w:tcBorders>
                  <w:shd w:val="clear" w:color="auto" w:fill="auto"/>
                  <w:noWrap w:val="0"/>
                  <w:tcMar>
                    <w:top w:w="28" w:type="dxa"/>
                    <w:left w:w="28" w:type="dxa"/>
                    <w:bottom w:w="28" w:type="dxa"/>
                    <w:right w:w="28" w:type="dxa"/>
                  </w:tcMar>
                  <w:vAlign w:val="center"/>
                </w:tcPr>
                <w:p w14:paraId="2D485FA5">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39" w:type="pct"/>
                  <w:tcBorders>
                    <w:tl2br w:val="nil"/>
                    <w:tr2bl w:val="nil"/>
                  </w:tcBorders>
                  <w:shd w:val="clear" w:color="auto" w:fill="auto"/>
                  <w:noWrap w:val="0"/>
                  <w:tcMar>
                    <w:top w:w="28" w:type="dxa"/>
                    <w:left w:w="28" w:type="dxa"/>
                    <w:bottom w:w="28" w:type="dxa"/>
                    <w:right w:w="28" w:type="dxa"/>
                  </w:tcMar>
                  <w:vAlign w:val="center"/>
                </w:tcPr>
                <w:p w14:paraId="29F89633">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900-099-S59</w:t>
                  </w:r>
                </w:p>
              </w:tc>
              <w:tc>
                <w:tcPr>
                  <w:tcW w:w="356" w:type="pct"/>
                  <w:tcBorders>
                    <w:tl2br w:val="nil"/>
                    <w:tr2bl w:val="nil"/>
                  </w:tcBorders>
                  <w:shd w:val="clear" w:color="auto" w:fill="auto"/>
                  <w:noWrap w:val="0"/>
                  <w:tcMar>
                    <w:top w:w="28" w:type="dxa"/>
                    <w:left w:w="28" w:type="dxa"/>
                    <w:bottom w:w="28" w:type="dxa"/>
                    <w:right w:w="28" w:type="dxa"/>
                  </w:tcMar>
                  <w:vAlign w:val="center"/>
                </w:tcPr>
                <w:p w14:paraId="0C6F75E0">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549" w:type="pct"/>
                  <w:tcBorders>
                    <w:tl2br w:val="nil"/>
                    <w:tr2bl w:val="nil"/>
                  </w:tcBorders>
                  <w:shd w:val="clear" w:color="auto" w:fill="auto"/>
                  <w:noWrap w:val="0"/>
                  <w:tcMar>
                    <w:top w:w="28" w:type="dxa"/>
                    <w:left w:w="28" w:type="dxa"/>
                    <w:bottom w:w="28" w:type="dxa"/>
                    <w:right w:w="28" w:type="dxa"/>
                  </w:tcMar>
                  <w:vAlign w:val="top"/>
                </w:tcPr>
                <w:p w14:paraId="395ABD49">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556" w:type="pct"/>
                  <w:tcBorders>
                    <w:tl2br w:val="nil"/>
                    <w:tr2bl w:val="nil"/>
                  </w:tcBorders>
                  <w:shd w:val="clear" w:color="auto" w:fill="auto"/>
                  <w:noWrap w:val="0"/>
                  <w:tcMar>
                    <w:top w:w="28" w:type="dxa"/>
                    <w:left w:w="28" w:type="dxa"/>
                    <w:bottom w:w="28" w:type="dxa"/>
                    <w:right w:w="28" w:type="dxa"/>
                  </w:tcMar>
                  <w:vAlign w:val="center"/>
                </w:tcPr>
                <w:p w14:paraId="029C2780">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364" w:type="pct"/>
                  <w:tcBorders>
                    <w:tl2br w:val="nil"/>
                    <w:tr2bl w:val="nil"/>
                  </w:tcBorders>
                  <w:shd w:val="clear" w:color="auto" w:fill="auto"/>
                  <w:noWrap w:val="0"/>
                  <w:tcMar>
                    <w:top w:w="28" w:type="dxa"/>
                    <w:left w:w="28" w:type="dxa"/>
                    <w:bottom w:w="28" w:type="dxa"/>
                    <w:right w:w="28" w:type="dxa"/>
                  </w:tcMar>
                  <w:vAlign w:val="center"/>
                </w:tcPr>
                <w:p w14:paraId="61128562">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每天</w:t>
                  </w:r>
                </w:p>
              </w:tc>
              <w:tc>
                <w:tcPr>
                  <w:tcW w:w="466" w:type="pct"/>
                  <w:tcBorders>
                    <w:tl2br w:val="nil"/>
                    <w:tr2bl w:val="nil"/>
                  </w:tcBorders>
                  <w:shd w:val="clear" w:color="auto" w:fill="auto"/>
                  <w:noWrap w:val="0"/>
                  <w:tcMar>
                    <w:top w:w="28" w:type="dxa"/>
                    <w:left w:w="28" w:type="dxa"/>
                    <w:bottom w:w="28" w:type="dxa"/>
                    <w:right w:w="28" w:type="dxa"/>
                  </w:tcMar>
                  <w:vAlign w:val="center"/>
                </w:tcPr>
                <w:p w14:paraId="2B4C16CC">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532" w:type="pct"/>
                  <w:tcBorders>
                    <w:tl2br w:val="nil"/>
                    <w:tr2bl w:val="nil"/>
                  </w:tcBorders>
                  <w:shd w:val="clear" w:color="auto" w:fill="auto"/>
                  <w:noWrap w:val="0"/>
                  <w:tcMar>
                    <w:top w:w="28" w:type="dxa"/>
                    <w:left w:w="28" w:type="dxa"/>
                    <w:bottom w:w="28" w:type="dxa"/>
                    <w:right w:w="28" w:type="dxa"/>
                  </w:tcMar>
                  <w:vAlign w:val="center"/>
                </w:tcPr>
                <w:p w14:paraId="1D4E3DF5">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0.7128</w:t>
                  </w:r>
                </w:p>
              </w:tc>
            </w:tr>
            <w:tr w14:paraId="09804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7" w:type="pct"/>
                  <w:gridSpan w:val="9"/>
                  <w:tcBorders>
                    <w:tl2br w:val="nil"/>
                    <w:tr2bl w:val="nil"/>
                  </w:tcBorders>
                  <w:noWrap w:val="0"/>
                  <w:vAlign w:val="center"/>
                </w:tcPr>
                <w:p w14:paraId="53080421">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合计</w:t>
                  </w:r>
                </w:p>
              </w:tc>
              <w:tc>
                <w:tcPr>
                  <w:tcW w:w="532" w:type="pct"/>
                  <w:tcBorders>
                    <w:tl2br w:val="nil"/>
                    <w:tr2bl w:val="nil"/>
                  </w:tcBorders>
                  <w:shd w:val="clear" w:color="auto" w:fill="auto"/>
                  <w:noWrap w:val="0"/>
                  <w:tcMar>
                    <w:top w:w="28" w:type="dxa"/>
                    <w:left w:w="28" w:type="dxa"/>
                    <w:bottom w:w="28" w:type="dxa"/>
                    <w:right w:w="28" w:type="dxa"/>
                  </w:tcMar>
                  <w:vAlign w:val="center"/>
                </w:tcPr>
                <w:p w14:paraId="483BECB9">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16.5728</w:t>
                  </w:r>
                </w:p>
              </w:tc>
            </w:tr>
            <w:tr w14:paraId="18488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l2br w:val="nil"/>
                    <w:tr2bl w:val="nil"/>
                  </w:tcBorders>
                  <w:noWrap w:val="0"/>
                  <w:vAlign w:val="center"/>
                </w:tcPr>
                <w:p w14:paraId="39A0DF2B">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办公、生活</w:t>
                  </w:r>
                </w:p>
              </w:tc>
              <w:tc>
                <w:tcPr>
                  <w:tcW w:w="484" w:type="pct"/>
                  <w:tcBorders>
                    <w:tl2br w:val="nil"/>
                    <w:tr2bl w:val="nil"/>
                  </w:tcBorders>
                  <w:noWrap w:val="0"/>
                  <w:tcMar>
                    <w:top w:w="28" w:type="dxa"/>
                    <w:left w:w="28" w:type="dxa"/>
                    <w:bottom w:w="28" w:type="dxa"/>
                    <w:right w:w="28" w:type="dxa"/>
                  </w:tcMar>
                  <w:vAlign w:val="center"/>
                </w:tcPr>
                <w:p w14:paraId="240739E9">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生活垃圾</w:t>
                  </w:r>
                </w:p>
              </w:tc>
              <w:tc>
                <w:tcPr>
                  <w:tcW w:w="379" w:type="pct"/>
                  <w:tcBorders>
                    <w:tl2br w:val="nil"/>
                    <w:tr2bl w:val="nil"/>
                  </w:tcBorders>
                  <w:noWrap w:val="0"/>
                  <w:tcMar>
                    <w:top w:w="28" w:type="dxa"/>
                    <w:left w:w="28" w:type="dxa"/>
                    <w:bottom w:w="28" w:type="dxa"/>
                    <w:right w:w="28" w:type="dxa"/>
                  </w:tcMar>
                  <w:vAlign w:val="center"/>
                </w:tcPr>
                <w:p w14:paraId="1427096A">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生活垃圾</w:t>
                  </w:r>
                </w:p>
              </w:tc>
              <w:tc>
                <w:tcPr>
                  <w:tcW w:w="839" w:type="pct"/>
                  <w:tcBorders>
                    <w:tl2br w:val="nil"/>
                    <w:tr2bl w:val="nil"/>
                  </w:tcBorders>
                  <w:noWrap w:val="0"/>
                  <w:tcMar>
                    <w:top w:w="28" w:type="dxa"/>
                    <w:left w:w="28" w:type="dxa"/>
                    <w:bottom w:w="28" w:type="dxa"/>
                    <w:right w:w="28" w:type="dxa"/>
                  </w:tcMar>
                  <w:vAlign w:val="center"/>
                </w:tcPr>
                <w:p w14:paraId="7FA7D151">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56" w:type="pct"/>
                  <w:tcBorders>
                    <w:tl2br w:val="nil"/>
                    <w:tr2bl w:val="nil"/>
                  </w:tcBorders>
                  <w:noWrap w:val="0"/>
                  <w:tcMar>
                    <w:top w:w="28" w:type="dxa"/>
                    <w:left w:w="28" w:type="dxa"/>
                    <w:bottom w:w="28" w:type="dxa"/>
                    <w:right w:w="28" w:type="dxa"/>
                  </w:tcMar>
                  <w:vAlign w:val="center"/>
                </w:tcPr>
                <w:p w14:paraId="2648A752">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549" w:type="pct"/>
                  <w:tcBorders>
                    <w:tl2br w:val="nil"/>
                    <w:tr2bl w:val="nil"/>
                  </w:tcBorders>
                  <w:noWrap w:val="0"/>
                  <w:tcMar>
                    <w:top w:w="28" w:type="dxa"/>
                    <w:left w:w="28" w:type="dxa"/>
                    <w:bottom w:w="28" w:type="dxa"/>
                    <w:right w:w="28" w:type="dxa"/>
                  </w:tcMar>
                  <w:vAlign w:val="center"/>
                </w:tcPr>
                <w:p w14:paraId="2114C7A7">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556" w:type="pct"/>
                  <w:tcBorders>
                    <w:tl2br w:val="nil"/>
                    <w:tr2bl w:val="nil"/>
                  </w:tcBorders>
                  <w:noWrap w:val="0"/>
                  <w:tcMar>
                    <w:top w:w="28" w:type="dxa"/>
                    <w:left w:w="28" w:type="dxa"/>
                    <w:bottom w:w="28" w:type="dxa"/>
                    <w:right w:w="28" w:type="dxa"/>
                  </w:tcMar>
                  <w:vAlign w:val="center"/>
                </w:tcPr>
                <w:p w14:paraId="788FDE20">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64" w:type="pct"/>
                  <w:tcBorders>
                    <w:tl2br w:val="nil"/>
                    <w:tr2bl w:val="nil"/>
                  </w:tcBorders>
                  <w:noWrap w:val="0"/>
                  <w:tcMar>
                    <w:top w:w="28" w:type="dxa"/>
                    <w:left w:w="28" w:type="dxa"/>
                    <w:bottom w:w="28" w:type="dxa"/>
                    <w:right w:w="28" w:type="dxa"/>
                  </w:tcMar>
                  <w:vAlign w:val="center"/>
                </w:tcPr>
                <w:p w14:paraId="4CDB2251">
                  <w:pPr>
                    <w:pStyle w:val="56"/>
                    <w:bidi w:val="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66" w:type="pct"/>
                  <w:tcBorders>
                    <w:tl2br w:val="nil"/>
                    <w:tr2bl w:val="nil"/>
                  </w:tcBorders>
                  <w:shd w:val="clear" w:color="auto" w:fill="auto"/>
                  <w:noWrap w:val="0"/>
                  <w:tcMar>
                    <w:top w:w="28" w:type="dxa"/>
                    <w:left w:w="28" w:type="dxa"/>
                    <w:bottom w:w="28" w:type="dxa"/>
                    <w:right w:w="28" w:type="dxa"/>
                  </w:tcMar>
                  <w:vAlign w:val="center"/>
                </w:tcPr>
                <w:p w14:paraId="4B1BFE4B">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532" w:type="pct"/>
                  <w:tcBorders>
                    <w:tl2br w:val="nil"/>
                    <w:tr2bl w:val="nil"/>
                  </w:tcBorders>
                  <w:shd w:val="clear" w:color="auto" w:fill="auto"/>
                  <w:noWrap w:val="0"/>
                  <w:tcMar>
                    <w:top w:w="28" w:type="dxa"/>
                    <w:left w:w="28" w:type="dxa"/>
                    <w:bottom w:w="28" w:type="dxa"/>
                    <w:right w:w="28" w:type="dxa"/>
                  </w:tcMar>
                  <w:vAlign w:val="center"/>
                </w:tcPr>
                <w:p w14:paraId="52A28598">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r>
            <w:tr w14:paraId="71307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tcBorders>
                    <w:tl2br w:val="nil"/>
                    <w:tr2bl w:val="nil"/>
                  </w:tcBorders>
                  <w:noWrap w:val="0"/>
                  <w:vAlign w:val="center"/>
                </w:tcPr>
                <w:p w14:paraId="7AE61029">
                  <w:pPr>
                    <w:pStyle w:val="56"/>
                    <w:bidi w:val="0"/>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备注：一般工业固废代码来自《固体废物分类与代码目录》（2024年），危险废物代码来自《国家危险废物名录（2025年版）》，危险特性T表示毒性、C表示腐蚀性、I表示易燃性、R表示反应性、In表示感染性。</w:t>
                  </w:r>
                </w:p>
              </w:tc>
            </w:tr>
          </w:tbl>
          <w:p w14:paraId="3706DB55">
            <w:pPr>
              <w:pStyle w:val="6"/>
              <w:numPr>
                <w:ilvl w:val="4"/>
                <w:numId w:val="0"/>
              </w:numPr>
              <w:bidi w:val="0"/>
              <w:ind w:left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表4-</w:t>
            </w:r>
            <w:r>
              <w:rPr>
                <w:rFonts w:hint="eastAsia"/>
                <w:color w:val="000000" w:themeColor="text1"/>
                <w:highlight w:val="none"/>
                <w:lang w:val="en-US" w:eastAsia="zh-CN"/>
                <w14:textFill>
                  <w14:solidFill>
                    <w14:schemeClr w14:val="tx1"/>
                  </w14:solidFill>
                </w14:textFill>
              </w:rPr>
              <w:t>22</w:t>
            </w:r>
            <w:r>
              <w:rPr>
                <w:rFonts w:hint="eastAsia"/>
                <w:color w:val="000000" w:themeColor="text1"/>
                <w:highlight w:val="none"/>
                <w:lang w:val="en-US" w:eastAsia="zh-CN"/>
                <w14:textFill>
                  <w14:solidFill>
                    <w14:schemeClr w14:val="tx1"/>
                  </w14:solidFill>
                </w14:textFill>
              </w:rPr>
              <w:t>固体废物处置情况表</w:t>
            </w:r>
          </w:p>
          <w:tbl>
            <w:tblPr>
              <w:tblStyle w:val="2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113"/>
              <w:gridCol w:w="1555"/>
              <w:gridCol w:w="1334"/>
              <w:gridCol w:w="1334"/>
              <w:gridCol w:w="1335"/>
            </w:tblGrid>
            <w:tr w14:paraId="19EDF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vAlign w:val="center"/>
                </w:tcPr>
                <w:p w14:paraId="75554E20">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固废名称</w:t>
                  </w:r>
                </w:p>
              </w:tc>
              <w:tc>
                <w:tcPr>
                  <w:tcW w:w="1113" w:type="dxa"/>
                  <w:tcBorders>
                    <w:tl2br w:val="nil"/>
                    <w:tr2bl w:val="nil"/>
                  </w:tcBorders>
                  <w:vAlign w:val="center"/>
                </w:tcPr>
                <w:p w14:paraId="070C3AA1">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固废属性</w:t>
                  </w:r>
                </w:p>
              </w:tc>
              <w:tc>
                <w:tcPr>
                  <w:tcW w:w="1555" w:type="dxa"/>
                  <w:tcBorders>
                    <w:tl2br w:val="nil"/>
                    <w:tr2bl w:val="nil"/>
                  </w:tcBorders>
                  <w:vAlign w:val="center"/>
                </w:tcPr>
                <w:p w14:paraId="50966B23">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贮存方式</w:t>
                  </w:r>
                </w:p>
              </w:tc>
              <w:tc>
                <w:tcPr>
                  <w:tcW w:w="1334" w:type="dxa"/>
                  <w:tcBorders>
                    <w:tl2br w:val="nil"/>
                    <w:tr2bl w:val="nil"/>
                  </w:tcBorders>
                  <w:vAlign w:val="center"/>
                </w:tcPr>
                <w:p w14:paraId="50DC2353">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利用处置方式及去向</w:t>
                  </w:r>
                </w:p>
              </w:tc>
              <w:tc>
                <w:tcPr>
                  <w:tcW w:w="1334" w:type="dxa"/>
                  <w:tcBorders>
                    <w:tl2br w:val="nil"/>
                    <w:tr2bl w:val="nil"/>
                  </w:tcBorders>
                  <w:vAlign w:val="center"/>
                </w:tcPr>
                <w:p w14:paraId="6CDE302E">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利用量（t/a）</w:t>
                  </w:r>
                </w:p>
              </w:tc>
              <w:tc>
                <w:tcPr>
                  <w:tcW w:w="1335" w:type="dxa"/>
                  <w:tcBorders>
                    <w:tl2br w:val="nil"/>
                    <w:tr2bl w:val="nil"/>
                  </w:tcBorders>
                  <w:vAlign w:val="center"/>
                </w:tcPr>
                <w:p w14:paraId="6EB4C84A">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处置量（t/a）</w:t>
                  </w:r>
                </w:p>
              </w:tc>
            </w:tr>
            <w:tr w14:paraId="19819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shd w:val="clear" w:color="auto" w:fill="auto"/>
                  <w:vAlign w:val="center"/>
                </w:tcPr>
                <w:p w14:paraId="2CB8F8EF">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废包装材料</w:t>
                  </w:r>
                </w:p>
              </w:tc>
              <w:tc>
                <w:tcPr>
                  <w:tcW w:w="1113" w:type="dxa"/>
                  <w:vMerge w:val="restart"/>
                  <w:tcBorders>
                    <w:tl2br w:val="nil"/>
                    <w:tr2bl w:val="nil"/>
                  </w:tcBorders>
                  <w:vAlign w:val="center"/>
                </w:tcPr>
                <w:p w14:paraId="0A107E2D">
                  <w:pPr>
                    <w:pStyle w:val="56"/>
                    <w:bidi w:val="0"/>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一般工业固废</w:t>
                  </w:r>
                </w:p>
              </w:tc>
              <w:tc>
                <w:tcPr>
                  <w:tcW w:w="1555" w:type="dxa"/>
                  <w:vMerge w:val="restart"/>
                  <w:tcBorders>
                    <w:tl2br w:val="nil"/>
                    <w:tr2bl w:val="nil"/>
                  </w:tcBorders>
                  <w:vAlign w:val="center"/>
                </w:tcPr>
                <w:p w14:paraId="0872C263">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收集暂存于</w:t>
                  </w:r>
                  <w:r>
                    <w:rPr>
                      <w:rFonts w:hint="eastAsia" w:cs="Times New Roman"/>
                      <w:snapToGrid w:val="0"/>
                      <w:color w:val="000000" w:themeColor="text1"/>
                      <w:szCs w:val="21"/>
                      <w:highlight w:val="none"/>
                      <w:lang w:eastAsia="zh-CN"/>
                      <w14:textFill>
                        <w14:solidFill>
                          <w14:schemeClr w14:val="tx1"/>
                        </w14:solidFill>
                      </w14:textFill>
                    </w:rPr>
                    <w:t>一般固废贮存点</w:t>
                  </w:r>
                </w:p>
              </w:tc>
              <w:tc>
                <w:tcPr>
                  <w:tcW w:w="1334" w:type="dxa"/>
                  <w:vMerge w:val="restart"/>
                  <w:tcBorders>
                    <w:tl2br w:val="nil"/>
                    <w:tr2bl w:val="nil"/>
                  </w:tcBorders>
                  <w:vAlign w:val="center"/>
                </w:tcPr>
                <w:p w14:paraId="078C0621">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外售综合利用</w:t>
                  </w:r>
                </w:p>
              </w:tc>
              <w:tc>
                <w:tcPr>
                  <w:tcW w:w="1334" w:type="dxa"/>
                  <w:tcBorders>
                    <w:tl2br w:val="nil"/>
                    <w:tr2bl w:val="nil"/>
                  </w:tcBorders>
                  <w:shd w:val="clear" w:color="auto" w:fill="auto"/>
                  <w:vAlign w:val="center"/>
                </w:tcPr>
                <w:p w14:paraId="3FF19B46">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w:t>
                  </w:r>
                </w:p>
              </w:tc>
              <w:tc>
                <w:tcPr>
                  <w:tcW w:w="1335" w:type="dxa"/>
                  <w:tcBorders>
                    <w:tl2br w:val="nil"/>
                    <w:tr2bl w:val="nil"/>
                  </w:tcBorders>
                  <w:shd w:val="clear" w:color="auto" w:fill="auto"/>
                  <w:vAlign w:val="center"/>
                </w:tcPr>
                <w:p w14:paraId="62489AD6">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w:t>
                  </w:r>
                </w:p>
              </w:tc>
            </w:tr>
            <w:tr w14:paraId="2C2F1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shd w:val="clear" w:color="auto" w:fill="auto"/>
                  <w:vAlign w:val="center"/>
                </w:tcPr>
                <w:p w14:paraId="4097E77F">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灰渣</w:t>
                  </w:r>
                  <w:r>
                    <w:rPr>
                      <w:rFonts w:hint="eastAsia" w:cs="Times New Roman"/>
                      <w:color w:val="000000" w:themeColor="text1"/>
                      <w:highlight w:val="none"/>
                      <w:lang w:val="en-US" w:eastAsia="zh-CN"/>
                      <w14:textFill>
                        <w14:solidFill>
                          <w14:schemeClr w14:val="tx1"/>
                        </w14:solidFill>
                      </w14:textFill>
                    </w:rPr>
                    <w:t>及收集粉尘</w:t>
                  </w:r>
                </w:p>
              </w:tc>
              <w:tc>
                <w:tcPr>
                  <w:tcW w:w="1113" w:type="dxa"/>
                  <w:vMerge w:val="continue"/>
                  <w:tcBorders>
                    <w:tl2br w:val="nil"/>
                    <w:tr2bl w:val="nil"/>
                  </w:tcBorders>
                  <w:vAlign w:val="center"/>
                </w:tcPr>
                <w:p w14:paraId="2082253B">
                  <w:pPr>
                    <w:pStyle w:val="56"/>
                    <w:bidi w:val="0"/>
                    <w:jc w:val="center"/>
                    <w:rPr>
                      <w:rFonts w:hint="default"/>
                      <w:color w:val="000000" w:themeColor="text1"/>
                      <w:highlight w:val="none"/>
                      <w:lang w:val="en-US" w:eastAsia="zh-CN"/>
                      <w14:textFill>
                        <w14:solidFill>
                          <w14:schemeClr w14:val="tx1"/>
                        </w14:solidFill>
                      </w14:textFill>
                    </w:rPr>
                  </w:pPr>
                </w:p>
              </w:tc>
              <w:tc>
                <w:tcPr>
                  <w:tcW w:w="1555" w:type="dxa"/>
                  <w:vMerge w:val="continue"/>
                  <w:tcBorders>
                    <w:tl2br w:val="nil"/>
                    <w:tr2bl w:val="nil"/>
                  </w:tcBorders>
                  <w:vAlign w:val="center"/>
                </w:tcPr>
                <w:p w14:paraId="658FA5B6">
                  <w:pPr>
                    <w:pStyle w:val="56"/>
                    <w:bidi w:val="0"/>
                    <w:jc w:val="center"/>
                    <w:rPr>
                      <w:rFonts w:hint="default"/>
                      <w:color w:val="000000" w:themeColor="text1"/>
                      <w:highlight w:val="none"/>
                      <w:lang w:val="en-US" w:eastAsia="zh-CN"/>
                      <w14:textFill>
                        <w14:solidFill>
                          <w14:schemeClr w14:val="tx1"/>
                        </w14:solidFill>
                      </w14:textFill>
                    </w:rPr>
                  </w:pPr>
                </w:p>
              </w:tc>
              <w:tc>
                <w:tcPr>
                  <w:tcW w:w="1334" w:type="dxa"/>
                  <w:vMerge w:val="continue"/>
                  <w:tcBorders>
                    <w:tl2br w:val="nil"/>
                    <w:tr2bl w:val="nil"/>
                  </w:tcBorders>
                  <w:vAlign w:val="center"/>
                </w:tcPr>
                <w:p w14:paraId="1CD54430">
                  <w:pPr>
                    <w:pStyle w:val="56"/>
                    <w:bidi w:val="0"/>
                    <w:jc w:val="center"/>
                    <w:rPr>
                      <w:rFonts w:hint="default"/>
                      <w:color w:val="000000" w:themeColor="text1"/>
                      <w:highlight w:val="none"/>
                      <w:lang w:val="en-US" w:eastAsia="zh-CN"/>
                      <w14:textFill>
                        <w14:solidFill>
                          <w14:schemeClr w14:val="tx1"/>
                        </w14:solidFill>
                      </w14:textFill>
                    </w:rPr>
                  </w:pPr>
                </w:p>
              </w:tc>
              <w:tc>
                <w:tcPr>
                  <w:tcW w:w="1334" w:type="dxa"/>
                  <w:tcBorders>
                    <w:tl2br w:val="nil"/>
                    <w:tr2bl w:val="nil"/>
                  </w:tcBorders>
                  <w:shd w:val="clear" w:color="auto" w:fill="auto"/>
                  <w:vAlign w:val="center"/>
                </w:tcPr>
                <w:p w14:paraId="2858A927">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16.154</w:t>
                  </w:r>
                </w:p>
              </w:tc>
              <w:tc>
                <w:tcPr>
                  <w:tcW w:w="1335" w:type="dxa"/>
                  <w:tcBorders>
                    <w:tl2br w:val="nil"/>
                    <w:tr2bl w:val="nil"/>
                  </w:tcBorders>
                  <w:shd w:val="clear" w:color="auto" w:fill="auto"/>
                  <w:vAlign w:val="center"/>
                </w:tcPr>
                <w:p w14:paraId="175FBC68">
                  <w:pPr>
                    <w:pStyle w:val="56"/>
                    <w:bidi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16.154</w:t>
                  </w:r>
                </w:p>
              </w:tc>
            </w:tr>
            <w:tr w14:paraId="24266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shd w:val="clear" w:color="auto" w:fill="auto"/>
                  <w:vAlign w:val="center"/>
                </w:tcPr>
                <w:p w14:paraId="26D40B12">
                  <w:pPr>
                    <w:pStyle w:val="56"/>
                    <w:bidi w:val="0"/>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粉尘</w:t>
                  </w:r>
                </w:p>
              </w:tc>
              <w:tc>
                <w:tcPr>
                  <w:tcW w:w="1113" w:type="dxa"/>
                  <w:vMerge w:val="continue"/>
                  <w:tcBorders>
                    <w:tl2br w:val="nil"/>
                    <w:tr2bl w:val="nil"/>
                  </w:tcBorders>
                  <w:vAlign w:val="center"/>
                </w:tcPr>
                <w:p w14:paraId="63C86FE3">
                  <w:pPr>
                    <w:pStyle w:val="56"/>
                    <w:bidi w:val="0"/>
                    <w:jc w:val="center"/>
                    <w:rPr>
                      <w:rFonts w:hint="default"/>
                      <w:color w:val="000000" w:themeColor="text1"/>
                      <w:highlight w:val="none"/>
                      <w:lang w:val="en-US" w:eastAsia="zh-CN"/>
                      <w14:textFill>
                        <w14:solidFill>
                          <w14:schemeClr w14:val="tx1"/>
                        </w14:solidFill>
                      </w14:textFill>
                    </w:rPr>
                  </w:pPr>
                </w:p>
              </w:tc>
              <w:tc>
                <w:tcPr>
                  <w:tcW w:w="1555" w:type="dxa"/>
                  <w:vMerge w:val="continue"/>
                  <w:tcBorders>
                    <w:tl2br w:val="nil"/>
                    <w:tr2bl w:val="nil"/>
                  </w:tcBorders>
                  <w:vAlign w:val="center"/>
                </w:tcPr>
                <w:p w14:paraId="168D0162">
                  <w:pPr>
                    <w:pStyle w:val="56"/>
                    <w:bidi w:val="0"/>
                    <w:jc w:val="center"/>
                    <w:rPr>
                      <w:rFonts w:hint="default"/>
                      <w:color w:val="000000" w:themeColor="text1"/>
                      <w:highlight w:val="none"/>
                      <w:lang w:val="en-US" w:eastAsia="zh-CN"/>
                      <w14:textFill>
                        <w14:solidFill>
                          <w14:schemeClr w14:val="tx1"/>
                        </w14:solidFill>
                      </w14:textFill>
                    </w:rPr>
                  </w:pPr>
                </w:p>
              </w:tc>
              <w:tc>
                <w:tcPr>
                  <w:tcW w:w="1334" w:type="dxa"/>
                  <w:tcBorders>
                    <w:tl2br w:val="nil"/>
                    <w:tr2bl w:val="nil"/>
                  </w:tcBorders>
                  <w:vAlign w:val="center"/>
                </w:tcPr>
                <w:p w14:paraId="1284A434">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交环卫部门处置</w:t>
                  </w:r>
                </w:p>
              </w:tc>
              <w:tc>
                <w:tcPr>
                  <w:tcW w:w="1334" w:type="dxa"/>
                  <w:tcBorders>
                    <w:tl2br w:val="nil"/>
                    <w:tr2bl w:val="nil"/>
                  </w:tcBorders>
                  <w:shd w:val="clear" w:color="auto" w:fill="auto"/>
                  <w:vAlign w:val="center"/>
                </w:tcPr>
                <w:p w14:paraId="6B204D22">
                  <w:pPr>
                    <w:pStyle w:val="56"/>
                    <w:bidi w:val="0"/>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0.7128</w:t>
                  </w:r>
                </w:p>
              </w:tc>
              <w:tc>
                <w:tcPr>
                  <w:tcW w:w="1335" w:type="dxa"/>
                  <w:tcBorders>
                    <w:tl2br w:val="nil"/>
                    <w:tr2bl w:val="nil"/>
                  </w:tcBorders>
                  <w:shd w:val="clear" w:color="auto" w:fill="auto"/>
                  <w:vAlign w:val="center"/>
                </w:tcPr>
                <w:p w14:paraId="58B6D2C0">
                  <w:pPr>
                    <w:pStyle w:val="56"/>
                    <w:bidi w:val="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0.7128</w:t>
                  </w:r>
                </w:p>
              </w:tc>
            </w:tr>
            <w:tr w14:paraId="44218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shd w:val="clear" w:color="auto" w:fill="auto"/>
                  <w:vAlign w:val="center"/>
                </w:tcPr>
                <w:p w14:paraId="188202FF">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生活垃圾</w:t>
                  </w:r>
                </w:p>
              </w:tc>
              <w:tc>
                <w:tcPr>
                  <w:tcW w:w="1113" w:type="dxa"/>
                  <w:tcBorders>
                    <w:tl2br w:val="nil"/>
                    <w:tr2bl w:val="nil"/>
                  </w:tcBorders>
                  <w:vAlign w:val="center"/>
                </w:tcPr>
                <w:p w14:paraId="1F67C585">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生活垃圾</w:t>
                  </w:r>
                </w:p>
              </w:tc>
              <w:tc>
                <w:tcPr>
                  <w:tcW w:w="1555" w:type="dxa"/>
                  <w:tcBorders>
                    <w:tl2br w:val="nil"/>
                    <w:tr2bl w:val="nil"/>
                  </w:tcBorders>
                  <w:vAlign w:val="center"/>
                </w:tcPr>
                <w:p w14:paraId="6CF540BF">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带盖垃圾桶分类收集</w:t>
                  </w:r>
                </w:p>
              </w:tc>
              <w:tc>
                <w:tcPr>
                  <w:tcW w:w="1334" w:type="dxa"/>
                  <w:tcBorders>
                    <w:tl2br w:val="nil"/>
                    <w:tr2bl w:val="nil"/>
                  </w:tcBorders>
                  <w:vAlign w:val="center"/>
                </w:tcPr>
                <w:p w14:paraId="28294400">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交环卫部门处置</w:t>
                  </w:r>
                </w:p>
              </w:tc>
              <w:tc>
                <w:tcPr>
                  <w:tcW w:w="1334" w:type="dxa"/>
                  <w:tcBorders>
                    <w:tl2br w:val="nil"/>
                    <w:tr2bl w:val="nil"/>
                  </w:tcBorders>
                  <w:vAlign w:val="center"/>
                </w:tcPr>
                <w:p w14:paraId="6D51913F">
                  <w:pPr>
                    <w:pStyle w:val="56"/>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335" w:type="dxa"/>
                  <w:tcBorders>
                    <w:tl2br w:val="nil"/>
                    <w:tr2bl w:val="nil"/>
                  </w:tcBorders>
                  <w:shd w:val="clear" w:color="auto" w:fill="auto"/>
                  <w:vAlign w:val="center"/>
                </w:tcPr>
                <w:p w14:paraId="07CA461A">
                  <w:pPr>
                    <w:pStyle w:val="56"/>
                    <w:bidi w:val="0"/>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r>
          </w:tbl>
          <w:p w14:paraId="7C0093CA">
            <w:pPr>
              <w:keepNext w:val="0"/>
              <w:keepLines w:val="0"/>
              <w:widowControl/>
              <w:suppressLineNumbers w:val="0"/>
              <w:jc w:val="left"/>
              <w:rPr>
                <w:highlight w:val="none"/>
              </w:rPr>
            </w:pPr>
            <w:r>
              <w:rPr>
                <w:rFonts w:hint="eastAsia" w:ascii="宋体" w:hAnsi="宋体" w:eastAsia="宋体" w:cs="宋体"/>
                <w:b/>
                <w:bCs/>
                <w:color w:val="000000"/>
                <w:kern w:val="0"/>
                <w:sz w:val="24"/>
                <w:szCs w:val="24"/>
                <w:highlight w:val="none"/>
                <w:lang w:val="en-US" w:eastAsia="zh-CN" w:bidi="ar"/>
              </w:rPr>
              <w:t>4.2.4固废环境影响分析及防治措施</w:t>
            </w:r>
          </w:p>
          <w:p w14:paraId="1DCABD9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宋体" w:hAnsi="宋体" w:eastAsia="宋体" w:cs="宋体"/>
                <w:color w:val="000000"/>
                <w:kern w:val="0"/>
                <w:sz w:val="24"/>
                <w:szCs w:val="24"/>
                <w:highlight w:val="none"/>
                <w:lang w:val="en-US" w:eastAsia="zh-CN" w:bidi="ar"/>
              </w:rPr>
              <w:t>项目营运期固体废弃物为一般工业固废、生活垃圾。</w:t>
            </w:r>
          </w:p>
          <w:p w14:paraId="3A3A3B0E">
            <w:pPr>
              <w:pStyle w:val="5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（1）一般</w:t>
            </w:r>
            <w:r>
              <w:rPr>
                <w:rFonts w:hint="default" w:ascii="Times New Roman" w:hAnsi="Times New Roman" w:cs="Times New Roman"/>
                <w:b/>
                <w:bCs/>
                <w:color w:val="000000" w:themeColor="text1"/>
                <w:highlight w:val="none"/>
                <w:lang w:val="en-US" w:eastAsia="zh-CN"/>
                <w14:textFill>
                  <w14:solidFill>
                    <w14:schemeClr w14:val="tx1"/>
                  </w14:solidFill>
                </w14:textFill>
              </w:rPr>
              <w:t>工业</w:t>
            </w:r>
            <w:r>
              <w:rPr>
                <w:rFonts w:hint="default" w:ascii="Times New Roman" w:hAnsi="Times New Roman" w:cs="Times New Roman"/>
                <w:b/>
                <w:bCs/>
                <w:color w:val="000000" w:themeColor="text1"/>
                <w:highlight w:val="none"/>
                <w14:textFill>
                  <w14:solidFill>
                    <w14:schemeClr w14:val="tx1"/>
                  </w14:solidFill>
                </w14:textFill>
              </w:rPr>
              <w:t>固废</w:t>
            </w:r>
          </w:p>
          <w:p w14:paraId="351D96D6">
            <w:pPr>
              <w:pStyle w:val="50"/>
              <w:rPr>
                <w:rFonts w:hint="default" w:ascii="Times New Roman" w:hAnsi="Times New Roman" w:cs="Times New Roman"/>
                <w:color w:val="000000" w:themeColor="text1"/>
                <w:highlight w:val="none"/>
                <w:vertAlign w:val="superscript"/>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新建1间</w:t>
            </w:r>
            <w:r>
              <w:rPr>
                <w:rFonts w:hint="eastAsia" w:cs="Times New Roman"/>
                <w:snapToGrid w:val="0"/>
                <w:color w:val="000000" w:themeColor="text1"/>
                <w:szCs w:val="21"/>
                <w:highlight w:val="none"/>
                <w:lang w:eastAsia="zh-CN"/>
                <w14:textFill>
                  <w14:solidFill>
                    <w14:schemeClr w14:val="tx1"/>
                  </w14:solidFill>
                </w14:textFill>
              </w:rPr>
              <w:t>一般固废贮存点</w:t>
            </w:r>
            <w:r>
              <w:rPr>
                <w:rFonts w:hint="default" w:ascii="Times New Roman" w:hAnsi="Times New Roman" w:cs="Times New Roman"/>
                <w:color w:val="000000" w:themeColor="text1"/>
                <w:highlight w:val="none"/>
                <w14:textFill>
                  <w14:solidFill>
                    <w14:schemeClr w14:val="tx1"/>
                  </w14:solidFill>
                </w14:textFill>
              </w:rPr>
              <w:t>储存</w:t>
            </w:r>
            <w:r>
              <w:rPr>
                <w:rFonts w:hint="eastAsia" w:cs="Times New Roman"/>
                <w:color w:val="000000" w:themeColor="text1"/>
                <w:highlight w:val="none"/>
                <w:lang w:val="en-US" w:eastAsia="zh-CN"/>
                <w14:textFill>
                  <w14:solidFill>
                    <w14:schemeClr w14:val="tx1"/>
                  </w14:solidFill>
                </w14:textFill>
              </w:rPr>
              <w:t>废包装材料、灰渣</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该</w:t>
            </w:r>
            <w:r>
              <w:rPr>
                <w:rFonts w:hint="eastAsia" w:cs="Times New Roman"/>
                <w:color w:val="000000" w:themeColor="text1"/>
                <w:highlight w:val="none"/>
                <w:lang w:eastAsia="zh-CN"/>
                <w14:textFill>
                  <w14:solidFill>
                    <w14:schemeClr w14:val="tx1"/>
                  </w14:solidFill>
                </w14:textFill>
              </w:rPr>
              <w:t>一般固废贮存点</w:t>
            </w:r>
            <w:r>
              <w:rPr>
                <w:rFonts w:hint="default" w:ascii="Times New Roman" w:hAnsi="Times New Roman" w:cs="Times New Roman"/>
                <w:color w:val="000000" w:themeColor="text1"/>
                <w:highlight w:val="none"/>
                <w14:textFill>
                  <w14:solidFill>
                    <w14:schemeClr w14:val="tx1"/>
                  </w14:solidFill>
                </w14:textFill>
              </w:rPr>
              <w:t>位于</w:t>
            </w:r>
            <w:r>
              <w:rPr>
                <w:rFonts w:hint="eastAsia" w:cs="Times New Roman"/>
                <w:color w:val="000000" w:themeColor="text1"/>
                <w:highlight w:val="none"/>
                <w:lang w:val="en-US" w:eastAsia="zh-CN"/>
                <w14:textFill>
                  <w14:solidFill>
                    <w14:schemeClr w14:val="tx1"/>
                  </w14:solidFill>
                </w14:textFill>
              </w:rPr>
              <w:t>车间</w:t>
            </w:r>
            <w:r>
              <w:rPr>
                <w:rFonts w:hint="default" w:ascii="Times New Roman" w:hAnsi="Times New Roman" w:cs="Times New Roman"/>
                <w:color w:val="000000" w:themeColor="text1"/>
                <w:highlight w:val="none"/>
                <w14:textFill>
                  <w14:solidFill>
                    <w14:schemeClr w14:val="tx1"/>
                  </w14:solidFill>
                </w14:textFill>
              </w:rPr>
              <w:t>东南侧，建筑面积约</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用于存放废包装材料、灰渣和粉尘。</w:t>
            </w:r>
          </w:p>
          <w:p w14:paraId="55551272">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根据《一般工业固体废物贮存、处置场污染控制标准》（GB18599-2020）</w:t>
            </w:r>
          </w:p>
          <w:p w14:paraId="0884E973">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的有关规定，</w:t>
            </w:r>
            <w:r>
              <w:rPr>
                <w:rFonts w:hint="eastAsia" w:cs="Times New Roman"/>
                <w:color w:val="000000" w:themeColor="text1"/>
                <w:highlight w:val="none"/>
                <w:lang w:eastAsia="zh-CN"/>
                <w14:textFill>
                  <w14:solidFill>
                    <w14:schemeClr w14:val="tx1"/>
                  </w14:solidFill>
                </w14:textFill>
              </w:rPr>
              <w:t>一般固废贮存点</w:t>
            </w:r>
            <w:r>
              <w:rPr>
                <w:rFonts w:hint="default" w:ascii="Times New Roman" w:hAnsi="Times New Roman" w:cs="Times New Roman"/>
                <w:color w:val="000000" w:themeColor="text1"/>
                <w:highlight w:val="none"/>
                <w14:textFill>
                  <w14:solidFill>
                    <w14:schemeClr w14:val="tx1"/>
                  </w14:solidFill>
                </w14:textFill>
              </w:rPr>
              <w:t>已做到以下几点：</w:t>
            </w:r>
          </w:p>
          <w:p w14:paraId="2C3FF70D">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I 贮存场所已建有防雨淋、防渗透措施。为防止雨水径流进入贮存场内，贮存场周边已设置导流渠；</w:t>
            </w:r>
          </w:p>
          <w:p w14:paraId="2F683DEA">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II 为了便于管理，贮存场已设置标识牌，并按《环境保护图形标志》（GB15562.2-1995）修改单中固体废物贮存（处置）场要求完善环境保护图形标志；</w:t>
            </w:r>
          </w:p>
          <w:p w14:paraId="6944F080">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III 已做明显的标志，对不同的固废进行分类堆放。</w:t>
            </w:r>
          </w:p>
          <w:p w14:paraId="35544841">
            <w:pPr>
              <w:pStyle w:val="5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）生活垃圾</w:t>
            </w:r>
          </w:p>
          <w:p w14:paraId="08683BC0">
            <w:pPr>
              <w:pStyle w:val="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生活垃圾集中收集后交由环卫部门统一收集处理。</w:t>
            </w:r>
          </w:p>
          <w:p w14:paraId="62FF8B0D">
            <w:pPr>
              <w:keepNext w:val="0"/>
              <w:keepLines w:val="0"/>
              <w:pageBreakBefore w:val="0"/>
              <w:widowControl w:val="0"/>
              <w:kinsoku/>
              <w:wordWrap/>
              <w:overflowPunct/>
              <w:topLinePunct w:val="0"/>
              <w:autoSpaceDE/>
              <w:autoSpaceDN/>
              <w:bidi w:val="0"/>
              <w:adjustRightInd/>
              <w:snapToGrid/>
              <w:spacing w:line="460" w:lineRule="exact"/>
              <w:ind w:firstLine="48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综上所述，本项目建成后产生的固废种类明确，均可以得到合理处置和综合利用，对周边环境产生影响很小。</w:t>
            </w:r>
          </w:p>
          <w:p w14:paraId="3C9A705C">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地下水</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土壤</w:t>
            </w:r>
            <w:r>
              <w:rPr>
                <w:rFonts w:hint="default" w:ascii="Times New Roman" w:hAnsi="Times New Roman" w:cs="Times New Roman"/>
                <w:color w:val="000000" w:themeColor="text1"/>
                <w:highlight w:val="none"/>
                <w14:textFill>
                  <w14:solidFill>
                    <w14:schemeClr w14:val="tx1"/>
                  </w14:solidFill>
                </w14:textFill>
              </w:rPr>
              <w:t>环境影响评价分析</w:t>
            </w:r>
          </w:p>
          <w:p w14:paraId="492D233C">
            <w:pPr>
              <w:pStyle w:val="5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不涉及地下水和突然污染途径。</w:t>
            </w:r>
          </w:p>
          <w:p w14:paraId="1BC8EC3D">
            <w:pPr>
              <w:pStyle w:val="4"/>
              <w:numPr>
                <w:ilvl w:val="2"/>
                <w:numId w:val="0"/>
              </w:numPr>
              <w:bidi w:val="0"/>
              <w:ind w:leftChars="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4.3</w:t>
            </w:r>
            <w:r>
              <w:rPr>
                <w:rFonts w:hint="default" w:ascii="Times New Roman" w:hAnsi="Times New Roman" w:cs="Times New Roman"/>
                <w:color w:val="000000" w:themeColor="text1"/>
                <w:highlight w:val="none"/>
                <w14:textFill>
                  <w14:solidFill>
                    <w14:schemeClr w14:val="tx1"/>
                  </w14:solidFill>
                </w14:textFill>
              </w:rPr>
              <w:t>环境风险</w:t>
            </w:r>
          </w:p>
          <w:p w14:paraId="0D9182FE">
            <w:pPr>
              <w:pStyle w:val="5"/>
              <w:numPr>
                <w:ilvl w:val="3"/>
                <w:numId w:val="0"/>
              </w:numPr>
              <w:bidi w:val="0"/>
              <w:ind w:leftChars="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4.3.1</w:t>
            </w:r>
            <w:r>
              <w:rPr>
                <w:rFonts w:hint="default" w:ascii="Times New Roman" w:hAnsi="Times New Roman" w:cs="Times New Roman"/>
                <w:color w:val="000000" w:themeColor="text1"/>
                <w:highlight w:val="none"/>
                <w14:textFill>
                  <w14:solidFill>
                    <w14:schemeClr w14:val="tx1"/>
                  </w14:solidFill>
                </w14:textFill>
              </w:rPr>
              <w:t>风险源调查</w:t>
            </w:r>
          </w:p>
          <w:p w14:paraId="75AB4A79">
            <w:pPr>
              <w:pStyle w:val="5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参照《建设项目环境风险评价技术导则》(HJ169-2018)附录B，本项目不涉及风险物质。</w:t>
            </w:r>
          </w:p>
          <w:p w14:paraId="1B0099DF">
            <w:pPr>
              <w:pStyle w:val="4"/>
              <w:numPr>
                <w:ilvl w:val="2"/>
                <w:numId w:val="0"/>
              </w:numPr>
              <w:bidi w:val="0"/>
              <w:ind w:left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4.4生态</w:t>
            </w:r>
          </w:p>
          <w:p w14:paraId="28E1ACC0">
            <w:pPr>
              <w:pStyle w:val="50"/>
              <w:ind w:left="0" w:leftChars="0"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本项目位于工业园，租赁已建成厂房进行建设，对生态影响小。</w:t>
            </w:r>
          </w:p>
          <w:p w14:paraId="5996DACA">
            <w:pPr>
              <w:pStyle w:val="4"/>
              <w:numPr>
                <w:ilvl w:val="2"/>
                <w:numId w:val="0"/>
              </w:numPr>
              <w:bidi w:val="0"/>
              <w:ind w:left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4.5电磁辐射</w:t>
            </w:r>
          </w:p>
          <w:p w14:paraId="55F6CB6C">
            <w:pPr>
              <w:pStyle w:val="50"/>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本项目不涉及电磁辐射。</w:t>
            </w:r>
          </w:p>
          <w:p w14:paraId="6C2EE4E4">
            <w:pPr>
              <w:pStyle w:val="50"/>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bl>
    <w:p w14:paraId="6AA53151">
      <w:pPr>
        <w:ind w:firstLine="480"/>
        <w:rPr>
          <w:color w:val="000000" w:themeColor="text1"/>
          <w:highlight w:val="none"/>
          <w14:textFill>
            <w14:solidFill>
              <w14:schemeClr w14:val="tx1"/>
            </w14:solidFill>
          </w14:textFill>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59B426F">
      <w:pPr>
        <w:pStyle w:val="2"/>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461010</wp:posOffset>
                </wp:positionV>
                <wp:extent cx="991235" cy="383540"/>
                <wp:effectExtent l="1905" t="4445" r="16510" b="12065"/>
                <wp:wrapNone/>
                <wp:docPr id="619514731" name="直接连接符 9"/>
                <wp:cNvGraphicFramePr/>
                <a:graphic xmlns:a="http://schemas.openxmlformats.org/drawingml/2006/main">
                  <a:graphicData uri="http://schemas.microsoft.com/office/word/2010/wordprocessingShape">
                    <wps:wsp>
                      <wps:cNvCnPr/>
                      <wps:spPr>
                        <a:xfrm>
                          <a:off x="0" y="0"/>
                          <a:ext cx="991235" cy="38354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9" o:spid="_x0000_s1026" o:spt="20" style="position:absolute;left:0pt;margin-top:36.3pt;height:30.2pt;width:78.05pt;mso-position-horizontal:left;mso-position-horizontal-relative:margin;z-index:251660288;mso-width-relative:page;mso-height-relative:page;" filled="f" stroked="t" coordsize="21600,21600" o:gfxdata="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wnQuLWAAAABwEAAA8AAAAAAAAAAQAgAAAAIgAAAGRycy9kb3ducmV2LnhtbFBLAQIU&#10;ABQAAAAIAIdO4kB+G9Ox9QEAAMsDAAAOAAAAAAAAAAEAIAAAACUBAABkcnMvZTJvRG9jLnhtbFBL&#10;BQYAAAAABgAGAFkBAACMBQAAAAA=&#10;">
                <v:fill on="f" focussize="0,0"/>
                <v:stroke weight="0.5pt" color="#000000" miterlimit="8" joinstyle="miter"/>
                <v:imagedata o:title=""/>
                <o:lock v:ext="edit" aspectratio="f"/>
              </v:line>
            </w:pict>
          </mc:Fallback>
        </mc:AlternateContent>
      </w:r>
      <w:r>
        <w:rPr>
          <w:rFonts w:hint="eastAsia"/>
          <w:color w:val="000000" w:themeColor="text1"/>
          <w:highlight w:val="none"/>
          <w14:textFill>
            <w14:solidFill>
              <w14:schemeClr w14:val="tx1"/>
            </w14:solidFill>
          </w14:textFill>
        </w:rPr>
        <w:t>环境保护措施监督检查清单</w:t>
      </w: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89"/>
        <w:gridCol w:w="1381"/>
        <w:gridCol w:w="1317"/>
        <w:gridCol w:w="2688"/>
        <w:gridCol w:w="2211"/>
      </w:tblGrid>
      <w:tr w14:paraId="0D5354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noWrap w:val="0"/>
            <w:vAlign w:val="center"/>
          </w:tcPr>
          <w:p w14:paraId="67290537">
            <w:pPr>
              <w:pStyle w:val="56"/>
              <w:jc w:val="righ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内容</w:t>
            </w:r>
          </w:p>
          <w:p w14:paraId="18125865">
            <w:pPr>
              <w:pStyle w:val="56"/>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要素</w:t>
            </w:r>
          </w:p>
        </w:tc>
        <w:tc>
          <w:tcPr>
            <w:tcW w:w="1381" w:type="dxa"/>
            <w:noWrap w:val="0"/>
            <w:vAlign w:val="center"/>
          </w:tcPr>
          <w:p w14:paraId="077268BF">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排放口（编号、名称）/污染源</w:t>
            </w:r>
          </w:p>
        </w:tc>
        <w:tc>
          <w:tcPr>
            <w:tcW w:w="1317" w:type="dxa"/>
            <w:noWrap w:val="0"/>
            <w:vAlign w:val="center"/>
          </w:tcPr>
          <w:p w14:paraId="23B73051">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污染物项目</w:t>
            </w:r>
          </w:p>
        </w:tc>
        <w:tc>
          <w:tcPr>
            <w:tcW w:w="2688" w:type="dxa"/>
            <w:noWrap w:val="0"/>
            <w:vAlign w:val="center"/>
          </w:tcPr>
          <w:p w14:paraId="10E622E9">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环境保护措施</w:t>
            </w:r>
          </w:p>
        </w:tc>
        <w:tc>
          <w:tcPr>
            <w:tcW w:w="2211" w:type="dxa"/>
            <w:noWrap w:val="0"/>
            <w:vAlign w:val="center"/>
          </w:tcPr>
          <w:p w14:paraId="1841177E">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执行标准</w:t>
            </w:r>
          </w:p>
        </w:tc>
      </w:tr>
      <w:tr w14:paraId="1B4AC1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vMerge w:val="restart"/>
            <w:noWrap w:val="0"/>
            <w:vAlign w:val="center"/>
          </w:tcPr>
          <w:p w14:paraId="19C0D1BC">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大气环境</w:t>
            </w:r>
          </w:p>
        </w:tc>
        <w:tc>
          <w:tcPr>
            <w:tcW w:w="1381" w:type="dxa"/>
            <w:noWrap w:val="0"/>
            <w:vAlign w:val="center"/>
          </w:tcPr>
          <w:p w14:paraId="5B3A3EB4">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排气筒</w:t>
            </w:r>
          </w:p>
        </w:tc>
        <w:tc>
          <w:tcPr>
            <w:tcW w:w="1317" w:type="dxa"/>
            <w:noWrap w:val="0"/>
            <w:vAlign w:val="center"/>
          </w:tcPr>
          <w:p w14:paraId="48561A0F">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SO2、NOX、颗粒物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、烟气黑度</w:t>
            </w:r>
          </w:p>
        </w:tc>
        <w:tc>
          <w:tcPr>
            <w:tcW w:w="2688" w:type="dxa"/>
            <w:tcBorders>
              <w:bottom w:val="single" w:color="auto" w:sz="4" w:space="0"/>
            </w:tcBorders>
            <w:noWrap w:val="0"/>
            <w:vAlign w:val="center"/>
          </w:tcPr>
          <w:p w14:paraId="15436D34">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燃烧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废气经</w:t>
            </w:r>
            <w:r>
              <w:rPr>
                <w:rFonts w:hint="eastAsia" w:cs="Times New Roman"/>
                <w:color w:val="000000" w:themeColor="text1"/>
                <w:sz w:val="21"/>
                <w:szCs w:val="21"/>
                <w:highlight w:val="none"/>
                <w:lang w:val="en-US" w:eastAsia="zh-CN"/>
                <w14:textFill>
                  <w14:solidFill>
                    <w14:schemeClr w14:val="tx1"/>
                  </w14:solidFill>
                </w14:textFill>
              </w:rPr>
              <w:t>布袋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除尘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处理后经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m排气筒（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，燃烧器采用低氮燃烧技术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211" w:type="dxa"/>
            <w:tcBorders>
              <w:bottom w:val="single" w:color="auto" w:sz="4" w:space="0"/>
            </w:tcBorders>
            <w:noWrap w:val="0"/>
            <w:vAlign w:val="center"/>
          </w:tcPr>
          <w:p w14:paraId="463DD6CE">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锅炉大气污染物排放标准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GB 13271-2014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EAC91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vMerge w:val="continue"/>
            <w:noWrap w:val="0"/>
            <w:vAlign w:val="center"/>
          </w:tcPr>
          <w:p w14:paraId="4EB60901">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381" w:type="dxa"/>
            <w:noWrap w:val="0"/>
            <w:vAlign w:val="center"/>
          </w:tcPr>
          <w:p w14:paraId="46AEF827">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排气筒</w:t>
            </w:r>
          </w:p>
        </w:tc>
        <w:tc>
          <w:tcPr>
            <w:tcW w:w="1317" w:type="dxa"/>
            <w:noWrap w:val="0"/>
            <w:vAlign w:val="center"/>
          </w:tcPr>
          <w:p w14:paraId="6CDF59BB">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2688" w:type="dxa"/>
            <w:tcBorders>
              <w:bottom w:val="single" w:color="auto" w:sz="4" w:space="0"/>
            </w:tcBorders>
            <w:noWrap w:val="0"/>
            <w:vAlign w:val="center"/>
          </w:tcPr>
          <w:p w14:paraId="0D929043">
            <w:pPr>
              <w:adjustRightInd w:val="0"/>
              <w:snapToGrid w:val="0"/>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处理后经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m排气筒（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p>
        </w:tc>
        <w:tc>
          <w:tcPr>
            <w:tcW w:w="2211" w:type="dxa"/>
            <w:tcBorders>
              <w:bottom w:val="single" w:color="auto" w:sz="4" w:space="0"/>
            </w:tcBorders>
            <w:noWrap w:val="0"/>
            <w:vAlign w:val="center"/>
          </w:tcPr>
          <w:p w14:paraId="79D53BA2">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 16297-1996</w:t>
            </w:r>
          </w:p>
        </w:tc>
      </w:tr>
      <w:tr w14:paraId="315FE1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vMerge w:val="continue"/>
            <w:noWrap w:val="0"/>
            <w:vAlign w:val="center"/>
          </w:tcPr>
          <w:p w14:paraId="6E9E4657">
            <w:pPr>
              <w:pStyle w:val="56"/>
              <w:spacing w:line="240" w:lineRule="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381" w:type="dxa"/>
            <w:noWrap w:val="0"/>
            <w:vAlign w:val="center"/>
          </w:tcPr>
          <w:p w14:paraId="61316061">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排气筒</w:t>
            </w:r>
          </w:p>
        </w:tc>
        <w:tc>
          <w:tcPr>
            <w:tcW w:w="1317" w:type="dxa"/>
            <w:noWrap w:val="0"/>
            <w:vAlign w:val="center"/>
          </w:tcPr>
          <w:p w14:paraId="30531BAD">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2688" w:type="dxa"/>
            <w:tcBorders>
              <w:bottom w:val="single" w:color="auto" w:sz="4" w:space="0"/>
            </w:tcBorders>
            <w:noWrap w:val="0"/>
            <w:vAlign w:val="center"/>
          </w:tcPr>
          <w:p w14:paraId="1C9C2BCF">
            <w:pPr>
              <w:adjustRightInd w:val="0"/>
              <w:snapToGrid w:val="0"/>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处理后经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m排气筒（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p>
        </w:tc>
        <w:tc>
          <w:tcPr>
            <w:tcW w:w="2211" w:type="dxa"/>
            <w:tcBorders>
              <w:bottom w:val="single" w:color="auto" w:sz="4" w:space="0"/>
            </w:tcBorders>
            <w:noWrap w:val="0"/>
            <w:vAlign w:val="center"/>
          </w:tcPr>
          <w:p w14:paraId="0F0C78AB">
            <w:pPr>
              <w:adjustRightInd w:val="0"/>
              <w:snapToGrid w:val="0"/>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 16297-1996</w:t>
            </w:r>
          </w:p>
        </w:tc>
      </w:tr>
      <w:tr w14:paraId="356E08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vMerge w:val="restart"/>
            <w:noWrap w:val="0"/>
            <w:vAlign w:val="center"/>
          </w:tcPr>
          <w:p w14:paraId="08B68FCC">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地表水环境</w:t>
            </w:r>
          </w:p>
        </w:tc>
        <w:tc>
          <w:tcPr>
            <w:tcW w:w="1381" w:type="dxa"/>
            <w:shd w:val="clear" w:color="auto" w:fill="auto"/>
            <w:noWrap w:val="0"/>
            <w:vAlign w:val="center"/>
          </w:tcPr>
          <w:p w14:paraId="21F2D612">
            <w:pPr>
              <w:pStyle w:val="5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生产废水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w:t>
            </w:r>
          </w:p>
        </w:tc>
        <w:tc>
          <w:tcPr>
            <w:tcW w:w="1317" w:type="dxa"/>
            <w:shd w:val="clear" w:color="auto" w:fill="auto"/>
            <w:noWrap w:val="0"/>
            <w:vAlign w:val="center"/>
          </w:tcPr>
          <w:p w14:paraId="70847154">
            <w:pPr>
              <w:spacing w:line="240" w:lineRule="auto"/>
              <w:ind w:left="-24" w:leftChars="-10" w:right="-24" w:rightChars="-1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b/>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b/>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r>
              <w:rPr>
                <w:rFonts w:hint="eastAsia" w:cs="Times New Roman"/>
                <w:color w:val="000000" w:themeColor="text1"/>
                <w:sz w:val="21"/>
                <w:szCs w:val="21"/>
                <w:highlight w:val="none"/>
                <w:lang w:val="en-US" w:eastAsia="zh-CN"/>
                <w14:textFill>
                  <w14:solidFill>
                    <w14:schemeClr w14:val="tx1"/>
                  </w14:solidFill>
                </w14:textFill>
              </w:rPr>
              <w:t>、</w:t>
            </w:r>
          </w:p>
          <w:p w14:paraId="33AD96F1">
            <w:pPr>
              <w:spacing w:line="240" w:lineRule="auto"/>
              <w:ind w:left="-24" w:leftChars="-10" w:right="-24" w:rightChars="-1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r>
              <w:rPr>
                <w:rFonts w:hint="eastAsia" w:cs="Times New Roman"/>
                <w:color w:val="000000" w:themeColor="text1"/>
                <w:sz w:val="21"/>
                <w:szCs w:val="21"/>
                <w:highlight w:val="none"/>
                <w:lang w:val="en-US" w:eastAsia="zh-CN"/>
                <w14:textFill>
                  <w14:solidFill>
                    <w14:schemeClr w14:val="tx1"/>
                  </w14:solidFill>
                </w14:textFill>
              </w:rPr>
              <w:t>、</w:t>
            </w:r>
          </w:p>
          <w:p w14:paraId="7AC7755B">
            <w:pPr>
              <w:spacing w:line="240" w:lineRule="auto"/>
              <w:ind w:left="-24" w:leftChars="-10" w:right="-24" w:rightChars="-1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氨氮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、TN、</w:t>
            </w:r>
          </w:p>
          <w:p w14:paraId="7B63A76F">
            <w:pPr>
              <w:spacing w:line="240" w:lineRule="auto"/>
              <w:ind w:left="-24" w:leftChars="-10" w:right="-24" w:rightChars="-1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TP、</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LAS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、色度</w:t>
            </w:r>
          </w:p>
        </w:tc>
        <w:tc>
          <w:tcPr>
            <w:tcW w:w="2688" w:type="dxa"/>
            <w:shd w:val="clear" w:color="auto" w:fill="auto"/>
            <w:noWrap w:val="0"/>
            <w:vAlign w:val="center"/>
          </w:tcPr>
          <w:p w14:paraId="76912139">
            <w:pP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新建1座</w:t>
            </w:r>
            <w:r>
              <w:rPr>
                <w:rFonts w:hint="eastAsia" w:cs="Times New Roman"/>
                <w:color w:val="000000" w:themeColor="text1"/>
                <w:sz w:val="21"/>
                <w:szCs w:val="21"/>
                <w:highlight w:val="none"/>
                <w:lang w:val="en-US" w:eastAsia="zh-CN"/>
                <w14:textFill>
                  <w14:solidFill>
                    <w14:schemeClr w14:val="tx1"/>
                  </w14:solidFill>
                </w14:textFill>
              </w:rPr>
              <w:t>27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/d的</w:t>
            </w:r>
            <w:r>
              <w:rPr>
                <w:rFonts w:hint="eastAsia" w:cs="Times New Roman"/>
                <w:color w:val="000000" w:themeColor="text1"/>
                <w:sz w:val="21"/>
                <w:szCs w:val="21"/>
                <w:highlight w:val="none"/>
                <w:lang w:val="en-US" w:eastAsia="zh-CN"/>
                <w14:textFill>
                  <w14:solidFill>
                    <w14:schemeClr w14:val="tx1"/>
                  </w14:solidFill>
                </w14:textFill>
              </w:rPr>
              <w:t>污水处理设施（“气浮+A/O”）</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211" w:type="dxa"/>
            <w:shd w:val="clear" w:color="auto" w:fill="auto"/>
            <w:noWrap w:val="0"/>
            <w:vAlign w:val="center"/>
          </w:tcPr>
          <w:p w14:paraId="425094B1">
            <w:pPr>
              <w:pStyle w:val="56"/>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《纺织染整工业水污染物排放标准》（GB 4287-2012）及其修改单</w:t>
            </w:r>
          </w:p>
          <w:p w14:paraId="45FAD182">
            <w:pPr>
              <w:pStyle w:val="5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09DE9C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vMerge w:val="continue"/>
            <w:noWrap w:val="0"/>
            <w:vAlign w:val="center"/>
          </w:tcPr>
          <w:p w14:paraId="1874A3FC">
            <w:pPr>
              <w:pStyle w:val="56"/>
              <w:rPr>
                <w:rFonts w:hint="default" w:ascii="Times New Roman" w:hAnsi="Times New Roman" w:cs="Times New Roman"/>
                <w:color w:val="000000" w:themeColor="text1"/>
                <w:highlight w:val="none"/>
                <w14:textFill>
                  <w14:solidFill>
                    <w14:schemeClr w14:val="tx1"/>
                  </w14:solidFill>
                </w14:textFill>
              </w:rPr>
            </w:pPr>
          </w:p>
        </w:tc>
        <w:tc>
          <w:tcPr>
            <w:tcW w:w="1381" w:type="dxa"/>
            <w:shd w:val="clear" w:color="auto" w:fill="auto"/>
            <w:noWrap w:val="0"/>
            <w:vAlign w:val="center"/>
          </w:tcPr>
          <w:p w14:paraId="27125485">
            <w:pPr>
              <w:pStyle w:val="56"/>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生活废水</w:t>
            </w:r>
          </w:p>
        </w:tc>
        <w:tc>
          <w:tcPr>
            <w:tcW w:w="1317" w:type="dxa"/>
            <w:shd w:val="clear" w:color="auto" w:fill="auto"/>
            <w:noWrap w:val="0"/>
            <w:vAlign w:val="center"/>
          </w:tcPr>
          <w:p w14:paraId="53922FA9">
            <w:pPr>
              <w:spacing w:line="240" w:lineRule="auto"/>
              <w:ind w:left="-24" w:leftChars="-10" w:right="-24" w:rightChars="-1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b/>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b/>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r>
              <w:rPr>
                <w:rFonts w:hint="eastAsia" w:cs="Times New Roman"/>
                <w:color w:val="000000" w:themeColor="text1"/>
                <w:sz w:val="21"/>
                <w:szCs w:val="21"/>
                <w:highlight w:val="none"/>
                <w:lang w:val="en-US" w:eastAsia="zh-CN"/>
                <w14:textFill>
                  <w14:solidFill>
                    <w14:schemeClr w14:val="tx1"/>
                  </w14:solidFill>
                </w14:textFill>
              </w:rPr>
              <w:t>、</w:t>
            </w:r>
          </w:p>
          <w:p w14:paraId="1946AB31">
            <w:pPr>
              <w:spacing w:line="240" w:lineRule="auto"/>
              <w:ind w:left="-24" w:leftChars="-10" w:right="-24" w:rightChars="-1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r>
              <w:rPr>
                <w:rFonts w:hint="eastAsia" w:cs="Times New Roman"/>
                <w:color w:val="000000" w:themeColor="text1"/>
                <w:sz w:val="21"/>
                <w:szCs w:val="21"/>
                <w:highlight w:val="none"/>
                <w:lang w:val="en-US" w:eastAsia="zh-CN"/>
                <w14:textFill>
                  <w14:solidFill>
                    <w14:schemeClr w14:val="tx1"/>
                  </w14:solidFill>
                </w14:textFill>
              </w:rPr>
              <w:t>、</w:t>
            </w:r>
          </w:p>
          <w:p w14:paraId="15E9E5B2">
            <w:pPr>
              <w:spacing w:line="240" w:lineRule="auto"/>
              <w:ind w:left="-24" w:leftChars="-10" w:right="-24" w:rightChars="-1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氨氮</w:t>
            </w:r>
          </w:p>
        </w:tc>
        <w:tc>
          <w:tcPr>
            <w:tcW w:w="2688" w:type="dxa"/>
            <w:shd w:val="clear" w:color="auto" w:fill="auto"/>
            <w:noWrap w:val="0"/>
            <w:vAlign w:val="center"/>
          </w:tcPr>
          <w:p w14:paraId="19862A27">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厂区生化池</w:t>
            </w:r>
          </w:p>
        </w:tc>
        <w:tc>
          <w:tcPr>
            <w:tcW w:w="2211" w:type="dxa"/>
            <w:shd w:val="clear" w:color="auto" w:fill="auto"/>
            <w:noWrap w:val="0"/>
            <w:vAlign w:val="center"/>
          </w:tcPr>
          <w:p w14:paraId="4ABB3EE5">
            <w:pPr>
              <w:pStyle w:val="5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《污水综合排放标准》（GB8978-1996）三级标准</w:t>
            </w:r>
          </w:p>
        </w:tc>
      </w:tr>
      <w:tr w14:paraId="57321F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noWrap w:val="0"/>
            <w:vAlign w:val="center"/>
          </w:tcPr>
          <w:p w14:paraId="19F70F29">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声环境</w:t>
            </w:r>
          </w:p>
        </w:tc>
        <w:tc>
          <w:tcPr>
            <w:tcW w:w="1381" w:type="dxa"/>
            <w:noWrap w:val="0"/>
            <w:vAlign w:val="center"/>
          </w:tcPr>
          <w:p w14:paraId="2FB058FF">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厂界</w:t>
            </w:r>
            <w:r>
              <w:rPr>
                <w:rFonts w:hint="default" w:ascii="Times New Roman" w:hAnsi="Times New Roman" w:cs="Times New Roman"/>
                <w:color w:val="000000" w:themeColor="text1"/>
                <w:highlight w:val="none"/>
                <w14:textFill>
                  <w14:solidFill>
                    <w14:schemeClr w14:val="tx1"/>
                  </w14:solidFill>
                </w14:textFill>
              </w:rPr>
              <w:t>外1m</w:t>
            </w:r>
          </w:p>
        </w:tc>
        <w:tc>
          <w:tcPr>
            <w:tcW w:w="1317" w:type="dxa"/>
            <w:noWrap w:val="0"/>
            <w:vAlign w:val="center"/>
          </w:tcPr>
          <w:p w14:paraId="17F93654">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昼间等效连续A声级</w:t>
            </w:r>
          </w:p>
        </w:tc>
        <w:tc>
          <w:tcPr>
            <w:tcW w:w="2688" w:type="dxa"/>
            <w:noWrap w:val="0"/>
            <w:vAlign w:val="center"/>
          </w:tcPr>
          <w:p w14:paraId="0F2F1C05">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选用低噪声设备，采取基础减振、</w:t>
            </w:r>
            <w:r>
              <w:rPr>
                <w:rFonts w:hint="default" w:ascii="Times New Roman" w:hAnsi="Times New Roman" w:cs="Times New Roman"/>
                <w:color w:val="000000" w:themeColor="text1"/>
                <w:highlight w:val="none"/>
                <w:lang w:val="en-US" w:eastAsia="zh-CN"/>
                <w14:textFill>
                  <w14:solidFill>
                    <w14:schemeClr w14:val="tx1"/>
                  </w14:solidFill>
                </w14:textFill>
              </w:rPr>
              <w:t>建筑</w:t>
            </w:r>
            <w:r>
              <w:rPr>
                <w:rFonts w:hint="default" w:ascii="Times New Roman" w:hAnsi="Times New Roman" w:cs="Times New Roman"/>
                <w:color w:val="000000" w:themeColor="text1"/>
                <w:highlight w:val="none"/>
                <w14:textFill>
                  <w14:solidFill>
                    <w14:schemeClr w14:val="tx1"/>
                  </w14:solidFill>
                </w14:textFill>
              </w:rPr>
              <w:t>隔声</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距离衰减</w:t>
            </w:r>
            <w:r>
              <w:rPr>
                <w:rFonts w:hint="default" w:ascii="Times New Roman" w:hAnsi="Times New Roman" w:cs="Times New Roman"/>
                <w:color w:val="000000" w:themeColor="text1"/>
                <w:highlight w:val="none"/>
                <w14:textFill>
                  <w14:solidFill>
                    <w14:schemeClr w14:val="tx1"/>
                  </w14:solidFill>
                </w14:textFill>
              </w:rPr>
              <w:t>等综合降噪措施。</w:t>
            </w:r>
          </w:p>
        </w:tc>
        <w:tc>
          <w:tcPr>
            <w:tcW w:w="2211" w:type="dxa"/>
            <w:noWrap w:val="0"/>
            <w:vAlign w:val="center"/>
          </w:tcPr>
          <w:p w14:paraId="1682D1BE">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《工业企业厂界环境噪声排放标准》（GB12348-2008）3类标准。</w:t>
            </w:r>
          </w:p>
        </w:tc>
      </w:tr>
      <w:tr w14:paraId="73BAC4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noWrap w:val="0"/>
            <w:vAlign w:val="center"/>
          </w:tcPr>
          <w:p w14:paraId="17F2F967">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电磁辐射</w:t>
            </w:r>
          </w:p>
        </w:tc>
        <w:tc>
          <w:tcPr>
            <w:tcW w:w="1381" w:type="dxa"/>
            <w:noWrap w:val="0"/>
            <w:vAlign w:val="center"/>
          </w:tcPr>
          <w:p w14:paraId="7464CACE">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1317" w:type="dxa"/>
            <w:noWrap w:val="0"/>
            <w:vAlign w:val="center"/>
          </w:tcPr>
          <w:p w14:paraId="7F0218A5">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2688" w:type="dxa"/>
            <w:noWrap w:val="0"/>
            <w:vAlign w:val="center"/>
          </w:tcPr>
          <w:p w14:paraId="324C3AE7">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2211" w:type="dxa"/>
            <w:noWrap w:val="0"/>
            <w:vAlign w:val="center"/>
          </w:tcPr>
          <w:p w14:paraId="153FE154">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r>
      <w:tr w14:paraId="7C888A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noWrap w:val="0"/>
            <w:vAlign w:val="center"/>
          </w:tcPr>
          <w:p w14:paraId="0D5A6FA5">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固体废物</w:t>
            </w:r>
          </w:p>
        </w:tc>
        <w:tc>
          <w:tcPr>
            <w:tcW w:w="7597" w:type="dxa"/>
            <w:gridSpan w:val="4"/>
            <w:noWrap w:val="0"/>
            <w:vAlign w:val="center"/>
          </w:tcPr>
          <w:p w14:paraId="57BC5B36">
            <w:pPr>
              <w:pStyle w:val="56"/>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szCs w:val="21"/>
                <w:highlight w:val="none"/>
                <w14:textFill>
                  <w14:solidFill>
                    <w14:schemeClr w14:val="tx1"/>
                  </w14:solidFill>
                </w14:textFill>
              </w:rPr>
              <w:t>设置</w:t>
            </w:r>
            <w:r>
              <w:rPr>
                <w:rFonts w:hint="eastAsia" w:cs="Times New Roman"/>
                <w:snapToGrid w:val="0"/>
                <w:color w:val="000000" w:themeColor="text1"/>
                <w:szCs w:val="21"/>
                <w:highlight w:val="none"/>
                <w:lang w:eastAsia="zh-CN"/>
                <w14:textFill>
                  <w14:solidFill>
                    <w14:schemeClr w14:val="tx1"/>
                  </w14:solidFill>
                </w14:textFill>
              </w:rPr>
              <w:t>一般固废贮存点</w:t>
            </w:r>
            <w:r>
              <w:rPr>
                <w:rFonts w:hint="default" w:ascii="Times New Roman" w:hAnsi="Times New Roman" w:cs="Times New Roman"/>
                <w:snapToGrid w:val="0"/>
                <w:color w:val="000000" w:themeColor="text1"/>
                <w:szCs w:val="21"/>
                <w:highlight w:val="none"/>
                <w14:textFill>
                  <w14:solidFill>
                    <w14:schemeClr w14:val="tx1"/>
                  </w14:solidFill>
                </w14:textFill>
              </w:rPr>
              <w:t>（</w:t>
            </w:r>
            <w:r>
              <w:rPr>
                <w:rFonts w:hint="eastAsia" w:cs="Times New Roman"/>
                <w:snapToGrid w:val="0"/>
                <w:color w:val="000000" w:themeColor="text1"/>
                <w:szCs w:val="21"/>
                <w:highlight w:val="none"/>
                <w:lang w:val="en-US" w:eastAsia="zh-CN"/>
                <w14:textFill>
                  <w14:solidFill>
                    <w14:schemeClr w14:val="tx1"/>
                  </w14:solidFill>
                </w14:textFill>
              </w:rPr>
              <w:t>2</w:t>
            </w:r>
            <w:r>
              <w:rPr>
                <w:rFonts w:hint="default" w:ascii="Times New Roman" w:hAnsi="Times New Roman" w:cs="Times New Roman"/>
                <w:snapToGrid w:val="0"/>
                <w:color w:val="000000" w:themeColor="text1"/>
                <w:szCs w:val="21"/>
                <w:highlight w:val="none"/>
                <w:lang w:val="en-US" w:eastAsia="zh-CN"/>
                <w14:textFill>
                  <w14:solidFill>
                    <w14:schemeClr w14:val="tx1"/>
                  </w14:solidFill>
                </w14:textFill>
              </w:rPr>
              <w:t>0</w:t>
            </w:r>
            <w:r>
              <w:rPr>
                <w:rFonts w:hint="default" w:ascii="Times New Roman" w:hAnsi="Times New Roman" w:cs="Times New Roman"/>
                <w:snapToGrid w:val="0"/>
                <w:color w:val="000000" w:themeColor="text1"/>
                <w:szCs w:val="21"/>
                <w:highlight w:val="none"/>
                <w14:textFill>
                  <w14:solidFill>
                    <w14:schemeClr w14:val="tx1"/>
                  </w14:solidFill>
                </w14:textFill>
              </w:rPr>
              <w:t>m</w:t>
            </w:r>
            <w:r>
              <w:rPr>
                <w:rFonts w:hint="default" w:ascii="Times New Roman" w:hAnsi="Times New Roman" w:cs="Times New Roman"/>
                <w:snapToGrid w:val="0"/>
                <w:color w:val="000000" w:themeColor="text1"/>
                <w:szCs w:val="21"/>
                <w:highlight w:val="none"/>
                <w:vertAlign w:val="superscript"/>
                <w14:textFill>
                  <w14:solidFill>
                    <w14:schemeClr w14:val="tx1"/>
                  </w14:solidFill>
                </w14:textFill>
              </w:rPr>
              <w:t>2</w:t>
            </w:r>
            <w:r>
              <w:rPr>
                <w:rFonts w:hint="default" w:ascii="Times New Roman" w:hAnsi="Times New Roman" w:cs="Times New Roman"/>
                <w:snapToGrid w:val="0"/>
                <w:color w:val="000000" w:themeColor="text1"/>
                <w:szCs w:val="21"/>
                <w:highlight w:val="none"/>
                <w14:textFill>
                  <w14:solidFill>
                    <w14:schemeClr w14:val="tx1"/>
                  </w14:solidFill>
                </w14:textFill>
              </w:rPr>
              <w:t>）</w:t>
            </w:r>
            <w:r>
              <w:rPr>
                <w:rFonts w:hint="eastAsia" w:cs="Times New Roman"/>
                <w:snapToGrid w:val="0"/>
                <w:color w:val="000000" w:themeColor="text1"/>
                <w:szCs w:val="21"/>
                <w:highlight w:val="none"/>
                <w:lang w:val="en-US" w:eastAsia="zh-CN"/>
                <w14:textFill>
                  <w14:solidFill>
                    <w14:schemeClr w14:val="tx1"/>
                  </w14:solidFill>
                </w14:textFill>
              </w:rPr>
              <w:t>用于存放收集粉尘、灰渣和废包装材料</w:t>
            </w:r>
            <w:r>
              <w:rPr>
                <w:rFonts w:hint="default" w:ascii="Times New Roman" w:hAnsi="Times New Roman" w:cs="Times New Roman"/>
                <w:snapToGrid w:val="0"/>
                <w:color w:val="000000" w:themeColor="text1"/>
                <w:szCs w:val="21"/>
                <w:highlight w:val="none"/>
                <w14:textFill>
                  <w14:solidFill>
                    <w14:schemeClr w14:val="tx1"/>
                  </w14:solidFill>
                </w14:textFill>
              </w:rPr>
              <w:t>。</w:t>
            </w:r>
            <w:r>
              <w:rPr>
                <w:rFonts w:hint="default" w:ascii="Times New Roman" w:hAnsi="Times New Roman" w:cs="Times New Roman"/>
                <w:snapToGrid w:val="0"/>
                <w:color w:val="000000" w:themeColor="text1"/>
                <w:szCs w:val="21"/>
                <w:highlight w:val="none"/>
                <w:lang w:eastAsia="zh-CN"/>
                <w14:textFill>
                  <w14:solidFill>
                    <w14:schemeClr w14:val="tx1"/>
                  </w14:solidFill>
                </w14:textFill>
              </w:rPr>
              <w:t>建设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tc>
      </w:tr>
      <w:tr w14:paraId="3B96DF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noWrap w:val="0"/>
            <w:vAlign w:val="center"/>
          </w:tcPr>
          <w:p w14:paraId="3BF33B16">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土壤及地下水污染防治措施</w:t>
            </w:r>
          </w:p>
        </w:tc>
        <w:tc>
          <w:tcPr>
            <w:tcW w:w="7597" w:type="dxa"/>
            <w:gridSpan w:val="4"/>
            <w:noWrap w:val="0"/>
            <w:vAlign w:val="center"/>
          </w:tcPr>
          <w:p w14:paraId="37ED603E">
            <w:pPr>
              <w:pStyle w:val="56"/>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25CA34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noWrap w:val="0"/>
            <w:vAlign w:val="center"/>
          </w:tcPr>
          <w:p w14:paraId="2E2BC91B">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生态保护措施</w:t>
            </w:r>
          </w:p>
        </w:tc>
        <w:tc>
          <w:tcPr>
            <w:tcW w:w="7597" w:type="dxa"/>
            <w:gridSpan w:val="4"/>
            <w:noWrap w:val="0"/>
            <w:vAlign w:val="center"/>
          </w:tcPr>
          <w:p w14:paraId="69D8F15A">
            <w:pPr>
              <w:pStyle w:val="56"/>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r>
      <w:tr w14:paraId="35F170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noWrap w:val="0"/>
            <w:vAlign w:val="center"/>
          </w:tcPr>
          <w:p w14:paraId="2E01D196">
            <w:pPr>
              <w:pStyle w:val="56"/>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环境风险防范措施</w:t>
            </w:r>
          </w:p>
        </w:tc>
        <w:tc>
          <w:tcPr>
            <w:tcW w:w="7597" w:type="dxa"/>
            <w:gridSpan w:val="4"/>
            <w:noWrap w:val="0"/>
            <w:vAlign w:val="center"/>
          </w:tcPr>
          <w:p w14:paraId="7E6F6074">
            <w:pPr>
              <w:pStyle w:val="56"/>
              <w:bidi w:val="0"/>
              <w:jc w:val="center"/>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426146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89" w:type="dxa"/>
            <w:noWrap w:val="0"/>
            <w:vAlign w:val="center"/>
          </w:tcPr>
          <w:p w14:paraId="0A3DB174">
            <w:pPr>
              <w:pStyle w:val="5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其他环境管理要求</w:t>
            </w:r>
          </w:p>
        </w:tc>
        <w:tc>
          <w:tcPr>
            <w:tcW w:w="7597" w:type="dxa"/>
            <w:gridSpan w:val="4"/>
            <w:noWrap w:val="0"/>
            <w:vAlign w:val="center"/>
          </w:tcPr>
          <w:p w14:paraId="5C11A4FA">
            <w:pPr>
              <w:pStyle w:val="56"/>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①根据《固定污染源排污许可分类管理名录（2019年版）》</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待本项目取得环评批准文件后，应及时在全国排污许可证管理信息平台进行</w:t>
            </w:r>
            <w:r>
              <w:rPr>
                <w:rFonts w:hint="default" w:ascii="Times New Roman" w:hAnsi="Times New Roman" w:cs="Times New Roman"/>
                <w:color w:val="000000" w:themeColor="text1"/>
                <w:highlight w:val="none"/>
                <w:lang w:val="en-US" w:eastAsia="zh-CN"/>
                <w14:textFill>
                  <w14:solidFill>
                    <w14:schemeClr w14:val="tx1"/>
                  </w14:solidFill>
                </w14:textFill>
              </w:rPr>
              <w:t>排污许可</w:t>
            </w:r>
            <w:r>
              <w:rPr>
                <w:rFonts w:hint="eastAsia" w:cs="Times New Roman"/>
                <w:color w:val="000000" w:themeColor="text1"/>
                <w:highlight w:val="none"/>
                <w:lang w:val="en-US" w:eastAsia="zh-CN"/>
                <w14:textFill>
                  <w14:solidFill>
                    <w14:schemeClr w14:val="tx1"/>
                  </w14:solidFill>
                </w14:textFill>
              </w:rPr>
              <w:t>办理</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企业应在项目建设完成并</w:t>
            </w:r>
            <w:r>
              <w:rPr>
                <w:rFonts w:hint="eastAsia" w:cs="Times New Roman"/>
                <w:color w:val="000000" w:themeColor="text1"/>
                <w:highlight w:val="none"/>
                <w:lang w:val="en-US" w:eastAsia="zh-CN"/>
                <w14:textFill>
                  <w14:solidFill>
                    <w14:schemeClr w14:val="tx1"/>
                  </w14:solidFill>
                </w14:textFill>
              </w:rPr>
              <w:t>取得</w:t>
            </w:r>
            <w:r>
              <w:rPr>
                <w:rFonts w:hint="default" w:ascii="Times New Roman" w:hAnsi="Times New Roman" w:cs="Times New Roman"/>
                <w:color w:val="000000" w:themeColor="text1"/>
                <w:highlight w:val="none"/>
                <w:lang w:val="en-US" w:eastAsia="zh-CN"/>
                <w14:textFill>
                  <w14:solidFill>
                    <w14:schemeClr w14:val="tx1"/>
                  </w14:solidFill>
                </w14:textFill>
              </w:rPr>
              <w:t>排污许可</w:t>
            </w:r>
            <w:r>
              <w:rPr>
                <w:rFonts w:hint="default" w:ascii="Times New Roman" w:hAnsi="Times New Roman" w:cs="Times New Roman"/>
                <w:color w:val="000000" w:themeColor="text1"/>
                <w:highlight w:val="none"/>
                <w:lang w:eastAsia="zh-CN"/>
                <w14:textFill>
                  <w14:solidFill>
                    <w14:schemeClr w14:val="tx1"/>
                  </w14:solidFill>
                </w14:textFill>
              </w:rPr>
              <w:t>之后</w:t>
            </w:r>
            <w:r>
              <w:rPr>
                <w:rFonts w:hint="default" w:ascii="Times New Roman" w:hAnsi="Times New Roman" w:cs="Times New Roman"/>
                <w:color w:val="000000" w:themeColor="text1"/>
                <w:highlight w:val="none"/>
                <w14:textFill>
                  <w14:solidFill>
                    <w14:schemeClr w14:val="tx1"/>
                  </w14:solidFill>
                </w14:textFill>
              </w:rPr>
              <w:t>及时对环保设施进行验收。</w:t>
            </w:r>
          </w:p>
          <w:p w14:paraId="086B45FF">
            <w:pPr>
              <w:pStyle w:val="56"/>
              <w:jc w:val="both"/>
              <w:rPr>
                <w:rFonts w:hint="default" w:ascii="Times New Roman" w:hAnsi="Times New Roman" w:cs="Times New Roman"/>
                <w:color w:val="000000" w:themeColor="text1"/>
                <w:highlight w:val="none"/>
                <w:lang w:eastAsia="zh-CN"/>
                <w14:textFill>
                  <w14:solidFill>
                    <w14:schemeClr w14:val="tx1"/>
                  </w14:solidFill>
                </w14:textFill>
              </w:rPr>
            </w:pPr>
          </w:p>
        </w:tc>
      </w:tr>
    </w:tbl>
    <w:p w14:paraId="603BB57C">
      <w:pPr>
        <w:ind w:firstLine="480"/>
        <w:rPr>
          <w:color w:val="000000" w:themeColor="text1"/>
          <w:highlight w:val="none"/>
          <w14:textFill>
            <w14:solidFill>
              <w14:schemeClr w14:val="tx1"/>
            </w14:solidFill>
          </w14:textFill>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867B018">
      <w:pPr>
        <w:pStyle w:val="2"/>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结论</w:t>
      </w: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070"/>
      </w:tblGrid>
      <w:tr w14:paraId="32B950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070" w:type="dxa"/>
            <w:noWrap w:val="0"/>
            <w:vAlign w:val="center"/>
          </w:tcPr>
          <w:p w14:paraId="7D76AFEE">
            <w:pPr>
              <w:pStyle w:val="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拟开展的“</w:t>
            </w:r>
            <w:r>
              <w:rPr>
                <w:rFonts w:hint="eastAsia"/>
                <w:color w:val="000000" w:themeColor="text1"/>
                <w:highlight w:val="none"/>
                <w14:textFill>
                  <w14:solidFill>
                    <w14:schemeClr w14:val="tx1"/>
                  </w14:solidFill>
                </w14:textFill>
              </w:rPr>
              <w:t>荣彩服装牛仔裤清洗项目</w:t>
            </w:r>
            <w:r>
              <w:rPr>
                <w:rFonts w:hint="eastAsia"/>
                <w:color w:val="000000" w:themeColor="text1"/>
                <w:highlight w:val="none"/>
                <w14:textFill>
                  <w14:solidFill>
                    <w14:schemeClr w14:val="tx1"/>
                  </w14:solidFill>
                </w14:textFill>
              </w:rPr>
              <w:t>”符合国家产业政策，符合国家及地方环境保护政策及规划，项目占地</w:t>
            </w:r>
            <w:r>
              <w:rPr>
                <w:rFonts w:hint="eastAsia"/>
                <w:color w:val="000000" w:themeColor="text1"/>
                <w:highlight w:val="none"/>
                <w:lang w:val="en-US" w:eastAsia="zh-CN"/>
                <w14:textFill>
                  <w14:solidFill>
                    <w14:schemeClr w14:val="tx1"/>
                  </w14:solidFill>
                </w14:textFill>
              </w:rPr>
              <w:t>范围内</w:t>
            </w:r>
            <w:r>
              <w:rPr>
                <w:rFonts w:hint="eastAsia"/>
                <w:color w:val="000000" w:themeColor="text1"/>
                <w:highlight w:val="none"/>
                <w14:textFill>
                  <w14:solidFill>
                    <w14:schemeClr w14:val="tx1"/>
                  </w14:solidFill>
                </w14:textFill>
              </w:rPr>
              <w:t>及厂界500m范围内无自然保护区及文物设施、森林公园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生态保护红线</w:t>
            </w:r>
            <w:r>
              <w:rPr>
                <w:rFonts w:hint="eastAsia"/>
                <w:color w:val="000000" w:themeColor="text1"/>
                <w:highlight w:val="none"/>
                <w14:textFill>
                  <w14:solidFill>
                    <w14:schemeClr w14:val="tx1"/>
                  </w14:solidFill>
                </w14:textFill>
              </w:rPr>
              <w:t>等敏感区分布，不涉及生态保护红线，选址合理，不存在重大环境制约因素，环境影响可接受，环境风险可控，环境保护措施满足长期稳定达标要求，从环境影响的角度进行分析，本项目的建设可行。</w:t>
            </w:r>
          </w:p>
          <w:p w14:paraId="2215370E">
            <w:pPr>
              <w:rPr>
                <w:color w:val="000000" w:themeColor="text1"/>
                <w:highlight w:val="none"/>
                <w14:textFill>
                  <w14:solidFill>
                    <w14:schemeClr w14:val="tx1"/>
                  </w14:solidFill>
                </w14:textFill>
              </w:rPr>
            </w:pPr>
          </w:p>
          <w:p w14:paraId="27CA08F8">
            <w:pPr>
              <w:rPr>
                <w:color w:val="000000" w:themeColor="text1"/>
                <w:highlight w:val="none"/>
                <w14:textFill>
                  <w14:solidFill>
                    <w14:schemeClr w14:val="tx1"/>
                  </w14:solidFill>
                </w14:textFill>
              </w:rPr>
            </w:pPr>
          </w:p>
          <w:p w14:paraId="18A4A4D4">
            <w:pPr>
              <w:pStyle w:val="15"/>
              <w:rPr>
                <w:color w:val="000000" w:themeColor="text1"/>
                <w:highlight w:val="none"/>
                <w14:textFill>
                  <w14:solidFill>
                    <w14:schemeClr w14:val="tx1"/>
                  </w14:solidFill>
                </w14:textFill>
              </w:rPr>
            </w:pPr>
          </w:p>
          <w:p w14:paraId="41F74B43">
            <w:pPr>
              <w:pStyle w:val="19"/>
              <w:numPr>
                <w:ilvl w:val="0"/>
                <w:numId w:val="0"/>
              </w:numPr>
              <w:rPr>
                <w:color w:val="000000" w:themeColor="text1"/>
                <w:highlight w:val="none"/>
                <w14:textFill>
                  <w14:solidFill>
                    <w14:schemeClr w14:val="tx1"/>
                  </w14:solidFill>
                </w14:textFill>
              </w:rPr>
            </w:pPr>
          </w:p>
          <w:p w14:paraId="0C895DB9">
            <w:pPr>
              <w:pStyle w:val="19"/>
              <w:numPr>
                <w:ilvl w:val="0"/>
                <w:numId w:val="0"/>
              </w:numPr>
              <w:rPr>
                <w:color w:val="000000" w:themeColor="text1"/>
                <w:highlight w:val="none"/>
                <w14:textFill>
                  <w14:solidFill>
                    <w14:schemeClr w14:val="tx1"/>
                  </w14:solidFill>
                </w14:textFill>
              </w:rPr>
            </w:pPr>
          </w:p>
          <w:p w14:paraId="65BBF95D">
            <w:pPr>
              <w:pStyle w:val="19"/>
              <w:numPr>
                <w:ilvl w:val="0"/>
                <w:numId w:val="0"/>
              </w:numPr>
              <w:rPr>
                <w:color w:val="000000" w:themeColor="text1"/>
                <w:highlight w:val="none"/>
                <w14:textFill>
                  <w14:solidFill>
                    <w14:schemeClr w14:val="tx1"/>
                  </w14:solidFill>
                </w14:textFill>
              </w:rPr>
            </w:pPr>
          </w:p>
          <w:p w14:paraId="47594CEA">
            <w:pPr>
              <w:pStyle w:val="19"/>
              <w:numPr>
                <w:ilvl w:val="0"/>
                <w:numId w:val="0"/>
              </w:numPr>
              <w:rPr>
                <w:color w:val="000000" w:themeColor="text1"/>
                <w:highlight w:val="none"/>
                <w14:textFill>
                  <w14:solidFill>
                    <w14:schemeClr w14:val="tx1"/>
                  </w14:solidFill>
                </w14:textFill>
              </w:rPr>
            </w:pPr>
          </w:p>
          <w:p w14:paraId="30031C42">
            <w:pPr>
              <w:pStyle w:val="19"/>
              <w:numPr>
                <w:ilvl w:val="0"/>
                <w:numId w:val="0"/>
              </w:numPr>
              <w:rPr>
                <w:color w:val="000000" w:themeColor="text1"/>
                <w:highlight w:val="none"/>
                <w14:textFill>
                  <w14:solidFill>
                    <w14:schemeClr w14:val="tx1"/>
                  </w14:solidFill>
                </w14:textFill>
              </w:rPr>
            </w:pPr>
          </w:p>
          <w:p w14:paraId="1CDB8636">
            <w:pPr>
              <w:pStyle w:val="19"/>
              <w:numPr>
                <w:ilvl w:val="0"/>
                <w:numId w:val="0"/>
              </w:numPr>
              <w:rPr>
                <w:color w:val="000000" w:themeColor="text1"/>
                <w:highlight w:val="none"/>
                <w14:textFill>
                  <w14:solidFill>
                    <w14:schemeClr w14:val="tx1"/>
                  </w14:solidFill>
                </w14:textFill>
              </w:rPr>
            </w:pPr>
          </w:p>
          <w:p w14:paraId="5384A45D">
            <w:pPr>
              <w:pStyle w:val="19"/>
              <w:numPr>
                <w:ilvl w:val="0"/>
                <w:numId w:val="0"/>
              </w:numPr>
              <w:rPr>
                <w:color w:val="000000" w:themeColor="text1"/>
                <w:highlight w:val="none"/>
                <w14:textFill>
                  <w14:solidFill>
                    <w14:schemeClr w14:val="tx1"/>
                  </w14:solidFill>
                </w14:textFill>
              </w:rPr>
            </w:pPr>
          </w:p>
          <w:p w14:paraId="6C4861D1">
            <w:pPr>
              <w:pStyle w:val="19"/>
              <w:numPr>
                <w:ilvl w:val="0"/>
                <w:numId w:val="0"/>
              </w:numPr>
              <w:rPr>
                <w:color w:val="000000" w:themeColor="text1"/>
                <w:highlight w:val="none"/>
                <w14:textFill>
                  <w14:solidFill>
                    <w14:schemeClr w14:val="tx1"/>
                  </w14:solidFill>
                </w14:textFill>
              </w:rPr>
            </w:pPr>
          </w:p>
          <w:p w14:paraId="5C4B690E">
            <w:pPr>
              <w:pStyle w:val="19"/>
              <w:numPr>
                <w:ilvl w:val="0"/>
                <w:numId w:val="0"/>
              </w:numPr>
              <w:rPr>
                <w:color w:val="000000" w:themeColor="text1"/>
                <w:highlight w:val="none"/>
                <w14:textFill>
                  <w14:solidFill>
                    <w14:schemeClr w14:val="tx1"/>
                  </w14:solidFill>
                </w14:textFill>
              </w:rPr>
            </w:pPr>
          </w:p>
          <w:p w14:paraId="187B29FF">
            <w:pPr>
              <w:pStyle w:val="19"/>
              <w:numPr>
                <w:ilvl w:val="0"/>
                <w:numId w:val="0"/>
              </w:numPr>
              <w:rPr>
                <w:color w:val="000000" w:themeColor="text1"/>
                <w:highlight w:val="none"/>
                <w14:textFill>
                  <w14:solidFill>
                    <w14:schemeClr w14:val="tx1"/>
                  </w14:solidFill>
                </w14:textFill>
              </w:rPr>
            </w:pPr>
          </w:p>
          <w:p w14:paraId="4A6EE761">
            <w:pPr>
              <w:pStyle w:val="19"/>
              <w:numPr>
                <w:ilvl w:val="0"/>
                <w:numId w:val="0"/>
              </w:numPr>
              <w:rPr>
                <w:color w:val="000000" w:themeColor="text1"/>
                <w:highlight w:val="none"/>
                <w14:textFill>
                  <w14:solidFill>
                    <w14:schemeClr w14:val="tx1"/>
                  </w14:solidFill>
                </w14:textFill>
              </w:rPr>
            </w:pPr>
          </w:p>
          <w:p w14:paraId="0FF0AE89">
            <w:pPr>
              <w:pStyle w:val="19"/>
              <w:numPr>
                <w:ilvl w:val="0"/>
                <w:numId w:val="0"/>
              </w:numPr>
              <w:rPr>
                <w:color w:val="000000" w:themeColor="text1"/>
                <w:highlight w:val="none"/>
                <w14:textFill>
                  <w14:solidFill>
                    <w14:schemeClr w14:val="tx1"/>
                  </w14:solidFill>
                </w14:textFill>
              </w:rPr>
            </w:pPr>
          </w:p>
          <w:p w14:paraId="2623A648">
            <w:pPr>
              <w:pStyle w:val="19"/>
              <w:numPr>
                <w:ilvl w:val="0"/>
                <w:numId w:val="0"/>
              </w:numPr>
              <w:rPr>
                <w:color w:val="000000" w:themeColor="text1"/>
                <w:highlight w:val="none"/>
                <w14:textFill>
                  <w14:solidFill>
                    <w14:schemeClr w14:val="tx1"/>
                  </w14:solidFill>
                </w14:textFill>
              </w:rPr>
            </w:pPr>
          </w:p>
          <w:p w14:paraId="6B769EE0">
            <w:pPr>
              <w:pStyle w:val="19"/>
              <w:numPr>
                <w:ilvl w:val="0"/>
                <w:numId w:val="0"/>
              </w:numPr>
              <w:rPr>
                <w:color w:val="000000" w:themeColor="text1"/>
                <w:highlight w:val="none"/>
                <w14:textFill>
                  <w14:solidFill>
                    <w14:schemeClr w14:val="tx1"/>
                  </w14:solidFill>
                </w14:textFill>
              </w:rPr>
            </w:pPr>
          </w:p>
          <w:p w14:paraId="1F18F5AD">
            <w:pPr>
              <w:pStyle w:val="19"/>
              <w:numPr>
                <w:ilvl w:val="0"/>
                <w:numId w:val="0"/>
              </w:numPr>
              <w:rPr>
                <w:color w:val="000000" w:themeColor="text1"/>
                <w:highlight w:val="none"/>
                <w14:textFill>
                  <w14:solidFill>
                    <w14:schemeClr w14:val="tx1"/>
                  </w14:solidFill>
                </w14:textFill>
              </w:rPr>
            </w:pPr>
          </w:p>
          <w:p w14:paraId="214B3026">
            <w:pPr>
              <w:pStyle w:val="19"/>
              <w:numPr>
                <w:ilvl w:val="0"/>
                <w:numId w:val="0"/>
              </w:numPr>
              <w:rPr>
                <w:color w:val="000000" w:themeColor="text1"/>
                <w:highlight w:val="none"/>
                <w14:textFill>
                  <w14:solidFill>
                    <w14:schemeClr w14:val="tx1"/>
                  </w14:solidFill>
                </w14:textFill>
              </w:rPr>
            </w:pPr>
            <w:bookmarkStart w:id="20" w:name="_GoBack"/>
            <w:bookmarkEnd w:id="20"/>
          </w:p>
          <w:p w14:paraId="674CE969">
            <w:pPr>
              <w:pStyle w:val="19"/>
              <w:numPr>
                <w:ilvl w:val="0"/>
                <w:numId w:val="0"/>
              </w:numPr>
              <w:rPr>
                <w:color w:val="000000" w:themeColor="text1"/>
                <w:highlight w:val="none"/>
                <w14:textFill>
                  <w14:solidFill>
                    <w14:schemeClr w14:val="tx1"/>
                  </w14:solidFill>
                </w14:textFill>
              </w:rPr>
            </w:pPr>
          </w:p>
          <w:p w14:paraId="1088065E">
            <w:pPr>
              <w:pStyle w:val="19"/>
              <w:numPr>
                <w:ilvl w:val="0"/>
                <w:numId w:val="0"/>
              </w:numPr>
              <w:rPr>
                <w:color w:val="000000" w:themeColor="text1"/>
                <w:highlight w:val="none"/>
                <w14:textFill>
                  <w14:solidFill>
                    <w14:schemeClr w14:val="tx1"/>
                  </w14:solidFill>
                </w14:textFill>
              </w:rPr>
            </w:pPr>
          </w:p>
          <w:p w14:paraId="3F85FD7F">
            <w:pPr>
              <w:pStyle w:val="19"/>
              <w:numPr>
                <w:ilvl w:val="0"/>
                <w:numId w:val="0"/>
              </w:numPr>
              <w:rPr>
                <w:color w:val="000000" w:themeColor="text1"/>
                <w:highlight w:val="none"/>
                <w14:textFill>
                  <w14:solidFill>
                    <w14:schemeClr w14:val="tx1"/>
                  </w14:solidFill>
                </w14:textFill>
              </w:rPr>
            </w:pPr>
          </w:p>
          <w:p w14:paraId="23E89679">
            <w:pPr>
              <w:pStyle w:val="19"/>
              <w:numPr>
                <w:ilvl w:val="0"/>
                <w:numId w:val="0"/>
              </w:numPr>
              <w:rPr>
                <w:color w:val="000000" w:themeColor="text1"/>
                <w:highlight w:val="none"/>
                <w14:textFill>
                  <w14:solidFill>
                    <w14:schemeClr w14:val="tx1"/>
                  </w14:solidFill>
                </w14:textFill>
              </w:rPr>
            </w:pPr>
          </w:p>
          <w:p w14:paraId="6654B851">
            <w:pPr>
              <w:pStyle w:val="19"/>
              <w:numPr>
                <w:ilvl w:val="0"/>
                <w:numId w:val="0"/>
              </w:numPr>
              <w:rPr>
                <w:color w:val="000000" w:themeColor="text1"/>
                <w:highlight w:val="none"/>
                <w14:textFill>
                  <w14:solidFill>
                    <w14:schemeClr w14:val="tx1"/>
                  </w14:solidFill>
                </w14:textFill>
              </w:rPr>
            </w:pPr>
          </w:p>
          <w:p w14:paraId="58DF437D">
            <w:pPr>
              <w:pStyle w:val="19"/>
              <w:numPr>
                <w:ilvl w:val="0"/>
                <w:numId w:val="0"/>
              </w:numPr>
              <w:rPr>
                <w:color w:val="000000" w:themeColor="text1"/>
                <w:highlight w:val="none"/>
                <w14:textFill>
                  <w14:solidFill>
                    <w14:schemeClr w14:val="tx1"/>
                  </w14:solidFill>
                </w14:textFill>
              </w:rPr>
            </w:pPr>
          </w:p>
          <w:p w14:paraId="0FBE292E">
            <w:pPr>
              <w:pStyle w:val="19"/>
              <w:numPr>
                <w:ilvl w:val="0"/>
                <w:numId w:val="0"/>
              </w:numPr>
              <w:rPr>
                <w:color w:val="000000" w:themeColor="text1"/>
                <w:highlight w:val="none"/>
                <w14:textFill>
                  <w14:solidFill>
                    <w14:schemeClr w14:val="tx1"/>
                  </w14:solidFill>
                </w14:textFill>
              </w:rPr>
            </w:pPr>
          </w:p>
          <w:p w14:paraId="094C58B5">
            <w:pPr>
              <w:rPr>
                <w:color w:val="000000" w:themeColor="text1"/>
                <w:highlight w:val="none"/>
                <w14:textFill>
                  <w14:solidFill>
                    <w14:schemeClr w14:val="tx1"/>
                  </w14:solidFill>
                </w14:textFill>
              </w:rPr>
            </w:pPr>
          </w:p>
          <w:p w14:paraId="40B47FE6">
            <w:pPr>
              <w:rPr>
                <w:color w:val="000000" w:themeColor="text1"/>
                <w:highlight w:val="none"/>
                <w14:textFill>
                  <w14:solidFill>
                    <w14:schemeClr w14:val="tx1"/>
                  </w14:solidFill>
                </w14:textFill>
              </w:rPr>
            </w:pPr>
          </w:p>
        </w:tc>
      </w:tr>
    </w:tbl>
    <w:p w14:paraId="0516B340">
      <w:pPr>
        <w:ind w:firstLine="480"/>
        <w:rPr>
          <w:color w:val="000000" w:themeColor="text1"/>
          <w:highlight w:val="none"/>
          <w14:textFill>
            <w14:solidFill>
              <w14:schemeClr w14:val="tx1"/>
            </w14:solidFill>
          </w14:textFill>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B44DD37">
      <w:pPr>
        <w:ind w:firstLine="480"/>
        <w:jc w:val="left"/>
        <w:rPr>
          <w:rFonts w:ascii="黑体" w:hAnsi="黑体" w:eastAsia="黑体"/>
          <w:b/>
          <w:bCs/>
          <w:color w:val="000000" w:themeColor="text1"/>
          <w:sz w:val="30"/>
          <w:szCs w:val="30"/>
          <w:highlight w:val="none"/>
          <w14:textFill>
            <w14:solidFill>
              <w14:schemeClr w14:val="tx1"/>
            </w14:solidFill>
          </w14:textFill>
        </w:rPr>
      </w:pPr>
      <w:r>
        <w:rPr>
          <w:rFonts w:hint="eastAsia" w:ascii="黑体" w:hAnsi="黑体" w:eastAsia="黑体"/>
          <w:b/>
          <w:bCs/>
          <w:color w:val="000000" w:themeColor="text1"/>
          <w:sz w:val="30"/>
          <w:szCs w:val="30"/>
          <w:highlight w:val="none"/>
          <w14:textFill>
            <w14:solidFill>
              <w14:schemeClr w14:val="tx1"/>
            </w14:solidFill>
          </w14:textFill>
        </w:rPr>
        <w:t>附表</w:t>
      </w:r>
    </w:p>
    <w:p w14:paraId="7045E04A">
      <w:pPr>
        <w:ind w:firstLine="480"/>
        <w:rPr>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建设项目污染物排放量汇总表</w:t>
      </w:r>
    </w:p>
    <w:tbl>
      <w:tblPr>
        <w:tblStyle w:val="2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3"/>
        <w:gridCol w:w="2178"/>
        <w:gridCol w:w="2034"/>
        <w:gridCol w:w="1425"/>
        <w:gridCol w:w="1762"/>
        <w:gridCol w:w="1648"/>
        <w:gridCol w:w="1455"/>
        <w:gridCol w:w="1830"/>
        <w:gridCol w:w="1081"/>
      </w:tblGrid>
      <w:tr w14:paraId="2B9D3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373" w:type="dxa"/>
            <w:noWrap w:val="0"/>
            <w:vAlign w:val="center"/>
          </w:tcPr>
          <w:p w14:paraId="72728AE7">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-52070</wp:posOffset>
                      </wp:positionH>
                      <wp:positionV relativeFrom="paragraph">
                        <wp:posOffset>1270</wp:posOffset>
                      </wp:positionV>
                      <wp:extent cx="840740" cy="558800"/>
                      <wp:effectExtent l="2540" t="3810" r="13970" b="8890"/>
                      <wp:wrapNone/>
                      <wp:docPr id="1360458774" name="直接连接符 10"/>
                      <wp:cNvGraphicFramePr/>
                      <a:graphic xmlns:a="http://schemas.openxmlformats.org/drawingml/2006/main">
                        <a:graphicData uri="http://schemas.microsoft.com/office/word/2010/wordprocessingShape">
                          <wps:wsp>
                            <wps:cNvCnPr/>
                            <wps:spPr>
                              <a:xfrm>
                                <a:off x="0" y="0"/>
                                <a:ext cx="840740" cy="55880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10" o:spid="_x0000_s1026" o:spt="20" style="position:absolute;left:0pt;margin-left:-4.1pt;margin-top:0.1pt;height:44pt;width:66.2pt;z-index:251661312;mso-width-relative:page;mso-height-relative:page;" filled="f" stroked="t" coordsize="21600,21600" o:gfxdata="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5XWmdMAAAAGAQAADwAAAAAAAAABACAAAAAiAAAAZHJzL2Rvd25yZXYueG1sUEsBAhQAFAAA&#10;AAgAh07iQGseyOb0AQAAzQMAAA4AAAAAAAAAAQAgAAAAIgEAAGRycy9lMm9Eb2MueG1sUEsFBgAA&#10;AAAGAAYAWQEAAIgFAAAAAA==&#10;">
                      <v:fill on="f" focussize="0,0"/>
                      <v:stroke weight="0.5pt" color="#000000" miterlimit="8" joinstyle="miter"/>
                      <v:imagedata o:title=""/>
                      <o:lock v:ext="edit" aspectratio="f"/>
                    </v:line>
                  </w:pict>
                </mc:Fallback>
              </mc:AlternateContent>
            </w:r>
            <w:r>
              <w:rPr>
                <w:rFonts w:hint="eastAsia" w:ascii="宋体" w:hAnsi="宋体" w:eastAsia="宋体" w:cs="宋体"/>
                <w:color w:val="000000" w:themeColor="text1"/>
                <w:sz w:val="21"/>
                <w:szCs w:val="21"/>
                <w:highlight w:val="none"/>
                <w14:textFill>
                  <w14:solidFill>
                    <w14:schemeClr w14:val="tx1"/>
                  </w14:solidFill>
                </w14:textFill>
              </w:rPr>
              <w:t>项目</w:t>
            </w:r>
          </w:p>
          <w:p w14:paraId="2EA4029C">
            <w:pPr>
              <w:pStyle w:val="56"/>
              <w:rPr>
                <w:rFonts w:hint="eastAsia" w:ascii="宋体" w:hAnsi="宋体" w:eastAsia="宋体" w:cs="宋体"/>
                <w:color w:val="000000" w:themeColor="text1"/>
                <w:sz w:val="21"/>
                <w:szCs w:val="21"/>
                <w:highlight w:val="none"/>
                <w14:textFill>
                  <w14:solidFill>
                    <w14:schemeClr w14:val="tx1"/>
                  </w14:solidFill>
                </w14:textFill>
              </w:rPr>
            </w:pPr>
          </w:p>
          <w:p w14:paraId="4318C9F1">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分类</w:t>
            </w:r>
          </w:p>
        </w:tc>
        <w:tc>
          <w:tcPr>
            <w:tcW w:w="2178" w:type="dxa"/>
            <w:noWrap w:val="0"/>
            <w:vAlign w:val="center"/>
          </w:tcPr>
          <w:p w14:paraId="3553BFA8">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污染物名称</w:t>
            </w:r>
          </w:p>
        </w:tc>
        <w:tc>
          <w:tcPr>
            <w:tcW w:w="2034" w:type="dxa"/>
            <w:noWrap w:val="0"/>
            <w:vAlign w:val="center"/>
          </w:tcPr>
          <w:p w14:paraId="03D8EAA5">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现有工程排放量（固体废物产生量）①</w:t>
            </w:r>
          </w:p>
        </w:tc>
        <w:tc>
          <w:tcPr>
            <w:tcW w:w="1425" w:type="dxa"/>
            <w:noWrap w:val="0"/>
            <w:vAlign w:val="center"/>
          </w:tcPr>
          <w:p w14:paraId="73EB5583">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现有工程许可排放量②</w:t>
            </w:r>
          </w:p>
        </w:tc>
        <w:tc>
          <w:tcPr>
            <w:tcW w:w="1762" w:type="dxa"/>
            <w:noWrap w:val="0"/>
            <w:vAlign w:val="center"/>
          </w:tcPr>
          <w:p w14:paraId="17C03A7F">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在建工程排放量（固体废物产生量）③</w:t>
            </w:r>
          </w:p>
        </w:tc>
        <w:tc>
          <w:tcPr>
            <w:tcW w:w="1648" w:type="dxa"/>
            <w:noWrap w:val="0"/>
            <w:vAlign w:val="center"/>
          </w:tcPr>
          <w:p w14:paraId="595690DD">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本项目排放量（固体废物产生量）④</w:t>
            </w:r>
          </w:p>
        </w:tc>
        <w:tc>
          <w:tcPr>
            <w:tcW w:w="1455" w:type="dxa"/>
            <w:noWrap w:val="0"/>
            <w:vAlign w:val="center"/>
          </w:tcPr>
          <w:p w14:paraId="4BDE197D">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以新带老削减量（新建项目不填）⑤</w:t>
            </w:r>
          </w:p>
        </w:tc>
        <w:tc>
          <w:tcPr>
            <w:tcW w:w="1830" w:type="dxa"/>
            <w:noWrap w:val="0"/>
            <w:vAlign w:val="center"/>
          </w:tcPr>
          <w:p w14:paraId="2F296ECB">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本项目建成后全厂排放量（固体废物产生量）⑥</w:t>
            </w:r>
          </w:p>
        </w:tc>
        <w:tc>
          <w:tcPr>
            <w:tcW w:w="1081" w:type="dxa"/>
            <w:noWrap w:val="0"/>
            <w:vAlign w:val="center"/>
          </w:tcPr>
          <w:p w14:paraId="6197C419">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变化量⑦</w:t>
            </w:r>
          </w:p>
        </w:tc>
      </w:tr>
      <w:tr w14:paraId="3B760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373" w:type="dxa"/>
            <w:vMerge w:val="restart"/>
            <w:noWrap w:val="0"/>
            <w:vAlign w:val="center"/>
          </w:tcPr>
          <w:p w14:paraId="7BEAA0C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废气</w:t>
            </w:r>
          </w:p>
        </w:tc>
        <w:tc>
          <w:tcPr>
            <w:tcW w:w="2178" w:type="dxa"/>
            <w:noWrap w:val="0"/>
            <w:vAlign w:val="center"/>
          </w:tcPr>
          <w:p w14:paraId="112DEC8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SO2</w:t>
            </w:r>
          </w:p>
        </w:tc>
        <w:tc>
          <w:tcPr>
            <w:tcW w:w="2034" w:type="dxa"/>
            <w:noWrap w:val="0"/>
            <w:vAlign w:val="center"/>
          </w:tcPr>
          <w:p w14:paraId="6F790519">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425" w:type="dxa"/>
            <w:noWrap w:val="0"/>
            <w:vAlign w:val="center"/>
          </w:tcPr>
          <w:p w14:paraId="4553D922">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762" w:type="dxa"/>
            <w:noWrap w:val="0"/>
            <w:vAlign w:val="center"/>
          </w:tcPr>
          <w:p w14:paraId="04D72F84">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648" w:type="dxa"/>
            <w:noWrap w:val="0"/>
            <w:vAlign w:val="center"/>
          </w:tcPr>
          <w:p w14:paraId="7D9A8958">
            <w:pPr>
              <w:pStyle w:val="56"/>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w:t>
            </w:r>
          </w:p>
        </w:tc>
        <w:tc>
          <w:tcPr>
            <w:tcW w:w="1455" w:type="dxa"/>
            <w:noWrap w:val="0"/>
            <w:vAlign w:val="center"/>
          </w:tcPr>
          <w:p w14:paraId="4384766D">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830" w:type="dxa"/>
            <w:shd w:val="clear" w:color="auto" w:fill="auto"/>
            <w:noWrap w:val="0"/>
            <w:vAlign w:val="center"/>
          </w:tcPr>
          <w:p w14:paraId="5280F8E5">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w:t>
            </w:r>
          </w:p>
        </w:tc>
        <w:tc>
          <w:tcPr>
            <w:tcW w:w="1081" w:type="dxa"/>
            <w:shd w:val="clear" w:color="auto" w:fill="auto"/>
            <w:noWrap w:val="0"/>
            <w:vAlign w:val="center"/>
          </w:tcPr>
          <w:p w14:paraId="3E985F7D">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w:t>
            </w:r>
          </w:p>
        </w:tc>
      </w:tr>
      <w:tr w14:paraId="1FDF6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373" w:type="dxa"/>
            <w:vMerge w:val="continue"/>
            <w:noWrap w:val="0"/>
            <w:vAlign w:val="center"/>
          </w:tcPr>
          <w:p w14:paraId="7459895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178" w:type="dxa"/>
            <w:noWrap w:val="0"/>
            <w:vAlign w:val="center"/>
          </w:tcPr>
          <w:p w14:paraId="665705C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NOX</w:t>
            </w:r>
          </w:p>
        </w:tc>
        <w:tc>
          <w:tcPr>
            <w:tcW w:w="2034" w:type="dxa"/>
            <w:noWrap w:val="0"/>
            <w:vAlign w:val="center"/>
          </w:tcPr>
          <w:p w14:paraId="7BB8294F">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425" w:type="dxa"/>
            <w:noWrap w:val="0"/>
            <w:vAlign w:val="center"/>
          </w:tcPr>
          <w:p w14:paraId="1FF24D22">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762" w:type="dxa"/>
            <w:noWrap w:val="0"/>
            <w:vAlign w:val="center"/>
          </w:tcPr>
          <w:p w14:paraId="3842C859">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648" w:type="dxa"/>
            <w:noWrap w:val="0"/>
            <w:vAlign w:val="center"/>
          </w:tcPr>
          <w:p w14:paraId="32200DBE">
            <w:pPr>
              <w:pStyle w:val="56"/>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1.221</w:t>
            </w:r>
          </w:p>
        </w:tc>
        <w:tc>
          <w:tcPr>
            <w:tcW w:w="1455" w:type="dxa"/>
            <w:noWrap w:val="0"/>
            <w:vAlign w:val="center"/>
          </w:tcPr>
          <w:p w14:paraId="42F7DBE9">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830" w:type="dxa"/>
            <w:shd w:val="clear" w:color="auto" w:fill="auto"/>
            <w:noWrap w:val="0"/>
            <w:vAlign w:val="center"/>
          </w:tcPr>
          <w:p w14:paraId="2F4047FD">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1.221</w:t>
            </w:r>
          </w:p>
        </w:tc>
        <w:tc>
          <w:tcPr>
            <w:tcW w:w="1081" w:type="dxa"/>
            <w:shd w:val="clear" w:color="auto" w:fill="auto"/>
            <w:noWrap w:val="0"/>
            <w:vAlign w:val="center"/>
          </w:tcPr>
          <w:p w14:paraId="24311F0A">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+1.221</w:t>
            </w:r>
          </w:p>
        </w:tc>
      </w:tr>
      <w:tr w14:paraId="47055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373" w:type="dxa"/>
            <w:vMerge w:val="continue"/>
            <w:noWrap w:val="0"/>
            <w:vAlign w:val="center"/>
          </w:tcPr>
          <w:p w14:paraId="33657B2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2178" w:type="dxa"/>
            <w:noWrap w:val="0"/>
            <w:vAlign w:val="center"/>
          </w:tcPr>
          <w:p w14:paraId="3E2B7E6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颗粒物</w:t>
            </w:r>
          </w:p>
        </w:tc>
        <w:tc>
          <w:tcPr>
            <w:tcW w:w="2034" w:type="dxa"/>
            <w:noWrap w:val="0"/>
            <w:vAlign w:val="center"/>
          </w:tcPr>
          <w:p w14:paraId="7577D144">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425" w:type="dxa"/>
            <w:noWrap w:val="0"/>
            <w:vAlign w:val="center"/>
          </w:tcPr>
          <w:p w14:paraId="2D4408CA">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762" w:type="dxa"/>
            <w:noWrap w:val="0"/>
            <w:vAlign w:val="center"/>
          </w:tcPr>
          <w:p w14:paraId="1E20A068">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648" w:type="dxa"/>
            <w:noWrap w:val="0"/>
            <w:vAlign w:val="center"/>
          </w:tcPr>
          <w:p w14:paraId="3AAD0478">
            <w:pPr>
              <w:pStyle w:val="56"/>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0.0132</w:t>
            </w:r>
          </w:p>
        </w:tc>
        <w:tc>
          <w:tcPr>
            <w:tcW w:w="1455" w:type="dxa"/>
            <w:noWrap w:val="0"/>
            <w:vAlign w:val="center"/>
          </w:tcPr>
          <w:p w14:paraId="2FFA55A0">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830" w:type="dxa"/>
            <w:shd w:val="clear" w:color="auto" w:fill="auto"/>
            <w:noWrap w:val="0"/>
            <w:vAlign w:val="center"/>
          </w:tcPr>
          <w:p w14:paraId="5BA552D9">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0.0132</w:t>
            </w:r>
          </w:p>
        </w:tc>
        <w:tc>
          <w:tcPr>
            <w:tcW w:w="1081" w:type="dxa"/>
            <w:shd w:val="clear" w:color="auto" w:fill="auto"/>
            <w:noWrap w:val="0"/>
            <w:vAlign w:val="center"/>
          </w:tcPr>
          <w:p w14:paraId="7F178735">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+0.0132</w:t>
            </w:r>
          </w:p>
        </w:tc>
      </w:tr>
      <w:tr w14:paraId="226D6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73" w:type="dxa"/>
            <w:vMerge w:val="restart"/>
            <w:noWrap w:val="0"/>
            <w:vAlign w:val="center"/>
          </w:tcPr>
          <w:p w14:paraId="0AB34F35">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废水</w:t>
            </w:r>
          </w:p>
        </w:tc>
        <w:tc>
          <w:tcPr>
            <w:tcW w:w="2178" w:type="dxa"/>
            <w:shd w:val="clear" w:color="auto" w:fill="auto"/>
            <w:noWrap w:val="0"/>
            <w:vAlign w:val="center"/>
          </w:tcPr>
          <w:p w14:paraId="4B3D3F5F">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COD</w:t>
            </w:r>
          </w:p>
        </w:tc>
        <w:tc>
          <w:tcPr>
            <w:tcW w:w="2034" w:type="dxa"/>
            <w:noWrap w:val="0"/>
            <w:vAlign w:val="center"/>
          </w:tcPr>
          <w:p w14:paraId="75C49688">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425" w:type="dxa"/>
            <w:noWrap w:val="0"/>
            <w:vAlign w:val="center"/>
          </w:tcPr>
          <w:p w14:paraId="7AA8132A">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762" w:type="dxa"/>
            <w:noWrap w:val="0"/>
            <w:vAlign w:val="center"/>
          </w:tcPr>
          <w:p w14:paraId="37C8C458">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648" w:type="dxa"/>
            <w:shd w:val="clear" w:color="auto" w:fill="auto"/>
            <w:noWrap w:val="0"/>
            <w:vAlign w:val="center"/>
          </w:tcPr>
          <w:p w14:paraId="7B761A61">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0.396</w:t>
            </w:r>
          </w:p>
        </w:tc>
        <w:tc>
          <w:tcPr>
            <w:tcW w:w="1455" w:type="dxa"/>
            <w:noWrap w:val="0"/>
            <w:vAlign w:val="center"/>
          </w:tcPr>
          <w:p w14:paraId="1F373670">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830" w:type="dxa"/>
            <w:shd w:val="clear" w:color="auto" w:fill="auto"/>
            <w:noWrap w:val="0"/>
            <w:vAlign w:val="center"/>
          </w:tcPr>
          <w:p w14:paraId="1538E7B8">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0.396</w:t>
            </w:r>
          </w:p>
        </w:tc>
        <w:tc>
          <w:tcPr>
            <w:tcW w:w="1081" w:type="dxa"/>
            <w:shd w:val="clear" w:color="auto" w:fill="auto"/>
            <w:noWrap w:val="0"/>
            <w:vAlign w:val="center"/>
          </w:tcPr>
          <w:p w14:paraId="5994B087">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+0.396</w:t>
            </w:r>
          </w:p>
        </w:tc>
      </w:tr>
      <w:tr w14:paraId="07731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73" w:type="dxa"/>
            <w:vMerge w:val="continue"/>
            <w:noWrap w:val="0"/>
            <w:vAlign w:val="center"/>
          </w:tcPr>
          <w:p w14:paraId="1F9DC0EF">
            <w:pPr>
              <w:pStyle w:val="56"/>
              <w:rPr>
                <w:rFonts w:hint="eastAsia" w:ascii="宋体" w:hAnsi="宋体" w:eastAsia="宋体" w:cs="宋体"/>
                <w:color w:val="000000" w:themeColor="text1"/>
                <w:sz w:val="21"/>
                <w:szCs w:val="21"/>
                <w:highlight w:val="none"/>
                <w14:textFill>
                  <w14:solidFill>
                    <w14:schemeClr w14:val="tx1"/>
                  </w14:solidFill>
                </w14:textFill>
              </w:rPr>
            </w:pPr>
          </w:p>
        </w:tc>
        <w:tc>
          <w:tcPr>
            <w:tcW w:w="2178" w:type="dxa"/>
            <w:shd w:val="clear" w:color="auto" w:fill="auto"/>
            <w:noWrap w:val="0"/>
            <w:vAlign w:val="center"/>
          </w:tcPr>
          <w:p w14:paraId="1FCF8E1D">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BOD</w:t>
            </w:r>
            <w:r>
              <w:rPr>
                <w:rFonts w:hint="eastAsia" w:ascii="宋体" w:hAnsi="宋体" w:eastAsia="宋体" w:cs="宋体"/>
                <w:i w:val="0"/>
                <w:iCs w:val="0"/>
                <w:color w:val="000000"/>
                <w:kern w:val="0"/>
                <w:sz w:val="21"/>
                <w:szCs w:val="21"/>
                <w:highlight w:val="none"/>
                <w:u w:val="none"/>
                <w:vertAlign w:val="superscript"/>
                <w:lang w:val="en-US" w:eastAsia="zh-CN" w:bidi="ar"/>
              </w:rPr>
              <w:t>5</w:t>
            </w:r>
          </w:p>
        </w:tc>
        <w:tc>
          <w:tcPr>
            <w:tcW w:w="2034" w:type="dxa"/>
            <w:noWrap w:val="0"/>
            <w:vAlign w:val="center"/>
          </w:tcPr>
          <w:p w14:paraId="31CC7B10">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425" w:type="dxa"/>
            <w:noWrap w:val="0"/>
            <w:vAlign w:val="center"/>
          </w:tcPr>
          <w:p w14:paraId="7776FE8B">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762" w:type="dxa"/>
            <w:noWrap w:val="0"/>
            <w:vAlign w:val="center"/>
          </w:tcPr>
          <w:p w14:paraId="00FD2F99">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648" w:type="dxa"/>
            <w:shd w:val="clear" w:color="auto" w:fill="auto"/>
            <w:noWrap w:val="0"/>
            <w:vAlign w:val="center"/>
          </w:tcPr>
          <w:p w14:paraId="600D9BE0">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0.079</w:t>
            </w:r>
          </w:p>
        </w:tc>
        <w:tc>
          <w:tcPr>
            <w:tcW w:w="1455" w:type="dxa"/>
            <w:noWrap w:val="0"/>
            <w:vAlign w:val="center"/>
          </w:tcPr>
          <w:p w14:paraId="20F0AB36">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830" w:type="dxa"/>
            <w:shd w:val="clear" w:color="auto" w:fill="auto"/>
            <w:noWrap w:val="0"/>
            <w:vAlign w:val="center"/>
          </w:tcPr>
          <w:p w14:paraId="54817187">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0.079</w:t>
            </w:r>
          </w:p>
        </w:tc>
        <w:tc>
          <w:tcPr>
            <w:tcW w:w="1081" w:type="dxa"/>
            <w:shd w:val="clear" w:color="auto" w:fill="auto"/>
            <w:noWrap w:val="0"/>
            <w:vAlign w:val="center"/>
          </w:tcPr>
          <w:p w14:paraId="0C9E107C">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+0.079</w:t>
            </w:r>
          </w:p>
        </w:tc>
      </w:tr>
      <w:tr w14:paraId="4B1D0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373" w:type="dxa"/>
            <w:vMerge w:val="continue"/>
            <w:noWrap w:val="0"/>
            <w:vAlign w:val="center"/>
          </w:tcPr>
          <w:p w14:paraId="4848B023">
            <w:pPr>
              <w:pStyle w:val="56"/>
              <w:rPr>
                <w:rFonts w:hint="eastAsia" w:ascii="宋体" w:hAnsi="宋体" w:eastAsia="宋体" w:cs="宋体"/>
                <w:color w:val="000000" w:themeColor="text1"/>
                <w:sz w:val="21"/>
                <w:szCs w:val="21"/>
                <w:highlight w:val="none"/>
                <w14:textFill>
                  <w14:solidFill>
                    <w14:schemeClr w14:val="tx1"/>
                  </w14:solidFill>
                </w14:textFill>
              </w:rPr>
            </w:pPr>
          </w:p>
        </w:tc>
        <w:tc>
          <w:tcPr>
            <w:tcW w:w="2178" w:type="dxa"/>
            <w:shd w:val="clear" w:color="auto" w:fill="auto"/>
            <w:noWrap w:val="0"/>
            <w:vAlign w:val="center"/>
          </w:tcPr>
          <w:p w14:paraId="54508924">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SS</w:t>
            </w:r>
          </w:p>
        </w:tc>
        <w:tc>
          <w:tcPr>
            <w:tcW w:w="2034" w:type="dxa"/>
            <w:noWrap w:val="0"/>
            <w:vAlign w:val="center"/>
          </w:tcPr>
          <w:p w14:paraId="0C50572A">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425" w:type="dxa"/>
            <w:noWrap w:val="0"/>
            <w:vAlign w:val="center"/>
          </w:tcPr>
          <w:p w14:paraId="22A93A0C">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762" w:type="dxa"/>
            <w:noWrap w:val="0"/>
            <w:vAlign w:val="center"/>
          </w:tcPr>
          <w:p w14:paraId="51CD24B1">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648" w:type="dxa"/>
            <w:shd w:val="clear" w:color="auto" w:fill="auto"/>
            <w:noWrap w:val="0"/>
            <w:vAlign w:val="center"/>
          </w:tcPr>
          <w:p w14:paraId="32860793">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0.079</w:t>
            </w:r>
          </w:p>
        </w:tc>
        <w:tc>
          <w:tcPr>
            <w:tcW w:w="1455" w:type="dxa"/>
            <w:noWrap w:val="0"/>
            <w:vAlign w:val="center"/>
          </w:tcPr>
          <w:p w14:paraId="69435633">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830" w:type="dxa"/>
            <w:shd w:val="clear" w:color="auto" w:fill="auto"/>
            <w:noWrap w:val="0"/>
            <w:vAlign w:val="center"/>
          </w:tcPr>
          <w:p w14:paraId="4BE276C2">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0.079</w:t>
            </w:r>
          </w:p>
        </w:tc>
        <w:tc>
          <w:tcPr>
            <w:tcW w:w="1081" w:type="dxa"/>
            <w:shd w:val="clear" w:color="auto" w:fill="auto"/>
            <w:noWrap w:val="0"/>
            <w:vAlign w:val="center"/>
          </w:tcPr>
          <w:p w14:paraId="38AB9003">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+0.079</w:t>
            </w:r>
          </w:p>
        </w:tc>
      </w:tr>
      <w:tr w14:paraId="05C4C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373" w:type="dxa"/>
            <w:vMerge w:val="continue"/>
            <w:noWrap w:val="0"/>
            <w:vAlign w:val="center"/>
          </w:tcPr>
          <w:p w14:paraId="18921606">
            <w:pPr>
              <w:pStyle w:val="56"/>
              <w:rPr>
                <w:rFonts w:hint="eastAsia" w:ascii="宋体" w:hAnsi="宋体" w:eastAsia="宋体" w:cs="宋体"/>
                <w:color w:val="000000" w:themeColor="text1"/>
                <w:sz w:val="21"/>
                <w:szCs w:val="21"/>
                <w:highlight w:val="none"/>
                <w14:textFill>
                  <w14:solidFill>
                    <w14:schemeClr w14:val="tx1"/>
                  </w14:solidFill>
                </w14:textFill>
              </w:rPr>
            </w:pPr>
          </w:p>
        </w:tc>
        <w:tc>
          <w:tcPr>
            <w:tcW w:w="2178" w:type="dxa"/>
            <w:shd w:val="clear" w:color="auto" w:fill="auto"/>
            <w:noWrap w:val="0"/>
            <w:vAlign w:val="center"/>
          </w:tcPr>
          <w:p w14:paraId="0DEF01A0">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氨氮</w:t>
            </w:r>
          </w:p>
        </w:tc>
        <w:tc>
          <w:tcPr>
            <w:tcW w:w="2034" w:type="dxa"/>
            <w:noWrap w:val="0"/>
            <w:vAlign w:val="center"/>
          </w:tcPr>
          <w:p w14:paraId="43D75315">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25" w:type="dxa"/>
            <w:noWrap w:val="0"/>
            <w:vAlign w:val="center"/>
          </w:tcPr>
          <w:p w14:paraId="0448EDE4">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62" w:type="dxa"/>
            <w:noWrap w:val="0"/>
            <w:vAlign w:val="center"/>
          </w:tcPr>
          <w:p w14:paraId="07FE963D">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648" w:type="dxa"/>
            <w:shd w:val="clear" w:color="auto" w:fill="auto"/>
            <w:noWrap w:val="0"/>
            <w:vAlign w:val="center"/>
          </w:tcPr>
          <w:p w14:paraId="11FB5B00">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0.063</w:t>
            </w:r>
          </w:p>
        </w:tc>
        <w:tc>
          <w:tcPr>
            <w:tcW w:w="1455" w:type="dxa"/>
            <w:noWrap w:val="0"/>
            <w:vAlign w:val="center"/>
          </w:tcPr>
          <w:p w14:paraId="3561A69E">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830" w:type="dxa"/>
            <w:shd w:val="clear" w:color="auto" w:fill="auto"/>
            <w:noWrap w:val="0"/>
            <w:vAlign w:val="center"/>
          </w:tcPr>
          <w:p w14:paraId="0358A961">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0.063</w:t>
            </w:r>
          </w:p>
        </w:tc>
        <w:tc>
          <w:tcPr>
            <w:tcW w:w="1081" w:type="dxa"/>
            <w:shd w:val="clear" w:color="auto" w:fill="auto"/>
            <w:noWrap w:val="0"/>
            <w:vAlign w:val="center"/>
          </w:tcPr>
          <w:p w14:paraId="1B293CDD">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+0.063</w:t>
            </w:r>
          </w:p>
        </w:tc>
      </w:tr>
      <w:tr w14:paraId="0EC64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373" w:type="dxa"/>
            <w:vMerge w:val="continue"/>
            <w:noWrap w:val="0"/>
            <w:vAlign w:val="center"/>
          </w:tcPr>
          <w:p w14:paraId="179BD216">
            <w:pPr>
              <w:pStyle w:val="56"/>
              <w:rPr>
                <w:rFonts w:hint="eastAsia" w:ascii="宋体" w:hAnsi="宋体" w:eastAsia="宋体" w:cs="宋体"/>
                <w:color w:val="000000" w:themeColor="text1"/>
                <w:sz w:val="21"/>
                <w:szCs w:val="21"/>
                <w:highlight w:val="none"/>
                <w14:textFill>
                  <w14:solidFill>
                    <w14:schemeClr w14:val="tx1"/>
                  </w14:solidFill>
                </w14:textFill>
              </w:rPr>
            </w:pPr>
          </w:p>
        </w:tc>
        <w:tc>
          <w:tcPr>
            <w:tcW w:w="2178" w:type="dxa"/>
            <w:shd w:val="clear" w:color="auto" w:fill="auto"/>
            <w:noWrap w:val="0"/>
            <w:vAlign w:val="center"/>
          </w:tcPr>
          <w:p w14:paraId="4F633903">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TN</w:t>
            </w:r>
          </w:p>
        </w:tc>
        <w:tc>
          <w:tcPr>
            <w:tcW w:w="2034" w:type="dxa"/>
            <w:noWrap w:val="0"/>
            <w:vAlign w:val="center"/>
          </w:tcPr>
          <w:p w14:paraId="149AF871">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25" w:type="dxa"/>
            <w:noWrap w:val="0"/>
            <w:vAlign w:val="center"/>
          </w:tcPr>
          <w:p w14:paraId="117502F3">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62" w:type="dxa"/>
            <w:noWrap w:val="0"/>
            <w:vAlign w:val="center"/>
          </w:tcPr>
          <w:p w14:paraId="3DE1A128">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648" w:type="dxa"/>
            <w:shd w:val="clear" w:color="auto" w:fill="auto"/>
            <w:noWrap w:val="0"/>
            <w:vAlign w:val="center"/>
          </w:tcPr>
          <w:p w14:paraId="0A2E0A05">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0.117</w:t>
            </w:r>
          </w:p>
        </w:tc>
        <w:tc>
          <w:tcPr>
            <w:tcW w:w="1455" w:type="dxa"/>
            <w:noWrap w:val="0"/>
            <w:vAlign w:val="center"/>
          </w:tcPr>
          <w:p w14:paraId="165FCE81">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830" w:type="dxa"/>
            <w:shd w:val="clear" w:color="auto" w:fill="auto"/>
            <w:noWrap w:val="0"/>
            <w:vAlign w:val="center"/>
          </w:tcPr>
          <w:p w14:paraId="6E65A9DB">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0.117</w:t>
            </w:r>
          </w:p>
        </w:tc>
        <w:tc>
          <w:tcPr>
            <w:tcW w:w="1081" w:type="dxa"/>
            <w:shd w:val="clear" w:color="auto" w:fill="auto"/>
            <w:noWrap w:val="0"/>
            <w:vAlign w:val="center"/>
          </w:tcPr>
          <w:p w14:paraId="5136A50E">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+0.117</w:t>
            </w:r>
          </w:p>
        </w:tc>
      </w:tr>
      <w:tr w14:paraId="623B3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373" w:type="dxa"/>
            <w:vMerge w:val="continue"/>
            <w:noWrap w:val="0"/>
            <w:vAlign w:val="center"/>
          </w:tcPr>
          <w:p w14:paraId="26ED3BCA">
            <w:pPr>
              <w:pStyle w:val="56"/>
              <w:rPr>
                <w:rFonts w:hint="eastAsia" w:ascii="宋体" w:hAnsi="宋体" w:eastAsia="宋体" w:cs="宋体"/>
                <w:color w:val="000000" w:themeColor="text1"/>
                <w:sz w:val="21"/>
                <w:szCs w:val="21"/>
                <w:highlight w:val="none"/>
                <w14:textFill>
                  <w14:solidFill>
                    <w14:schemeClr w14:val="tx1"/>
                  </w14:solidFill>
                </w14:textFill>
              </w:rPr>
            </w:pPr>
          </w:p>
        </w:tc>
        <w:tc>
          <w:tcPr>
            <w:tcW w:w="2178" w:type="dxa"/>
            <w:shd w:val="clear" w:color="auto" w:fill="auto"/>
            <w:noWrap w:val="0"/>
            <w:vAlign w:val="center"/>
          </w:tcPr>
          <w:p w14:paraId="60A30304">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TP</w:t>
            </w:r>
          </w:p>
        </w:tc>
        <w:tc>
          <w:tcPr>
            <w:tcW w:w="2034" w:type="dxa"/>
            <w:noWrap w:val="0"/>
            <w:vAlign w:val="center"/>
          </w:tcPr>
          <w:p w14:paraId="18138195">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25" w:type="dxa"/>
            <w:noWrap w:val="0"/>
            <w:vAlign w:val="center"/>
          </w:tcPr>
          <w:p w14:paraId="162BED01">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62" w:type="dxa"/>
            <w:noWrap w:val="0"/>
            <w:vAlign w:val="center"/>
          </w:tcPr>
          <w:p w14:paraId="49BCF85C">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648" w:type="dxa"/>
            <w:shd w:val="clear" w:color="auto" w:fill="auto"/>
            <w:noWrap w:val="0"/>
            <w:vAlign w:val="center"/>
          </w:tcPr>
          <w:p w14:paraId="2338044A">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w:t>
            </w:r>
          </w:p>
        </w:tc>
        <w:tc>
          <w:tcPr>
            <w:tcW w:w="1455" w:type="dxa"/>
            <w:noWrap w:val="0"/>
            <w:vAlign w:val="center"/>
          </w:tcPr>
          <w:p w14:paraId="1402DF85">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830" w:type="dxa"/>
            <w:shd w:val="clear" w:color="auto" w:fill="auto"/>
            <w:noWrap w:val="0"/>
            <w:vAlign w:val="center"/>
          </w:tcPr>
          <w:p w14:paraId="2F93A4B2">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w:t>
            </w:r>
          </w:p>
        </w:tc>
        <w:tc>
          <w:tcPr>
            <w:tcW w:w="1081" w:type="dxa"/>
            <w:shd w:val="clear" w:color="auto" w:fill="auto"/>
            <w:noWrap w:val="0"/>
            <w:vAlign w:val="center"/>
          </w:tcPr>
          <w:p w14:paraId="76BE10E7">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w:t>
            </w:r>
          </w:p>
        </w:tc>
      </w:tr>
      <w:tr w14:paraId="23D12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73" w:type="dxa"/>
            <w:vMerge w:val="continue"/>
            <w:noWrap w:val="0"/>
            <w:vAlign w:val="center"/>
          </w:tcPr>
          <w:p w14:paraId="57B61FB9">
            <w:pPr>
              <w:pStyle w:val="56"/>
              <w:rPr>
                <w:rFonts w:hint="eastAsia" w:ascii="宋体" w:hAnsi="宋体" w:eastAsia="宋体" w:cs="宋体"/>
                <w:color w:val="000000" w:themeColor="text1"/>
                <w:sz w:val="21"/>
                <w:szCs w:val="21"/>
                <w:highlight w:val="none"/>
                <w14:textFill>
                  <w14:solidFill>
                    <w14:schemeClr w14:val="tx1"/>
                  </w14:solidFill>
                </w14:textFill>
              </w:rPr>
            </w:pPr>
          </w:p>
        </w:tc>
        <w:tc>
          <w:tcPr>
            <w:tcW w:w="2178" w:type="dxa"/>
            <w:shd w:val="clear" w:color="auto" w:fill="auto"/>
            <w:noWrap w:val="0"/>
            <w:vAlign w:val="center"/>
          </w:tcPr>
          <w:p w14:paraId="3E760306">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LAS</w:t>
            </w:r>
          </w:p>
        </w:tc>
        <w:tc>
          <w:tcPr>
            <w:tcW w:w="2034" w:type="dxa"/>
            <w:noWrap w:val="0"/>
            <w:vAlign w:val="center"/>
          </w:tcPr>
          <w:p w14:paraId="5B053FE5">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425" w:type="dxa"/>
            <w:noWrap w:val="0"/>
            <w:vAlign w:val="center"/>
          </w:tcPr>
          <w:p w14:paraId="4772BCC9">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762" w:type="dxa"/>
            <w:noWrap w:val="0"/>
            <w:vAlign w:val="center"/>
          </w:tcPr>
          <w:p w14:paraId="23E91464">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648" w:type="dxa"/>
            <w:shd w:val="clear" w:color="auto" w:fill="auto"/>
            <w:noWrap w:val="0"/>
            <w:vAlign w:val="center"/>
          </w:tcPr>
          <w:p w14:paraId="6FC902F7">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w:t>
            </w:r>
          </w:p>
        </w:tc>
        <w:tc>
          <w:tcPr>
            <w:tcW w:w="1455" w:type="dxa"/>
            <w:noWrap w:val="0"/>
            <w:vAlign w:val="center"/>
          </w:tcPr>
          <w:p w14:paraId="30231AB0">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830" w:type="dxa"/>
            <w:shd w:val="clear" w:color="auto" w:fill="auto"/>
            <w:noWrap w:val="0"/>
            <w:vAlign w:val="center"/>
          </w:tcPr>
          <w:p w14:paraId="45B4A602">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w:t>
            </w:r>
          </w:p>
        </w:tc>
        <w:tc>
          <w:tcPr>
            <w:tcW w:w="1081" w:type="dxa"/>
            <w:shd w:val="clear" w:color="auto" w:fill="auto"/>
            <w:noWrap w:val="0"/>
            <w:vAlign w:val="center"/>
          </w:tcPr>
          <w:p w14:paraId="1C358513">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+0.004</w:t>
            </w:r>
          </w:p>
        </w:tc>
      </w:tr>
      <w:tr w14:paraId="1EFEB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73" w:type="dxa"/>
            <w:vMerge w:val="restart"/>
            <w:noWrap w:val="0"/>
            <w:vAlign w:val="center"/>
          </w:tcPr>
          <w:p w14:paraId="6A37AD8C">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一般工业固体废物</w:t>
            </w:r>
          </w:p>
        </w:tc>
        <w:tc>
          <w:tcPr>
            <w:tcW w:w="2178" w:type="dxa"/>
            <w:shd w:val="clear" w:color="auto" w:fill="auto"/>
            <w:noWrap w:val="0"/>
            <w:vAlign w:val="center"/>
          </w:tcPr>
          <w:p w14:paraId="1FCFBF44">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废包装材料</w:t>
            </w:r>
          </w:p>
        </w:tc>
        <w:tc>
          <w:tcPr>
            <w:tcW w:w="2034" w:type="dxa"/>
            <w:shd w:val="clear" w:color="auto" w:fill="auto"/>
            <w:noWrap w:val="0"/>
            <w:vAlign w:val="center"/>
          </w:tcPr>
          <w:p w14:paraId="434495E4">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425" w:type="dxa"/>
            <w:shd w:val="clear" w:color="auto" w:fill="auto"/>
            <w:noWrap w:val="0"/>
            <w:vAlign w:val="center"/>
          </w:tcPr>
          <w:p w14:paraId="41F4521D">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762" w:type="dxa"/>
            <w:shd w:val="clear" w:color="auto" w:fill="auto"/>
            <w:noWrap w:val="0"/>
            <w:vAlign w:val="center"/>
          </w:tcPr>
          <w:p w14:paraId="72FFDDD6">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648" w:type="dxa"/>
            <w:shd w:val="clear" w:color="auto" w:fill="auto"/>
            <w:noWrap w:val="0"/>
            <w:vAlign w:val="center"/>
          </w:tcPr>
          <w:p w14:paraId="51A6DC33">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0.3</w:t>
            </w:r>
          </w:p>
        </w:tc>
        <w:tc>
          <w:tcPr>
            <w:tcW w:w="1455" w:type="dxa"/>
            <w:shd w:val="clear" w:color="auto" w:fill="auto"/>
            <w:noWrap w:val="0"/>
            <w:vAlign w:val="center"/>
          </w:tcPr>
          <w:p w14:paraId="2029C559">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830" w:type="dxa"/>
            <w:shd w:val="clear" w:color="auto" w:fill="auto"/>
            <w:noWrap w:val="0"/>
            <w:vAlign w:val="center"/>
          </w:tcPr>
          <w:p w14:paraId="4F1F2812">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0.3</w:t>
            </w:r>
          </w:p>
        </w:tc>
        <w:tc>
          <w:tcPr>
            <w:tcW w:w="1081" w:type="dxa"/>
            <w:shd w:val="clear" w:color="auto" w:fill="auto"/>
            <w:noWrap w:val="0"/>
            <w:vAlign w:val="center"/>
          </w:tcPr>
          <w:p w14:paraId="12B195F3">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+0.3</w:t>
            </w:r>
          </w:p>
        </w:tc>
      </w:tr>
      <w:tr w14:paraId="7FF8D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73" w:type="dxa"/>
            <w:vMerge w:val="continue"/>
            <w:noWrap w:val="0"/>
            <w:vAlign w:val="center"/>
          </w:tcPr>
          <w:p w14:paraId="3CA20A1C">
            <w:pPr>
              <w:pStyle w:val="56"/>
              <w:rPr>
                <w:rFonts w:hint="eastAsia" w:ascii="宋体" w:hAnsi="宋体" w:eastAsia="宋体" w:cs="宋体"/>
                <w:color w:val="000000" w:themeColor="text1"/>
                <w:sz w:val="21"/>
                <w:szCs w:val="21"/>
                <w:highlight w:val="none"/>
                <w14:textFill>
                  <w14:solidFill>
                    <w14:schemeClr w14:val="tx1"/>
                  </w14:solidFill>
                </w14:textFill>
              </w:rPr>
            </w:pPr>
          </w:p>
        </w:tc>
        <w:tc>
          <w:tcPr>
            <w:tcW w:w="2178" w:type="dxa"/>
            <w:shd w:val="clear" w:color="auto" w:fill="auto"/>
            <w:noWrap w:val="0"/>
            <w:vAlign w:val="center"/>
          </w:tcPr>
          <w:p w14:paraId="4B402523">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灰渣</w:t>
            </w:r>
            <w:r>
              <w:rPr>
                <w:rFonts w:hint="eastAsia" w:cs="Times New Roman"/>
                <w:color w:val="000000" w:themeColor="text1"/>
                <w:highlight w:val="none"/>
                <w:lang w:val="en-US" w:eastAsia="zh-CN"/>
                <w14:textFill>
                  <w14:solidFill>
                    <w14:schemeClr w14:val="tx1"/>
                  </w14:solidFill>
                </w14:textFill>
              </w:rPr>
              <w:t>及收集粉尘</w:t>
            </w:r>
          </w:p>
        </w:tc>
        <w:tc>
          <w:tcPr>
            <w:tcW w:w="2034" w:type="dxa"/>
            <w:noWrap w:val="0"/>
            <w:vAlign w:val="center"/>
          </w:tcPr>
          <w:p w14:paraId="2C844E1E">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425" w:type="dxa"/>
            <w:noWrap w:val="0"/>
            <w:vAlign w:val="center"/>
          </w:tcPr>
          <w:p w14:paraId="3166379D">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762" w:type="dxa"/>
            <w:noWrap w:val="0"/>
            <w:vAlign w:val="center"/>
          </w:tcPr>
          <w:p w14:paraId="74AACD1B">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648" w:type="dxa"/>
            <w:shd w:val="clear" w:color="auto" w:fill="auto"/>
            <w:noWrap w:val="0"/>
            <w:vAlign w:val="center"/>
          </w:tcPr>
          <w:p w14:paraId="6E19F2A3">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16.154</w:t>
            </w:r>
          </w:p>
        </w:tc>
        <w:tc>
          <w:tcPr>
            <w:tcW w:w="1455" w:type="dxa"/>
            <w:noWrap w:val="0"/>
            <w:vAlign w:val="center"/>
          </w:tcPr>
          <w:p w14:paraId="343BEB54">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830" w:type="dxa"/>
            <w:shd w:val="clear" w:color="auto" w:fill="auto"/>
            <w:noWrap w:val="0"/>
            <w:vAlign w:val="center"/>
          </w:tcPr>
          <w:p w14:paraId="111BF05A">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16.154</w:t>
            </w:r>
          </w:p>
        </w:tc>
        <w:tc>
          <w:tcPr>
            <w:tcW w:w="1081" w:type="dxa"/>
            <w:shd w:val="clear" w:color="auto" w:fill="auto"/>
            <w:noWrap w:val="0"/>
            <w:vAlign w:val="center"/>
          </w:tcPr>
          <w:p w14:paraId="410CA028">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+16.154</w:t>
            </w:r>
          </w:p>
        </w:tc>
      </w:tr>
      <w:tr w14:paraId="59F6A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73" w:type="dxa"/>
            <w:vMerge w:val="continue"/>
            <w:noWrap w:val="0"/>
            <w:vAlign w:val="center"/>
          </w:tcPr>
          <w:p w14:paraId="57AD2805">
            <w:pPr>
              <w:pStyle w:val="56"/>
              <w:rPr>
                <w:rFonts w:hint="eastAsia" w:ascii="宋体" w:hAnsi="宋体" w:eastAsia="宋体" w:cs="宋体"/>
                <w:color w:val="000000" w:themeColor="text1"/>
                <w:sz w:val="21"/>
                <w:szCs w:val="21"/>
                <w:highlight w:val="none"/>
                <w14:textFill>
                  <w14:solidFill>
                    <w14:schemeClr w14:val="tx1"/>
                  </w14:solidFill>
                </w14:textFill>
              </w:rPr>
            </w:pPr>
          </w:p>
        </w:tc>
        <w:tc>
          <w:tcPr>
            <w:tcW w:w="2178" w:type="dxa"/>
            <w:shd w:val="clear" w:color="auto" w:fill="auto"/>
            <w:noWrap w:val="0"/>
            <w:vAlign w:val="center"/>
          </w:tcPr>
          <w:p w14:paraId="5B52517C">
            <w:pPr>
              <w:pStyle w:val="56"/>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烘干废气收集的粉尘</w:t>
            </w:r>
          </w:p>
        </w:tc>
        <w:tc>
          <w:tcPr>
            <w:tcW w:w="2034" w:type="dxa"/>
            <w:noWrap w:val="0"/>
            <w:vAlign w:val="center"/>
          </w:tcPr>
          <w:p w14:paraId="4DE70D81">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425" w:type="dxa"/>
            <w:noWrap w:val="0"/>
            <w:vAlign w:val="center"/>
          </w:tcPr>
          <w:p w14:paraId="217C6223">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762" w:type="dxa"/>
            <w:noWrap w:val="0"/>
            <w:vAlign w:val="center"/>
          </w:tcPr>
          <w:p w14:paraId="241318FC">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648" w:type="dxa"/>
            <w:shd w:val="clear" w:color="auto" w:fill="auto"/>
            <w:noWrap w:val="0"/>
            <w:vAlign w:val="center"/>
          </w:tcPr>
          <w:p w14:paraId="7FE2FAE9">
            <w:pPr>
              <w:pStyle w:val="56"/>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0.7128</w:t>
            </w:r>
          </w:p>
        </w:tc>
        <w:tc>
          <w:tcPr>
            <w:tcW w:w="1455" w:type="dxa"/>
            <w:noWrap w:val="0"/>
            <w:vAlign w:val="center"/>
          </w:tcPr>
          <w:p w14:paraId="4685CF92">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830" w:type="dxa"/>
            <w:shd w:val="clear" w:color="auto" w:fill="auto"/>
            <w:noWrap w:val="0"/>
            <w:vAlign w:val="center"/>
          </w:tcPr>
          <w:p w14:paraId="7DA79511">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0.7128</w:t>
            </w:r>
          </w:p>
        </w:tc>
        <w:tc>
          <w:tcPr>
            <w:tcW w:w="1081" w:type="dxa"/>
            <w:shd w:val="clear" w:color="auto" w:fill="auto"/>
            <w:noWrap w:val="0"/>
            <w:vAlign w:val="center"/>
          </w:tcPr>
          <w:p w14:paraId="1EF825FE">
            <w:pPr>
              <w:pStyle w:val="56"/>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+0.7128</w:t>
            </w:r>
          </w:p>
        </w:tc>
      </w:tr>
      <w:tr w14:paraId="4FC94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73" w:type="dxa"/>
            <w:noWrap w:val="0"/>
            <w:vAlign w:val="center"/>
          </w:tcPr>
          <w:p w14:paraId="1DF996AF">
            <w:pPr>
              <w:pStyle w:val="5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生活垃圾</w:t>
            </w:r>
          </w:p>
        </w:tc>
        <w:tc>
          <w:tcPr>
            <w:tcW w:w="2178" w:type="dxa"/>
            <w:noWrap w:val="0"/>
            <w:vAlign w:val="center"/>
          </w:tcPr>
          <w:p w14:paraId="4DD989CE">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生活垃圾</w:t>
            </w:r>
          </w:p>
        </w:tc>
        <w:tc>
          <w:tcPr>
            <w:tcW w:w="2034" w:type="dxa"/>
            <w:noWrap w:val="0"/>
            <w:vAlign w:val="center"/>
          </w:tcPr>
          <w:p w14:paraId="4B513FB1">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425" w:type="dxa"/>
            <w:noWrap w:val="0"/>
            <w:vAlign w:val="center"/>
          </w:tcPr>
          <w:p w14:paraId="09AF0A09">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762" w:type="dxa"/>
            <w:noWrap w:val="0"/>
            <w:vAlign w:val="center"/>
          </w:tcPr>
          <w:p w14:paraId="6F969ACD">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648" w:type="dxa"/>
            <w:noWrap w:val="0"/>
            <w:vAlign w:val="center"/>
          </w:tcPr>
          <w:p w14:paraId="5F9CA4BF">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w:t>
            </w:r>
          </w:p>
        </w:tc>
        <w:tc>
          <w:tcPr>
            <w:tcW w:w="1455" w:type="dxa"/>
            <w:noWrap w:val="0"/>
            <w:vAlign w:val="center"/>
          </w:tcPr>
          <w:p w14:paraId="09969C97">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1830" w:type="dxa"/>
            <w:noWrap w:val="0"/>
            <w:vAlign w:val="center"/>
          </w:tcPr>
          <w:p w14:paraId="6C589CA0">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w:t>
            </w:r>
          </w:p>
        </w:tc>
        <w:tc>
          <w:tcPr>
            <w:tcW w:w="1081" w:type="dxa"/>
            <w:noWrap w:val="0"/>
            <w:vAlign w:val="center"/>
          </w:tcPr>
          <w:p w14:paraId="03966E4A">
            <w:pPr>
              <w:pStyle w:val="56"/>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w:t>
            </w:r>
          </w:p>
        </w:tc>
      </w:tr>
    </w:tbl>
    <w:p w14:paraId="24F081CB">
      <w:pPr>
        <w:pStyle w:val="56"/>
        <w:jc w:val="left"/>
        <w:rPr>
          <w:color w:val="000000" w:themeColor="text1"/>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注：⑥=①+③+④-⑤；⑦=⑥-①。单位：t/a。</w:t>
      </w:r>
    </w:p>
    <w:sectPr>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8D24F1C-3916-4044-8DCE-349DBE94158C}"/>
  </w:font>
  <w:font w:name="黑体">
    <w:panose1 w:val="02010609060101010101"/>
    <w:charset w:val="86"/>
    <w:family w:val="auto"/>
    <w:pitch w:val="default"/>
    <w:sig w:usb0="800002BF" w:usb1="38CF7CFA" w:usb2="00000016" w:usb3="00000000" w:csb0="00040001" w:csb1="00000000"/>
    <w:embedRegular r:id="rId2" w:fontKey="{D2E781A1-ECF2-49E3-9C2F-3AC05582A5E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embedRegular r:id="rId3" w:fontKey="{49076D1C-882E-4D33-A884-5899A35ADB84}"/>
  </w:font>
  <w:font w:name="Segoe UI Symbol">
    <w:panose1 w:val="020B0502040204020203"/>
    <w:charset w:val="00"/>
    <w:family w:val="swiss"/>
    <w:pitch w:val="default"/>
    <w:sig w:usb0="800001E3" w:usb1="1200FFEF" w:usb2="00040000" w:usb3="04000000" w:csb0="00000001" w:csb1="40000000"/>
    <w:embedRegular r:id="rId4" w:fontKey="{18E1536E-C58A-4F54-BAD0-C79391BE875E}"/>
  </w:font>
  <w:font w:name="Therese">
    <w:panose1 w:val="00000500000000000000"/>
    <w:charset w:val="00"/>
    <w:family w:val="auto"/>
    <w:pitch w:val="default"/>
    <w:sig w:usb0="20000007" w:usb1="00000000" w:usb2="00000000" w:usb3="00000000" w:csb0="00000193" w:csb1="00000000"/>
    <w:embedRegular r:id="rId5" w:fontKey="{B77EDC05-3B44-4C6B-BC84-61319543140C}"/>
  </w:font>
  <w:font w:name="Segoe UI">
    <w:panose1 w:val="020B0502040204020203"/>
    <w:charset w:val="00"/>
    <w:family w:val="auto"/>
    <w:pitch w:val="default"/>
    <w:sig w:usb0="E4002EFF" w:usb1="C000E47F" w:usb2="00000009" w:usb3="00000000" w:csb0="200001FF" w:csb1="00000000"/>
    <w:embedRegular r:id="rId6" w:fontKey="{A0B557B9-8F59-4C2D-8FEE-DA1E1268918F}"/>
  </w:font>
  <w:font w:name="微软雅黑">
    <w:panose1 w:val="020B0503020204020204"/>
    <w:charset w:val="86"/>
    <w:family w:val="auto"/>
    <w:pitch w:val="default"/>
    <w:sig w:usb0="80000287" w:usb1="2ACF3C50" w:usb2="00000016" w:usb3="00000000" w:csb0="0004001F" w:csb1="00000000"/>
  </w:font>
  <w:font w:name="WPSEMBED1">
    <w:panose1 w:val="00000500000000000000"/>
    <w:charset w:val="00"/>
    <w:family w:val="auto"/>
    <w:pitch w:val="default"/>
    <w:sig w:usb0="20000007"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FCD42">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DCE92B">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HGM4AgAAcA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6D8cYzgCAABwBAAADgAAAAAAAAABACAAAAAfAQAAZHJzL2Uyb0RvYy54&#10;bWxQSwUGAAAAAAYABgBZAQAAyQUAAAAA&#10;">
              <v:fill on="f" focussize="0,0"/>
              <v:stroke on="f" weight="0.5pt"/>
              <v:imagedata o:title=""/>
              <o:lock v:ext="edit" aspectratio="f"/>
              <v:textbox inset="0mm,0mm,0mm,0mm" style="mso-fit-shape-to-text:t;">
                <w:txbxContent>
                  <w:p w14:paraId="6ADCE92B">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5F7B19"/>
    <w:multiLevelType w:val="singleLevel"/>
    <w:tmpl w:val="C55F7B19"/>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1">
    <w:nsid w:val="E85BAFD6"/>
    <w:multiLevelType w:val="singleLevel"/>
    <w:tmpl w:val="E85BAFD6"/>
    <w:lvl w:ilvl="0" w:tentative="0">
      <w:start w:val="2"/>
      <w:numFmt w:val="decimal"/>
      <w:suff w:val="nothing"/>
      <w:lvlText w:val="（%1）"/>
      <w:lvlJc w:val="left"/>
    </w:lvl>
  </w:abstractNum>
  <w:abstractNum w:abstractNumId="2">
    <w:nsid w:val="F97F712B"/>
    <w:multiLevelType w:val="singleLevel"/>
    <w:tmpl w:val="F97F712B"/>
    <w:lvl w:ilvl="0" w:tentative="0">
      <w:start w:val="1"/>
      <w:numFmt w:val="decimal"/>
      <w:suff w:val="nothing"/>
      <w:lvlText w:val="%1"/>
      <w:lvlJc w:val="center"/>
      <w:pPr>
        <w:ind w:left="0" w:firstLine="0"/>
      </w:pPr>
      <w:rPr>
        <w:rFonts w:hint="default"/>
      </w:rPr>
    </w:lvl>
  </w:abstractNum>
  <w:abstractNum w:abstractNumId="3">
    <w:nsid w:val="08483CE1"/>
    <w:multiLevelType w:val="singleLevel"/>
    <w:tmpl w:val="08483CE1"/>
    <w:lvl w:ilvl="0" w:tentative="0">
      <w:start w:val="1"/>
      <w:numFmt w:val="decimal"/>
      <w:suff w:val="nothing"/>
      <w:lvlText w:val="（%1）"/>
      <w:lvlJc w:val="left"/>
    </w:lvl>
  </w:abstractNum>
  <w:abstractNum w:abstractNumId="4">
    <w:nsid w:val="4C312AE9"/>
    <w:multiLevelType w:val="multilevel"/>
    <w:tmpl w:val="4C312AE9"/>
    <w:lvl w:ilvl="0" w:tentative="0">
      <w:start w:val="1"/>
      <w:numFmt w:val="chineseCountingThousand"/>
      <w:lvlText w:val="%1"/>
      <w:lvlJc w:val="left"/>
      <w:pPr>
        <w:tabs>
          <w:tab w:val="left" w:pos="425"/>
        </w:tabs>
        <w:ind w:left="0" w:firstLine="0"/>
      </w:pPr>
      <w:rPr>
        <w:rFonts w:hint="default" w:ascii="Times New Roman" w:hAnsi="Times New Roman" w:eastAsia="新宋体"/>
        <w:b/>
        <w:i w:val="0"/>
        <w:sz w:val="28"/>
      </w:rPr>
    </w:lvl>
    <w:lvl w:ilvl="1" w:tentative="0">
      <w:start w:val="1"/>
      <w:numFmt w:val="decimal"/>
      <w:isLgl/>
      <w:lvlText w:val="%1.%2"/>
      <w:lvlJc w:val="left"/>
      <w:pPr>
        <w:tabs>
          <w:tab w:val="left" w:pos="425"/>
        </w:tabs>
        <w:ind w:left="0" w:firstLine="0"/>
      </w:pPr>
      <w:rPr>
        <w:rFonts w:hint="default" w:ascii="Times New Roman" w:hAnsi="Times New Roman" w:eastAsia="新宋体"/>
        <w:b/>
        <w:i w:val="0"/>
        <w:sz w:val="26"/>
      </w:rPr>
    </w:lvl>
    <w:lvl w:ilvl="2" w:tentative="0">
      <w:start w:val="1"/>
      <w:numFmt w:val="decimal"/>
      <w:isLgl/>
      <w:lvlText w:val="%1.%2.%3"/>
      <w:lvlJc w:val="left"/>
      <w:pPr>
        <w:tabs>
          <w:tab w:val="left" w:pos="425"/>
        </w:tabs>
        <w:ind w:left="0" w:firstLine="0"/>
      </w:pPr>
      <w:rPr>
        <w:rFonts w:hint="default" w:ascii="Times New Roman" w:hAnsi="Times New Roman" w:eastAsia="新宋体"/>
        <w:b/>
        <w:i w:val="0"/>
        <w:sz w:val="26"/>
      </w:rPr>
    </w:lvl>
    <w:lvl w:ilvl="3" w:tentative="0">
      <w:start w:val="1"/>
      <w:numFmt w:val="decimal"/>
      <w:pStyle w:val="65"/>
      <w:isLgl/>
      <w:lvlText w:val="%1.%2.%3.%4"/>
      <w:lvlJc w:val="left"/>
      <w:pPr>
        <w:tabs>
          <w:tab w:val="left" w:pos="425"/>
        </w:tabs>
        <w:ind w:left="0" w:firstLine="0"/>
      </w:pPr>
      <w:rPr>
        <w:rFonts w:hint="default" w:ascii="Times New Roman" w:hAnsi="Times New Roman" w:eastAsia="新宋体"/>
        <w:b w:val="0"/>
        <w:i w:val="0"/>
        <w:sz w:val="26"/>
      </w:rPr>
    </w:lvl>
    <w:lvl w:ilvl="4" w:tentative="0">
      <w:start w:val="1"/>
      <w:numFmt w:val="decimal"/>
      <w:lvlText w:val="%1.%2.%3.%4.%5"/>
      <w:lvlJc w:val="left"/>
      <w:pPr>
        <w:tabs>
          <w:tab w:val="left" w:pos="425"/>
        </w:tabs>
        <w:ind w:left="0" w:firstLine="0"/>
      </w:pPr>
      <w:rPr>
        <w:rFonts w:hint="eastAsia"/>
      </w:rPr>
    </w:lvl>
    <w:lvl w:ilvl="5" w:tentative="0">
      <w:start w:val="1"/>
      <w:numFmt w:val="decimal"/>
      <w:lvlText w:val="%1.%2.%3.%4.%5.%6"/>
      <w:lvlJc w:val="left"/>
      <w:pPr>
        <w:tabs>
          <w:tab w:val="left" w:pos="425"/>
        </w:tabs>
        <w:ind w:left="0" w:firstLine="0"/>
      </w:pPr>
      <w:rPr>
        <w:rFonts w:hint="eastAsia"/>
      </w:rPr>
    </w:lvl>
    <w:lvl w:ilvl="6" w:tentative="0">
      <w:start w:val="1"/>
      <w:numFmt w:val="decimal"/>
      <w:lvlText w:val="%1.%2.%3.%4.%5.%6.%7"/>
      <w:lvlJc w:val="left"/>
      <w:pPr>
        <w:tabs>
          <w:tab w:val="left" w:pos="425"/>
        </w:tabs>
        <w:ind w:left="0" w:firstLine="0"/>
      </w:pPr>
      <w:rPr>
        <w:rFonts w:hint="eastAsia"/>
      </w:rPr>
    </w:lvl>
    <w:lvl w:ilvl="7" w:tentative="0">
      <w:start w:val="1"/>
      <w:numFmt w:val="decimal"/>
      <w:lvlText w:val="%1.%2.%3.%4.%5.%6.%7.%8"/>
      <w:lvlJc w:val="left"/>
      <w:pPr>
        <w:tabs>
          <w:tab w:val="left" w:pos="425"/>
        </w:tabs>
        <w:ind w:left="0" w:firstLine="0"/>
      </w:pPr>
      <w:rPr>
        <w:rFonts w:hint="eastAsia"/>
      </w:rPr>
    </w:lvl>
    <w:lvl w:ilvl="8" w:tentative="0">
      <w:start w:val="1"/>
      <w:numFmt w:val="decimal"/>
      <w:lvlText w:val="%1.%2.%3.%4.%5.%6.%7.%8.%9"/>
      <w:lvlJc w:val="left"/>
      <w:pPr>
        <w:tabs>
          <w:tab w:val="left" w:pos="425"/>
        </w:tabs>
        <w:ind w:left="0" w:firstLine="0"/>
      </w:pPr>
      <w:rPr>
        <w:rFonts w:hint="eastAsia"/>
      </w:rPr>
    </w:lvl>
  </w:abstractNum>
  <w:abstractNum w:abstractNumId="5">
    <w:nsid w:val="60EC5224"/>
    <w:multiLevelType w:val="singleLevel"/>
    <w:tmpl w:val="60EC5224"/>
    <w:lvl w:ilvl="0" w:tentative="0">
      <w:start w:val="1"/>
      <w:numFmt w:val="decimal"/>
      <w:suff w:val="nothing"/>
      <w:lvlText w:val="（%1）"/>
      <w:lvlJc w:val="left"/>
    </w:lvl>
  </w:abstractNum>
  <w:abstractNum w:abstractNumId="6">
    <w:nsid w:val="6B3B0D81"/>
    <w:multiLevelType w:val="multilevel"/>
    <w:tmpl w:val="6B3B0D81"/>
    <w:lvl w:ilvl="0" w:tentative="0">
      <w:start w:val="1"/>
      <w:numFmt w:val="chineseCountingThousand"/>
      <w:pStyle w:val="2"/>
      <w:suff w:val="space"/>
      <w:lvlText w:val="%1、"/>
      <w:lvlJc w:val="left"/>
      <w:pPr>
        <w:ind w:left="0" w:firstLine="0"/>
      </w:pPr>
      <w:rPr>
        <w:rFonts w:hint="eastAsia"/>
      </w:rPr>
    </w:lvl>
    <w:lvl w:ilvl="1" w:tentative="0">
      <w:start w:val="1"/>
      <w:numFmt w:val="decimal"/>
      <w:pStyle w:val="3"/>
      <w:isLgl/>
      <w:suff w:val="space"/>
      <w:lvlText w:val="%1.%2"/>
      <w:lvlJc w:val="left"/>
      <w:pPr>
        <w:ind w:left="0" w:firstLine="0"/>
      </w:pPr>
      <w:rPr>
        <w:rFonts w:hint="eastAsia"/>
        <w:color w:val="auto"/>
      </w:rPr>
    </w:lvl>
    <w:lvl w:ilvl="2" w:tentative="0">
      <w:start w:val="1"/>
      <w:numFmt w:val="decimal"/>
      <w:pStyle w:val="4"/>
      <w:isLgl/>
      <w:suff w:val="space"/>
      <w:lvlText w:val="%1.%2.%3"/>
      <w:lvlJc w:val="left"/>
      <w:pPr>
        <w:ind w:left="1680" w:firstLine="0"/>
      </w:pPr>
      <w:rPr>
        <w:rFonts w:hint="eastAsia"/>
        <w:b/>
        <w:bCs/>
      </w:rPr>
    </w:lvl>
    <w:lvl w:ilvl="3" w:tentative="0">
      <w:start w:val="1"/>
      <w:numFmt w:val="decimal"/>
      <w:pStyle w:val="5"/>
      <w:isLgl/>
      <w:suff w:val="space"/>
      <w:lvlText w:val="%1.%2.%3.%4"/>
      <w:lvlJc w:val="left"/>
      <w:pPr>
        <w:ind w:left="0" w:firstLine="0"/>
      </w:pPr>
      <w:rPr>
        <w:rFonts w:hint="eastAsia" w:ascii="Times New Roman" w:hAnsi="Times New Roman" w:cs="Times New Roman"/>
      </w:rPr>
    </w:lvl>
    <w:lvl w:ilvl="4" w:tentative="0">
      <w:start w:val="1"/>
      <w:numFmt w:val="decimal"/>
      <w:lvlRestart w:val="2"/>
      <w:pStyle w:val="6"/>
      <w:isLgl/>
      <w:suff w:val="space"/>
      <w:lvlText w:val="表%1.%2-%5"/>
      <w:lvlJc w:val="center"/>
      <w:pPr>
        <w:tabs>
          <w:tab w:val="left" w:pos="0"/>
        </w:tabs>
        <w:ind w:left="0" w:leftChars="0" w:firstLine="0" w:firstLineChars="0"/>
      </w:pPr>
      <w:rPr>
        <w:rFonts w:hint="eastAsia" w:ascii="Times New Roman" w:hAnsi="Times New Roman" w:cs="Times New Roman"/>
        <w:b/>
        <w:bCs/>
        <w:i w:val="0"/>
        <w:iCs w:val="0"/>
        <w:caps w:val="0"/>
        <w:smallCaps w:val="0"/>
        <w:strike w:val="0"/>
        <w:dstrike w:val="0"/>
        <w:outline w:val="0"/>
        <w:shadow w:val="0"/>
        <w:emboss w:val="0"/>
        <w:imprint w:val="0"/>
        <w:snapToGrid w:val="0"/>
        <w:vanish w:val="0"/>
        <w:color w:val="000000"/>
        <w:spacing w:val="0"/>
        <w:position w:val="0"/>
        <w:u w:val="none"/>
        <w:vertAlign w:val="baseline"/>
      </w:rPr>
    </w:lvl>
    <w:lvl w:ilvl="5" w:tentative="0">
      <w:start w:val="1"/>
      <w:numFmt w:val="decimal"/>
      <w:lvlRestart w:val="2"/>
      <w:pStyle w:val="7"/>
      <w:isLgl/>
      <w:lvlText w:val="图%1.%2-%6"/>
      <w:lvlJc w:val="left"/>
      <w:pPr>
        <w:ind w:left="0" w:firstLine="0"/>
      </w:pPr>
      <w:rPr>
        <w:rFonts w:hint="eastAsia"/>
        <w:b/>
        <w:bCs/>
      </w:rPr>
    </w:lvl>
    <w:lvl w:ilvl="6" w:tentative="0">
      <w:start w:val="1"/>
      <w:numFmt w:val="decimal"/>
      <w:pStyle w:val="8"/>
      <w:lvlText w:val="%1.%2.%3.%4.%5.%6.%7"/>
      <w:lvlJc w:val="left"/>
      <w:pPr>
        <w:ind w:left="0" w:firstLine="0"/>
      </w:pPr>
      <w:rPr>
        <w:rFonts w:hint="eastAsia"/>
      </w:rPr>
    </w:lvl>
    <w:lvl w:ilvl="7" w:tentative="0">
      <w:start w:val="1"/>
      <w:numFmt w:val="decimal"/>
      <w:pStyle w:val="9"/>
      <w:lvlText w:val="%1.%2.%3.%4.%5.%6.%7.%8"/>
      <w:lvlJc w:val="left"/>
      <w:pPr>
        <w:ind w:left="0" w:firstLine="0"/>
      </w:pPr>
      <w:rPr>
        <w:rFonts w:hint="eastAsia"/>
      </w:rPr>
    </w:lvl>
    <w:lvl w:ilvl="8" w:tentative="0">
      <w:start w:val="1"/>
      <w:numFmt w:val="decimal"/>
      <w:pStyle w:val="10"/>
      <w:lvlText w:val="%1.%2.%3.%4.%5.%6.%7.%8.%9"/>
      <w:lvlJc w:val="left"/>
      <w:pPr>
        <w:ind w:left="0" w:firstLine="0"/>
      </w:pPr>
      <w:rPr>
        <w:rFonts w:hint="eastAsia"/>
      </w:rPr>
    </w:lvl>
  </w:abstractNum>
  <w:num w:numId="1">
    <w:abstractNumId w:val="6"/>
  </w:num>
  <w:num w:numId="2">
    <w:abstractNumId w:val="0"/>
  </w:num>
  <w:num w:numId="3">
    <w:abstractNumId w:val="4"/>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1"/>
  <w:documentProtection w:enforcement="0"/>
  <w:defaultTabStop w:val="0"/>
  <w:hyphenationZone w:val="36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0NWUzN2ZmMzdhZDVkN2RkNGQ3OThiN2Y0OTg3ZDUifQ=="/>
  </w:docVars>
  <w:rsids>
    <w:rsidRoot w:val="00172A27"/>
    <w:rsid w:val="0000440B"/>
    <w:rsid w:val="00014966"/>
    <w:rsid w:val="000273CC"/>
    <w:rsid w:val="00076011"/>
    <w:rsid w:val="0009075B"/>
    <w:rsid w:val="000942B7"/>
    <w:rsid w:val="000951CF"/>
    <w:rsid w:val="00096D68"/>
    <w:rsid w:val="000F692A"/>
    <w:rsid w:val="00133A48"/>
    <w:rsid w:val="00144338"/>
    <w:rsid w:val="00164C26"/>
    <w:rsid w:val="00191A80"/>
    <w:rsid w:val="00201367"/>
    <w:rsid w:val="00205411"/>
    <w:rsid w:val="002064FC"/>
    <w:rsid w:val="002160B8"/>
    <w:rsid w:val="002A6E5D"/>
    <w:rsid w:val="002A76A3"/>
    <w:rsid w:val="002C341A"/>
    <w:rsid w:val="002D034B"/>
    <w:rsid w:val="002D5219"/>
    <w:rsid w:val="002E6413"/>
    <w:rsid w:val="002F7884"/>
    <w:rsid w:val="003A6B66"/>
    <w:rsid w:val="003B1F5A"/>
    <w:rsid w:val="003C5A2F"/>
    <w:rsid w:val="00417EF4"/>
    <w:rsid w:val="00423C6D"/>
    <w:rsid w:val="0043340B"/>
    <w:rsid w:val="004B1C6A"/>
    <w:rsid w:val="004E5BA0"/>
    <w:rsid w:val="00527B99"/>
    <w:rsid w:val="00535E7A"/>
    <w:rsid w:val="00547693"/>
    <w:rsid w:val="00575112"/>
    <w:rsid w:val="005C7AE2"/>
    <w:rsid w:val="005D2C01"/>
    <w:rsid w:val="005E2161"/>
    <w:rsid w:val="00603ED2"/>
    <w:rsid w:val="00610597"/>
    <w:rsid w:val="00611072"/>
    <w:rsid w:val="0063476D"/>
    <w:rsid w:val="0067411F"/>
    <w:rsid w:val="00692FA7"/>
    <w:rsid w:val="006B641D"/>
    <w:rsid w:val="006D4385"/>
    <w:rsid w:val="006E55AF"/>
    <w:rsid w:val="006F18A0"/>
    <w:rsid w:val="00710FF4"/>
    <w:rsid w:val="00716BE4"/>
    <w:rsid w:val="00726300"/>
    <w:rsid w:val="007402CA"/>
    <w:rsid w:val="007F27CB"/>
    <w:rsid w:val="00803F43"/>
    <w:rsid w:val="008130F8"/>
    <w:rsid w:val="00850528"/>
    <w:rsid w:val="00907506"/>
    <w:rsid w:val="009B6DC5"/>
    <w:rsid w:val="009C1121"/>
    <w:rsid w:val="009C1DC1"/>
    <w:rsid w:val="009C512B"/>
    <w:rsid w:val="009D60E0"/>
    <w:rsid w:val="00A3470B"/>
    <w:rsid w:val="00A42231"/>
    <w:rsid w:val="00A82862"/>
    <w:rsid w:val="00AB3410"/>
    <w:rsid w:val="00B03A71"/>
    <w:rsid w:val="00B077AA"/>
    <w:rsid w:val="00B305DA"/>
    <w:rsid w:val="00B713CC"/>
    <w:rsid w:val="00B73A63"/>
    <w:rsid w:val="00B92181"/>
    <w:rsid w:val="00BC11CD"/>
    <w:rsid w:val="00CA79AE"/>
    <w:rsid w:val="00CA7DD9"/>
    <w:rsid w:val="00CC53C4"/>
    <w:rsid w:val="00CC7016"/>
    <w:rsid w:val="00CF51FB"/>
    <w:rsid w:val="00D31095"/>
    <w:rsid w:val="00D55839"/>
    <w:rsid w:val="00DA1BCB"/>
    <w:rsid w:val="00DC0A90"/>
    <w:rsid w:val="00DC5E6F"/>
    <w:rsid w:val="00DE596E"/>
    <w:rsid w:val="00E32D5A"/>
    <w:rsid w:val="00E53E35"/>
    <w:rsid w:val="00E6441A"/>
    <w:rsid w:val="00EC3065"/>
    <w:rsid w:val="00EC5C36"/>
    <w:rsid w:val="00F00F3C"/>
    <w:rsid w:val="00F46D15"/>
    <w:rsid w:val="00F57E54"/>
    <w:rsid w:val="00F6603B"/>
    <w:rsid w:val="00FB61BF"/>
    <w:rsid w:val="01004732"/>
    <w:rsid w:val="01071012"/>
    <w:rsid w:val="01097D2F"/>
    <w:rsid w:val="0110336A"/>
    <w:rsid w:val="011365B8"/>
    <w:rsid w:val="01211AD4"/>
    <w:rsid w:val="0123584C"/>
    <w:rsid w:val="01282E62"/>
    <w:rsid w:val="012832B8"/>
    <w:rsid w:val="012B4701"/>
    <w:rsid w:val="012B5213"/>
    <w:rsid w:val="01393992"/>
    <w:rsid w:val="013967D6"/>
    <w:rsid w:val="013B2FC9"/>
    <w:rsid w:val="01420CE0"/>
    <w:rsid w:val="01436412"/>
    <w:rsid w:val="01527EDF"/>
    <w:rsid w:val="01543C57"/>
    <w:rsid w:val="015C2B0C"/>
    <w:rsid w:val="016908DE"/>
    <w:rsid w:val="0179546C"/>
    <w:rsid w:val="0185255D"/>
    <w:rsid w:val="018D694D"/>
    <w:rsid w:val="01967485"/>
    <w:rsid w:val="019B3634"/>
    <w:rsid w:val="01A319FB"/>
    <w:rsid w:val="01A547FB"/>
    <w:rsid w:val="01AA49FD"/>
    <w:rsid w:val="01B6046E"/>
    <w:rsid w:val="01B83CAA"/>
    <w:rsid w:val="01D35D3E"/>
    <w:rsid w:val="01F1594A"/>
    <w:rsid w:val="01F21652"/>
    <w:rsid w:val="01FD50C4"/>
    <w:rsid w:val="02036538"/>
    <w:rsid w:val="020E3E06"/>
    <w:rsid w:val="02251150"/>
    <w:rsid w:val="022573A2"/>
    <w:rsid w:val="02261C62"/>
    <w:rsid w:val="022F0D63"/>
    <w:rsid w:val="02300221"/>
    <w:rsid w:val="02380ED1"/>
    <w:rsid w:val="023B5157"/>
    <w:rsid w:val="02510197"/>
    <w:rsid w:val="02573D26"/>
    <w:rsid w:val="02581525"/>
    <w:rsid w:val="02614383"/>
    <w:rsid w:val="02685C0C"/>
    <w:rsid w:val="027754FB"/>
    <w:rsid w:val="02881E0B"/>
    <w:rsid w:val="028A17D4"/>
    <w:rsid w:val="028C0A7F"/>
    <w:rsid w:val="029307AF"/>
    <w:rsid w:val="0298354F"/>
    <w:rsid w:val="029D4B8B"/>
    <w:rsid w:val="02A07109"/>
    <w:rsid w:val="02A429BD"/>
    <w:rsid w:val="02AB78A7"/>
    <w:rsid w:val="02AF74E7"/>
    <w:rsid w:val="02BE3A7E"/>
    <w:rsid w:val="02C1531D"/>
    <w:rsid w:val="02C24BF1"/>
    <w:rsid w:val="02C5376B"/>
    <w:rsid w:val="02CB0552"/>
    <w:rsid w:val="02D22E85"/>
    <w:rsid w:val="02DA2949"/>
    <w:rsid w:val="02E01C47"/>
    <w:rsid w:val="030D40BE"/>
    <w:rsid w:val="03181340"/>
    <w:rsid w:val="031C773B"/>
    <w:rsid w:val="031D7830"/>
    <w:rsid w:val="031E276F"/>
    <w:rsid w:val="03250913"/>
    <w:rsid w:val="0328714A"/>
    <w:rsid w:val="032D66E1"/>
    <w:rsid w:val="032F2286"/>
    <w:rsid w:val="033220DE"/>
    <w:rsid w:val="0332621A"/>
    <w:rsid w:val="033C49A3"/>
    <w:rsid w:val="0340173B"/>
    <w:rsid w:val="034070BC"/>
    <w:rsid w:val="034A5312"/>
    <w:rsid w:val="034C108A"/>
    <w:rsid w:val="035B12CD"/>
    <w:rsid w:val="035D3349"/>
    <w:rsid w:val="037A0439"/>
    <w:rsid w:val="037C6E00"/>
    <w:rsid w:val="03825D88"/>
    <w:rsid w:val="038720C2"/>
    <w:rsid w:val="0388300D"/>
    <w:rsid w:val="038A1CB4"/>
    <w:rsid w:val="038B742A"/>
    <w:rsid w:val="038D16A3"/>
    <w:rsid w:val="03962305"/>
    <w:rsid w:val="03A430D6"/>
    <w:rsid w:val="03A61443"/>
    <w:rsid w:val="03A762C0"/>
    <w:rsid w:val="03A85C19"/>
    <w:rsid w:val="03AC1B29"/>
    <w:rsid w:val="03B021A6"/>
    <w:rsid w:val="03B028E9"/>
    <w:rsid w:val="03C06E9F"/>
    <w:rsid w:val="03C23196"/>
    <w:rsid w:val="03CC512D"/>
    <w:rsid w:val="03D4532E"/>
    <w:rsid w:val="03DE64EE"/>
    <w:rsid w:val="03EE33BF"/>
    <w:rsid w:val="03F814BC"/>
    <w:rsid w:val="03F95E51"/>
    <w:rsid w:val="03FB03BA"/>
    <w:rsid w:val="0407322D"/>
    <w:rsid w:val="04082AD7"/>
    <w:rsid w:val="040C560E"/>
    <w:rsid w:val="04117BDE"/>
    <w:rsid w:val="04123E86"/>
    <w:rsid w:val="041800B5"/>
    <w:rsid w:val="041F0A41"/>
    <w:rsid w:val="042524BB"/>
    <w:rsid w:val="043438CC"/>
    <w:rsid w:val="043D5243"/>
    <w:rsid w:val="04504BAA"/>
    <w:rsid w:val="04583A5F"/>
    <w:rsid w:val="045A1585"/>
    <w:rsid w:val="045B52FD"/>
    <w:rsid w:val="04651CD8"/>
    <w:rsid w:val="046726F2"/>
    <w:rsid w:val="046B19E4"/>
    <w:rsid w:val="046B5540"/>
    <w:rsid w:val="0475016D"/>
    <w:rsid w:val="04770389"/>
    <w:rsid w:val="047D2AD1"/>
    <w:rsid w:val="04814D63"/>
    <w:rsid w:val="048644D3"/>
    <w:rsid w:val="04894595"/>
    <w:rsid w:val="049727D9"/>
    <w:rsid w:val="049802FF"/>
    <w:rsid w:val="049C2D60"/>
    <w:rsid w:val="049D16FC"/>
    <w:rsid w:val="049D5915"/>
    <w:rsid w:val="04A44EF6"/>
    <w:rsid w:val="04BC579F"/>
    <w:rsid w:val="04BF3ADE"/>
    <w:rsid w:val="04C54134"/>
    <w:rsid w:val="04D1736D"/>
    <w:rsid w:val="04D23811"/>
    <w:rsid w:val="04E2157A"/>
    <w:rsid w:val="04E81A9D"/>
    <w:rsid w:val="04F05A45"/>
    <w:rsid w:val="04F14B3B"/>
    <w:rsid w:val="04F260D0"/>
    <w:rsid w:val="04F574FF"/>
    <w:rsid w:val="04FA617C"/>
    <w:rsid w:val="04FC43EA"/>
    <w:rsid w:val="05015EA4"/>
    <w:rsid w:val="050424E4"/>
    <w:rsid w:val="05137752"/>
    <w:rsid w:val="05145BD8"/>
    <w:rsid w:val="051F3A89"/>
    <w:rsid w:val="05263B5D"/>
    <w:rsid w:val="05290F57"/>
    <w:rsid w:val="05296ECF"/>
    <w:rsid w:val="052A53FB"/>
    <w:rsid w:val="052D36EF"/>
    <w:rsid w:val="0535229A"/>
    <w:rsid w:val="053E00D1"/>
    <w:rsid w:val="05406ADF"/>
    <w:rsid w:val="05407DA0"/>
    <w:rsid w:val="0545478A"/>
    <w:rsid w:val="054708E2"/>
    <w:rsid w:val="05484D2D"/>
    <w:rsid w:val="05486C8C"/>
    <w:rsid w:val="055F01E7"/>
    <w:rsid w:val="05654D72"/>
    <w:rsid w:val="056A0AB5"/>
    <w:rsid w:val="057209C2"/>
    <w:rsid w:val="05721A9E"/>
    <w:rsid w:val="05882122"/>
    <w:rsid w:val="058B2736"/>
    <w:rsid w:val="058D24D1"/>
    <w:rsid w:val="058D7738"/>
    <w:rsid w:val="05927CC1"/>
    <w:rsid w:val="059504AF"/>
    <w:rsid w:val="05A36F5B"/>
    <w:rsid w:val="05A51ABA"/>
    <w:rsid w:val="05A81E94"/>
    <w:rsid w:val="05A94BCB"/>
    <w:rsid w:val="05AD1B88"/>
    <w:rsid w:val="05B178CA"/>
    <w:rsid w:val="05C07B4F"/>
    <w:rsid w:val="05C745F4"/>
    <w:rsid w:val="05CF428B"/>
    <w:rsid w:val="05D75592"/>
    <w:rsid w:val="05EF21A1"/>
    <w:rsid w:val="05F25116"/>
    <w:rsid w:val="05F3389E"/>
    <w:rsid w:val="05F652DD"/>
    <w:rsid w:val="060519C4"/>
    <w:rsid w:val="060E27D6"/>
    <w:rsid w:val="06135E8F"/>
    <w:rsid w:val="061A5470"/>
    <w:rsid w:val="061D4AE9"/>
    <w:rsid w:val="06222576"/>
    <w:rsid w:val="062D5057"/>
    <w:rsid w:val="06316315"/>
    <w:rsid w:val="063D2F0C"/>
    <w:rsid w:val="06605C46"/>
    <w:rsid w:val="06684B10"/>
    <w:rsid w:val="066A624B"/>
    <w:rsid w:val="066D6D1A"/>
    <w:rsid w:val="066F33F2"/>
    <w:rsid w:val="067B1C86"/>
    <w:rsid w:val="067D3A89"/>
    <w:rsid w:val="067D5295"/>
    <w:rsid w:val="068723D9"/>
    <w:rsid w:val="068E5516"/>
    <w:rsid w:val="069448F1"/>
    <w:rsid w:val="06A56A3C"/>
    <w:rsid w:val="06AE3E0A"/>
    <w:rsid w:val="06B843C5"/>
    <w:rsid w:val="06BD229F"/>
    <w:rsid w:val="06C07699"/>
    <w:rsid w:val="06C158EB"/>
    <w:rsid w:val="06C23411"/>
    <w:rsid w:val="06D02DFB"/>
    <w:rsid w:val="06D03D80"/>
    <w:rsid w:val="06D21302"/>
    <w:rsid w:val="06D662BE"/>
    <w:rsid w:val="06E20753"/>
    <w:rsid w:val="06E51DF1"/>
    <w:rsid w:val="06E8731C"/>
    <w:rsid w:val="06F7130D"/>
    <w:rsid w:val="06FE2509"/>
    <w:rsid w:val="070121CB"/>
    <w:rsid w:val="07025650"/>
    <w:rsid w:val="070C5D41"/>
    <w:rsid w:val="07195727"/>
    <w:rsid w:val="071C0D73"/>
    <w:rsid w:val="071C3E7E"/>
    <w:rsid w:val="071F0864"/>
    <w:rsid w:val="07262A09"/>
    <w:rsid w:val="07283BBC"/>
    <w:rsid w:val="07287718"/>
    <w:rsid w:val="072B0FB7"/>
    <w:rsid w:val="072C7AD6"/>
    <w:rsid w:val="073065CD"/>
    <w:rsid w:val="07320597"/>
    <w:rsid w:val="073541D7"/>
    <w:rsid w:val="073E292D"/>
    <w:rsid w:val="07467490"/>
    <w:rsid w:val="074A793C"/>
    <w:rsid w:val="074E36C3"/>
    <w:rsid w:val="0750507D"/>
    <w:rsid w:val="075D5044"/>
    <w:rsid w:val="075E040B"/>
    <w:rsid w:val="076666BF"/>
    <w:rsid w:val="076E445B"/>
    <w:rsid w:val="07726BE5"/>
    <w:rsid w:val="07833FB5"/>
    <w:rsid w:val="078B414B"/>
    <w:rsid w:val="078D1C71"/>
    <w:rsid w:val="079733A5"/>
    <w:rsid w:val="07B107AD"/>
    <w:rsid w:val="07B611C8"/>
    <w:rsid w:val="07BA2469"/>
    <w:rsid w:val="07BE5C53"/>
    <w:rsid w:val="07BE6C93"/>
    <w:rsid w:val="07C5024D"/>
    <w:rsid w:val="07C84A57"/>
    <w:rsid w:val="07C947EA"/>
    <w:rsid w:val="07C961DB"/>
    <w:rsid w:val="07CA6A21"/>
    <w:rsid w:val="07CF60DB"/>
    <w:rsid w:val="07DC756A"/>
    <w:rsid w:val="07DE2AF3"/>
    <w:rsid w:val="07E1637A"/>
    <w:rsid w:val="07F341CA"/>
    <w:rsid w:val="07F7358F"/>
    <w:rsid w:val="08051C7F"/>
    <w:rsid w:val="080737D2"/>
    <w:rsid w:val="080C0DE8"/>
    <w:rsid w:val="082C3238"/>
    <w:rsid w:val="082E7378"/>
    <w:rsid w:val="084A5DB4"/>
    <w:rsid w:val="085207C5"/>
    <w:rsid w:val="08591B53"/>
    <w:rsid w:val="085B3877"/>
    <w:rsid w:val="0869623A"/>
    <w:rsid w:val="086C1887"/>
    <w:rsid w:val="087370B9"/>
    <w:rsid w:val="087B7D1C"/>
    <w:rsid w:val="08851FE1"/>
    <w:rsid w:val="088F7AF5"/>
    <w:rsid w:val="08922AD4"/>
    <w:rsid w:val="089E3C41"/>
    <w:rsid w:val="08A454C4"/>
    <w:rsid w:val="08AF46A5"/>
    <w:rsid w:val="08B651F8"/>
    <w:rsid w:val="08B80C9B"/>
    <w:rsid w:val="08BF4F03"/>
    <w:rsid w:val="08C15984"/>
    <w:rsid w:val="08CA19EC"/>
    <w:rsid w:val="08CC0577"/>
    <w:rsid w:val="08D37B58"/>
    <w:rsid w:val="08DC4E39"/>
    <w:rsid w:val="08E95C9E"/>
    <w:rsid w:val="08FA50E4"/>
    <w:rsid w:val="08FB2C0B"/>
    <w:rsid w:val="09077801"/>
    <w:rsid w:val="091C1D65"/>
    <w:rsid w:val="091C32AD"/>
    <w:rsid w:val="092A73FE"/>
    <w:rsid w:val="09371E95"/>
    <w:rsid w:val="09480624"/>
    <w:rsid w:val="09570789"/>
    <w:rsid w:val="0959188D"/>
    <w:rsid w:val="095C5D9F"/>
    <w:rsid w:val="095F5536"/>
    <w:rsid w:val="096B1B3E"/>
    <w:rsid w:val="09700C89"/>
    <w:rsid w:val="09714747"/>
    <w:rsid w:val="0978425B"/>
    <w:rsid w:val="097C1F9D"/>
    <w:rsid w:val="09864BCA"/>
    <w:rsid w:val="09880BAD"/>
    <w:rsid w:val="099723D9"/>
    <w:rsid w:val="099948FD"/>
    <w:rsid w:val="09A03EDE"/>
    <w:rsid w:val="09AD3F6A"/>
    <w:rsid w:val="09B01C47"/>
    <w:rsid w:val="09BA4874"/>
    <w:rsid w:val="09BF7A58"/>
    <w:rsid w:val="09CE48A6"/>
    <w:rsid w:val="09CF47C3"/>
    <w:rsid w:val="09DB5444"/>
    <w:rsid w:val="09ED6439"/>
    <w:rsid w:val="09FC30DE"/>
    <w:rsid w:val="0A007D6E"/>
    <w:rsid w:val="0A0B2B0C"/>
    <w:rsid w:val="0A0D0E47"/>
    <w:rsid w:val="0A122902"/>
    <w:rsid w:val="0A1C72DC"/>
    <w:rsid w:val="0A2F0DBE"/>
    <w:rsid w:val="0A3B2529"/>
    <w:rsid w:val="0A3B507B"/>
    <w:rsid w:val="0A402880"/>
    <w:rsid w:val="0A432ABB"/>
    <w:rsid w:val="0A4756F2"/>
    <w:rsid w:val="0A51635E"/>
    <w:rsid w:val="0A522CFE"/>
    <w:rsid w:val="0A564102"/>
    <w:rsid w:val="0A5754CE"/>
    <w:rsid w:val="0A772B81"/>
    <w:rsid w:val="0A776F68"/>
    <w:rsid w:val="0A7B4003"/>
    <w:rsid w:val="0A8C68CD"/>
    <w:rsid w:val="0A943317"/>
    <w:rsid w:val="0A9955DD"/>
    <w:rsid w:val="0AA417AC"/>
    <w:rsid w:val="0AA479FE"/>
    <w:rsid w:val="0AA732E4"/>
    <w:rsid w:val="0AAB79BD"/>
    <w:rsid w:val="0AC05EBA"/>
    <w:rsid w:val="0AC27E84"/>
    <w:rsid w:val="0AC81AD7"/>
    <w:rsid w:val="0AC91212"/>
    <w:rsid w:val="0ACF434F"/>
    <w:rsid w:val="0AE449D3"/>
    <w:rsid w:val="0AF838A6"/>
    <w:rsid w:val="0AFC15E8"/>
    <w:rsid w:val="0B093D05"/>
    <w:rsid w:val="0B0948DC"/>
    <w:rsid w:val="0B0F6E97"/>
    <w:rsid w:val="0B174585"/>
    <w:rsid w:val="0B2110C8"/>
    <w:rsid w:val="0B226B74"/>
    <w:rsid w:val="0B37562D"/>
    <w:rsid w:val="0B3B39AA"/>
    <w:rsid w:val="0B4B57B9"/>
    <w:rsid w:val="0B513434"/>
    <w:rsid w:val="0B5A0CF9"/>
    <w:rsid w:val="0B5C2086"/>
    <w:rsid w:val="0B5C7952"/>
    <w:rsid w:val="0B61144B"/>
    <w:rsid w:val="0B6D4294"/>
    <w:rsid w:val="0B7A42BB"/>
    <w:rsid w:val="0B8373EF"/>
    <w:rsid w:val="0B925AA8"/>
    <w:rsid w:val="0B9C2CC3"/>
    <w:rsid w:val="0B9F3D21"/>
    <w:rsid w:val="0BA37CB5"/>
    <w:rsid w:val="0BA436F8"/>
    <w:rsid w:val="0BA650B0"/>
    <w:rsid w:val="0BAD4690"/>
    <w:rsid w:val="0BAE575C"/>
    <w:rsid w:val="0BAF665A"/>
    <w:rsid w:val="0BB35A1E"/>
    <w:rsid w:val="0BBC48D3"/>
    <w:rsid w:val="0BC25540"/>
    <w:rsid w:val="0BC63207"/>
    <w:rsid w:val="0BCF66B4"/>
    <w:rsid w:val="0BD3354D"/>
    <w:rsid w:val="0BE43E2A"/>
    <w:rsid w:val="0BE5505B"/>
    <w:rsid w:val="0BE7531E"/>
    <w:rsid w:val="0BEF2EFA"/>
    <w:rsid w:val="0BF24799"/>
    <w:rsid w:val="0BF57DE5"/>
    <w:rsid w:val="0BFF2A12"/>
    <w:rsid w:val="0C0229D3"/>
    <w:rsid w:val="0C044A0F"/>
    <w:rsid w:val="0C0B58E3"/>
    <w:rsid w:val="0C0D15D3"/>
    <w:rsid w:val="0C230DF6"/>
    <w:rsid w:val="0C295B48"/>
    <w:rsid w:val="0C2A7806"/>
    <w:rsid w:val="0C372D53"/>
    <w:rsid w:val="0C3E093E"/>
    <w:rsid w:val="0C60228B"/>
    <w:rsid w:val="0C675F9A"/>
    <w:rsid w:val="0C6A432F"/>
    <w:rsid w:val="0C6F1945"/>
    <w:rsid w:val="0C711B61"/>
    <w:rsid w:val="0C78180B"/>
    <w:rsid w:val="0C83197D"/>
    <w:rsid w:val="0C8A2C23"/>
    <w:rsid w:val="0C8F45CB"/>
    <w:rsid w:val="0C981B18"/>
    <w:rsid w:val="0CA041F5"/>
    <w:rsid w:val="0CA535B9"/>
    <w:rsid w:val="0CAA0BCF"/>
    <w:rsid w:val="0CAA5073"/>
    <w:rsid w:val="0CAD06C0"/>
    <w:rsid w:val="0CB90E13"/>
    <w:rsid w:val="0CBD6B55"/>
    <w:rsid w:val="0CC51EAD"/>
    <w:rsid w:val="0CCA74C4"/>
    <w:rsid w:val="0CCF6888"/>
    <w:rsid w:val="0CD43E9E"/>
    <w:rsid w:val="0CD45C4C"/>
    <w:rsid w:val="0CE0511E"/>
    <w:rsid w:val="0CE340E1"/>
    <w:rsid w:val="0CE40585"/>
    <w:rsid w:val="0CEF0CD8"/>
    <w:rsid w:val="0D0C3638"/>
    <w:rsid w:val="0D135F36"/>
    <w:rsid w:val="0D1B1ACD"/>
    <w:rsid w:val="0D2564A8"/>
    <w:rsid w:val="0D2C5A88"/>
    <w:rsid w:val="0D304E42"/>
    <w:rsid w:val="0D413D61"/>
    <w:rsid w:val="0D4252AC"/>
    <w:rsid w:val="0D562B05"/>
    <w:rsid w:val="0D58576F"/>
    <w:rsid w:val="0D5B4D07"/>
    <w:rsid w:val="0D5B5CF4"/>
    <w:rsid w:val="0D5C620E"/>
    <w:rsid w:val="0D674D12"/>
    <w:rsid w:val="0D7743A7"/>
    <w:rsid w:val="0D7F3E0A"/>
    <w:rsid w:val="0D896A37"/>
    <w:rsid w:val="0DAE499C"/>
    <w:rsid w:val="0DB8731C"/>
    <w:rsid w:val="0DB907FE"/>
    <w:rsid w:val="0DBF4B4E"/>
    <w:rsid w:val="0DD00B0A"/>
    <w:rsid w:val="0DF30354"/>
    <w:rsid w:val="0DFA638C"/>
    <w:rsid w:val="0E010CC3"/>
    <w:rsid w:val="0E1D6204"/>
    <w:rsid w:val="0E2B0E97"/>
    <w:rsid w:val="0E33255C"/>
    <w:rsid w:val="0E4017EB"/>
    <w:rsid w:val="0E53712E"/>
    <w:rsid w:val="0E545297"/>
    <w:rsid w:val="0E5B5D53"/>
    <w:rsid w:val="0E614FE9"/>
    <w:rsid w:val="0E664D3A"/>
    <w:rsid w:val="0E720E2C"/>
    <w:rsid w:val="0E793654"/>
    <w:rsid w:val="0E821F56"/>
    <w:rsid w:val="0E83332E"/>
    <w:rsid w:val="0E87566C"/>
    <w:rsid w:val="0E961720"/>
    <w:rsid w:val="0E9C279A"/>
    <w:rsid w:val="0EA0228A"/>
    <w:rsid w:val="0EAC6E81"/>
    <w:rsid w:val="0EBC0809"/>
    <w:rsid w:val="0EBE6BB4"/>
    <w:rsid w:val="0EC266A4"/>
    <w:rsid w:val="0ED91C40"/>
    <w:rsid w:val="0EE0021D"/>
    <w:rsid w:val="0EE228A3"/>
    <w:rsid w:val="0EE951FC"/>
    <w:rsid w:val="0EF018B9"/>
    <w:rsid w:val="0F0E6F03"/>
    <w:rsid w:val="0F1B5DB5"/>
    <w:rsid w:val="0F1E29AB"/>
    <w:rsid w:val="0F1E4EB1"/>
    <w:rsid w:val="0F267075"/>
    <w:rsid w:val="0F293BEA"/>
    <w:rsid w:val="0F331350"/>
    <w:rsid w:val="0F3D73C4"/>
    <w:rsid w:val="0F4658A8"/>
    <w:rsid w:val="0F4672D5"/>
    <w:rsid w:val="0F4A7405"/>
    <w:rsid w:val="0F4B040D"/>
    <w:rsid w:val="0F4C2412"/>
    <w:rsid w:val="0F5116AE"/>
    <w:rsid w:val="0F514D91"/>
    <w:rsid w:val="0F554CE2"/>
    <w:rsid w:val="0F5B4E47"/>
    <w:rsid w:val="0F67299B"/>
    <w:rsid w:val="0F6B0AEA"/>
    <w:rsid w:val="0F737151"/>
    <w:rsid w:val="0F79118B"/>
    <w:rsid w:val="0F7C6E10"/>
    <w:rsid w:val="0F865C67"/>
    <w:rsid w:val="0F964A35"/>
    <w:rsid w:val="0FA80F53"/>
    <w:rsid w:val="0FA86DE3"/>
    <w:rsid w:val="0FA91612"/>
    <w:rsid w:val="0FA97864"/>
    <w:rsid w:val="0FB110A2"/>
    <w:rsid w:val="0FB43951"/>
    <w:rsid w:val="0FC461C7"/>
    <w:rsid w:val="0FC621C4"/>
    <w:rsid w:val="0FCC599A"/>
    <w:rsid w:val="0FD0094D"/>
    <w:rsid w:val="0FE20542"/>
    <w:rsid w:val="0FEE34C9"/>
    <w:rsid w:val="0FF3154F"/>
    <w:rsid w:val="1002449F"/>
    <w:rsid w:val="10060813"/>
    <w:rsid w:val="10060E11"/>
    <w:rsid w:val="100B407B"/>
    <w:rsid w:val="100B7BE5"/>
    <w:rsid w:val="10131F62"/>
    <w:rsid w:val="10152804"/>
    <w:rsid w:val="10294501"/>
    <w:rsid w:val="102D06E5"/>
    <w:rsid w:val="102E7D98"/>
    <w:rsid w:val="1031770D"/>
    <w:rsid w:val="10391935"/>
    <w:rsid w:val="103B5BFB"/>
    <w:rsid w:val="10423BF8"/>
    <w:rsid w:val="10463305"/>
    <w:rsid w:val="104F21BA"/>
    <w:rsid w:val="10515D6A"/>
    <w:rsid w:val="10534840"/>
    <w:rsid w:val="105F7F23"/>
    <w:rsid w:val="10671B62"/>
    <w:rsid w:val="10675755"/>
    <w:rsid w:val="106D0892"/>
    <w:rsid w:val="106D43EE"/>
    <w:rsid w:val="108005C5"/>
    <w:rsid w:val="10831E63"/>
    <w:rsid w:val="108519C7"/>
    <w:rsid w:val="10930DC1"/>
    <w:rsid w:val="10A11A07"/>
    <w:rsid w:val="10A43FD9"/>
    <w:rsid w:val="10BC6AA5"/>
    <w:rsid w:val="10C058B6"/>
    <w:rsid w:val="10CC2194"/>
    <w:rsid w:val="10CE1A23"/>
    <w:rsid w:val="10F22B45"/>
    <w:rsid w:val="10F93ED3"/>
    <w:rsid w:val="10FB40F0"/>
    <w:rsid w:val="110C1E59"/>
    <w:rsid w:val="110D797F"/>
    <w:rsid w:val="110F36F7"/>
    <w:rsid w:val="111D7BC2"/>
    <w:rsid w:val="111E1B36"/>
    <w:rsid w:val="112F20DD"/>
    <w:rsid w:val="113008C4"/>
    <w:rsid w:val="113774F7"/>
    <w:rsid w:val="1149657D"/>
    <w:rsid w:val="11496C09"/>
    <w:rsid w:val="11511F61"/>
    <w:rsid w:val="11537A88"/>
    <w:rsid w:val="11591B49"/>
    <w:rsid w:val="115F2023"/>
    <w:rsid w:val="116E6670"/>
    <w:rsid w:val="11755C50"/>
    <w:rsid w:val="118002EE"/>
    <w:rsid w:val="118045F5"/>
    <w:rsid w:val="11854B30"/>
    <w:rsid w:val="118656C5"/>
    <w:rsid w:val="118769CB"/>
    <w:rsid w:val="118E6E77"/>
    <w:rsid w:val="11936E1B"/>
    <w:rsid w:val="119B4F8B"/>
    <w:rsid w:val="119D0D03"/>
    <w:rsid w:val="11B06C88"/>
    <w:rsid w:val="11B81FE1"/>
    <w:rsid w:val="11BC387F"/>
    <w:rsid w:val="11BE6AD3"/>
    <w:rsid w:val="11BF511D"/>
    <w:rsid w:val="11CE5C69"/>
    <w:rsid w:val="11CF031F"/>
    <w:rsid w:val="11D5049D"/>
    <w:rsid w:val="11E132E5"/>
    <w:rsid w:val="11E64458"/>
    <w:rsid w:val="11EC0EED"/>
    <w:rsid w:val="11F30F2B"/>
    <w:rsid w:val="11F96D38"/>
    <w:rsid w:val="120328B4"/>
    <w:rsid w:val="12095CBF"/>
    <w:rsid w:val="121246E2"/>
    <w:rsid w:val="12152FD8"/>
    <w:rsid w:val="12153F12"/>
    <w:rsid w:val="12217B86"/>
    <w:rsid w:val="1222745A"/>
    <w:rsid w:val="12274A70"/>
    <w:rsid w:val="122762EC"/>
    <w:rsid w:val="122E5F71"/>
    <w:rsid w:val="12301B77"/>
    <w:rsid w:val="12373EC2"/>
    <w:rsid w:val="12403B60"/>
    <w:rsid w:val="124675EC"/>
    <w:rsid w:val="124949E7"/>
    <w:rsid w:val="12495BD4"/>
    <w:rsid w:val="124A3C74"/>
    <w:rsid w:val="124B075F"/>
    <w:rsid w:val="12504B4F"/>
    <w:rsid w:val="12590334"/>
    <w:rsid w:val="125D0CD0"/>
    <w:rsid w:val="125E2958"/>
    <w:rsid w:val="126E51E3"/>
    <w:rsid w:val="128B6262"/>
    <w:rsid w:val="12916992"/>
    <w:rsid w:val="1298160C"/>
    <w:rsid w:val="129C0FBA"/>
    <w:rsid w:val="129C42E0"/>
    <w:rsid w:val="129E11D6"/>
    <w:rsid w:val="12A143E4"/>
    <w:rsid w:val="12A54BE7"/>
    <w:rsid w:val="12BB167C"/>
    <w:rsid w:val="12C022CF"/>
    <w:rsid w:val="12D76E6C"/>
    <w:rsid w:val="12E01EE4"/>
    <w:rsid w:val="12E0534B"/>
    <w:rsid w:val="12E8201C"/>
    <w:rsid w:val="12EB47FB"/>
    <w:rsid w:val="12F232D0"/>
    <w:rsid w:val="12F86B39"/>
    <w:rsid w:val="13081B91"/>
    <w:rsid w:val="130C26A2"/>
    <w:rsid w:val="1314552E"/>
    <w:rsid w:val="13196AAF"/>
    <w:rsid w:val="131C2057"/>
    <w:rsid w:val="13210F7F"/>
    <w:rsid w:val="13403FD3"/>
    <w:rsid w:val="13462EE0"/>
    <w:rsid w:val="135B2C24"/>
    <w:rsid w:val="1362032F"/>
    <w:rsid w:val="13781A7E"/>
    <w:rsid w:val="137B7A96"/>
    <w:rsid w:val="137D5290"/>
    <w:rsid w:val="137E4BF0"/>
    <w:rsid w:val="13801E6A"/>
    <w:rsid w:val="13893C35"/>
    <w:rsid w:val="138C6BF0"/>
    <w:rsid w:val="13904FC3"/>
    <w:rsid w:val="13936861"/>
    <w:rsid w:val="1399374C"/>
    <w:rsid w:val="139A7BF0"/>
    <w:rsid w:val="139B5716"/>
    <w:rsid w:val="13A9398F"/>
    <w:rsid w:val="13B642FE"/>
    <w:rsid w:val="13BB3249"/>
    <w:rsid w:val="13BD38DE"/>
    <w:rsid w:val="13BF31B2"/>
    <w:rsid w:val="13BF33F1"/>
    <w:rsid w:val="13C133CE"/>
    <w:rsid w:val="13C16B9F"/>
    <w:rsid w:val="13CC66FB"/>
    <w:rsid w:val="13D529D6"/>
    <w:rsid w:val="13D604FC"/>
    <w:rsid w:val="13D80718"/>
    <w:rsid w:val="13DA623E"/>
    <w:rsid w:val="13F02EB7"/>
    <w:rsid w:val="13F03EA5"/>
    <w:rsid w:val="13F05A62"/>
    <w:rsid w:val="13F13588"/>
    <w:rsid w:val="140D1728"/>
    <w:rsid w:val="140E413A"/>
    <w:rsid w:val="140F518F"/>
    <w:rsid w:val="141674D6"/>
    <w:rsid w:val="14171240"/>
    <w:rsid w:val="14180B15"/>
    <w:rsid w:val="141A488D"/>
    <w:rsid w:val="141B7611"/>
    <w:rsid w:val="141F1EA3"/>
    <w:rsid w:val="1422582E"/>
    <w:rsid w:val="14264FA9"/>
    <w:rsid w:val="14290F74"/>
    <w:rsid w:val="142A3128"/>
    <w:rsid w:val="142A42ED"/>
    <w:rsid w:val="142B7C44"/>
    <w:rsid w:val="14302302"/>
    <w:rsid w:val="14343F9C"/>
    <w:rsid w:val="1437543F"/>
    <w:rsid w:val="143A6CDD"/>
    <w:rsid w:val="143F60A1"/>
    <w:rsid w:val="14460456"/>
    <w:rsid w:val="145A2571"/>
    <w:rsid w:val="145E3400"/>
    <w:rsid w:val="14634486"/>
    <w:rsid w:val="146E4BD8"/>
    <w:rsid w:val="14740441"/>
    <w:rsid w:val="14773A8D"/>
    <w:rsid w:val="147E4E1C"/>
    <w:rsid w:val="147F6DE6"/>
    <w:rsid w:val="14834EF9"/>
    <w:rsid w:val="148A7C64"/>
    <w:rsid w:val="14A979BF"/>
    <w:rsid w:val="14AD0600"/>
    <w:rsid w:val="14B64A9B"/>
    <w:rsid w:val="14BE346A"/>
    <w:rsid w:val="14C35840"/>
    <w:rsid w:val="14C56C3C"/>
    <w:rsid w:val="14C85974"/>
    <w:rsid w:val="14D07641"/>
    <w:rsid w:val="14D93E23"/>
    <w:rsid w:val="14E12006"/>
    <w:rsid w:val="14E32F94"/>
    <w:rsid w:val="14E927B6"/>
    <w:rsid w:val="14F07285"/>
    <w:rsid w:val="14F641C4"/>
    <w:rsid w:val="14FD3BE4"/>
    <w:rsid w:val="150D43F1"/>
    <w:rsid w:val="15155054"/>
    <w:rsid w:val="1518152A"/>
    <w:rsid w:val="151928D9"/>
    <w:rsid w:val="151F4651"/>
    <w:rsid w:val="15274143"/>
    <w:rsid w:val="152A0AFF"/>
    <w:rsid w:val="152B4878"/>
    <w:rsid w:val="152D1373"/>
    <w:rsid w:val="154A11A2"/>
    <w:rsid w:val="154B3A7F"/>
    <w:rsid w:val="15511B43"/>
    <w:rsid w:val="1554390E"/>
    <w:rsid w:val="15565D98"/>
    <w:rsid w:val="155D2A22"/>
    <w:rsid w:val="1560771A"/>
    <w:rsid w:val="15671D54"/>
    <w:rsid w:val="156B7CAF"/>
    <w:rsid w:val="156C55BC"/>
    <w:rsid w:val="15783F61"/>
    <w:rsid w:val="157C427B"/>
    <w:rsid w:val="157C7F3F"/>
    <w:rsid w:val="15887CF5"/>
    <w:rsid w:val="159D5775"/>
    <w:rsid w:val="15A46B04"/>
    <w:rsid w:val="15AC4FD0"/>
    <w:rsid w:val="15B14D7D"/>
    <w:rsid w:val="15B71A60"/>
    <w:rsid w:val="15CE592F"/>
    <w:rsid w:val="15D05B4B"/>
    <w:rsid w:val="15D171CD"/>
    <w:rsid w:val="15E04F64"/>
    <w:rsid w:val="15E52C78"/>
    <w:rsid w:val="15E658FA"/>
    <w:rsid w:val="15F22A72"/>
    <w:rsid w:val="15FB249C"/>
    <w:rsid w:val="16000DB2"/>
    <w:rsid w:val="16013F56"/>
    <w:rsid w:val="160E6E05"/>
    <w:rsid w:val="16133C89"/>
    <w:rsid w:val="161517B0"/>
    <w:rsid w:val="162F0CF2"/>
    <w:rsid w:val="16352BFB"/>
    <w:rsid w:val="1638549E"/>
    <w:rsid w:val="16461EEB"/>
    <w:rsid w:val="16492D73"/>
    <w:rsid w:val="165B34B1"/>
    <w:rsid w:val="165D6CB3"/>
    <w:rsid w:val="165F2A2B"/>
    <w:rsid w:val="166149F5"/>
    <w:rsid w:val="16663DB9"/>
    <w:rsid w:val="16683183"/>
    <w:rsid w:val="16691AFB"/>
    <w:rsid w:val="166965B3"/>
    <w:rsid w:val="166B783E"/>
    <w:rsid w:val="16730284"/>
    <w:rsid w:val="16783AEC"/>
    <w:rsid w:val="168D3A3C"/>
    <w:rsid w:val="169206FB"/>
    <w:rsid w:val="169C37CB"/>
    <w:rsid w:val="16A3500D"/>
    <w:rsid w:val="16A410E9"/>
    <w:rsid w:val="16A530E2"/>
    <w:rsid w:val="16B10310"/>
    <w:rsid w:val="16B25250"/>
    <w:rsid w:val="16B34B25"/>
    <w:rsid w:val="16B74615"/>
    <w:rsid w:val="16BC1C2B"/>
    <w:rsid w:val="16C80C57"/>
    <w:rsid w:val="16CE195E"/>
    <w:rsid w:val="16D36F75"/>
    <w:rsid w:val="16D735DA"/>
    <w:rsid w:val="16DC6A39"/>
    <w:rsid w:val="16DF3B6C"/>
    <w:rsid w:val="16E42F30"/>
    <w:rsid w:val="16FA554E"/>
    <w:rsid w:val="1720040C"/>
    <w:rsid w:val="17215F32"/>
    <w:rsid w:val="17234B3C"/>
    <w:rsid w:val="173A61CC"/>
    <w:rsid w:val="174F6F43"/>
    <w:rsid w:val="17514A69"/>
    <w:rsid w:val="17525EAA"/>
    <w:rsid w:val="17580D19"/>
    <w:rsid w:val="175B7696"/>
    <w:rsid w:val="175C51BC"/>
    <w:rsid w:val="17615F65"/>
    <w:rsid w:val="176A1E6F"/>
    <w:rsid w:val="176D1177"/>
    <w:rsid w:val="17816D45"/>
    <w:rsid w:val="17821C08"/>
    <w:rsid w:val="17885FB1"/>
    <w:rsid w:val="17967F8F"/>
    <w:rsid w:val="179C380B"/>
    <w:rsid w:val="17AE3C6A"/>
    <w:rsid w:val="17B62B1E"/>
    <w:rsid w:val="17BB6387"/>
    <w:rsid w:val="17C3523B"/>
    <w:rsid w:val="17CA65CA"/>
    <w:rsid w:val="17CE60BA"/>
    <w:rsid w:val="17D84305"/>
    <w:rsid w:val="17DB1E48"/>
    <w:rsid w:val="17DB4333"/>
    <w:rsid w:val="17E23913"/>
    <w:rsid w:val="17F11DA8"/>
    <w:rsid w:val="17FF6273"/>
    <w:rsid w:val="18030527"/>
    <w:rsid w:val="18041ADC"/>
    <w:rsid w:val="1804388A"/>
    <w:rsid w:val="180526B5"/>
    <w:rsid w:val="1807337A"/>
    <w:rsid w:val="18077A54"/>
    <w:rsid w:val="18133ACD"/>
    <w:rsid w:val="18155034"/>
    <w:rsid w:val="181B0BD3"/>
    <w:rsid w:val="181D494B"/>
    <w:rsid w:val="18297794"/>
    <w:rsid w:val="182C69C5"/>
    <w:rsid w:val="183028D1"/>
    <w:rsid w:val="1831303B"/>
    <w:rsid w:val="18341AE3"/>
    <w:rsid w:val="18356139"/>
    <w:rsid w:val="183C74C7"/>
    <w:rsid w:val="184650E5"/>
    <w:rsid w:val="18491BE4"/>
    <w:rsid w:val="184C3483"/>
    <w:rsid w:val="18511233"/>
    <w:rsid w:val="18554738"/>
    <w:rsid w:val="185E2E43"/>
    <w:rsid w:val="18636BC3"/>
    <w:rsid w:val="18695DE3"/>
    <w:rsid w:val="186D20B8"/>
    <w:rsid w:val="186E51A7"/>
    <w:rsid w:val="187C3D68"/>
    <w:rsid w:val="187F1162"/>
    <w:rsid w:val="1887378A"/>
    <w:rsid w:val="18876269"/>
    <w:rsid w:val="189664AC"/>
    <w:rsid w:val="189A38C6"/>
    <w:rsid w:val="189D1AA1"/>
    <w:rsid w:val="18A40BC9"/>
    <w:rsid w:val="18B51028"/>
    <w:rsid w:val="18B67E4F"/>
    <w:rsid w:val="18B81128"/>
    <w:rsid w:val="18BD1C8B"/>
    <w:rsid w:val="18C03D0F"/>
    <w:rsid w:val="18C1177B"/>
    <w:rsid w:val="18CC0A2E"/>
    <w:rsid w:val="18D36537"/>
    <w:rsid w:val="18E21B69"/>
    <w:rsid w:val="18E54CF4"/>
    <w:rsid w:val="18E65685"/>
    <w:rsid w:val="18E65952"/>
    <w:rsid w:val="18F029FA"/>
    <w:rsid w:val="18F258DF"/>
    <w:rsid w:val="18F51424"/>
    <w:rsid w:val="18FD09E7"/>
    <w:rsid w:val="190B50EC"/>
    <w:rsid w:val="19185A73"/>
    <w:rsid w:val="191B1233"/>
    <w:rsid w:val="19232435"/>
    <w:rsid w:val="19297320"/>
    <w:rsid w:val="1934438A"/>
    <w:rsid w:val="193C265E"/>
    <w:rsid w:val="1941626F"/>
    <w:rsid w:val="19516FA3"/>
    <w:rsid w:val="19520625"/>
    <w:rsid w:val="19541AE6"/>
    <w:rsid w:val="195B34BE"/>
    <w:rsid w:val="19651B39"/>
    <w:rsid w:val="1965563C"/>
    <w:rsid w:val="19773305"/>
    <w:rsid w:val="19796B35"/>
    <w:rsid w:val="197B7B7C"/>
    <w:rsid w:val="197E58BE"/>
    <w:rsid w:val="197F400E"/>
    <w:rsid w:val="198509FA"/>
    <w:rsid w:val="1987566D"/>
    <w:rsid w:val="19877546"/>
    <w:rsid w:val="198D1635"/>
    <w:rsid w:val="198F7ACB"/>
    <w:rsid w:val="19940C3D"/>
    <w:rsid w:val="199624B8"/>
    <w:rsid w:val="199F0388"/>
    <w:rsid w:val="19A31463"/>
    <w:rsid w:val="19B04554"/>
    <w:rsid w:val="19B65058"/>
    <w:rsid w:val="19BB441C"/>
    <w:rsid w:val="19C73EC2"/>
    <w:rsid w:val="19D761F5"/>
    <w:rsid w:val="19DC4392"/>
    <w:rsid w:val="19DD52F9"/>
    <w:rsid w:val="19E10151"/>
    <w:rsid w:val="19E80F89"/>
    <w:rsid w:val="19EC0A79"/>
    <w:rsid w:val="19EC6CCB"/>
    <w:rsid w:val="19F4792E"/>
    <w:rsid w:val="19F65454"/>
    <w:rsid w:val="19FD67E3"/>
    <w:rsid w:val="1A1D0C33"/>
    <w:rsid w:val="1A246465"/>
    <w:rsid w:val="1A286BA1"/>
    <w:rsid w:val="1A2B77F4"/>
    <w:rsid w:val="1A3343E7"/>
    <w:rsid w:val="1A512FD2"/>
    <w:rsid w:val="1A766595"/>
    <w:rsid w:val="1A7C004F"/>
    <w:rsid w:val="1A7D73CD"/>
    <w:rsid w:val="1A8011C2"/>
    <w:rsid w:val="1A8769F4"/>
    <w:rsid w:val="1A8B3393"/>
    <w:rsid w:val="1A8C7B66"/>
    <w:rsid w:val="1A902BAD"/>
    <w:rsid w:val="1A995465"/>
    <w:rsid w:val="1A9B2B72"/>
    <w:rsid w:val="1A9D7FC6"/>
    <w:rsid w:val="1AAE21D3"/>
    <w:rsid w:val="1AB31597"/>
    <w:rsid w:val="1AB62E35"/>
    <w:rsid w:val="1AC27A2C"/>
    <w:rsid w:val="1AC57F78"/>
    <w:rsid w:val="1AC75042"/>
    <w:rsid w:val="1AD20C3E"/>
    <w:rsid w:val="1AD339E7"/>
    <w:rsid w:val="1AD35795"/>
    <w:rsid w:val="1AD35A64"/>
    <w:rsid w:val="1AD87250"/>
    <w:rsid w:val="1AE142E7"/>
    <w:rsid w:val="1AE85BAF"/>
    <w:rsid w:val="1AF264E1"/>
    <w:rsid w:val="1AF51BB0"/>
    <w:rsid w:val="1AFC5704"/>
    <w:rsid w:val="1B0818E3"/>
    <w:rsid w:val="1B09565B"/>
    <w:rsid w:val="1B097409"/>
    <w:rsid w:val="1B275CA2"/>
    <w:rsid w:val="1B281F85"/>
    <w:rsid w:val="1B2D759B"/>
    <w:rsid w:val="1B3544BC"/>
    <w:rsid w:val="1B3721C8"/>
    <w:rsid w:val="1B481CDF"/>
    <w:rsid w:val="1B55264E"/>
    <w:rsid w:val="1B554FF5"/>
    <w:rsid w:val="1B662AAD"/>
    <w:rsid w:val="1B682381"/>
    <w:rsid w:val="1B6B12B7"/>
    <w:rsid w:val="1B756288"/>
    <w:rsid w:val="1B862DE7"/>
    <w:rsid w:val="1B910F1B"/>
    <w:rsid w:val="1B9A50A4"/>
    <w:rsid w:val="1BB92BDD"/>
    <w:rsid w:val="1BC00AE0"/>
    <w:rsid w:val="1BC12F10"/>
    <w:rsid w:val="1BC64AFB"/>
    <w:rsid w:val="1BC82E20"/>
    <w:rsid w:val="1BCF2401"/>
    <w:rsid w:val="1BD01CD5"/>
    <w:rsid w:val="1BD6553D"/>
    <w:rsid w:val="1BD666AF"/>
    <w:rsid w:val="1BD87507"/>
    <w:rsid w:val="1BD94E2F"/>
    <w:rsid w:val="1BE209AE"/>
    <w:rsid w:val="1BE834C2"/>
    <w:rsid w:val="1BEE6D2B"/>
    <w:rsid w:val="1BF603FD"/>
    <w:rsid w:val="1BFD6F6E"/>
    <w:rsid w:val="1BFE6842"/>
    <w:rsid w:val="1C093B64"/>
    <w:rsid w:val="1C0960D8"/>
    <w:rsid w:val="1C0B50F6"/>
    <w:rsid w:val="1C0D4CD7"/>
    <w:rsid w:val="1C0F0A4F"/>
    <w:rsid w:val="1C1165A0"/>
    <w:rsid w:val="1C136BED"/>
    <w:rsid w:val="1C1442B7"/>
    <w:rsid w:val="1C1555B5"/>
    <w:rsid w:val="1C177904"/>
    <w:rsid w:val="1C1C441C"/>
    <w:rsid w:val="1C2149DB"/>
    <w:rsid w:val="1C2416AE"/>
    <w:rsid w:val="1C2A7637"/>
    <w:rsid w:val="1C3F68C0"/>
    <w:rsid w:val="1C404405"/>
    <w:rsid w:val="1C405668"/>
    <w:rsid w:val="1C4A6ACE"/>
    <w:rsid w:val="1C4F709D"/>
    <w:rsid w:val="1C506992"/>
    <w:rsid w:val="1C511068"/>
    <w:rsid w:val="1C5A0322"/>
    <w:rsid w:val="1C616558"/>
    <w:rsid w:val="1C6646A5"/>
    <w:rsid w:val="1C666C0A"/>
    <w:rsid w:val="1C6A1CAD"/>
    <w:rsid w:val="1C6B4699"/>
    <w:rsid w:val="1C6F7740"/>
    <w:rsid w:val="1C7A236C"/>
    <w:rsid w:val="1C7B4336"/>
    <w:rsid w:val="1C821221"/>
    <w:rsid w:val="1C8B48E5"/>
    <w:rsid w:val="1C93342E"/>
    <w:rsid w:val="1C9676D1"/>
    <w:rsid w:val="1CA21F4A"/>
    <w:rsid w:val="1CA37410"/>
    <w:rsid w:val="1CA4265D"/>
    <w:rsid w:val="1CAA0881"/>
    <w:rsid w:val="1CB258D2"/>
    <w:rsid w:val="1CBA09BB"/>
    <w:rsid w:val="1CBE0187"/>
    <w:rsid w:val="1CC6080C"/>
    <w:rsid w:val="1CCB706C"/>
    <w:rsid w:val="1CCC21A1"/>
    <w:rsid w:val="1CCF35BD"/>
    <w:rsid w:val="1CD35F20"/>
    <w:rsid w:val="1CD852E5"/>
    <w:rsid w:val="1CE302D5"/>
    <w:rsid w:val="1CE819CC"/>
    <w:rsid w:val="1CEE68B6"/>
    <w:rsid w:val="1CF3778C"/>
    <w:rsid w:val="1CFA2B6E"/>
    <w:rsid w:val="1CFB0616"/>
    <w:rsid w:val="1CFC037B"/>
    <w:rsid w:val="1CFC0FD3"/>
    <w:rsid w:val="1D042120"/>
    <w:rsid w:val="1D0F71F1"/>
    <w:rsid w:val="1D2507C4"/>
    <w:rsid w:val="1D303254"/>
    <w:rsid w:val="1D3574B1"/>
    <w:rsid w:val="1D37431E"/>
    <w:rsid w:val="1D444728"/>
    <w:rsid w:val="1D484C98"/>
    <w:rsid w:val="1D4D182F"/>
    <w:rsid w:val="1D4D1EC3"/>
    <w:rsid w:val="1D4E55A7"/>
    <w:rsid w:val="1D526E45"/>
    <w:rsid w:val="1D5801D4"/>
    <w:rsid w:val="1D5F1562"/>
    <w:rsid w:val="1D6666E2"/>
    <w:rsid w:val="1D666D95"/>
    <w:rsid w:val="1D6D46FD"/>
    <w:rsid w:val="1D8544EC"/>
    <w:rsid w:val="1D8B67FB"/>
    <w:rsid w:val="1D9269F2"/>
    <w:rsid w:val="1DA13929"/>
    <w:rsid w:val="1DA819EC"/>
    <w:rsid w:val="1DAC5AB6"/>
    <w:rsid w:val="1DAD49C3"/>
    <w:rsid w:val="1DB15859"/>
    <w:rsid w:val="1DC87107"/>
    <w:rsid w:val="1DCF7231"/>
    <w:rsid w:val="1DD51824"/>
    <w:rsid w:val="1DD52B6B"/>
    <w:rsid w:val="1DEA6C4D"/>
    <w:rsid w:val="1DF31440"/>
    <w:rsid w:val="1DF33F72"/>
    <w:rsid w:val="1DF63C75"/>
    <w:rsid w:val="1DFA677E"/>
    <w:rsid w:val="1E0D7E9F"/>
    <w:rsid w:val="1E124827"/>
    <w:rsid w:val="1E1660C5"/>
    <w:rsid w:val="1E1B7B7F"/>
    <w:rsid w:val="1E205195"/>
    <w:rsid w:val="1E2F53D8"/>
    <w:rsid w:val="1E317220"/>
    <w:rsid w:val="1E330816"/>
    <w:rsid w:val="1E390005"/>
    <w:rsid w:val="1E3C67A3"/>
    <w:rsid w:val="1E3E4AF2"/>
    <w:rsid w:val="1E4075E6"/>
    <w:rsid w:val="1E42335E"/>
    <w:rsid w:val="1E464A9D"/>
    <w:rsid w:val="1E4A558C"/>
    <w:rsid w:val="1E5866DD"/>
    <w:rsid w:val="1E62130A"/>
    <w:rsid w:val="1E695CED"/>
    <w:rsid w:val="1E6F3A27"/>
    <w:rsid w:val="1E7B23CC"/>
    <w:rsid w:val="1E8275B7"/>
    <w:rsid w:val="1E845724"/>
    <w:rsid w:val="1E8B4FE5"/>
    <w:rsid w:val="1E9E60BA"/>
    <w:rsid w:val="1EA41923"/>
    <w:rsid w:val="1EA55764"/>
    <w:rsid w:val="1EA55D21"/>
    <w:rsid w:val="1EAB0350"/>
    <w:rsid w:val="1EAC4C7B"/>
    <w:rsid w:val="1EAE7F57"/>
    <w:rsid w:val="1EB31246"/>
    <w:rsid w:val="1EB3600A"/>
    <w:rsid w:val="1EB4616A"/>
    <w:rsid w:val="1EB678A8"/>
    <w:rsid w:val="1EC845DD"/>
    <w:rsid w:val="1EC93137"/>
    <w:rsid w:val="1ECC2C27"/>
    <w:rsid w:val="1ED146E2"/>
    <w:rsid w:val="1EE12B77"/>
    <w:rsid w:val="1EF65EF6"/>
    <w:rsid w:val="1EF8106D"/>
    <w:rsid w:val="1EFA4321"/>
    <w:rsid w:val="1F120F82"/>
    <w:rsid w:val="1F1C5253"/>
    <w:rsid w:val="1F286870"/>
    <w:rsid w:val="1F2B3DF2"/>
    <w:rsid w:val="1F2C36C6"/>
    <w:rsid w:val="1F2E1463"/>
    <w:rsid w:val="1F2E38E2"/>
    <w:rsid w:val="1F334A54"/>
    <w:rsid w:val="1F394761"/>
    <w:rsid w:val="1F3F5AEF"/>
    <w:rsid w:val="1F4315DA"/>
    <w:rsid w:val="1F5100CD"/>
    <w:rsid w:val="1F516054"/>
    <w:rsid w:val="1F5F26D6"/>
    <w:rsid w:val="1F615A66"/>
    <w:rsid w:val="1F6431A2"/>
    <w:rsid w:val="1F667DEB"/>
    <w:rsid w:val="1F6966C8"/>
    <w:rsid w:val="1F6E10C2"/>
    <w:rsid w:val="1F817EB6"/>
    <w:rsid w:val="1F925C1F"/>
    <w:rsid w:val="1F9C6A9E"/>
    <w:rsid w:val="1F9D049A"/>
    <w:rsid w:val="1F9F7251"/>
    <w:rsid w:val="1FA45952"/>
    <w:rsid w:val="1FA63478"/>
    <w:rsid w:val="1FA94D17"/>
    <w:rsid w:val="1FAB6D2F"/>
    <w:rsid w:val="1FB57B5F"/>
    <w:rsid w:val="1FB65DB1"/>
    <w:rsid w:val="1FB90506"/>
    <w:rsid w:val="1FBB6470"/>
    <w:rsid w:val="1FC41B50"/>
    <w:rsid w:val="1FCD2604"/>
    <w:rsid w:val="1FDC6E9A"/>
    <w:rsid w:val="1FE521F3"/>
    <w:rsid w:val="1FEB2573"/>
    <w:rsid w:val="1FEE1AC6"/>
    <w:rsid w:val="1FF25F2F"/>
    <w:rsid w:val="1FF417A8"/>
    <w:rsid w:val="1FFD10E7"/>
    <w:rsid w:val="20095846"/>
    <w:rsid w:val="20105B1D"/>
    <w:rsid w:val="201721F5"/>
    <w:rsid w:val="20191A77"/>
    <w:rsid w:val="202B1BD0"/>
    <w:rsid w:val="203171E6"/>
    <w:rsid w:val="20350AB8"/>
    <w:rsid w:val="204038CD"/>
    <w:rsid w:val="204213F3"/>
    <w:rsid w:val="20511721"/>
    <w:rsid w:val="2059673D"/>
    <w:rsid w:val="20606F05"/>
    <w:rsid w:val="208E390F"/>
    <w:rsid w:val="208F7643"/>
    <w:rsid w:val="20931C4F"/>
    <w:rsid w:val="2096173F"/>
    <w:rsid w:val="20A21E92"/>
    <w:rsid w:val="20A57BD4"/>
    <w:rsid w:val="20B770EB"/>
    <w:rsid w:val="20B816B5"/>
    <w:rsid w:val="20BF50D9"/>
    <w:rsid w:val="20C0056A"/>
    <w:rsid w:val="20C03EE5"/>
    <w:rsid w:val="20C067BC"/>
    <w:rsid w:val="20C2050F"/>
    <w:rsid w:val="20CB3D3C"/>
    <w:rsid w:val="20CF69FF"/>
    <w:rsid w:val="20D364EF"/>
    <w:rsid w:val="20D81349"/>
    <w:rsid w:val="20D82A47"/>
    <w:rsid w:val="20DB067E"/>
    <w:rsid w:val="20E06E5E"/>
    <w:rsid w:val="20E2444F"/>
    <w:rsid w:val="20E43DF4"/>
    <w:rsid w:val="20E56222"/>
    <w:rsid w:val="20EC135F"/>
    <w:rsid w:val="20F128FE"/>
    <w:rsid w:val="20F841A8"/>
    <w:rsid w:val="21050673"/>
    <w:rsid w:val="210A65D7"/>
    <w:rsid w:val="210E7F88"/>
    <w:rsid w:val="21162880"/>
    <w:rsid w:val="2117719D"/>
    <w:rsid w:val="211865F8"/>
    <w:rsid w:val="211D776A"/>
    <w:rsid w:val="212154AC"/>
    <w:rsid w:val="2136535D"/>
    <w:rsid w:val="21454A89"/>
    <w:rsid w:val="2146630A"/>
    <w:rsid w:val="21563EF4"/>
    <w:rsid w:val="21572A68"/>
    <w:rsid w:val="21584C46"/>
    <w:rsid w:val="216000A4"/>
    <w:rsid w:val="216058A9"/>
    <w:rsid w:val="216102D0"/>
    <w:rsid w:val="21651DE7"/>
    <w:rsid w:val="21696E53"/>
    <w:rsid w:val="2173382E"/>
    <w:rsid w:val="217557F8"/>
    <w:rsid w:val="217A696B"/>
    <w:rsid w:val="217D3FB8"/>
    <w:rsid w:val="217E28FF"/>
    <w:rsid w:val="21843C8D"/>
    <w:rsid w:val="218979EA"/>
    <w:rsid w:val="21916B09"/>
    <w:rsid w:val="21983295"/>
    <w:rsid w:val="219954B9"/>
    <w:rsid w:val="21A24540"/>
    <w:rsid w:val="21A32365"/>
    <w:rsid w:val="21A40874"/>
    <w:rsid w:val="21AA36F4"/>
    <w:rsid w:val="21B433D5"/>
    <w:rsid w:val="21B46321"/>
    <w:rsid w:val="21C127EB"/>
    <w:rsid w:val="21D249F9"/>
    <w:rsid w:val="21D50045"/>
    <w:rsid w:val="21D751C9"/>
    <w:rsid w:val="21DF3896"/>
    <w:rsid w:val="21E36C06"/>
    <w:rsid w:val="21E43E3F"/>
    <w:rsid w:val="21EB43DD"/>
    <w:rsid w:val="21ED35E0"/>
    <w:rsid w:val="21EE1107"/>
    <w:rsid w:val="21F063BB"/>
    <w:rsid w:val="21F2487C"/>
    <w:rsid w:val="21FC7CC7"/>
    <w:rsid w:val="220A5F40"/>
    <w:rsid w:val="2210107D"/>
    <w:rsid w:val="22151646"/>
    <w:rsid w:val="22160F4C"/>
    <w:rsid w:val="221A45A0"/>
    <w:rsid w:val="2221328A"/>
    <w:rsid w:val="2228286B"/>
    <w:rsid w:val="22350AE4"/>
    <w:rsid w:val="22433200"/>
    <w:rsid w:val="22466A70"/>
    <w:rsid w:val="225A01E8"/>
    <w:rsid w:val="22682C67"/>
    <w:rsid w:val="2274785E"/>
    <w:rsid w:val="22873A35"/>
    <w:rsid w:val="228A7081"/>
    <w:rsid w:val="228D3E38"/>
    <w:rsid w:val="229121BE"/>
    <w:rsid w:val="22943A5C"/>
    <w:rsid w:val="229677D4"/>
    <w:rsid w:val="229B6EC7"/>
    <w:rsid w:val="22A139F5"/>
    <w:rsid w:val="22A45BC1"/>
    <w:rsid w:val="22A5210D"/>
    <w:rsid w:val="22AA4B08"/>
    <w:rsid w:val="22AB3754"/>
    <w:rsid w:val="22AF0896"/>
    <w:rsid w:val="22BE4F7D"/>
    <w:rsid w:val="22BF794B"/>
    <w:rsid w:val="22C00CF5"/>
    <w:rsid w:val="22C846D4"/>
    <w:rsid w:val="22D327D6"/>
    <w:rsid w:val="22D85402"/>
    <w:rsid w:val="22D8603F"/>
    <w:rsid w:val="22DA78E5"/>
    <w:rsid w:val="22DE117B"/>
    <w:rsid w:val="22E278D3"/>
    <w:rsid w:val="22E83DA8"/>
    <w:rsid w:val="22EB54BF"/>
    <w:rsid w:val="22F34C27"/>
    <w:rsid w:val="23092B83"/>
    <w:rsid w:val="23133FE2"/>
    <w:rsid w:val="23166710"/>
    <w:rsid w:val="231A0405"/>
    <w:rsid w:val="231D6147"/>
    <w:rsid w:val="2320592D"/>
    <w:rsid w:val="232C1EE7"/>
    <w:rsid w:val="23337719"/>
    <w:rsid w:val="233D0598"/>
    <w:rsid w:val="233D2346"/>
    <w:rsid w:val="23403BE4"/>
    <w:rsid w:val="234419D9"/>
    <w:rsid w:val="23496803"/>
    <w:rsid w:val="23496F3C"/>
    <w:rsid w:val="234B4683"/>
    <w:rsid w:val="234C07DB"/>
    <w:rsid w:val="234D304A"/>
    <w:rsid w:val="234E00AF"/>
    <w:rsid w:val="2360017B"/>
    <w:rsid w:val="236349B4"/>
    <w:rsid w:val="236553F8"/>
    <w:rsid w:val="23767606"/>
    <w:rsid w:val="23804366"/>
    <w:rsid w:val="2383244E"/>
    <w:rsid w:val="23846E58"/>
    <w:rsid w:val="23901997"/>
    <w:rsid w:val="23955CDE"/>
    <w:rsid w:val="239B0E1A"/>
    <w:rsid w:val="239F4DAE"/>
    <w:rsid w:val="23A4088A"/>
    <w:rsid w:val="23AA7590"/>
    <w:rsid w:val="23AD5CF5"/>
    <w:rsid w:val="23B2110C"/>
    <w:rsid w:val="23B46A5F"/>
    <w:rsid w:val="23B53DB1"/>
    <w:rsid w:val="23BD4DF1"/>
    <w:rsid w:val="23BF2D5B"/>
    <w:rsid w:val="23CA646D"/>
    <w:rsid w:val="23D200D4"/>
    <w:rsid w:val="23D34A58"/>
    <w:rsid w:val="23D52A7A"/>
    <w:rsid w:val="23D714ED"/>
    <w:rsid w:val="23E9602A"/>
    <w:rsid w:val="23EA19F2"/>
    <w:rsid w:val="23F549CE"/>
    <w:rsid w:val="23FF13A9"/>
    <w:rsid w:val="2413090B"/>
    <w:rsid w:val="241A2687"/>
    <w:rsid w:val="241B4B4A"/>
    <w:rsid w:val="2423778D"/>
    <w:rsid w:val="24247CE6"/>
    <w:rsid w:val="24253506"/>
    <w:rsid w:val="24277076"/>
    <w:rsid w:val="24294678"/>
    <w:rsid w:val="242E1C8E"/>
    <w:rsid w:val="24340889"/>
    <w:rsid w:val="243472A5"/>
    <w:rsid w:val="24384803"/>
    <w:rsid w:val="244139EE"/>
    <w:rsid w:val="2443573A"/>
    <w:rsid w:val="24466FD8"/>
    <w:rsid w:val="244A35AA"/>
    <w:rsid w:val="244A6AC8"/>
    <w:rsid w:val="244B53BF"/>
    <w:rsid w:val="244F40DF"/>
    <w:rsid w:val="24596D0B"/>
    <w:rsid w:val="245B6F27"/>
    <w:rsid w:val="2462529B"/>
    <w:rsid w:val="24674B09"/>
    <w:rsid w:val="24681644"/>
    <w:rsid w:val="24695DA6"/>
    <w:rsid w:val="246C1C9B"/>
    <w:rsid w:val="24771887"/>
    <w:rsid w:val="247F552E"/>
    <w:rsid w:val="248875F1"/>
    <w:rsid w:val="248F097F"/>
    <w:rsid w:val="249D12EE"/>
    <w:rsid w:val="24A000CF"/>
    <w:rsid w:val="24A563F4"/>
    <w:rsid w:val="24B34EB6"/>
    <w:rsid w:val="24C525F3"/>
    <w:rsid w:val="24CE5894"/>
    <w:rsid w:val="24D00601"/>
    <w:rsid w:val="24D35C2C"/>
    <w:rsid w:val="24D82326"/>
    <w:rsid w:val="24E15732"/>
    <w:rsid w:val="24E72569"/>
    <w:rsid w:val="24F829C8"/>
    <w:rsid w:val="24FA386E"/>
    <w:rsid w:val="25033A48"/>
    <w:rsid w:val="25072C0B"/>
    <w:rsid w:val="250F1A33"/>
    <w:rsid w:val="25174F24"/>
    <w:rsid w:val="251B66B7"/>
    <w:rsid w:val="252437BD"/>
    <w:rsid w:val="252A5A7D"/>
    <w:rsid w:val="252C3B2C"/>
    <w:rsid w:val="252D0733"/>
    <w:rsid w:val="25357778"/>
    <w:rsid w:val="254C23BF"/>
    <w:rsid w:val="25583290"/>
    <w:rsid w:val="25592D3B"/>
    <w:rsid w:val="255C2A9C"/>
    <w:rsid w:val="256B319A"/>
    <w:rsid w:val="25703C94"/>
    <w:rsid w:val="257314CA"/>
    <w:rsid w:val="257A6194"/>
    <w:rsid w:val="257C53A7"/>
    <w:rsid w:val="25826736"/>
    <w:rsid w:val="25830A49"/>
    <w:rsid w:val="259941BD"/>
    <w:rsid w:val="259B3353"/>
    <w:rsid w:val="25AC730F"/>
    <w:rsid w:val="25AE21C0"/>
    <w:rsid w:val="25B03DE2"/>
    <w:rsid w:val="25B255F8"/>
    <w:rsid w:val="25B47479"/>
    <w:rsid w:val="25B928C4"/>
    <w:rsid w:val="25BF474B"/>
    <w:rsid w:val="25C5767A"/>
    <w:rsid w:val="25C64874"/>
    <w:rsid w:val="25D21D98"/>
    <w:rsid w:val="25D54AB7"/>
    <w:rsid w:val="25DB3DEA"/>
    <w:rsid w:val="25E62821"/>
    <w:rsid w:val="25F36602"/>
    <w:rsid w:val="2603496D"/>
    <w:rsid w:val="26055EE5"/>
    <w:rsid w:val="26151358"/>
    <w:rsid w:val="261A3BE9"/>
    <w:rsid w:val="261F3F85"/>
    <w:rsid w:val="26211AAB"/>
    <w:rsid w:val="26243349"/>
    <w:rsid w:val="2637307C"/>
    <w:rsid w:val="263B7010"/>
    <w:rsid w:val="2641214D"/>
    <w:rsid w:val="2644571B"/>
    <w:rsid w:val="2648049B"/>
    <w:rsid w:val="264A7253"/>
    <w:rsid w:val="264B7BF1"/>
    <w:rsid w:val="265005E2"/>
    <w:rsid w:val="26555BF8"/>
    <w:rsid w:val="26602206"/>
    <w:rsid w:val="267270A9"/>
    <w:rsid w:val="267442D0"/>
    <w:rsid w:val="26802C75"/>
    <w:rsid w:val="26906587"/>
    <w:rsid w:val="269F5FB0"/>
    <w:rsid w:val="26A61FB0"/>
    <w:rsid w:val="26A95C00"/>
    <w:rsid w:val="26AA5F44"/>
    <w:rsid w:val="26AB11A8"/>
    <w:rsid w:val="26AF06DF"/>
    <w:rsid w:val="26B24DF9"/>
    <w:rsid w:val="26C80178"/>
    <w:rsid w:val="26C82FA1"/>
    <w:rsid w:val="26CA2142"/>
    <w:rsid w:val="26CB38A2"/>
    <w:rsid w:val="26D22DA5"/>
    <w:rsid w:val="26DA3F62"/>
    <w:rsid w:val="26DB60FD"/>
    <w:rsid w:val="26DE172E"/>
    <w:rsid w:val="26E72A47"/>
    <w:rsid w:val="26FC000E"/>
    <w:rsid w:val="26FE1DEC"/>
    <w:rsid w:val="27137A76"/>
    <w:rsid w:val="271812D7"/>
    <w:rsid w:val="27223D2C"/>
    <w:rsid w:val="273870AC"/>
    <w:rsid w:val="273D3956"/>
    <w:rsid w:val="273E712C"/>
    <w:rsid w:val="273F6164"/>
    <w:rsid w:val="274446C4"/>
    <w:rsid w:val="274A5031"/>
    <w:rsid w:val="275D6B12"/>
    <w:rsid w:val="275E49DE"/>
    <w:rsid w:val="275F5FFA"/>
    <w:rsid w:val="27637EA1"/>
    <w:rsid w:val="27716887"/>
    <w:rsid w:val="27762449"/>
    <w:rsid w:val="278250E7"/>
    <w:rsid w:val="27846C74"/>
    <w:rsid w:val="27860089"/>
    <w:rsid w:val="27870CB7"/>
    <w:rsid w:val="27873B8F"/>
    <w:rsid w:val="2790513A"/>
    <w:rsid w:val="27910EB2"/>
    <w:rsid w:val="2794559B"/>
    <w:rsid w:val="279B3ADF"/>
    <w:rsid w:val="279E2AA0"/>
    <w:rsid w:val="27A44741"/>
    <w:rsid w:val="27A548D2"/>
    <w:rsid w:val="27AE736E"/>
    <w:rsid w:val="27AF30E6"/>
    <w:rsid w:val="27B70919"/>
    <w:rsid w:val="27B73ED9"/>
    <w:rsid w:val="27BC1FD7"/>
    <w:rsid w:val="27C00E99"/>
    <w:rsid w:val="27C93585"/>
    <w:rsid w:val="27CD5542"/>
    <w:rsid w:val="27CE7C21"/>
    <w:rsid w:val="27D25752"/>
    <w:rsid w:val="27D5372A"/>
    <w:rsid w:val="27D8263D"/>
    <w:rsid w:val="27D843EB"/>
    <w:rsid w:val="27DC037F"/>
    <w:rsid w:val="27E61286"/>
    <w:rsid w:val="27E64D5A"/>
    <w:rsid w:val="27E86D24"/>
    <w:rsid w:val="27EE3C0E"/>
    <w:rsid w:val="27F328FD"/>
    <w:rsid w:val="27FA0920"/>
    <w:rsid w:val="28090A48"/>
    <w:rsid w:val="28101DD7"/>
    <w:rsid w:val="28121D50"/>
    <w:rsid w:val="281523B6"/>
    <w:rsid w:val="28201DDD"/>
    <w:rsid w:val="28245882"/>
    <w:rsid w:val="282633A8"/>
    <w:rsid w:val="28281F71"/>
    <w:rsid w:val="282910EA"/>
    <w:rsid w:val="28397580"/>
    <w:rsid w:val="283C39CA"/>
    <w:rsid w:val="28416FE0"/>
    <w:rsid w:val="2849353B"/>
    <w:rsid w:val="284B2BCA"/>
    <w:rsid w:val="2852419D"/>
    <w:rsid w:val="28567966"/>
    <w:rsid w:val="2862761E"/>
    <w:rsid w:val="28647887"/>
    <w:rsid w:val="28681C13"/>
    <w:rsid w:val="286F11F3"/>
    <w:rsid w:val="286F2FA1"/>
    <w:rsid w:val="28795BCE"/>
    <w:rsid w:val="2879633F"/>
    <w:rsid w:val="28887BBF"/>
    <w:rsid w:val="288B5901"/>
    <w:rsid w:val="288C657F"/>
    <w:rsid w:val="288E1BC8"/>
    <w:rsid w:val="2897327F"/>
    <w:rsid w:val="28A54C15"/>
    <w:rsid w:val="28A569C3"/>
    <w:rsid w:val="28A754C8"/>
    <w:rsid w:val="28AB185F"/>
    <w:rsid w:val="28B704A4"/>
    <w:rsid w:val="28BB6EA0"/>
    <w:rsid w:val="28C36E49"/>
    <w:rsid w:val="28D1638E"/>
    <w:rsid w:val="28D64DCE"/>
    <w:rsid w:val="28DD1D90"/>
    <w:rsid w:val="28E77FD9"/>
    <w:rsid w:val="28EC2A74"/>
    <w:rsid w:val="28F25980"/>
    <w:rsid w:val="28F4137E"/>
    <w:rsid w:val="28F77D03"/>
    <w:rsid w:val="29015BC3"/>
    <w:rsid w:val="291812D5"/>
    <w:rsid w:val="29323FCF"/>
    <w:rsid w:val="29350D63"/>
    <w:rsid w:val="293C4E9F"/>
    <w:rsid w:val="29422464"/>
    <w:rsid w:val="2944442E"/>
    <w:rsid w:val="29452074"/>
    <w:rsid w:val="294B7965"/>
    <w:rsid w:val="2959155B"/>
    <w:rsid w:val="295C266A"/>
    <w:rsid w:val="29621288"/>
    <w:rsid w:val="29634188"/>
    <w:rsid w:val="29714AF7"/>
    <w:rsid w:val="297168A5"/>
    <w:rsid w:val="297834D7"/>
    <w:rsid w:val="297939AC"/>
    <w:rsid w:val="297C6D0F"/>
    <w:rsid w:val="29826D04"/>
    <w:rsid w:val="298E38FB"/>
    <w:rsid w:val="29927630"/>
    <w:rsid w:val="2999784A"/>
    <w:rsid w:val="299A413D"/>
    <w:rsid w:val="29A0718A"/>
    <w:rsid w:val="29A470BF"/>
    <w:rsid w:val="29A50C45"/>
    <w:rsid w:val="29A925F2"/>
    <w:rsid w:val="29AA188E"/>
    <w:rsid w:val="29AA5774"/>
    <w:rsid w:val="29AB104B"/>
    <w:rsid w:val="29B63917"/>
    <w:rsid w:val="29C14B7C"/>
    <w:rsid w:val="29CE3CF8"/>
    <w:rsid w:val="29DA269C"/>
    <w:rsid w:val="29DD7E33"/>
    <w:rsid w:val="29EC23D0"/>
    <w:rsid w:val="29F85A6E"/>
    <w:rsid w:val="29FF0355"/>
    <w:rsid w:val="2A00582C"/>
    <w:rsid w:val="2A077D67"/>
    <w:rsid w:val="2A0B4CC0"/>
    <w:rsid w:val="2A111BBA"/>
    <w:rsid w:val="2A157B78"/>
    <w:rsid w:val="2A1E08C3"/>
    <w:rsid w:val="2A30050E"/>
    <w:rsid w:val="2A312766"/>
    <w:rsid w:val="2A324977"/>
    <w:rsid w:val="2A353D77"/>
    <w:rsid w:val="2A3C6EB3"/>
    <w:rsid w:val="2A55511C"/>
    <w:rsid w:val="2A706EC2"/>
    <w:rsid w:val="2A793F66"/>
    <w:rsid w:val="2A7F7F8D"/>
    <w:rsid w:val="2A832D34"/>
    <w:rsid w:val="2A870DDD"/>
    <w:rsid w:val="2A8940C2"/>
    <w:rsid w:val="2A895E70"/>
    <w:rsid w:val="2A8A5D4D"/>
    <w:rsid w:val="2A8D5961"/>
    <w:rsid w:val="2A8E3528"/>
    <w:rsid w:val="2A970429"/>
    <w:rsid w:val="2A9A62D0"/>
    <w:rsid w:val="2AAD6763"/>
    <w:rsid w:val="2AB270EB"/>
    <w:rsid w:val="2AC1560A"/>
    <w:rsid w:val="2AC26474"/>
    <w:rsid w:val="2AC7680C"/>
    <w:rsid w:val="2AD215C5"/>
    <w:rsid w:val="2AD74E2E"/>
    <w:rsid w:val="2AD96DF8"/>
    <w:rsid w:val="2AE0085A"/>
    <w:rsid w:val="2AE632C3"/>
    <w:rsid w:val="2AE80DE9"/>
    <w:rsid w:val="2AEC6B2B"/>
    <w:rsid w:val="2AFB7EA6"/>
    <w:rsid w:val="2AFC6024"/>
    <w:rsid w:val="2B0054E6"/>
    <w:rsid w:val="2B0A63C8"/>
    <w:rsid w:val="2B0E5388"/>
    <w:rsid w:val="2B1020EE"/>
    <w:rsid w:val="2B1609DC"/>
    <w:rsid w:val="2B1C6CE5"/>
    <w:rsid w:val="2B261911"/>
    <w:rsid w:val="2B270026"/>
    <w:rsid w:val="2B2D57ED"/>
    <w:rsid w:val="2B326335"/>
    <w:rsid w:val="2B481AA5"/>
    <w:rsid w:val="2B4E7BF2"/>
    <w:rsid w:val="2B4E7E60"/>
    <w:rsid w:val="2B560448"/>
    <w:rsid w:val="2B5A18D2"/>
    <w:rsid w:val="2B5F1567"/>
    <w:rsid w:val="2B817B90"/>
    <w:rsid w:val="2B846F51"/>
    <w:rsid w:val="2B8A00F2"/>
    <w:rsid w:val="2B963A81"/>
    <w:rsid w:val="2B990335"/>
    <w:rsid w:val="2B996587"/>
    <w:rsid w:val="2BA467EE"/>
    <w:rsid w:val="2BA979B1"/>
    <w:rsid w:val="2BB4516F"/>
    <w:rsid w:val="2BBE1EFA"/>
    <w:rsid w:val="2BC07359"/>
    <w:rsid w:val="2BCA04EF"/>
    <w:rsid w:val="2BCA7FF2"/>
    <w:rsid w:val="2BCE3285"/>
    <w:rsid w:val="2BD4136D"/>
    <w:rsid w:val="2BDB4153"/>
    <w:rsid w:val="2BDC3BDA"/>
    <w:rsid w:val="2BDD3B36"/>
    <w:rsid w:val="2BEA13CB"/>
    <w:rsid w:val="2BF37CCA"/>
    <w:rsid w:val="2BFD08C4"/>
    <w:rsid w:val="2C0D6716"/>
    <w:rsid w:val="2C1A76C8"/>
    <w:rsid w:val="2C25375B"/>
    <w:rsid w:val="2C293467"/>
    <w:rsid w:val="2C300C99"/>
    <w:rsid w:val="2C33078A"/>
    <w:rsid w:val="2C3971FB"/>
    <w:rsid w:val="2C3B13EC"/>
    <w:rsid w:val="2C3F6897"/>
    <w:rsid w:val="2C424529"/>
    <w:rsid w:val="2C4C4BBF"/>
    <w:rsid w:val="2C5030EA"/>
    <w:rsid w:val="2C575892"/>
    <w:rsid w:val="2C596286"/>
    <w:rsid w:val="2C5A5D16"/>
    <w:rsid w:val="2C622E1D"/>
    <w:rsid w:val="2C624BCB"/>
    <w:rsid w:val="2C673F8F"/>
    <w:rsid w:val="2C6B3A80"/>
    <w:rsid w:val="2C70553A"/>
    <w:rsid w:val="2C714E0E"/>
    <w:rsid w:val="2C7843EE"/>
    <w:rsid w:val="2C7F39CF"/>
    <w:rsid w:val="2C8122C9"/>
    <w:rsid w:val="2C8E59C0"/>
    <w:rsid w:val="2C8F6CA4"/>
    <w:rsid w:val="2C9254B0"/>
    <w:rsid w:val="2C932FD6"/>
    <w:rsid w:val="2C942B4D"/>
    <w:rsid w:val="2CA62D0A"/>
    <w:rsid w:val="2CA84CD4"/>
    <w:rsid w:val="2CA945A8"/>
    <w:rsid w:val="2CAA01B6"/>
    <w:rsid w:val="2CAB751D"/>
    <w:rsid w:val="2CAD22EA"/>
    <w:rsid w:val="2CBF0438"/>
    <w:rsid w:val="2CC23042"/>
    <w:rsid w:val="2CC3566A"/>
    <w:rsid w:val="2CC47634"/>
    <w:rsid w:val="2CCD4426"/>
    <w:rsid w:val="2CCF0B27"/>
    <w:rsid w:val="2CD90E53"/>
    <w:rsid w:val="2CEC326F"/>
    <w:rsid w:val="2CEF2903"/>
    <w:rsid w:val="2CF577ED"/>
    <w:rsid w:val="2CFA4941"/>
    <w:rsid w:val="2CFC0B7C"/>
    <w:rsid w:val="2D020280"/>
    <w:rsid w:val="2D041CD9"/>
    <w:rsid w:val="2D0A3299"/>
    <w:rsid w:val="2D0A773C"/>
    <w:rsid w:val="2D0B7011"/>
    <w:rsid w:val="2D2E4A2A"/>
    <w:rsid w:val="2D320A41"/>
    <w:rsid w:val="2D360531"/>
    <w:rsid w:val="2D4C4C78"/>
    <w:rsid w:val="2D5D0076"/>
    <w:rsid w:val="2D636E4D"/>
    <w:rsid w:val="2D6D05B4"/>
    <w:rsid w:val="2D737899"/>
    <w:rsid w:val="2D766B80"/>
    <w:rsid w:val="2D772CA7"/>
    <w:rsid w:val="2D7E2B7A"/>
    <w:rsid w:val="2D8017AD"/>
    <w:rsid w:val="2D8111E2"/>
    <w:rsid w:val="2D853A68"/>
    <w:rsid w:val="2D8D4CE8"/>
    <w:rsid w:val="2D937732"/>
    <w:rsid w:val="2D993BA8"/>
    <w:rsid w:val="2D9C5EBB"/>
    <w:rsid w:val="2DA6638E"/>
    <w:rsid w:val="2DA84860"/>
    <w:rsid w:val="2DAC25A2"/>
    <w:rsid w:val="2DB47DF5"/>
    <w:rsid w:val="2DB975F3"/>
    <w:rsid w:val="2DBA2F11"/>
    <w:rsid w:val="2DBF7F69"/>
    <w:rsid w:val="2DC12029"/>
    <w:rsid w:val="2DC33823"/>
    <w:rsid w:val="2DD35D80"/>
    <w:rsid w:val="2DDB059D"/>
    <w:rsid w:val="2DDC0B49"/>
    <w:rsid w:val="2DDD1438"/>
    <w:rsid w:val="2DDD6926"/>
    <w:rsid w:val="2DE30898"/>
    <w:rsid w:val="2DE53D06"/>
    <w:rsid w:val="2DF61A6F"/>
    <w:rsid w:val="2DF91B72"/>
    <w:rsid w:val="2DFD0156"/>
    <w:rsid w:val="2DFD467B"/>
    <w:rsid w:val="2E0423DE"/>
    <w:rsid w:val="2E073C7C"/>
    <w:rsid w:val="2E0B376C"/>
    <w:rsid w:val="2E1456B4"/>
    <w:rsid w:val="2E152297"/>
    <w:rsid w:val="2E254102"/>
    <w:rsid w:val="2E277E7A"/>
    <w:rsid w:val="2E2A34C6"/>
    <w:rsid w:val="2E304F81"/>
    <w:rsid w:val="2E312AA7"/>
    <w:rsid w:val="2E3600BD"/>
    <w:rsid w:val="2E41156C"/>
    <w:rsid w:val="2E4256CC"/>
    <w:rsid w:val="2E432AF7"/>
    <w:rsid w:val="2E4427DA"/>
    <w:rsid w:val="2E584813"/>
    <w:rsid w:val="2E60513A"/>
    <w:rsid w:val="2E6A2930"/>
    <w:rsid w:val="2E6B5FB9"/>
    <w:rsid w:val="2E6D7F83"/>
    <w:rsid w:val="2E701821"/>
    <w:rsid w:val="2E792813"/>
    <w:rsid w:val="2E7D242C"/>
    <w:rsid w:val="2E7E3D26"/>
    <w:rsid w:val="2E881F9A"/>
    <w:rsid w:val="2E977E98"/>
    <w:rsid w:val="2EA4289D"/>
    <w:rsid w:val="2EA949F3"/>
    <w:rsid w:val="2EAC037F"/>
    <w:rsid w:val="2EAE4601"/>
    <w:rsid w:val="2EB35574"/>
    <w:rsid w:val="2EB45BB2"/>
    <w:rsid w:val="2EBA0CEE"/>
    <w:rsid w:val="2EC63123"/>
    <w:rsid w:val="2ECA0C2A"/>
    <w:rsid w:val="2ED26F43"/>
    <w:rsid w:val="2ED33B5E"/>
    <w:rsid w:val="2ED40002"/>
    <w:rsid w:val="2EDA4EED"/>
    <w:rsid w:val="2EDC0C65"/>
    <w:rsid w:val="2EE676FA"/>
    <w:rsid w:val="2EEE0998"/>
    <w:rsid w:val="2EEE2746"/>
    <w:rsid w:val="2EF73CF0"/>
    <w:rsid w:val="2EF76AA7"/>
    <w:rsid w:val="2EFC7961"/>
    <w:rsid w:val="2F05640D"/>
    <w:rsid w:val="2F0C708B"/>
    <w:rsid w:val="2F0D52C2"/>
    <w:rsid w:val="2F0F5213"/>
    <w:rsid w:val="2F10090E"/>
    <w:rsid w:val="2F137059"/>
    <w:rsid w:val="2F177EEF"/>
    <w:rsid w:val="2F1B5CAE"/>
    <w:rsid w:val="2F1C72B3"/>
    <w:rsid w:val="2F1E74CF"/>
    <w:rsid w:val="2F2E2A75"/>
    <w:rsid w:val="2F2E62F8"/>
    <w:rsid w:val="2F316B28"/>
    <w:rsid w:val="2F37632C"/>
    <w:rsid w:val="2F4F0A2B"/>
    <w:rsid w:val="2F527179"/>
    <w:rsid w:val="2F542EF1"/>
    <w:rsid w:val="2F574E38"/>
    <w:rsid w:val="2F594FEC"/>
    <w:rsid w:val="2F5E7ADC"/>
    <w:rsid w:val="2F5F53F2"/>
    <w:rsid w:val="2F6A1E01"/>
    <w:rsid w:val="2F6A6270"/>
    <w:rsid w:val="2F7470EF"/>
    <w:rsid w:val="2F827A5E"/>
    <w:rsid w:val="2F8D1F5F"/>
    <w:rsid w:val="2F920DA6"/>
    <w:rsid w:val="2F943D6E"/>
    <w:rsid w:val="2FA31782"/>
    <w:rsid w:val="2FAA0D63"/>
    <w:rsid w:val="2FBB4D1E"/>
    <w:rsid w:val="2FBE2BF3"/>
    <w:rsid w:val="2FBE7EA6"/>
    <w:rsid w:val="2FC427B8"/>
    <w:rsid w:val="2FD162F0"/>
    <w:rsid w:val="2FD302BA"/>
    <w:rsid w:val="2FD739EA"/>
    <w:rsid w:val="2FDA232E"/>
    <w:rsid w:val="2FDC66B8"/>
    <w:rsid w:val="2FDF0EED"/>
    <w:rsid w:val="2FE000AC"/>
    <w:rsid w:val="2FE36023"/>
    <w:rsid w:val="2FE65232"/>
    <w:rsid w:val="2FF034A9"/>
    <w:rsid w:val="2FF43948"/>
    <w:rsid w:val="2FF64BA3"/>
    <w:rsid w:val="2FF7387C"/>
    <w:rsid w:val="2FFE2E5D"/>
    <w:rsid w:val="2FFE4C0B"/>
    <w:rsid w:val="300679ED"/>
    <w:rsid w:val="30077F73"/>
    <w:rsid w:val="300B799C"/>
    <w:rsid w:val="300C7328"/>
    <w:rsid w:val="300D7490"/>
    <w:rsid w:val="301013A3"/>
    <w:rsid w:val="30146116"/>
    <w:rsid w:val="301F5F31"/>
    <w:rsid w:val="302E3AD6"/>
    <w:rsid w:val="3034687E"/>
    <w:rsid w:val="30370C01"/>
    <w:rsid w:val="303960D5"/>
    <w:rsid w:val="303B7C0D"/>
    <w:rsid w:val="30474804"/>
    <w:rsid w:val="305157E6"/>
    <w:rsid w:val="30517430"/>
    <w:rsid w:val="306271C4"/>
    <w:rsid w:val="30680923"/>
    <w:rsid w:val="306A22A0"/>
    <w:rsid w:val="30711881"/>
    <w:rsid w:val="3076160D"/>
    <w:rsid w:val="309C0AAD"/>
    <w:rsid w:val="309F66FB"/>
    <w:rsid w:val="30AD6A75"/>
    <w:rsid w:val="30AD7887"/>
    <w:rsid w:val="30AF0A80"/>
    <w:rsid w:val="30B204D3"/>
    <w:rsid w:val="30B26121"/>
    <w:rsid w:val="30B86170"/>
    <w:rsid w:val="30BD6874"/>
    <w:rsid w:val="30BE5F9C"/>
    <w:rsid w:val="30C56DA8"/>
    <w:rsid w:val="30D047F9"/>
    <w:rsid w:val="30D20571"/>
    <w:rsid w:val="30D50061"/>
    <w:rsid w:val="30D51605"/>
    <w:rsid w:val="30DA11D4"/>
    <w:rsid w:val="30DF2C8E"/>
    <w:rsid w:val="30E12562"/>
    <w:rsid w:val="30E57B53"/>
    <w:rsid w:val="30E7065F"/>
    <w:rsid w:val="30EB1633"/>
    <w:rsid w:val="30EE4C7F"/>
    <w:rsid w:val="30F6750D"/>
    <w:rsid w:val="30F87A62"/>
    <w:rsid w:val="30F87D91"/>
    <w:rsid w:val="30FB717B"/>
    <w:rsid w:val="30FD4EC2"/>
    <w:rsid w:val="310C5ADB"/>
    <w:rsid w:val="310D46ED"/>
    <w:rsid w:val="310E70CF"/>
    <w:rsid w:val="31102E48"/>
    <w:rsid w:val="311C17EC"/>
    <w:rsid w:val="311F1911"/>
    <w:rsid w:val="31230DCD"/>
    <w:rsid w:val="31280191"/>
    <w:rsid w:val="312D1C4B"/>
    <w:rsid w:val="3132699A"/>
    <w:rsid w:val="3137028C"/>
    <w:rsid w:val="313A7EC4"/>
    <w:rsid w:val="313F372D"/>
    <w:rsid w:val="3140628D"/>
    <w:rsid w:val="31453005"/>
    <w:rsid w:val="314671C3"/>
    <w:rsid w:val="31496359"/>
    <w:rsid w:val="314C327A"/>
    <w:rsid w:val="314D409C"/>
    <w:rsid w:val="314F553D"/>
    <w:rsid w:val="31542820"/>
    <w:rsid w:val="315C7E3B"/>
    <w:rsid w:val="3161111E"/>
    <w:rsid w:val="31694DC5"/>
    <w:rsid w:val="316A69FC"/>
    <w:rsid w:val="31704D75"/>
    <w:rsid w:val="31705EE7"/>
    <w:rsid w:val="317258B0"/>
    <w:rsid w:val="31771119"/>
    <w:rsid w:val="31794E91"/>
    <w:rsid w:val="317C228B"/>
    <w:rsid w:val="31870DE8"/>
    <w:rsid w:val="31882FB3"/>
    <w:rsid w:val="31886E82"/>
    <w:rsid w:val="319E4903"/>
    <w:rsid w:val="31A737AC"/>
    <w:rsid w:val="31B0734F"/>
    <w:rsid w:val="31BE1A91"/>
    <w:rsid w:val="31C2234D"/>
    <w:rsid w:val="31CB46BC"/>
    <w:rsid w:val="31CD6F8B"/>
    <w:rsid w:val="31D6746F"/>
    <w:rsid w:val="31DB5204"/>
    <w:rsid w:val="31E71DFA"/>
    <w:rsid w:val="31EA18EB"/>
    <w:rsid w:val="31EE28F9"/>
    <w:rsid w:val="31F11D76"/>
    <w:rsid w:val="31FE5396"/>
    <w:rsid w:val="32020ADF"/>
    <w:rsid w:val="32081D71"/>
    <w:rsid w:val="321B7CF6"/>
    <w:rsid w:val="32250B75"/>
    <w:rsid w:val="32257AED"/>
    <w:rsid w:val="322841C1"/>
    <w:rsid w:val="323872D7"/>
    <w:rsid w:val="323D1A1A"/>
    <w:rsid w:val="323D5EBE"/>
    <w:rsid w:val="324234D5"/>
    <w:rsid w:val="324648EA"/>
    <w:rsid w:val="3248776A"/>
    <w:rsid w:val="324A25AB"/>
    <w:rsid w:val="32694A7A"/>
    <w:rsid w:val="326C31F7"/>
    <w:rsid w:val="326F26B3"/>
    <w:rsid w:val="32784055"/>
    <w:rsid w:val="32807B59"/>
    <w:rsid w:val="32812E8B"/>
    <w:rsid w:val="32892923"/>
    <w:rsid w:val="328A51AB"/>
    <w:rsid w:val="328C0BF4"/>
    <w:rsid w:val="32963820"/>
    <w:rsid w:val="32970453"/>
    <w:rsid w:val="32981347"/>
    <w:rsid w:val="329D070B"/>
    <w:rsid w:val="329F4D04"/>
    <w:rsid w:val="32A21473"/>
    <w:rsid w:val="32A26E1B"/>
    <w:rsid w:val="32A370F4"/>
    <w:rsid w:val="32AE2918"/>
    <w:rsid w:val="32AE46C6"/>
    <w:rsid w:val="32B35B90"/>
    <w:rsid w:val="32B36180"/>
    <w:rsid w:val="32B504B0"/>
    <w:rsid w:val="32BA306B"/>
    <w:rsid w:val="32BB6DE3"/>
    <w:rsid w:val="32BF731D"/>
    <w:rsid w:val="32C0264B"/>
    <w:rsid w:val="32DC0EB2"/>
    <w:rsid w:val="32E26A66"/>
    <w:rsid w:val="32F03F67"/>
    <w:rsid w:val="32F50547"/>
    <w:rsid w:val="32FA20F5"/>
    <w:rsid w:val="32FA4C65"/>
    <w:rsid w:val="33004250"/>
    <w:rsid w:val="330C7E52"/>
    <w:rsid w:val="330E33B7"/>
    <w:rsid w:val="331A1D5C"/>
    <w:rsid w:val="33260700"/>
    <w:rsid w:val="332E3A59"/>
    <w:rsid w:val="333E45CD"/>
    <w:rsid w:val="33541711"/>
    <w:rsid w:val="335E60EC"/>
    <w:rsid w:val="336805E9"/>
    <w:rsid w:val="33694A91"/>
    <w:rsid w:val="336C1B19"/>
    <w:rsid w:val="336D45D4"/>
    <w:rsid w:val="33716D16"/>
    <w:rsid w:val="33746D12"/>
    <w:rsid w:val="337C341A"/>
    <w:rsid w:val="337E2A5B"/>
    <w:rsid w:val="33A8308D"/>
    <w:rsid w:val="33AA4257"/>
    <w:rsid w:val="33AC4071"/>
    <w:rsid w:val="33B201E6"/>
    <w:rsid w:val="33C45337"/>
    <w:rsid w:val="33CA19D4"/>
    <w:rsid w:val="33CB771C"/>
    <w:rsid w:val="33CC0681"/>
    <w:rsid w:val="33CD4726"/>
    <w:rsid w:val="33CE6D1D"/>
    <w:rsid w:val="33DE0FDB"/>
    <w:rsid w:val="33DE1E02"/>
    <w:rsid w:val="33EA5B17"/>
    <w:rsid w:val="33ED2485"/>
    <w:rsid w:val="33EE6884"/>
    <w:rsid w:val="34060532"/>
    <w:rsid w:val="340F388A"/>
    <w:rsid w:val="34160775"/>
    <w:rsid w:val="341E7793"/>
    <w:rsid w:val="342E725F"/>
    <w:rsid w:val="3439166F"/>
    <w:rsid w:val="34401C96"/>
    <w:rsid w:val="345319C9"/>
    <w:rsid w:val="3453367F"/>
    <w:rsid w:val="3456513A"/>
    <w:rsid w:val="34592D57"/>
    <w:rsid w:val="345B0B33"/>
    <w:rsid w:val="345F27FD"/>
    <w:rsid w:val="346534AA"/>
    <w:rsid w:val="347062A6"/>
    <w:rsid w:val="34804546"/>
    <w:rsid w:val="34806536"/>
    <w:rsid w:val="34831B82"/>
    <w:rsid w:val="34841F30"/>
    <w:rsid w:val="34945433"/>
    <w:rsid w:val="349647EC"/>
    <w:rsid w:val="349D01BB"/>
    <w:rsid w:val="34A71D15"/>
    <w:rsid w:val="34AB66CA"/>
    <w:rsid w:val="34AF2977"/>
    <w:rsid w:val="34B34216"/>
    <w:rsid w:val="34B40E55"/>
    <w:rsid w:val="34B51A43"/>
    <w:rsid w:val="34B8182C"/>
    <w:rsid w:val="34BA1016"/>
    <w:rsid w:val="34BB756E"/>
    <w:rsid w:val="34C1119D"/>
    <w:rsid w:val="34D27D38"/>
    <w:rsid w:val="34D643A8"/>
    <w:rsid w:val="34D85CE0"/>
    <w:rsid w:val="34DD5737"/>
    <w:rsid w:val="34DF3492"/>
    <w:rsid w:val="34E0709E"/>
    <w:rsid w:val="34E41E3F"/>
    <w:rsid w:val="35025662"/>
    <w:rsid w:val="350A44D8"/>
    <w:rsid w:val="350D7169"/>
    <w:rsid w:val="3511718E"/>
    <w:rsid w:val="35203FB3"/>
    <w:rsid w:val="353F4346"/>
    <w:rsid w:val="35417A73"/>
    <w:rsid w:val="35447564"/>
    <w:rsid w:val="3546508A"/>
    <w:rsid w:val="35470E02"/>
    <w:rsid w:val="354D71E1"/>
    <w:rsid w:val="35563ECB"/>
    <w:rsid w:val="35570CDF"/>
    <w:rsid w:val="355C1D39"/>
    <w:rsid w:val="355D7738"/>
    <w:rsid w:val="355F3FE6"/>
    <w:rsid w:val="355F7EFA"/>
    <w:rsid w:val="357065AB"/>
    <w:rsid w:val="35725544"/>
    <w:rsid w:val="35727C2D"/>
    <w:rsid w:val="357B2DB7"/>
    <w:rsid w:val="35813474"/>
    <w:rsid w:val="358362DE"/>
    <w:rsid w:val="35A13F7A"/>
    <w:rsid w:val="35A46254"/>
    <w:rsid w:val="35A555BA"/>
    <w:rsid w:val="35A7502C"/>
    <w:rsid w:val="35A87AF3"/>
    <w:rsid w:val="35A90EA2"/>
    <w:rsid w:val="35AF2ECF"/>
    <w:rsid w:val="35B30245"/>
    <w:rsid w:val="35B80622"/>
    <w:rsid w:val="35C91817"/>
    <w:rsid w:val="35D5640E"/>
    <w:rsid w:val="35D869B3"/>
    <w:rsid w:val="35E14DB3"/>
    <w:rsid w:val="35EA3AFA"/>
    <w:rsid w:val="35ED3757"/>
    <w:rsid w:val="35F9034E"/>
    <w:rsid w:val="35FB40C6"/>
    <w:rsid w:val="360A60B7"/>
    <w:rsid w:val="360B1E2F"/>
    <w:rsid w:val="36115B96"/>
    <w:rsid w:val="36140CE4"/>
    <w:rsid w:val="36276773"/>
    <w:rsid w:val="36332FF4"/>
    <w:rsid w:val="36372C24"/>
    <w:rsid w:val="363F34AE"/>
    <w:rsid w:val="36561F47"/>
    <w:rsid w:val="365732C7"/>
    <w:rsid w:val="365F40C1"/>
    <w:rsid w:val="36617CA1"/>
    <w:rsid w:val="366A2FFA"/>
    <w:rsid w:val="366F6862"/>
    <w:rsid w:val="3679148F"/>
    <w:rsid w:val="367B0D63"/>
    <w:rsid w:val="36803842"/>
    <w:rsid w:val="368A369C"/>
    <w:rsid w:val="368D7098"/>
    <w:rsid w:val="3694505D"/>
    <w:rsid w:val="369D1FA8"/>
    <w:rsid w:val="36B45BDA"/>
    <w:rsid w:val="36BD1EDC"/>
    <w:rsid w:val="36CC5A63"/>
    <w:rsid w:val="36CE3EDB"/>
    <w:rsid w:val="36CF10AF"/>
    <w:rsid w:val="36D16B63"/>
    <w:rsid w:val="36DB29F4"/>
    <w:rsid w:val="36EA7C97"/>
    <w:rsid w:val="36F6488E"/>
    <w:rsid w:val="36FB6756"/>
    <w:rsid w:val="36FF7BE6"/>
    <w:rsid w:val="37023232"/>
    <w:rsid w:val="370323E6"/>
    <w:rsid w:val="370A20E7"/>
    <w:rsid w:val="37113475"/>
    <w:rsid w:val="37136916"/>
    <w:rsid w:val="37144D14"/>
    <w:rsid w:val="37146B1C"/>
    <w:rsid w:val="371511B8"/>
    <w:rsid w:val="37164F30"/>
    <w:rsid w:val="371A07CC"/>
    <w:rsid w:val="372F3B75"/>
    <w:rsid w:val="372F3FBF"/>
    <w:rsid w:val="373158C6"/>
    <w:rsid w:val="37357B01"/>
    <w:rsid w:val="373B3CF0"/>
    <w:rsid w:val="374970B3"/>
    <w:rsid w:val="374C01E8"/>
    <w:rsid w:val="374C6AA7"/>
    <w:rsid w:val="37555A58"/>
    <w:rsid w:val="3756532C"/>
    <w:rsid w:val="375872F6"/>
    <w:rsid w:val="375B33E3"/>
    <w:rsid w:val="376C7D04"/>
    <w:rsid w:val="37702892"/>
    <w:rsid w:val="37826086"/>
    <w:rsid w:val="37875D5D"/>
    <w:rsid w:val="378C2FAE"/>
    <w:rsid w:val="37971D8A"/>
    <w:rsid w:val="379B616B"/>
    <w:rsid w:val="37A23AC4"/>
    <w:rsid w:val="37A5562E"/>
    <w:rsid w:val="37A874BA"/>
    <w:rsid w:val="37BF7BCD"/>
    <w:rsid w:val="37C52BDE"/>
    <w:rsid w:val="37C83113"/>
    <w:rsid w:val="37CE5F1B"/>
    <w:rsid w:val="37D50947"/>
    <w:rsid w:val="37DA7D0B"/>
    <w:rsid w:val="37DF7F60"/>
    <w:rsid w:val="37E24D33"/>
    <w:rsid w:val="37E80115"/>
    <w:rsid w:val="37F45271"/>
    <w:rsid w:val="380A136E"/>
    <w:rsid w:val="38105306"/>
    <w:rsid w:val="38134440"/>
    <w:rsid w:val="38150C71"/>
    <w:rsid w:val="38251A22"/>
    <w:rsid w:val="38290FB7"/>
    <w:rsid w:val="382A0C93"/>
    <w:rsid w:val="38312021"/>
    <w:rsid w:val="38325D99"/>
    <w:rsid w:val="38425CB9"/>
    <w:rsid w:val="384855BD"/>
    <w:rsid w:val="384D672F"/>
    <w:rsid w:val="384F0B15"/>
    <w:rsid w:val="38550681"/>
    <w:rsid w:val="385B709E"/>
    <w:rsid w:val="385C4BC4"/>
    <w:rsid w:val="3862667F"/>
    <w:rsid w:val="38672614"/>
    <w:rsid w:val="387C535A"/>
    <w:rsid w:val="38802E42"/>
    <w:rsid w:val="3882287D"/>
    <w:rsid w:val="389712B7"/>
    <w:rsid w:val="38992830"/>
    <w:rsid w:val="389A1387"/>
    <w:rsid w:val="389C79F4"/>
    <w:rsid w:val="38A16DA5"/>
    <w:rsid w:val="38A242A5"/>
    <w:rsid w:val="38A722E3"/>
    <w:rsid w:val="38A92725"/>
    <w:rsid w:val="38AA63EC"/>
    <w:rsid w:val="38AC6A91"/>
    <w:rsid w:val="38B63026"/>
    <w:rsid w:val="38B844F1"/>
    <w:rsid w:val="38BB7B3D"/>
    <w:rsid w:val="38BD7916"/>
    <w:rsid w:val="38C34C43"/>
    <w:rsid w:val="38CD7870"/>
    <w:rsid w:val="38E01351"/>
    <w:rsid w:val="38E374B0"/>
    <w:rsid w:val="38F953D3"/>
    <w:rsid w:val="38FF0E07"/>
    <w:rsid w:val="39030A9D"/>
    <w:rsid w:val="39074B30"/>
    <w:rsid w:val="390C02F5"/>
    <w:rsid w:val="390C77DA"/>
    <w:rsid w:val="39151729"/>
    <w:rsid w:val="391C3EF9"/>
    <w:rsid w:val="391E402F"/>
    <w:rsid w:val="39204626"/>
    <w:rsid w:val="392A1AB8"/>
    <w:rsid w:val="392C27E9"/>
    <w:rsid w:val="393114E9"/>
    <w:rsid w:val="393618B9"/>
    <w:rsid w:val="39446C6F"/>
    <w:rsid w:val="39495149"/>
    <w:rsid w:val="39522F81"/>
    <w:rsid w:val="39544811"/>
    <w:rsid w:val="39691814"/>
    <w:rsid w:val="39787664"/>
    <w:rsid w:val="39810D86"/>
    <w:rsid w:val="398A6011"/>
    <w:rsid w:val="39930626"/>
    <w:rsid w:val="399612FD"/>
    <w:rsid w:val="399A59A4"/>
    <w:rsid w:val="39A700C1"/>
    <w:rsid w:val="39B6036C"/>
    <w:rsid w:val="39BF3306"/>
    <w:rsid w:val="39C40C73"/>
    <w:rsid w:val="39C72511"/>
    <w:rsid w:val="39D07618"/>
    <w:rsid w:val="39D13674"/>
    <w:rsid w:val="39D30EB6"/>
    <w:rsid w:val="39DA61C2"/>
    <w:rsid w:val="39E04A43"/>
    <w:rsid w:val="39F20E60"/>
    <w:rsid w:val="39F47AD0"/>
    <w:rsid w:val="39F94CF9"/>
    <w:rsid w:val="39FB2523"/>
    <w:rsid w:val="3A036288"/>
    <w:rsid w:val="3A0A7DB2"/>
    <w:rsid w:val="3A0B0650"/>
    <w:rsid w:val="3A0B4C95"/>
    <w:rsid w:val="3A0D2C66"/>
    <w:rsid w:val="3A0F6392"/>
    <w:rsid w:val="3A13103F"/>
    <w:rsid w:val="3A184B1B"/>
    <w:rsid w:val="3A191CDC"/>
    <w:rsid w:val="3A2E430D"/>
    <w:rsid w:val="3A2F57D1"/>
    <w:rsid w:val="3A3B3741"/>
    <w:rsid w:val="3A3D3D52"/>
    <w:rsid w:val="3A5511B8"/>
    <w:rsid w:val="3A5778BA"/>
    <w:rsid w:val="3A5D10CE"/>
    <w:rsid w:val="3A5D4B61"/>
    <w:rsid w:val="3A620DD9"/>
    <w:rsid w:val="3A695377"/>
    <w:rsid w:val="3A742699"/>
    <w:rsid w:val="3A7B3A28"/>
    <w:rsid w:val="3A7E52C6"/>
    <w:rsid w:val="3A847A34"/>
    <w:rsid w:val="3A881CA1"/>
    <w:rsid w:val="3A886B6C"/>
    <w:rsid w:val="3A8927C0"/>
    <w:rsid w:val="3A8A5A19"/>
    <w:rsid w:val="3A944AE9"/>
    <w:rsid w:val="3A96323D"/>
    <w:rsid w:val="3A970136"/>
    <w:rsid w:val="3A9B337E"/>
    <w:rsid w:val="3AA52A77"/>
    <w:rsid w:val="3AA76568"/>
    <w:rsid w:val="3AAE2954"/>
    <w:rsid w:val="3AB42A96"/>
    <w:rsid w:val="3AB45DF6"/>
    <w:rsid w:val="3AB900AC"/>
    <w:rsid w:val="3AC14564"/>
    <w:rsid w:val="3AC56A51"/>
    <w:rsid w:val="3AC7092A"/>
    <w:rsid w:val="3AD711EE"/>
    <w:rsid w:val="3ADD232D"/>
    <w:rsid w:val="3AEC66D3"/>
    <w:rsid w:val="3AF410E4"/>
    <w:rsid w:val="3B07613A"/>
    <w:rsid w:val="3B0F23C2"/>
    <w:rsid w:val="3B105462"/>
    <w:rsid w:val="3B127EBF"/>
    <w:rsid w:val="3B141DAF"/>
    <w:rsid w:val="3B273268"/>
    <w:rsid w:val="3B2E0A9A"/>
    <w:rsid w:val="3B2F07EE"/>
    <w:rsid w:val="3B36794F"/>
    <w:rsid w:val="3B42110A"/>
    <w:rsid w:val="3B424545"/>
    <w:rsid w:val="3B492FEA"/>
    <w:rsid w:val="3B4C172F"/>
    <w:rsid w:val="3B5129DA"/>
    <w:rsid w:val="3B5E2A01"/>
    <w:rsid w:val="3B626996"/>
    <w:rsid w:val="3B6F3DC6"/>
    <w:rsid w:val="3B7E5BA1"/>
    <w:rsid w:val="3B815AFC"/>
    <w:rsid w:val="3B9559D5"/>
    <w:rsid w:val="3B9A52D8"/>
    <w:rsid w:val="3BA85B69"/>
    <w:rsid w:val="3BB97E87"/>
    <w:rsid w:val="3BBB11DD"/>
    <w:rsid w:val="3BBF3CCF"/>
    <w:rsid w:val="3BD059E1"/>
    <w:rsid w:val="3BD5653A"/>
    <w:rsid w:val="3BD82585"/>
    <w:rsid w:val="3BE850ED"/>
    <w:rsid w:val="3BEC3710"/>
    <w:rsid w:val="3BEE0229"/>
    <w:rsid w:val="3BFA6BCE"/>
    <w:rsid w:val="3BFE1AFC"/>
    <w:rsid w:val="3C017F5D"/>
    <w:rsid w:val="3C023E91"/>
    <w:rsid w:val="3C1C4D96"/>
    <w:rsid w:val="3C1E75BC"/>
    <w:rsid w:val="3C2619AB"/>
    <w:rsid w:val="3C2C0022"/>
    <w:rsid w:val="3C3F5EAE"/>
    <w:rsid w:val="3C4816E7"/>
    <w:rsid w:val="3C4C7888"/>
    <w:rsid w:val="3C4F5758"/>
    <w:rsid w:val="3C6736B1"/>
    <w:rsid w:val="3C6A5B02"/>
    <w:rsid w:val="3C6F136A"/>
    <w:rsid w:val="3C702A81"/>
    <w:rsid w:val="3C722C08"/>
    <w:rsid w:val="3C7F70D3"/>
    <w:rsid w:val="3C8249BF"/>
    <w:rsid w:val="3C8C1F1C"/>
    <w:rsid w:val="3C9368AF"/>
    <w:rsid w:val="3C990195"/>
    <w:rsid w:val="3CA01523"/>
    <w:rsid w:val="3CA64660"/>
    <w:rsid w:val="3CA834BD"/>
    <w:rsid w:val="3CAD3C40"/>
    <w:rsid w:val="3CAF1767"/>
    <w:rsid w:val="3CB558BC"/>
    <w:rsid w:val="3CC03C61"/>
    <w:rsid w:val="3CC372BE"/>
    <w:rsid w:val="3CC571DC"/>
    <w:rsid w:val="3CCB0908"/>
    <w:rsid w:val="3CD72A6B"/>
    <w:rsid w:val="3CDA302A"/>
    <w:rsid w:val="3CE21B3C"/>
    <w:rsid w:val="3CE24454"/>
    <w:rsid w:val="3CE60981"/>
    <w:rsid w:val="3CEC449F"/>
    <w:rsid w:val="3CED3EBB"/>
    <w:rsid w:val="3D1617E6"/>
    <w:rsid w:val="3D255ECD"/>
    <w:rsid w:val="3D282773"/>
    <w:rsid w:val="3D2F28A7"/>
    <w:rsid w:val="3D330220"/>
    <w:rsid w:val="3D483969"/>
    <w:rsid w:val="3D5567B2"/>
    <w:rsid w:val="3D566086"/>
    <w:rsid w:val="3D5E16BB"/>
    <w:rsid w:val="3D5E3557"/>
    <w:rsid w:val="3D5F1F98"/>
    <w:rsid w:val="3D6A38DF"/>
    <w:rsid w:val="3D707D6C"/>
    <w:rsid w:val="3D7604D6"/>
    <w:rsid w:val="3D7968E9"/>
    <w:rsid w:val="3D7B5AED"/>
    <w:rsid w:val="3D850719"/>
    <w:rsid w:val="3D8A5D30"/>
    <w:rsid w:val="3D8B21D4"/>
    <w:rsid w:val="3D8B7EFC"/>
    <w:rsid w:val="3D9758FC"/>
    <w:rsid w:val="3D9A41C5"/>
    <w:rsid w:val="3DAE7C70"/>
    <w:rsid w:val="3DB72FC9"/>
    <w:rsid w:val="3DB82BBE"/>
    <w:rsid w:val="3DBE6D4D"/>
    <w:rsid w:val="3DC92CFC"/>
    <w:rsid w:val="3DCC606F"/>
    <w:rsid w:val="3DDC47DD"/>
    <w:rsid w:val="3DDD67A7"/>
    <w:rsid w:val="3DF06995"/>
    <w:rsid w:val="3DF73958"/>
    <w:rsid w:val="3E012496"/>
    <w:rsid w:val="3E06185A"/>
    <w:rsid w:val="3E097DBF"/>
    <w:rsid w:val="3E0C0F2F"/>
    <w:rsid w:val="3E1C72D0"/>
    <w:rsid w:val="3E261EFC"/>
    <w:rsid w:val="3E2717D1"/>
    <w:rsid w:val="3E290EC4"/>
    <w:rsid w:val="3E353EED"/>
    <w:rsid w:val="3E391C30"/>
    <w:rsid w:val="3E3A1504"/>
    <w:rsid w:val="3E3A575D"/>
    <w:rsid w:val="3E4553B5"/>
    <w:rsid w:val="3E4868A5"/>
    <w:rsid w:val="3E5C591E"/>
    <w:rsid w:val="3E5C73DF"/>
    <w:rsid w:val="3E5D51F2"/>
    <w:rsid w:val="3E63272D"/>
    <w:rsid w:val="3E6612AB"/>
    <w:rsid w:val="3E6D5755"/>
    <w:rsid w:val="3E6E552A"/>
    <w:rsid w:val="3E742BA6"/>
    <w:rsid w:val="3E75078E"/>
    <w:rsid w:val="3E7762B4"/>
    <w:rsid w:val="3E884133"/>
    <w:rsid w:val="3E990920"/>
    <w:rsid w:val="3E9A1FA2"/>
    <w:rsid w:val="3E9F580B"/>
    <w:rsid w:val="3EA31089"/>
    <w:rsid w:val="3EA352FB"/>
    <w:rsid w:val="3EA76F43"/>
    <w:rsid w:val="3EAB41B0"/>
    <w:rsid w:val="3EAB497F"/>
    <w:rsid w:val="3EAD3546"/>
    <w:rsid w:val="3EAE2A9E"/>
    <w:rsid w:val="3EC11C25"/>
    <w:rsid w:val="3EC15781"/>
    <w:rsid w:val="3EC314F9"/>
    <w:rsid w:val="3EE576C2"/>
    <w:rsid w:val="3EF65A43"/>
    <w:rsid w:val="3EF94F1B"/>
    <w:rsid w:val="3F055FB6"/>
    <w:rsid w:val="3F065D38"/>
    <w:rsid w:val="3F134F7F"/>
    <w:rsid w:val="3F171845"/>
    <w:rsid w:val="3F1D716E"/>
    <w:rsid w:val="3F21764F"/>
    <w:rsid w:val="3F224D04"/>
    <w:rsid w:val="3F285800"/>
    <w:rsid w:val="3F3003B9"/>
    <w:rsid w:val="3F373C95"/>
    <w:rsid w:val="3F406453"/>
    <w:rsid w:val="3F440AD0"/>
    <w:rsid w:val="3F4A39D4"/>
    <w:rsid w:val="3F4E170B"/>
    <w:rsid w:val="3F4E4629"/>
    <w:rsid w:val="3F597D16"/>
    <w:rsid w:val="3F5E09FF"/>
    <w:rsid w:val="3F654603"/>
    <w:rsid w:val="3F6820A1"/>
    <w:rsid w:val="3F6F1681"/>
    <w:rsid w:val="3F743FC9"/>
    <w:rsid w:val="3F7722E4"/>
    <w:rsid w:val="3F8067C3"/>
    <w:rsid w:val="3F83115D"/>
    <w:rsid w:val="3F84512C"/>
    <w:rsid w:val="3FB31225"/>
    <w:rsid w:val="3FB83870"/>
    <w:rsid w:val="3FCA5704"/>
    <w:rsid w:val="3FCD6A1C"/>
    <w:rsid w:val="3FD65114"/>
    <w:rsid w:val="3FD9040F"/>
    <w:rsid w:val="3FE37B0A"/>
    <w:rsid w:val="3FE756BB"/>
    <w:rsid w:val="3FED239F"/>
    <w:rsid w:val="3FF31925"/>
    <w:rsid w:val="3FFB7781"/>
    <w:rsid w:val="3FFF2A05"/>
    <w:rsid w:val="3FFF47B3"/>
    <w:rsid w:val="40130CAF"/>
    <w:rsid w:val="40183AC7"/>
    <w:rsid w:val="4021297B"/>
    <w:rsid w:val="40275695"/>
    <w:rsid w:val="402F009C"/>
    <w:rsid w:val="40385F17"/>
    <w:rsid w:val="403F7AF7"/>
    <w:rsid w:val="40413D1F"/>
    <w:rsid w:val="40460634"/>
    <w:rsid w:val="40574EBB"/>
    <w:rsid w:val="405D597D"/>
    <w:rsid w:val="40707630"/>
    <w:rsid w:val="407409B4"/>
    <w:rsid w:val="408847A8"/>
    <w:rsid w:val="40955117"/>
    <w:rsid w:val="409A44DC"/>
    <w:rsid w:val="409C0254"/>
    <w:rsid w:val="409E221E"/>
    <w:rsid w:val="40A216C1"/>
    <w:rsid w:val="40A47108"/>
    <w:rsid w:val="40B5045B"/>
    <w:rsid w:val="40B557B9"/>
    <w:rsid w:val="40C6355B"/>
    <w:rsid w:val="40C94DC1"/>
    <w:rsid w:val="40DD6179"/>
    <w:rsid w:val="40E1035D"/>
    <w:rsid w:val="40E55B37"/>
    <w:rsid w:val="40E816EB"/>
    <w:rsid w:val="40F41976"/>
    <w:rsid w:val="40FC5C65"/>
    <w:rsid w:val="411424E0"/>
    <w:rsid w:val="41182D1A"/>
    <w:rsid w:val="41320BB8"/>
    <w:rsid w:val="41433388"/>
    <w:rsid w:val="414B0714"/>
    <w:rsid w:val="414D59F2"/>
    <w:rsid w:val="41514735"/>
    <w:rsid w:val="41562AF9"/>
    <w:rsid w:val="41576FE1"/>
    <w:rsid w:val="41654AEA"/>
    <w:rsid w:val="416741BF"/>
    <w:rsid w:val="417534E0"/>
    <w:rsid w:val="41792343"/>
    <w:rsid w:val="417976C4"/>
    <w:rsid w:val="419929E5"/>
    <w:rsid w:val="419C4335"/>
    <w:rsid w:val="41A25D3E"/>
    <w:rsid w:val="41AD023F"/>
    <w:rsid w:val="41AE6491"/>
    <w:rsid w:val="41C07788"/>
    <w:rsid w:val="41CA7043"/>
    <w:rsid w:val="41CC1E75"/>
    <w:rsid w:val="41CD293B"/>
    <w:rsid w:val="41D67795"/>
    <w:rsid w:val="41DA7286"/>
    <w:rsid w:val="41DE664A"/>
    <w:rsid w:val="41E10A3C"/>
    <w:rsid w:val="41E53CF8"/>
    <w:rsid w:val="41E97960"/>
    <w:rsid w:val="41EE4ADF"/>
    <w:rsid w:val="41F00DC1"/>
    <w:rsid w:val="41F07BA7"/>
    <w:rsid w:val="4202058A"/>
    <w:rsid w:val="420A4A06"/>
    <w:rsid w:val="4233451A"/>
    <w:rsid w:val="423B3A9C"/>
    <w:rsid w:val="4246491B"/>
    <w:rsid w:val="424741EF"/>
    <w:rsid w:val="42497F67"/>
    <w:rsid w:val="425520EB"/>
    <w:rsid w:val="425B7C9B"/>
    <w:rsid w:val="425E2DCE"/>
    <w:rsid w:val="42617A9D"/>
    <w:rsid w:val="42641246"/>
    <w:rsid w:val="42701998"/>
    <w:rsid w:val="42756FAE"/>
    <w:rsid w:val="427B041A"/>
    <w:rsid w:val="4282298F"/>
    <w:rsid w:val="4286339D"/>
    <w:rsid w:val="42864D18"/>
    <w:rsid w:val="429C09DF"/>
    <w:rsid w:val="429C278D"/>
    <w:rsid w:val="429C64D2"/>
    <w:rsid w:val="42A47894"/>
    <w:rsid w:val="42B61086"/>
    <w:rsid w:val="42C360F8"/>
    <w:rsid w:val="42C81CC5"/>
    <w:rsid w:val="42CE4911"/>
    <w:rsid w:val="42D63D3A"/>
    <w:rsid w:val="42D75573"/>
    <w:rsid w:val="42D77C69"/>
    <w:rsid w:val="42E44134"/>
    <w:rsid w:val="42E67EAC"/>
    <w:rsid w:val="42E95470"/>
    <w:rsid w:val="42F61E55"/>
    <w:rsid w:val="42FC16CF"/>
    <w:rsid w:val="42FD2EBA"/>
    <w:rsid w:val="42FF3FE9"/>
    <w:rsid w:val="430372E0"/>
    <w:rsid w:val="430B7913"/>
    <w:rsid w:val="430C7A94"/>
    <w:rsid w:val="43120317"/>
    <w:rsid w:val="431762B4"/>
    <w:rsid w:val="431B1D72"/>
    <w:rsid w:val="431F0E30"/>
    <w:rsid w:val="43201B33"/>
    <w:rsid w:val="43212C92"/>
    <w:rsid w:val="4323326F"/>
    <w:rsid w:val="433B1FA6"/>
    <w:rsid w:val="43560FD3"/>
    <w:rsid w:val="43572B58"/>
    <w:rsid w:val="435D1079"/>
    <w:rsid w:val="435E3EE6"/>
    <w:rsid w:val="437466E4"/>
    <w:rsid w:val="4376131C"/>
    <w:rsid w:val="437764B0"/>
    <w:rsid w:val="437C611B"/>
    <w:rsid w:val="43811AB8"/>
    <w:rsid w:val="4383394D"/>
    <w:rsid w:val="43853221"/>
    <w:rsid w:val="43853342"/>
    <w:rsid w:val="43855DF3"/>
    <w:rsid w:val="438576C5"/>
    <w:rsid w:val="4396542E"/>
    <w:rsid w:val="439B2A45"/>
    <w:rsid w:val="439E42E3"/>
    <w:rsid w:val="43A35D9D"/>
    <w:rsid w:val="43B835F7"/>
    <w:rsid w:val="43BF34AC"/>
    <w:rsid w:val="43C27FD1"/>
    <w:rsid w:val="43CC70A2"/>
    <w:rsid w:val="43D04F3E"/>
    <w:rsid w:val="43DD12AF"/>
    <w:rsid w:val="43E048FB"/>
    <w:rsid w:val="43E443EC"/>
    <w:rsid w:val="43F10802"/>
    <w:rsid w:val="43FD54AD"/>
    <w:rsid w:val="44004F9E"/>
    <w:rsid w:val="440700DA"/>
    <w:rsid w:val="44114AB5"/>
    <w:rsid w:val="441B2382"/>
    <w:rsid w:val="441D403E"/>
    <w:rsid w:val="4420119C"/>
    <w:rsid w:val="442A5B77"/>
    <w:rsid w:val="442C7B41"/>
    <w:rsid w:val="443169A3"/>
    <w:rsid w:val="443B5FD6"/>
    <w:rsid w:val="44476729"/>
    <w:rsid w:val="444D06C5"/>
    <w:rsid w:val="44553FFC"/>
    <w:rsid w:val="445A46AE"/>
    <w:rsid w:val="445D5F4C"/>
    <w:rsid w:val="446379C6"/>
    <w:rsid w:val="44663053"/>
    <w:rsid w:val="446B2675"/>
    <w:rsid w:val="446B446C"/>
    <w:rsid w:val="446E0025"/>
    <w:rsid w:val="447035A6"/>
    <w:rsid w:val="447137A5"/>
    <w:rsid w:val="448434D9"/>
    <w:rsid w:val="448E1240"/>
    <w:rsid w:val="448E7C95"/>
    <w:rsid w:val="4496320C"/>
    <w:rsid w:val="449A71A0"/>
    <w:rsid w:val="449D459A"/>
    <w:rsid w:val="449F57F7"/>
    <w:rsid w:val="44A3200C"/>
    <w:rsid w:val="44A35238"/>
    <w:rsid w:val="44A57A74"/>
    <w:rsid w:val="44A64897"/>
    <w:rsid w:val="44A65701"/>
    <w:rsid w:val="44A771C7"/>
    <w:rsid w:val="44B244EA"/>
    <w:rsid w:val="44BD1E37"/>
    <w:rsid w:val="44C80E26"/>
    <w:rsid w:val="44D446FB"/>
    <w:rsid w:val="44D77AAC"/>
    <w:rsid w:val="44D92D67"/>
    <w:rsid w:val="44E421C9"/>
    <w:rsid w:val="44EE02AB"/>
    <w:rsid w:val="44EE2D42"/>
    <w:rsid w:val="44F114C2"/>
    <w:rsid w:val="44F14EE8"/>
    <w:rsid w:val="45034D45"/>
    <w:rsid w:val="45060E8A"/>
    <w:rsid w:val="4508410A"/>
    <w:rsid w:val="45085EB8"/>
    <w:rsid w:val="450D1720"/>
    <w:rsid w:val="452024AE"/>
    <w:rsid w:val="45216F7A"/>
    <w:rsid w:val="45233327"/>
    <w:rsid w:val="452D3C06"/>
    <w:rsid w:val="45336CAD"/>
    <w:rsid w:val="45356EC9"/>
    <w:rsid w:val="45375CA5"/>
    <w:rsid w:val="45383EA0"/>
    <w:rsid w:val="45392515"/>
    <w:rsid w:val="453A31A0"/>
    <w:rsid w:val="453C2005"/>
    <w:rsid w:val="45433394"/>
    <w:rsid w:val="454D7D6F"/>
    <w:rsid w:val="45505AB1"/>
    <w:rsid w:val="45515DFD"/>
    <w:rsid w:val="4554037B"/>
    <w:rsid w:val="456454A2"/>
    <w:rsid w:val="456926CF"/>
    <w:rsid w:val="456F15BE"/>
    <w:rsid w:val="457C4AF8"/>
    <w:rsid w:val="45921C25"/>
    <w:rsid w:val="45934B33"/>
    <w:rsid w:val="45A73923"/>
    <w:rsid w:val="45AB0AC8"/>
    <w:rsid w:val="45AE54CB"/>
    <w:rsid w:val="45AF27D7"/>
    <w:rsid w:val="45B61DB8"/>
    <w:rsid w:val="45B778DE"/>
    <w:rsid w:val="45CA6916"/>
    <w:rsid w:val="45D466E2"/>
    <w:rsid w:val="45D57F62"/>
    <w:rsid w:val="45E306D3"/>
    <w:rsid w:val="45EF0E26"/>
    <w:rsid w:val="45F356E8"/>
    <w:rsid w:val="45F56BC7"/>
    <w:rsid w:val="45FA0F01"/>
    <w:rsid w:val="46025D34"/>
    <w:rsid w:val="46040D75"/>
    <w:rsid w:val="46115CF7"/>
    <w:rsid w:val="461160DF"/>
    <w:rsid w:val="461703B0"/>
    <w:rsid w:val="46191C06"/>
    <w:rsid w:val="461B34AE"/>
    <w:rsid w:val="462036D5"/>
    <w:rsid w:val="462907DC"/>
    <w:rsid w:val="462B3C82"/>
    <w:rsid w:val="463351B6"/>
    <w:rsid w:val="463B1ACF"/>
    <w:rsid w:val="463D4ECC"/>
    <w:rsid w:val="46470C62"/>
    <w:rsid w:val="4654527A"/>
    <w:rsid w:val="465A6BE7"/>
    <w:rsid w:val="46731A57"/>
    <w:rsid w:val="46795941"/>
    <w:rsid w:val="4682613E"/>
    <w:rsid w:val="468E063F"/>
    <w:rsid w:val="469519CD"/>
    <w:rsid w:val="46A77952"/>
    <w:rsid w:val="46B4486C"/>
    <w:rsid w:val="46B94C58"/>
    <w:rsid w:val="46BB51AC"/>
    <w:rsid w:val="46BF3DA4"/>
    <w:rsid w:val="46C2653A"/>
    <w:rsid w:val="46D149CF"/>
    <w:rsid w:val="46D324F5"/>
    <w:rsid w:val="46E22739"/>
    <w:rsid w:val="46EE10DD"/>
    <w:rsid w:val="46EE3AEB"/>
    <w:rsid w:val="46FC7C9E"/>
    <w:rsid w:val="46FF32EA"/>
    <w:rsid w:val="47121270"/>
    <w:rsid w:val="47136018"/>
    <w:rsid w:val="471425D5"/>
    <w:rsid w:val="47176886"/>
    <w:rsid w:val="471C3E9C"/>
    <w:rsid w:val="471F398D"/>
    <w:rsid w:val="47241991"/>
    <w:rsid w:val="47280A93"/>
    <w:rsid w:val="473307A6"/>
    <w:rsid w:val="47347391"/>
    <w:rsid w:val="473674BC"/>
    <w:rsid w:val="473D2718"/>
    <w:rsid w:val="47563706"/>
    <w:rsid w:val="47573126"/>
    <w:rsid w:val="475A2C17"/>
    <w:rsid w:val="475F1FDB"/>
    <w:rsid w:val="476475F1"/>
    <w:rsid w:val="476B6BD2"/>
    <w:rsid w:val="47745A86"/>
    <w:rsid w:val="4777338D"/>
    <w:rsid w:val="478C3C13"/>
    <w:rsid w:val="47946129"/>
    <w:rsid w:val="47971775"/>
    <w:rsid w:val="479B5D08"/>
    <w:rsid w:val="479C7B4A"/>
    <w:rsid w:val="479D53D7"/>
    <w:rsid w:val="47A0687C"/>
    <w:rsid w:val="47A375CF"/>
    <w:rsid w:val="47A520E4"/>
    <w:rsid w:val="47AE04F4"/>
    <w:rsid w:val="47B0035D"/>
    <w:rsid w:val="47B71E17"/>
    <w:rsid w:val="47B85BA1"/>
    <w:rsid w:val="47B9793D"/>
    <w:rsid w:val="47C05B99"/>
    <w:rsid w:val="47C167F2"/>
    <w:rsid w:val="47CF0F0F"/>
    <w:rsid w:val="47D9559E"/>
    <w:rsid w:val="47DD709F"/>
    <w:rsid w:val="47E10C42"/>
    <w:rsid w:val="47E349BA"/>
    <w:rsid w:val="47E36768"/>
    <w:rsid w:val="47EA3F9B"/>
    <w:rsid w:val="47ED2271"/>
    <w:rsid w:val="47FF6CE2"/>
    <w:rsid w:val="480C2CEE"/>
    <w:rsid w:val="48166B3E"/>
    <w:rsid w:val="4819662E"/>
    <w:rsid w:val="4820210B"/>
    <w:rsid w:val="48237493"/>
    <w:rsid w:val="48270D4B"/>
    <w:rsid w:val="482A3593"/>
    <w:rsid w:val="482B7781"/>
    <w:rsid w:val="482E1968"/>
    <w:rsid w:val="48384D06"/>
    <w:rsid w:val="483D47E8"/>
    <w:rsid w:val="483E6094"/>
    <w:rsid w:val="48437CB3"/>
    <w:rsid w:val="48455675"/>
    <w:rsid w:val="48474F49"/>
    <w:rsid w:val="48496596"/>
    <w:rsid w:val="484F2050"/>
    <w:rsid w:val="485633DE"/>
    <w:rsid w:val="485853A8"/>
    <w:rsid w:val="485B09F4"/>
    <w:rsid w:val="48710218"/>
    <w:rsid w:val="48715344"/>
    <w:rsid w:val="48741AB6"/>
    <w:rsid w:val="4874445C"/>
    <w:rsid w:val="487806ED"/>
    <w:rsid w:val="487970CD"/>
    <w:rsid w:val="48820FBF"/>
    <w:rsid w:val="489857A5"/>
    <w:rsid w:val="489C5F47"/>
    <w:rsid w:val="489E287C"/>
    <w:rsid w:val="489F4D85"/>
    <w:rsid w:val="48B27CA9"/>
    <w:rsid w:val="48B32D29"/>
    <w:rsid w:val="48BD345D"/>
    <w:rsid w:val="48BF0F83"/>
    <w:rsid w:val="48D316C2"/>
    <w:rsid w:val="48DF33D4"/>
    <w:rsid w:val="48E520AB"/>
    <w:rsid w:val="48E94325"/>
    <w:rsid w:val="48EA4487"/>
    <w:rsid w:val="490E5A67"/>
    <w:rsid w:val="491A265E"/>
    <w:rsid w:val="492434DC"/>
    <w:rsid w:val="492D560E"/>
    <w:rsid w:val="492E435B"/>
    <w:rsid w:val="49372DB4"/>
    <w:rsid w:val="493A7AB6"/>
    <w:rsid w:val="493F6A0E"/>
    <w:rsid w:val="49437E06"/>
    <w:rsid w:val="49484474"/>
    <w:rsid w:val="494B0A69"/>
    <w:rsid w:val="496C37C9"/>
    <w:rsid w:val="49725FF6"/>
    <w:rsid w:val="497443E1"/>
    <w:rsid w:val="497905DC"/>
    <w:rsid w:val="497955D6"/>
    <w:rsid w:val="497B1E7F"/>
    <w:rsid w:val="49816239"/>
    <w:rsid w:val="49863CDA"/>
    <w:rsid w:val="49886F6A"/>
    <w:rsid w:val="498B70B7"/>
    <w:rsid w:val="49950590"/>
    <w:rsid w:val="499C3073"/>
    <w:rsid w:val="49A34BDC"/>
    <w:rsid w:val="49A66D1E"/>
    <w:rsid w:val="49AC26F2"/>
    <w:rsid w:val="49B20AE8"/>
    <w:rsid w:val="49B21896"/>
    <w:rsid w:val="49B72C7E"/>
    <w:rsid w:val="49BA2D04"/>
    <w:rsid w:val="49BC2984"/>
    <w:rsid w:val="49C07901"/>
    <w:rsid w:val="49D2118A"/>
    <w:rsid w:val="49E62540"/>
    <w:rsid w:val="49E8588C"/>
    <w:rsid w:val="49EF5BC6"/>
    <w:rsid w:val="49F44C5D"/>
    <w:rsid w:val="49F72768"/>
    <w:rsid w:val="4A0155CC"/>
    <w:rsid w:val="4A020DE6"/>
    <w:rsid w:val="4A08695A"/>
    <w:rsid w:val="4A1134A2"/>
    <w:rsid w:val="4A205A52"/>
    <w:rsid w:val="4A2F038B"/>
    <w:rsid w:val="4A2F2139"/>
    <w:rsid w:val="4A2F3EE7"/>
    <w:rsid w:val="4A370FED"/>
    <w:rsid w:val="4A4313D8"/>
    <w:rsid w:val="4A49144C"/>
    <w:rsid w:val="4A510BD5"/>
    <w:rsid w:val="4A51487A"/>
    <w:rsid w:val="4A6022F2"/>
    <w:rsid w:val="4A62606A"/>
    <w:rsid w:val="4A7144AC"/>
    <w:rsid w:val="4A7F573D"/>
    <w:rsid w:val="4A8575EA"/>
    <w:rsid w:val="4A8F2BD7"/>
    <w:rsid w:val="4A914BA1"/>
    <w:rsid w:val="4A924464"/>
    <w:rsid w:val="4A941CAC"/>
    <w:rsid w:val="4AA2290B"/>
    <w:rsid w:val="4AA743C5"/>
    <w:rsid w:val="4AB3441B"/>
    <w:rsid w:val="4ABF170F"/>
    <w:rsid w:val="4AC26B09"/>
    <w:rsid w:val="4AC30FB8"/>
    <w:rsid w:val="4AC3700E"/>
    <w:rsid w:val="4AC76815"/>
    <w:rsid w:val="4ACA3C0F"/>
    <w:rsid w:val="4AD05CCA"/>
    <w:rsid w:val="4AD34DB9"/>
    <w:rsid w:val="4ADC37DC"/>
    <w:rsid w:val="4ADD71B9"/>
    <w:rsid w:val="4AE27323"/>
    <w:rsid w:val="4AEC6208"/>
    <w:rsid w:val="4AFF5FAF"/>
    <w:rsid w:val="4B0709C0"/>
    <w:rsid w:val="4B0D4F28"/>
    <w:rsid w:val="4B1170F9"/>
    <w:rsid w:val="4B1355B6"/>
    <w:rsid w:val="4B1732F9"/>
    <w:rsid w:val="4B217CD3"/>
    <w:rsid w:val="4B3F63AB"/>
    <w:rsid w:val="4B430C4B"/>
    <w:rsid w:val="4B45519D"/>
    <w:rsid w:val="4B4D6D1A"/>
    <w:rsid w:val="4B4E59BF"/>
    <w:rsid w:val="4B661B8A"/>
    <w:rsid w:val="4B6C0ABB"/>
    <w:rsid w:val="4B6D4D78"/>
    <w:rsid w:val="4B6E4CA8"/>
    <w:rsid w:val="4B7122DD"/>
    <w:rsid w:val="4B751DF1"/>
    <w:rsid w:val="4B797B0F"/>
    <w:rsid w:val="4B7A4232"/>
    <w:rsid w:val="4B7A70E2"/>
    <w:rsid w:val="4B810772"/>
    <w:rsid w:val="4B8244EA"/>
    <w:rsid w:val="4B956E05"/>
    <w:rsid w:val="4B9A7A86"/>
    <w:rsid w:val="4BA91A77"/>
    <w:rsid w:val="4BB6515F"/>
    <w:rsid w:val="4BB87F0C"/>
    <w:rsid w:val="4BBA1ED6"/>
    <w:rsid w:val="4BD27220"/>
    <w:rsid w:val="4BDA130A"/>
    <w:rsid w:val="4BDB2578"/>
    <w:rsid w:val="4BE756FC"/>
    <w:rsid w:val="4BEA4B99"/>
    <w:rsid w:val="4BEB6533"/>
    <w:rsid w:val="4BED4059"/>
    <w:rsid w:val="4BEF4A60"/>
    <w:rsid w:val="4BFA520C"/>
    <w:rsid w:val="4C0B2731"/>
    <w:rsid w:val="4C106A26"/>
    <w:rsid w:val="4C194E4E"/>
    <w:rsid w:val="4C1D78F8"/>
    <w:rsid w:val="4C2076BE"/>
    <w:rsid w:val="4C2113BB"/>
    <w:rsid w:val="4C243F83"/>
    <w:rsid w:val="4C2537F3"/>
    <w:rsid w:val="4C295910"/>
    <w:rsid w:val="4C2C4B82"/>
    <w:rsid w:val="4C312198"/>
    <w:rsid w:val="4C324162"/>
    <w:rsid w:val="4C327CBE"/>
    <w:rsid w:val="4C330BA9"/>
    <w:rsid w:val="4C39729F"/>
    <w:rsid w:val="4C40062D"/>
    <w:rsid w:val="4C423399"/>
    <w:rsid w:val="4C481290"/>
    <w:rsid w:val="4C493968"/>
    <w:rsid w:val="4C562C19"/>
    <w:rsid w:val="4C5C2F8D"/>
    <w:rsid w:val="4C5D11DF"/>
    <w:rsid w:val="4C602076"/>
    <w:rsid w:val="4C6D21BF"/>
    <w:rsid w:val="4C820C46"/>
    <w:rsid w:val="4C874433"/>
    <w:rsid w:val="4C8C73CE"/>
    <w:rsid w:val="4CAC53E1"/>
    <w:rsid w:val="4CB3150D"/>
    <w:rsid w:val="4CC17D34"/>
    <w:rsid w:val="4CC44899"/>
    <w:rsid w:val="4CCD7FCE"/>
    <w:rsid w:val="4CD3324F"/>
    <w:rsid w:val="4CD700C2"/>
    <w:rsid w:val="4CD86AB8"/>
    <w:rsid w:val="4CEA0599"/>
    <w:rsid w:val="4CEF3CDF"/>
    <w:rsid w:val="4CF11927"/>
    <w:rsid w:val="4CF66B95"/>
    <w:rsid w:val="4CF84A64"/>
    <w:rsid w:val="4CFD207A"/>
    <w:rsid w:val="4D0478AD"/>
    <w:rsid w:val="4D08401A"/>
    <w:rsid w:val="4D0A6E18"/>
    <w:rsid w:val="4D1B0752"/>
    <w:rsid w:val="4D2015B6"/>
    <w:rsid w:val="4D205169"/>
    <w:rsid w:val="4D2A34C2"/>
    <w:rsid w:val="4D2C295F"/>
    <w:rsid w:val="4D344DD8"/>
    <w:rsid w:val="4D426187"/>
    <w:rsid w:val="4D510618"/>
    <w:rsid w:val="4D581D26"/>
    <w:rsid w:val="4D7260F9"/>
    <w:rsid w:val="4D7479ED"/>
    <w:rsid w:val="4D77007F"/>
    <w:rsid w:val="4D846EBE"/>
    <w:rsid w:val="4D8C6BA3"/>
    <w:rsid w:val="4D994AF1"/>
    <w:rsid w:val="4DA150FB"/>
    <w:rsid w:val="4DA8143A"/>
    <w:rsid w:val="4DA846DC"/>
    <w:rsid w:val="4DAD3AA0"/>
    <w:rsid w:val="4DC00E80"/>
    <w:rsid w:val="4DC05D1B"/>
    <w:rsid w:val="4DC876DF"/>
    <w:rsid w:val="4DD423EE"/>
    <w:rsid w:val="4DDF5C24"/>
    <w:rsid w:val="4DE62F5F"/>
    <w:rsid w:val="4DE65204"/>
    <w:rsid w:val="4DEA4CF4"/>
    <w:rsid w:val="4DEB569C"/>
    <w:rsid w:val="4DED20EF"/>
    <w:rsid w:val="4DF0398D"/>
    <w:rsid w:val="4DFD0C89"/>
    <w:rsid w:val="4E0D2791"/>
    <w:rsid w:val="4E12027C"/>
    <w:rsid w:val="4E15647E"/>
    <w:rsid w:val="4E1F5137"/>
    <w:rsid w:val="4E217FEA"/>
    <w:rsid w:val="4E263853"/>
    <w:rsid w:val="4E296E9F"/>
    <w:rsid w:val="4E2B2C17"/>
    <w:rsid w:val="4E362FC0"/>
    <w:rsid w:val="4E3B65C9"/>
    <w:rsid w:val="4E465CA3"/>
    <w:rsid w:val="4E4F5928"/>
    <w:rsid w:val="4E54216E"/>
    <w:rsid w:val="4E561001"/>
    <w:rsid w:val="4E564138"/>
    <w:rsid w:val="4E5C7706"/>
    <w:rsid w:val="4E62559A"/>
    <w:rsid w:val="4E630603"/>
    <w:rsid w:val="4E685C19"/>
    <w:rsid w:val="4E6A1991"/>
    <w:rsid w:val="4E724CEA"/>
    <w:rsid w:val="4E7803CF"/>
    <w:rsid w:val="4E8A2033"/>
    <w:rsid w:val="4E944C60"/>
    <w:rsid w:val="4E9764FE"/>
    <w:rsid w:val="4E9B1C83"/>
    <w:rsid w:val="4EA35CBF"/>
    <w:rsid w:val="4EA74993"/>
    <w:rsid w:val="4EB44E02"/>
    <w:rsid w:val="4EB652CE"/>
    <w:rsid w:val="4EB7039E"/>
    <w:rsid w:val="4EC055AC"/>
    <w:rsid w:val="4EC512BE"/>
    <w:rsid w:val="4EC57AE9"/>
    <w:rsid w:val="4EC72940"/>
    <w:rsid w:val="4EC76DE4"/>
    <w:rsid w:val="4ED17C62"/>
    <w:rsid w:val="4ED23154"/>
    <w:rsid w:val="4ED630ED"/>
    <w:rsid w:val="4EDF7086"/>
    <w:rsid w:val="4EEA69A2"/>
    <w:rsid w:val="4EF81758"/>
    <w:rsid w:val="4EF83441"/>
    <w:rsid w:val="4EFE46FB"/>
    <w:rsid w:val="4F035942"/>
    <w:rsid w:val="4F132029"/>
    <w:rsid w:val="4F195165"/>
    <w:rsid w:val="4F25766C"/>
    <w:rsid w:val="4F275616"/>
    <w:rsid w:val="4F365D17"/>
    <w:rsid w:val="4F3D2C02"/>
    <w:rsid w:val="4F3E0E12"/>
    <w:rsid w:val="4F43496C"/>
    <w:rsid w:val="4F4664A5"/>
    <w:rsid w:val="4F4E4E0F"/>
    <w:rsid w:val="4F607047"/>
    <w:rsid w:val="4F624D5E"/>
    <w:rsid w:val="4F6B0EDA"/>
    <w:rsid w:val="4F6C34E7"/>
    <w:rsid w:val="4F716D4F"/>
    <w:rsid w:val="4F775D28"/>
    <w:rsid w:val="4F7908FF"/>
    <w:rsid w:val="4F8C5937"/>
    <w:rsid w:val="4F9F38BD"/>
    <w:rsid w:val="4FAC33EC"/>
    <w:rsid w:val="4FAD5FDA"/>
    <w:rsid w:val="4FB07891"/>
    <w:rsid w:val="4FB95338"/>
    <w:rsid w:val="4FB96E6B"/>
    <w:rsid w:val="4FBC60D8"/>
    <w:rsid w:val="4FC450D1"/>
    <w:rsid w:val="4FD22B8B"/>
    <w:rsid w:val="4FD35C00"/>
    <w:rsid w:val="4FDA2B47"/>
    <w:rsid w:val="4FDB79C1"/>
    <w:rsid w:val="4FDC241B"/>
    <w:rsid w:val="4FDF015D"/>
    <w:rsid w:val="4FED1AD5"/>
    <w:rsid w:val="4FEE14AB"/>
    <w:rsid w:val="4FFC0352"/>
    <w:rsid w:val="50100316"/>
    <w:rsid w:val="50191DB5"/>
    <w:rsid w:val="501C0729"/>
    <w:rsid w:val="501C0736"/>
    <w:rsid w:val="5023004A"/>
    <w:rsid w:val="50281B04"/>
    <w:rsid w:val="502F52EB"/>
    <w:rsid w:val="50357EAB"/>
    <w:rsid w:val="503F29AA"/>
    <w:rsid w:val="50412BC6"/>
    <w:rsid w:val="50537F14"/>
    <w:rsid w:val="5058366F"/>
    <w:rsid w:val="505B670D"/>
    <w:rsid w:val="505C68BD"/>
    <w:rsid w:val="505E5526"/>
    <w:rsid w:val="5065520B"/>
    <w:rsid w:val="509176A9"/>
    <w:rsid w:val="50962F12"/>
    <w:rsid w:val="50AA42C7"/>
    <w:rsid w:val="50AC6291"/>
    <w:rsid w:val="50B45146"/>
    <w:rsid w:val="50B70156"/>
    <w:rsid w:val="50B909AE"/>
    <w:rsid w:val="50B9275C"/>
    <w:rsid w:val="50BA41FE"/>
    <w:rsid w:val="50CB6B06"/>
    <w:rsid w:val="50CE2949"/>
    <w:rsid w:val="50D6330E"/>
    <w:rsid w:val="50D70E34"/>
    <w:rsid w:val="50D94CA2"/>
    <w:rsid w:val="50D96774"/>
    <w:rsid w:val="50DC644B"/>
    <w:rsid w:val="50E22606"/>
    <w:rsid w:val="50E24396"/>
    <w:rsid w:val="50E61077"/>
    <w:rsid w:val="50ED0658"/>
    <w:rsid w:val="50F1639A"/>
    <w:rsid w:val="50F2344B"/>
    <w:rsid w:val="50FB4B23"/>
    <w:rsid w:val="50FC089B"/>
    <w:rsid w:val="5100482F"/>
    <w:rsid w:val="51062E60"/>
    <w:rsid w:val="51165807"/>
    <w:rsid w:val="511733EA"/>
    <w:rsid w:val="511958BF"/>
    <w:rsid w:val="511B3336"/>
    <w:rsid w:val="513242BC"/>
    <w:rsid w:val="5138052B"/>
    <w:rsid w:val="514E7348"/>
    <w:rsid w:val="51533462"/>
    <w:rsid w:val="51556929"/>
    <w:rsid w:val="515768CE"/>
    <w:rsid w:val="51583988"/>
    <w:rsid w:val="515B1A65"/>
    <w:rsid w:val="51602431"/>
    <w:rsid w:val="5160707C"/>
    <w:rsid w:val="516B614C"/>
    <w:rsid w:val="516B68A8"/>
    <w:rsid w:val="516F2DE2"/>
    <w:rsid w:val="51735001"/>
    <w:rsid w:val="517E08C1"/>
    <w:rsid w:val="517F2051"/>
    <w:rsid w:val="518213CD"/>
    <w:rsid w:val="51850890"/>
    <w:rsid w:val="519024AA"/>
    <w:rsid w:val="51943ADE"/>
    <w:rsid w:val="519669E8"/>
    <w:rsid w:val="519913FC"/>
    <w:rsid w:val="519A433C"/>
    <w:rsid w:val="51A52CE0"/>
    <w:rsid w:val="51A927D1"/>
    <w:rsid w:val="51AC22C1"/>
    <w:rsid w:val="51AC406F"/>
    <w:rsid w:val="51AE428B"/>
    <w:rsid w:val="51B11685"/>
    <w:rsid w:val="51B56A8D"/>
    <w:rsid w:val="51C93A7A"/>
    <w:rsid w:val="51D33CF1"/>
    <w:rsid w:val="51D356EF"/>
    <w:rsid w:val="51D64B35"/>
    <w:rsid w:val="51D8158C"/>
    <w:rsid w:val="51DD5DC0"/>
    <w:rsid w:val="51E030C3"/>
    <w:rsid w:val="51FA714D"/>
    <w:rsid w:val="51FA74D0"/>
    <w:rsid w:val="51FF4AE6"/>
    <w:rsid w:val="52045C59"/>
    <w:rsid w:val="52050AE0"/>
    <w:rsid w:val="520D6183"/>
    <w:rsid w:val="520E268F"/>
    <w:rsid w:val="5221680B"/>
    <w:rsid w:val="522E5A06"/>
    <w:rsid w:val="52421C4A"/>
    <w:rsid w:val="52450697"/>
    <w:rsid w:val="524851FA"/>
    <w:rsid w:val="524E3378"/>
    <w:rsid w:val="524F15CA"/>
    <w:rsid w:val="525564B4"/>
    <w:rsid w:val="5259714D"/>
    <w:rsid w:val="525A3ACB"/>
    <w:rsid w:val="525C7843"/>
    <w:rsid w:val="526130AB"/>
    <w:rsid w:val="52614EF7"/>
    <w:rsid w:val="52742DDF"/>
    <w:rsid w:val="527613C7"/>
    <w:rsid w:val="527C21F0"/>
    <w:rsid w:val="527C7EE5"/>
    <w:rsid w:val="529259DD"/>
    <w:rsid w:val="5294522F"/>
    <w:rsid w:val="52951AA2"/>
    <w:rsid w:val="52971E0E"/>
    <w:rsid w:val="52974177"/>
    <w:rsid w:val="52A15B9E"/>
    <w:rsid w:val="52AB2578"/>
    <w:rsid w:val="52B07B8F"/>
    <w:rsid w:val="52BA27BB"/>
    <w:rsid w:val="52BA59F6"/>
    <w:rsid w:val="52C35B14"/>
    <w:rsid w:val="52C378C2"/>
    <w:rsid w:val="52C451E0"/>
    <w:rsid w:val="52D25D57"/>
    <w:rsid w:val="52D4387D"/>
    <w:rsid w:val="52D852D6"/>
    <w:rsid w:val="52DD212E"/>
    <w:rsid w:val="52E141EC"/>
    <w:rsid w:val="52E53CDC"/>
    <w:rsid w:val="52E77A54"/>
    <w:rsid w:val="52ED0DE3"/>
    <w:rsid w:val="52EF249C"/>
    <w:rsid w:val="52F23625"/>
    <w:rsid w:val="52FD1555"/>
    <w:rsid w:val="52FE4D9E"/>
    <w:rsid w:val="530879CB"/>
    <w:rsid w:val="530C4011"/>
    <w:rsid w:val="530E2491"/>
    <w:rsid w:val="531243A6"/>
    <w:rsid w:val="53146245"/>
    <w:rsid w:val="531E2149"/>
    <w:rsid w:val="5325057D"/>
    <w:rsid w:val="53334A48"/>
    <w:rsid w:val="533B7582"/>
    <w:rsid w:val="533F163E"/>
    <w:rsid w:val="534722A1"/>
    <w:rsid w:val="53477386"/>
    <w:rsid w:val="534E1882"/>
    <w:rsid w:val="534F37BA"/>
    <w:rsid w:val="535449BE"/>
    <w:rsid w:val="53605111"/>
    <w:rsid w:val="53650979"/>
    <w:rsid w:val="536C1D08"/>
    <w:rsid w:val="537B63EF"/>
    <w:rsid w:val="537E210B"/>
    <w:rsid w:val="53A07C03"/>
    <w:rsid w:val="53A457E6"/>
    <w:rsid w:val="53B30889"/>
    <w:rsid w:val="53B67427"/>
    <w:rsid w:val="53BF0089"/>
    <w:rsid w:val="53BF452D"/>
    <w:rsid w:val="53C438F2"/>
    <w:rsid w:val="53C4643B"/>
    <w:rsid w:val="53C76895"/>
    <w:rsid w:val="53D33B35"/>
    <w:rsid w:val="53D8114B"/>
    <w:rsid w:val="53D83E51"/>
    <w:rsid w:val="53E002CA"/>
    <w:rsid w:val="53E144A4"/>
    <w:rsid w:val="53F8359B"/>
    <w:rsid w:val="53FC2179"/>
    <w:rsid w:val="54096A8E"/>
    <w:rsid w:val="540B5BDD"/>
    <w:rsid w:val="54216F96"/>
    <w:rsid w:val="5422423E"/>
    <w:rsid w:val="542C1497"/>
    <w:rsid w:val="54305032"/>
    <w:rsid w:val="54316AAD"/>
    <w:rsid w:val="543842E0"/>
    <w:rsid w:val="54413194"/>
    <w:rsid w:val="54436F0C"/>
    <w:rsid w:val="54443BDC"/>
    <w:rsid w:val="544553D7"/>
    <w:rsid w:val="5449029B"/>
    <w:rsid w:val="54502C65"/>
    <w:rsid w:val="54523D7D"/>
    <w:rsid w:val="54557A52"/>
    <w:rsid w:val="545A6004"/>
    <w:rsid w:val="54617393"/>
    <w:rsid w:val="546A2443"/>
    <w:rsid w:val="546F2A68"/>
    <w:rsid w:val="547075D6"/>
    <w:rsid w:val="547277F2"/>
    <w:rsid w:val="54741D03"/>
    <w:rsid w:val="54751090"/>
    <w:rsid w:val="548E1877"/>
    <w:rsid w:val="54943A2D"/>
    <w:rsid w:val="54947768"/>
    <w:rsid w:val="5495703C"/>
    <w:rsid w:val="549D713C"/>
    <w:rsid w:val="54A930AA"/>
    <w:rsid w:val="54AF5A27"/>
    <w:rsid w:val="54B55930"/>
    <w:rsid w:val="54C067AF"/>
    <w:rsid w:val="54CB0A2E"/>
    <w:rsid w:val="54E56216"/>
    <w:rsid w:val="54EB1352"/>
    <w:rsid w:val="54F00716"/>
    <w:rsid w:val="54F15B76"/>
    <w:rsid w:val="54F77CF7"/>
    <w:rsid w:val="54FB1595"/>
    <w:rsid w:val="54FB5075"/>
    <w:rsid w:val="54FC237D"/>
    <w:rsid w:val="54FC7565"/>
    <w:rsid w:val="55016E1F"/>
    <w:rsid w:val="550C60C7"/>
    <w:rsid w:val="55132D9D"/>
    <w:rsid w:val="551F04E7"/>
    <w:rsid w:val="55436A98"/>
    <w:rsid w:val="5545517F"/>
    <w:rsid w:val="554A3534"/>
    <w:rsid w:val="554C1DF1"/>
    <w:rsid w:val="55520685"/>
    <w:rsid w:val="555648D5"/>
    <w:rsid w:val="555D3F0E"/>
    <w:rsid w:val="55607637"/>
    <w:rsid w:val="556101D6"/>
    <w:rsid w:val="556A671B"/>
    <w:rsid w:val="556C3E3B"/>
    <w:rsid w:val="557F4DCE"/>
    <w:rsid w:val="55844E99"/>
    <w:rsid w:val="55882B62"/>
    <w:rsid w:val="558C043F"/>
    <w:rsid w:val="55937A20"/>
    <w:rsid w:val="55A21B63"/>
    <w:rsid w:val="55BF0DDD"/>
    <w:rsid w:val="55C0173D"/>
    <w:rsid w:val="55C40DE3"/>
    <w:rsid w:val="55C67681"/>
    <w:rsid w:val="55C71477"/>
    <w:rsid w:val="55CA46F7"/>
    <w:rsid w:val="55CB6607"/>
    <w:rsid w:val="55D122F6"/>
    <w:rsid w:val="55DB3175"/>
    <w:rsid w:val="55DC3184"/>
    <w:rsid w:val="55DD513F"/>
    <w:rsid w:val="55E055C2"/>
    <w:rsid w:val="55E464CD"/>
    <w:rsid w:val="55F42F1E"/>
    <w:rsid w:val="55F85EF6"/>
    <w:rsid w:val="55F93EAD"/>
    <w:rsid w:val="55FE4001"/>
    <w:rsid w:val="56057B36"/>
    <w:rsid w:val="560C332E"/>
    <w:rsid w:val="560D2C27"/>
    <w:rsid w:val="56292128"/>
    <w:rsid w:val="562C1C22"/>
    <w:rsid w:val="56352885"/>
    <w:rsid w:val="563C47C8"/>
    <w:rsid w:val="56402841"/>
    <w:rsid w:val="56440D1A"/>
    <w:rsid w:val="564451BE"/>
    <w:rsid w:val="56463DC7"/>
    <w:rsid w:val="56475F21"/>
    <w:rsid w:val="564B5300"/>
    <w:rsid w:val="5650263D"/>
    <w:rsid w:val="56503B63"/>
    <w:rsid w:val="565105AC"/>
    <w:rsid w:val="56585926"/>
    <w:rsid w:val="565D1DDC"/>
    <w:rsid w:val="56665BE2"/>
    <w:rsid w:val="567A10F6"/>
    <w:rsid w:val="56956ADB"/>
    <w:rsid w:val="56AD2A91"/>
    <w:rsid w:val="56B325B0"/>
    <w:rsid w:val="56C37E91"/>
    <w:rsid w:val="56CE4395"/>
    <w:rsid w:val="56D35BDC"/>
    <w:rsid w:val="56D77DE0"/>
    <w:rsid w:val="56DC7584"/>
    <w:rsid w:val="56DD7F5E"/>
    <w:rsid w:val="56DE4759"/>
    <w:rsid w:val="56DF6C95"/>
    <w:rsid w:val="56E51376"/>
    <w:rsid w:val="56EB4692"/>
    <w:rsid w:val="56F00EA2"/>
    <w:rsid w:val="56F61CE0"/>
    <w:rsid w:val="56FE711B"/>
    <w:rsid w:val="5701202D"/>
    <w:rsid w:val="57055E9A"/>
    <w:rsid w:val="570B7A8A"/>
    <w:rsid w:val="57117361"/>
    <w:rsid w:val="57144B90"/>
    <w:rsid w:val="57152A1D"/>
    <w:rsid w:val="571701DC"/>
    <w:rsid w:val="5717642E"/>
    <w:rsid w:val="571909E8"/>
    <w:rsid w:val="571A1A7B"/>
    <w:rsid w:val="57213B42"/>
    <w:rsid w:val="572F7D02"/>
    <w:rsid w:val="57340D8E"/>
    <w:rsid w:val="57364B06"/>
    <w:rsid w:val="573E0773"/>
    <w:rsid w:val="57430FD1"/>
    <w:rsid w:val="5746243C"/>
    <w:rsid w:val="574A2360"/>
    <w:rsid w:val="574A6804"/>
    <w:rsid w:val="574D581A"/>
    <w:rsid w:val="575D21D1"/>
    <w:rsid w:val="57602BC9"/>
    <w:rsid w:val="57622855"/>
    <w:rsid w:val="5765363E"/>
    <w:rsid w:val="576910C7"/>
    <w:rsid w:val="57720C71"/>
    <w:rsid w:val="5776215B"/>
    <w:rsid w:val="577B1F6C"/>
    <w:rsid w:val="577E296D"/>
    <w:rsid w:val="5794182D"/>
    <w:rsid w:val="57965BFD"/>
    <w:rsid w:val="57AF3B7A"/>
    <w:rsid w:val="57B36157"/>
    <w:rsid w:val="57B40121"/>
    <w:rsid w:val="57B5615E"/>
    <w:rsid w:val="57BC3492"/>
    <w:rsid w:val="57C32112"/>
    <w:rsid w:val="57CD4D3F"/>
    <w:rsid w:val="57CE1647"/>
    <w:rsid w:val="57D34F8E"/>
    <w:rsid w:val="57EE53E1"/>
    <w:rsid w:val="57EF5992"/>
    <w:rsid w:val="57F329F7"/>
    <w:rsid w:val="57F32CED"/>
    <w:rsid w:val="58021527"/>
    <w:rsid w:val="580249E9"/>
    <w:rsid w:val="581569AD"/>
    <w:rsid w:val="58175027"/>
    <w:rsid w:val="5817739E"/>
    <w:rsid w:val="5822508B"/>
    <w:rsid w:val="58225AE2"/>
    <w:rsid w:val="5829790F"/>
    <w:rsid w:val="584D65AC"/>
    <w:rsid w:val="584E7C2E"/>
    <w:rsid w:val="58505D5B"/>
    <w:rsid w:val="585F008D"/>
    <w:rsid w:val="58615BB3"/>
    <w:rsid w:val="586616BE"/>
    <w:rsid w:val="586631C9"/>
    <w:rsid w:val="58705DF6"/>
    <w:rsid w:val="588455A0"/>
    <w:rsid w:val="58854BD8"/>
    <w:rsid w:val="589176FA"/>
    <w:rsid w:val="58937D37"/>
    <w:rsid w:val="589E5122"/>
    <w:rsid w:val="589F492D"/>
    <w:rsid w:val="58A27F7A"/>
    <w:rsid w:val="58A509C8"/>
    <w:rsid w:val="58B2640F"/>
    <w:rsid w:val="58B63C35"/>
    <w:rsid w:val="58B8779D"/>
    <w:rsid w:val="58B87FC2"/>
    <w:rsid w:val="58BB7731"/>
    <w:rsid w:val="58BC103B"/>
    <w:rsid w:val="58BD4D48"/>
    <w:rsid w:val="58C16652"/>
    <w:rsid w:val="58C6432E"/>
    <w:rsid w:val="58C83E84"/>
    <w:rsid w:val="58CC1389"/>
    <w:rsid w:val="58D345D7"/>
    <w:rsid w:val="58D94309"/>
    <w:rsid w:val="58DA3BB7"/>
    <w:rsid w:val="58DD0FB2"/>
    <w:rsid w:val="58DF1825"/>
    <w:rsid w:val="58E30C85"/>
    <w:rsid w:val="58E45176"/>
    <w:rsid w:val="58EB3729"/>
    <w:rsid w:val="58ED3353"/>
    <w:rsid w:val="58F20F01"/>
    <w:rsid w:val="58F300A1"/>
    <w:rsid w:val="58F30851"/>
    <w:rsid w:val="58F845EC"/>
    <w:rsid w:val="59081EA3"/>
    <w:rsid w:val="590A624B"/>
    <w:rsid w:val="590D7AE9"/>
    <w:rsid w:val="591361CC"/>
    <w:rsid w:val="5914445F"/>
    <w:rsid w:val="591C0E16"/>
    <w:rsid w:val="59232E69"/>
    <w:rsid w:val="592917E2"/>
    <w:rsid w:val="593212FE"/>
    <w:rsid w:val="593829B8"/>
    <w:rsid w:val="593947E3"/>
    <w:rsid w:val="59413C36"/>
    <w:rsid w:val="59441031"/>
    <w:rsid w:val="59576472"/>
    <w:rsid w:val="595B0854"/>
    <w:rsid w:val="595B6B61"/>
    <w:rsid w:val="595C5ED8"/>
    <w:rsid w:val="595E6596"/>
    <w:rsid w:val="595F71C2"/>
    <w:rsid w:val="59654BF9"/>
    <w:rsid w:val="59875AED"/>
    <w:rsid w:val="598923BD"/>
    <w:rsid w:val="59895B6B"/>
    <w:rsid w:val="598E1E00"/>
    <w:rsid w:val="59981AA8"/>
    <w:rsid w:val="599929E6"/>
    <w:rsid w:val="59A04724"/>
    <w:rsid w:val="59A72D2F"/>
    <w:rsid w:val="59A85A64"/>
    <w:rsid w:val="59A86539"/>
    <w:rsid w:val="59AD3D7D"/>
    <w:rsid w:val="59B9557B"/>
    <w:rsid w:val="59BF753B"/>
    <w:rsid w:val="59CA3C2C"/>
    <w:rsid w:val="59CB0C68"/>
    <w:rsid w:val="59CD7278"/>
    <w:rsid w:val="59CE0DEF"/>
    <w:rsid w:val="59D04678"/>
    <w:rsid w:val="59E048A6"/>
    <w:rsid w:val="59E22D24"/>
    <w:rsid w:val="59E610FA"/>
    <w:rsid w:val="59ED6B23"/>
    <w:rsid w:val="59EE16C8"/>
    <w:rsid w:val="59F667CF"/>
    <w:rsid w:val="5A104C5E"/>
    <w:rsid w:val="5A1804F3"/>
    <w:rsid w:val="5A1841E6"/>
    <w:rsid w:val="5A221372"/>
    <w:rsid w:val="5A223490"/>
    <w:rsid w:val="5A4059A6"/>
    <w:rsid w:val="5A44578C"/>
    <w:rsid w:val="5A45526D"/>
    <w:rsid w:val="5A4C4641"/>
    <w:rsid w:val="5A511C57"/>
    <w:rsid w:val="5A5151E9"/>
    <w:rsid w:val="5A5534F6"/>
    <w:rsid w:val="5A5963A4"/>
    <w:rsid w:val="5A5C0D28"/>
    <w:rsid w:val="5A5D23AA"/>
    <w:rsid w:val="5A6E14F9"/>
    <w:rsid w:val="5A730A5E"/>
    <w:rsid w:val="5A7F67C4"/>
    <w:rsid w:val="5A7F76B0"/>
    <w:rsid w:val="5A821E0A"/>
    <w:rsid w:val="5A8B33BB"/>
    <w:rsid w:val="5A902EA3"/>
    <w:rsid w:val="5A927C85"/>
    <w:rsid w:val="5A981634"/>
    <w:rsid w:val="5A992006"/>
    <w:rsid w:val="5AA20705"/>
    <w:rsid w:val="5AA8017D"/>
    <w:rsid w:val="5AB11F8E"/>
    <w:rsid w:val="5AB60C96"/>
    <w:rsid w:val="5AB741B0"/>
    <w:rsid w:val="5AC57D66"/>
    <w:rsid w:val="5ACC12DE"/>
    <w:rsid w:val="5ACE2860"/>
    <w:rsid w:val="5AD22D98"/>
    <w:rsid w:val="5AD36B10"/>
    <w:rsid w:val="5AD96519"/>
    <w:rsid w:val="5AEC372E"/>
    <w:rsid w:val="5AF076C2"/>
    <w:rsid w:val="5AF276C4"/>
    <w:rsid w:val="5B0F5D9A"/>
    <w:rsid w:val="5B121FC7"/>
    <w:rsid w:val="5B1C630A"/>
    <w:rsid w:val="5B2C58CF"/>
    <w:rsid w:val="5B2D55FA"/>
    <w:rsid w:val="5B305D11"/>
    <w:rsid w:val="5B316CA1"/>
    <w:rsid w:val="5B321A89"/>
    <w:rsid w:val="5B3F5F54"/>
    <w:rsid w:val="5B4A15D2"/>
    <w:rsid w:val="5B597015"/>
    <w:rsid w:val="5B6836FC"/>
    <w:rsid w:val="5B6D2AC1"/>
    <w:rsid w:val="5B800A46"/>
    <w:rsid w:val="5B857E0A"/>
    <w:rsid w:val="5B8A042A"/>
    <w:rsid w:val="5B8B4EDF"/>
    <w:rsid w:val="5BA6598E"/>
    <w:rsid w:val="5BA87F9D"/>
    <w:rsid w:val="5BAD55B3"/>
    <w:rsid w:val="5BB22BCA"/>
    <w:rsid w:val="5BB478E2"/>
    <w:rsid w:val="5BB95D06"/>
    <w:rsid w:val="5BC31A14"/>
    <w:rsid w:val="5BC36BE7"/>
    <w:rsid w:val="5BC76675"/>
    <w:rsid w:val="5BC8419B"/>
    <w:rsid w:val="5BE54D4D"/>
    <w:rsid w:val="5BE97801"/>
    <w:rsid w:val="5BEC60DC"/>
    <w:rsid w:val="5BEF337C"/>
    <w:rsid w:val="5BF62691"/>
    <w:rsid w:val="5BF650F9"/>
    <w:rsid w:val="5BFC0F76"/>
    <w:rsid w:val="5C013209"/>
    <w:rsid w:val="5C0D1BAE"/>
    <w:rsid w:val="5C1178F0"/>
    <w:rsid w:val="5C15410B"/>
    <w:rsid w:val="5C1F71A0"/>
    <w:rsid w:val="5C287D75"/>
    <w:rsid w:val="5C2A6C04"/>
    <w:rsid w:val="5C384E7D"/>
    <w:rsid w:val="5C3B671B"/>
    <w:rsid w:val="5C4001D5"/>
    <w:rsid w:val="5C43165A"/>
    <w:rsid w:val="5C4A68D0"/>
    <w:rsid w:val="5C4C6B7A"/>
    <w:rsid w:val="5C582FA8"/>
    <w:rsid w:val="5C5F68AD"/>
    <w:rsid w:val="5C65136D"/>
    <w:rsid w:val="5C693288"/>
    <w:rsid w:val="5C734AD5"/>
    <w:rsid w:val="5C7779C1"/>
    <w:rsid w:val="5C7A5495"/>
    <w:rsid w:val="5C8F6A67"/>
    <w:rsid w:val="5C9522CF"/>
    <w:rsid w:val="5C9A5B38"/>
    <w:rsid w:val="5C9D1184"/>
    <w:rsid w:val="5CA02688"/>
    <w:rsid w:val="5CA50DB1"/>
    <w:rsid w:val="5CA63FC7"/>
    <w:rsid w:val="5CA72002"/>
    <w:rsid w:val="5CA800DD"/>
    <w:rsid w:val="5CAF4262"/>
    <w:rsid w:val="5CB564CD"/>
    <w:rsid w:val="5CB67C07"/>
    <w:rsid w:val="5CC71DD7"/>
    <w:rsid w:val="5CDC6150"/>
    <w:rsid w:val="5CDF2C12"/>
    <w:rsid w:val="5CE24DE9"/>
    <w:rsid w:val="5CEB6393"/>
    <w:rsid w:val="5CFD1C71"/>
    <w:rsid w:val="5D020D6A"/>
    <w:rsid w:val="5D172CE4"/>
    <w:rsid w:val="5D237480"/>
    <w:rsid w:val="5D275EBF"/>
    <w:rsid w:val="5D325D70"/>
    <w:rsid w:val="5D4810F0"/>
    <w:rsid w:val="5D537A94"/>
    <w:rsid w:val="5D59154F"/>
    <w:rsid w:val="5D656145"/>
    <w:rsid w:val="5D694F7E"/>
    <w:rsid w:val="5D69550A"/>
    <w:rsid w:val="5D6C6BE3"/>
    <w:rsid w:val="5D700646"/>
    <w:rsid w:val="5D706225"/>
    <w:rsid w:val="5D7A6325"/>
    <w:rsid w:val="5D7C348F"/>
    <w:rsid w:val="5D7F062C"/>
    <w:rsid w:val="5D881E34"/>
    <w:rsid w:val="5D886FAA"/>
    <w:rsid w:val="5D8B722E"/>
    <w:rsid w:val="5D9702C9"/>
    <w:rsid w:val="5D9C768D"/>
    <w:rsid w:val="5DA0717E"/>
    <w:rsid w:val="5DA1087A"/>
    <w:rsid w:val="5DA361F6"/>
    <w:rsid w:val="5DAB167E"/>
    <w:rsid w:val="5DB46096"/>
    <w:rsid w:val="5DBD1BFF"/>
    <w:rsid w:val="5DD0245C"/>
    <w:rsid w:val="5DD46E27"/>
    <w:rsid w:val="5DE66B5A"/>
    <w:rsid w:val="5DEB1D9A"/>
    <w:rsid w:val="5DF03535"/>
    <w:rsid w:val="5DF254FF"/>
    <w:rsid w:val="5DF67934"/>
    <w:rsid w:val="5DFF0DC2"/>
    <w:rsid w:val="5E053485"/>
    <w:rsid w:val="5E0B4875"/>
    <w:rsid w:val="5E0B6323"/>
    <w:rsid w:val="5E1E62F4"/>
    <w:rsid w:val="5E284328"/>
    <w:rsid w:val="5E317DD6"/>
    <w:rsid w:val="5E3411FD"/>
    <w:rsid w:val="5E357E00"/>
    <w:rsid w:val="5E361890"/>
    <w:rsid w:val="5E394EDC"/>
    <w:rsid w:val="5E3A2A30"/>
    <w:rsid w:val="5E3B6B18"/>
    <w:rsid w:val="5E3B6EA6"/>
    <w:rsid w:val="5E3C677A"/>
    <w:rsid w:val="5E3D2C1E"/>
    <w:rsid w:val="5E3E0745"/>
    <w:rsid w:val="5E4A631B"/>
    <w:rsid w:val="5E5A0C3A"/>
    <w:rsid w:val="5E5E2B95"/>
    <w:rsid w:val="5E68742F"/>
    <w:rsid w:val="5E6A6161"/>
    <w:rsid w:val="5E6E2D40"/>
    <w:rsid w:val="5E710B1A"/>
    <w:rsid w:val="5E723E03"/>
    <w:rsid w:val="5E727476"/>
    <w:rsid w:val="5E781EA8"/>
    <w:rsid w:val="5E79177D"/>
    <w:rsid w:val="5E826883"/>
    <w:rsid w:val="5E8405B2"/>
    <w:rsid w:val="5E84084D"/>
    <w:rsid w:val="5E897C12"/>
    <w:rsid w:val="5E960581"/>
    <w:rsid w:val="5EA26F25"/>
    <w:rsid w:val="5EB211E5"/>
    <w:rsid w:val="5EB91C0B"/>
    <w:rsid w:val="5EBF17E6"/>
    <w:rsid w:val="5EC96260"/>
    <w:rsid w:val="5ED341EE"/>
    <w:rsid w:val="5ED35331"/>
    <w:rsid w:val="5ED42C87"/>
    <w:rsid w:val="5EE55937"/>
    <w:rsid w:val="5EFA1D9F"/>
    <w:rsid w:val="5EFF6126"/>
    <w:rsid w:val="5F036EF5"/>
    <w:rsid w:val="5F044D00"/>
    <w:rsid w:val="5F071D80"/>
    <w:rsid w:val="5F090D52"/>
    <w:rsid w:val="5F131BD1"/>
    <w:rsid w:val="5F1A4D0E"/>
    <w:rsid w:val="5F1D2186"/>
    <w:rsid w:val="5F1E31F6"/>
    <w:rsid w:val="5F2E07B9"/>
    <w:rsid w:val="5F3F5C1C"/>
    <w:rsid w:val="5F4678B1"/>
    <w:rsid w:val="5F4D50E3"/>
    <w:rsid w:val="5F5024DD"/>
    <w:rsid w:val="5F562317"/>
    <w:rsid w:val="5F584C5F"/>
    <w:rsid w:val="5F5D4BFA"/>
    <w:rsid w:val="5F5E109E"/>
    <w:rsid w:val="5F7268F8"/>
    <w:rsid w:val="5F77759D"/>
    <w:rsid w:val="5F7C7776"/>
    <w:rsid w:val="5F7F76E0"/>
    <w:rsid w:val="5F9D02AD"/>
    <w:rsid w:val="5F9F5652"/>
    <w:rsid w:val="5FA016B7"/>
    <w:rsid w:val="5FAC6396"/>
    <w:rsid w:val="5FB0268E"/>
    <w:rsid w:val="5FB44474"/>
    <w:rsid w:val="5FB54A36"/>
    <w:rsid w:val="5FC03B07"/>
    <w:rsid w:val="5FC513BF"/>
    <w:rsid w:val="5FC56D63"/>
    <w:rsid w:val="5FC765D8"/>
    <w:rsid w:val="5FD44EBD"/>
    <w:rsid w:val="5FF4555F"/>
    <w:rsid w:val="5FF67529"/>
    <w:rsid w:val="5FFB68ED"/>
    <w:rsid w:val="60000E7D"/>
    <w:rsid w:val="600D4872"/>
    <w:rsid w:val="602A5424"/>
    <w:rsid w:val="602D6CC3"/>
    <w:rsid w:val="60330F69"/>
    <w:rsid w:val="60343BAD"/>
    <w:rsid w:val="60345FC5"/>
    <w:rsid w:val="60471B32"/>
    <w:rsid w:val="604F7690"/>
    <w:rsid w:val="60592246"/>
    <w:rsid w:val="605E0C2A"/>
    <w:rsid w:val="60665530"/>
    <w:rsid w:val="607401A8"/>
    <w:rsid w:val="60823D10"/>
    <w:rsid w:val="60830691"/>
    <w:rsid w:val="60897311"/>
    <w:rsid w:val="608A7C71"/>
    <w:rsid w:val="608B4472"/>
    <w:rsid w:val="608F5106"/>
    <w:rsid w:val="609C68FB"/>
    <w:rsid w:val="60A50489"/>
    <w:rsid w:val="60A9459B"/>
    <w:rsid w:val="60B17FA4"/>
    <w:rsid w:val="60B67A0D"/>
    <w:rsid w:val="60B82A30"/>
    <w:rsid w:val="60B92304"/>
    <w:rsid w:val="60BA0556"/>
    <w:rsid w:val="60C05441"/>
    <w:rsid w:val="60C07B37"/>
    <w:rsid w:val="60DB1C99"/>
    <w:rsid w:val="60E97507"/>
    <w:rsid w:val="60EB541B"/>
    <w:rsid w:val="60F130C0"/>
    <w:rsid w:val="60F35816"/>
    <w:rsid w:val="60F611B1"/>
    <w:rsid w:val="60FA4DF7"/>
    <w:rsid w:val="61001CE1"/>
    <w:rsid w:val="6106444C"/>
    <w:rsid w:val="610E43FE"/>
    <w:rsid w:val="610E589B"/>
    <w:rsid w:val="61140FFD"/>
    <w:rsid w:val="61170C7A"/>
    <w:rsid w:val="61273712"/>
    <w:rsid w:val="612B3202"/>
    <w:rsid w:val="613100ED"/>
    <w:rsid w:val="61351EF3"/>
    <w:rsid w:val="613D2F35"/>
    <w:rsid w:val="613F6CAD"/>
    <w:rsid w:val="61493688"/>
    <w:rsid w:val="614E6EF1"/>
    <w:rsid w:val="615F4C5A"/>
    <w:rsid w:val="6162397E"/>
    <w:rsid w:val="61686204"/>
    <w:rsid w:val="616B1851"/>
    <w:rsid w:val="616F38B2"/>
    <w:rsid w:val="61711F5B"/>
    <w:rsid w:val="61774699"/>
    <w:rsid w:val="6184632D"/>
    <w:rsid w:val="61907509"/>
    <w:rsid w:val="619C7C5C"/>
    <w:rsid w:val="61BC77BF"/>
    <w:rsid w:val="61BE5E24"/>
    <w:rsid w:val="61CB6793"/>
    <w:rsid w:val="61CD4C3A"/>
    <w:rsid w:val="61D2367E"/>
    <w:rsid w:val="61D72450"/>
    <w:rsid w:val="61DE5063"/>
    <w:rsid w:val="61E57855"/>
    <w:rsid w:val="61EB0BE3"/>
    <w:rsid w:val="61F623AC"/>
    <w:rsid w:val="61FA4982"/>
    <w:rsid w:val="620D2232"/>
    <w:rsid w:val="62157A0E"/>
    <w:rsid w:val="621E2D67"/>
    <w:rsid w:val="62214605"/>
    <w:rsid w:val="62307304"/>
    <w:rsid w:val="623612CF"/>
    <w:rsid w:val="623954AB"/>
    <w:rsid w:val="624A3B5C"/>
    <w:rsid w:val="62546789"/>
    <w:rsid w:val="62595B4D"/>
    <w:rsid w:val="62621930"/>
    <w:rsid w:val="62712E97"/>
    <w:rsid w:val="62750FE4"/>
    <w:rsid w:val="62751ADB"/>
    <w:rsid w:val="627A3766"/>
    <w:rsid w:val="627D7A8D"/>
    <w:rsid w:val="627F4F43"/>
    <w:rsid w:val="628D200B"/>
    <w:rsid w:val="628E1C9B"/>
    <w:rsid w:val="62954F22"/>
    <w:rsid w:val="62966DA1"/>
    <w:rsid w:val="629B1BAF"/>
    <w:rsid w:val="62A33F28"/>
    <w:rsid w:val="62AF39D2"/>
    <w:rsid w:val="62B62F9F"/>
    <w:rsid w:val="62BD2580"/>
    <w:rsid w:val="62C109B8"/>
    <w:rsid w:val="62C1100F"/>
    <w:rsid w:val="62CE090B"/>
    <w:rsid w:val="62D5501B"/>
    <w:rsid w:val="62E27A92"/>
    <w:rsid w:val="62E51579"/>
    <w:rsid w:val="62E535D5"/>
    <w:rsid w:val="62E55633"/>
    <w:rsid w:val="62E80665"/>
    <w:rsid w:val="62EA2C49"/>
    <w:rsid w:val="62EC69C1"/>
    <w:rsid w:val="62F835B8"/>
    <w:rsid w:val="62FE5D89"/>
    <w:rsid w:val="630261E5"/>
    <w:rsid w:val="63083AA2"/>
    <w:rsid w:val="630930CF"/>
    <w:rsid w:val="630E4DAE"/>
    <w:rsid w:val="630E7E62"/>
    <w:rsid w:val="631303F2"/>
    <w:rsid w:val="63181564"/>
    <w:rsid w:val="631D6B7A"/>
    <w:rsid w:val="631E0E6B"/>
    <w:rsid w:val="632F68AE"/>
    <w:rsid w:val="63304B00"/>
    <w:rsid w:val="6347009B"/>
    <w:rsid w:val="635E1959"/>
    <w:rsid w:val="636838B8"/>
    <w:rsid w:val="63691DC0"/>
    <w:rsid w:val="63754C08"/>
    <w:rsid w:val="637F3391"/>
    <w:rsid w:val="63901A42"/>
    <w:rsid w:val="639058EB"/>
    <w:rsid w:val="63927568"/>
    <w:rsid w:val="639C27A7"/>
    <w:rsid w:val="639C3F43"/>
    <w:rsid w:val="63A252D2"/>
    <w:rsid w:val="63A66B70"/>
    <w:rsid w:val="63AD5074"/>
    <w:rsid w:val="63C92918"/>
    <w:rsid w:val="63CB6939"/>
    <w:rsid w:val="63CC5C1B"/>
    <w:rsid w:val="63D119C2"/>
    <w:rsid w:val="63D42D01"/>
    <w:rsid w:val="63DA4A6C"/>
    <w:rsid w:val="63DE4E6F"/>
    <w:rsid w:val="63ED29F1"/>
    <w:rsid w:val="63F85083"/>
    <w:rsid w:val="63F94F1E"/>
    <w:rsid w:val="63FC228E"/>
    <w:rsid w:val="64133BE0"/>
    <w:rsid w:val="641B1C22"/>
    <w:rsid w:val="641F17EC"/>
    <w:rsid w:val="641F4B74"/>
    <w:rsid w:val="64236413"/>
    <w:rsid w:val="64262018"/>
    <w:rsid w:val="642910AB"/>
    <w:rsid w:val="642A73AB"/>
    <w:rsid w:val="643045EA"/>
    <w:rsid w:val="643248A8"/>
    <w:rsid w:val="643273F2"/>
    <w:rsid w:val="64395A85"/>
    <w:rsid w:val="643E149E"/>
    <w:rsid w:val="644B5969"/>
    <w:rsid w:val="6457430E"/>
    <w:rsid w:val="647F5607"/>
    <w:rsid w:val="64882308"/>
    <w:rsid w:val="648844C8"/>
    <w:rsid w:val="6491688B"/>
    <w:rsid w:val="649F3623"/>
    <w:rsid w:val="64A00151"/>
    <w:rsid w:val="64A23729"/>
    <w:rsid w:val="64B67287"/>
    <w:rsid w:val="64BD65E7"/>
    <w:rsid w:val="64BE5FF1"/>
    <w:rsid w:val="64C03C61"/>
    <w:rsid w:val="64C319A4"/>
    <w:rsid w:val="64CD637E"/>
    <w:rsid w:val="64D12312"/>
    <w:rsid w:val="64D317D2"/>
    <w:rsid w:val="64EC62A1"/>
    <w:rsid w:val="64EE4C72"/>
    <w:rsid w:val="64F23CFF"/>
    <w:rsid w:val="650400BD"/>
    <w:rsid w:val="65050A27"/>
    <w:rsid w:val="650C10E2"/>
    <w:rsid w:val="650C6EA7"/>
    <w:rsid w:val="650F4BE9"/>
    <w:rsid w:val="651144BD"/>
    <w:rsid w:val="65202952"/>
    <w:rsid w:val="652276D1"/>
    <w:rsid w:val="6528549D"/>
    <w:rsid w:val="652C55BF"/>
    <w:rsid w:val="652F0DE7"/>
    <w:rsid w:val="65355974"/>
    <w:rsid w:val="653C35A1"/>
    <w:rsid w:val="653C3F28"/>
    <w:rsid w:val="653D3504"/>
    <w:rsid w:val="65402FF4"/>
    <w:rsid w:val="6544050F"/>
    <w:rsid w:val="654A43DC"/>
    <w:rsid w:val="654D7C2E"/>
    <w:rsid w:val="65501B81"/>
    <w:rsid w:val="655F347A"/>
    <w:rsid w:val="655F3BB6"/>
    <w:rsid w:val="65640A91"/>
    <w:rsid w:val="65644F35"/>
    <w:rsid w:val="656640D5"/>
    <w:rsid w:val="657038D9"/>
    <w:rsid w:val="65733463"/>
    <w:rsid w:val="657472BF"/>
    <w:rsid w:val="65756527"/>
    <w:rsid w:val="6577371B"/>
    <w:rsid w:val="65864EAB"/>
    <w:rsid w:val="65883703"/>
    <w:rsid w:val="65896749"/>
    <w:rsid w:val="658A426F"/>
    <w:rsid w:val="658E1FB1"/>
    <w:rsid w:val="65A46FA3"/>
    <w:rsid w:val="65C14135"/>
    <w:rsid w:val="65C842CB"/>
    <w:rsid w:val="65CE6852"/>
    <w:rsid w:val="65D242C5"/>
    <w:rsid w:val="65DE4CE7"/>
    <w:rsid w:val="65E16585"/>
    <w:rsid w:val="65FA5B04"/>
    <w:rsid w:val="660B2643"/>
    <w:rsid w:val="66216982"/>
    <w:rsid w:val="66263296"/>
    <w:rsid w:val="662B7800"/>
    <w:rsid w:val="66361F34"/>
    <w:rsid w:val="66366844"/>
    <w:rsid w:val="663743F7"/>
    <w:rsid w:val="663D1563"/>
    <w:rsid w:val="664214DE"/>
    <w:rsid w:val="66487C70"/>
    <w:rsid w:val="66522FDF"/>
    <w:rsid w:val="66534F83"/>
    <w:rsid w:val="66546D57"/>
    <w:rsid w:val="6659436D"/>
    <w:rsid w:val="66613222"/>
    <w:rsid w:val="6663343E"/>
    <w:rsid w:val="66652D12"/>
    <w:rsid w:val="666F3B91"/>
    <w:rsid w:val="667B683E"/>
    <w:rsid w:val="66800934"/>
    <w:rsid w:val="668D4017"/>
    <w:rsid w:val="6692629B"/>
    <w:rsid w:val="669A10A8"/>
    <w:rsid w:val="669B55C3"/>
    <w:rsid w:val="66A539AA"/>
    <w:rsid w:val="66AC4EFB"/>
    <w:rsid w:val="66AC6B93"/>
    <w:rsid w:val="66CC2D91"/>
    <w:rsid w:val="66D25ECE"/>
    <w:rsid w:val="66D32372"/>
    <w:rsid w:val="66D66D5A"/>
    <w:rsid w:val="66DA46D0"/>
    <w:rsid w:val="66EA03E5"/>
    <w:rsid w:val="66EA76BB"/>
    <w:rsid w:val="66EC6F90"/>
    <w:rsid w:val="66F95B50"/>
    <w:rsid w:val="66F978FF"/>
    <w:rsid w:val="66FB71D3"/>
    <w:rsid w:val="67000C8D"/>
    <w:rsid w:val="67066277"/>
    <w:rsid w:val="670C5884"/>
    <w:rsid w:val="67114C48"/>
    <w:rsid w:val="67183BB9"/>
    <w:rsid w:val="671E6EBA"/>
    <w:rsid w:val="672554D0"/>
    <w:rsid w:val="67264120"/>
    <w:rsid w:val="673152EA"/>
    <w:rsid w:val="6734105D"/>
    <w:rsid w:val="673F4E79"/>
    <w:rsid w:val="674111BB"/>
    <w:rsid w:val="674E7C4A"/>
    <w:rsid w:val="674F4B55"/>
    <w:rsid w:val="67556920"/>
    <w:rsid w:val="67604DD4"/>
    <w:rsid w:val="67650AF0"/>
    <w:rsid w:val="676A497C"/>
    <w:rsid w:val="67713AF5"/>
    <w:rsid w:val="67786039"/>
    <w:rsid w:val="677C2880"/>
    <w:rsid w:val="67821468"/>
    <w:rsid w:val="678418BE"/>
    <w:rsid w:val="6786252D"/>
    <w:rsid w:val="678952C2"/>
    <w:rsid w:val="678C06FD"/>
    <w:rsid w:val="67944795"/>
    <w:rsid w:val="679F4002"/>
    <w:rsid w:val="67A00D4C"/>
    <w:rsid w:val="67A24D66"/>
    <w:rsid w:val="67AA29A7"/>
    <w:rsid w:val="67AA6BE0"/>
    <w:rsid w:val="67AB0BF9"/>
    <w:rsid w:val="67AB6E4B"/>
    <w:rsid w:val="67BF46A4"/>
    <w:rsid w:val="67CC4FB6"/>
    <w:rsid w:val="67CE48FC"/>
    <w:rsid w:val="67D47775"/>
    <w:rsid w:val="67DB7004"/>
    <w:rsid w:val="67DF08A2"/>
    <w:rsid w:val="67E139B6"/>
    <w:rsid w:val="67E4410B"/>
    <w:rsid w:val="67EC2B21"/>
    <w:rsid w:val="67F11C5F"/>
    <w:rsid w:val="67FB0C9E"/>
    <w:rsid w:val="67FE5C35"/>
    <w:rsid w:val="680616BB"/>
    <w:rsid w:val="680B5A60"/>
    <w:rsid w:val="680B5B3B"/>
    <w:rsid w:val="681744E0"/>
    <w:rsid w:val="68190258"/>
    <w:rsid w:val="681F7D61"/>
    <w:rsid w:val="68247685"/>
    <w:rsid w:val="682F0879"/>
    <w:rsid w:val="683230C8"/>
    <w:rsid w:val="68380DA5"/>
    <w:rsid w:val="683B6B50"/>
    <w:rsid w:val="683F4EAF"/>
    <w:rsid w:val="684150B9"/>
    <w:rsid w:val="68437083"/>
    <w:rsid w:val="6846773F"/>
    <w:rsid w:val="68594AF9"/>
    <w:rsid w:val="685A43CD"/>
    <w:rsid w:val="685C6397"/>
    <w:rsid w:val="685E0447"/>
    <w:rsid w:val="68692862"/>
    <w:rsid w:val="68725BBA"/>
    <w:rsid w:val="687264E6"/>
    <w:rsid w:val="687E630D"/>
    <w:rsid w:val="687F2291"/>
    <w:rsid w:val="688A2F04"/>
    <w:rsid w:val="688A4CB2"/>
    <w:rsid w:val="688D1EA2"/>
    <w:rsid w:val="688D6550"/>
    <w:rsid w:val="68931B51"/>
    <w:rsid w:val="68951101"/>
    <w:rsid w:val="68957B1E"/>
    <w:rsid w:val="689B6EBF"/>
    <w:rsid w:val="689E075E"/>
    <w:rsid w:val="689F3DBE"/>
    <w:rsid w:val="68B0223F"/>
    <w:rsid w:val="68B47E1F"/>
    <w:rsid w:val="68B860A6"/>
    <w:rsid w:val="68BF2482"/>
    <w:rsid w:val="68C1269E"/>
    <w:rsid w:val="68C335B2"/>
    <w:rsid w:val="68C53B16"/>
    <w:rsid w:val="68C81874"/>
    <w:rsid w:val="68DC28D0"/>
    <w:rsid w:val="68E1689C"/>
    <w:rsid w:val="68E310F3"/>
    <w:rsid w:val="68E63EB3"/>
    <w:rsid w:val="68E85E7D"/>
    <w:rsid w:val="68EF720B"/>
    <w:rsid w:val="68F051DD"/>
    <w:rsid w:val="68F16512"/>
    <w:rsid w:val="68F91DF8"/>
    <w:rsid w:val="68FF7E12"/>
    <w:rsid w:val="690040E7"/>
    <w:rsid w:val="69054339"/>
    <w:rsid w:val="69076303"/>
    <w:rsid w:val="690A40C6"/>
    <w:rsid w:val="690A5DF3"/>
    <w:rsid w:val="69110F2F"/>
    <w:rsid w:val="69221585"/>
    <w:rsid w:val="69252556"/>
    <w:rsid w:val="692A3D9F"/>
    <w:rsid w:val="692B0A72"/>
    <w:rsid w:val="692F1216"/>
    <w:rsid w:val="6933534A"/>
    <w:rsid w:val="69470DF5"/>
    <w:rsid w:val="69535BCA"/>
    <w:rsid w:val="695E4701"/>
    <w:rsid w:val="6962103E"/>
    <w:rsid w:val="696574CD"/>
    <w:rsid w:val="696B2299"/>
    <w:rsid w:val="69733998"/>
    <w:rsid w:val="697A06A8"/>
    <w:rsid w:val="698B0E9D"/>
    <w:rsid w:val="698C2B93"/>
    <w:rsid w:val="69903C55"/>
    <w:rsid w:val="699F653B"/>
    <w:rsid w:val="69A00D58"/>
    <w:rsid w:val="69A17C70"/>
    <w:rsid w:val="69AA4A0A"/>
    <w:rsid w:val="69C97C3E"/>
    <w:rsid w:val="69D67C73"/>
    <w:rsid w:val="69E30D0E"/>
    <w:rsid w:val="69EC374B"/>
    <w:rsid w:val="69FA5E67"/>
    <w:rsid w:val="69FD70BB"/>
    <w:rsid w:val="6A1A02B8"/>
    <w:rsid w:val="6A203D51"/>
    <w:rsid w:val="6A260A0B"/>
    <w:rsid w:val="6A2627B9"/>
    <w:rsid w:val="6A314603"/>
    <w:rsid w:val="6A3B0684"/>
    <w:rsid w:val="6A3E5777"/>
    <w:rsid w:val="6A3F1ACC"/>
    <w:rsid w:val="6A484E25"/>
    <w:rsid w:val="6A570BC4"/>
    <w:rsid w:val="6A5739A0"/>
    <w:rsid w:val="6A587C04"/>
    <w:rsid w:val="6A5A06B4"/>
    <w:rsid w:val="6A5D01A4"/>
    <w:rsid w:val="6A645A3C"/>
    <w:rsid w:val="6A652063"/>
    <w:rsid w:val="6A681023"/>
    <w:rsid w:val="6A6908F7"/>
    <w:rsid w:val="6A703C13"/>
    <w:rsid w:val="6A731776"/>
    <w:rsid w:val="6A7C02EA"/>
    <w:rsid w:val="6A7C1846"/>
    <w:rsid w:val="6A860529"/>
    <w:rsid w:val="6A892D47"/>
    <w:rsid w:val="6A97335A"/>
    <w:rsid w:val="6A9C7BD0"/>
    <w:rsid w:val="6A9E5A65"/>
    <w:rsid w:val="6A9F256B"/>
    <w:rsid w:val="6AB86924"/>
    <w:rsid w:val="6AC93911"/>
    <w:rsid w:val="6ACB2AE8"/>
    <w:rsid w:val="6ACF21D9"/>
    <w:rsid w:val="6AD22940"/>
    <w:rsid w:val="6AD777B4"/>
    <w:rsid w:val="6ADC731B"/>
    <w:rsid w:val="6AE16007"/>
    <w:rsid w:val="6AE23394"/>
    <w:rsid w:val="6AE7234F"/>
    <w:rsid w:val="6AEF704E"/>
    <w:rsid w:val="6B014FD4"/>
    <w:rsid w:val="6B063CC1"/>
    <w:rsid w:val="6B1637B6"/>
    <w:rsid w:val="6B2A62D8"/>
    <w:rsid w:val="6B361121"/>
    <w:rsid w:val="6B397E5E"/>
    <w:rsid w:val="6B420607"/>
    <w:rsid w:val="6B480E55"/>
    <w:rsid w:val="6B4A0729"/>
    <w:rsid w:val="6B4C7487"/>
    <w:rsid w:val="6B5670CE"/>
    <w:rsid w:val="6B6537B4"/>
    <w:rsid w:val="6B687F92"/>
    <w:rsid w:val="6B6D3AF9"/>
    <w:rsid w:val="6B72229B"/>
    <w:rsid w:val="6B725276"/>
    <w:rsid w:val="6B826114"/>
    <w:rsid w:val="6B845E74"/>
    <w:rsid w:val="6B873BC5"/>
    <w:rsid w:val="6B8B7888"/>
    <w:rsid w:val="6B96396E"/>
    <w:rsid w:val="6B99435E"/>
    <w:rsid w:val="6BAF0A74"/>
    <w:rsid w:val="6BAF2C82"/>
    <w:rsid w:val="6BB12556"/>
    <w:rsid w:val="6BC11098"/>
    <w:rsid w:val="6BC953A5"/>
    <w:rsid w:val="6BCA3618"/>
    <w:rsid w:val="6BD050D2"/>
    <w:rsid w:val="6BE31B38"/>
    <w:rsid w:val="6BE413C0"/>
    <w:rsid w:val="6BE436D6"/>
    <w:rsid w:val="6BE50451"/>
    <w:rsid w:val="6BE97F42"/>
    <w:rsid w:val="6BF6265F"/>
    <w:rsid w:val="6BFA3EFD"/>
    <w:rsid w:val="6C051B17"/>
    <w:rsid w:val="6C066D46"/>
    <w:rsid w:val="6C067725"/>
    <w:rsid w:val="6C0A7EB8"/>
    <w:rsid w:val="6C101972"/>
    <w:rsid w:val="6C136D6D"/>
    <w:rsid w:val="6C1D7BEB"/>
    <w:rsid w:val="6C1F5711"/>
    <w:rsid w:val="6C205449"/>
    <w:rsid w:val="6C292A34"/>
    <w:rsid w:val="6C3078F9"/>
    <w:rsid w:val="6C353214"/>
    <w:rsid w:val="6C3A079D"/>
    <w:rsid w:val="6C3B1211"/>
    <w:rsid w:val="6C403C9F"/>
    <w:rsid w:val="6C4433CA"/>
    <w:rsid w:val="6C4537CF"/>
    <w:rsid w:val="6C677FCB"/>
    <w:rsid w:val="6C6A357A"/>
    <w:rsid w:val="6C753814"/>
    <w:rsid w:val="6C762AC9"/>
    <w:rsid w:val="6C7F08A6"/>
    <w:rsid w:val="6C7F50F6"/>
    <w:rsid w:val="6C81465A"/>
    <w:rsid w:val="6C8841CA"/>
    <w:rsid w:val="6C88775B"/>
    <w:rsid w:val="6C8934D3"/>
    <w:rsid w:val="6C922387"/>
    <w:rsid w:val="6C9E6F7E"/>
    <w:rsid w:val="6CA125CA"/>
    <w:rsid w:val="6CA36342"/>
    <w:rsid w:val="6CA976D1"/>
    <w:rsid w:val="6CAE6A95"/>
    <w:rsid w:val="6CB73B9C"/>
    <w:rsid w:val="6CBC7404"/>
    <w:rsid w:val="6CBF16EF"/>
    <w:rsid w:val="6CD04C5E"/>
    <w:rsid w:val="6CDB612A"/>
    <w:rsid w:val="6CEE630C"/>
    <w:rsid w:val="6CF2217D"/>
    <w:rsid w:val="6CF272CA"/>
    <w:rsid w:val="6CF50B68"/>
    <w:rsid w:val="6CF62EDC"/>
    <w:rsid w:val="6D036DE1"/>
    <w:rsid w:val="6D056FFD"/>
    <w:rsid w:val="6D223E9A"/>
    <w:rsid w:val="6D231231"/>
    <w:rsid w:val="6D286B5F"/>
    <w:rsid w:val="6D2A0812"/>
    <w:rsid w:val="6D321474"/>
    <w:rsid w:val="6D433529"/>
    <w:rsid w:val="6D457C30"/>
    <w:rsid w:val="6D4A0EB4"/>
    <w:rsid w:val="6D515B2D"/>
    <w:rsid w:val="6D583F2D"/>
    <w:rsid w:val="6D5B6F02"/>
    <w:rsid w:val="6D604CB1"/>
    <w:rsid w:val="6D617FAC"/>
    <w:rsid w:val="6D647432"/>
    <w:rsid w:val="6D667370"/>
    <w:rsid w:val="6D725D15"/>
    <w:rsid w:val="6D74231D"/>
    <w:rsid w:val="6D782EB1"/>
    <w:rsid w:val="6D7952F5"/>
    <w:rsid w:val="6D7D4DE5"/>
    <w:rsid w:val="6D851EEC"/>
    <w:rsid w:val="6D875C64"/>
    <w:rsid w:val="6D9E4D5C"/>
    <w:rsid w:val="6DA436EF"/>
    <w:rsid w:val="6DA46816"/>
    <w:rsid w:val="6DA560EA"/>
    <w:rsid w:val="6DA85BDA"/>
    <w:rsid w:val="6DAA42C3"/>
    <w:rsid w:val="6DAB431B"/>
    <w:rsid w:val="6DB01ACD"/>
    <w:rsid w:val="6DB427D1"/>
    <w:rsid w:val="6DCF13B9"/>
    <w:rsid w:val="6DCF4F15"/>
    <w:rsid w:val="6DE50BDD"/>
    <w:rsid w:val="6DE76C37"/>
    <w:rsid w:val="6DE85FD7"/>
    <w:rsid w:val="6DF210E0"/>
    <w:rsid w:val="6E05536F"/>
    <w:rsid w:val="6E066C9B"/>
    <w:rsid w:val="6E11025D"/>
    <w:rsid w:val="6E1A0886"/>
    <w:rsid w:val="6E1F7100"/>
    <w:rsid w:val="6E22686A"/>
    <w:rsid w:val="6E2434B3"/>
    <w:rsid w:val="6E354459"/>
    <w:rsid w:val="6E47372B"/>
    <w:rsid w:val="6E520537"/>
    <w:rsid w:val="6E5A6ED5"/>
    <w:rsid w:val="6E5B49FB"/>
    <w:rsid w:val="6E625D89"/>
    <w:rsid w:val="6E6D45C6"/>
    <w:rsid w:val="6E7453A1"/>
    <w:rsid w:val="6E796F83"/>
    <w:rsid w:val="6E7F39B3"/>
    <w:rsid w:val="6E82467D"/>
    <w:rsid w:val="6E8436A5"/>
    <w:rsid w:val="6E906D9A"/>
    <w:rsid w:val="6EA5135E"/>
    <w:rsid w:val="6EC54753"/>
    <w:rsid w:val="6EC66318"/>
    <w:rsid w:val="6EDA5EEB"/>
    <w:rsid w:val="6EED7D49"/>
    <w:rsid w:val="6EF03395"/>
    <w:rsid w:val="6F013185"/>
    <w:rsid w:val="6F1152A3"/>
    <w:rsid w:val="6F1E7F02"/>
    <w:rsid w:val="6F2474E3"/>
    <w:rsid w:val="6F2A1B6E"/>
    <w:rsid w:val="6F2A2001"/>
    <w:rsid w:val="6F3401B1"/>
    <w:rsid w:val="6F392F8E"/>
    <w:rsid w:val="6F3C482C"/>
    <w:rsid w:val="6F3C6722"/>
    <w:rsid w:val="6F4A44A6"/>
    <w:rsid w:val="6F4B2CC1"/>
    <w:rsid w:val="6F655B31"/>
    <w:rsid w:val="6F675D4D"/>
    <w:rsid w:val="6F683873"/>
    <w:rsid w:val="6F6D70DC"/>
    <w:rsid w:val="6F782FF1"/>
    <w:rsid w:val="6F810C8A"/>
    <w:rsid w:val="6F871F4B"/>
    <w:rsid w:val="6F8754C1"/>
    <w:rsid w:val="6F875CF8"/>
    <w:rsid w:val="6F9603E0"/>
    <w:rsid w:val="6F9F6319"/>
    <w:rsid w:val="6FA7439C"/>
    <w:rsid w:val="6FA83C70"/>
    <w:rsid w:val="6FB61059"/>
    <w:rsid w:val="6FBA2FDB"/>
    <w:rsid w:val="6FBB325E"/>
    <w:rsid w:val="6FBE16E5"/>
    <w:rsid w:val="6FC34F4E"/>
    <w:rsid w:val="6FD131C7"/>
    <w:rsid w:val="6FE42AE3"/>
    <w:rsid w:val="6FF13BFA"/>
    <w:rsid w:val="6FF66E62"/>
    <w:rsid w:val="700370F8"/>
    <w:rsid w:val="70052E70"/>
    <w:rsid w:val="7009226E"/>
    <w:rsid w:val="700B7313"/>
    <w:rsid w:val="701557A9"/>
    <w:rsid w:val="701C6B3E"/>
    <w:rsid w:val="701E5E26"/>
    <w:rsid w:val="701F03D6"/>
    <w:rsid w:val="701F5E8A"/>
    <w:rsid w:val="70293003"/>
    <w:rsid w:val="70294DB1"/>
    <w:rsid w:val="70386A76"/>
    <w:rsid w:val="703E6382"/>
    <w:rsid w:val="7041778B"/>
    <w:rsid w:val="70497201"/>
    <w:rsid w:val="70527945"/>
    <w:rsid w:val="705636CC"/>
    <w:rsid w:val="705D4A5A"/>
    <w:rsid w:val="706109EE"/>
    <w:rsid w:val="7064191E"/>
    <w:rsid w:val="706C7393"/>
    <w:rsid w:val="70716758"/>
    <w:rsid w:val="70765B1C"/>
    <w:rsid w:val="707A385E"/>
    <w:rsid w:val="70860455"/>
    <w:rsid w:val="70912956"/>
    <w:rsid w:val="709F4552"/>
    <w:rsid w:val="70A97C9F"/>
    <w:rsid w:val="70B11484"/>
    <w:rsid w:val="70B76860"/>
    <w:rsid w:val="70C26E03"/>
    <w:rsid w:val="70CD6084"/>
    <w:rsid w:val="70CF74E9"/>
    <w:rsid w:val="70D129EC"/>
    <w:rsid w:val="70D84923"/>
    <w:rsid w:val="70DC62C7"/>
    <w:rsid w:val="70E05B9C"/>
    <w:rsid w:val="70E72D3A"/>
    <w:rsid w:val="70F04535"/>
    <w:rsid w:val="710006EF"/>
    <w:rsid w:val="71063344"/>
    <w:rsid w:val="71072C18"/>
    <w:rsid w:val="710A284E"/>
    <w:rsid w:val="7117258A"/>
    <w:rsid w:val="71184E25"/>
    <w:rsid w:val="71227353"/>
    <w:rsid w:val="712E455E"/>
    <w:rsid w:val="713B6E93"/>
    <w:rsid w:val="713C4FB8"/>
    <w:rsid w:val="71445C1A"/>
    <w:rsid w:val="714B3B1D"/>
    <w:rsid w:val="715174F0"/>
    <w:rsid w:val="71530B04"/>
    <w:rsid w:val="71567D47"/>
    <w:rsid w:val="715A39FC"/>
    <w:rsid w:val="71625175"/>
    <w:rsid w:val="71625374"/>
    <w:rsid w:val="716562BC"/>
    <w:rsid w:val="716F713B"/>
    <w:rsid w:val="71722787"/>
    <w:rsid w:val="717C53B4"/>
    <w:rsid w:val="718304F0"/>
    <w:rsid w:val="718524BB"/>
    <w:rsid w:val="718E5F50"/>
    <w:rsid w:val="71997D14"/>
    <w:rsid w:val="719D29E1"/>
    <w:rsid w:val="719E17CE"/>
    <w:rsid w:val="719E332C"/>
    <w:rsid w:val="71A118AB"/>
    <w:rsid w:val="71B0198F"/>
    <w:rsid w:val="71BC5C48"/>
    <w:rsid w:val="71BE03CF"/>
    <w:rsid w:val="71D62D16"/>
    <w:rsid w:val="71E371E1"/>
    <w:rsid w:val="71EE29DB"/>
    <w:rsid w:val="71F118FE"/>
    <w:rsid w:val="71F911D7"/>
    <w:rsid w:val="71FC347E"/>
    <w:rsid w:val="720158B9"/>
    <w:rsid w:val="72077373"/>
    <w:rsid w:val="720C1475"/>
    <w:rsid w:val="72146E88"/>
    <w:rsid w:val="722233A5"/>
    <w:rsid w:val="72367C59"/>
    <w:rsid w:val="723B0DCB"/>
    <w:rsid w:val="723F73A0"/>
    <w:rsid w:val="72414F83"/>
    <w:rsid w:val="724420C8"/>
    <w:rsid w:val="724C2E1B"/>
    <w:rsid w:val="724E4FA2"/>
    <w:rsid w:val="72555334"/>
    <w:rsid w:val="725C0BAF"/>
    <w:rsid w:val="725C5D19"/>
    <w:rsid w:val="726B3F3A"/>
    <w:rsid w:val="727D5888"/>
    <w:rsid w:val="728650C9"/>
    <w:rsid w:val="728704B4"/>
    <w:rsid w:val="72880092"/>
    <w:rsid w:val="728C1627"/>
    <w:rsid w:val="728C5ACB"/>
    <w:rsid w:val="7299200B"/>
    <w:rsid w:val="729A01E8"/>
    <w:rsid w:val="729F75AC"/>
    <w:rsid w:val="72A40476"/>
    <w:rsid w:val="72A42E14"/>
    <w:rsid w:val="72A5093A"/>
    <w:rsid w:val="72A90DEF"/>
    <w:rsid w:val="72A921D9"/>
    <w:rsid w:val="72AC1CC9"/>
    <w:rsid w:val="72B14D59"/>
    <w:rsid w:val="72B1708D"/>
    <w:rsid w:val="72BA6194"/>
    <w:rsid w:val="72CC6E40"/>
    <w:rsid w:val="72DA504C"/>
    <w:rsid w:val="72DC1C75"/>
    <w:rsid w:val="72DD227B"/>
    <w:rsid w:val="72EC213B"/>
    <w:rsid w:val="72F77CB0"/>
    <w:rsid w:val="72FE21C5"/>
    <w:rsid w:val="730833A3"/>
    <w:rsid w:val="73137F9A"/>
    <w:rsid w:val="73153926"/>
    <w:rsid w:val="73181CE5"/>
    <w:rsid w:val="731A04F4"/>
    <w:rsid w:val="731F0646"/>
    <w:rsid w:val="73221F8B"/>
    <w:rsid w:val="732B01F9"/>
    <w:rsid w:val="733028FA"/>
    <w:rsid w:val="734343DB"/>
    <w:rsid w:val="734D708D"/>
    <w:rsid w:val="734E083B"/>
    <w:rsid w:val="734F5125"/>
    <w:rsid w:val="735C0F4B"/>
    <w:rsid w:val="735D2FC3"/>
    <w:rsid w:val="735E12E8"/>
    <w:rsid w:val="735E7467"/>
    <w:rsid w:val="736366E2"/>
    <w:rsid w:val="73644352"/>
    <w:rsid w:val="73661E78"/>
    <w:rsid w:val="736D0CAB"/>
    <w:rsid w:val="736F3422"/>
    <w:rsid w:val="737039B8"/>
    <w:rsid w:val="7372081D"/>
    <w:rsid w:val="737425B0"/>
    <w:rsid w:val="73766E48"/>
    <w:rsid w:val="73781BAB"/>
    <w:rsid w:val="737C78ED"/>
    <w:rsid w:val="7387399F"/>
    <w:rsid w:val="738B5D82"/>
    <w:rsid w:val="73957839"/>
    <w:rsid w:val="739F538A"/>
    <w:rsid w:val="73A43F12"/>
    <w:rsid w:val="73A83BEE"/>
    <w:rsid w:val="73AB1F81"/>
    <w:rsid w:val="73AE0554"/>
    <w:rsid w:val="73B2330F"/>
    <w:rsid w:val="73B70925"/>
    <w:rsid w:val="73B726D3"/>
    <w:rsid w:val="73C44DF0"/>
    <w:rsid w:val="73CC268A"/>
    <w:rsid w:val="73CF42D3"/>
    <w:rsid w:val="73D03795"/>
    <w:rsid w:val="73D1058F"/>
    <w:rsid w:val="73DF6F84"/>
    <w:rsid w:val="73E007D8"/>
    <w:rsid w:val="73E76F86"/>
    <w:rsid w:val="73F456D6"/>
    <w:rsid w:val="74235FBB"/>
    <w:rsid w:val="74243F2A"/>
    <w:rsid w:val="742E508B"/>
    <w:rsid w:val="742F47D9"/>
    <w:rsid w:val="7434641A"/>
    <w:rsid w:val="74363F40"/>
    <w:rsid w:val="743B1556"/>
    <w:rsid w:val="743C47E8"/>
    <w:rsid w:val="74400593"/>
    <w:rsid w:val="744321B9"/>
    <w:rsid w:val="744F659F"/>
    <w:rsid w:val="7461231D"/>
    <w:rsid w:val="74620B14"/>
    <w:rsid w:val="74687E72"/>
    <w:rsid w:val="746F1200"/>
    <w:rsid w:val="746F2FAE"/>
    <w:rsid w:val="747405C4"/>
    <w:rsid w:val="747B7BA5"/>
    <w:rsid w:val="748E5B2A"/>
    <w:rsid w:val="748F53FE"/>
    <w:rsid w:val="749D4072"/>
    <w:rsid w:val="749E7B70"/>
    <w:rsid w:val="74A7099A"/>
    <w:rsid w:val="74AC7D5E"/>
    <w:rsid w:val="74BE4FF6"/>
    <w:rsid w:val="74C94DB4"/>
    <w:rsid w:val="74CA476A"/>
    <w:rsid w:val="74D177C5"/>
    <w:rsid w:val="74D35004"/>
    <w:rsid w:val="74DA28B2"/>
    <w:rsid w:val="74DA48CB"/>
    <w:rsid w:val="74DF6386"/>
    <w:rsid w:val="74E41075"/>
    <w:rsid w:val="74EF53D3"/>
    <w:rsid w:val="74F636CF"/>
    <w:rsid w:val="74FD05BA"/>
    <w:rsid w:val="74FF152E"/>
    <w:rsid w:val="750650F5"/>
    <w:rsid w:val="750E239F"/>
    <w:rsid w:val="751002F7"/>
    <w:rsid w:val="75120509"/>
    <w:rsid w:val="751332DC"/>
    <w:rsid w:val="75151DA7"/>
    <w:rsid w:val="75154854"/>
    <w:rsid w:val="751A4552"/>
    <w:rsid w:val="751A5610"/>
    <w:rsid w:val="751D6EAE"/>
    <w:rsid w:val="751F5007"/>
    <w:rsid w:val="75267B11"/>
    <w:rsid w:val="7537127A"/>
    <w:rsid w:val="75374B68"/>
    <w:rsid w:val="75377F70"/>
    <w:rsid w:val="753F5076"/>
    <w:rsid w:val="7545772C"/>
    <w:rsid w:val="75461F61"/>
    <w:rsid w:val="7549766D"/>
    <w:rsid w:val="756248C1"/>
    <w:rsid w:val="756B7C19"/>
    <w:rsid w:val="756D3991"/>
    <w:rsid w:val="757137F2"/>
    <w:rsid w:val="757E794D"/>
    <w:rsid w:val="757F5473"/>
    <w:rsid w:val="7589009F"/>
    <w:rsid w:val="759233F8"/>
    <w:rsid w:val="75963A07"/>
    <w:rsid w:val="759B2FFB"/>
    <w:rsid w:val="759D23D7"/>
    <w:rsid w:val="759E27CE"/>
    <w:rsid w:val="759E7023"/>
    <w:rsid w:val="75A30F4A"/>
    <w:rsid w:val="75A373B3"/>
    <w:rsid w:val="75AB44BA"/>
    <w:rsid w:val="75B275F6"/>
    <w:rsid w:val="75B73ED4"/>
    <w:rsid w:val="75B90985"/>
    <w:rsid w:val="75B94E29"/>
    <w:rsid w:val="75BC635F"/>
    <w:rsid w:val="75BC66C7"/>
    <w:rsid w:val="75CF096B"/>
    <w:rsid w:val="75E35A02"/>
    <w:rsid w:val="75FB58D7"/>
    <w:rsid w:val="75FC2F67"/>
    <w:rsid w:val="760442A1"/>
    <w:rsid w:val="7608190C"/>
    <w:rsid w:val="76085468"/>
    <w:rsid w:val="760A0EAA"/>
    <w:rsid w:val="760D23F9"/>
    <w:rsid w:val="76102313"/>
    <w:rsid w:val="761A519B"/>
    <w:rsid w:val="762F54FB"/>
    <w:rsid w:val="76326989"/>
    <w:rsid w:val="763444AF"/>
    <w:rsid w:val="7634625D"/>
    <w:rsid w:val="763615F8"/>
    <w:rsid w:val="76375D4D"/>
    <w:rsid w:val="763B1755"/>
    <w:rsid w:val="764C7A4B"/>
    <w:rsid w:val="76566F8A"/>
    <w:rsid w:val="765A35D1"/>
    <w:rsid w:val="765D19E8"/>
    <w:rsid w:val="7672217A"/>
    <w:rsid w:val="76746FA2"/>
    <w:rsid w:val="76756DF1"/>
    <w:rsid w:val="76966F18"/>
    <w:rsid w:val="769E55DA"/>
    <w:rsid w:val="76AB02A7"/>
    <w:rsid w:val="76B37ACA"/>
    <w:rsid w:val="76B47871"/>
    <w:rsid w:val="76B91D44"/>
    <w:rsid w:val="76B949B4"/>
    <w:rsid w:val="76BB38C6"/>
    <w:rsid w:val="76BE1FCB"/>
    <w:rsid w:val="76BF5096"/>
    <w:rsid w:val="76C356B9"/>
    <w:rsid w:val="76CC7B07"/>
    <w:rsid w:val="76E07197"/>
    <w:rsid w:val="76E23F0B"/>
    <w:rsid w:val="76E61C4D"/>
    <w:rsid w:val="76F35AC6"/>
    <w:rsid w:val="76FA1495"/>
    <w:rsid w:val="76FF2D0F"/>
    <w:rsid w:val="7702635B"/>
    <w:rsid w:val="77057BFA"/>
    <w:rsid w:val="77077D4A"/>
    <w:rsid w:val="770A2D91"/>
    <w:rsid w:val="770E7685"/>
    <w:rsid w:val="77147E3D"/>
    <w:rsid w:val="771D6502"/>
    <w:rsid w:val="772207AC"/>
    <w:rsid w:val="772269FE"/>
    <w:rsid w:val="77251146"/>
    <w:rsid w:val="77253DF8"/>
    <w:rsid w:val="7728263E"/>
    <w:rsid w:val="772938E8"/>
    <w:rsid w:val="773D7394"/>
    <w:rsid w:val="77426509"/>
    <w:rsid w:val="774921DC"/>
    <w:rsid w:val="77507449"/>
    <w:rsid w:val="7751440A"/>
    <w:rsid w:val="777A461D"/>
    <w:rsid w:val="777C5AE2"/>
    <w:rsid w:val="77884AB3"/>
    <w:rsid w:val="778925D9"/>
    <w:rsid w:val="778A3DE6"/>
    <w:rsid w:val="778D18BF"/>
    <w:rsid w:val="779065F6"/>
    <w:rsid w:val="77945AD4"/>
    <w:rsid w:val="779836C9"/>
    <w:rsid w:val="779E42D6"/>
    <w:rsid w:val="77A25449"/>
    <w:rsid w:val="77AA3412"/>
    <w:rsid w:val="77AD276B"/>
    <w:rsid w:val="77AE5B7C"/>
    <w:rsid w:val="77C25D06"/>
    <w:rsid w:val="77C67389"/>
    <w:rsid w:val="77C9294F"/>
    <w:rsid w:val="77D77F63"/>
    <w:rsid w:val="77DA753A"/>
    <w:rsid w:val="77DE3E3F"/>
    <w:rsid w:val="77E93077"/>
    <w:rsid w:val="77F425A8"/>
    <w:rsid w:val="77F67953"/>
    <w:rsid w:val="77FD390B"/>
    <w:rsid w:val="780052C0"/>
    <w:rsid w:val="780752D0"/>
    <w:rsid w:val="780B1F70"/>
    <w:rsid w:val="780F0D30"/>
    <w:rsid w:val="781227FD"/>
    <w:rsid w:val="7820118F"/>
    <w:rsid w:val="78281DF2"/>
    <w:rsid w:val="782B0837"/>
    <w:rsid w:val="783223C0"/>
    <w:rsid w:val="78322BBD"/>
    <w:rsid w:val="783C0978"/>
    <w:rsid w:val="78436FB0"/>
    <w:rsid w:val="78465F1F"/>
    <w:rsid w:val="786170B2"/>
    <w:rsid w:val="786D5A56"/>
    <w:rsid w:val="7880578A"/>
    <w:rsid w:val="78850FF2"/>
    <w:rsid w:val="78880AE2"/>
    <w:rsid w:val="788A1D3F"/>
    <w:rsid w:val="788B412F"/>
    <w:rsid w:val="78992CEF"/>
    <w:rsid w:val="78A248BF"/>
    <w:rsid w:val="78A305F6"/>
    <w:rsid w:val="78A4792D"/>
    <w:rsid w:val="78AE246B"/>
    <w:rsid w:val="78AF42C1"/>
    <w:rsid w:val="78B11DE7"/>
    <w:rsid w:val="78B638A1"/>
    <w:rsid w:val="78BC253A"/>
    <w:rsid w:val="78C92A0B"/>
    <w:rsid w:val="78CA10FB"/>
    <w:rsid w:val="78CD4D0D"/>
    <w:rsid w:val="78E0447A"/>
    <w:rsid w:val="78E13546"/>
    <w:rsid w:val="78F148D9"/>
    <w:rsid w:val="78F32400"/>
    <w:rsid w:val="78F46178"/>
    <w:rsid w:val="78F63854"/>
    <w:rsid w:val="79164340"/>
    <w:rsid w:val="791A5BDE"/>
    <w:rsid w:val="791E3F86"/>
    <w:rsid w:val="791E4FA3"/>
    <w:rsid w:val="79235266"/>
    <w:rsid w:val="79287455"/>
    <w:rsid w:val="79297BCF"/>
    <w:rsid w:val="792D5A87"/>
    <w:rsid w:val="792F0F5E"/>
    <w:rsid w:val="793622EC"/>
    <w:rsid w:val="79376CFA"/>
    <w:rsid w:val="793A002E"/>
    <w:rsid w:val="79414913"/>
    <w:rsid w:val="794C7D62"/>
    <w:rsid w:val="79621333"/>
    <w:rsid w:val="79627585"/>
    <w:rsid w:val="796432FD"/>
    <w:rsid w:val="79694470"/>
    <w:rsid w:val="796B7926"/>
    <w:rsid w:val="796E25CF"/>
    <w:rsid w:val="796E5F2A"/>
    <w:rsid w:val="797140A2"/>
    <w:rsid w:val="797A33BA"/>
    <w:rsid w:val="797C0929"/>
    <w:rsid w:val="798A5E80"/>
    <w:rsid w:val="798E037A"/>
    <w:rsid w:val="79927E6B"/>
    <w:rsid w:val="79A239E2"/>
    <w:rsid w:val="79B4295D"/>
    <w:rsid w:val="79B80F53"/>
    <w:rsid w:val="79BA4CCB"/>
    <w:rsid w:val="79BB117A"/>
    <w:rsid w:val="79D20FEE"/>
    <w:rsid w:val="79D4288D"/>
    <w:rsid w:val="79DA536E"/>
    <w:rsid w:val="79E0568F"/>
    <w:rsid w:val="79ED32F3"/>
    <w:rsid w:val="79F223A1"/>
    <w:rsid w:val="79FC2F9D"/>
    <w:rsid w:val="79FE67D8"/>
    <w:rsid w:val="7A013357"/>
    <w:rsid w:val="7A044199"/>
    <w:rsid w:val="7A0643B5"/>
    <w:rsid w:val="7A0D2A14"/>
    <w:rsid w:val="7A1E16FE"/>
    <w:rsid w:val="7A230AC3"/>
    <w:rsid w:val="7A24483B"/>
    <w:rsid w:val="7A2512F6"/>
    <w:rsid w:val="7A2D67DE"/>
    <w:rsid w:val="7A350C02"/>
    <w:rsid w:val="7A4E3666"/>
    <w:rsid w:val="7A5213A8"/>
    <w:rsid w:val="7A526CC9"/>
    <w:rsid w:val="7A560E98"/>
    <w:rsid w:val="7A616520"/>
    <w:rsid w:val="7A6F1F5A"/>
    <w:rsid w:val="7A7B1A95"/>
    <w:rsid w:val="7A804167"/>
    <w:rsid w:val="7A8377B3"/>
    <w:rsid w:val="7A903C7E"/>
    <w:rsid w:val="7AB1193E"/>
    <w:rsid w:val="7AB94BA1"/>
    <w:rsid w:val="7ABE2599"/>
    <w:rsid w:val="7ABE4C8F"/>
    <w:rsid w:val="7AC13DAF"/>
    <w:rsid w:val="7AC237AF"/>
    <w:rsid w:val="7ACF185B"/>
    <w:rsid w:val="7AD06DBB"/>
    <w:rsid w:val="7AD60594"/>
    <w:rsid w:val="7AD628FA"/>
    <w:rsid w:val="7AE74A5D"/>
    <w:rsid w:val="7AFC6729"/>
    <w:rsid w:val="7B0F2808"/>
    <w:rsid w:val="7B226FCC"/>
    <w:rsid w:val="7B2E5971"/>
    <w:rsid w:val="7B340AAD"/>
    <w:rsid w:val="7B420550"/>
    <w:rsid w:val="7B430918"/>
    <w:rsid w:val="7B4B2107"/>
    <w:rsid w:val="7B4C5DF7"/>
    <w:rsid w:val="7B556765"/>
    <w:rsid w:val="7B580C40"/>
    <w:rsid w:val="7B5950FA"/>
    <w:rsid w:val="7B5D73F5"/>
    <w:rsid w:val="7B653379"/>
    <w:rsid w:val="7B672C31"/>
    <w:rsid w:val="7B7B74E8"/>
    <w:rsid w:val="7B861FC5"/>
    <w:rsid w:val="7B8A691F"/>
    <w:rsid w:val="7BA618F0"/>
    <w:rsid w:val="7BA619AB"/>
    <w:rsid w:val="7BA7312C"/>
    <w:rsid w:val="7BA75723"/>
    <w:rsid w:val="7BA93249"/>
    <w:rsid w:val="7BAF28AB"/>
    <w:rsid w:val="7BB00C9D"/>
    <w:rsid w:val="7BB120FE"/>
    <w:rsid w:val="7BB8076D"/>
    <w:rsid w:val="7BC36D99"/>
    <w:rsid w:val="7BCB3945"/>
    <w:rsid w:val="7BD24928"/>
    <w:rsid w:val="7BD32074"/>
    <w:rsid w:val="7BD96655"/>
    <w:rsid w:val="7BF02C26"/>
    <w:rsid w:val="7C06658E"/>
    <w:rsid w:val="7C077F70"/>
    <w:rsid w:val="7C0E2FDD"/>
    <w:rsid w:val="7C12379B"/>
    <w:rsid w:val="7C183F2B"/>
    <w:rsid w:val="7C1A5EF5"/>
    <w:rsid w:val="7C1E3C37"/>
    <w:rsid w:val="7C26489A"/>
    <w:rsid w:val="7C2A2F43"/>
    <w:rsid w:val="7C345209"/>
    <w:rsid w:val="7C360DF4"/>
    <w:rsid w:val="7C3A7817"/>
    <w:rsid w:val="7C482A62"/>
    <w:rsid w:val="7C4F2043"/>
    <w:rsid w:val="7C636ECC"/>
    <w:rsid w:val="7C716C3D"/>
    <w:rsid w:val="7C781BC7"/>
    <w:rsid w:val="7C7D2CB0"/>
    <w:rsid w:val="7C817D22"/>
    <w:rsid w:val="7C8B3CE4"/>
    <w:rsid w:val="7C977546"/>
    <w:rsid w:val="7CA24505"/>
    <w:rsid w:val="7CA62505"/>
    <w:rsid w:val="7CA73755"/>
    <w:rsid w:val="7CA81753"/>
    <w:rsid w:val="7CAC1243"/>
    <w:rsid w:val="7CAC6D16"/>
    <w:rsid w:val="7CB1685A"/>
    <w:rsid w:val="7CBE2D25"/>
    <w:rsid w:val="7CC0084B"/>
    <w:rsid w:val="7CC92281"/>
    <w:rsid w:val="7CCD11BA"/>
    <w:rsid w:val="7CF718EF"/>
    <w:rsid w:val="7CFC55FB"/>
    <w:rsid w:val="7CFE5817"/>
    <w:rsid w:val="7D012C11"/>
    <w:rsid w:val="7D097714"/>
    <w:rsid w:val="7D126BCC"/>
    <w:rsid w:val="7D13502A"/>
    <w:rsid w:val="7D276B1C"/>
    <w:rsid w:val="7D2D3342"/>
    <w:rsid w:val="7D2D6B0F"/>
    <w:rsid w:val="7D344D95"/>
    <w:rsid w:val="7D3461CD"/>
    <w:rsid w:val="7D3B6123"/>
    <w:rsid w:val="7D3E3E65"/>
    <w:rsid w:val="7D3E6E9A"/>
    <w:rsid w:val="7D3F77E3"/>
    <w:rsid w:val="7D450300"/>
    <w:rsid w:val="7D515947"/>
    <w:rsid w:val="7D5B1628"/>
    <w:rsid w:val="7D5F64E3"/>
    <w:rsid w:val="7D625DA6"/>
    <w:rsid w:val="7D6605F4"/>
    <w:rsid w:val="7D676F18"/>
    <w:rsid w:val="7D6A1429"/>
    <w:rsid w:val="7D6F7D77"/>
    <w:rsid w:val="7D7B4A43"/>
    <w:rsid w:val="7D831878"/>
    <w:rsid w:val="7D850991"/>
    <w:rsid w:val="7D861FF8"/>
    <w:rsid w:val="7D893333"/>
    <w:rsid w:val="7D92659D"/>
    <w:rsid w:val="7D9A72EE"/>
    <w:rsid w:val="7DA940DA"/>
    <w:rsid w:val="7DAD0274"/>
    <w:rsid w:val="7DBD2FDC"/>
    <w:rsid w:val="7DCB2BA0"/>
    <w:rsid w:val="7DCE51E9"/>
    <w:rsid w:val="7DD02D0F"/>
    <w:rsid w:val="7DD65E4C"/>
    <w:rsid w:val="7DDF7929"/>
    <w:rsid w:val="7DF05160"/>
    <w:rsid w:val="7DF16FB5"/>
    <w:rsid w:val="7DF31BC1"/>
    <w:rsid w:val="7DF369FE"/>
    <w:rsid w:val="7E036801"/>
    <w:rsid w:val="7E1075B0"/>
    <w:rsid w:val="7E1A55A3"/>
    <w:rsid w:val="7E1C5F55"/>
    <w:rsid w:val="7E2237B2"/>
    <w:rsid w:val="7E2272E3"/>
    <w:rsid w:val="7E244E09"/>
    <w:rsid w:val="7E3D5ECB"/>
    <w:rsid w:val="7E3E0FA0"/>
    <w:rsid w:val="7E59268B"/>
    <w:rsid w:val="7E6D31B3"/>
    <w:rsid w:val="7E6D4A02"/>
    <w:rsid w:val="7E723DC7"/>
    <w:rsid w:val="7E745D91"/>
    <w:rsid w:val="7E7E276B"/>
    <w:rsid w:val="7E906943"/>
    <w:rsid w:val="7E940BC6"/>
    <w:rsid w:val="7E951904"/>
    <w:rsid w:val="7E9E2E0E"/>
    <w:rsid w:val="7EA736B6"/>
    <w:rsid w:val="7EA77C3D"/>
    <w:rsid w:val="7EAC0504"/>
    <w:rsid w:val="7EB4618D"/>
    <w:rsid w:val="7EC3036F"/>
    <w:rsid w:val="7EC87E8B"/>
    <w:rsid w:val="7ECF4278"/>
    <w:rsid w:val="7EEA6053"/>
    <w:rsid w:val="7EED7296"/>
    <w:rsid w:val="7EED7801"/>
    <w:rsid w:val="7EF02F3D"/>
    <w:rsid w:val="7EF1501E"/>
    <w:rsid w:val="7F052E8D"/>
    <w:rsid w:val="7F1874C0"/>
    <w:rsid w:val="7F271A8C"/>
    <w:rsid w:val="7F426DAF"/>
    <w:rsid w:val="7F475253"/>
    <w:rsid w:val="7F4816D3"/>
    <w:rsid w:val="7F4A4D43"/>
    <w:rsid w:val="7F4B58B3"/>
    <w:rsid w:val="7F4E7463"/>
    <w:rsid w:val="7F5434CC"/>
    <w:rsid w:val="7F5B49D6"/>
    <w:rsid w:val="7F5E7F52"/>
    <w:rsid w:val="7F63593C"/>
    <w:rsid w:val="7F66577D"/>
    <w:rsid w:val="7F674EF0"/>
    <w:rsid w:val="7F743B6E"/>
    <w:rsid w:val="7F7A3332"/>
    <w:rsid w:val="7F827303"/>
    <w:rsid w:val="7F8A0194"/>
    <w:rsid w:val="7F8D2FE1"/>
    <w:rsid w:val="7F905E98"/>
    <w:rsid w:val="7F9833C6"/>
    <w:rsid w:val="7F98675E"/>
    <w:rsid w:val="7F9868AE"/>
    <w:rsid w:val="7FA05994"/>
    <w:rsid w:val="7FA3069E"/>
    <w:rsid w:val="7FA73F44"/>
    <w:rsid w:val="7FB42A6C"/>
    <w:rsid w:val="7FBD3767"/>
    <w:rsid w:val="7FC40652"/>
    <w:rsid w:val="7FC76B7B"/>
    <w:rsid w:val="7FCC5758"/>
    <w:rsid w:val="7FDD5C6D"/>
    <w:rsid w:val="7FEC7BA9"/>
    <w:rsid w:val="7FEF1200"/>
    <w:rsid w:val="7FF76C79"/>
    <w:rsid w:val="7FFA0B21"/>
    <w:rsid w:val="7FFA407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jc w:val="center"/>
    </w:pPr>
    <w:rPr>
      <w:rFonts w:ascii="Times New Roman" w:hAnsi="Times New Roman" w:eastAsia="宋体" w:cs="Times New Roman"/>
      <w:kern w:val="2"/>
      <w:sz w:val="24"/>
      <w:szCs w:val="21"/>
      <w:lang w:val="en-US" w:eastAsia="zh-CN" w:bidi="ar-SA"/>
    </w:rPr>
  </w:style>
  <w:style w:type="paragraph" w:styleId="2">
    <w:name w:val="heading 1"/>
    <w:basedOn w:val="1"/>
    <w:next w:val="1"/>
    <w:link w:val="42"/>
    <w:qFormat/>
    <w:uiPriority w:val="9"/>
    <w:pPr>
      <w:keepNext/>
      <w:keepLines/>
      <w:numPr>
        <w:ilvl w:val="0"/>
        <w:numId w:val="1"/>
      </w:numPr>
      <w:adjustRightInd w:val="0"/>
      <w:snapToGrid w:val="0"/>
      <w:spacing w:after="100" w:afterLines="100"/>
      <w:outlineLvl w:val="0"/>
    </w:pPr>
    <w:rPr>
      <w:rFonts w:eastAsia="黑体"/>
      <w:b/>
      <w:bCs/>
      <w:kern w:val="44"/>
      <w:sz w:val="30"/>
      <w:szCs w:val="44"/>
    </w:rPr>
  </w:style>
  <w:style w:type="paragraph" w:styleId="3">
    <w:name w:val="heading 2"/>
    <w:basedOn w:val="1"/>
    <w:next w:val="1"/>
    <w:link w:val="40"/>
    <w:unhideWhenUsed/>
    <w:qFormat/>
    <w:uiPriority w:val="9"/>
    <w:pPr>
      <w:keepNext/>
      <w:keepLines/>
      <w:numPr>
        <w:ilvl w:val="1"/>
        <w:numId w:val="1"/>
      </w:numPr>
      <w:jc w:val="left"/>
      <w:outlineLvl w:val="1"/>
    </w:pPr>
    <w:rPr>
      <w:rFonts w:ascii="Times New Roman" w:hAnsi="Times New Roman" w:eastAsia="宋体"/>
      <w:b/>
      <w:bCs/>
      <w:szCs w:val="32"/>
    </w:rPr>
  </w:style>
  <w:style w:type="paragraph" w:styleId="4">
    <w:name w:val="heading 3"/>
    <w:basedOn w:val="1"/>
    <w:next w:val="1"/>
    <w:link w:val="41"/>
    <w:unhideWhenUsed/>
    <w:qFormat/>
    <w:uiPriority w:val="9"/>
    <w:pPr>
      <w:keepNext/>
      <w:keepLines/>
      <w:numPr>
        <w:ilvl w:val="2"/>
        <w:numId w:val="1"/>
      </w:numPr>
      <w:snapToGrid w:val="0"/>
      <w:ind w:left="0"/>
      <w:contextualSpacing/>
      <w:jc w:val="left"/>
      <w:outlineLvl w:val="2"/>
    </w:pPr>
    <w:rPr>
      <w:rFonts w:ascii="Times New Roman" w:hAnsi="Times New Roman" w:eastAsia="宋体"/>
      <w:b/>
      <w:szCs w:val="32"/>
    </w:rPr>
  </w:style>
  <w:style w:type="paragraph" w:styleId="5">
    <w:name w:val="heading 4"/>
    <w:basedOn w:val="1"/>
    <w:next w:val="1"/>
    <w:link w:val="43"/>
    <w:unhideWhenUsed/>
    <w:qFormat/>
    <w:uiPriority w:val="9"/>
    <w:pPr>
      <w:keepNext/>
      <w:keepLines/>
      <w:numPr>
        <w:ilvl w:val="3"/>
        <w:numId w:val="1"/>
      </w:numPr>
      <w:jc w:val="left"/>
      <w:outlineLvl w:val="3"/>
    </w:pPr>
    <w:rPr>
      <w:rFonts w:ascii="Times New Roman" w:hAnsi="Times New Roman" w:eastAsia="宋体"/>
      <w:b/>
      <w:bCs/>
      <w:szCs w:val="28"/>
    </w:rPr>
  </w:style>
  <w:style w:type="paragraph" w:styleId="6">
    <w:name w:val="heading 5"/>
    <w:basedOn w:val="1"/>
    <w:next w:val="1"/>
    <w:link w:val="39"/>
    <w:unhideWhenUsed/>
    <w:qFormat/>
    <w:uiPriority w:val="9"/>
    <w:pPr>
      <w:keepNext/>
      <w:keepLines/>
      <w:numPr>
        <w:ilvl w:val="4"/>
        <w:numId w:val="1"/>
      </w:numPr>
      <w:adjustRightInd w:val="0"/>
      <w:snapToGrid w:val="0"/>
      <w:spacing w:before="50" w:beforeLines="50"/>
      <w:ind w:left="0"/>
      <w:outlineLvl w:val="4"/>
    </w:pPr>
    <w:rPr>
      <w:rFonts w:ascii="Times New Roman" w:hAnsi="Times New Roman" w:eastAsia="宋体"/>
      <w:b/>
      <w:szCs w:val="28"/>
    </w:rPr>
  </w:style>
  <w:style w:type="paragraph" w:styleId="7">
    <w:name w:val="heading 6"/>
    <w:basedOn w:val="1"/>
    <w:next w:val="1"/>
    <w:link w:val="44"/>
    <w:unhideWhenUsed/>
    <w:qFormat/>
    <w:uiPriority w:val="9"/>
    <w:pPr>
      <w:keepNext/>
      <w:keepLines/>
      <w:numPr>
        <w:ilvl w:val="5"/>
        <w:numId w:val="1"/>
      </w:numPr>
      <w:outlineLvl w:val="5"/>
    </w:pPr>
    <w:rPr>
      <w:rFonts w:cs="Times New Roman"/>
      <w:b/>
      <w:bCs/>
      <w:szCs w:val="24"/>
    </w:rPr>
  </w:style>
  <w:style w:type="paragraph" w:styleId="8">
    <w:name w:val="heading 7"/>
    <w:basedOn w:val="1"/>
    <w:next w:val="1"/>
    <w:link w:val="45"/>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46"/>
    <w:unhideWhenUsed/>
    <w:qFormat/>
    <w:uiPriority w:val="9"/>
    <w:pPr>
      <w:keepNext/>
      <w:keepLines/>
      <w:numPr>
        <w:ilvl w:val="7"/>
        <w:numId w:val="1"/>
      </w:numPr>
      <w:spacing w:before="240" w:after="64" w:line="320" w:lineRule="auto"/>
      <w:outlineLvl w:val="7"/>
    </w:pPr>
    <w:rPr>
      <w:rFonts w:ascii="等线 Light" w:hAnsi="等线 Light" w:eastAsia="等线 Light" w:cs="Times New Roman"/>
      <w:szCs w:val="24"/>
    </w:rPr>
  </w:style>
  <w:style w:type="paragraph" w:styleId="10">
    <w:name w:val="heading 9"/>
    <w:basedOn w:val="1"/>
    <w:next w:val="1"/>
    <w:link w:val="47"/>
    <w:unhideWhenUsed/>
    <w:qFormat/>
    <w:uiPriority w:val="9"/>
    <w:pPr>
      <w:keepNext/>
      <w:keepLines/>
      <w:numPr>
        <w:ilvl w:val="8"/>
        <w:numId w:val="1"/>
      </w:numPr>
      <w:spacing w:before="240" w:after="64" w:line="320" w:lineRule="auto"/>
      <w:outlineLvl w:val="8"/>
    </w:pPr>
    <w:rPr>
      <w:rFonts w:ascii="等线 Light" w:hAnsi="等线 Light" w:eastAsia="等线 Light" w:cs="Times New Roman"/>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11">
    <w:name w:val="List 3"/>
    <w:basedOn w:val="1"/>
    <w:next w:val="1"/>
    <w:qFormat/>
    <w:uiPriority w:val="0"/>
    <w:pPr>
      <w:widowControl w:val="0"/>
      <w:autoSpaceDE w:val="0"/>
      <w:autoSpaceDN w:val="0"/>
      <w:adjustRightInd w:val="0"/>
      <w:spacing w:line="288" w:lineRule="auto"/>
      <w:ind w:left="1260" w:hanging="420"/>
      <w:textAlignment w:val="baseline"/>
    </w:pPr>
    <w:rPr>
      <w:rFonts w:ascii="Calibri" w:hAnsi="Calibri" w:eastAsia="仿宋" w:cs="宋体"/>
      <w:szCs w:val="20"/>
    </w:rPr>
  </w:style>
  <w:style w:type="paragraph" w:styleId="12">
    <w:name w:val="Normal Indent"/>
    <w:basedOn w:val="1"/>
    <w:next w:val="1"/>
    <w:unhideWhenUsed/>
    <w:qFormat/>
    <w:uiPriority w:val="0"/>
    <w:pPr>
      <w:spacing w:line="240" w:lineRule="auto"/>
      <w:ind w:firstLine="420" w:firstLineChars="200"/>
    </w:pPr>
    <w:rPr>
      <w:rFonts w:ascii="Calibri" w:hAnsi="Calibri"/>
      <w:szCs w:val="22"/>
    </w:rPr>
  </w:style>
  <w:style w:type="paragraph" w:styleId="13">
    <w:name w:val="toa heading"/>
    <w:basedOn w:val="1"/>
    <w:next w:val="1"/>
    <w:qFormat/>
    <w:uiPriority w:val="0"/>
    <w:pPr>
      <w:spacing w:before="120"/>
    </w:pPr>
    <w:rPr>
      <w:rFonts w:ascii="Arial" w:hAnsi="Arial" w:cs="Arial"/>
    </w:rPr>
  </w:style>
  <w:style w:type="paragraph" w:styleId="14">
    <w:name w:val="annotation text"/>
    <w:basedOn w:val="1"/>
    <w:unhideWhenUsed/>
    <w:qFormat/>
    <w:uiPriority w:val="99"/>
    <w:pPr>
      <w:jc w:val="left"/>
    </w:pPr>
  </w:style>
  <w:style w:type="paragraph" w:styleId="15">
    <w:name w:val="Body Text"/>
    <w:basedOn w:val="1"/>
    <w:qFormat/>
    <w:uiPriority w:val="0"/>
    <w:pPr>
      <w:widowControl/>
      <w:snapToGrid w:val="0"/>
      <w:spacing w:before="60" w:after="160" w:line="259" w:lineRule="auto"/>
      <w:ind w:right="113"/>
    </w:pPr>
    <w:rPr>
      <w:kern w:val="0"/>
      <w:sz w:val="18"/>
      <w:szCs w:val="20"/>
    </w:rPr>
  </w:style>
  <w:style w:type="paragraph" w:styleId="16">
    <w:name w:val="Body Text Indent"/>
    <w:basedOn w:val="1"/>
    <w:next w:val="17"/>
    <w:qFormat/>
    <w:uiPriority w:val="0"/>
    <w:pPr>
      <w:spacing w:after="120"/>
      <w:ind w:left="420" w:leftChars="200"/>
    </w:pPr>
    <w:rPr>
      <w:kern w:val="0"/>
      <w:szCs w:val="20"/>
    </w:rPr>
  </w:style>
  <w:style w:type="paragraph" w:styleId="17">
    <w:name w:val="Balloon Text"/>
    <w:basedOn w:val="1"/>
    <w:unhideWhenUsed/>
    <w:qFormat/>
    <w:uiPriority w:val="99"/>
    <w:rPr>
      <w:rFonts w:cs="Times New Roman"/>
      <w:kern w:val="0"/>
      <w:sz w:val="18"/>
      <w:szCs w:val="18"/>
    </w:rPr>
  </w:style>
  <w:style w:type="paragraph" w:styleId="18">
    <w:name w:val="Plain Text"/>
    <w:basedOn w:val="1"/>
    <w:qFormat/>
    <w:uiPriority w:val="0"/>
    <w:pPr>
      <w:spacing w:line="240" w:lineRule="auto"/>
    </w:pPr>
    <w:rPr>
      <w:rFonts w:ascii="宋体" w:hAnsi="Courier New"/>
      <w:kern w:val="0"/>
      <w:sz w:val="20"/>
      <w:szCs w:val="20"/>
    </w:rPr>
  </w:style>
  <w:style w:type="paragraph" w:styleId="19">
    <w:name w:val="List Bullet 5"/>
    <w:basedOn w:val="1"/>
    <w:unhideWhenUsed/>
    <w:qFormat/>
    <w:uiPriority w:val="99"/>
    <w:pPr>
      <w:numPr>
        <w:ilvl w:val="0"/>
        <w:numId w:val="2"/>
      </w:numPr>
    </w:pPr>
  </w:style>
  <w:style w:type="paragraph" w:styleId="20">
    <w:name w:val="Body Text Indent 2"/>
    <w:basedOn w:val="1"/>
    <w:unhideWhenUsed/>
    <w:qFormat/>
    <w:uiPriority w:val="99"/>
    <w:pPr>
      <w:spacing w:after="120" w:line="480" w:lineRule="auto"/>
      <w:ind w:left="420" w:leftChars="200"/>
    </w:pPr>
  </w:style>
  <w:style w:type="paragraph" w:styleId="21">
    <w:name w:val="footer"/>
    <w:basedOn w:val="1"/>
    <w:qFormat/>
    <w:uiPriority w:val="0"/>
    <w:pPr>
      <w:tabs>
        <w:tab w:val="center" w:pos="4153"/>
        <w:tab w:val="right" w:pos="8306"/>
      </w:tabs>
      <w:snapToGrid w:val="0"/>
      <w:jc w:val="left"/>
    </w:pPr>
    <w:rPr>
      <w:sz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3">
    <w:name w:val="Subtitle"/>
    <w:basedOn w:val="1"/>
    <w:next w:val="1"/>
    <w:link w:val="48"/>
    <w:qFormat/>
    <w:uiPriority w:val="11"/>
    <w:pPr>
      <w:spacing w:before="240" w:after="60" w:line="312" w:lineRule="atLeast"/>
      <w:outlineLvl w:val="1"/>
    </w:pPr>
    <w:rPr>
      <w:b/>
      <w:bCs/>
      <w:kern w:val="28"/>
      <w:sz w:val="32"/>
      <w:szCs w:val="32"/>
    </w:rPr>
  </w:style>
  <w:style w:type="paragraph" w:styleId="24">
    <w:name w:val="table of figures"/>
    <w:basedOn w:val="1"/>
    <w:next w:val="1"/>
    <w:qFormat/>
    <w:uiPriority w:val="0"/>
    <w:pPr>
      <w:spacing w:line="360" w:lineRule="auto"/>
      <w:ind w:firstLine="200" w:firstLineChars="200"/>
      <w:jc w:val="both"/>
    </w:pPr>
    <w:rPr>
      <w:rFonts w:hint="eastAsia" w:ascii="仿宋_GB2312" w:hAnsi="仿宋_GB2312"/>
      <w:bCs/>
    </w:rPr>
  </w:style>
  <w:style w:type="paragraph" w:styleId="25">
    <w:name w:val="Normal (Web)"/>
    <w:basedOn w:val="1"/>
    <w:qFormat/>
    <w:uiPriority w:val="0"/>
    <w:pPr>
      <w:widowControl/>
      <w:spacing w:before="100" w:beforeAutospacing="1" w:after="100" w:afterAutospacing="1"/>
      <w:jc w:val="left"/>
    </w:pPr>
    <w:rPr>
      <w:rFonts w:ascii="宋体" w:hAnsi="宋体"/>
      <w:kern w:val="0"/>
      <w:szCs w:val="20"/>
    </w:rPr>
  </w:style>
  <w:style w:type="paragraph" w:styleId="26">
    <w:name w:val="Title"/>
    <w:basedOn w:val="1"/>
    <w:next w:val="1"/>
    <w:link w:val="49"/>
    <w:qFormat/>
    <w:uiPriority w:val="10"/>
    <w:pPr>
      <w:spacing w:before="240" w:after="60"/>
      <w:outlineLvl w:val="0"/>
    </w:pPr>
    <w:rPr>
      <w:rFonts w:ascii="等线 Light" w:hAnsi="等线 Light" w:eastAsia="等线 Light" w:cs="Times New Roman"/>
      <w:b/>
      <w:bCs/>
      <w:sz w:val="32"/>
      <w:szCs w:val="32"/>
    </w:rPr>
  </w:style>
  <w:style w:type="paragraph" w:styleId="27">
    <w:name w:val="Body Text First Indent"/>
    <w:basedOn w:val="15"/>
    <w:qFormat/>
    <w:uiPriority w:val="99"/>
    <w:pPr>
      <w:widowControl w:val="0"/>
      <w:snapToGrid/>
      <w:spacing w:before="0" w:after="120" w:line="240" w:lineRule="auto"/>
      <w:ind w:right="0" w:firstLine="420" w:firstLineChars="100"/>
    </w:pPr>
    <w:rPr>
      <w:kern w:val="2"/>
      <w:sz w:val="21"/>
      <w:szCs w:val="24"/>
    </w:rPr>
  </w:style>
  <w:style w:type="table" w:styleId="29">
    <w:name w:val="Table Grid"/>
    <w:basedOn w:val="28"/>
    <w:qFormat/>
    <w:uiPriority w:val="39"/>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character" w:styleId="31">
    <w:name w:val="Strong"/>
    <w:qFormat/>
    <w:uiPriority w:val="22"/>
    <w:rPr>
      <w:rFonts w:ascii="Times New Roman" w:hAnsi="Times New Roman" w:eastAsia="宋体"/>
      <w:b/>
      <w:sz w:val="21"/>
      <w:szCs w:val="21"/>
    </w:rPr>
  </w:style>
  <w:style w:type="character" w:styleId="32">
    <w:name w:val="FollowedHyperlink"/>
    <w:basedOn w:val="30"/>
    <w:semiHidden/>
    <w:unhideWhenUsed/>
    <w:qFormat/>
    <w:uiPriority w:val="99"/>
    <w:rPr>
      <w:color w:val="800080"/>
      <w:u w:val="none"/>
    </w:rPr>
  </w:style>
  <w:style w:type="character" w:styleId="33">
    <w:name w:val="Emphasis"/>
    <w:basedOn w:val="30"/>
    <w:qFormat/>
    <w:uiPriority w:val="0"/>
  </w:style>
  <w:style w:type="character" w:styleId="34">
    <w:name w:val="Hyperlink"/>
    <w:basedOn w:val="30"/>
    <w:unhideWhenUsed/>
    <w:qFormat/>
    <w:uiPriority w:val="99"/>
    <w:rPr>
      <w:color w:val="0000FF"/>
      <w:u w:val="single"/>
    </w:rPr>
  </w:style>
  <w:style w:type="character" w:styleId="35">
    <w:name w:val="annotation reference"/>
    <w:qFormat/>
    <w:uiPriority w:val="99"/>
    <w:rPr>
      <w:sz w:val="21"/>
    </w:rPr>
  </w:style>
  <w:style w:type="paragraph" w:customStyle="1" w:styleId="36">
    <w:name w:val="Default"/>
    <w:basedOn w:val="37"/>
    <w:next w:val="11"/>
    <w:qFormat/>
    <w:uiPriority w:val="99"/>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37">
    <w:name w:val="纯文本1"/>
    <w:basedOn w:val="1"/>
    <w:autoRedefine/>
    <w:qFormat/>
    <w:uiPriority w:val="0"/>
    <w:rPr>
      <w:rFonts w:ascii="宋体" w:hAnsi="Courier New"/>
    </w:rPr>
  </w:style>
  <w:style w:type="paragraph" w:customStyle="1" w:styleId="38">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character" w:customStyle="1" w:styleId="39">
    <w:name w:val="标题 5 字符"/>
    <w:link w:val="6"/>
    <w:qFormat/>
    <w:uiPriority w:val="9"/>
    <w:rPr>
      <w:rFonts w:ascii="Times New Roman" w:hAnsi="Times New Roman" w:eastAsia="宋体" w:cs="Times New Roman"/>
      <w:b/>
      <w:kern w:val="2"/>
      <w:sz w:val="24"/>
      <w:szCs w:val="28"/>
      <w:lang w:val="en-US" w:eastAsia="zh-CN" w:bidi="ar-SA"/>
    </w:rPr>
  </w:style>
  <w:style w:type="character" w:customStyle="1" w:styleId="40">
    <w:name w:val="标题 2 字符"/>
    <w:basedOn w:val="30"/>
    <w:link w:val="3"/>
    <w:qFormat/>
    <w:uiPriority w:val="9"/>
    <w:rPr>
      <w:rFonts w:ascii="Times New Roman" w:hAnsi="Times New Roman" w:eastAsia="宋体" w:cs="Times New Roman"/>
      <w:b/>
      <w:bCs/>
      <w:sz w:val="24"/>
      <w:szCs w:val="32"/>
    </w:rPr>
  </w:style>
  <w:style w:type="character" w:customStyle="1" w:styleId="41">
    <w:name w:val="标题 3 字符"/>
    <w:basedOn w:val="30"/>
    <w:link w:val="4"/>
    <w:qFormat/>
    <w:uiPriority w:val="9"/>
    <w:rPr>
      <w:rFonts w:ascii="Times New Roman" w:hAnsi="Times New Roman" w:eastAsia="宋体"/>
      <w:b/>
      <w:sz w:val="24"/>
      <w:szCs w:val="32"/>
    </w:rPr>
  </w:style>
  <w:style w:type="character" w:customStyle="1" w:styleId="42">
    <w:name w:val="标题 1 字符"/>
    <w:basedOn w:val="30"/>
    <w:link w:val="2"/>
    <w:qFormat/>
    <w:uiPriority w:val="9"/>
    <w:rPr>
      <w:rFonts w:eastAsia="黑体"/>
      <w:b/>
      <w:bCs/>
      <w:kern w:val="44"/>
      <w:sz w:val="30"/>
      <w:szCs w:val="44"/>
    </w:rPr>
  </w:style>
  <w:style w:type="character" w:customStyle="1" w:styleId="43">
    <w:name w:val="标题 4 字符"/>
    <w:basedOn w:val="30"/>
    <w:link w:val="5"/>
    <w:qFormat/>
    <w:uiPriority w:val="9"/>
    <w:rPr>
      <w:rFonts w:ascii="Times New Roman" w:hAnsi="Times New Roman" w:eastAsia="宋体" w:cs="Times New Roman"/>
      <w:b/>
      <w:bCs/>
      <w:sz w:val="24"/>
      <w:szCs w:val="28"/>
    </w:rPr>
  </w:style>
  <w:style w:type="character" w:customStyle="1" w:styleId="44">
    <w:name w:val="标题 6 字符"/>
    <w:basedOn w:val="30"/>
    <w:link w:val="7"/>
    <w:qFormat/>
    <w:uiPriority w:val="9"/>
    <w:rPr>
      <w:rFonts w:ascii="Times New Roman" w:hAnsi="Times New Roman" w:eastAsia="宋体" w:cs="Times New Roman"/>
      <w:b/>
      <w:bCs/>
      <w:sz w:val="24"/>
      <w:szCs w:val="24"/>
    </w:rPr>
  </w:style>
  <w:style w:type="character" w:customStyle="1" w:styleId="45">
    <w:name w:val="标题 7 字符"/>
    <w:basedOn w:val="30"/>
    <w:link w:val="8"/>
    <w:semiHidden/>
    <w:qFormat/>
    <w:uiPriority w:val="9"/>
    <w:rPr>
      <w:b/>
      <w:bCs/>
      <w:sz w:val="24"/>
      <w:szCs w:val="24"/>
    </w:rPr>
  </w:style>
  <w:style w:type="character" w:customStyle="1" w:styleId="46">
    <w:name w:val="标题 8 字符"/>
    <w:basedOn w:val="30"/>
    <w:link w:val="9"/>
    <w:semiHidden/>
    <w:qFormat/>
    <w:uiPriority w:val="9"/>
    <w:rPr>
      <w:rFonts w:ascii="等线 Light" w:hAnsi="等线 Light" w:eastAsia="等线 Light" w:cs="Times New Roman"/>
      <w:sz w:val="24"/>
      <w:szCs w:val="24"/>
    </w:rPr>
  </w:style>
  <w:style w:type="character" w:customStyle="1" w:styleId="47">
    <w:name w:val="标题 9 字符"/>
    <w:basedOn w:val="30"/>
    <w:link w:val="10"/>
    <w:semiHidden/>
    <w:qFormat/>
    <w:uiPriority w:val="9"/>
    <w:rPr>
      <w:rFonts w:ascii="等线 Light" w:hAnsi="等线 Light" w:eastAsia="等线 Light" w:cs="Times New Roman"/>
      <w:szCs w:val="21"/>
    </w:rPr>
  </w:style>
  <w:style w:type="character" w:customStyle="1" w:styleId="48">
    <w:name w:val="副标题 字符"/>
    <w:basedOn w:val="30"/>
    <w:link w:val="23"/>
    <w:qFormat/>
    <w:uiPriority w:val="11"/>
    <w:rPr>
      <w:b/>
      <w:bCs/>
      <w:kern w:val="28"/>
      <w:sz w:val="32"/>
      <w:szCs w:val="32"/>
    </w:rPr>
  </w:style>
  <w:style w:type="character" w:customStyle="1" w:styleId="49">
    <w:name w:val="标题 字符"/>
    <w:basedOn w:val="30"/>
    <w:link w:val="26"/>
    <w:qFormat/>
    <w:uiPriority w:val="10"/>
    <w:rPr>
      <w:rFonts w:ascii="等线 Light" w:hAnsi="等线 Light" w:eastAsia="等线 Light" w:cs="Times New Roman"/>
      <w:b/>
      <w:bCs/>
      <w:sz w:val="32"/>
      <w:szCs w:val="32"/>
    </w:rPr>
  </w:style>
  <w:style w:type="paragraph" w:customStyle="1" w:styleId="50">
    <w:name w:val="zh正文"/>
    <w:basedOn w:val="1"/>
    <w:link w:val="51"/>
    <w:qFormat/>
    <w:uiPriority w:val="0"/>
    <w:pPr>
      <w:spacing w:line="460" w:lineRule="exact"/>
      <w:ind w:firstLine="480" w:firstLineChars="200"/>
      <w:jc w:val="both"/>
    </w:pPr>
  </w:style>
  <w:style w:type="character" w:customStyle="1" w:styleId="51">
    <w:name w:val="zh正文 字符"/>
    <w:basedOn w:val="30"/>
    <w:link w:val="50"/>
    <w:qFormat/>
    <w:uiPriority w:val="0"/>
    <w:rPr>
      <w:rFonts w:ascii="Times New Roman" w:hAnsi="Times New Roman" w:eastAsia="宋体"/>
      <w:sz w:val="24"/>
    </w:rPr>
  </w:style>
  <w:style w:type="table" w:customStyle="1" w:styleId="52">
    <w:name w:val="无格式表格 21"/>
    <w:basedOn w:val="28"/>
    <w:qFormat/>
    <w:uiPriority w:val="42"/>
    <w:tblPr>
      <w:tblBorders>
        <w:top w:val="single" w:color="7E7E7E" w:sz="4" w:space="0"/>
        <w:bottom w:val="single" w:color="7E7E7E" w:sz="4" w:space="0"/>
      </w:tblBorders>
    </w:tblPr>
    <w:tblStylePr w:type="firstRow">
      <w:rPr>
        <w:b/>
        <w:bCs/>
      </w:rPr>
      <w:tcPr>
        <w:tcBorders>
          <w:top w:val="nil"/>
          <w:left w:val="nil"/>
          <w:bottom w:val="single" w:color="7E7E7E" w:sz="4" w:space="0"/>
          <w:right w:val="nil"/>
          <w:insideH w:val="nil"/>
          <w:insideV w:val="nil"/>
          <w:tl2br w:val="nil"/>
          <w:tr2bl w:val="nil"/>
        </w:tcBorders>
      </w:tcPr>
    </w:tblStylePr>
    <w:tblStylePr w:type="lastRow">
      <w:rPr>
        <w:b/>
        <w:bCs/>
      </w:rPr>
      <w:tcPr>
        <w:tcBorders>
          <w:top w:val="single" w:color="7E7E7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single" w:color="7E7E7E" w:sz="4" w:space="0"/>
          <w:bottom w:val="nil"/>
          <w:right w:val="single" w:color="7E7E7E" w:sz="4" w:space="0"/>
          <w:insideH w:val="nil"/>
          <w:insideV w:val="nil"/>
          <w:tl2br w:val="nil"/>
          <w:tr2bl w:val="nil"/>
        </w:tcBorders>
      </w:tcPr>
    </w:tblStylePr>
    <w:tblStylePr w:type="band2Vert">
      <w:tcPr>
        <w:tcBorders>
          <w:top w:val="nil"/>
          <w:left w:val="single" w:color="7E7E7E" w:sz="4" w:space="0"/>
          <w:bottom w:val="nil"/>
          <w:right w:val="single" w:color="7E7E7E" w:sz="4" w:space="0"/>
          <w:insideH w:val="nil"/>
          <w:insideV w:val="nil"/>
          <w:tl2br w:val="nil"/>
          <w:tr2bl w:val="nil"/>
        </w:tcBorders>
      </w:tcPr>
    </w:tblStylePr>
    <w:tblStylePr w:type="band1Horz">
      <w:tcPr>
        <w:tcBorders>
          <w:top w:val="single" w:color="7E7E7E" w:sz="4" w:space="0"/>
          <w:left w:val="nil"/>
          <w:bottom w:val="single" w:color="7E7E7E" w:sz="4" w:space="0"/>
          <w:right w:val="nil"/>
          <w:insideH w:val="nil"/>
          <w:insideV w:val="nil"/>
          <w:tl2br w:val="nil"/>
          <w:tr2bl w:val="nil"/>
        </w:tcBorders>
      </w:tcPr>
    </w:tblStylePr>
  </w:style>
  <w:style w:type="table" w:customStyle="1" w:styleId="53">
    <w:name w:val="表格边框"/>
    <w:basedOn w:val="28"/>
    <w:qFormat/>
    <w:uiPriority w:val="99"/>
    <w:pPr>
      <w:jc w:val="center"/>
    </w:pPr>
    <w:tblPr>
      <w:tblBorders>
        <w:top w:val="single" w:color="auto" w:sz="12" w:space="0"/>
        <w:bottom w:val="single" w:color="auto" w:sz="12" w:space="0"/>
        <w:insideH w:val="single" w:color="auto" w:sz="8" w:space="0"/>
        <w:insideV w:val="single" w:color="auto" w:sz="8" w:space="0"/>
      </w:tblBorders>
    </w:tblPr>
    <w:tcPr>
      <w:vAlign w:val="center"/>
    </w:tcPr>
  </w:style>
  <w:style w:type="table" w:customStyle="1" w:styleId="54">
    <w:name w:val="网格型浅色1"/>
    <w:basedOn w:val="28"/>
    <w:qFormat/>
    <w:uiPriority w:val="40"/>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table" w:customStyle="1" w:styleId="55">
    <w:name w:val="无格式表格 31"/>
    <w:basedOn w:val="28"/>
    <w:qFormat/>
    <w:uiPriority w:val="43"/>
    <w:tblStylePr w:type="firstRow">
      <w:rPr>
        <w:b/>
        <w:bCs/>
        <w:caps/>
      </w:rPr>
      <w:tcPr>
        <w:tcBorders>
          <w:top w:val="nil"/>
          <w:left w:val="nil"/>
          <w:bottom w:val="single" w:color="7E7E7E" w:sz="4" w:space="0"/>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E7E7E"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1F1F1"/>
      </w:tcPr>
    </w:tblStylePr>
    <w:tblStylePr w:type="band1Horz">
      <w:tcPr>
        <w:shd w:val="clear" w:color="auto" w:fill="F1F1F1"/>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paragraph" w:customStyle="1" w:styleId="56">
    <w:name w:val="ZH表格样式"/>
    <w:basedOn w:val="1"/>
    <w:next w:val="50"/>
    <w:link w:val="58"/>
    <w:qFormat/>
    <w:uiPriority w:val="0"/>
    <w:pPr>
      <w:spacing w:line="300" w:lineRule="exact"/>
    </w:pPr>
    <w:rPr>
      <w:rFonts w:hint="eastAsia"/>
      <w:sz w:val="21"/>
    </w:rPr>
  </w:style>
  <w:style w:type="table" w:customStyle="1" w:styleId="57">
    <w:name w:val="Table Normal"/>
    <w:unhideWhenUsed/>
    <w:qFormat/>
    <w:uiPriority w:val="0"/>
    <w:tblPr>
      <w:tblCellMar>
        <w:top w:w="0" w:type="dxa"/>
        <w:left w:w="0" w:type="dxa"/>
        <w:bottom w:w="0" w:type="dxa"/>
        <w:right w:w="0" w:type="dxa"/>
      </w:tblCellMar>
    </w:tblPr>
  </w:style>
  <w:style w:type="character" w:customStyle="1" w:styleId="58">
    <w:name w:val="ZH表格样式 Char"/>
    <w:link w:val="56"/>
    <w:qFormat/>
    <w:uiPriority w:val="0"/>
    <w:rPr>
      <w:rFonts w:hint="eastAsia"/>
      <w:sz w:val="21"/>
    </w:rPr>
  </w:style>
  <w:style w:type="paragraph" w:customStyle="1" w:styleId="59">
    <w:name w:val="表格1"/>
    <w:basedOn w:val="1"/>
    <w:qFormat/>
    <w:uiPriority w:val="0"/>
    <w:pPr>
      <w:jc w:val="center"/>
    </w:pPr>
    <w:rPr>
      <w:sz w:val="22"/>
      <w:szCs w:val="22"/>
    </w:rPr>
  </w:style>
  <w:style w:type="paragraph" w:customStyle="1" w:styleId="60">
    <w:name w:val="Table Text"/>
    <w:basedOn w:val="1"/>
    <w:semiHidden/>
    <w:qFormat/>
    <w:uiPriority w:val="0"/>
    <w:rPr>
      <w:rFonts w:ascii="宋体" w:hAnsi="宋体" w:eastAsia="宋体" w:cs="宋体"/>
      <w:sz w:val="24"/>
      <w:szCs w:val="24"/>
      <w:lang w:val="en-US" w:eastAsia="en-US" w:bidi="ar-SA"/>
    </w:rPr>
  </w:style>
  <w:style w:type="paragraph" w:customStyle="1" w:styleId="61">
    <w:name w:val="Gqd正文"/>
    <w:basedOn w:val="1"/>
    <w:qFormat/>
    <w:uiPriority w:val="0"/>
    <w:pPr>
      <w:snapToGrid w:val="0"/>
      <w:spacing w:line="460" w:lineRule="exact"/>
      <w:ind w:firstLine="520" w:firstLineChars="200"/>
    </w:pPr>
    <w:rPr>
      <w:rFonts w:ascii="Times New Roman" w:hAnsi="Times New Roman" w:eastAsia="新宋体"/>
      <w:bCs/>
      <w:sz w:val="26"/>
    </w:rPr>
  </w:style>
  <w:style w:type="paragraph" w:customStyle="1" w:styleId="62">
    <w:name w:val="GQD表格字体"/>
    <w:basedOn w:val="63"/>
    <w:qFormat/>
    <w:uiPriority w:val="0"/>
    <w:pPr>
      <w:adjustRightInd w:val="0"/>
      <w:snapToGrid w:val="0"/>
      <w:ind w:firstLine="0" w:firstLineChars="0"/>
    </w:pPr>
    <w:rPr>
      <w:rFonts w:ascii="Times New Roman" w:hAnsi="Times New Roman" w:eastAsia="宋体"/>
    </w:rPr>
  </w:style>
  <w:style w:type="paragraph" w:styleId="63">
    <w:name w:val="List Paragraph"/>
    <w:basedOn w:val="1"/>
    <w:qFormat/>
    <w:uiPriority w:val="99"/>
    <w:pPr>
      <w:ind w:firstLine="420" w:firstLineChars="200"/>
    </w:pPr>
  </w:style>
  <w:style w:type="paragraph" w:customStyle="1" w:styleId="64">
    <w:name w:val="GQD表头"/>
    <w:basedOn w:val="1"/>
    <w:qFormat/>
    <w:uiPriority w:val="0"/>
    <w:pPr>
      <w:snapToGrid w:val="0"/>
      <w:spacing w:before="50" w:beforeLines="50"/>
      <w:jc w:val="center"/>
    </w:pPr>
    <w:rPr>
      <w:rFonts w:ascii="Times New Roman" w:hAnsi="Times New Roman" w:eastAsia="新宋体"/>
      <w:b/>
      <w:sz w:val="22"/>
    </w:rPr>
  </w:style>
  <w:style w:type="paragraph" w:customStyle="1" w:styleId="65">
    <w:name w:val="Gqd四级标题"/>
    <w:basedOn w:val="1"/>
    <w:qFormat/>
    <w:uiPriority w:val="0"/>
    <w:pPr>
      <w:numPr>
        <w:ilvl w:val="3"/>
        <w:numId w:val="3"/>
      </w:numPr>
      <w:spacing w:line="460" w:lineRule="exact"/>
    </w:pPr>
    <w:rPr>
      <w:rFonts w:ascii="Times New Roman" w:hAnsi="Times New Roman" w:eastAsia="宋体"/>
      <w:sz w:val="26"/>
      <w:szCs w:val="26"/>
    </w:rPr>
  </w:style>
  <w:style w:type="paragraph" w:customStyle="1" w:styleId="66">
    <w:name w:val="Table Paragraph"/>
    <w:basedOn w:val="1"/>
    <w:unhideWhenUsed/>
    <w:qFormat/>
    <w:uiPriority w:val="1"/>
    <w:pPr>
      <w:spacing w:beforeLines="0" w:afterLines="0"/>
    </w:pPr>
    <w:rPr>
      <w:rFonts w:hint="default"/>
      <w:sz w:val="24"/>
    </w:rPr>
  </w:style>
  <w:style w:type="paragraph" w:customStyle="1" w:styleId="67">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68">
    <w:name w:val="disabled"/>
    <w:basedOn w:val="30"/>
    <w:qFormat/>
    <w:uiPriority w:val="0"/>
    <w:rPr>
      <w:vanish/>
    </w:rPr>
  </w:style>
  <w:style w:type="character" w:customStyle="1" w:styleId="69">
    <w:name w:val="znspantitle"/>
    <w:basedOn w:val="30"/>
    <w:qFormat/>
    <w:uiPriority w:val="0"/>
    <w:rPr>
      <w:b/>
      <w:bCs/>
      <w:color w:val="333333"/>
    </w:rPr>
  </w:style>
  <w:style w:type="paragraph" w:customStyle="1" w:styleId="70">
    <w:name w:val="正文01"/>
    <w:basedOn w:val="1"/>
    <w:qFormat/>
    <w:uiPriority w:val="0"/>
    <w:pPr>
      <w:adjustRightInd/>
      <w:snapToGrid/>
      <w:spacing w:before="60" w:line="460" w:lineRule="exact"/>
    </w:pPr>
  </w:style>
  <w:style w:type="paragraph" w:customStyle="1" w:styleId="71">
    <w:name w:val="正文11111"/>
    <w:basedOn w:val="1"/>
    <w:qFormat/>
    <w:uiPriority w:val="0"/>
    <w:pPr>
      <w:ind w:firstLine="200" w:firstLineChars="200"/>
    </w:pPr>
    <w:rPr>
      <w:kern w:val="0"/>
    </w:rPr>
  </w:style>
  <w:style w:type="character" w:customStyle="1" w:styleId="72">
    <w:name w:val="font21"/>
    <w:basedOn w:val="30"/>
    <w:qFormat/>
    <w:uiPriority w:val="0"/>
    <w:rPr>
      <w:rFonts w:hint="eastAsia" w:ascii="宋体" w:hAnsi="宋体" w:eastAsia="宋体" w:cs="宋体"/>
      <w:color w:val="000000"/>
      <w:sz w:val="21"/>
      <w:szCs w:val="21"/>
      <w:u w:val="none"/>
      <w:vertAlign w:val="superscript"/>
    </w:rPr>
  </w:style>
  <w:style w:type="paragraph" w:customStyle="1" w:styleId="73">
    <w:name w:val="表中文字"/>
    <w:basedOn w:val="1"/>
    <w:qFormat/>
    <w:uiPriority w:val="0"/>
    <w:pPr>
      <w:adjustRightInd w:val="0"/>
      <w:snapToGrid w:val="0"/>
      <w:spacing w:line="300" w:lineRule="exact"/>
      <w:jc w:val="center"/>
    </w:pPr>
    <w:rPr>
      <w:bCs/>
      <w:snapToGrid w:val="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14.wmf"/><Relationship Id="rId27" Type="http://schemas.openxmlformats.org/officeDocument/2006/relationships/oleObject" Target="embeddings/oleObject8.bin"/><Relationship Id="rId26" Type="http://schemas.openxmlformats.org/officeDocument/2006/relationships/image" Target="media/image13.wmf"/><Relationship Id="rId25" Type="http://schemas.openxmlformats.org/officeDocument/2006/relationships/oleObject" Target="embeddings/oleObject7.bin"/><Relationship Id="rId24" Type="http://schemas.openxmlformats.org/officeDocument/2006/relationships/image" Target="media/image12.wmf"/><Relationship Id="rId23" Type="http://schemas.openxmlformats.org/officeDocument/2006/relationships/oleObject" Target="embeddings/oleObject6.bin"/><Relationship Id="rId22" Type="http://schemas.openxmlformats.org/officeDocument/2006/relationships/image" Target="media/image11.wmf"/><Relationship Id="rId21" Type="http://schemas.openxmlformats.org/officeDocument/2006/relationships/oleObject" Target="embeddings/oleObject5.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65</Pages>
  <Words>10042</Words>
  <Characters>10611</Characters>
  <Lines>542</Lines>
  <Paragraphs>152</Paragraphs>
  <TotalTime>4</TotalTime>
  <ScaleCrop>false</ScaleCrop>
  <LinksUpToDate>false</LinksUpToDate>
  <CharactersWithSpaces>10634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2024-03-12T07:24:00Z</dcterms:created>
  <dc:creator>Windows 用户</dc:creator>
  <cp:lastModifiedBy>♂侽</cp:lastModifiedBy>
  <dcterms:modified xsi:type="dcterms:W3CDTF">2026-03-04T08:39:23Z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0F5700F8497448748EA43AB6817950DE_13</vt:lpwstr>
  </property>
  <property fmtid="{D5CDD505-2E9C-101B-9397-08002B2CF9AE}" pid="4" name="KSOTemplateDocerSaveRecord">
    <vt:lpwstr>eyJoZGlkIjoiYWNjY2RjNmZhMDJkOGVhZDljNjMwNTRkOWZkMGYxMjciLCJ1c2VySWQiOiI0MTAzMDI3NTIifQ==</vt:lpwstr>
  </property>
</Properties>
</file>