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达州市达川区水务局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关于达川区2020-2024河道采砂规划划定的可采区、禁采区、可采期、禁采期的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    告</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_GBK" w:hAnsi="方正小标宋_GBK" w:eastAsia="方正小标宋_GBK" w:cs="方正小标宋_GBK"/>
          <w:sz w:val="44"/>
          <w:szCs w:val="44"/>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州市达川区水务局委托金华市水利水电勘测设计院有限公司编制的《渠江达川段（含明月江）河道采砂规划报告（2020-2024）》，已按相关程序报四川省水利厅、达川区人民政府批准同意实施。现将达川区河道采砂划定的可采区、禁采区、可采期、禁采期公告如下：</w:t>
      </w:r>
    </w:p>
    <w:p>
      <w:pPr>
        <w:numPr>
          <w:ilvl w:val="0"/>
          <w:numId w:val="1"/>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除巴河达川段和明月江达川段外，我区其它所有河道一律禁采。</w:t>
      </w:r>
    </w:p>
    <w:p>
      <w:pPr>
        <w:numPr>
          <w:ilvl w:val="0"/>
          <w:numId w:val="1"/>
        </w:num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划定的可采区、禁采区范围：</w:t>
      </w:r>
      <w:r>
        <w:rPr>
          <w:rFonts w:hint="default" w:ascii="Times New Roman" w:hAnsi="Times New Roman" w:eastAsia="方正仿宋_GBK" w:cs="Times New Roman"/>
          <w:color w:val="000000"/>
          <w:sz w:val="32"/>
          <w:szCs w:val="32"/>
        </w:rPr>
        <w:t>可采区11处，可采河段长29.48km，</w:t>
      </w:r>
      <w:r>
        <w:rPr>
          <w:rFonts w:hint="default" w:ascii="Times New Roman" w:hAnsi="Times New Roman" w:eastAsia="方正仿宋_GBK" w:cs="Times New Roman"/>
          <w:color w:val="000000"/>
          <w:kern w:val="0"/>
          <w:sz w:val="32"/>
          <w:szCs w:val="32"/>
          <w:lang w:val="zh-CN"/>
        </w:rPr>
        <w:t>其中渠江达川区巴河段</w:t>
      </w:r>
      <w:r>
        <w:rPr>
          <w:rFonts w:hint="default" w:ascii="Times New Roman" w:hAnsi="Times New Roman" w:eastAsia="方正仿宋_GBK" w:cs="Times New Roman"/>
          <w:color w:val="000000"/>
          <w:kern w:val="0"/>
          <w:sz w:val="32"/>
          <w:szCs w:val="32"/>
        </w:rPr>
        <w:t>11.98</w:t>
      </w:r>
      <w:r>
        <w:rPr>
          <w:rFonts w:hint="default" w:ascii="Times New Roman" w:hAnsi="Times New Roman" w:eastAsia="方正仿宋_GBK" w:cs="Times New Roman"/>
          <w:color w:val="000000"/>
          <w:kern w:val="0"/>
          <w:sz w:val="32"/>
          <w:szCs w:val="32"/>
          <w:lang w:val="zh-CN"/>
        </w:rPr>
        <w:t>km，明月江河段17.5</w:t>
      </w:r>
      <w:r>
        <w:rPr>
          <w:rFonts w:hint="default" w:ascii="Times New Roman" w:hAnsi="Times New Roman" w:eastAsia="方正仿宋_GBK" w:cs="Times New Roman"/>
          <w:color w:val="000000"/>
          <w:kern w:val="0"/>
          <w:sz w:val="32"/>
          <w:szCs w:val="32"/>
        </w:rPr>
        <w:t>0</w:t>
      </w:r>
      <w:r>
        <w:rPr>
          <w:rFonts w:hint="default" w:ascii="Times New Roman" w:hAnsi="Times New Roman" w:eastAsia="方正仿宋_GBK" w:cs="Times New Roman"/>
          <w:color w:val="000000"/>
          <w:kern w:val="0"/>
          <w:sz w:val="32"/>
          <w:szCs w:val="32"/>
          <w:lang w:val="zh-CN"/>
        </w:rPr>
        <w:t>km</w:t>
      </w:r>
      <w:r>
        <w:rPr>
          <w:rFonts w:hint="default" w:ascii="Times New Roman" w:hAnsi="Times New Roman" w:eastAsia="方正仿宋_GBK" w:cs="Times New Roman"/>
          <w:color w:val="000000"/>
          <w:sz w:val="32"/>
          <w:szCs w:val="32"/>
        </w:rPr>
        <w:t>；禁采区13处，禁采河段长66.62km，</w:t>
      </w:r>
      <w:r>
        <w:rPr>
          <w:rFonts w:hint="default" w:ascii="Times New Roman" w:hAnsi="Times New Roman" w:eastAsia="方正仿宋_GBK" w:cs="Times New Roman"/>
          <w:color w:val="000000"/>
          <w:kern w:val="0"/>
          <w:sz w:val="32"/>
          <w:szCs w:val="32"/>
          <w:lang w:val="zh-CN"/>
        </w:rPr>
        <w:t>其中渠江达川区巴河段</w:t>
      </w:r>
      <w:r>
        <w:rPr>
          <w:rFonts w:hint="default" w:ascii="Times New Roman" w:hAnsi="Times New Roman" w:eastAsia="方正仿宋_GBK" w:cs="Times New Roman"/>
          <w:color w:val="000000"/>
          <w:kern w:val="0"/>
          <w:sz w:val="32"/>
          <w:szCs w:val="32"/>
        </w:rPr>
        <w:t>36.42</w:t>
      </w:r>
      <w:r>
        <w:rPr>
          <w:rFonts w:hint="default" w:ascii="Times New Roman" w:hAnsi="Times New Roman" w:eastAsia="方正仿宋_GBK" w:cs="Times New Roman"/>
          <w:color w:val="000000"/>
          <w:kern w:val="0"/>
          <w:sz w:val="32"/>
          <w:szCs w:val="32"/>
          <w:lang w:val="zh-CN"/>
        </w:rPr>
        <w:t>km，明月江河段</w:t>
      </w:r>
      <w:r>
        <w:rPr>
          <w:rFonts w:hint="default" w:ascii="Times New Roman" w:hAnsi="Times New Roman" w:eastAsia="方正仿宋_GBK" w:cs="Times New Roman"/>
          <w:color w:val="000000"/>
          <w:kern w:val="0"/>
          <w:sz w:val="32"/>
          <w:szCs w:val="32"/>
        </w:rPr>
        <w:t>30.20</w:t>
      </w:r>
      <w:r>
        <w:rPr>
          <w:rFonts w:hint="default" w:ascii="Times New Roman" w:hAnsi="Times New Roman" w:eastAsia="方正仿宋_GBK" w:cs="Times New Roman"/>
          <w:color w:val="000000"/>
          <w:kern w:val="0"/>
          <w:sz w:val="32"/>
          <w:szCs w:val="32"/>
          <w:lang w:val="zh-CN"/>
        </w:rPr>
        <w:t>km</w:t>
      </w:r>
      <w:r>
        <w:rPr>
          <w:rFonts w:hint="default" w:ascii="Times New Roman" w:hAnsi="Times New Roman" w:eastAsia="方正仿宋_GBK" w:cs="Times New Roman"/>
          <w:color w:val="000000"/>
          <w:sz w:val="32"/>
          <w:szCs w:val="32"/>
        </w:rPr>
        <w:t>；具体点位如下：</w:t>
      </w:r>
    </w:p>
    <w:p>
      <w:pPr>
        <w:jc w:val="center"/>
        <w:rPr>
          <w:rFonts w:hint="eastAsia" w:ascii="方正小标宋_GBK" w:hAnsi="方正小标宋_GBK" w:eastAsia="方正小标宋_GBK" w:cs="方正小标宋_GBK"/>
          <w:b w:val="0"/>
          <w:bCs w:val="0"/>
          <w:color w:val="000000"/>
          <w:sz w:val="32"/>
          <w:szCs w:val="32"/>
        </w:rPr>
      </w:pPr>
      <w:r>
        <w:rPr>
          <w:rFonts w:hint="eastAsia" w:ascii="方正小标宋_GBK" w:hAnsi="方正小标宋_GBK" w:eastAsia="方正小标宋_GBK" w:cs="方正小标宋_GBK"/>
          <w:b w:val="0"/>
          <w:bCs w:val="0"/>
          <w:sz w:val="32"/>
          <w:szCs w:val="32"/>
        </w:rPr>
        <w:t>可采区范围特性表</w:t>
      </w:r>
    </w:p>
    <w:tbl>
      <w:tblPr>
        <w:tblStyle w:val="3"/>
        <w:tblW w:w="527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7"/>
        <w:gridCol w:w="495"/>
        <w:gridCol w:w="1989"/>
        <w:gridCol w:w="1338"/>
        <w:gridCol w:w="1417"/>
        <w:gridCol w:w="1227"/>
        <w:gridCol w:w="1364"/>
        <w:gridCol w:w="7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restar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河流</w:t>
            </w:r>
          </w:p>
        </w:tc>
        <w:tc>
          <w:tcPr>
            <w:tcW w:w="275" w:type="pct"/>
            <w:vMerge w:val="restar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河段名称</w:t>
            </w:r>
          </w:p>
        </w:tc>
        <w:tc>
          <w:tcPr>
            <w:tcW w:w="1106" w:type="pct"/>
            <w:vMerge w:val="restar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位置</w:t>
            </w:r>
          </w:p>
          <w:p>
            <w:pPr>
              <w:pStyle w:val="5"/>
              <w:rPr>
                <w:rFonts w:hint="default" w:ascii="Times New Roman" w:hAnsi="Times New Roman" w:eastAsia="方正仿宋_GBK" w:cs="Times New Roman"/>
                <w:sz w:val="21"/>
                <w:szCs w:val="21"/>
              </w:rPr>
            </w:pPr>
          </w:p>
        </w:tc>
        <w:tc>
          <w:tcPr>
            <w:tcW w:w="1533" w:type="pct"/>
            <w:gridSpan w:val="2"/>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起点坐标</w:t>
            </w:r>
          </w:p>
        </w:tc>
        <w:tc>
          <w:tcPr>
            <w:tcW w:w="1441" w:type="pct"/>
            <w:gridSpan w:val="2"/>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终点坐标</w:t>
            </w:r>
          </w:p>
        </w:tc>
        <w:tc>
          <w:tcPr>
            <w:tcW w:w="421" w:type="pct"/>
            <w:vMerge w:val="restar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长度</w:t>
            </w:r>
          </w:p>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（km）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shd w:val="clear" w:color="auto" w:fill="auto"/>
            <w:vAlign w:val="center"/>
          </w:tcPr>
          <w:p>
            <w:pPr>
              <w:pStyle w:val="5"/>
              <w:rPr>
                <w:rFonts w:hint="default" w:ascii="Times New Roman" w:hAnsi="Times New Roman" w:eastAsia="方正仿宋_GBK" w:cs="Times New Roman"/>
                <w:sz w:val="21"/>
                <w:szCs w:val="21"/>
              </w:rPr>
            </w:pPr>
          </w:p>
        </w:tc>
        <w:tc>
          <w:tcPr>
            <w:tcW w:w="275" w:type="pct"/>
            <w:vMerge w:val="continue"/>
            <w:shd w:val="clear" w:color="auto" w:fill="auto"/>
            <w:vAlign w:val="center"/>
          </w:tcPr>
          <w:p>
            <w:pPr>
              <w:pStyle w:val="5"/>
              <w:rPr>
                <w:rFonts w:hint="default" w:ascii="Times New Roman" w:hAnsi="Times New Roman" w:eastAsia="方正仿宋_GBK" w:cs="Times New Roman"/>
                <w:sz w:val="21"/>
                <w:szCs w:val="21"/>
              </w:rPr>
            </w:pPr>
          </w:p>
        </w:tc>
        <w:tc>
          <w:tcPr>
            <w:tcW w:w="1106" w:type="pct"/>
            <w:vMerge w:val="continue"/>
            <w:shd w:val="clear" w:color="auto" w:fill="auto"/>
            <w:vAlign w:val="center"/>
          </w:tcPr>
          <w:p>
            <w:pPr>
              <w:pStyle w:val="5"/>
              <w:rPr>
                <w:rFonts w:hint="default" w:ascii="Times New Roman" w:hAnsi="Times New Roman" w:eastAsia="方正仿宋_GBK" w:cs="Times New Roman"/>
                <w:sz w:val="21"/>
                <w:szCs w:val="21"/>
              </w:rPr>
            </w:pP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Y</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Y</w:t>
            </w:r>
          </w:p>
        </w:tc>
        <w:tc>
          <w:tcPr>
            <w:tcW w:w="421" w:type="pct"/>
            <w:vMerge w:val="continue"/>
            <w:shd w:val="clear" w:color="auto" w:fill="auto"/>
            <w:vAlign w:val="center"/>
          </w:tcPr>
          <w:p>
            <w:pPr>
              <w:pStyle w:val="5"/>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restar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渠江达川区段</w:t>
            </w: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渠可采1</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虎让乡符家咀～山溪口</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422599.079</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3467021.232</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424810.281</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3463993.875</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渠可采2</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桥湾镇李家河～九节滩电站大坝以上300m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426040.828</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3459770.979</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426808.145</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3458880.640</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渠可采3</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九节滩电站大坝下游3500m～石梯镇铁路桥上游3400m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424169.676</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3457303.267</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423022.826</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3457560.379</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渠可采4</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龙会乡下游200m～出区界处</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422931.025</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3445058.100</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421833.385</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3441275.489</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restar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明月江</w:t>
            </w: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明可采1</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垛子石便桥下游200m～下游700m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479736.386</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3427869.182</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479241.158</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3428436.936</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明可采2</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龚家院子便桥上游200m～下游200m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478895.591</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3428994.305</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478684.007</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3429273.666</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明可采3</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福星桥铁路桥下游2000m～267乡道桥以上500m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476063.462</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3430153.533</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473071.937</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3430540.444</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明可采4</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202省道桥下游1000m～魏家河边</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469951.922</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3434511.400</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469064.763</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3436558.620</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明可采5</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大桥铁路桥下游2000m～白果村北漫水桥上游200m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465625.585</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3440487.968</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464806.345</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3441649.273</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明可采6</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白果村北漫水桥上游200m～256乡道桥上游500m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464559.741</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3441983.168</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464410.120</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3442540.377</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 w:type="pct"/>
            <w:vMerge w:val="continue"/>
            <w:vAlign w:val="center"/>
          </w:tcPr>
          <w:p>
            <w:pPr>
              <w:pStyle w:val="5"/>
              <w:rPr>
                <w:rFonts w:hint="default" w:ascii="Times New Roman" w:hAnsi="Times New Roman" w:eastAsia="方正仿宋_GBK" w:cs="Times New Roman"/>
                <w:sz w:val="21"/>
                <w:szCs w:val="21"/>
              </w:rPr>
            </w:pPr>
          </w:p>
        </w:tc>
        <w:tc>
          <w:tcPr>
            <w:tcW w:w="275"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明可采7</w:t>
            </w:r>
          </w:p>
        </w:tc>
        <w:tc>
          <w:tcPr>
            <w:tcW w:w="1106" w:type="pct"/>
            <w:shd w:val="clear" w:color="auto" w:fill="auto"/>
            <w:vAlign w:val="center"/>
          </w:tcPr>
          <w:p>
            <w:pPr>
              <w:pStyle w:val="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山溪村交通桥下游1000m～冷家沟桥上游200m</w:t>
            </w:r>
          </w:p>
        </w:tc>
        <w:tc>
          <w:tcPr>
            <w:tcW w:w="744"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462090.798</w:t>
            </w:r>
          </w:p>
        </w:tc>
        <w:tc>
          <w:tcPr>
            <w:tcW w:w="788"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3446270.538</w:t>
            </w:r>
          </w:p>
        </w:tc>
        <w:tc>
          <w:tcPr>
            <w:tcW w:w="682"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459755.039</w:t>
            </w:r>
          </w:p>
        </w:tc>
        <w:tc>
          <w:tcPr>
            <w:tcW w:w="759"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3447804.786</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78" w:type="pct"/>
            <w:gridSpan w:val="7"/>
            <w:shd w:val="clear" w:color="auto" w:fill="auto"/>
            <w:noWrap/>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w:t>
            </w:r>
          </w:p>
        </w:tc>
        <w:tc>
          <w:tcPr>
            <w:tcW w:w="421" w:type="pct"/>
            <w:shd w:val="clear" w:color="auto" w:fill="auto"/>
            <w:vAlign w:val="center"/>
          </w:tcPr>
          <w:p>
            <w:pPr>
              <w:pStyle w:val="5"/>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29.48</w:t>
            </w:r>
          </w:p>
        </w:tc>
      </w:tr>
    </w:tbl>
    <w:p>
      <w:pPr>
        <w:widowControl/>
        <w:jc w:val="center"/>
        <w:rPr>
          <w:rFonts w:ascii="仿宋" w:hAnsi="仿宋" w:eastAsia="仿宋"/>
          <w:b/>
          <w:bCs/>
          <w:sz w:val="32"/>
          <w:szCs w:val="32"/>
        </w:rPr>
      </w:pPr>
    </w:p>
    <w:p>
      <w:pPr>
        <w:widowControl/>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禁采区范围特性表</w:t>
      </w:r>
    </w:p>
    <w:tbl>
      <w:tblPr>
        <w:tblStyle w:val="3"/>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37"/>
        <w:gridCol w:w="2020"/>
        <w:gridCol w:w="1168"/>
        <w:gridCol w:w="1275"/>
        <w:gridCol w:w="1133"/>
        <w:gridCol w:w="12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restar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河流</w:t>
            </w:r>
          </w:p>
        </w:tc>
        <w:tc>
          <w:tcPr>
            <w:tcW w:w="370" w:type="pct"/>
            <w:vMerge w:val="restar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河段</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名称</w:t>
            </w:r>
          </w:p>
        </w:tc>
        <w:tc>
          <w:tcPr>
            <w:tcW w:w="1173" w:type="pct"/>
            <w:vMerge w:val="restar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位置</w:t>
            </w:r>
          </w:p>
        </w:tc>
        <w:tc>
          <w:tcPr>
            <w:tcW w:w="1418" w:type="pct"/>
            <w:gridSpan w:val="2"/>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起点坐标</w:t>
            </w:r>
          </w:p>
        </w:tc>
        <w:tc>
          <w:tcPr>
            <w:tcW w:w="1399" w:type="pct"/>
            <w:gridSpan w:val="2"/>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终点坐标</w:t>
            </w:r>
          </w:p>
        </w:tc>
        <w:tc>
          <w:tcPr>
            <w:tcW w:w="411" w:type="pct"/>
            <w:vMerge w:val="restart"/>
            <w:shd w:val="clear" w:color="000000" w:fill="FFFFFF"/>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长度</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vMerge w:val="continue"/>
            <w:vAlign w:val="center"/>
          </w:tcPr>
          <w:p>
            <w:pPr>
              <w:jc w:val="center"/>
              <w:rPr>
                <w:rFonts w:hint="default" w:ascii="Times New Roman" w:hAnsi="Times New Roman" w:eastAsia="方正仿宋_GBK" w:cs="Times New Roman"/>
                <w:sz w:val="18"/>
                <w:szCs w:val="21"/>
              </w:rPr>
            </w:pPr>
          </w:p>
        </w:tc>
        <w:tc>
          <w:tcPr>
            <w:tcW w:w="1173" w:type="pct"/>
            <w:vMerge w:val="continue"/>
            <w:vAlign w:val="center"/>
          </w:tcPr>
          <w:p>
            <w:pPr>
              <w:jc w:val="center"/>
              <w:rPr>
                <w:rFonts w:hint="default" w:ascii="Times New Roman" w:hAnsi="Times New Roman" w:eastAsia="方正仿宋_GBK" w:cs="Times New Roman"/>
                <w:sz w:val="18"/>
                <w:szCs w:val="21"/>
              </w:rPr>
            </w:pPr>
          </w:p>
        </w:tc>
        <w:tc>
          <w:tcPr>
            <w:tcW w:w="678"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X</w:t>
            </w:r>
          </w:p>
        </w:tc>
        <w:tc>
          <w:tcPr>
            <w:tcW w:w="74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Y</w:t>
            </w:r>
          </w:p>
        </w:tc>
        <w:tc>
          <w:tcPr>
            <w:tcW w:w="658"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X</w:t>
            </w:r>
          </w:p>
        </w:tc>
        <w:tc>
          <w:tcPr>
            <w:tcW w:w="74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Y</w:t>
            </w:r>
          </w:p>
        </w:tc>
        <w:tc>
          <w:tcPr>
            <w:tcW w:w="411" w:type="pct"/>
            <w:vMerge w:val="continue"/>
            <w:vAlign w:val="center"/>
          </w:tcPr>
          <w:p>
            <w:pPr>
              <w:jc w:val="center"/>
              <w:rPr>
                <w:rFonts w:hint="default" w:ascii="Times New Roman" w:hAnsi="Times New Roman" w:eastAsia="方正仿宋_GBK" w:cs="Times New Roman"/>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restar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渠江达川区段</w:t>
            </w: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渠禁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采1</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区界～虎让乡符家咀</w:t>
            </w:r>
          </w:p>
        </w:tc>
        <w:tc>
          <w:tcPr>
            <w:tcW w:w="678" w:type="pct"/>
            <w:shd w:val="clear" w:color="auto" w:fill="auto"/>
            <w:vAlign w:val="center"/>
          </w:tcPr>
          <w:p>
            <w:pP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422302.366</w:t>
            </w:r>
          </w:p>
        </w:tc>
        <w:tc>
          <w:tcPr>
            <w:tcW w:w="740" w:type="pct"/>
            <w:shd w:val="clear" w:color="auto" w:fill="auto"/>
            <w:vAlign w:val="center"/>
          </w:tcPr>
          <w:p>
            <w:pP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3476922.832</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422599.079</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3467021.232</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渠禁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采2</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山溪口～桥湾镇李家河</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424810.281</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3463993.875</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426040.828</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3459770.979</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渠禁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采3</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九节滩电站大坝上游300m～下游3500m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426808.145</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3458880.640</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424169.676</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3457303.267</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渠禁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采4</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石梯镇铁路桥上游3400m～区界</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423022.826</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3457560.379</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419695.313</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3453979.054</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渠禁采5</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龙会乡区界～龙会乡下游200m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421721.782</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3445532.136</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422931.025</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3445058.100</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小计</w:t>
            </w:r>
          </w:p>
        </w:tc>
        <w:tc>
          <w:tcPr>
            <w:tcW w:w="1173" w:type="pct"/>
            <w:shd w:val="clear" w:color="auto" w:fill="auto"/>
            <w:vAlign w:val="center"/>
          </w:tcPr>
          <w:p>
            <w:pPr>
              <w:rPr>
                <w:rFonts w:hint="default" w:ascii="Times New Roman" w:hAnsi="Times New Roman" w:eastAsia="方正仿宋_GBK" w:cs="Times New Roman"/>
                <w:sz w:val="18"/>
                <w:szCs w:val="21"/>
              </w:rPr>
            </w:pPr>
          </w:p>
        </w:tc>
        <w:tc>
          <w:tcPr>
            <w:tcW w:w="678" w:type="pct"/>
            <w:shd w:val="clear" w:color="auto" w:fill="auto"/>
            <w:vAlign w:val="center"/>
          </w:tcPr>
          <w:p>
            <w:pPr>
              <w:jc w:val="center"/>
              <w:rPr>
                <w:rFonts w:hint="default" w:ascii="Times New Roman" w:hAnsi="Times New Roman" w:eastAsia="方正仿宋_GBK" w:cs="Times New Roman"/>
                <w:sz w:val="18"/>
                <w:szCs w:val="21"/>
              </w:rPr>
            </w:pPr>
          </w:p>
        </w:tc>
        <w:tc>
          <w:tcPr>
            <w:tcW w:w="740" w:type="pct"/>
            <w:shd w:val="clear" w:color="auto" w:fill="auto"/>
            <w:vAlign w:val="center"/>
          </w:tcPr>
          <w:p>
            <w:pPr>
              <w:jc w:val="center"/>
              <w:rPr>
                <w:rFonts w:hint="default" w:ascii="Times New Roman" w:hAnsi="Times New Roman" w:eastAsia="方正仿宋_GBK" w:cs="Times New Roman"/>
                <w:sz w:val="18"/>
                <w:szCs w:val="21"/>
              </w:rPr>
            </w:pPr>
          </w:p>
        </w:tc>
        <w:tc>
          <w:tcPr>
            <w:tcW w:w="658" w:type="pct"/>
            <w:shd w:val="clear" w:color="auto" w:fill="auto"/>
            <w:vAlign w:val="center"/>
          </w:tcPr>
          <w:p>
            <w:pPr>
              <w:jc w:val="center"/>
              <w:rPr>
                <w:rFonts w:hint="default" w:ascii="Times New Roman" w:hAnsi="Times New Roman" w:eastAsia="方正仿宋_GBK" w:cs="Times New Roman"/>
                <w:sz w:val="18"/>
                <w:szCs w:val="21"/>
              </w:rPr>
            </w:pPr>
          </w:p>
        </w:tc>
        <w:tc>
          <w:tcPr>
            <w:tcW w:w="741" w:type="pct"/>
            <w:shd w:val="clear" w:color="auto" w:fill="auto"/>
            <w:vAlign w:val="center"/>
          </w:tcPr>
          <w:p>
            <w:pPr>
              <w:jc w:val="center"/>
              <w:rPr>
                <w:rFonts w:hint="default" w:ascii="Times New Roman" w:hAnsi="Times New Roman" w:eastAsia="方正仿宋_GBK" w:cs="Times New Roman"/>
                <w:sz w:val="18"/>
                <w:szCs w:val="21"/>
              </w:rPr>
            </w:pP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restar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 月 江</w:t>
            </w: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采1</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区界～垛子石便桥下游200m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479870.326</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3427695.261</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479736.386</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3427869.182</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采2</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莲珠峡便桥上游200m～龚家院子便桥下游200m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479241.158</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3428436.936</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478895.591</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3428994.305</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采3</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宝珠寺便桥上游200m～福星桥铁路桥下游2000m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478684.007</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3429273.666</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476063.462</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3430153.533</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w:t>
            </w:r>
          </w:p>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采4</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267乡道桥以上500m～202省道桥下游1000m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473071.937</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3430540.444</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469951.922</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3434511.400</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明禁采5</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魏家河边～大桥铁路桥下游2000m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469064.763</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3436558.620</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465625.585</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3440487.968</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明禁采6</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白果村北漫水桥上游200m～下游200m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464806.345</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3441649.273</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464559.741</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3441983.168</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明禁采7</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256乡道桥上游500m～山溪村交通桥下游1000m</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464410.120</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3442540.377</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462090.798</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3446270.538</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明禁采8</w:t>
            </w:r>
          </w:p>
        </w:tc>
        <w:tc>
          <w:tcPr>
            <w:tcW w:w="1173" w:type="pct"/>
            <w:shd w:val="clear" w:color="auto" w:fill="auto"/>
            <w:vAlign w:val="center"/>
          </w:tcPr>
          <w:p>
            <w:pP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冷家沟桥上游200m～出区界处</w:t>
            </w:r>
          </w:p>
        </w:tc>
        <w:tc>
          <w:tcPr>
            <w:tcW w:w="67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459755.039</w:t>
            </w:r>
          </w:p>
        </w:tc>
        <w:tc>
          <w:tcPr>
            <w:tcW w:w="740"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3447804.786</w:t>
            </w:r>
          </w:p>
        </w:tc>
        <w:tc>
          <w:tcPr>
            <w:tcW w:w="658"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459610.406</w:t>
            </w:r>
          </w:p>
        </w:tc>
        <w:tc>
          <w:tcPr>
            <w:tcW w:w="741" w:type="pct"/>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3451914.241</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9" w:type="pct"/>
            <w:vMerge w:val="continue"/>
            <w:vAlign w:val="center"/>
          </w:tcPr>
          <w:p>
            <w:pPr>
              <w:jc w:val="center"/>
              <w:rPr>
                <w:rFonts w:hint="default" w:ascii="Times New Roman" w:hAnsi="Times New Roman" w:eastAsia="方正仿宋_GBK" w:cs="Times New Roman"/>
                <w:sz w:val="18"/>
                <w:szCs w:val="21"/>
              </w:rPr>
            </w:pPr>
          </w:p>
        </w:tc>
        <w:tc>
          <w:tcPr>
            <w:tcW w:w="370"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小计</w:t>
            </w:r>
          </w:p>
        </w:tc>
        <w:tc>
          <w:tcPr>
            <w:tcW w:w="1173" w:type="pct"/>
            <w:shd w:val="clear" w:color="auto" w:fill="auto"/>
            <w:vAlign w:val="center"/>
          </w:tcPr>
          <w:p>
            <w:pPr>
              <w:jc w:val="center"/>
              <w:rPr>
                <w:rFonts w:hint="default" w:ascii="Times New Roman" w:hAnsi="Times New Roman" w:eastAsia="方正仿宋_GBK" w:cs="Times New Roman"/>
                <w:sz w:val="18"/>
                <w:szCs w:val="21"/>
              </w:rPr>
            </w:pPr>
          </w:p>
        </w:tc>
        <w:tc>
          <w:tcPr>
            <w:tcW w:w="678" w:type="pct"/>
            <w:shd w:val="clear" w:color="auto" w:fill="auto"/>
            <w:vAlign w:val="center"/>
          </w:tcPr>
          <w:p>
            <w:pPr>
              <w:jc w:val="center"/>
              <w:rPr>
                <w:rFonts w:hint="default" w:ascii="Times New Roman" w:hAnsi="Times New Roman" w:eastAsia="方正仿宋_GBK" w:cs="Times New Roman"/>
                <w:sz w:val="18"/>
                <w:szCs w:val="21"/>
              </w:rPr>
            </w:pPr>
          </w:p>
        </w:tc>
        <w:tc>
          <w:tcPr>
            <w:tcW w:w="740" w:type="pct"/>
            <w:shd w:val="clear" w:color="auto" w:fill="auto"/>
            <w:vAlign w:val="center"/>
          </w:tcPr>
          <w:p>
            <w:pPr>
              <w:jc w:val="center"/>
              <w:rPr>
                <w:rFonts w:hint="default" w:ascii="Times New Roman" w:hAnsi="Times New Roman" w:eastAsia="方正仿宋_GBK" w:cs="Times New Roman"/>
                <w:sz w:val="18"/>
                <w:szCs w:val="21"/>
              </w:rPr>
            </w:pPr>
          </w:p>
        </w:tc>
        <w:tc>
          <w:tcPr>
            <w:tcW w:w="658" w:type="pct"/>
            <w:shd w:val="clear" w:color="auto" w:fill="auto"/>
            <w:vAlign w:val="center"/>
          </w:tcPr>
          <w:p>
            <w:pPr>
              <w:jc w:val="center"/>
              <w:rPr>
                <w:rFonts w:hint="default" w:ascii="Times New Roman" w:hAnsi="Times New Roman" w:eastAsia="方正仿宋_GBK" w:cs="Times New Roman"/>
                <w:sz w:val="18"/>
                <w:szCs w:val="21"/>
              </w:rPr>
            </w:pPr>
          </w:p>
        </w:tc>
        <w:tc>
          <w:tcPr>
            <w:tcW w:w="741" w:type="pct"/>
            <w:shd w:val="clear" w:color="auto" w:fill="auto"/>
            <w:vAlign w:val="center"/>
          </w:tcPr>
          <w:p>
            <w:pPr>
              <w:jc w:val="center"/>
              <w:rPr>
                <w:rFonts w:hint="default" w:ascii="Times New Roman" w:hAnsi="Times New Roman" w:eastAsia="方正仿宋_GBK" w:cs="Times New Roman"/>
                <w:sz w:val="18"/>
                <w:szCs w:val="18"/>
              </w:rPr>
            </w:pP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89" w:type="pct"/>
            <w:gridSpan w:val="7"/>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合计</w:t>
            </w:r>
          </w:p>
        </w:tc>
        <w:tc>
          <w:tcPr>
            <w:tcW w:w="411" w:type="pct"/>
            <w:shd w:val="clear" w:color="auto" w:fill="auto"/>
            <w:vAlign w:val="center"/>
          </w:tcPr>
          <w:p>
            <w:pPr>
              <w:jc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66.62</w:t>
            </w:r>
          </w:p>
        </w:tc>
      </w:tr>
    </w:tbl>
    <w:p>
      <w:pPr>
        <w:numPr>
          <w:ilvl w:val="0"/>
          <w:numId w:val="1"/>
        </w:numPr>
        <w:spacing w:line="56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划定的可采期、禁采期：《四川省&lt;中华人民共和国渔业法&gt;实施办法》第二十六条及《四川省人民政府办公厅关于进一步加强河道采砂管理的通知》（川办函〔2005〕204号）文件规定，</w:t>
      </w:r>
      <w:r>
        <w:rPr>
          <w:rFonts w:hint="default" w:ascii="Times New Roman" w:hAnsi="Times New Roman" w:eastAsia="方正仿宋_GBK" w:cs="Times New Roman"/>
          <w:color w:val="000000"/>
          <w:sz w:val="32"/>
          <w:szCs w:val="32"/>
        </w:rPr>
        <w:t>每年3月1日至9月30日及依法禁止采砂的其他时段为禁采期，其余时段为可采期。可采期每晚22时〜次日凌晨6时为禁采时间。</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特此公告</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达州市达川区水务局</w:t>
      </w:r>
    </w:p>
    <w:p>
      <w:pPr>
        <w:ind w:firstLine="4160" w:firstLineChars="13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bookmarkStart w:id="0" w:name="_GoBack"/>
      <w:bookmarkEnd w:id="0"/>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D9457"/>
    <w:multiLevelType w:val="singleLevel"/>
    <w:tmpl w:val="2CED94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061A0"/>
    <w:rsid w:val="001E3A86"/>
    <w:rsid w:val="004E71F6"/>
    <w:rsid w:val="00954F50"/>
    <w:rsid w:val="00B32BB0"/>
    <w:rsid w:val="00B86469"/>
    <w:rsid w:val="00D52B53"/>
    <w:rsid w:val="1412271C"/>
    <w:rsid w:val="22B31798"/>
    <w:rsid w:val="2B284ECA"/>
    <w:rsid w:val="2D585CE7"/>
    <w:rsid w:val="2D7F74ED"/>
    <w:rsid w:val="4CBC5221"/>
    <w:rsid w:val="649061A0"/>
    <w:rsid w:val="69564895"/>
    <w:rsid w:val="6D8D6962"/>
    <w:rsid w:val="764D06AC"/>
    <w:rsid w:val="76631A85"/>
    <w:rsid w:val="7871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customStyle="1" w:styleId="5">
    <w:name w:val="表"/>
    <w:basedOn w:val="1"/>
    <w:next w:val="1"/>
    <w:qFormat/>
    <w:uiPriority w:val="7"/>
    <w:pPr>
      <w:jc w:val="center"/>
    </w:pPr>
    <w:rPr>
      <w:rFonts w:eastAsiaTheme="minorEastAsia"/>
      <w:sz w:val="18"/>
      <w:szCs w:val="21"/>
    </w:rPr>
  </w:style>
  <w:style w:type="character" w:customStyle="1" w:styleId="6">
    <w:name w:val="批注框文本 字符"/>
    <w:basedOn w:val="4"/>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387</Words>
  <Characters>2212</Characters>
  <Lines>18</Lines>
  <Paragraphs>5</Paragraphs>
  <TotalTime>2</TotalTime>
  <ScaleCrop>false</ScaleCrop>
  <LinksUpToDate>false</LinksUpToDate>
  <CharactersWithSpaces>2594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2021-05-17T00:07:00Z</dcterms:created>
  <dc:creator>庞光荣</dc:creator>
  <cp:lastModifiedBy>s_lj.</cp:lastModifiedBy>
  <cp:lastPrinted>2022-02-15T03:29:00Z</cp:lastPrinted>
  <dcterms:modified xsi:type="dcterms:W3CDTF">2022-02-21T02:53:41Z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439087945_btnclosed</vt:lpwstr>
  </property>
  <property fmtid="{D5CDD505-2E9C-101B-9397-08002B2CF9AE}" pid="4" name="ICV">
    <vt:lpwstr>04754C3321044C30B51970DDE291335E</vt:lpwstr>
  </property>
</Properties>
</file>