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附件：1</w:t>
      </w:r>
    </w:p>
    <w:p>
      <w:pPr>
        <w:spacing w:line="640" w:lineRule="exact"/>
        <w:jc w:val="center"/>
        <w:rPr>
          <w:rFonts w:hint="eastAsia" w:ascii="方正小标宋简体" w:hAnsi="方正小标宋简体" w:eastAsia="方正小标宋简体" w:cs="方正小标宋简体"/>
          <w:color w:val="000000" w:themeColor="text1"/>
          <w:sz w:val="44"/>
          <w:szCs w:val="44"/>
        </w:rPr>
      </w:pPr>
    </w:p>
    <w:p>
      <w:pPr>
        <w:spacing w:line="640" w:lineRule="exact"/>
        <w:rPr>
          <w:rFonts w:hint="eastAsia" w:ascii="方正小标宋简体" w:hAnsi="方正小标宋简体" w:eastAsia="方正小标宋简体" w:cs="方正小标宋简体"/>
          <w:color w:val="000000" w:themeColor="text1"/>
          <w:sz w:val="44"/>
          <w:szCs w:val="44"/>
        </w:rPr>
      </w:pPr>
    </w:p>
    <w:p>
      <w:pPr>
        <w:spacing w:line="640" w:lineRule="exact"/>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达川产业新区管理委员会</w:t>
      </w:r>
    </w:p>
    <w:p>
      <w:pPr>
        <w:spacing w:line="640" w:lineRule="exact"/>
        <w:jc w:val="center"/>
        <w:rPr>
          <w:rFonts w:hint="eastAsia" w:ascii="方正小标宋_GBK" w:hAnsi="方正小标宋_GBK" w:eastAsia="方正小标宋_GBK" w:cs="方正小标宋_GBK"/>
          <w:color w:val="000000" w:themeColor="text1"/>
          <w:sz w:val="44"/>
          <w:szCs w:val="44"/>
        </w:rPr>
      </w:pPr>
      <w:r>
        <w:rPr>
          <w:rFonts w:hint="eastAsia" w:ascii="方正小标宋简体" w:hAnsi="方正小标宋简体" w:eastAsia="方正小标宋简体" w:cs="方正小标宋简体"/>
          <w:color w:val="000000" w:themeColor="text1"/>
          <w:sz w:val="44"/>
          <w:szCs w:val="44"/>
        </w:rPr>
        <w:t>关于2022年度部门整体支出绩效自评报告</w:t>
      </w:r>
    </w:p>
    <w:p>
      <w:pPr>
        <w:spacing w:line="578" w:lineRule="exact"/>
        <w:rPr>
          <w:rFonts w:hint="eastAsia" w:ascii="方正小标宋简体" w:hAnsi="方正小标宋简体" w:eastAsia="方正小标宋简体" w:cs="方正小标宋简体"/>
          <w:bCs/>
          <w:color w:val="000000" w:themeColor="text1"/>
          <w:sz w:val="32"/>
          <w:szCs w:val="32"/>
        </w:rPr>
      </w:pPr>
    </w:p>
    <w:p>
      <w:pPr>
        <w:spacing w:line="578"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根据《达州市达川区财政局关于开展2022年财政绩效评价工作的通知》（达川财绩效〔2022〕2号）文件要求，我单位高度重视，立即开展2022年财政绩效评价工作。现将有关情况报告如下：</w:t>
      </w:r>
    </w:p>
    <w:p>
      <w:pPr>
        <w:spacing w:line="578"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一、部门（单位）概况</w:t>
      </w:r>
    </w:p>
    <w:p>
      <w:pPr>
        <w:spacing w:line="600" w:lineRule="exact"/>
        <w:ind w:firstLine="643" w:firstLineChars="200"/>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（一）机构情况。</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2021年度，纳入本部门决算汇编范围的独立核算单位共1个。</w:t>
      </w:r>
    </w:p>
    <w:p>
      <w:pPr>
        <w:spacing w:line="600" w:lineRule="exact"/>
        <w:ind w:firstLine="643" w:firstLineChars="200"/>
        <w:rPr>
          <w:rFonts w:hint="eastAsia" w:ascii="仿宋" w:hAnsi="仿宋" w:eastAsia="仿宋"/>
          <w:color w:val="000000" w:themeColor="text1"/>
          <w:sz w:val="32"/>
          <w:szCs w:val="32"/>
        </w:rPr>
      </w:pPr>
      <w:r>
        <w:rPr>
          <w:rFonts w:hint="eastAsia" w:ascii="楷体_GB2312" w:hAnsi="宋体" w:eastAsia="楷体_GB2312" w:cs="宋体"/>
          <w:b/>
          <w:color w:val="000000" w:themeColor="text1"/>
          <w:kern w:val="0"/>
          <w:sz w:val="32"/>
          <w:szCs w:val="32"/>
          <w:shd w:val="clear" w:color="auto" w:fill="FFFFFF"/>
        </w:rPr>
        <w:t>（二）主要职能。</w:t>
      </w:r>
      <w:r>
        <w:rPr>
          <w:rFonts w:hint="eastAsia" w:ascii="仿宋" w:hAnsi="仿宋" w:eastAsia="仿宋"/>
          <w:color w:val="000000" w:themeColor="text1"/>
          <w:sz w:val="32"/>
          <w:szCs w:val="32"/>
        </w:rPr>
        <w:t>贯彻执行国家和省、市有关法律、法规和方针政策，负责实施园区各类规划，制定各项管理规定；负责园区内的基础设施配套建设，协调组织相关部门对工业园区内建设项目进行招投标、质量监督、工程验收等。</w:t>
      </w:r>
    </w:p>
    <w:p>
      <w:pPr>
        <w:spacing w:line="600" w:lineRule="exact"/>
        <w:ind w:firstLine="643" w:firstLineChars="200"/>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（三）人员情况。</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2021年本部门工作人员8人，三支一扶转聘0人，退休0人，调出0人，死亡0人，辞职0人。</w:t>
      </w:r>
    </w:p>
    <w:p>
      <w:pPr>
        <w:spacing w:line="578"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w:t>
      </w:r>
      <w:r>
        <w:rPr>
          <w:rFonts w:ascii="黑体" w:hAnsi="黑体" w:eastAsia="黑体"/>
          <w:color w:val="000000" w:themeColor="text1"/>
          <w:sz w:val="32"/>
          <w:szCs w:val="32"/>
        </w:rPr>
        <w:t>20</w:t>
      </w:r>
      <w:r>
        <w:rPr>
          <w:rFonts w:hint="eastAsia" w:ascii="黑体" w:hAnsi="黑体" w:eastAsia="黑体"/>
          <w:color w:val="000000" w:themeColor="text1"/>
          <w:sz w:val="32"/>
          <w:szCs w:val="32"/>
        </w:rPr>
        <w:t>21年部门收支情况</w:t>
      </w:r>
    </w:p>
    <w:p>
      <w:pPr>
        <w:spacing w:line="578" w:lineRule="exact"/>
        <w:ind w:firstLine="643" w:firstLineChars="200"/>
        <w:rPr>
          <w:rFonts w:ascii="仿宋" w:hAnsi="仿宋" w:eastAsia="仿宋" w:cs="仿宋"/>
          <w:color w:val="000000" w:themeColor="text1"/>
          <w:kern w:val="0"/>
          <w:sz w:val="32"/>
          <w:szCs w:val="32"/>
        </w:rPr>
      </w:pPr>
      <w:r>
        <w:rPr>
          <w:rFonts w:hint="eastAsia" w:ascii="楷体_GB2312" w:hAnsi="宋体" w:eastAsia="楷体_GB2312" w:cs="宋体"/>
          <w:b/>
          <w:color w:val="000000" w:themeColor="text1"/>
          <w:kern w:val="0"/>
          <w:sz w:val="32"/>
          <w:szCs w:val="32"/>
          <w:shd w:val="clear" w:color="auto" w:fill="FFFFFF"/>
        </w:rPr>
        <w:t>（一）部门财政资金收入情况。</w:t>
      </w:r>
      <w:r>
        <w:rPr>
          <w:rFonts w:hint="eastAsia" w:ascii="仿宋" w:hAnsi="仿宋" w:eastAsia="仿宋" w:cs="仿宋"/>
          <w:color w:val="000000" w:themeColor="text1"/>
          <w:kern w:val="0"/>
          <w:sz w:val="32"/>
          <w:szCs w:val="32"/>
        </w:rPr>
        <w:t>达川产业新区管理委员会本年收入415.10万元，其中：一般公共预算财政拨款收入160.00万元，政府性基金财政拨款255.1万元</w:t>
      </w:r>
      <w:r>
        <w:rPr>
          <w:rFonts w:ascii="仿宋" w:hAnsi="仿宋" w:eastAsia="仿宋" w:cs="仿宋"/>
          <w:color w:val="000000" w:themeColor="text1"/>
          <w:kern w:val="0"/>
          <w:sz w:val="32"/>
          <w:szCs w:val="32"/>
        </w:rPr>
        <w:t>。</w:t>
      </w:r>
    </w:p>
    <w:p>
      <w:pPr>
        <w:spacing w:line="578" w:lineRule="exact"/>
        <w:ind w:firstLine="643" w:firstLineChars="200"/>
        <w:rPr>
          <w:rFonts w:ascii="仿宋" w:hAnsi="仿宋" w:eastAsia="仿宋" w:cs="仿宋"/>
          <w:color w:val="000000" w:themeColor="text1"/>
          <w:kern w:val="0"/>
          <w:sz w:val="32"/>
          <w:szCs w:val="32"/>
        </w:rPr>
      </w:pPr>
      <w:r>
        <w:rPr>
          <w:rFonts w:hint="eastAsia" w:ascii="楷体_GB2312" w:hAnsi="宋体" w:eastAsia="楷体_GB2312" w:cs="宋体"/>
          <w:b/>
          <w:color w:val="000000" w:themeColor="text1"/>
          <w:kern w:val="0"/>
          <w:sz w:val="32"/>
          <w:szCs w:val="32"/>
          <w:shd w:val="clear" w:color="auto" w:fill="FFFFFF"/>
        </w:rPr>
        <w:t>（二）部门财政资金支出情况。</w:t>
      </w:r>
      <w:r>
        <w:rPr>
          <w:rFonts w:hint="eastAsia" w:ascii="方正楷体简体" w:eastAsia="方正楷体简体"/>
          <w:b/>
          <w:color w:val="000000" w:themeColor="text1"/>
          <w:sz w:val="32"/>
          <w:szCs w:val="32"/>
        </w:rPr>
        <w:t>2021年</w:t>
      </w:r>
      <w:r>
        <w:rPr>
          <w:rFonts w:hint="eastAsia" w:ascii="仿宋" w:hAnsi="仿宋" w:eastAsia="仿宋" w:cs="仿宋"/>
          <w:color w:val="000000" w:themeColor="text1"/>
          <w:kern w:val="0"/>
          <w:sz w:val="32"/>
          <w:szCs w:val="32"/>
        </w:rPr>
        <w:t>达川产业新区管理委员会本年支出359.41万元，</w:t>
      </w:r>
      <w:r>
        <w:rPr>
          <w:rFonts w:ascii="仿宋" w:hAnsi="仿宋" w:eastAsia="仿宋" w:cs="仿宋"/>
          <w:color w:val="000000" w:themeColor="text1"/>
          <w:kern w:val="0"/>
          <w:sz w:val="32"/>
          <w:szCs w:val="32"/>
        </w:rPr>
        <w:t>基本支出</w:t>
      </w:r>
      <w:r>
        <w:rPr>
          <w:rFonts w:hint="eastAsia" w:ascii="仿宋" w:hAnsi="仿宋" w:eastAsia="仿宋" w:cs="仿宋"/>
          <w:color w:val="000000" w:themeColor="text1"/>
          <w:kern w:val="0"/>
          <w:sz w:val="32"/>
          <w:szCs w:val="32"/>
        </w:rPr>
        <w:t>139.41</w:t>
      </w:r>
      <w:r>
        <w:rPr>
          <w:rFonts w:ascii="仿宋" w:hAnsi="仿宋" w:eastAsia="仿宋" w:cs="仿宋"/>
          <w:color w:val="000000" w:themeColor="text1"/>
          <w:kern w:val="0"/>
          <w:sz w:val="32"/>
          <w:szCs w:val="32"/>
        </w:rPr>
        <w:t>万元，（其中：人员经费支出</w:t>
      </w:r>
      <w:r>
        <w:rPr>
          <w:rFonts w:hint="eastAsia" w:ascii="仿宋" w:hAnsi="仿宋" w:eastAsia="仿宋" w:cs="仿宋"/>
          <w:color w:val="000000" w:themeColor="text1"/>
          <w:kern w:val="0"/>
          <w:sz w:val="32"/>
          <w:szCs w:val="32"/>
        </w:rPr>
        <w:t>116.1</w:t>
      </w:r>
      <w:r>
        <w:rPr>
          <w:rFonts w:ascii="仿宋" w:hAnsi="仿宋" w:eastAsia="仿宋" w:cs="仿宋"/>
          <w:color w:val="000000" w:themeColor="text1"/>
          <w:kern w:val="0"/>
          <w:sz w:val="32"/>
          <w:szCs w:val="32"/>
        </w:rPr>
        <w:t>万元，日常经费支出</w:t>
      </w:r>
      <w:r>
        <w:rPr>
          <w:rFonts w:hint="eastAsia" w:ascii="仿宋" w:hAnsi="仿宋" w:eastAsia="仿宋" w:cs="仿宋"/>
          <w:color w:val="000000" w:themeColor="text1"/>
          <w:kern w:val="0"/>
          <w:sz w:val="32"/>
          <w:szCs w:val="32"/>
        </w:rPr>
        <w:t>23.3</w:t>
      </w:r>
      <w:r>
        <w:rPr>
          <w:rFonts w:ascii="仿宋" w:hAnsi="仿宋" w:eastAsia="仿宋" w:cs="仿宋"/>
          <w:color w:val="000000" w:themeColor="text1"/>
          <w:kern w:val="0"/>
          <w:sz w:val="32"/>
          <w:szCs w:val="32"/>
        </w:rPr>
        <w:t>万元）；项目支出</w:t>
      </w:r>
      <w:r>
        <w:rPr>
          <w:rFonts w:hint="eastAsia" w:ascii="仿宋" w:hAnsi="仿宋" w:eastAsia="仿宋" w:cs="仿宋"/>
          <w:color w:val="000000" w:themeColor="text1"/>
          <w:kern w:val="0"/>
          <w:sz w:val="32"/>
          <w:szCs w:val="32"/>
        </w:rPr>
        <w:t>220</w:t>
      </w:r>
      <w:r>
        <w:rPr>
          <w:rFonts w:ascii="仿宋" w:hAnsi="仿宋" w:eastAsia="仿宋" w:cs="仿宋"/>
          <w:color w:val="000000" w:themeColor="text1"/>
          <w:kern w:val="0"/>
          <w:sz w:val="32"/>
          <w:szCs w:val="32"/>
        </w:rPr>
        <w:t>万元。</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楷体_GB2312" w:hAnsi="宋体" w:eastAsia="楷体_GB2312" w:cs="宋体"/>
          <w:b/>
          <w:color w:val="000000" w:themeColor="text1"/>
          <w:kern w:val="0"/>
          <w:sz w:val="32"/>
          <w:szCs w:val="32"/>
          <w:shd w:val="clear" w:color="auto" w:fill="FFFFFF"/>
        </w:rPr>
        <w:t>（三）部门财政收入结转结余情况。</w:t>
      </w:r>
      <w:r>
        <w:rPr>
          <w:rFonts w:hint="eastAsia" w:ascii="仿宋" w:hAnsi="仿宋" w:eastAsia="仿宋" w:cs="仿宋"/>
          <w:color w:val="000000" w:themeColor="text1"/>
          <w:kern w:val="0"/>
          <w:sz w:val="32"/>
          <w:szCs w:val="32"/>
        </w:rPr>
        <w:t>2021年本级单位结转下年资金55.69万元。</w:t>
      </w:r>
    </w:p>
    <w:p>
      <w:pPr>
        <w:widowControl/>
        <w:adjustRightInd w:val="0"/>
        <w:snapToGrid w:val="0"/>
        <w:spacing w:line="580" w:lineRule="exact"/>
        <w:ind w:firstLine="640" w:firstLineChars="200"/>
        <w:contextualSpacing/>
        <w:jc w:val="left"/>
        <w:rPr>
          <w:rFonts w:hint="eastAsia" w:ascii="黑体" w:hAnsi="宋体" w:eastAsia="黑体" w:cs="宋体"/>
          <w:color w:val="000000" w:themeColor="text1"/>
          <w:kern w:val="0"/>
          <w:sz w:val="32"/>
          <w:szCs w:val="32"/>
          <w:shd w:val="clear" w:color="auto" w:fill="FFFFFF"/>
        </w:rPr>
      </w:pPr>
      <w:r>
        <w:rPr>
          <w:rFonts w:hint="eastAsia" w:ascii="黑体" w:hAnsi="黑体" w:eastAsia="黑体" w:cs="宋体"/>
          <w:color w:val="000000" w:themeColor="text1"/>
          <w:kern w:val="0"/>
          <w:sz w:val="32"/>
          <w:szCs w:val="32"/>
          <w:shd w:val="clear" w:color="auto" w:fill="FFFFFF"/>
        </w:rPr>
        <w:t>三、部门整体预算绩效管理情况</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（一）部门预算管理</w:t>
      </w:r>
    </w:p>
    <w:p>
      <w:pPr>
        <w:widowControl/>
        <w:adjustRightInd w:val="0"/>
        <w:snapToGrid w:val="0"/>
        <w:spacing w:line="580" w:lineRule="exact"/>
        <w:ind w:firstLine="640" w:firstLineChars="200"/>
        <w:contextualSpacing/>
        <w:jc w:val="left"/>
        <w:rPr>
          <w:rFonts w:ascii="仿宋" w:hAnsi="仿宋" w:eastAsia="仿宋" w:cs="仿宋"/>
          <w:color w:val="000000" w:themeColor="text1"/>
          <w:kern w:val="0"/>
          <w:sz w:val="32"/>
          <w:szCs w:val="32"/>
        </w:rPr>
      </w:pPr>
      <w:r>
        <w:rPr>
          <w:rFonts w:hint="eastAsia" w:ascii="仿宋_GB2312" w:hAnsi="宋体" w:cs="宋体"/>
          <w:color w:val="000000" w:themeColor="text1"/>
          <w:kern w:val="0"/>
          <w:sz w:val="32"/>
          <w:szCs w:val="32"/>
          <w:shd w:val="clear" w:color="auto" w:fill="FFFFFF"/>
        </w:rPr>
        <w:t>一是</w:t>
      </w:r>
      <w:r>
        <w:rPr>
          <w:rFonts w:hint="eastAsia" w:ascii="仿宋" w:hAnsi="仿宋" w:eastAsia="仿宋" w:cs="仿宋"/>
          <w:color w:val="000000" w:themeColor="text1"/>
          <w:kern w:val="0"/>
          <w:sz w:val="32"/>
          <w:szCs w:val="32"/>
        </w:rPr>
        <w:t>按《预算法》和财政有关规定，准确编制了年初预算，制定了绩效目标。二是职工工资等人员经费按月发放，公务费按月申报，项目支出按实施情况并经我单位和区财政审核无误后依进度拨付。在支付方式上，工资实行财政直接支付；项目资金和公用经费根据资金用途经我单位审核无误后在财政大平台申请拨付。三是倡导全体机关工作人员弘扬艰苦奋斗、勤俭节约的优良作风，进一步推进建设节约型机关。严格落实中央八项规定精神及省、市、区规定，着力控制“三公”经费预算支出。全年无因公出国（境）费用支出；精减会议活动，减少会议费支出；严格执行行政单位厉行节约反对浪费等相关规定，加强内部财务管理。2021年，我单位在执行预算管理方面无违规行为。</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（二）专项预算管理</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 w:val="32"/>
          <w:szCs w:val="32"/>
          <w:shd w:val="clear" w:color="auto" w:fill="FFFFFF"/>
        </w:rPr>
      </w:pPr>
      <w:r>
        <w:rPr>
          <w:rFonts w:hint="eastAsia" w:ascii="仿宋" w:hAnsi="仿宋" w:eastAsia="仿宋" w:cs="仿宋"/>
          <w:color w:val="000000" w:themeColor="text1"/>
          <w:kern w:val="0"/>
          <w:sz w:val="32"/>
          <w:szCs w:val="32"/>
        </w:rPr>
        <w:t>在执行专项资金预算中，严格按照中央及省、市、区各级财务规定，管好、用好每笔资金。在专项项目资金使用过程中，严格按照项目资金管理办法的规定做好项目实施和监管，切实做到专款专用，从而发挥好项目资金对项目实施的促进作用；对涉及专项资金支出额度较大时，严格按照政府建设项目规定进行验收合格后，根据“三重一大”的规定召开专题会议研究同意才能按资金拨付程序付款。2021年，我单位无违规违法现象发生。</w:t>
      </w:r>
    </w:p>
    <w:p>
      <w:pPr>
        <w:spacing w:line="578" w:lineRule="exact"/>
        <w:ind w:firstLine="630" w:firstLineChars="196"/>
        <w:rPr>
          <w:rFonts w:eastAsia="方正仿宋_GBK"/>
          <w:b/>
          <w:color w:val="000000" w:themeColor="text1"/>
          <w:sz w:val="32"/>
          <w:szCs w:val="32"/>
        </w:rPr>
      </w:pPr>
      <w:r>
        <w:rPr>
          <w:rFonts w:eastAsia="方正楷体_GBK"/>
          <w:b/>
          <w:color w:val="000000" w:themeColor="text1"/>
          <w:sz w:val="32"/>
          <w:szCs w:val="32"/>
        </w:rPr>
        <w:t>（三）综合管理情况</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1、政府性债务管理情况。</w:t>
      </w:r>
      <w:r>
        <w:rPr>
          <w:rFonts w:hint="eastAsia" w:ascii="仿宋" w:hAnsi="仿宋" w:eastAsia="仿宋" w:cs="仿宋"/>
          <w:color w:val="000000" w:themeColor="text1"/>
          <w:kern w:val="0"/>
          <w:sz w:val="32"/>
          <w:szCs w:val="32"/>
        </w:rPr>
        <w:t>无</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2、非税收入管理情况。</w:t>
      </w:r>
      <w:r>
        <w:rPr>
          <w:rFonts w:hint="eastAsia" w:ascii="仿宋" w:hAnsi="仿宋" w:eastAsia="仿宋" w:cs="仿宋"/>
          <w:color w:val="000000" w:themeColor="text1"/>
          <w:kern w:val="0"/>
          <w:sz w:val="32"/>
          <w:szCs w:val="32"/>
        </w:rPr>
        <w:t>无</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3、政府采购实施情况。</w:t>
      </w:r>
      <w:r>
        <w:rPr>
          <w:rFonts w:hint="eastAsia" w:ascii="仿宋" w:hAnsi="仿宋" w:eastAsia="仿宋" w:cs="仿宋"/>
          <w:color w:val="000000" w:themeColor="text1"/>
          <w:kern w:val="0"/>
          <w:sz w:val="32"/>
          <w:szCs w:val="32"/>
        </w:rPr>
        <w:t>按照《预算法》和《政府采购法》规定编制政府采购预算和实施政府采购计划，按规定做好备案工作。2021年政府采购预算为2万元，因我们单位要搬迁办公地点，一切以节约出发的原则，2021年政府采购实际执行0万元。</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4、资产管理。</w:t>
      </w:r>
      <w:r>
        <w:rPr>
          <w:rFonts w:hint="eastAsia" w:ascii="仿宋" w:hAnsi="仿宋" w:eastAsia="仿宋" w:cs="仿宋"/>
          <w:color w:val="000000" w:themeColor="text1"/>
          <w:kern w:val="0"/>
          <w:sz w:val="32"/>
          <w:szCs w:val="32"/>
        </w:rPr>
        <w:t>达川产业新区管理委员会固定资产实行“统一管理，分级负责”，统一建账、核算，统一登记、监督管理和维修。各部室是固定资产的使用部门，并负责固定资产的保管和使用。</w:t>
      </w:r>
    </w:p>
    <w:p>
      <w:pPr>
        <w:spacing w:line="578" w:lineRule="exact"/>
        <w:ind w:firstLine="627" w:firstLineChars="196"/>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（1）资产管理信息系统建设情况。已将所有资产全部录入行政事业单位资产管理系统，并指定专人负责管理系统。</w:t>
      </w:r>
    </w:p>
    <w:p>
      <w:pPr>
        <w:spacing w:line="578" w:lineRule="exact"/>
        <w:ind w:firstLine="627" w:firstLineChars="196"/>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（2）资产报表上报情况。成立了国有资产清查工作小组，并安排专人负责国有资产清查及</w:t>
      </w:r>
      <w:bookmarkStart w:id="0" w:name="_GoBack"/>
      <w:bookmarkEnd w:id="0"/>
      <w:r>
        <w:rPr>
          <w:rFonts w:hint="eastAsia" w:ascii="仿宋" w:hAnsi="仿宋" w:eastAsia="仿宋" w:cs="仿宋"/>
          <w:color w:val="000000" w:themeColor="text1"/>
          <w:kern w:val="0"/>
          <w:sz w:val="32"/>
          <w:szCs w:val="32"/>
        </w:rPr>
        <w:t xml:space="preserve">报表上报工作。在资产清查结束后，已上报清查报表、清查工作报告等国有资产报表数据。 </w:t>
      </w:r>
    </w:p>
    <w:p>
      <w:pPr>
        <w:spacing w:line="578" w:lineRule="exact"/>
        <w:ind w:firstLine="643" w:firstLineChars="200"/>
        <w:rPr>
          <w:rFonts w:eastAsia="方正仿宋_GBK"/>
          <w:color w:val="000000" w:themeColor="text1"/>
          <w:sz w:val="32"/>
          <w:szCs w:val="32"/>
        </w:rPr>
      </w:pPr>
      <w:r>
        <w:rPr>
          <w:rFonts w:hint="eastAsia" w:ascii="仿宋" w:hAnsi="仿宋" w:eastAsia="仿宋" w:cs="仿宋"/>
          <w:b/>
          <w:bCs/>
          <w:color w:val="000000" w:themeColor="text1"/>
          <w:kern w:val="0"/>
          <w:sz w:val="32"/>
          <w:szCs w:val="32"/>
        </w:rPr>
        <w:t>5、内控制度管理。</w:t>
      </w:r>
      <w:r>
        <w:rPr>
          <w:rFonts w:hint="eastAsia" w:ascii="仿宋" w:hAnsi="仿宋" w:eastAsia="仿宋" w:cs="仿宋"/>
          <w:color w:val="000000" w:themeColor="text1"/>
          <w:kern w:val="0"/>
          <w:sz w:val="32"/>
          <w:szCs w:val="32"/>
        </w:rPr>
        <w:t>建立完善了内部收支预算制度、政府采购制度、会议制度、固定资产管理制度、项目质量管理、内部审计等一系列内部管理制度。严格遵守国家及省市财务管理法律法规，本着勤俭节约原则，管好用好每笔资金，杜绝违规违法行为发生。</w:t>
      </w:r>
    </w:p>
    <w:p>
      <w:pPr>
        <w:spacing w:line="578" w:lineRule="exact"/>
        <w:ind w:firstLine="643" w:firstLineChars="200"/>
        <w:rPr>
          <w:rFonts w:eastAsia="方正仿宋_GBK"/>
          <w:color w:val="000000" w:themeColor="text1"/>
          <w:sz w:val="32"/>
          <w:szCs w:val="32"/>
        </w:rPr>
      </w:pPr>
      <w:r>
        <w:rPr>
          <w:rFonts w:hint="eastAsia" w:ascii="仿宋" w:hAnsi="仿宋" w:eastAsia="仿宋" w:cs="仿宋"/>
          <w:b/>
          <w:bCs/>
          <w:color w:val="000000" w:themeColor="text1"/>
          <w:kern w:val="0"/>
          <w:sz w:val="32"/>
          <w:szCs w:val="32"/>
        </w:rPr>
        <w:t>6、信息公开。</w:t>
      </w:r>
      <w:r>
        <w:rPr>
          <w:rFonts w:hint="eastAsia" w:ascii="仿宋" w:hAnsi="仿宋" w:eastAsia="仿宋" w:cs="仿宋"/>
          <w:color w:val="000000" w:themeColor="text1"/>
          <w:kern w:val="0"/>
          <w:sz w:val="32"/>
          <w:szCs w:val="32"/>
        </w:rPr>
        <w:t>按照相关规定，按要求对单位信息进行了公开，确保公开透明。</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7、绩效管理。</w:t>
      </w:r>
      <w:r>
        <w:rPr>
          <w:rFonts w:hint="eastAsia" w:ascii="仿宋" w:hAnsi="仿宋" w:eastAsia="仿宋" w:cs="仿宋"/>
          <w:color w:val="000000" w:themeColor="text1"/>
          <w:kern w:val="0"/>
          <w:sz w:val="32"/>
          <w:szCs w:val="32"/>
        </w:rPr>
        <w:t>按照要求对我单位了开展整体绩效评价，按要求向财政部门报送自评报告等相关绩效信息。并根据绩效评价发现问题制定整改措施，落实相关责任人，确保整改落实到位。</w:t>
      </w:r>
    </w:p>
    <w:p>
      <w:pPr>
        <w:spacing w:line="578" w:lineRule="exact"/>
        <w:ind w:firstLine="630" w:firstLineChars="196"/>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8、依法接受财政监督情况。</w:t>
      </w:r>
      <w:r>
        <w:rPr>
          <w:rFonts w:hint="eastAsia" w:ascii="仿宋" w:hAnsi="仿宋" w:eastAsia="仿宋" w:cs="仿宋"/>
          <w:color w:val="000000" w:themeColor="text1"/>
          <w:kern w:val="0"/>
          <w:sz w:val="32"/>
          <w:szCs w:val="32"/>
        </w:rPr>
        <w:t>按照财政部门相关要求，开展了2021年度财政监督检查的自查自纠工作，并报送了自查自纠报告及报表。</w:t>
      </w:r>
    </w:p>
    <w:p>
      <w:pPr>
        <w:widowControl/>
        <w:adjustRightInd w:val="0"/>
        <w:snapToGrid w:val="0"/>
        <w:spacing w:line="580" w:lineRule="exact"/>
        <w:ind w:firstLine="643" w:firstLineChars="200"/>
        <w:contextualSpacing/>
        <w:jc w:val="left"/>
        <w:rPr>
          <w:rFonts w:hint="eastAsia" w:ascii="仿宋" w:hAnsi="仿宋" w:eastAsia="仿宋" w:cs="仿宋"/>
          <w:color w:val="000000" w:themeColor="text1"/>
          <w:kern w:val="0"/>
          <w:sz w:val="32"/>
          <w:szCs w:val="32"/>
        </w:rPr>
      </w:pPr>
      <w:r>
        <w:rPr>
          <w:rFonts w:hint="eastAsia" w:ascii="楷体_GB2312" w:hAnsi="宋体" w:eastAsia="楷体_GB2312" w:cs="宋体"/>
          <w:b/>
          <w:color w:val="000000" w:themeColor="text1"/>
          <w:kern w:val="0"/>
          <w:sz w:val="32"/>
          <w:szCs w:val="32"/>
          <w:shd w:val="clear" w:color="auto" w:fill="FFFFFF"/>
        </w:rPr>
        <w:t>（四）绩效结果应用情况。</w:t>
      </w:r>
      <w:r>
        <w:rPr>
          <w:rFonts w:hint="eastAsia" w:ascii="仿宋" w:hAnsi="仿宋" w:eastAsia="仿宋" w:cs="仿宋"/>
          <w:color w:val="000000" w:themeColor="text1"/>
          <w:kern w:val="0"/>
          <w:sz w:val="32"/>
          <w:szCs w:val="32"/>
        </w:rPr>
        <w:t>我单位严格按照上级文件要求，客观全面的开展了财政支出绩效自评。同时，不断强化绩效评价结果的应用，将财政绩效评价结果作为下年预算编制的重要参考依据。</w:t>
      </w:r>
    </w:p>
    <w:p>
      <w:pPr>
        <w:spacing w:line="578" w:lineRule="exact"/>
        <w:ind w:firstLine="630" w:firstLineChars="196"/>
        <w:rPr>
          <w:rFonts w:ascii="楷体_GB2312" w:hAnsi="宋体" w:eastAsia="楷体_GB2312" w:cs="宋体"/>
          <w:b/>
          <w:color w:val="000000" w:themeColor="text1"/>
          <w:kern w:val="0"/>
          <w:sz w:val="32"/>
          <w:szCs w:val="32"/>
          <w:shd w:val="clear" w:color="auto" w:fill="FFFFFF"/>
        </w:rPr>
      </w:pPr>
      <w:r>
        <w:rPr>
          <w:rFonts w:ascii="楷体_GB2312" w:hAnsi="宋体" w:eastAsia="楷体_GB2312" w:cs="宋体"/>
          <w:b/>
          <w:color w:val="000000" w:themeColor="text1"/>
          <w:kern w:val="0"/>
          <w:sz w:val="32"/>
          <w:szCs w:val="32"/>
          <w:shd w:val="clear" w:color="auto" w:fill="FFFFFF"/>
        </w:rPr>
        <w:t>（</w:t>
      </w:r>
      <w:r>
        <w:rPr>
          <w:rFonts w:hint="eastAsia" w:ascii="楷体_GB2312" w:hAnsi="宋体" w:eastAsia="楷体_GB2312" w:cs="宋体"/>
          <w:b/>
          <w:color w:val="000000" w:themeColor="text1"/>
          <w:kern w:val="0"/>
          <w:sz w:val="32"/>
          <w:szCs w:val="32"/>
          <w:shd w:val="clear" w:color="auto" w:fill="FFFFFF"/>
        </w:rPr>
        <w:t>五</w:t>
      </w:r>
      <w:r>
        <w:rPr>
          <w:rFonts w:ascii="楷体_GB2312" w:hAnsi="宋体" w:eastAsia="楷体_GB2312" w:cs="宋体"/>
          <w:b/>
          <w:color w:val="000000" w:themeColor="text1"/>
          <w:kern w:val="0"/>
          <w:sz w:val="32"/>
          <w:szCs w:val="32"/>
          <w:shd w:val="clear" w:color="auto" w:fill="FFFFFF"/>
        </w:rPr>
        <w:t>）整体效益</w:t>
      </w:r>
    </w:p>
    <w:p>
      <w:pPr>
        <w:widowControl/>
        <w:adjustRightInd w:val="0"/>
        <w:snapToGrid w:val="0"/>
        <w:spacing w:line="580" w:lineRule="exact"/>
        <w:ind w:firstLine="640" w:firstLineChars="200"/>
        <w:contextualSpacing/>
        <w:jc w:val="left"/>
        <w:rPr>
          <w:rFonts w:hint="eastAsia" w:ascii="仿宋_GB2312" w:hAnsi="宋体" w:eastAsia="仿宋" w:cs="宋体"/>
          <w:color w:val="000000" w:themeColor="text1"/>
          <w:kern w:val="0"/>
          <w:sz w:val="32"/>
          <w:szCs w:val="32"/>
          <w:shd w:val="clear" w:color="auto" w:fill="FFFFFF"/>
        </w:rPr>
      </w:pPr>
      <w:r>
        <w:rPr>
          <w:rFonts w:hint="eastAsia" w:ascii="仿宋" w:hAnsi="仿宋" w:eastAsia="仿宋" w:cs="仿宋"/>
          <w:color w:val="000000" w:themeColor="text1"/>
          <w:kern w:val="0"/>
          <w:sz w:val="32"/>
          <w:szCs w:val="32"/>
        </w:rPr>
        <w:t>达川产业新区管理委员会2021认真运用绩效评价成果，全面保障了机关日常正常运转，圆满完成了区委、区政府下达的各项目标任务。</w:t>
      </w:r>
    </w:p>
    <w:p>
      <w:pPr>
        <w:widowControl/>
        <w:adjustRightInd w:val="0"/>
        <w:snapToGrid w:val="0"/>
        <w:spacing w:line="580" w:lineRule="exact"/>
        <w:ind w:firstLine="640" w:firstLineChars="200"/>
        <w:contextualSpacing/>
        <w:jc w:val="left"/>
        <w:rPr>
          <w:rFonts w:hint="eastAsia" w:ascii="黑体" w:hAnsi="宋体" w:eastAsia="黑体" w:cs="宋体"/>
          <w:color w:val="000000" w:themeColor="text1"/>
          <w:kern w:val="0"/>
          <w:sz w:val="32"/>
          <w:szCs w:val="32"/>
          <w:shd w:val="clear" w:color="auto" w:fill="FFFFFF"/>
        </w:rPr>
      </w:pPr>
      <w:r>
        <w:rPr>
          <w:rFonts w:hint="eastAsia" w:ascii="黑体" w:hAnsi="黑体" w:eastAsia="黑体" w:cs="宋体"/>
          <w:color w:val="000000" w:themeColor="text1"/>
          <w:kern w:val="0"/>
          <w:sz w:val="32"/>
          <w:szCs w:val="32"/>
          <w:shd w:val="clear" w:color="auto" w:fill="FFFFFF"/>
        </w:rPr>
        <w:t>四、评价结论及建议</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（一）评价结论</w:t>
      </w:r>
    </w:p>
    <w:p>
      <w:pPr>
        <w:spacing w:line="578" w:lineRule="exact"/>
        <w:ind w:firstLine="627" w:firstLineChars="196"/>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总体看，我单位预算编制及执行决算较为准确，支出管理较为规范，财务管理制度较完善，部门整体绩效较好。部门支出绩效自评得分为84.5分。（得分明细表附后）</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（二）存在问题</w:t>
      </w:r>
    </w:p>
    <w:p>
      <w:pPr>
        <w:spacing w:line="578" w:lineRule="exact"/>
        <w:ind w:firstLine="640" w:firstLineChars="200"/>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一是地方财力吃紧，人员经费和运行经费保障吃力，至今单位职工2021年度部分住房公积金未缴纳。</w:t>
      </w:r>
    </w:p>
    <w:p>
      <w:pPr>
        <w:spacing w:line="578"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二是我单位系新成立单位，机构和人员配置不齐，部分内控制度有待进一步完善。</w:t>
      </w:r>
    </w:p>
    <w:p>
      <w:pPr>
        <w:spacing w:line="578"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三是公务刷卡消费业务没有覆盖，单位部分人员出差时没有用公务卡结算。</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themeColor="text1"/>
          <w:kern w:val="0"/>
          <w:sz w:val="32"/>
          <w:szCs w:val="32"/>
          <w:shd w:val="clear" w:color="auto" w:fill="FFFFFF"/>
        </w:rPr>
      </w:pPr>
      <w:r>
        <w:rPr>
          <w:rFonts w:hint="eastAsia" w:ascii="楷体_GB2312" w:hAnsi="宋体" w:eastAsia="楷体_GB2312" w:cs="宋体"/>
          <w:b/>
          <w:color w:val="000000" w:themeColor="text1"/>
          <w:kern w:val="0"/>
          <w:sz w:val="32"/>
          <w:szCs w:val="32"/>
          <w:shd w:val="clear" w:color="auto" w:fill="FFFFFF"/>
        </w:rPr>
        <w:t>（三）改进措施</w:t>
      </w:r>
    </w:p>
    <w:p>
      <w:pPr>
        <w:spacing w:line="578" w:lineRule="exact"/>
        <w:ind w:firstLine="800" w:firstLineChars="250"/>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统一思想，高度重视支出绩效自评工作，进一步提高预算编制质量，强化资金财务管理；完善内控管理制度；加快推进公务卡的使用，让公务结算更加规范高效。</w:t>
      </w:r>
    </w:p>
    <w:p>
      <w:pPr>
        <w:spacing w:line="578" w:lineRule="exact"/>
        <w:rPr>
          <w:rFonts w:hint="eastAsia" w:ascii="仿宋" w:hAnsi="仿宋" w:eastAsia="仿宋" w:cs="仿宋"/>
          <w:color w:val="000000" w:themeColor="text1"/>
          <w:kern w:val="0"/>
          <w:sz w:val="32"/>
          <w:szCs w:val="32"/>
        </w:rPr>
      </w:pPr>
    </w:p>
    <w:p>
      <w:pPr>
        <w:tabs>
          <w:tab w:val="left" w:pos="2619"/>
        </w:tabs>
        <w:jc w:val="left"/>
        <w:rPr>
          <w:rFonts w:hint="eastAsia"/>
          <w:color w:val="000000" w:themeColor="text1"/>
        </w:rPr>
      </w:pPr>
    </w:p>
    <w:p>
      <w:pPr>
        <w:pStyle w:val="5"/>
        <w:widowControl/>
        <w:spacing w:before="225" w:beforeAutospacing="0" w:after="225" w:afterAutospacing="0"/>
        <w:ind w:left="1200"/>
        <w:rPr>
          <w:rFonts w:hint="eastAsia" w:ascii="微软雅黑" w:hAnsi="微软雅黑" w:eastAsia="微软雅黑" w:cs="微软雅黑"/>
          <w:color w:val="000000" w:themeColor="text1"/>
        </w:rPr>
      </w:pPr>
    </w:p>
    <w:p>
      <w:pPr>
        <w:pStyle w:val="5"/>
        <w:widowControl/>
        <w:spacing w:before="225" w:beforeAutospacing="0" w:after="225" w:afterAutospacing="0"/>
        <w:ind w:left="1200"/>
        <w:rPr>
          <w:rFonts w:ascii="微软雅黑" w:hAnsi="微软雅黑" w:eastAsia="微软雅黑" w:cs="微软雅黑"/>
          <w:color w:val="000000" w:themeColor="text1"/>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F399F"/>
    <w:rsid w:val="003E375D"/>
    <w:rsid w:val="0057324E"/>
    <w:rsid w:val="00C23F3B"/>
    <w:rsid w:val="00FF71A0"/>
    <w:rsid w:val="027345B1"/>
    <w:rsid w:val="03A26DCA"/>
    <w:rsid w:val="07A33BAA"/>
    <w:rsid w:val="12E74FC1"/>
    <w:rsid w:val="163A299E"/>
    <w:rsid w:val="1C4F3541"/>
    <w:rsid w:val="1EFE4069"/>
    <w:rsid w:val="22BF399F"/>
    <w:rsid w:val="23BF6CE1"/>
    <w:rsid w:val="368816D2"/>
    <w:rsid w:val="39640132"/>
    <w:rsid w:val="3DDB56F4"/>
    <w:rsid w:val="4F142C0F"/>
    <w:rsid w:val="51586419"/>
    <w:rsid w:val="59564714"/>
    <w:rsid w:val="5E536006"/>
    <w:rsid w:val="63133F00"/>
    <w:rsid w:val="63680F1A"/>
    <w:rsid w:val="7F0F78FB"/>
    <w:rsid w:val="7F14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Balloon Text"/>
    <w:basedOn w:val="1"/>
    <w:link w:val="8"/>
    <w:uiPriority w:val="0"/>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3"/>
    <w:uiPriority w:val="0"/>
    <w:rPr>
      <w:rFonts w:asciiTheme="minorHAnsi" w:hAnsiTheme="minorHAnsi" w:eastAsiaTheme="minorEastAsia" w:cstheme="minorBidi"/>
      <w:kern w:val="2"/>
      <w:sz w:val="18"/>
      <w:szCs w:val="18"/>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EFC13-C165-4C7E-B3A3-D67F3292354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5149</Words>
  <Characters>608</Characters>
  <Lines>5</Lines>
  <Paragraphs>11</Paragraphs>
  <TotalTime>3</TotalTime>
  <ScaleCrop>false</ScaleCrop>
  <LinksUpToDate>false</LinksUpToDate>
  <CharactersWithSpaces>5746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2022-04-21T08:40:00Z</dcterms:created>
  <dc:creator>时空</dc:creator>
  <cp:lastModifiedBy>Administrator</cp:lastModifiedBy>
  <dcterms:modified xsi:type="dcterms:W3CDTF">2022-04-25T02:40:52Z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220D8D24E5714D68900D40CEFA220183</vt:lpwstr>
  </property>
</Properties>
</file>