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193"/>
      <w:bookmarkStart w:id="2" w:name="_Toc15396597"/>
      <w:bookmarkStart w:id="3" w:name="_Toc15377425"/>
      <w:bookmarkStart w:id="4" w:name="_Toc15378441"/>
      <w:bookmarkStart w:id="5" w:name="_Toc15396475"/>
      <w:r>
        <w:rPr>
          <w:rFonts w:ascii="黑体" w:hAnsi="黑体" w:eastAsia="黑体"/>
          <w:color w:val="000000"/>
          <w:sz w:val="72"/>
          <w:szCs w:val="72"/>
        </w:rPr>
        <w:t>201</w:t>
      </w:r>
      <w:r>
        <w:rPr>
          <w:rFonts w:hint="eastAsia" w:ascii="黑体" w:hAnsi="黑体" w:eastAsia="黑体"/>
          <w:color w:val="000000"/>
          <w:sz w:val="72"/>
          <w:szCs w:val="72"/>
        </w:rPr>
        <w:t>8</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96598"/>
      <w:bookmarkStart w:id="7" w:name="_Toc15377426"/>
      <w:bookmarkStart w:id="8" w:name="_Toc15396476"/>
      <w:bookmarkStart w:id="9" w:name="_Toc15377194"/>
      <w:bookmarkStart w:id="10" w:name="_Toc15378442"/>
      <w:r>
        <w:rPr>
          <w:rFonts w:hint="eastAsia" w:ascii="方正小标宋简体" w:hAnsi="宋体" w:eastAsia="方正小标宋简体"/>
          <w:color w:val="000000"/>
          <w:sz w:val="72"/>
          <w:szCs w:val="72"/>
        </w:rPr>
        <w:t>四川省</w:t>
      </w:r>
      <w:bookmarkEnd w:id="0"/>
      <w:bookmarkStart w:id="11" w:name="_Toc15306268"/>
      <w:r>
        <w:rPr>
          <w:rFonts w:hint="eastAsia" w:ascii="方正小标宋简体" w:hAnsi="宋体" w:eastAsia="方正小标宋简体"/>
          <w:color w:val="000000"/>
          <w:sz w:val="72"/>
          <w:szCs w:val="72"/>
        </w:rPr>
        <w:t>达州市达川区</w:t>
      </w:r>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陈家乡人民</w:t>
      </w:r>
      <w:bookmarkStart w:id="76" w:name="_GoBack"/>
      <w:bookmarkEnd w:id="76"/>
      <w:r>
        <w:rPr>
          <w:rFonts w:hint="eastAsia" w:ascii="方正小标宋简体" w:hAnsi="宋体" w:eastAsia="方正小标宋简体"/>
          <w:color w:val="000000"/>
          <w:sz w:val="72"/>
          <w:szCs w:val="72"/>
        </w:rPr>
        <w:t>政府部门决算</w:t>
      </w:r>
      <w:bookmarkEnd w:id="6"/>
      <w:bookmarkEnd w:id="7"/>
      <w:bookmarkEnd w:id="8"/>
      <w:bookmarkEnd w:id="9"/>
      <w:bookmarkEnd w:id="10"/>
      <w:bookmarkEnd w:id="11"/>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0"/>
      </w:pPr>
      <w:r>
        <w:rPr>
          <w:rFonts w:hint="eastAsia"/>
        </w:rPr>
        <w:t>公开时间：2019年9月11日</w:t>
      </w:r>
    </w:p>
    <w:p/>
    <w:p>
      <w:pPr>
        <w:pStyle w:val="10"/>
        <w:rPr>
          <w:rFonts w:cstheme="minorBidi"/>
        </w:rPr>
      </w:pPr>
      <w:r>
        <w:fldChar w:fldCharType="begin"/>
      </w:r>
      <w:r>
        <w:instrText xml:space="preserve"> HYPERLINK \l "_Toc15396599" </w:instrText>
      </w:r>
      <w:r>
        <w:fldChar w:fldCharType="separate"/>
      </w:r>
      <w:r>
        <w:rPr>
          <w:rStyle w:val="15"/>
          <w:rFonts w:hint="eastAsia"/>
        </w:rPr>
        <w:t>第一部分部门概况</w:t>
      </w:r>
      <w:r>
        <w:tab/>
      </w:r>
      <w:r>
        <w:rPr>
          <w:rFonts w:hint="eastAsia"/>
        </w:rPr>
        <w:t>5</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"_Toc15396600" </w:instrText>
      </w:r>
      <w:r>
        <w:fldChar w:fldCharType="separate"/>
      </w:r>
      <w:r>
        <w:rPr>
          <w:rStyle w:val="15"/>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5</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"_Toc15396601" </w:instrText>
      </w:r>
      <w:r>
        <w:fldChar w:fldCharType="separate"/>
      </w:r>
      <w:r>
        <w:rPr>
          <w:rStyle w:val="15"/>
          <w:rFonts w:hint="eastAsia" w:ascii="仿宋" w:hAnsi="仿宋" w:eastAsia="仿宋"/>
          <w:sz w:val="28"/>
          <w:szCs w:val="28"/>
        </w:rPr>
        <w:t>二、机构设置</w:t>
      </w:r>
      <w:r>
        <w:rPr>
          <w:rFonts w:ascii="仿宋" w:hAnsi="仿宋" w:eastAsia="仿宋"/>
          <w:sz w:val="28"/>
          <w:szCs w:val="28"/>
        </w:rPr>
        <w:tab/>
      </w:r>
      <w:r>
        <w:rPr>
          <w:rFonts w:hint="eastAsia" w:ascii="仿宋" w:hAnsi="仿宋" w:eastAsia="仿宋"/>
          <w:sz w:val="28"/>
          <w:szCs w:val="28"/>
        </w:rPr>
        <w:t>9</w:t>
      </w:r>
      <w:r>
        <w:rPr>
          <w:rFonts w:hint="eastAsia" w:ascii="仿宋" w:hAnsi="仿宋" w:eastAsia="仿宋"/>
          <w:sz w:val="28"/>
          <w:szCs w:val="28"/>
        </w:rPr>
        <w:fldChar w:fldCharType="end"/>
      </w:r>
    </w:p>
    <w:p>
      <w:pPr>
        <w:pStyle w:val="10"/>
      </w:pPr>
      <w:r>
        <w:fldChar w:fldCharType="begin"/>
      </w:r>
      <w:r>
        <w:instrText xml:space="preserve"> HYPERLINK \l "_Toc15396602" </w:instrText>
      </w:r>
      <w:r>
        <w:fldChar w:fldCharType="separate"/>
      </w:r>
      <w:r>
        <w:rPr>
          <w:rStyle w:val="15"/>
          <w:rFonts w:hint="eastAsia"/>
        </w:rPr>
        <w:t>第二部分</w:t>
      </w:r>
      <w:r>
        <w:rPr>
          <w:rStyle w:val="15"/>
        </w:rPr>
        <w:t xml:space="preserve"> 2018</w:t>
      </w:r>
      <w:r>
        <w:rPr>
          <w:rStyle w:val="15"/>
          <w:rFonts w:hint="eastAsia"/>
        </w:rPr>
        <w:t>年度部门决算情况说明</w:t>
      </w:r>
      <w:r>
        <w:tab/>
      </w:r>
      <w:r>
        <w:fldChar w:fldCharType="begin"/>
      </w:r>
      <w:r>
        <w:instrText xml:space="preserve"> PAGEREF _Toc15396602 \h </w:instrText>
      </w:r>
      <w:r>
        <w:fldChar w:fldCharType="separate"/>
      </w:r>
      <w:r>
        <w:t>10</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"_Toc15396603" </w:instrText>
      </w:r>
      <w:r>
        <w:fldChar w:fldCharType="separate"/>
      </w:r>
      <w:r>
        <w:rPr>
          <w:rStyle w:val="15"/>
          <w:rFonts w:hint="eastAsia" w:ascii="仿宋" w:hAnsi="仿宋" w:eastAsia="仿宋" w:cstheme="majorBidi"/>
          <w:bCs/>
          <w:sz w:val="28"/>
          <w:szCs w:val="28"/>
        </w:rPr>
        <w:t>一、</w:t>
      </w:r>
      <w:r>
        <w:rPr>
          <w:rStyle w:val="15"/>
          <w:rFonts w:hint="eastAsia" w:ascii="仿宋" w:hAnsi="仿宋" w:eastAsia="仿宋"/>
          <w:sz w:val="28"/>
          <w:szCs w:val="28"/>
        </w:rPr>
        <w:t>收</w:t>
      </w:r>
      <w:r>
        <w:rPr>
          <w:rStyle w:val="15"/>
          <w:rFonts w:hint="eastAsia" w:ascii="仿宋" w:hAnsi="仿宋" w:eastAsia="仿宋" w:cstheme="majorBidi"/>
          <w:bCs/>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"_Toc15396604" </w:instrText>
      </w:r>
      <w:r>
        <w:fldChar w:fldCharType="separate"/>
      </w:r>
      <w:r>
        <w:rPr>
          <w:rStyle w:val="15"/>
          <w:rFonts w:hint="eastAsia" w:ascii="仿宋" w:hAnsi="仿宋" w:eastAsia="仿宋" w:cstheme="majorBidi"/>
          <w:bCs/>
          <w:sz w:val="28"/>
          <w:szCs w:val="28"/>
        </w:rPr>
        <w:t>二、</w:t>
      </w:r>
      <w:r>
        <w:rPr>
          <w:rStyle w:val="15"/>
          <w:rFonts w:hint="eastAsia" w:ascii="仿宋" w:hAnsi="仿宋" w:eastAsia="仿宋"/>
          <w:sz w:val="28"/>
          <w:szCs w:val="28"/>
        </w:rPr>
        <w:t>收</w:t>
      </w:r>
      <w:r>
        <w:rPr>
          <w:rStyle w:val="15"/>
          <w:rFonts w:hint="eastAsia" w:ascii="仿宋" w:hAnsi="仿宋" w:eastAsia="仿宋" w:cstheme="majorBidi"/>
          <w:bCs/>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"_Toc15396605" </w:instrText>
      </w:r>
      <w:r>
        <w:fldChar w:fldCharType="separate"/>
      </w:r>
      <w:r>
        <w:rPr>
          <w:rStyle w:val="15"/>
          <w:rFonts w:hint="eastAsia" w:ascii="仿宋" w:hAnsi="仿宋" w:eastAsia="仿宋" w:cstheme="majorBidi"/>
          <w:bCs/>
          <w:sz w:val="28"/>
          <w:szCs w:val="28"/>
        </w:rPr>
        <w:t>三、</w:t>
      </w:r>
      <w:r>
        <w:rPr>
          <w:rStyle w:val="15"/>
          <w:rFonts w:hint="eastAsia" w:ascii="仿宋" w:hAnsi="仿宋" w:eastAsia="仿宋"/>
          <w:sz w:val="28"/>
          <w:szCs w:val="28"/>
        </w:rPr>
        <w:t>支</w:t>
      </w:r>
      <w:r>
        <w:rPr>
          <w:rStyle w:val="15"/>
          <w:rFonts w:hint="eastAsia" w:ascii="仿宋" w:hAnsi="仿宋" w:eastAsia="仿宋" w:cstheme="majorBidi"/>
          <w:bCs/>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"_Toc15396606" </w:instrText>
      </w:r>
      <w:r>
        <w:fldChar w:fldCharType="separate"/>
      </w:r>
      <w:r>
        <w:rPr>
          <w:rStyle w:val="15"/>
          <w:rFonts w:hint="eastAsia" w:ascii="仿宋" w:hAnsi="仿宋" w:eastAsia="仿宋"/>
          <w:sz w:val="28"/>
          <w:szCs w:val="28"/>
        </w:rPr>
        <w:t>四、财</w:t>
      </w:r>
      <w:r>
        <w:rPr>
          <w:rStyle w:val="15"/>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_Toc15396606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"_Toc15396607" </w:instrText>
      </w:r>
      <w:r>
        <w:fldChar w:fldCharType="separate"/>
      </w:r>
      <w:r>
        <w:rPr>
          <w:rStyle w:val="15"/>
          <w:rFonts w:hint="eastAsia" w:ascii="仿宋" w:hAnsi="仿宋" w:eastAsia="仿宋"/>
          <w:sz w:val="28"/>
          <w:szCs w:val="28"/>
        </w:rPr>
        <w:t>五、一</w:t>
      </w:r>
      <w:r>
        <w:rPr>
          <w:rStyle w:val="15"/>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_Toc15396607 \h </w:instrText>
      </w:r>
      <w:r>
        <w:rPr>
          <w:rFonts w:ascii="仿宋" w:hAnsi="仿宋" w:eastAsia="仿宋"/>
          <w:sz w:val="28"/>
          <w:szCs w:val="28"/>
        </w:rPr>
        <w:fldChar w:fldCharType="separate"/>
      </w:r>
      <w:r>
        <w:rPr>
          <w:rFonts w:ascii="仿宋" w:hAnsi="仿宋" w:eastAsia="仿宋"/>
          <w:sz w:val="28"/>
          <w:szCs w:val="28"/>
        </w:rPr>
        <w:t>11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"_Toc15396608" </w:instrText>
      </w:r>
      <w:r>
        <w:fldChar w:fldCharType="separate"/>
      </w:r>
      <w:r>
        <w:rPr>
          <w:rStyle w:val="15"/>
          <w:rFonts w:hint="eastAsia" w:ascii="仿宋" w:hAnsi="仿宋" w:eastAsia="仿宋"/>
          <w:sz w:val="28"/>
          <w:szCs w:val="28"/>
        </w:rPr>
        <w:t>六、一</w:t>
      </w:r>
      <w:r>
        <w:rPr>
          <w:rStyle w:val="15"/>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_Toc15396608 \h </w:instrText>
      </w:r>
      <w:r>
        <w:rPr>
          <w:rFonts w:ascii="仿宋" w:hAnsi="仿宋" w:eastAsia="仿宋"/>
          <w:sz w:val="28"/>
          <w:szCs w:val="28"/>
        </w:rPr>
        <w:fldChar w:fldCharType="separate"/>
      </w:r>
      <w:r>
        <w:rPr>
          <w:rFonts w:ascii="仿宋" w:hAnsi="仿宋" w:eastAsia="仿宋"/>
          <w:sz w:val="28"/>
          <w:szCs w:val="28"/>
        </w:rPr>
        <w:t>15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"_Toc15396609" </w:instrText>
      </w:r>
      <w:r>
        <w:fldChar w:fldCharType="separate"/>
      </w:r>
      <w:r>
        <w:rPr>
          <w:rStyle w:val="15"/>
          <w:rFonts w:hint="eastAsia" w:ascii="仿宋" w:hAnsi="仿宋" w:eastAsia="仿宋"/>
          <w:sz w:val="28"/>
          <w:szCs w:val="28"/>
        </w:rPr>
        <w:t>七、</w:t>
      </w:r>
      <w:r>
        <w:rPr>
          <w:rStyle w:val="15"/>
          <w:rFonts w:ascii="仿宋" w:hAnsi="仿宋" w:eastAsia="仿宋"/>
          <w:sz w:val="28"/>
          <w:szCs w:val="28"/>
        </w:rPr>
        <w:t>“</w:t>
      </w:r>
      <w:r>
        <w:rPr>
          <w:rStyle w:val="15"/>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_Toc15396609 \h </w:instrText>
      </w:r>
      <w:r>
        <w:rPr>
          <w:rFonts w:ascii="仿宋" w:hAnsi="仿宋" w:eastAsia="仿宋"/>
          <w:sz w:val="28"/>
          <w:szCs w:val="28"/>
        </w:rPr>
        <w:fldChar w:fldCharType="separate"/>
      </w:r>
      <w:r>
        <w:rPr>
          <w:rFonts w:ascii="仿宋" w:hAnsi="仿宋" w:eastAsia="仿宋"/>
          <w:sz w:val="28"/>
          <w:szCs w:val="28"/>
        </w:rPr>
        <w:t>15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"_Toc15396610" </w:instrText>
      </w:r>
      <w:r>
        <w:fldChar w:fldCharType="separate"/>
      </w:r>
      <w:r>
        <w:rPr>
          <w:rStyle w:val="15"/>
          <w:rFonts w:hint="eastAsia" w:ascii="仿宋" w:hAnsi="仿宋" w:eastAsia="仿宋"/>
          <w:sz w:val="28"/>
          <w:szCs w:val="28"/>
        </w:rPr>
        <w:t>八、</w:t>
      </w:r>
      <w:r>
        <w:rPr>
          <w:rStyle w:val="15"/>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_Toc15396610 \h </w:instrText>
      </w:r>
      <w:r>
        <w:rPr>
          <w:rFonts w:ascii="仿宋" w:hAnsi="仿宋" w:eastAsia="仿宋"/>
          <w:sz w:val="28"/>
          <w:szCs w:val="28"/>
        </w:rPr>
        <w:fldChar w:fldCharType="separate"/>
      </w:r>
      <w:r>
        <w:rPr>
          <w:rFonts w:ascii="仿宋" w:hAnsi="仿宋" w:eastAsia="仿宋"/>
          <w:sz w:val="28"/>
          <w:szCs w:val="28"/>
        </w:rPr>
        <w:t>17</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"_Toc15396611" </w:instrText>
      </w:r>
      <w:r>
        <w:fldChar w:fldCharType="separate"/>
      </w:r>
      <w:r>
        <w:rPr>
          <w:rStyle w:val="15"/>
          <w:rFonts w:hint="eastAsia" w:ascii="仿宋" w:hAnsi="仿宋" w:eastAsia="仿宋" w:cstheme="majorBidi"/>
          <w:bCs/>
          <w:sz w:val="28"/>
          <w:szCs w:val="28"/>
        </w:rPr>
        <w:t>九、</w:t>
      </w:r>
      <w:r>
        <w:rPr>
          <w:rStyle w:val="15"/>
          <w:rFonts w:hint="eastAsia" w:ascii="仿宋" w:hAnsi="仿宋" w:eastAsia="仿宋"/>
          <w:sz w:val="28"/>
          <w:szCs w:val="28"/>
        </w:rPr>
        <w:t xml:space="preserve"> 国</w:t>
      </w:r>
      <w:r>
        <w:rPr>
          <w:rStyle w:val="15"/>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17</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"_Toc15396612" </w:instrText>
      </w:r>
      <w:r>
        <w:fldChar w:fldCharType="separate"/>
      </w:r>
      <w:r>
        <w:rPr>
          <w:rStyle w:val="15"/>
          <w:rFonts w:hint="eastAsia" w:ascii="仿宋" w:hAnsi="仿宋" w:eastAsia="仿宋"/>
          <w:sz w:val="28"/>
          <w:szCs w:val="28"/>
        </w:rPr>
        <w:t>十</w:t>
      </w:r>
      <w:r>
        <w:rPr>
          <w:rStyle w:val="15"/>
          <w:rFonts w:hint="eastAsia" w:ascii="仿宋" w:hAnsi="仿宋" w:eastAsia="仿宋" w:cstheme="majorBidi"/>
          <w:bCs/>
          <w:sz w:val="28"/>
          <w:szCs w:val="28"/>
        </w:rPr>
        <w:t>一、其他重要事项的情况说明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27</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"_Toc15396613" </w:instrText>
      </w:r>
      <w:r>
        <w:fldChar w:fldCharType="separate"/>
      </w:r>
      <w:r>
        <w:rPr>
          <w:rStyle w:val="15"/>
          <w:rFonts w:hint="eastAsia"/>
          <w:bCs/>
          <w:kern w:val="44"/>
        </w:rPr>
        <w:t>第三部分</w:t>
      </w:r>
      <w:r>
        <w:rPr>
          <w:rStyle w:val="15"/>
          <w:rFonts w:hint="eastAsia"/>
        </w:rPr>
        <w:t xml:space="preserve"> 名</w:t>
      </w:r>
      <w:r>
        <w:rPr>
          <w:rStyle w:val="15"/>
          <w:rFonts w:hint="eastAsia"/>
          <w:bCs/>
          <w:kern w:val="44"/>
        </w:rPr>
        <w:t>词解释</w:t>
      </w:r>
      <w:r>
        <w:tab/>
      </w:r>
      <w:r>
        <w:fldChar w:fldCharType="begin"/>
      </w:r>
      <w:r>
        <w:instrText xml:space="preserve"> PAGEREF _Toc15396613 \h </w:instrText>
      </w:r>
      <w:r>
        <w:fldChar w:fldCharType="separate"/>
      </w:r>
      <w:r>
        <w:t>29</w:t>
      </w:r>
      <w:r>
        <w:fldChar w:fldCharType="end"/>
      </w:r>
      <w:r>
        <w:fldChar w:fldCharType="end"/>
      </w:r>
    </w:p>
    <w:p>
      <w:pPr>
        <w:pStyle w:val="10"/>
        <w:rPr>
          <w:rFonts w:cstheme="minorBidi"/>
        </w:rPr>
      </w:pPr>
      <w:r>
        <w:fldChar w:fldCharType="begin"/>
      </w:r>
      <w:r>
        <w:instrText xml:space="preserve"> HYPERLINK \l "_Toc15396614" </w:instrText>
      </w:r>
      <w:r>
        <w:fldChar w:fldCharType="separate"/>
      </w:r>
      <w:r>
        <w:rPr>
          <w:rStyle w:val="15"/>
          <w:rFonts w:hint="eastAsia"/>
        </w:rPr>
        <w:t>第</w:t>
      </w:r>
      <w:r>
        <w:rPr>
          <w:rStyle w:val="15"/>
          <w:rFonts w:hint="eastAsia"/>
          <w:bCs/>
          <w:kern w:val="44"/>
        </w:rPr>
        <w:t>四部分附件</w:t>
      </w:r>
      <w:r>
        <w:tab/>
      </w:r>
      <w:r>
        <w:fldChar w:fldCharType="begin"/>
      </w:r>
      <w:r>
        <w:instrText xml:space="preserve"> PAGEREF _Toc15396614 \h </w:instrText>
      </w:r>
      <w:r>
        <w:fldChar w:fldCharType="separate"/>
      </w:r>
      <w:r>
        <w:t>34</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"_Toc15396615"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1</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_Toc15396615 \h </w:instrText>
      </w:r>
      <w:r>
        <w:rPr>
          <w:rFonts w:ascii="仿宋" w:hAnsi="仿宋" w:eastAsia="仿宋"/>
          <w:sz w:val="28"/>
          <w:szCs w:val="28"/>
        </w:rPr>
        <w:fldChar w:fldCharType="separate"/>
      </w:r>
      <w:r>
        <w:rPr>
          <w:rFonts w:ascii="仿宋" w:hAnsi="仿宋" w:eastAsia="仿宋"/>
          <w:sz w:val="28"/>
          <w:szCs w:val="28"/>
        </w:rPr>
        <w:t>34</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"_Toc15396617"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2</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_Toc15396617 \h </w:instrText>
      </w:r>
      <w:r>
        <w:rPr>
          <w:rFonts w:ascii="仿宋" w:hAnsi="仿宋" w:eastAsia="仿宋"/>
          <w:sz w:val="28"/>
          <w:szCs w:val="28"/>
        </w:rPr>
        <w:fldChar w:fldCharType="separate"/>
      </w:r>
      <w:r>
        <w:rPr>
          <w:rFonts w:ascii="仿宋" w:hAnsi="仿宋" w:eastAsia="仿宋"/>
          <w:sz w:val="28"/>
          <w:szCs w:val="28"/>
        </w:rPr>
        <w:t>38</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"_Toc15396618" </w:instrText>
      </w:r>
      <w:r>
        <w:fldChar w:fldCharType="separate"/>
      </w:r>
      <w:r>
        <w:rPr>
          <w:rStyle w:val="15"/>
          <w:rFonts w:hint="eastAsia"/>
        </w:rPr>
        <w:t>第</w:t>
      </w:r>
      <w:r>
        <w:rPr>
          <w:rStyle w:val="15"/>
          <w:rFonts w:hint="eastAsia"/>
          <w:bCs/>
          <w:kern w:val="44"/>
        </w:rPr>
        <w:t>五部分附表</w:t>
      </w:r>
      <w:r>
        <w:tab/>
      </w:r>
      <w:r>
        <w:rPr>
          <w:rFonts w:hint="eastAsia"/>
        </w:rPr>
        <w:t>4</w:t>
      </w:r>
      <w:r>
        <w:rPr>
          <w:rFonts w:hint="eastAsia"/>
        </w:rPr>
        <w:fldChar w:fldCharType="end"/>
      </w:r>
      <w:r>
        <w:rPr>
          <w:rFonts w:hint="eastAsia"/>
        </w:rPr>
        <w:t>1</w:t>
      </w:r>
    </w:p>
    <w:p>
      <w:pPr>
        <w:pStyle w:val="11"/>
        <w:rPr>
          <w:rFonts w:ascii="仿宋" w:hAnsi="仿宋" w:eastAsia="仿宋" w:cstheme="minorBidi"/>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5"/>
          <w:rFonts w:hint="eastAsia" w:ascii="仿宋" w:hAnsi="仿宋" w:eastAsia="仿宋"/>
          <w:sz w:val="28"/>
          <w:szCs w:val="28"/>
        </w:rPr>
        <w:t>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_Toc15396619 \h </w:instrText>
      </w:r>
      <w:r>
        <w:rPr>
          <w:rFonts w:ascii="仿宋" w:hAnsi="仿宋" w:eastAsia="仿宋"/>
          <w:sz w:val="28"/>
          <w:szCs w:val="28"/>
        </w:rPr>
        <w:fldChar w:fldCharType="separate"/>
      </w:r>
      <w:r>
        <w:rPr>
          <w:rFonts w:ascii="仿宋" w:hAnsi="仿宋" w:eastAsia="仿宋"/>
          <w:sz w:val="28"/>
          <w:szCs w:val="28"/>
        </w:rPr>
        <w:t>41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5"/>
          <w:rFonts w:hint="eastAsia" w:ascii="仿宋" w:hAnsi="仿宋" w:eastAsia="仿宋"/>
          <w:sz w:val="28"/>
          <w:szCs w:val="28"/>
        </w:rPr>
        <w:t>收入总表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_Toc15396620 \h </w:instrText>
      </w:r>
      <w:r>
        <w:rPr>
          <w:rFonts w:ascii="仿宋" w:hAnsi="仿宋" w:eastAsia="仿宋"/>
          <w:sz w:val="28"/>
          <w:szCs w:val="28"/>
        </w:rPr>
        <w:fldChar w:fldCharType="separate"/>
      </w:r>
      <w:r>
        <w:rPr>
          <w:rFonts w:ascii="仿宋" w:hAnsi="仿宋" w:eastAsia="仿宋"/>
          <w:sz w:val="28"/>
          <w:szCs w:val="28"/>
        </w:rPr>
        <w:t>41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5"/>
          <w:rFonts w:hint="eastAsia" w:ascii="仿宋" w:hAnsi="仿宋" w:eastAsia="仿宋"/>
          <w:sz w:val="28"/>
          <w:szCs w:val="28"/>
        </w:rPr>
        <w:t>支出总表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_Toc15396621 \h </w:instrText>
      </w:r>
      <w:r>
        <w:rPr>
          <w:rFonts w:ascii="仿宋" w:hAnsi="仿宋" w:eastAsia="仿宋"/>
          <w:sz w:val="28"/>
          <w:szCs w:val="28"/>
        </w:rPr>
        <w:fldChar w:fldCharType="separate"/>
      </w:r>
      <w:r>
        <w:rPr>
          <w:rFonts w:ascii="仿宋" w:hAnsi="仿宋" w:eastAsia="仿宋"/>
          <w:sz w:val="28"/>
          <w:szCs w:val="28"/>
        </w:rPr>
        <w:t>41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5"/>
          <w:rFonts w:hint="eastAsia" w:ascii="仿宋" w:hAnsi="仿宋" w:eastAsia="仿宋"/>
          <w:sz w:val="28"/>
          <w:szCs w:val="28"/>
        </w:rPr>
        <w:t>财政拨款收入支出决算总表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_Toc15396622 \h </w:instrText>
      </w:r>
      <w:r>
        <w:rPr>
          <w:rFonts w:ascii="仿宋" w:hAnsi="仿宋" w:eastAsia="仿宋"/>
          <w:sz w:val="28"/>
          <w:szCs w:val="28"/>
        </w:rPr>
        <w:fldChar w:fldCharType="separate"/>
      </w:r>
      <w:r>
        <w:rPr>
          <w:rFonts w:ascii="仿宋" w:hAnsi="仿宋" w:eastAsia="仿宋"/>
          <w:sz w:val="28"/>
          <w:szCs w:val="28"/>
        </w:rPr>
        <w:t>41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_Toc15396623 \h </w:instrText>
      </w:r>
      <w:r>
        <w:rPr>
          <w:rFonts w:ascii="仿宋" w:hAnsi="仿宋" w:eastAsia="仿宋"/>
          <w:sz w:val="28"/>
          <w:szCs w:val="28"/>
        </w:rPr>
        <w:fldChar w:fldCharType="separate"/>
      </w:r>
      <w:r>
        <w:rPr>
          <w:rFonts w:ascii="仿宋" w:hAnsi="仿宋" w:eastAsia="仿宋"/>
          <w:sz w:val="28"/>
          <w:szCs w:val="28"/>
        </w:rPr>
        <w:t>41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5"/>
          <w:rFonts w:hint="eastAsia" w:ascii="仿宋" w:hAnsi="仿宋" w:eastAsia="仿宋"/>
          <w:sz w:val="28"/>
          <w:szCs w:val="28"/>
        </w:rPr>
        <w:t>一般公共预算财政拨款支出决算表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_Toc15396624 \h </w:instrText>
      </w:r>
      <w:r>
        <w:rPr>
          <w:rFonts w:ascii="仿宋" w:hAnsi="仿宋" w:eastAsia="仿宋"/>
          <w:sz w:val="28"/>
          <w:szCs w:val="28"/>
        </w:rPr>
        <w:fldChar w:fldCharType="separate"/>
      </w:r>
      <w:r>
        <w:rPr>
          <w:rFonts w:ascii="仿宋" w:hAnsi="仿宋" w:eastAsia="仿宋"/>
          <w:sz w:val="28"/>
          <w:szCs w:val="28"/>
        </w:rPr>
        <w:t>41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5"/>
          <w:rFonts w:hint="eastAsia" w:ascii="仿宋" w:hAnsi="仿宋" w:eastAsia="仿宋"/>
          <w:sz w:val="28"/>
          <w:szCs w:val="28"/>
        </w:rPr>
        <w:t>一般公共预算财政拨款支出决算明细表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_Toc15396625 \h </w:instrText>
      </w:r>
      <w:r>
        <w:rPr>
          <w:rFonts w:ascii="仿宋" w:hAnsi="仿宋" w:eastAsia="仿宋"/>
          <w:sz w:val="28"/>
          <w:szCs w:val="28"/>
        </w:rPr>
        <w:fldChar w:fldCharType="separate"/>
      </w:r>
      <w:r>
        <w:rPr>
          <w:rFonts w:ascii="仿宋" w:hAnsi="仿宋" w:eastAsia="仿宋"/>
          <w:sz w:val="28"/>
          <w:szCs w:val="28"/>
        </w:rPr>
        <w:t>41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5"/>
          <w:rFonts w:hint="eastAsia" w:ascii="仿宋" w:hAnsi="仿宋" w:eastAsia="仿宋"/>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_Toc15396626 \h </w:instrText>
      </w:r>
      <w:r>
        <w:rPr>
          <w:rFonts w:ascii="仿宋" w:hAnsi="仿宋" w:eastAsia="仿宋"/>
          <w:sz w:val="28"/>
          <w:szCs w:val="28"/>
        </w:rPr>
        <w:fldChar w:fldCharType="separate"/>
      </w:r>
      <w:r>
        <w:rPr>
          <w:rFonts w:ascii="仿宋" w:hAnsi="仿宋" w:eastAsia="仿宋"/>
          <w:sz w:val="28"/>
          <w:szCs w:val="28"/>
        </w:rPr>
        <w:t>41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5"/>
          <w:rFonts w:hint="eastAsia" w:ascii="仿宋" w:hAnsi="仿宋" w:eastAsia="仿宋"/>
          <w:sz w:val="28"/>
          <w:szCs w:val="28"/>
        </w:rPr>
        <w:t>一般公共预算财政拨款项目支出决算表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_Toc15396627 \h </w:instrText>
      </w:r>
      <w:r>
        <w:rPr>
          <w:rFonts w:ascii="仿宋" w:hAnsi="仿宋" w:eastAsia="仿宋"/>
          <w:sz w:val="28"/>
          <w:szCs w:val="28"/>
        </w:rPr>
        <w:fldChar w:fldCharType="separate"/>
      </w:r>
      <w:r>
        <w:rPr>
          <w:rFonts w:ascii="仿宋" w:hAnsi="仿宋" w:eastAsia="仿宋"/>
          <w:sz w:val="28"/>
          <w:szCs w:val="28"/>
        </w:rPr>
        <w:t>41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5"/>
          <w:rFonts w:hint="eastAsia" w:ascii="仿宋" w:hAnsi="仿宋" w:eastAsia="仿宋"/>
          <w:sz w:val="28"/>
          <w:szCs w:val="28"/>
        </w:rPr>
        <w:t>一般公共预算财政拨款“三公”经费支出决算表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_Toc15396628 \h </w:instrText>
      </w:r>
      <w:r>
        <w:rPr>
          <w:rFonts w:ascii="仿宋" w:hAnsi="仿宋" w:eastAsia="仿宋"/>
          <w:sz w:val="28"/>
          <w:szCs w:val="28"/>
        </w:rPr>
        <w:fldChar w:fldCharType="separate"/>
      </w:r>
      <w:r>
        <w:rPr>
          <w:rFonts w:ascii="仿宋" w:hAnsi="仿宋" w:eastAsia="仿宋"/>
          <w:sz w:val="28"/>
          <w:szCs w:val="28"/>
        </w:rPr>
        <w:t>41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5"/>
          <w:rFonts w:hint="eastAsia" w:ascii="仿宋" w:hAnsi="仿宋" w:eastAsia="仿宋"/>
          <w:sz w:val="28"/>
          <w:szCs w:val="28"/>
        </w:rPr>
        <w:t>政府性基金预算财政拨款收入支出决算表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_Toc15396629 \h </w:instrText>
      </w:r>
      <w:r>
        <w:rPr>
          <w:rFonts w:ascii="仿宋" w:hAnsi="仿宋" w:eastAsia="仿宋"/>
          <w:sz w:val="28"/>
          <w:szCs w:val="28"/>
        </w:rPr>
        <w:fldChar w:fldCharType="separate"/>
      </w:r>
      <w:r>
        <w:rPr>
          <w:rFonts w:ascii="仿宋" w:hAnsi="仿宋" w:eastAsia="仿宋"/>
          <w:sz w:val="28"/>
          <w:szCs w:val="28"/>
        </w:rPr>
        <w:t>41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5"/>
          <w:rFonts w:hint="eastAsia" w:ascii="仿宋" w:hAnsi="仿宋" w:eastAsia="仿宋"/>
          <w:sz w:val="28"/>
          <w:szCs w:val="28"/>
        </w:rPr>
        <w:t>政府性基金预算财政拨款“三公”经费支出决算表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_Toc15396630 \h </w:instrText>
      </w:r>
      <w:r>
        <w:rPr>
          <w:rFonts w:ascii="仿宋" w:hAnsi="仿宋" w:eastAsia="仿宋"/>
          <w:sz w:val="28"/>
          <w:szCs w:val="28"/>
        </w:rPr>
        <w:fldChar w:fldCharType="separate"/>
      </w:r>
      <w:r>
        <w:rPr>
          <w:rFonts w:ascii="仿宋" w:hAnsi="仿宋" w:eastAsia="仿宋"/>
          <w:sz w:val="28"/>
          <w:szCs w:val="28"/>
        </w:rPr>
        <w:t>41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5"/>
          <w:rFonts w:hint="eastAsia" w:ascii="仿宋" w:hAnsi="仿宋" w:eastAsia="仿宋"/>
          <w:sz w:val="28"/>
          <w:szCs w:val="28"/>
        </w:rPr>
        <w:t>国有资本经营预算支出决算表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_Toc15396631 \h </w:instrText>
      </w:r>
      <w:r>
        <w:rPr>
          <w:rFonts w:ascii="仿宋" w:hAnsi="仿宋" w:eastAsia="仿宋"/>
          <w:sz w:val="28"/>
          <w:szCs w:val="28"/>
        </w:rPr>
        <w:fldChar w:fldCharType="separate"/>
      </w:r>
      <w:r>
        <w:rPr>
          <w:rFonts w:ascii="仿宋" w:hAnsi="仿宋" w:eastAsia="仿宋"/>
          <w:sz w:val="28"/>
          <w:szCs w:val="28"/>
        </w:rPr>
        <w:t>41</w:t>
      </w:r>
      <w:r>
        <w:rPr>
          <w:rFonts w:ascii="仿宋" w:hAnsi="仿宋" w:eastAsia="仿宋"/>
          <w:sz w:val="28"/>
          <w:szCs w:val="28"/>
        </w:rPr>
        <w:fldChar w:fldCharType="end"/>
      </w:r>
      <w:r>
        <w:rPr>
          <w:rFonts w:ascii="仿宋" w:hAnsi="仿宋" w:eastAsia="仿宋"/>
          <w:sz w:val="28"/>
          <w:szCs w:val="28"/>
        </w:rPr>
        <w:fldChar w:fldCharType="end"/>
      </w:r>
    </w:p>
    <w:p>
      <w:pPr>
        <w:widowControl/>
        <w:jc w:val="left"/>
        <w:rPr>
          <w:rFonts w:ascii="仿宋" w:hAnsi="仿宋" w:eastAsia="仿宋"/>
          <w:color w:val="000000"/>
          <w:sz w:val="24"/>
        </w:rPr>
      </w:pPr>
      <w:r>
        <w:rPr>
          <w:rFonts w:ascii="仿宋" w:hAnsi="仿宋" w:eastAsia="仿宋"/>
          <w:color w:val="000000"/>
          <w:sz w:val="24"/>
        </w:rPr>
        <w:fldChar w:fldCharType="end"/>
      </w:r>
    </w:p>
    <w:p>
      <w:pPr>
        <w:widowControl/>
        <w:jc w:val="left"/>
        <w:rPr>
          <w:rFonts w:ascii="黑体" w:hAnsi="黑体" w:eastAsia="黑体"/>
          <w:bCs/>
          <w:kern w:val="44"/>
          <w:sz w:val="44"/>
          <w:szCs w:val="44"/>
        </w:rPr>
      </w:pPr>
      <w:bookmarkStart w:id="12" w:name="_Toc15377196"/>
      <w:bookmarkStart w:id="13" w:name="_Toc15396599"/>
      <w:r>
        <w:rPr>
          <w:rFonts w:ascii="黑体" w:hAnsi="黑体" w:eastAsia="黑体"/>
          <w:b/>
        </w:rPr>
        <w:br w:type="page"/>
      </w:r>
    </w:p>
    <w:p>
      <w:pPr>
        <w:pStyle w:val="2"/>
        <w:jc w:val="center"/>
        <w:rPr>
          <w:rStyle w:val="24"/>
          <w:rFonts w:ascii="黑体" w:hAnsi="黑体" w:eastAsia="黑体"/>
          <w:b/>
          <w:bCs w:val="0"/>
        </w:rPr>
      </w:pPr>
      <w:r>
        <w:rPr>
          <w:rFonts w:hint="eastAsia" w:ascii="黑体" w:hAnsi="黑体" w:eastAsia="黑体"/>
          <w:b w:val="0"/>
        </w:rPr>
        <w:t xml:space="preserve">第一部分 </w:t>
      </w:r>
      <w:r>
        <w:rPr>
          <w:rStyle w:val="24"/>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3"/>
        <w:ind w:firstLine="640" w:firstLineChars="200"/>
        <w:rPr>
          <w:rStyle w:val="25"/>
          <w:rFonts w:ascii="仿宋" w:hAnsi="仿宋" w:eastAsia="仿宋"/>
          <w:b w:val="0"/>
          <w:bCs w:val="0"/>
        </w:rPr>
      </w:pPr>
      <w:bookmarkStart w:id="14" w:name="_Toc15396600"/>
      <w:bookmarkStart w:id="15" w:name="_Toc15377197"/>
      <w:r>
        <w:rPr>
          <w:rFonts w:hint="eastAsia" w:ascii="黑体" w:hAnsi="黑体" w:eastAsia="黑体"/>
          <w:b w:val="0"/>
          <w:color w:val="000000"/>
        </w:rPr>
        <w:t>一、基</w:t>
      </w:r>
      <w:r>
        <w:rPr>
          <w:rStyle w:val="25"/>
          <w:rFonts w:hint="eastAsia" w:ascii="黑体" w:hAnsi="黑体" w:eastAsia="黑体"/>
          <w:b w:val="0"/>
          <w:bCs w:val="0"/>
        </w:rPr>
        <w:t>本职能及主要工作</w:t>
      </w:r>
      <w:bookmarkEnd w:id="14"/>
      <w:bookmarkEnd w:id="15"/>
    </w:p>
    <w:p>
      <w:pPr>
        <w:pStyle w:val="5"/>
        <w:adjustRightInd w:val="0"/>
        <w:snapToGrid w:val="0"/>
        <w:spacing w:before="93" w:line="600" w:lineRule="exact"/>
        <w:ind w:firstLine="672" w:firstLineChars="210"/>
        <w:outlineLvl w:val="2"/>
        <w:rPr>
          <w:rFonts w:ascii="仿宋" w:hAnsi="仿宋" w:eastAsia="仿宋"/>
          <w:bCs/>
          <w:color w:val="000000"/>
          <w:sz w:val="32"/>
          <w:szCs w:val="32"/>
        </w:rPr>
      </w:pPr>
      <w:bookmarkStart w:id="16" w:name="_Toc15377198"/>
      <w:bookmarkStart w:id="17" w:name="_Toc15378445"/>
      <w:r>
        <w:rPr>
          <w:rFonts w:hint="eastAsia" w:ascii="仿宋" w:hAnsi="仿宋" w:eastAsia="仿宋"/>
          <w:bCs/>
          <w:color w:val="000000"/>
          <w:sz w:val="32"/>
          <w:szCs w:val="32"/>
        </w:rPr>
        <w:t>（一）主要职能。</w:t>
      </w:r>
      <w:bookmarkEnd w:id="16"/>
      <w:bookmarkEnd w:id="17"/>
    </w:p>
    <w:p>
      <w:pPr>
        <w:pStyle w:val="5"/>
        <w:adjustRightInd w:val="0"/>
        <w:snapToGrid w:val="0"/>
        <w:spacing w:before="93" w:line="600" w:lineRule="exact"/>
        <w:ind w:firstLine="672" w:firstLineChars="210"/>
        <w:rPr>
          <w:rFonts w:ascii="仿宋" w:hAnsi="仿宋" w:eastAsia="仿宋"/>
          <w:bCs/>
          <w:color w:val="000000"/>
          <w:sz w:val="32"/>
          <w:szCs w:val="32"/>
        </w:rPr>
      </w:pPr>
      <w:r>
        <w:rPr>
          <w:rFonts w:hint="eastAsia" w:hAnsi="宋体"/>
          <w:sz w:val="32"/>
          <w:szCs w:val="32"/>
        </w:rPr>
        <w:t>陈家乡政府主要职责、职能为贯彻落实党和政府各项路线方针政策；为经济发展提供服务；建立和健全农村社会化服务体系，为群众提供各项公共服务；进一步强化社会管理职能，加强辖区内的社会治安综合管理；进一步加强基层组织管理，加强基层领导班子、干部队伍的建设；法律、法规、规章和上级规定的其他事项。推进达川区陈家乡经济发展、改善人民生活、保持农村社会稳定、偿还乡镇和村级债务、搞好场镇建设和加快新农村基础设施建设工作。</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bookmarkStart w:id="18" w:name="_Toc15378446"/>
      <w:bookmarkStart w:id="19" w:name="_Toc15377199"/>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8年重点工作完成情况。</w:t>
      </w:r>
      <w:bookmarkEnd w:id="18"/>
      <w:bookmarkEnd w:id="19"/>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1、全力推进重点项目</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一是全力抓好青花椒产业片等工作，公路基础路面已基本成型，项目建设严格时间节点有序推进。</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二是加快推进四川丽天牧业百万头生猪产业链扶贫产业项目。项目前期的土地征用工作、场地平整工作、电力升级建设施工、道路建设项目施工、丽天养殖小区建设已完成，目前丽天牧业准备12月底投入生产。</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三是标准化中心校建设全力推进。已完成教学楼主体建设、室内装修已全部完成，现已交付使用；师生住宿楼主体工程建设完成，正在完善相关配套设施。</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2、努力实现既定目标</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1）脱贫攻坚。紧紧围绕脱贫攻坚工作的目标任务，进一步创新思路，落实举措，合力攻坚，取得脱贫攻坚实效。一是强化组织领导，在战略上精心部署，始终牢记“两不愁”、“三保障、“四个好”和“一超六有”目标和要求，深入调研剖析本乡实情，认真确立了脱贫攻坚工作思路，制定好年度计划，指导、引导脱贫攻坚工作有力、有序、有效推进。二是坚持问题导向，在整改上强力推进。坚持上级督查反馈问题和本级自查问题相融合，进一步整合力量，对文理学院评估出的个问题和区扶贫移民局及区委督导组督查出的问题已进行全部梳理归类，分类施策。三是坚持分类施策，在脱贫解困上下功夫。进一步精准识别贫困对象，摸清致贫原因，准确掌握贫困户数、人数，做到家底清、情况明。今年共培训贫困人口1200余人次，转移就业人口554人；新成立2个专业合作社，建立2个初加工厂，种植青花椒1620亩，红辣椒500亩，特色大棚20亩和特色水果300亩，通过土地流转、入股分红、劳务输出带动236户贫困户人均增收1200元；实施45户危房改造，现已解决29户贫困户住房安全问题；新硬化道路12公里，加宽18公里，维修三坪塘5口；根据区委组织部安排部署，向10个有20户以上的非贫困村选派一名第一书记，目前第一书记全乡覆盖13个村。四是全力冲刺，确保顺利迎检。紧扣时间节点，组织开展脱贫摘帽全面复查工作，全对乡贫困户和非贫困户全覆盖进行逐一入户再核查，确保顺利通过脱贫攻坚成效考核和脱贫摘帽专项评估检查；紧扣农户实际查短板，对照“一超两不愁三有三保障”等硬性指标逐户深入排查，切实做到建档立卡贫困户人人达标、户户达标、村村达标；紧扣群众心声查帮扶，驻村工作组与每一个家庭深入开展座谈，真诚倾听群众心声，不断提升群众满意度；紧扣乡风文明查引导，在进村入户的基础上，组织非贫困户召开座谈会，深入了解乡风文明建设情况，不断营造邻里和睦、互帮互助、感恩奋进的脱贫攻坚社会氛围；紧扣软件资料查规范，对照上级要求和清单目录逐一核实，确保实际情况、工作过程等与资料反映相一致；紧扣上级要求查纪律，对近年来惠民政策的落实情况一并深入排查，变“群众上门反映问题”为“干部入户查找问题”，深入排查发生在群众身边的不正之风和腐败问题，始终保持正风肃纪的高压态势，不断增强群众的信任感和满意度。</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2）生态环境不断改善。牢固树立“绿水青山，就是金山银山”这一发展理念，切实加强我乡生态文明建设。一是加强领导，压实责任。在巩固环境治理成果的基础上，进一步健全了环保机构，充实了工作力量，扩大了保洁队伍，落实了工作责任，促进了环保工作制度化、常态化。二是强化宣传，全民参与。纵深推进环保宣传“五进”活动，营造氛围，让全乡人民主动自觉加入到环保整治这场战役中。三是细化措施，补齐短板。全乡凝聚力量，合力攻坚，实施垃圾无害化处理，过境河流明月江支流陈家段的清淤、养殖场关闭，</w:t>
      </w:r>
      <w:r>
        <w:rPr>
          <w:rFonts w:hint="eastAsia" w:ascii="仿宋" w:hAnsi="仿宋" w:eastAsia="仿宋"/>
          <w:bCs/>
          <w:color w:val="000000"/>
          <w:sz w:val="32"/>
          <w:szCs w:val="32"/>
          <w:lang w:eastAsia="zh-CN"/>
        </w:rPr>
        <w:t>秸秆</w:t>
      </w:r>
      <w:r>
        <w:rPr>
          <w:rFonts w:hint="eastAsia" w:ascii="仿宋" w:hAnsi="仿宋" w:eastAsia="仿宋"/>
          <w:bCs/>
          <w:color w:val="000000"/>
          <w:sz w:val="32"/>
          <w:szCs w:val="32"/>
        </w:rPr>
        <w:t>无害化处理等工作。扎实开展第二次全国污染源普查工作。</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3）综合治理摘掉挂牌整治“帽子”。一是深入推进平安陈家建设，在各村出入口安装“雪亮工程”视频监视系统共7处，发展新型群防群治力量，成立“红袖标”治安防范管理队伍18支，开展治安巡逻100余次。二是认真开展依法治理及“七五”普法工作，以“12.4”国家宪法日为统领，利用重大节日等契机开展法治宣传活动，营造良好法治氛围，开展各类法制宣传530余次，健全完善领导体制，实现决策程序依法规范。三是提升推进网格化服务管理水平，加强网格员队伍建设，突出“三项重点工作”。四是强化特殊人群服务管理体系建设，全面创新特殊人群管理体制机制。五是全力开展扫黑除恶专项斗争工作，强化舆论引导、加大排查力度、部门协同开展，让黑恶势力没有滋生和坐大成势的土壤。六是扎实开展信访维稳工作，落实信访维稳“一把手”负责制和“一岗双责”责任制，化解信访积案5件，其他信访事件35件，矛盾纠纷97件，对重点群体做好思想疏导工作，强化教育管控，今年，我乡无一例进京赴蓉上访人员，无一例群访非访发生。七是认真开展防邪工作，依法推进教育转化工作，一对一开展帮教工作，积极动员邪教人员的家属、亲戚朋友参与帮教，今年共转化其他邪教人员6人；创新开展已转化其他邪教教人员解脱工作，以党委、政府为主体，公安、司法等部门配合，组建教转工作队伍，通过思想教育、法纪教育、困难帮扶等活动，帮助教育邪教人员尽快回归正常社会生活，今年其他邪教已转化人员共解脱21人。</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4）社会事业健康发展。一是认真落实“十大民生救助制度”。真情关心群众生活，解决群众困难，在认真落实低保、新农保的基础上，大力开展救济、救灾、救助等活动，今年共发放各类救助资金16.7余万元，帮助贫困群众</w:t>
      </w:r>
      <w:r>
        <w:rPr>
          <w:rFonts w:hint="eastAsia" w:ascii="仿宋" w:hAnsi="仿宋" w:eastAsia="仿宋"/>
          <w:bCs/>
          <w:color w:val="000000"/>
          <w:sz w:val="32"/>
          <w:szCs w:val="32"/>
          <w:lang w:eastAsia="zh-CN"/>
        </w:rPr>
        <w:t>渡过难关</w:t>
      </w:r>
      <w:r>
        <w:rPr>
          <w:rFonts w:hint="eastAsia" w:ascii="仿宋" w:hAnsi="仿宋" w:eastAsia="仿宋"/>
          <w:bCs/>
          <w:color w:val="000000"/>
          <w:sz w:val="32"/>
          <w:szCs w:val="32"/>
        </w:rPr>
        <w:t>。二是关心关爱残疾人的生产生活，落实残疾人生活补贴和“量服”工作，发放轮椅、拐杖、坐便器等方便残疾人的生活。三是教育事业再创辉煌，标准化中心校建设即将扫尾，初升达州中学率居农村学校前列，居东部片区第一名；对两名义务教育阶段残疾学龄学生开展送教上门的方式，通过学校、家庭共同努力，让孩子学到知识。四是卫生事业健康发展，标准卫生院已达标建设，医疗条件进一步好转，医疗水平进一步提升；城乡居民医疗保险已全覆盖参保，100%录入系统，完成下达任务。五是广泛开展科学文化体育活动，把实用科技送到农户手中，重视群众文化和老年体育事业，做好电影放映和农村书屋工作，大力弘扬社会主义主旋律，广泛传播社会主义正能量。六是全面推行生育二胎政策，认真落实独生子女奖励扶助政策。</w:t>
      </w:r>
    </w:p>
    <w:p>
      <w:pPr>
        <w:pStyle w:val="3"/>
        <w:numPr>
          <w:ilvl w:val="0"/>
          <w:numId w:val="1"/>
        </w:numPr>
        <w:rPr>
          <w:rFonts w:ascii="黑体" w:hAnsi="黑体" w:eastAsia="黑体"/>
          <w:b w:val="0"/>
          <w:color w:val="000000"/>
        </w:rPr>
      </w:pPr>
      <w:bookmarkStart w:id="20" w:name="_Toc15396601"/>
      <w:bookmarkStart w:id="21" w:name="_Toc15377200"/>
      <w:r>
        <w:rPr>
          <w:rFonts w:hint="eastAsia" w:ascii="黑体" w:hAnsi="黑体" w:eastAsia="黑体"/>
          <w:b w:val="0"/>
          <w:color w:val="000000"/>
        </w:rPr>
        <w:t>机构设置</w:t>
      </w:r>
      <w:bookmarkEnd w:id="20"/>
      <w:bookmarkEnd w:id="21"/>
    </w:p>
    <w:p>
      <w:pPr>
        <w:pStyle w:val="5"/>
        <w:adjustRightInd w:val="0"/>
        <w:snapToGrid w:val="0"/>
        <w:spacing w:before="93" w:line="578" w:lineRule="exact"/>
        <w:ind w:firstLine="672" w:firstLineChars="210"/>
        <w:rPr>
          <w:rFonts w:hAnsi="宋体"/>
          <w:sz w:val="32"/>
          <w:szCs w:val="32"/>
        </w:rPr>
      </w:pPr>
      <w:r>
        <w:rPr>
          <w:rFonts w:hint="eastAsia" w:hAnsi="宋体"/>
          <w:sz w:val="32"/>
          <w:szCs w:val="32"/>
        </w:rPr>
        <w:t>陈家乡下属单位4个，其中行政单位1个，其他事业单位3个。主要包括：达州市达川区陈家乡人民政府、达州市达川区陈家乡</w:t>
      </w:r>
      <w:r>
        <w:rPr>
          <w:rFonts w:hint="eastAsia"/>
          <w:sz w:val="32"/>
          <w:szCs w:val="32"/>
        </w:rPr>
        <w:t>计划生育服务站</w:t>
      </w:r>
      <w:r>
        <w:rPr>
          <w:rFonts w:hint="eastAsia" w:hAnsi="宋体"/>
          <w:sz w:val="32"/>
          <w:szCs w:val="32"/>
        </w:rPr>
        <w:t>、达州市达川区陈家乡新闻出版和广播影视站、达州市达川区陈家乡社会事务（政务）服务中心。</w:t>
      </w:r>
    </w:p>
    <w:p>
      <w:pPr>
        <w:widowControl/>
        <w:numPr>
          <w:ilvl w:val="0"/>
          <w:numId w:val="2"/>
        </w:numPr>
        <w:spacing w:line="578" w:lineRule="exact"/>
        <w:jc w:val="left"/>
        <w:rPr>
          <w:rFonts w:ascii="仿宋_GB2312" w:hAnsi="宋体" w:eastAsia="仿宋_GB2312"/>
          <w:kern w:val="0"/>
          <w:sz w:val="32"/>
          <w:szCs w:val="32"/>
        </w:rPr>
      </w:pPr>
      <w:r>
        <w:rPr>
          <w:rFonts w:hint="eastAsia" w:ascii="仿宋_GB2312" w:hAnsi="宋体" w:eastAsia="仿宋_GB2312"/>
          <w:kern w:val="0"/>
          <w:sz w:val="32"/>
          <w:szCs w:val="32"/>
        </w:rPr>
        <w:br w:type="page"/>
      </w:r>
    </w:p>
    <w:p>
      <w:pPr>
        <w:pStyle w:val="2"/>
        <w:ind w:right="440"/>
        <w:jc w:val="right"/>
        <w:rPr>
          <w:rStyle w:val="24"/>
          <w:rFonts w:ascii="黑体" w:hAnsi="黑体" w:eastAsia="黑体"/>
          <w:b w:val="0"/>
          <w:bCs w:val="0"/>
        </w:rPr>
      </w:pPr>
      <w:bookmarkStart w:id="22" w:name="_Toc15377204"/>
      <w:bookmarkStart w:id="23" w:name="_Toc15396602"/>
      <w:r>
        <w:rPr>
          <w:rFonts w:hint="eastAsia" w:ascii="黑体" w:hAnsi="黑体" w:eastAsia="黑体"/>
          <w:b w:val="0"/>
          <w:color w:val="000000"/>
        </w:rPr>
        <w:t>第二部分</w:t>
      </w:r>
      <w:r>
        <w:rPr>
          <w:rStyle w:val="24"/>
          <w:rFonts w:hint="eastAsia" w:ascii="黑体" w:hAnsi="黑体" w:eastAsia="黑体"/>
          <w:b w:val="0"/>
          <w:bCs w:val="0"/>
        </w:rPr>
        <w:t>2018年度部门决算情况说明</w:t>
      </w:r>
      <w:bookmarkEnd w:id="22"/>
      <w:bookmarkEnd w:id="23"/>
    </w:p>
    <w:p/>
    <w:p>
      <w:pPr>
        <w:pStyle w:val="23"/>
        <w:numPr>
          <w:ilvl w:val="0"/>
          <w:numId w:val="3"/>
        </w:numPr>
        <w:spacing w:line="600" w:lineRule="exact"/>
        <w:ind w:firstLineChars="0"/>
        <w:outlineLvl w:val="1"/>
        <w:rPr>
          <w:rStyle w:val="25"/>
          <w:rFonts w:ascii="黑体" w:hAnsi="黑体" w:eastAsia="黑体"/>
          <w:b w:val="0"/>
        </w:rPr>
      </w:pPr>
      <w:bookmarkStart w:id="24" w:name="_Toc15396603"/>
      <w:bookmarkStart w:id="25" w:name="_Toc15377205"/>
      <w:r>
        <w:rPr>
          <w:rFonts w:hint="eastAsia" w:ascii="黑体" w:hAnsi="黑体" w:eastAsia="黑体"/>
          <w:color w:val="000000"/>
          <w:sz w:val="32"/>
          <w:szCs w:val="32"/>
        </w:rPr>
        <w:t>收</w:t>
      </w:r>
      <w:r>
        <w:rPr>
          <w:rStyle w:val="25"/>
          <w:rFonts w:hint="eastAsia" w:ascii="黑体" w:hAnsi="黑体" w:eastAsia="黑体"/>
          <w:b w:val="0"/>
        </w:rPr>
        <w:t>入支出决算总体情况说明</w:t>
      </w:r>
      <w:bookmarkEnd w:id="24"/>
      <w:bookmarkEnd w:id="25"/>
    </w:p>
    <w:p>
      <w:pPr>
        <w:spacing w:line="600" w:lineRule="exact"/>
        <w:ind w:firstLine="640" w:firstLineChars="200"/>
        <w:rPr>
          <w:rFonts w:ascii="仿宋_GB2312" w:eastAsia="仿宋"/>
          <w:color w:val="000000"/>
          <w:sz w:val="32"/>
          <w:szCs w:val="32"/>
        </w:rPr>
      </w:pPr>
      <w:r>
        <w:rPr>
          <w:rFonts w:hint="eastAsia" w:ascii="仿宋" w:hAnsi="仿宋" w:eastAsia="仿宋"/>
          <w:color w:val="000000"/>
          <w:sz w:val="32"/>
          <w:szCs w:val="32"/>
        </w:rPr>
        <w:t>2018年度收、支总计1241.22万元。与2017年相比，收、支总计各增加了63.19万元，上增0.94</w:t>
      </w:r>
      <w:r>
        <w:rPr>
          <w:rFonts w:ascii="仿宋" w:hAnsi="仿宋" w:eastAsia="仿宋"/>
          <w:color w:val="000000"/>
          <w:sz w:val="32"/>
          <w:szCs w:val="32"/>
        </w:rPr>
        <w:t>%</w:t>
      </w:r>
      <w:r>
        <w:rPr>
          <w:rFonts w:hint="eastAsia" w:ascii="仿宋" w:hAnsi="仿宋" w:eastAsia="仿宋"/>
          <w:color w:val="000000"/>
          <w:sz w:val="32"/>
          <w:szCs w:val="32"/>
        </w:rPr>
        <w:t>。主要变动原因是项目、收入、支出增加。</w:t>
      </w:r>
    </w:p>
    <w:p>
      <w:pPr>
        <w:pStyle w:val="23"/>
        <w:numPr>
          <w:ilvl w:val="0"/>
          <w:numId w:val="3"/>
        </w:numPr>
        <w:spacing w:line="600" w:lineRule="exact"/>
        <w:ind w:firstLineChars="0"/>
        <w:outlineLvl w:val="1"/>
        <w:rPr>
          <w:rStyle w:val="25"/>
          <w:rFonts w:ascii="黑体" w:hAnsi="黑体" w:eastAsia="黑体"/>
          <w:b w:val="0"/>
        </w:rPr>
      </w:pPr>
      <w:bookmarkStart w:id="26" w:name="_Toc15396604"/>
      <w:bookmarkStart w:id="27" w:name="_Toc15377206"/>
      <w:r>
        <w:rPr>
          <w:rFonts w:hint="eastAsia" w:ascii="黑体" w:hAnsi="黑体" w:eastAsia="黑体"/>
          <w:color w:val="000000"/>
          <w:sz w:val="32"/>
          <w:szCs w:val="32"/>
        </w:rPr>
        <w:t>收</w:t>
      </w:r>
      <w:r>
        <w:rPr>
          <w:rStyle w:val="25"/>
          <w:rFonts w:hint="eastAsia" w:ascii="黑体" w:hAnsi="黑体" w:eastAsia="黑体"/>
          <w:b w:val="0"/>
        </w:rPr>
        <w:t>入决算情况说明</w:t>
      </w:r>
      <w:bookmarkEnd w:id="26"/>
      <w:bookmarkEnd w:id="27"/>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8年本年收入合计1241.22万元，其中：一般公共预算财政拨款收入</w:t>
      </w:r>
      <w:r>
        <w:rPr>
          <w:rFonts w:ascii="仿宋" w:hAnsi="仿宋" w:eastAsia="仿宋"/>
          <w:color w:val="000000"/>
          <w:sz w:val="32"/>
          <w:szCs w:val="32"/>
        </w:rPr>
        <w:t>1158.22</w:t>
      </w:r>
      <w:r>
        <w:rPr>
          <w:rFonts w:hint="eastAsia" w:ascii="仿宋" w:hAnsi="仿宋" w:eastAsia="仿宋"/>
          <w:color w:val="000000"/>
          <w:sz w:val="32"/>
          <w:szCs w:val="32"/>
        </w:rPr>
        <w:t>万元，占93</w:t>
      </w:r>
      <w:r>
        <w:rPr>
          <w:rFonts w:ascii="仿宋" w:hAnsi="仿宋" w:eastAsia="仿宋"/>
          <w:color w:val="000000"/>
          <w:sz w:val="32"/>
          <w:szCs w:val="32"/>
        </w:rPr>
        <w:t>%</w:t>
      </w:r>
      <w:r>
        <w:rPr>
          <w:rFonts w:hint="eastAsia" w:ascii="仿宋" w:hAnsi="仿宋" w:eastAsia="仿宋"/>
          <w:color w:val="000000"/>
          <w:sz w:val="32"/>
          <w:szCs w:val="32"/>
        </w:rPr>
        <w:t>；政府性基金预算财政拨款收入83万元，占7</w:t>
      </w:r>
      <w:r>
        <w:rPr>
          <w:rFonts w:ascii="仿宋" w:hAnsi="仿宋" w:eastAsia="仿宋"/>
          <w:color w:val="000000"/>
          <w:sz w:val="32"/>
          <w:szCs w:val="32"/>
        </w:rPr>
        <w:t>%</w:t>
      </w:r>
      <w:r>
        <w:rPr>
          <w:rFonts w:hint="eastAsia" w:ascii="仿宋" w:hAnsi="仿宋" w:eastAsia="仿宋"/>
          <w:color w:val="000000"/>
          <w:sz w:val="32"/>
          <w:szCs w:val="32"/>
        </w:rPr>
        <w:t>；国有资本经营预算财政拨款收入0万元，占0</w:t>
      </w:r>
      <w:r>
        <w:rPr>
          <w:rFonts w:ascii="仿宋" w:hAnsi="仿宋" w:eastAsia="仿宋"/>
          <w:color w:val="000000"/>
          <w:sz w:val="32"/>
          <w:szCs w:val="32"/>
        </w:rPr>
        <w:t>%</w:t>
      </w:r>
      <w:r>
        <w:rPr>
          <w:rFonts w:hint="eastAsia" w:ascii="仿宋" w:hAnsi="仿宋" w:eastAsia="仿宋"/>
          <w:color w:val="000000"/>
          <w:sz w:val="32"/>
          <w:szCs w:val="32"/>
        </w:rPr>
        <w:t>；事业收入0万元，占0</w:t>
      </w:r>
      <w:r>
        <w:rPr>
          <w:rFonts w:ascii="仿宋" w:hAnsi="仿宋" w:eastAsia="仿宋"/>
          <w:color w:val="000000"/>
          <w:sz w:val="32"/>
          <w:szCs w:val="32"/>
        </w:rPr>
        <w:t>%</w:t>
      </w:r>
      <w:r>
        <w:rPr>
          <w:rFonts w:hint="eastAsia" w:ascii="仿宋" w:hAnsi="仿宋" w:eastAsia="仿宋"/>
          <w:color w:val="000000"/>
          <w:sz w:val="32"/>
          <w:szCs w:val="32"/>
        </w:rPr>
        <w:t>；经营收入0万元，占0</w:t>
      </w:r>
      <w:r>
        <w:rPr>
          <w:rFonts w:ascii="仿宋" w:hAnsi="仿宋" w:eastAsia="仿宋"/>
          <w:color w:val="000000"/>
          <w:sz w:val="32"/>
          <w:szCs w:val="32"/>
        </w:rPr>
        <w:t>%</w:t>
      </w:r>
      <w:r>
        <w:rPr>
          <w:rFonts w:hint="eastAsia" w:ascii="仿宋" w:hAnsi="仿宋" w:eastAsia="仿宋"/>
          <w:color w:val="000000"/>
          <w:sz w:val="32"/>
          <w:szCs w:val="32"/>
        </w:rPr>
        <w:t>；附属单位上缴收入0万元，占0</w:t>
      </w:r>
      <w:r>
        <w:rPr>
          <w:rFonts w:ascii="仿宋" w:hAnsi="仿宋" w:eastAsia="仿宋"/>
          <w:color w:val="000000"/>
          <w:sz w:val="32"/>
          <w:szCs w:val="32"/>
        </w:rPr>
        <w:t>%</w:t>
      </w:r>
      <w:r>
        <w:rPr>
          <w:rFonts w:hint="eastAsia" w:ascii="仿宋" w:hAnsi="仿宋" w:eastAsia="仿宋"/>
          <w:color w:val="000000"/>
          <w:sz w:val="32"/>
          <w:szCs w:val="32"/>
        </w:rPr>
        <w:t>；其他收入0万元，占0</w:t>
      </w:r>
      <w:r>
        <w:rPr>
          <w:rFonts w:ascii="仿宋" w:hAnsi="仿宋" w:eastAsia="仿宋"/>
          <w:color w:val="000000"/>
          <w:sz w:val="32"/>
          <w:szCs w:val="32"/>
        </w:rPr>
        <w:t>%</w:t>
      </w:r>
      <w:r>
        <w:rPr>
          <w:rFonts w:hint="eastAsia" w:ascii="仿宋" w:hAnsi="仿宋" w:eastAsia="仿宋"/>
          <w:color w:val="000000"/>
          <w:sz w:val="32"/>
          <w:szCs w:val="32"/>
        </w:rPr>
        <w:t>。</w:t>
      </w:r>
    </w:p>
    <w:p>
      <w:pPr>
        <w:pStyle w:val="23"/>
        <w:numPr>
          <w:ilvl w:val="0"/>
          <w:numId w:val="3"/>
        </w:numPr>
        <w:spacing w:line="600" w:lineRule="exact"/>
        <w:ind w:firstLineChars="0"/>
        <w:outlineLvl w:val="1"/>
        <w:rPr>
          <w:rStyle w:val="25"/>
          <w:rFonts w:ascii="黑体" w:hAnsi="黑体" w:eastAsia="黑体"/>
          <w:b w:val="0"/>
        </w:rPr>
      </w:pPr>
      <w:bookmarkStart w:id="28" w:name="_Toc15396605"/>
      <w:bookmarkStart w:id="29" w:name="_Toc15377207"/>
      <w:r>
        <w:rPr>
          <w:rFonts w:hint="eastAsia" w:ascii="黑体" w:hAnsi="黑体" w:eastAsia="黑体"/>
          <w:color w:val="000000"/>
          <w:sz w:val="32"/>
          <w:szCs w:val="32"/>
        </w:rPr>
        <w:t>支</w:t>
      </w:r>
      <w:r>
        <w:rPr>
          <w:rStyle w:val="25"/>
          <w:rFonts w:hint="eastAsia" w:ascii="黑体" w:hAnsi="黑体" w:eastAsia="黑体"/>
          <w:b w:val="0"/>
        </w:rPr>
        <w:t>出决算情况说明</w:t>
      </w:r>
      <w:bookmarkEnd w:id="28"/>
      <w:bookmarkEnd w:id="29"/>
    </w:p>
    <w:p>
      <w:pPr>
        <w:spacing w:line="600" w:lineRule="exact"/>
        <w:ind w:firstLine="640"/>
        <w:rPr>
          <w:rFonts w:ascii="仿宋" w:hAnsi="仿宋" w:eastAsia="仿宋"/>
          <w:color w:val="000000"/>
          <w:sz w:val="32"/>
          <w:szCs w:val="32"/>
          <w:shd w:val="pct10" w:color="auto" w:fill="FFFFFF"/>
        </w:rPr>
      </w:pPr>
      <w:r>
        <w:rPr>
          <w:rFonts w:ascii="仿宋" w:hAnsi="仿宋" w:eastAsia="仿宋"/>
          <w:color w:val="000000"/>
          <w:sz w:val="32"/>
          <w:szCs w:val="32"/>
        </w:rPr>
        <w:t>201</w:t>
      </w:r>
      <w:r>
        <w:rPr>
          <w:rFonts w:hint="eastAsia" w:ascii="仿宋" w:hAnsi="仿宋" w:eastAsia="仿宋"/>
          <w:color w:val="000000"/>
          <w:sz w:val="32"/>
          <w:szCs w:val="32"/>
        </w:rPr>
        <w:t>8年本年支出合计1241.22万元，其中：基本支出806.65万元，占64</w:t>
      </w:r>
      <w:r>
        <w:rPr>
          <w:rFonts w:ascii="仿宋" w:hAnsi="仿宋" w:eastAsia="仿宋"/>
          <w:color w:val="000000"/>
          <w:sz w:val="32"/>
          <w:szCs w:val="32"/>
        </w:rPr>
        <w:t>%</w:t>
      </w:r>
      <w:r>
        <w:rPr>
          <w:rFonts w:hint="eastAsia" w:ascii="仿宋" w:hAnsi="仿宋" w:eastAsia="仿宋"/>
          <w:color w:val="000000"/>
          <w:sz w:val="32"/>
          <w:szCs w:val="32"/>
        </w:rPr>
        <w:t>；项目支出434.66万元，占36</w:t>
      </w:r>
      <w:r>
        <w:rPr>
          <w:rFonts w:ascii="仿宋" w:hAnsi="仿宋" w:eastAsia="仿宋"/>
          <w:color w:val="000000"/>
          <w:sz w:val="32"/>
          <w:szCs w:val="32"/>
        </w:rPr>
        <w:t>%</w:t>
      </w:r>
      <w:r>
        <w:rPr>
          <w:rFonts w:hint="eastAsia" w:ascii="仿宋" w:hAnsi="仿宋" w:eastAsia="仿宋"/>
          <w:color w:val="000000"/>
          <w:sz w:val="32"/>
          <w:szCs w:val="32"/>
        </w:rPr>
        <w:t>；上缴上级支出0万元，占0</w:t>
      </w:r>
      <w:r>
        <w:rPr>
          <w:rFonts w:ascii="仿宋" w:hAnsi="仿宋" w:eastAsia="仿宋"/>
          <w:color w:val="000000"/>
          <w:sz w:val="32"/>
          <w:szCs w:val="32"/>
        </w:rPr>
        <w:t>%</w:t>
      </w:r>
      <w:r>
        <w:rPr>
          <w:rFonts w:hint="eastAsia" w:ascii="仿宋" w:hAnsi="仿宋" w:eastAsia="仿宋"/>
          <w:color w:val="000000"/>
          <w:sz w:val="32"/>
          <w:szCs w:val="32"/>
        </w:rPr>
        <w:t>；经营支出0万元，占0</w:t>
      </w:r>
      <w:r>
        <w:rPr>
          <w:rFonts w:ascii="仿宋" w:hAnsi="仿宋" w:eastAsia="仿宋"/>
          <w:color w:val="000000"/>
          <w:sz w:val="32"/>
          <w:szCs w:val="32"/>
        </w:rPr>
        <w:t>%</w:t>
      </w:r>
      <w:r>
        <w:rPr>
          <w:rFonts w:hint="eastAsia" w:ascii="仿宋" w:hAnsi="仿宋" w:eastAsia="仿宋"/>
          <w:color w:val="000000"/>
          <w:sz w:val="32"/>
          <w:szCs w:val="32"/>
        </w:rPr>
        <w:t>；对附属单位补助支出0万元，占0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outlineLvl w:val="1"/>
        <w:rPr>
          <w:rStyle w:val="25"/>
          <w:rFonts w:ascii="黑体" w:hAnsi="黑体" w:eastAsia="黑体"/>
          <w:b w:val="0"/>
        </w:rPr>
      </w:pPr>
      <w:bookmarkStart w:id="30" w:name="_Toc15377208"/>
      <w:bookmarkStart w:id="31" w:name="_Toc15396606"/>
      <w:r>
        <w:rPr>
          <w:rFonts w:hint="eastAsia" w:ascii="黑体" w:hAnsi="黑体" w:eastAsia="黑体"/>
          <w:color w:val="000000"/>
          <w:sz w:val="32"/>
          <w:szCs w:val="32"/>
        </w:rPr>
        <w:t>四、财</w:t>
      </w:r>
      <w:r>
        <w:rPr>
          <w:rStyle w:val="25"/>
          <w:rFonts w:hint="eastAsia" w:ascii="黑体" w:hAnsi="黑体" w:eastAsia="黑体"/>
          <w:b w:val="0"/>
        </w:rPr>
        <w:t>政拨款收入支出决算总体情况说明</w:t>
      </w:r>
      <w:bookmarkEnd w:id="30"/>
      <w:bookmarkEnd w:id="31"/>
    </w:p>
    <w:p>
      <w:pPr>
        <w:spacing w:line="600" w:lineRule="exact"/>
        <w:ind w:firstLine="640" w:firstLineChars="200"/>
        <w:rPr>
          <w:rFonts w:ascii="仿宋_GB2312"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8年财政拨款收、支总计1241.22万元。与</w:t>
      </w:r>
      <w:r>
        <w:rPr>
          <w:rFonts w:ascii="仿宋" w:hAnsi="仿宋" w:eastAsia="仿宋"/>
          <w:color w:val="000000"/>
          <w:sz w:val="32"/>
          <w:szCs w:val="32"/>
        </w:rPr>
        <w:t>201</w:t>
      </w:r>
      <w:r>
        <w:rPr>
          <w:rFonts w:hint="eastAsia" w:ascii="仿宋" w:hAnsi="仿宋" w:eastAsia="仿宋"/>
          <w:color w:val="000000"/>
          <w:sz w:val="32"/>
          <w:szCs w:val="32"/>
        </w:rPr>
        <w:t>7年相比，财政拨款收、支总计各增加63.19万元，增加0.94</w:t>
      </w:r>
      <w:r>
        <w:rPr>
          <w:rFonts w:ascii="仿宋" w:hAnsi="仿宋" w:eastAsia="仿宋"/>
          <w:color w:val="000000"/>
          <w:sz w:val="32"/>
          <w:szCs w:val="32"/>
        </w:rPr>
        <w:t>%</w:t>
      </w:r>
      <w:r>
        <w:rPr>
          <w:rFonts w:hint="eastAsia" w:ascii="仿宋" w:hAnsi="仿宋" w:eastAsia="仿宋"/>
          <w:color w:val="000000"/>
          <w:sz w:val="32"/>
          <w:szCs w:val="32"/>
        </w:rPr>
        <w:t>。主要变动原因是项目收入、支出增加。</w:t>
      </w:r>
    </w:p>
    <w:p>
      <w:pPr>
        <w:spacing w:line="600" w:lineRule="exact"/>
        <w:ind w:firstLine="640" w:firstLineChars="200"/>
        <w:outlineLvl w:val="1"/>
        <w:rPr>
          <w:rStyle w:val="25"/>
          <w:rFonts w:ascii="黑体" w:hAnsi="黑体" w:eastAsia="黑体"/>
          <w:b w:val="0"/>
        </w:rPr>
      </w:pPr>
      <w:bookmarkStart w:id="32" w:name="_Toc15396607"/>
      <w:bookmarkStart w:id="33"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pacing w:line="600" w:lineRule="exact"/>
        <w:ind w:firstLine="640" w:firstLineChars="200"/>
        <w:rPr>
          <w:rFonts w:ascii="仿宋" w:hAnsi="仿宋" w:eastAsia="仿宋"/>
          <w:sz w:val="32"/>
          <w:szCs w:val="32"/>
        </w:rPr>
      </w:pPr>
      <w:r>
        <w:rPr>
          <w:rFonts w:ascii="仿宋" w:hAnsi="仿宋" w:eastAsia="仿宋"/>
          <w:sz w:val="32"/>
          <w:szCs w:val="32"/>
        </w:rPr>
        <w:t>201</w:t>
      </w:r>
      <w:r>
        <w:rPr>
          <w:rFonts w:hint="eastAsia" w:ascii="仿宋" w:hAnsi="仿宋" w:eastAsia="仿宋"/>
          <w:sz w:val="32"/>
          <w:szCs w:val="32"/>
        </w:rPr>
        <w:t>8年一般公共预算财政拨款支出1158.22万元，占本年支出合计的93.3</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201</w:t>
      </w:r>
      <w:r>
        <w:rPr>
          <w:rFonts w:hint="eastAsia" w:ascii="仿宋" w:hAnsi="仿宋" w:eastAsia="仿宋"/>
          <w:sz w:val="32"/>
          <w:szCs w:val="32"/>
        </w:rPr>
        <w:t>7年相比，一般公共预算财政拨款减少6.81万元，下降1.05</w:t>
      </w:r>
      <w:r>
        <w:rPr>
          <w:rFonts w:ascii="仿宋" w:hAnsi="仿宋" w:eastAsia="仿宋"/>
          <w:sz w:val="32"/>
          <w:szCs w:val="32"/>
        </w:rPr>
        <w:t>%</w:t>
      </w:r>
      <w:r>
        <w:rPr>
          <w:rFonts w:hint="eastAsia" w:ascii="仿宋" w:hAnsi="仿宋" w:eastAsia="仿宋"/>
          <w:sz w:val="32"/>
          <w:szCs w:val="32"/>
        </w:rPr>
        <w:t>。</w:t>
      </w:r>
    </w:p>
    <w:p>
      <w:pPr>
        <w:spacing w:line="600" w:lineRule="exact"/>
        <w:ind w:firstLine="643" w:firstLineChars="200"/>
        <w:outlineLvl w:val="2"/>
        <w:rPr>
          <w:rFonts w:ascii="仿宋" w:hAnsi="仿宋" w:eastAsia="仿宋"/>
          <w:b/>
          <w:color w:val="000000"/>
          <w:sz w:val="32"/>
          <w:szCs w:val="32"/>
        </w:rPr>
      </w:pPr>
      <w:bookmarkStart w:id="35" w:name="_Toc15377211"/>
      <w:r>
        <w:rPr>
          <w:rFonts w:hint="eastAsia" w:ascii="仿宋" w:hAnsi="仿宋" w:eastAsia="仿宋"/>
          <w:b/>
          <w:color w:val="000000"/>
          <w:sz w:val="32"/>
          <w:szCs w:val="32"/>
        </w:rPr>
        <w:t>（二）一般公共预算财政拨款支出决算结构情况</w:t>
      </w:r>
      <w:bookmarkEnd w:id="35"/>
    </w:p>
    <w:p>
      <w:pPr>
        <w:spacing w:line="600" w:lineRule="exact"/>
        <w:ind w:firstLine="640"/>
        <w:rPr>
          <w:rFonts w:ascii="仿宋_GB2312" w:eastAsia="仿宋_GB2312"/>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w:t>
      </w:r>
      <w:r>
        <w:rPr>
          <w:rFonts w:hint="eastAsia" w:ascii="仿宋" w:hAnsi="仿宋" w:eastAsia="仿宋"/>
          <w:color w:val="000000" w:themeColor="text1"/>
          <w:sz w:val="32"/>
          <w:szCs w:val="32"/>
          <w14:textFill>
            <w14:solidFill>
              <w14:schemeClr w14:val="tx1"/>
            </w14:solidFill>
          </w14:textFill>
        </w:rPr>
        <w:t>政拨款支出</w:t>
      </w:r>
      <w:r>
        <w:rPr>
          <w:rFonts w:hint="eastAsia" w:ascii="仿宋" w:hAnsi="仿宋" w:eastAsia="仿宋"/>
          <w:color w:val="000000"/>
          <w:sz w:val="32"/>
          <w:szCs w:val="32"/>
        </w:rPr>
        <w:t>1158.22</w:t>
      </w:r>
      <w:r>
        <w:rPr>
          <w:rFonts w:hint="eastAsia" w:ascii="仿宋" w:hAnsi="仿宋" w:eastAsia="仿宋"/>
          <w:color w:val="000000" w:themeColor="text1"/>
          <w:sz w:val="32"/>
          <w:szCs w:val="32"/>
          <w14:textFill>
            <w14:solidFill>
              <w14:schemeClr w14:val="tx1"/>
            </w14:solidFill>
          </w14:textFill>
        </w:rPr>
        <w:t>万元，</w:t>
      </w:r>
      <w:r>
        <w:rPr>
          <w:rFonts w:hint="eastAsia" w:ascii="仿宋_GB2312" w:eastAsia="仿宋_GB2312"/>
          <w:color w:val="000000"/>
          <w:sz w:val="32"/>
          <w:szCs w:val="32"/>
        </w:rPr>
        <w:t>主要用于以下方面:一般公共服务支出369.07万元，占31.9%；文化体育与传媒支出41.45万元，占3.6%；社会保障和就业支出284.21万元，占25%；医疗卫生支出34.36万元，占3%；节能环保支出12万元，占0.1%；城乡社区支出24.64万元，占2.49%；农林水支出367.38万元，占31.71%；住房保障支出25.11万元，占2.2%。</w:t>
      </w:r>
    </w:p>
    <w:p>
      <w:pPr>
        <w:spacing w:line="600" w:lineRule="exact"/>
        <w:ind w:firstLine="643" w:firstLineChars="200"/>
        <w:outlineLvl w:val="2"/>
        <w:rPr>
          <w:rFonts w:ascii="仿宋" w:hAnsi="仿宋" w:eastAsia="仿宋"/>
          <w:b/>
          <w:color w:val="000000"/>
          <w:sz w:val="32"/>
          <w:szCs w:val="32"/>
        </w:rPr>
      </w:pPr>
      <w:bookmarkStart w:id="36" w:name="_Toc15377212"/>
      <w:r>
        <w:rPr>
          <w:rFonts w:hint="eastAsia" w:ascii="仿宋" w:hAnsi="仿宋" w:eastAsia="仿宋"/>
          <w:b/>
          <w:color w:val="000000"/>
          <w:sz w:val="32"/>
          <w:szCs w:val="32"/>
        </w:rPr>
        <w:t>（三）一般公共预算财政拨款支出决算具体情况</w:t>
      </w:r>
      <w:bookmarkEnd w:id="36"/>
    </w:p>
    <w:p>
      <w:pPr>
        <w:spacing w:line="600" w:lineRule="exact"/>
        <w:ind w:firstLine="643" w:firstLineChars="200"/>
        <w:outlineLvl w:val="2"/>
        <w:rPr>
          <w:rFonts w:ascii="仿宋" w:hAnsi="仿宋" w:eastAsia="仿宋"/>
          <w:color w:val="FF0000"/>
          <w:sz w:val="32"/>
          <w:szCs w:val="32"/>
        </w:rPr>
      </w:pPr>
      <w:bookmarkStart w:id="37" w:name="_Toc15377213"/>
      <w:bookmarkStart w:id="38" w:name="_Toc15377444"/>
      <w:bookmarkStart w:id="39" w:name="_Toc15378460"/>
      <w:r>
        <w:rPr>
          <w:rFonts w:hint="eastAsia" w:ascii="仿宋" w:hAnsi="仿宋" w:eastAsia="仿宋"/>
          <w:b/>
          <w:color w:val="000000" w:themeColor="text1"/>
          <w:sz w:val="32"/>
          <w:szCs w:val="32"/>
          <w14:textFill>
            <w14:solidFill>
              <w14:schemeClr w14:val="tx1"/>
            </w14:solidFill>
          </w14:textFill>
        </w:rPr>
        <w:t>2018年一般公共预算支出决算数为</w:t>
      </w:r>
      <w:r>
        <w:rPr>
          <w:rFonts w:hint="eastAsia" w:ascii="仿宋" w:hAnsi="仿宋" w:eastAsia="仿宋"/>
          <w:color w:val="000000"/>
          <w:sz w:val="32"/>
          <w:szCs w:val="32"/>
        </w:rPr>
        <w:t>1158.22</w:t>
      </w:r>
      <w:r>
        <w:rPr>
          <w:rFonts w:hint="eastAsia" w:ascii="仿宋" w:hAnsi="仿宋" w:eastAsia="仿宋"/>
          <w:color w:val="000000" w:themeColor="text1"/>
          <w:sz w:val="32"/>
          <w:szCs w:val="32"/>
          <w14:textFill>
            <w14:solidFill>
              <w14:schemeClr w14:val="tx1"/>
            </w14:solidFill>
          </w14:textFill>
        </w:rPr>
        <w:t>，</w:t>
      </w:r>
      <w:r>
        <w:rPr>
          <w:rStyle w:val="14"/>
          <w:rFonts w:hint="eastAsia" w:ascii="仿宋" w:hAnsi="仿宋" w:eastAsia="仿宋"/>
          <w:bCs/>
          <w:color w:val="000000" w:themeColor="text1"/>
          <w:sz w:val="32"/>
          <w:szCs w:val="32"/>
          <w14:textFill>
            <w14:solidFill>
              <w14:schemeClr w14:val="tx1"/>
            </w14:solidFill>
          </w14:textFill>
        </w:rPr>
        <w:t>完成</w:t>
      </w:r>
      <w:r>
        <w:rPr>
          <w:rStyle w:val="14"/>
          <w:rFonts w:hint="eastAsia" w:ascii="仿宋" w:hAnsi="仿宋" w:eastAsia="仿宋"/>
          <w:bCs/>
          <w:color w:val="000000"/>
          <w:sz w:val="32"/>
          <w:szCs w:val="32"/>
        </w:rPr>
        <w:t>预算100</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。其中：</w:t>
      </w:r>
      <w:bookmarkEnd w:id="37"/>
      <w:bookmarkEnd w:id="38"/>
      <w:bookmarkEnd w:id="39"/>
    </w:p>
    <w:p>
      <w:pPr>
        <w:spacing w:line="600" w:lineRule="exact"/>
        <w:ind w:firstLine="643" w:firstLineChars="200"/>
        <w:rPr>
          <w:rStyle w:val="14"/>
          <w:rFonts w:ascii="仿宋" w:hAnsi="仿宋" w:eastAsia="仿宋"/>
          <w:b w:val="0"/>
          <w:bCs/>
          <w:color w:val="000000"/>
          <w:sz w:val="32"/>
          <w:szCs w:val="32"/>
        </w:rPr>
      </w:pPr>
      <w:r>
        <w:rPr>
          <w:rStyle w:val="14"/>
          <w:rFonts w:hint="eastAsia" w:ascii="仿宋" w:hAnsi="仿宋" w:eastAsia="仿宋"/>
          <w:bCs/>
          <w:color w:val="000000"/>
          <w:sz w:val="32"/>
          <w:szCs w:val="32"/>
        </w:rPr>
        <w:t>1.一般公共服务：</w:t>
      </w:r>
    </w:p>
    <w:p>
      <w:pPr>
        <w:spacing w:line="600" w:lineRule="exact"/>
        <w:ind w:firstLine="643" w:firstLineChars="200"/>
        <w:rPr>
          <w:rStyle w:val="14"/>
          <w:rFonts w:ascii="仿宋" w:hAnsi="仿宋" w:eastAsia="仿宋"/>
          <w:b w:val="0"/>
          <w:bCs/>
          <w:color w:val="000000"/>
          <w:sz w:val="32"/>
          <w:szCs w:val="32"/>
        </w:rPr>
      </w:pPr>
      <w:r>
        <w:rPr>
          <w:rStyle w:val="14"/>
          <w:rFonts w:hint="eastAsia" w:ascii="仿宋" w:hAnsi="仿宋" w:eastAsia="仿宋"/>
          <w:bCs/>
          <w:color w:val="000000"/>
          <w:sz w:val="32"/>
          <w:szCs w:val="32"/>
        </w:rPr>
        <w:t>2010301一般公共服务支出（类）政府办公厅（室）及相关机构事务（款）行政运行（项）：</w:t>
      </w:r>
      <w:r>
        <w:rPr>
          <w:rStyle w:val="14"/>
          <w:rFonts w:hint="eastAsia" w:ascii="仿宋" w:hAnsi="仿宋" w:eastAsia="仿宋"/>
          <w:b w:val="0"/>
          <w:bCs/>
          <w:color w:val="000000"/>
          <w:sz w:val="32"/>
          <w:szCs w:val="32"/>
        </w:rPr>
        <w:t>支出决算为</w:t>
      </w:r>
      <w:r>
        <w:rPr>
          <w:rStyle w:val="14"/>
          <w:rFonts w:ascii="仿宋" w:hAnsi="仿宋" w:eastAsia="仿宋"/>
          <w:b w:val="0"/>
          <w:bCs/>
          <w:color w:val="000000"/>
          <w:sz w:val="32"/>
          <w:szCs w:val="32"/>
        </w:rPr>
        <w:t>286.69</w:t>
      </w:r>
      <w:r>
        <w:rPr>
          <w:rStyle w:val="14"/>
          <w:rFonts w:hint="eastAsia" w:ascii="仿宋" w:hAnsi="仿宋" w:eastAsia="仿宋"/>
          <w:b w:val="0"/>
          <w:bCs/>
          <w:color w:val="000000"/>
          <w:sz w:val="32"/>
          <w:szCs w:val="32"/>
        </w:rPr>
        <w:t>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spacing w:line="600" w:lineRule="exact"/>
        <w:ind w:firstLine="643" w:firstLineChars="200"/>
        <w:rPr>
          <w:rStyle w:val="14"/>
          <w:rFonts w:ascii="仿宋_GB2312" w:eastAsia="仿宋_GB2312"/>
          <w:color w:val="000000"/>
          <w:sz w:val="32"/>
          <w:szCs w:val="32"/>
        </w:rPr>
      </w:pPr>
      <w:r>
        <w:rPr>
          <w:rStyle w:val="14"/>
          <w:rFonts w:hint="eastAsia" w:ascii="仿宋" w:hAnsi="仿宋" w:eastAsia="仿宋"/>
          <w:bCs/>
          <w:color w:val="000000"/>
          <w:sz w:val="32"/>
          <w:szCs w:val="32"/>
        </w:rPr>
        <w:t>2010302一般公共服务支出（类）政府办公厅（室）及相关机构事务（款）一般行政管理事务（项）：</w:t>
      </w:r>
      <w:r>
        <w:rPr>
          <w:rStyle w:val="14"/>
          <w:rFonts w:hint="eastAsia" w:ascii="仿宋" w:hAnsi="仿宋" w:eastAsia="仿宋"/>
          <w:b w:val="0"/>
          <w:bCs/>
          <w:color w:val="000000"/>
          <w:sz w:val="32"/>
          <w:szCs w:val="32"/>
        </w:rPr>
        <w:t>支出决算为49.36万元，完成预算100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spacing w:line="600" w:lineRule="exact"/>
        <w:ind w:firstLine="643" w:firstLineChars="200"/>
        <w:rPr>
          <w:rStyle w:val="14"/>
          <w:rFonts w:ascii="仿宋" w:hAnsi="仿宋" w:eastAsia="仿宋"/>
          <w:b w:val="0"/>
          <w:bCs/>
          <w:color w:val="000000"/>
          <w:sz w:val="32"/>
          <w:szCs w:val="32"/>
        </w:rPr>
      </w:pPr>
      <w:r>
        <w:rPr>
          <w:rStyle w:val="14"/>
          <w:rFonts w:hint="eastAsia" w:ascii="仿宋" w:hAnsi="仿宋" w:eastAsia="仿宋"/>
          <w:bCs/>
          <w:color w:val="000000"/>
          <w:sz w:val="32"/>
          <w:szCs w:val="32"/>
        </w:rPr>
        <w:t>2010601一般公共服务支出（类）财政事务（款）行政运行（项）：</w:t>
      </w:r>
      <w:r>
        <w:rPr>
          <w:rStyle w:val="14"/>
          <w:rFonts w:hint="eastAsia" w:ascii="仿宋" w:hAnsi="仿宋" w:eastAsia="仿宋"/>
          <w:b w:val="0"/>
          <w:bCs/>
          <w:color w:val="000000"/>
          <w:sz w:val="32"/>
          <w:szCs w:val="32"/>
        </w:rPr>
        <w:t>支出决算为</w:t>
      </w:r>
      <w:r>
        <w:rPr>
          <w:rStyle w:val="14"/>
          <w:rFonts w:ascii="仿宋" w:hAnsi="仿宋" w:eastAsia="仿宋"/>
          <w:b w:val="0"/>
          <w:bCs/>
          <w:color w:val="000000"/>
          <w:sz w:val="32"/>
          <w:szCs w:val="32"/>
        </w:rPr>
        <w:t>23.02</w:t>
      </w:r>
      <w:r>
        <w:rPr>
          <w:rStyle w:val="14"/>
          <w:rFonts w:hint="eastAsia" w:ascii="仿宋" w:hAnsi="仿宋" w:eastAsia="仿宋"/>
          <w:b w:val="0"/>
          <w:bCs/>
          <w:color w:val="000000"/>
          <w:sz w:val="32"/>
          <w:szCs w:val="32"/>
        </w:rPr>
        <w:t>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spacing w:line="578" w:lineRule="exact"/>
        <w:ind w:firstLine="643" w:firstLineChars="200"/>
        <w:rPr>
          <w:rFonts w:ascii="仿宋_GB2312" w:eastAsia="仿宋_GB2312"/>
          <w:color w:val="000000"/>
          <w:sz w:val="32"/>
          <w:szCs w:val="32"/>
        </w:rPr>
      </w:pPr>
      <w:r>
        <w:rPr>
          <w:rStyle w:val="14"/>
          <w:rFonts w:hint="eastAsia" w:ascii="仿宋" w:hAnsi="仿宋" w:eastAsia="仿宋"/>
          <w:bCs/>
          <w:color w:val="000000"/>
          <w:sz w:val="32"/>
          <w:szCs w:val="32"/>
        </w:rPr>
        <w:t>2</w:t>
      </w:r>
      <w:r>
        <w:rPr>
          <w:rStyle w:val="14"/>
          <w:rFonts w:ascii="仿宋" w:hAnsi="仿宋" w:eastAsia="仿宋"/>
          <w:bCs/>
          <w:color w:val="000000"/>
          <w:sz w:val="32"/>
          <w:szCs w:val="32"/>
        </w:rPr>
        <w:t>.</w:t>
      </w:r>
      <w:r>
        <w:rPr>
          <w:rStyle w:val="14"/>
          <w:rFonts w:hint="eastAsia" w:ascii="仿宋_GB2312" w:eastAsia="仿宋_GB2312"/>
          <w:color w:val="000000"/>
          <w:sz w:val="32"/>
          <w:szCs w:val="32"/>
        </w:rPr>
        <w:t>文化体育与传媒类：</w:t>
      </w:r>
    </w:p>
    <w:p>
      <w:pPr>
        <w:spacing w:line="600" w:lineRule="exact"/>
        <w:ind w:firstLine="643" w:firstLineChars="200"/>
        <w:rPr>
          <w:rStyle w:val="14"/>
          <w:rFonts w:ascii="仿宋_GB2312" w:eastAsia="仿宋_GB2312"/>
          <w:color w:val="000000"/>
          <w:sz w:val="32"/>
          <w:szCs w:val="32"/>
        </w:rPr>
      </w:pPr>
      <w:r>
        <w:rPr>
          <w:rStyle w:val="14"/>
          <w:rFonts w:hint="eastAsia" w:ascii="仿宋_GB2312" w:eastAsia="仿宋_GB2312"/>
          <w:color w:val="000000"/>
          <w:sz w:val="32"/>
          <w:szCs w:val="32"/>
        </w:rPr>
        <w:t>2070199文化体育与传媒支出（类）文化（款）其他文化支出（项）：</w:t>
      </w:r>
      <w:r>
        <w:rPr>
          <w:rStyle w:val="14"/>
          <w:rFonts w:hint="eastAsia" w:ascii="仿宋" w:hAnsi="仿宋" w:eastAsia="仿宋"/>
          <w:b w:val="0"/>
          <w:bCs/>
          <w:color w:val="000000"/>
          <w:sz w:val="32"/>
          <w:szCs w:val="32"/>
        </w:rPr>
        <w:t>支出决算为</w:t>
      </w:r>
      <w:r>
        <w:rPr>
          <w:rStyle w:val="14"/>
          <w:rFonts w:ascii="仿宋" w:hAnsi="仿宋" w:eastAsia="仿宋"/>
          <w:b w:val="0"/>
          <w:bCs/>
          <w:color w:val="000000"/>
          <w:sz w:val="32"/>
          <w:szCs w:val="32"/>
        </w:rPr>
        <w:t>19.30</w:t>
      </w:r>
      <w:r>
        <w:rPr>
          <w:rStyle w:val="14"/>
          <w:rFonts w:hint="eastAsia" w:ascii="仿宋" w:hAnsi="仿宋" w:eastAsia="仿宋"/>
          <w:b w:val="0"/>
          <w:bCs/>
          <w:color w:val="000000"/>
          <w:sz w:val="32"/>
          <w:szCs w:val="32"/>
        </w:rPr>
        <w:t>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spacing w:line="600" w:lineRule="exact"/>
        <w:ind w:firstLine="643" w:firstLineChars="200"/>
        <w:rPr>
          <w:rFonts w:ascii="仿宋" w:hAnsi="仿宋" w:eastAsia="仿宋"/>
          <w:b/>
          <w:color w:val="000000"/>
          <w:sz w:val="32"/>
          <w:szCs w:val="32"/>
        </w:rPr>
      </w:pPr>
      <w:r>
        <w:rPr>
          <w:rStyle w:val="14"/>
          <w:rFonts w:hint="eastAsia" w:ascii="仿宋_GB2312" w:eastAsia="仿宋_GB2312"/>
          <w:color w:val="000000"/>
          <w:sz w:val="32"/>
          <w:szCs w:val="32"/>
        </w:rPr>
        <w:t>2070404文化体育与传媒支出（类）新闻出版广播影视（款）广播（项）：</w:t>
      </w:r>
      <w:r>
        <w:rPr>
          <w:rStyle w:val="14"/>
          <w:rFonts w:hint="eastAsia" w:ascii="仿宋" w:hAnsi="仿宋" w:eastAsia="仿宋"/>
          <w:b w:val="0"/>
          <w:bCs/>
          <w:color w:val="000000"/>
          <w:sz w:val="32"/>
          <w:szCs w:val="32"/>
        </w:rPr>
        <w:t>支出决算为</w:t>
      </w:r>
      <w:r>
        <w:rPr>
          <w:rStyle w:val="14"/>
          <w:rFonts w:ascii="仿宋" w:hAnsi="仿宋" w:eastAsia="仿宋"/>
          <w:b w:val="0"/>
          <w:bCs/>
          <w:color w:val="000000"/>
          <w:sz w:val="32"/>
          <w:szCs w:val="32"/>
        </w:rPr>
        <w:t>18.15</w:t>
      </w:r>
      <w:r>
        <w:rPr>
          <w:rStyle w:val="14"/>
          <w:rFonts w:hint="eastAsia" w:ascii="仿宋" w:hAnsi="仿宋" w:eastAsia="仿宋"/>
          <w:b w:val="0"/>
          <w:bCs/>
          <w:color w:val="000000"/>
          <w:sz w:val="32"/>
          <w:szCs w:val="32"/>
        </w:rPr>
        <w:t>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spacing w:line="578" w:lineRule="exact"/>
        <w:ind w:firstLine="643" w:firstLineChars="200"/>
        <w:rPr>
          <w:rStyle w:val="14"/>
          <w:rFonts w:ascii="仿宋_GB2312" w:eastAsia="仿宋_GB2312"/>
          <w:color w:val="000000"/>
          <w:sz w:val="32"/>
          <w:szCs w:val="32"/>
        </w:rPr>
      </w:pPr>
      <w:r>
        <w:rPr>
          <w:rStyle w:val="14"/>
          <w:rFonts w:hint="eastAsia" w:ascii="仿宋" w:hAnsi="仿宋" w:eastAsia="仿宋"/>
          <w:bCs/>
          <w:color w:val="000000"/>
          <w:sz w:val="32"/>
          <w:szCs w:val="32"/>
        </w:rPr>
        <w:t>3</w:t>
      </w:r>
      <w:r>
        <w:rPr>
          <w:rStyle w:val="14"/>
          <w:rFonts w:ascii="仿宋" w:hAnsi="仿宋" w:eastAsia="仿宋"/>
          <w:bCs/>
          <w:color w:val="000000"/>
          <w:sz w:val="32"/>
          <w:szCs w:val="32"/>
        </w:rPr>
        <w:t>.</w:t>
      </w:r>
      <w:r>
        <w:rPr>
          <w:rStyle w:val="14"/>
          <w:rFonts w:hint="eastAsia" w:ascii="仿宋_GB2312" w:eastAsia="仿宋_GB2312"/>
          <w:color w:val="000000"/>
          <w:sz w:val="32"/>
          <w:szCs w:val="32"/>
        </w:rPr>
        <w:t>社会保障和就业：</w:t>
      </w:r>
    </w:p>
    <w:p>
      <w:pPr>
        <w:spacing w:line="600" w:lineRule="exact"/>
        <w:ind w:firstLine="643" w:firstLineChars="200"/>
        <w:rPr>
          <w:rStyle w:val="14"/>
          <w:rFonts w:ascii="仿宋" w:hAnsi="仿宋" w:eastAsia="仿宋"/>
          <w:b w:val="0"/>
          <w:bCs/>
          <w:color w:val="000000"/>
          <w:sz w:val="32"/>
          <w:szCs w:val="32"/>
        </w:rPr>
      </w:pPr>
      <w:r>
        <w:rPr>
          <w:rStyle w:val="14"/>
          <w:rFonts w:hint="eastAsia" w:ascii="仿宋_GB2312" w:eastAsia="仿宋_GB2312"/>
          <w:color w:val="000000"/>
          <w:sz w:val="32"/>
          <w:szCs w:val="32"/>
        </w:rPr>
        <w:t>2080505社会保障和就业支出（类）行政事业单位离退休（款）机关事业单位基本养老保险缴费支出★（项）：</w:t>
      </w:r>
      <w:r>
        <w:rPr>
          <w:rStyle w:val="14"/>
          <w:rFonts w:hint="eastAsia" w:ascii="仿宋" w:hAnsi="仿宋" w:eastAsia="仿宋"/>
          <w:b w:val="0"/>
          <w:bCs/>
          <w:color w:val="000000"/>
          <w:sz w:val="32"/>
          <w:szCs w:val="32"/>
        </w:rPr>
        <w:t>支出决算为</w:t>
      </w:r>
      <w:r>
        <w:rPr>
          <w:rStyle w:val="14"/>
          <w:rFonts w:ascii="仿宋" w:hAnsi="仿宋" w:eastAsia="仿宋"/>
          <w:b w:val="0"/>
          <w:bCs/>
          <w:color w:val="000000"/>
          <w:sz w:val="32"/>
          <w:szCs w:val="32"/>
        </w:rPr>
        <w:t>30.92</w:t>
      </w:r>
      <w:r>
        <w:rPr>
          <w:rStyle w:val="14"/>
          <w:rFonts w:hint="eastAsia" w:ascii="仿宋" w:hAnsi="仿宋" w:eastAsia="仿宋"/>
          <w:b w:val="0"/>
          <w:bCs/>
          <w:color w:val="000000"/>
          <w:sz w:val="32"/>
          <w:szCs w:val="32"/>
        </w:rPr>
        <w:t>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spacing w:line="600" w:lineRule="exact"/>
        <w:ind w:firstLine="640" w:firstLineChars="200"/>
        <w:rPr>
          <w:rStyle w:val="14"/>
          <w:rFonts w:ascii="仿宋" w:hAnsi="仿宋" w:eastAsia="仿宋"/>
          <w:b w:val="0"/>
          <w:bCs/>
          <w:color w:val="000000"/>
          <w:sz w:val="32"/>
          <w:szCs w:val="32"/>
        </w:rPr>
      </w:pPr>
      <w:r>
        <w:rPr>
          <w:rStyle w:val="14"/>
          <w:rFonts w:hint="eastAsia" w:ascii="仿宋" w:hAnsi="仿宋" w:eastAsia="仿宋"/>
          <w:b w:val="0"/>
          <w:bCs/>
          <w:color w:val="000000"/>
          <w:sz w:val="32"/>
          <w:szCs w:val="32"/>
        </w:rPr>
        <w:t>2080506</w:t>
      </w:r>
      <w:r>
        <w:rPr>
          <w:rStyle w:val="14"/>
          <w:rFonts w:hint="eastAsia" w:ascii="仿宋_GB2312" w:eastAsia="仿宋_GB2312"/>
          <w:color w:val="000000"/>
          <w:sz w:val="32"/>
          <w:szCs w:val="32"/>
        </w:rPr>
        <w:t>社会保障和就业支出（类）行政事业单位离退休（款）机关事业单位职业年金缴费支出★（项）：</w:t>
      </w:r>
      <w:r>
        <w:rPr>
          <w:rStyle w:val="14"/>
          <w:rFonts w:hint="eastAsia" w:ascii="仿宋" w:hAnsi="仿宋" w:eastAsia="仿宋"/>
          <w:b w:val="0"/>
          <w:bCs/>
          <w:color w:val="000000"/>
          <w:sz w:val="32"/>
          <w:szCs w:val="32"/>
        </w:rPr>
        <w:t>支出决算为</w:t>
      </w:r>
      <w:r>
        <w:rPr>
          <w:rStyle w:val="14"/>
          <w:rFonts w:ascii="仿宋" w:hAnsi="仿宋" w:eastAsia="仿宋"/>
          <w:b w:val="0"/>
          <w:bCs/>
          <w:color w:val="000000"/>
          <w:sz w:val="32"/>
          <w:szCs w:val="32"/>
        </w:rPr>
        <w:t>2.92</w:t>
      </w:r>
      <w:r>
        <w:rPr>
          <w:rStyle w:val="14"/>
          <w:rFonts w:hint="eastAsia" w:ascii="仿宋" w:hAnsi="仿宋" w:eastAsia="仿宋"/>
          <w:b w:val="0"/>
          <w:bCs/>
          <w:color w:val="000000"/>
          <w:sz w:val="32"/>
          <w:szCs w:val="32"/>
        </w:rPr>
        <w:t>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spacing w:line="600" w:lineRule="exact"/>
        <w:ind w:firstLine="643" w:firstLineChars="200"/>
        <w:rPr>
          <w:rStyle w:val="14"/>
          <w:rFonts w:ascii="仿宋_GB2312" w:eastAsia="仿宋_GB2312"/>
          <w:color w:val="000000"/>
          <w:sz w:val="32"/>
          <w:szCs w:val="32"/>
        </w:rPr>
      </w:pPr>
      <w:r>
        <w:rPr>
          <w:rStyle w:val="14"/>
          <w:rFonts w:hint="eastAsia" w:ascii="仿宋_GB2312" w:eastAsia="仿宋_GB2312"/>
          <w:color w:val="000000"/>
          <w:sz w:val="32"/>
          <w:szCs w:val="32"/>
        </w:rPr>
        <w:t>2080801社会保障和就业支出（类）抚恤（款）死亡抚恤（项）：</w:t>
      </w:r>
      <w:r>
        <w:rPr>
          <w:rStyle w:val="14"/>
          <w:rFonts w:hint="eastAsia" w:ascii="仿宋" w:hAnsi="仿宋" w:eastAsia="仿宋"/>
          <w:b w:val="0"/>
          <w:bCs/>
          <w:color w:val="000000"/>
          <w:sz w:val="32"/>
          <w:szCs w:val="32"/>
        </w:rPr>
        <w:t>支出决算为</w:t>
      </w:r>
      <w:r>
        <w:rPr>
          <w:rStyle w:val="14"/>
          <w:rFonts w:ascii="仿宋" w:hAnsi="仿宋" w:eastAsia="仿宋"/>
          <w:b w:val="0"/>
          <w:bCs/>
          <w:color w:val="000000"/>
          <w:sz w:val="32"/>
          <w:szCs w:val="32"/>
        </w:rPr>
        <w:t>14.11</w:t>
      </w:r>
      <w:r>
        <w:rPr>
          <w:rStyle w:val="14"/>
          <w:rFonts w:hint="eastAsia" w:ascii="仿宋" w:hAnsi="仿宋" w:eastAsia="仿宋"/>
          <w:b w:val="0"/>
          <w:bCs/>
          <w:color w:val="000000"/>
          <w:sz w:val="32"/>
          <w:szCs w:val="32"/>
        </w:rPr>
        <w:t>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spacing w:line="600" w:lineRule="exact"/>
        <w:ind w:firstLine="643" w:firstLineChars="200"/>
        <w:rPr>
          <w:rStyle w:val="14"/>
          <w:rFonts w:ascii="仿宋_GB2312" w:eastAsia="仿宋_GB2312"/>
          <w:color w:val="000000"/>
          <w:sz w:val="32"/>
          <w:szCs w:val="32"/>
        </w:rPr>
      </w:pPr>
      <w:r>
        <w:rPr>
          <w:rStyle w:val="14"/>
          <w:rFonts w:hint="eastAsia" w:ascii="仿宋_GB2312" w:eastAsia="仿宋_GB2312"/>
          <w:color w:val="000000"/>
          <w:sz w:val="32"/>
          <w:szCs w:val="32"/>
        </w:rPr>
        <w:t>2080803社会保障和就业支出（类）抚恤（款）在乡复员退伍军人生活补助（项）：</w:t>
      </w:r>
      <w:r>
        <w:rPr>
          <w:rStyle w:val="14"/>
          <w:rFonts w:hint="eastAsia" w:ascii="仿宋" w:hAnsi="仿宋" w:eastAsia="仿宋"/>
          <w:b w:val="0"/>
          <w:bCs/>
          <w:color w:val="000000"/>
          <w:sz w:val="32"/>
          <w:szCs w:val="32"/>
        </w:rPr>
        <w:t>支出决算为</w:t>
      </w:r>
      <w:r>
        <w:rPr>
          <w:rStyle w:val="14"/>
          <w:rFonts w:ascii="仿宋" w:hAnsi="仿宋" w:eastAsia="仿宋"/>
          <w:b w:val="0"/>
          <w:bCs/>
          <w:color w:val="000000"/>
          <w:sz w:val="32"/>
          <w:szCs w:val="32"/>
        </w:rPr>
        <w:t>142.19</w:t>
      </w:r>
      <w:r>
        <w:rPr>
          <w:rStyle w:val="14"/>
          <w:rFonts w:hint="eastAsia" w:ascii="仿宋" w:hAnsi="仿宋" w:eastAsia="仿宋"/>
          <w:b w:val="0"/>
          <w:bCs/>
          <w:color w:val="000000"/>
          <w:sz w:val="32"/>
          <w:szCs w:val="32"/>
        </w:rPr>
        <w:t>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spacing w:line="600" w:lineRule="exact"/>
        <w:ind w:firstLine="643" w:firstLineChars="200"/>
        <w:rPr>
          <w:rStyle w:val="14"/>
          <w:rFonts w:ascii="仿宋_GB2312" w:eastAsia="仿宋_GB2312"/>
          <w:color w:val="000000"/>
          <w:sz w:val="32"/>
          <w:szCs w:val="32"/>
        </w:rPr>
      </w:pPr>
      <w:r>
        <w:rPr>
          <w:rStyle w:val="14"/>
          <w:rFonts w:hint="eastAsia" w:ascii="仿宋_GB2312" w:eastAsia="仿宋_GB2312"/>
          <w:color w:val="000000"/>
          <w:sz w:val="32"/>
          <w:szCs w:val="32"/>
        </w:rPr>
        <w:t>2080805社会保障和就业支出（类）抚恤（款）义务兵优待（项）：</w:t>
      </w:r>
      <w:r>
        <w:rPr>
          <w:rStyle w:val="14"/>
          <w:rFonts w:hint="eastAsia" w:ascii="仿宋" w:hAnsi="仿宋" w:eastAsia="仿宋"/>
          <w:b w:val="0"/>
          <w:bCs/>
          <w:color w:val="000000"/>
          <w:sz w:val="32"/>
          <w:szCs w:val="32"/>
        </w:rPr>
        <w:t>支出决算为</w:t>
      </w:r>
      <w:r>
        <w:rPr>
          <w:rStyle w:val="14"/>
          <w:rFonts w:ascii="仿宋" w:hAnsi="仿宋" w:eastAsia="仿宋"/>
          <w:b w:val="0"/>
          <w:bCs/>
          <w:color w:val="000000"/>
          <w:sz w:val="32"/>
          <w:szCs w:val="32"/>
        </w:rPr>
        <w:t>12.40</w:t>
      </w:r>
      <w:r>
        <w:rPr>
          <w:rStyle w:val="14"/>
          <w:rFonts w:hint="eastAsia" w:ascii="仿宋" w:hAnsi="仿宋" w:eastAsia="仿宋"/>
          <w:b w:val="0"/>
          <w:bCs/>
          <w:color w:val="000000"/>
          <w:sz w:val="32"/>
          <w:szCs w:val="32"/>
        </w:rPr>
        <w:t>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spacing w:line="600" w:lineRule="exact"/>
        <w:ind w:firstLine="643" w:firstLineChars="200"/>
        <w:rPr>
          <w:rStyle w:val="14"/>
          <w:rFonts w:ascii="仿宋_GB2312" w:eastAsia="仿宋_GB2312"/>
          <w:color w:val="000000"/>
          <w:sz w:val="32"/>
          <w:szCs w:val="32"/>
        </w:rPr>
      </w:pPr>
      <w:r>
        <w:rPr>
          <w:rStyle w:val="14"/>
          <w:rFonts w:hint="eastAsia" w:ascii="仿宋_GB2312" w:eastAsia="仿宋_GB2312"/>
          <w:color w:val="000000"/>
          <w:sz w:val="32"/>
          <w:szCs w:val="32"/>
        </w:rPr>
        <w:t>2081199社会保障和就业支出（类）残疾人事业（款）其他残疾人事业支出（项）：</w:t>
      </w:r>
      <w:r>
        <w:rPr>
          <w:rStyle w:val="14"/>
          <w:rFonts w:hint="eastAsia" w:ascii="仿宋" w:hAnsi="仿宋" w:eastAsia="仿宋"/>
          <w:b w:val="0"/>
          <w:bCs/>
          <w:color w:val="000000"/>
          <w:sz w:val="32"/>
          <w:szCs w:val="32"/>
        </w:rPr>
        <w:t>支出决算为</w:t>
      </w:r>
      <w:r>
        <w:rPr>
          <w:rStyle w:val="14"/>
          <w:rFonts w:ascii="仿宋" w:hAnsi="仿宋" w:eastAsia="仿宋"/>
          <w:b w:val="0"/>
          <w:bCs/>
          <w:color w:val="000000"/>
          <w:sz w:val="32"/>
          <w:szCs w:val="32"/>
        </w:rPr>
        <w:t>2.19</w:t>
      </w:r>
      <w:r>
        <w:rPr>
          <w:rStyle w:val="14"/>
          <w:rFonts w:hint="eastAsia" w:ascii="仿宋" w:hAnsi="仿宋" w:eastAsia="仿宋"/>
          <w:b w:val="0"/>
          <w:bCs/>
          <w:color w:val="000000"/>
          <w:sz w:val="32"/>
          <w:szCs w:val="32"/>
        </w:rPr>
        <w:t>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r>
        <w:rPr>
          <w:rStyle w:val="14"/>
          <w:rFonts w:hint="eastAsia" w:ascii="仿宋_GB2312" w:eastAsia="仿宋_GB2312"/>
          <w:color w:val="000000"/>
          <w:sz w:val="32"/>
          <w:szCs w:val="32"/>
        </w:rPr>
        <w:tab/>
      </w:r>
      <w:r>
        <w:rPr>
          <w:rStyle w:val="14"/>
          <w:rFonts w:hint="eastAsia" w:ascii="仿宋_GB2312" w:eastAsia="仿宋_GB2312"/>
          <w:color w:val="000000"/>
          <w:sz w:val="32"/>
          <w:szCs w:val="32"/>
        </w:rPr>
        <w:tab/>
      </w:r>
    </w:p>
    <w:p>
      <w:pPr>
        <w:spacing w:line="600" w:lineRule="exact"/>
        <w:ind w:firstLine="643" w:firstLineChars="200"/>
        <w:rPr>
          <w:rStyle w:val="14"/>
          <w:rFonts w:ascii="仿宋_GB2312" w:eastAsia="仿宋_GB2312"/>
          <w:color w:val="000000"/>
          <w:sz w:val="32"/>
          <w:szCs w:val="32"/>
        </w:rPr>
      </w:pPr>
      <w:r>
        <w:rPr>
          <w:rStyle w:val="14"/>
          <w:rFonts w:hint="eastAsia" w:ascii="仿宋_GB2312" w:eastAsia="仿宋_GB2312"/>
          <w:color w:val="000000"/>
          <w:sz w:val="32"/>
          <w:szCs w:val="32"/>
        </w:rPr>
        <w:t>2082102社会保障和就业支出（类）特困人员救助供养★（款）农村特困人员救助供养支出★（项）：</w:t>
      </w:r>
      <w:r>
        <w:rPr>
          <w:rStyle w:val="14"/>
          <w:rFonts w:hint="eastAsia" w:ascii="仿宋" w:hAnsi="仿宋" w:eastAsia="仿宋"/>
          <w:b w:val="0"/>
          <w:bCs/>
          <w:color w:val="000000"/>
          <w:sz w:val="32"/>
          <w:szCs w:val="32"/>
        </w:rPr>
        <w:t>支出决算为</w:t>
      </w:r>
      <w:r>
        <w:rPr>
          <w:rStyle w:val="14"/>
          <w:rFonts w:ascii="仿宋" w:hAnsi="仿宋" w:eastAsia="仿宋"/>
          <w:b w:val="0"/>
          <w:bCs/>
          <w:color w:val="000000"/>
          <w:sz w:val="32"/>
          <w:szCs w:val="32"/>
        </w:rPr>
        <w:t>75.48</w:t>
      </w:r>
      <w:r>
        <w:rPr>
          <w:rStyle w:val="14"/>
          <w:rFonts w:hint="eastAsia" w:ascii="仿宋" w:hAnsi="仿宋" w:eastAsia="仿宋"/>
          <w:b w:val="0"/>
          <w:bCs/>
          <w:color w:val="000000"/>
          <w:sz w:val="32"/>
          <w:szCs w:val="32"/>
        </w:rPr>
        <w:t>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spacing w:line="578" w:lineRule="exact"/>
        <w:ind w:firstLine="643" w:firstLineChars="200"/>
        <w:rPr>
          <w:rStyle w:val="14"/>
          <w:rFonts w:ascii="仿宋_GB2312" w:eastAsia="仿宋_GB2312"/>
          <w:color w:val="000000"/>
          <w:sz w:val="32"/>
          <w:szCs w:val="32"/>
        </w:rPr>
      </w:pPr>
      <w:r>
        <w:rPr>
          <w:rStyle w:val="14"/>
          <w:rFonts w:hint="eastAsia" w:ascii="仿宋" w:hAnsi="仿宋" w:eastAsia="仿宋"/>
          <w:bCs/>
          <w:color w:val="000000"/>
          <w:sz w:val="32"/>
          <w:szCs w:val="32"/>
        </w:rPr>
        <w:t>4</w:t>
      </w:r>
      <w:r>
        <w:rPr>
          <w:rStyle w:val="14"/>
          <w:rFonts w:ascii="仿宋" w:hAnsi="仿宋" w:eastAsia="仿宋"/>
          <w:bCs/>
          <w:color w:val="000000"/>
          <w:sz w:val="32"/>
          <w:szCs w:val="32"/>
        </w:rPr>
        <w:t>.</w:t>
      </w:r>
      <w:r>
        <w:rPr>
          <w:rStyle w:val="14"/>
          <w:rFonts w:hint="eastAsia" w:ascii="仿宋_GB2312" w:eastAsia="仿宋_GB2312"/>
          <w:color w:val="000000"/>
          <w:sz w:val="32"/>
          <w:szCs w:val="32"/>
        </w:rPr>
        <w:t>医疗卫生与计划生育：</w:t>
      </w:r>
    </w:p>
    <w:p>
      <w:pPr>
        <w:spacing w:line="600" w:lineRule="exact"/>
        <w:ind w:firstLine="643" w:firstLineChars="200"/>
        <w:rPr>
          <w:rStyle w:val="14"/>
          <w:rFonts w:ascii="仿宋_GB2312" w:eastAsia="仿宋_GB2312"/>
          <w:color w:val="000000"/>
          <w:sz w:val="32"/>
          <w:szCs w:val="32"/>
        </w:rPr>
      </w:pPr>
      <w:r>
        <w:rPr>
          <w:rStyle w:val="14"/>
          <w:rFonts w:hint="eastAsia" w:ascii="仿宋_GB2312" w:eastAsia="仿宋_GB2312"/>
          <w:color w:val="000000"/>
          <w:sz w:val="32"/>
          <w:szCs w:val="32"/>
        </w:rPr>
        <w:t>2100716医疗卫生与计划生育支出（类）计划生育事务（款）计划生育机构（项）：</w:t>
      </w:r>
      <w:r>
        <w:rPr>
          <w:rStyle w:val="14"/>
          <w:rFonts w:hint="eastAsia" w:ascii="仿宋" w:hAnsi="仿宋" w:eastAsia="仿宋"/>
          <w:b w:val="0"/>
          <w:bCs/>
          <w:color w:val="000000"/>
          <w:sz w:val="32"/>
          <w:szCs w:val="32"/>
        </w:rPr>
        <w:t>支出决算为20.48万元，完成预算100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spacing w:line="600" w:lineRule="exact"/>
        <w:ind w:firstLine="643" w:firstLineChars="200"/>
        <w:rPr>
          <w:rStyle w:val="14"/>
          <w:rFonts w:ascii="仿宋_GB2312" w:eastAsia="仿宋_GB2312"/>
          <w:color w:val="000000"/>
          <w:sz w:val="32"/>
          <w:szCs w:val="32"/>
        </w:rPr>
      </w:pPr>
      <w:r>
        <w:rPr>
          <w:rStyle w:val="14"/>
          <w:rFonts w:hint="eastAsia" w:ascii="仿宋_GB2312" w:eastAsia="仿宋_GB2312"/>
          <w:color w:val="000000"/>
          <w:sz w:val="32"/>
          <w:szCs w:val="32"/>
        </w:rPr>
        <w:t>2101101医疗卫生与计划生育支出（类）行政事业单位医疗（款）行政单位医疗（项）：</w:t>
      </w:r>
      <w:r>
        <w:rPr>
          <w:rStyle w:val="14"/>
          <w:rFonts w:hint="eastAsia" w:ascii="仿宋" w:hAnsi="仿宋" w:eastAsia="仿宋"/>
          <w:b w:val="0"/>
          <w:bCs/>
          <w:color w:val="000000"/>
          <w:sz w:val="32"/>
          <w:szCs w:val="32"/>
        </w:rPr>
        <w:t>支出决算为</w:t>
      </w:r>
      <w:r>
        <w:rPr>
          <w:rStyle w:val="14"/>
          <w:rFonts w:ascii="仿宋" w:hAnsi="仿宋" w:eastAsia="仿宋"/>
          <w:b w:val="0"/>
          <w:bCs/>
          <w:color w:val="000000"/>
          <w:sz w:val="32"/>
          <w:szCs w:val="32"/>
        </w:rPr>
        <w:t>17.32</w:t>
      </w:r>
      <w:r>
        <w:rPr>
          <w:rStyle w:val="14"/>
          <w:rFonts w:hint="eastAsia" w:ascii="仿宋" w:hAnsi="仿宋" w:eastAsia="仿宋"/>
          <w:b w:val="0"/>
          <w:bCs/>
          <w:color w:val="000000"/>
          <w:sz w:val="32"/>
          <w:szCs w:val="32"/>
        </w:rPr>
        <w:t>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spacing w:line="600" w:lineRule="exact"/>
        <w:ind w:firstLine="643" w:firstLineChars="200"/>
        <w:rPr>
          <w:rStyle w:val="14"/>
          <w:rFonts w:ascii="仿宋" w:hAnsi="仿宋" w:eastAsia="仿宋"/>
          <w:b w:val="0"/>
          <w:bCs/>
          <w:color w:val="000000"/>
          <w:sz w:val="32"/>
          <w:szCs w:val="32"/>
        </w:rPr>
      </w:pPr>
      <w:r>
        <w:rPr>
          <w:rStyle w:val="14"/>
          <w:rFonts w:hint="eastAsia" w:ascii="仿宋_GB2312" w:eastAsia="仿宋_GB2312"/>
          <w:color w:val="000000"/>
          <w:sz w:val="32"/>
          <w:szCs w:val="32"/>
        </w:rPr>
        <w:t>2101102医疗卫生与计划生育支出（类）行政事业单位医疗（款）事业单位医疗（项）：</w:t>
      </w:r>
      <w:r>
        <w:rPr>
          <w:rStyle w:val="14"/>
          <w:rFonts w:hint="eastAsia" w:ascii="仿宋" w:hAnsi="仿宋" w:eastAsia="仿宋"/>
          <w:b w:val="0"/>
          <w:bCs/>
          <w:color w:val="000000"/>
          <w:sz w:val="32"/>
          <w:szCs w:val="32"/>
        </w:rPr>
        <w:t>支出决算为</w:t>
      </w:r>
      <w:r>
        <w:rPr>
          <w:rStyle w:val="14"/>
          <w:rFonts w:ascii="仿宋" w:hAnsi="仿宋" w:eastAsia="仿宋"/>
          <w:b w:val="0"/>
          <w:bCs/>
          <w:color w:val="000000"/>
          <w:sz w:val="32"/>
          <w:szCs w:val="32"/>
        </w:rPr>
        <w:t>13.10</w:t>
      </w:r>
      <w:r>
        <w:rPr>
          <w:rStyle w:val="14"/>
          <w:rFonts w:hint="eastAsia" w:ascii="仿宋" w:hAnsi="仿宋" w:eastAsia="仿宋"/>
          <w:b w:val="0"/>
          <w:bCs/>
          <w:color w:val="000000"/>
          <w:sz w:val="32"/>
          <w:szCs w:val="32"/>
        </w:rPr>
        <w:t>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spacing w:line="600" w:lineRule="exact"/>
        <w:ind w:firstLine="643" w:firstLineChars="200"/>
        <w:rPr>
          <w:rStyle w:val="14"/>
          <w:rFonts w:ascii="仿宋" w:hAnsi="仿宋" w:eastAsia="仿宋"/>
          <w:b w:val="0"/>
          <w:bCs/>
          <w:color w:val="000000"/>
          <w:sz w:val="32"/>
          <w:szCs w:val="32"/>
        </w:rPr>
      </w:pPr>
      <w:r>
        <w:rPr>
          <w:rStyle w:val="14"/>
          <w:rFonts w:hint="eastAsia" w:ascii="仿宋_GB2312" w:eastAsia="仿宋_GB2312"/>
          <w:color w:val="000000"/>
          <w:sz w:val="32"/>
          <w:szCs w:val="32"/>
        </w:rPr>
        <w:t>2101102医疗卫生与计划生育支出（类）行政事业单位医疗（款）公务员医疗补助★（项）：</w:t>
      </w:r>
      <w:r>
        <w:rPr>
          <w:rStyle w:val="14"/>
          <w:rFonts w:hint="eastAsia" w:ascii="仿宋" w:hAnsi="仿宋" w:eastAsia="仿宋"/>
          <w:b w:val="0"/>
          <w:bCs/>
          <w:color w:val="000000"/>
          <w:sz w:val="32"/>
          <w:szCs w:val="32"/>
        </w:rPr>
        <w:t>支出决算为</w:t>
      </w:r>
      <w:r>
        <w:rPr>
          <w:rStyle w:val="14"/>
          <w:rFonts w:ascii="仿宋" w:hAnsi="仿宋" w:eastAsia="仿宋"/>
          <w:b w:val="0"/>
          <w:bCs/>
          <w:color w:val="000000"/>
          <w:sz w:val="32"/>
          <w:szCs w:val="32"/>
        </w:rPr>
        <w:t>3.</w:t>
      </w:r>
      <w:r>
        <w:rPr>
          <w:rStyle w:val="14"/>
          <w:rFonts w:hint="eastAsia" w:ascii="仿宋" w:hAnsi="仿宋" w:eastAsia="仿宋"/>
          <w:b w:val="0"/>
          <w:bCs/>
          <w:color w:val="000000"/>
          <w:sz w:val="32"/>
          <w:szCs w:val="32"/>
        </w:rPr>
        <w:t>94万元，完成预算100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spacing w:line="578" w:lineRule="exact"/>
        <w:ind w:firstLine="643" w:firstLineChars="200"/>
        <w:rPr>
          <w:rStyle w:val="14"/>
          <w:rFonts w:ascii="仿宋_GB2312" w:eastAsia="仿宋_GB2312"/>
          <w:color w:val="000000"/>
          <w:sz w:val="32"/>
          <w:szCs w:val="32"/>
        </w:rPr>
      </w:pPr>
      <w:r>
        <w:rPr>
          <w:rStyle w:val="14"/>
          <w:rFonts w:hint="eastAsia" w:ascii="仿宋_GB2312" w:eastAsia="仿宋_GB2312"/>
          <w:color w:val="000000"/>
          <w:sz w:val="32"/>
          <w:szCs w:val="32"/>
        </w:rPr>
        <w:t>5.城乡社区支出：</w:t>
      </w:r>
    </w:p>
    <w:p>
      <w:pPr>
        <w:spacing w:line="600" w:lineRule="exact"/>
        <w:ind w:firstLine="643" w:firstLineChars="200"/>
        <w:rPr>
          <w:rStyle w:val="14"/>
          <w:rFonts w:ascii="仿宋_GB2312" w:eastAsia="仿宋_GB2312"/>
          <w:color w:val="000000"/>
          <w:sz w:val="32"/>
          <w:szCs w:val="32"/>
        </w:rPr>
      </w:pPr>
      <w:r>
        <w:rPr>
          <w:rStyle w:val="14"/>
          <w:rFonts w:hint="eastAsia" w:ascii="仿宋_GB2312" w:eastAsia="仿宋_GB2312"/>
          <w:color w:val="000000"/>
          <w:sz w:val="32"/>
          <w:szCs w:val="32"/>
        </w:rPr>
        <w:t>2119901节能环保支出（类）其他节能环保支出（款）    其他节能环保支出（项）：</w:t>
      </w:r>
      <w:r>
        <w:rPr>
          <w:rStyle w:val="14"/>
          <w:rFonts w:hint="eastAsia" w:ascii="仿宋" w:hAnsi="仿宋" w:eastAsia="仿宋"/>
          <w:b w:val="0"/>
          <w:bCs/>
          <w:color w:val="000000"/>
          <w:sz w:val="32"/>
          <w:szCs w:val="32"/>
        </w:rPr>
        <w:t>支出决算为</w:t>
      </w:r>
      <w:r>
        <w:rPr>
          <w:rStyle w:val="14"/>
          <w:rFonts w:ascii="仿宋" w:hAnsi="仿宋" w:eastAsia="仿宋"/>
          <w:b w:val="0"/>
          <w:bCs/>
          <w:color w:val="000000"/>
          <w:sz w:val="32"/>
          <w:szCs w:val="32"/>
        </w:rPr>
        <w:t>12.00</w:t>
      </w:r>
      <w:r>
        <w:rPr>
          <w:rStyle w:val="14"/>
          <w:rFonts w:hint="eastAsia" w:ascii="仿宋" w:hAnsi="仿宋" w:eastAsia="仿宋"/>
          <w:b w:val="0"/>
          <w:bCs/>
          <w:color w:val="000000"/>
          <w:sz w:val="32"/>
          <w:szCs w:val="32"/>
        </w:rPr>
        <w:t>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spacing w:line="600" w:lineRule="exact"/>
        <w:ind w:firstLine="643" w:firstLineChars="200"/>
        <w:rPr>
          <w:rFonts w:ascii="仿宋_GB2312" w:eastAsia="仿宋_GB2312"/>
          <w:color w:val="000000"/>
          <w:sz w:val="32"/>
          <w:szCs w:val="32"/>
        </w:rPr>
      </w:pPr>
      <w:r>
        <w:rPr>
          <w:rStyle w:val="14"/>
          <w:rFonts w:hint="eastAsia" w:ascii="仿宋_GB2312" w:eastAsia="仿宋_GB2312"/>
          <w:color w:val="000000"/>
          <w:sz w:val="32"/>
          <w:szCs w:val="32"/>
        </w:rPr>
        <w:t>2129999城乡社区支出（类）其他城乡社区支出（款）其他城乡社区支出（项）：</w:t>
      </w:r>
      <w:r>
        <w:rPr>
          <w:rStyle w:val="14"/>
          <w:rFonts w:hint="eastAsia" w:ascii="仿宋" w:hAnsi="仿宋" w:eastAsia="仿宋"/>
          <w:b w:val="0"/>
          <w:bCs/>
          <w:color w:val="000000"/>
          <w:sz w:val="32"/>
          <w:szCs w:val="32"/>
        </w:rPr>
        <w:t>支出决算为</w:t>
      </w:r>
      <w:r>
        <w:rPr>
          <w:rStyle w:val="14"/>
          <w:rFonts w:ascii="仿宋" w:hAnsi="仿宋" w:eastAsia="仿宋"/>
          <w:b w:val="0"/>
          <w:bCs/>
          <w:color w:val="000000"/>
          <w:sz w:val="32"/>
          <w:szCs w:val="32"/>
        </w:rPr>
        <w:t>24.64</w:t>
      </w:r>
      <w:r>
        <w:rPr>
          <w:rStyle w:val="14"/>
          <w:rFonts w:hint="eastAsia" w:ascii="仿宋" w:hAnsi="仿宋" w:eastAsia="仿宋"/>
          <w:b w:val="0"/>
          <w:bCs/>
          <w:color w:val="000000"/>
          <w:sz w:val="32"/>
          <w:szCs w:val="32"/>
        </w:rPr>
        <w:t>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spacing w:line="600" w:lineRule="exact"/>
        <w:ind w:firstLine="643" w:firstLineChars="200"/>
        <w:rPr>
          <w:rStyle w:val="14"/>
          <w:rFonts w:ascii="仿宋_GB2312" w:eastAsia="仿宋_GB2312"/>
          <w:color w:val="000000"/>
          <w:sz w:val="32"/>
          <w:szCs w:val="32"/>
        </w:rPr>
      </w:pPr>
      <w:r>
        <w:rPr>
          <w:rStyle w:val="14"/>
          <w:rFonts w:hint="eastAsia" w:ascii="仿宋_GB2312" w:eastAsia="仿宋_GB2312"/>
          <w:color w:val="000000"/>
          <w:sz w:val="32"/>
          <w:szCs w:val="32"/>
        </w:rPr>
        <w:t>6.农林水支出：</w:t>
      </w:r>
    </w:p>
    <w:p>
      <w:pPr>
        <w:spacing w:line="600" w:lineRule="exact"/>
        <w:ind w:firstLine="643" w:firstLineChars="200"/>
        <w:rPr>
          <w:rStyle w:val="14"/>
          <w:rFonts w:ascii="仿宋_GB2312" w:eastAsia="仿宋_GB2312"/>
          <w:color w:val="000000"/>
          <w:sz w:val="32"/>
          <w:szCs w:val="32"/>
        </w:rPr>
      </w:pPr>
      <w:r>
        <w:rPr>
          <w:rStyle w:val="14"/>
          <w:rFonts w:hint="eastAsia" w:ascii="仿宋_GB2312" w:eastAsia="仿宋_GB2312"/>
          <w:color w:val="000000"/>
          <w:sz w:val="32"/>
          <w:szCs w:val="32"/>
        </w:rPr>
        <w:t>2130104农林水支出（类）农业（款）事业运行（项）：</w:t>
      </w:r>
      <w:r>
        <w:rPr>
          <w:rStyle w:val="14"/>
          <w:rFonts w:hint="eastAsia" w:ascii="仿宋" w:hAnsi="仿宋" w:eastAsia="仿宋"/>
          <w:b w:val="0"/>
          <w:bCs/>
          <w:color w:val="000000"/>
          <w:sz w:val="32"/>
          <w:szCs w:val="32"/>
        </w:rPr>
        <w:t>支出决算为</w:t>
      </w:r>
      <w:r>
        <w:rPr>
          <w:rStyle w:val="14"/>
          <w:rFonts w:ascii="仿宋" w:hAnsi="仿宋" w:eastAsia="仿宋"/>
          <w:b w:val="0"/>
          <w:bCs/>
          <w:color w:val="000000"/>
          <w:sz w:val="32"/>
          <w:szCs w:val="32"/>
        </w:rPr>
        <w:t>25.84</w:t>
      </w:r>
      <w:r>
        <w:rPr>
          <w:rStyle w:val="14"/>
          <w:rFonts w:hint="eastAsia" w:ascii="仿宋" w:hAnsi="仿宋" w:eastAsia="仿宋"/>
          <w:b w:val="0"/>
          <w:bCs/>
          <w:color w:val="000000"/>
          <w:sz w:val="32"/>
          <w:szCs w:val="32"/>
        </w:rPr>
        <w:t>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spacing w:line="600" w:lineRule="exact"/>
        <w:ind w:firstLine="643" w:firstLineChars="200"/>
        <w:rPr>
          <w:rStyle w:val="14"/>
          <w:rFonts w:ascii="仿宋_GB2312" w:eastAsia="仿宋_GB2312"/>
          <w:color w:val="000000"/>
          <w:sz w:val="32"/>
          <w:szCs w:val="32"/>
        </w:rPr>
      </w:pPr>
      <w:r>
        <w:rPr>
          <w:rStyle w:val="14"/>
          <w:rFonts w:hint="eastAsia" w:ascii="仿宋_GB2312" w:eastAsia="仿宋_GB2312"/>
          <w:color w:val="000000"/>
          <w:sz w:val="32"/>
          <w:szCs w:val="32"/>
        </w:rPr>
        <w:t>2130142农林水支出（类）农业（款）农村道路建设（项）：</w:t>
      </w:r>
      <w:r>
        <w:rPr>
          <w:rStyle w:val="14"/>
          <w:rFonts w:hint="eastAsia" w:ascii="仿宋" w:hAnsi="仿宋" w:eastAsia="仿宋"/>
          <w:b w:val="0"/>
          <w:bCs/>
          <w:color w:val="000000"/>
          <w:sz w:val="32"/>
          <w:szCs w:val="32"/>
        </w:rPr>
        <w:t>支出决算为</w:t>
      </w:r>
      <w:r>
        <w:rPr>
          <w:rStyle w:val="14"/>
          <w:rFonts w:ascii="仿宋" w:hAnsi="仿宋" w:eastAsia="仿宋"/>
          <w:b w:val="0"/>
          <w:bCs/>
          <w:color w:val="000000"/>
          <w:sz w:val="32"/>
          <w:szCs w:val="32"/>
        </w:rPr>
        <w:t>18.00</w:t>
      </w:r>
      <w:r>
        <w:rPr>
          <w:rStyle w:val="14"/>
          <w:rFonts w:hint="eastAsia" w:ascii="仿宋" w:hAnsi="仿宋" w:eastAsia="仿宋"/>
          <w:b w:val="0"/>
          <w:bCs/>
          <w:color w:val="000000"/>
          <w:sz w:val="32"/>
          <w:szCs w:val="32"/>
        </w:rPr>
        <w:t>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spacing w:line="600" w:lineRule="exact"/>
        <w:ind w:firstLine="643" w:firstLineChars="200"/>
        <w:rPr>
          <w:rStyle w:val="14"/>
          <w:rFonts w:ascii="仿宋_GB2312" w:eastAsia="仿宋_GB2312"/>
          <w:color w:val="000000"/>
          <w:sz w:val="32"/>
          <w:szCs w:val="32"/>
        </w:rPr>
      </w:pPr>
      <w:r>
        <w:rPr>
          <w:rStyle w:val="14"/>
          <w:rFonts w:hint="eastAsia" w:ascii="仿宋_GB2312" w:eastAsia="仿宋_GB2312"/>
          <w:color w:val="000000"/>
          <w:sz w:val="32"/>
          <w:szCs w:val="32"/>
        </w:rPr>
        <w:t>2130599 农林水支出（类）扶贫（款）其他扶贫支出（项）：</w:t>
      </w:r>
      <w:r>
        <w:rPr>
          <w:rStyle w:val="14"/>
          <w:rFonts w:hint="eastAsia" w:ascii="仿宋" w:hAnsi="仿宋" w:eastAsia="仿宋"/>
          <w:b w:val="0"/>
          <w:bCs/>
          <w:color w:val="000000"/>
          <w:sz w:val="32"/>
          <w:szCs w:val="32"/>
        </w:rPr>
        <w:t>支出决算为</w:t>
      </w:r>
      <w:r>
        <w:rPr>
          <w:rStyle w:val="14"/>
          <w:rFonts w:ascii="仿宋" w:hAnsi="仿宋" w:eastAsia="仿宋"/>
          <w:b w:val="0"/>
          <w:bCs/>
          <w:color w:val="000000"/>
          <w:sz w:val="32"/>
          <w:szCs w:val="32"/>
        </w:rPr>
        <w:t>15.00</w:t>
      </w:r>
      <w:r>
        <w:rPr>
          <w:rStyle w:val="14"/>
          <w:rFonts w:hint="eastAsia" w:ascii="仿宋" w:hAnsi="仿宋" w:eastAsia="仿宋"/>
          <w:b w:val="0"/>
          <w:bCs/>
          <w:color w:val="000000"/>
          <w:sz w:val="32"/>
          <w:szCs w:val="32"/>
        </w:rPr>
        <w:t>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spacing w:line="600" w:lineRule="exact"/>
        <w:ind w:firstLine="643" w:firstLineChars="200"/>
        <w:rPr>
          <w:rStyle w:val="14"/>
          <w:rFonts w:ascii="仿宋_GB2312" w:eastAsia="仿宋_GB2312"/>
          <w:color w:val="000000"/>
          <w:sz w:val="32"/>
          <w:szCs w:val="32"/>
        </w:rPr>
      </w:pPr>
      <w:r>
        <w:rPr>
          <w:rStyle w:val="14"/>
          <w:rFonts w:ascii="仿宋_GB2312" w:eastAsia="仿宋_GB2312"/>
          <w:color w:val="000000"/>
          <w:sz w:val="32"/>
          <w:szCs w:val="32"/>
        </w:rPr>
        <w:t>2130335</w:t>
      </w:r>
      <w:r>
        <w:rPr>
          <w:rStyle w:val="14"/>
          <w:rFonts w:hint="eastAsia" w:ascii="仿宋_GB2312" w:eastAsia="仿宋_GB2312"/>
          <w:color w:val="000000"/>
          <w:sz w:val="32"/>
          <w:szCs w:val="32"/>
        </w:rPr>
        <w:t>水利（类）  农村人畜饮水（项）：</w:t>
      </w:r>
      <w:r>
        <w:rPr>
          <w:rStyle w:val="14"/>
          <w:rFonts w:hint="eastAsia" w:ascii="仿宋" w:hAnsi="仿宋" w:eastAsia="仿宋"/>
          <w:b w:val="0"/>
          <w:bCs/>
          <w:color w:val="000000"/>
          <w:sz w:val="32"/>
          <w:szCs w:val="32"/>
        </w:rPr>
        <w:t>支出决算为10万元，完成预算100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spacing w:line="600" w:lineRule="exact"/>
        <w:ind w:firstLine="643" w:firstLineChars="200"/>
        <w:rPr>
          <w:rStyle w:val="14"/>
          <w:rFonts w:ascii="仿宋_GB2312" w:eastAsia="仿宋_GB2312"/>
          <w:color w:val="000000"/>
          <w:sz w:val="32"/>
          <w:szCs w:val="32"/>
        </w:rPr>
      </w:pPr>
      <w:r>
        <w:rPr>
          <w:rStyle w:val="14"/>
          <w:rFonts w:hint="eastAsia" w:ascii="仿宋_GB2312" w:eastAsia="仿宋_GB2312"/>
          <w:color w:val="000000"/>
          <w:sz w:val="32"/>
          <w:szCs w:val="32"/>
        </w:rPr>
        <w:t>2130701 农林水支出（类）农村综合改革（款）对村级一事一议的补助（项）：</w:t>
      </w:r>
      <w:r>
        <w:rPr>
          <w:rStyle w:val="14"/>
          <w:rFonts w:hint="eastAsia" w:ascii="仿宋" w:hAnsi="仿宋" w:eastAsia="仿宋"/>
          <w:b w:val="0"/>
          <w:bCs/>
          <w:color w:val="000000"/>
          <w:sz w:val="32"/>
          <w:szCs w:val="32"/>
        </w:rPr>
        <w:t>支出决算为</w:t>
      </w:r>
      <w:r>
        <w:rPr>
          <w:rStyle w:val="14"/>
          <w:rFonts w:ascii="仿宋" w:hAnsi="仿宋" w:eastAsia="仿宋"/>
          <w:b w:val="0"/>
          <w:bCs/>
          <w:color w:val="000000"/>
          <w:sz w:val="32"/>
          <w:szCs w:val="32"/>
        </w:rPr>
        <w:t>59.00</w:t>
      </w:r>
      <w:r>
        <w:rPr>
          <w:rStyle w:val="14"/>
          <w:rFonts w:hint="eastAsia" w:ascii="仿宋" w:hAnsi="仿宋" w:eastAsia="仿宋"/>
          <w:b w:val="0"/>
          <w:bCs/>
          <w:color w:val="000000"/>
          <w:sz w:val="32"/>
          <w:szCs w:val="32"/>
        </w:rPr>
        <w:t>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spacing w:line="600" w:lineRule="exact"/>
        <w:ind w:firstLine="643" w:firstLineChars="200"/>
        <w:rPr>
          <w:rStyle w:val="14"/>
          <w:rFonts w:ascii="仿宋_GB2312" w:eastAsia="仿宋_GB2312"/>
          <w:color w:val="000000"/>
          <w:sz w:val="32"/>
          <w:szCs w:val="32"/>
        </w:rPr>
      </w:pPr>
      <w:r>
        <w:rPr>
          <w:rStyle w:val="14"/>
          <w:rFonts w:hint="eastAsia" w:ascii="仿宋_GB2312" w:eastAsia="仿宋_GB2312"/>
          <w:color w:val="000000"/>
          <w:sz w:val="32"/>
          <w:szCs w:val="32"/>
        </w:rPr>
        <w:t>2130705农林水支出（类）农村综合改革（款）对村民委员会和村党支部的补助（项：</w:t>
      </w:r>
      <w:r>
        <w:rPr>
          <w:rStyle w:val="14"/>
          <w:rFonts w:hint="eastAsia" w:ascii="仿宋" w:hAnsi="仿宋" w:eastAsia="仿宋"/>
          <w:b w:val="0"/>
          <w:bCs/>
          <w:color w:val="000000"/>
          <w:sz w:val="32"/>
          <w:szCs w:val="32"/>
        </w:rPr>
        <w:t>支出决算为</w:t>
      </w:r>
      <w:r>
        <w:rPr>
          <w:rStyle w:val="14"/>
          <w:rFonts w:ascii="仿宋" w:hAnsi="仿宋" w:eastAsia="仿宋"/>
          <w:b w:val="0"/>
          <w:bCs/>
          <w:color w:val="000000"/>
          <w:sz w:val="32"/>
          <w:szCs w:val="32"/>
        </w:rPr>
        <w:t>140.54</w:t>
      </w:r>
      <w:r>
        <w:rPr>
          <w:rStyle w:val="14"/>
          <w:rFonts w:hint="eastAsia" w:ascii="仿宋" w:hAnsi="仿宋" w:eastAsia="仿宋"/>
          <w:b w:val="0"/>
          <w:bCs/>
          <w:color w:val="000000"/>
          <w:sz w:val="32"/>
          <w:szCs w:val="32"/>
        </w:rPr>
        <w:t>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spacing w:line="578" w:lineRule="exact"/>
        <w:ind w:firstLine="643" w:firstLineChars="200"/>
        <w:rPr>
          <w:rStyle w:val="14"/>
          <w:rFonts w:ascii="仿宋_GB2312" w:eastAsia="仿宋_GB2312"/>
          <w:bCs/>
          <w:color w:val="000000"/>
          <w:sz w:val="32"/>
          <w:szCs w:val="32"/>
        </w:rPr>
      </w:pPr>
      <w:r>
        <w:rPr>
          <w:rStyle w:val="14"/>
          <w:rFonts w:hint="eastAsia" w:ascii="仿宋_GB2312" w:eastAsia="仿宋_GB2312"/>
          <w:bCs/>
          <w:color w:val="000000"/>
          <w:sz w:val="32"/>
          <w:szCs w:val="32"/>
        </w:rPr>
        <w:t>7.住房保障支出：</w:t>
      </w:r>
    </w:p>
    <w:p>
      <w:pPr>
        <w:spacing w:line="600" w:lineRule="exact"/>
        <w:ind w:firstLine="643" w:firstLineChars="200"/>
        <w:rPr>
          <w:rFonts w:ascii="仿宋" w:hAnsi="仿宋" w:eastAsia="仿宋"/>
          <w:color w:val="000000"/>
          <w:sz w:val="32"/>
          <w:szCs w:val="32"/>
        </w:rPr>
      </w:pPr>
      <w:r>
        <w:rPr>
          <w:rStyle w:val="14"/>
          <w:rFonts w:hint="eastAsia" w:ascii="仿宋_GB2312" w:eastAsia="仿宋_GB2312"/>
          <w:bCs/>
          <w:color w:val="000000"/>
          <w:sz w:val="32"/>
          <w:szCs w:val="32"/>
        </w:rPr>
        <w:t>2210201住房保障支出（类）住房改革支出（款）住房公积金（项）</w:t>
      </w:r>
      <w:r>
        <w:rPr>
          <w:rStyle w:val="14"/>
          <w:rFonts w:hint="eastAsia" w:ascii="仿宋_GB2312" w:eastAsia="仿宋_GB2312"/>
          <w:color w:val="000000"/>
          <w:sz w:val="32"/>
          <w:szCs w:val="32"/>
        </w:rPr>
        <w:t>：</w:t>
      </w:r>
      <w:r>
        <w:rPr>
          <w:rStyle w:val="14"/>
          <w:rFonts w:hint="eastAsia" w:ascii="仿宋" w:hAnsi="仿宋" w:eastAsia="仿宋"/>
          <w:b w:val="0"/>
          <w:bCs/>
          <w:color w:val="000000"/>
          <w:sz w:val="32"/>
          <w:szCs w:val="32"/>
        </w:rPr>
        <w:t>支出决算为</w:t>
      </w:r>
      <w:r>
        <w:rPr>
          <w:rStyle w:val="14"/>
          <w:rFonts w:ascii="仿宋" w:hAnsi="仿宋" w:eastAsia="仿宋"/>
          <w:b w:val="0"/>
          <w:bCs/>
          <w:color w:val="000000"/>
          <w:sz w:val="32"/>
          <w:szCs w:val="32"/>
        </w:rPr>
        <w:t>25.11</w:t>
      </w:r>
      <w:r>
        <w:rPr>
          <w:rStyle w:val="14"/>
          <w:rFonts w:hint="eastAsia" w:ascii="仿宋" w:hAnsi="仿宋" w:eastAsia="仿宋"/>
          <w:b w:val="0"/>
          <w:bCs/>
          <w:color w:val="000000"/>
          <w:sz w:val="32"/>
          <w:szCs w:val="32"/>
        </w:rPr>
        <w:t>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tabs>
          <w:tab w:val="right" w:pos="8306"/>
        </w:tabs>
        <w:spacing w:line="600" w:lineRule="exact"/>
        <w:ind w:firstLine="640"/>
        <w:outlineLvl w:val="1"/>
        <w:rPr>
          <w:rStyle w:val="25"/>
        </w:rPr>
      </w:pPr>
      <w:bookmarkStart w:id="40" w:name="_Toc15377214"/>
      <w:bookmarkStart w:id="41"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40"/>
      <w:bookmarkEnd w:id="41"/>
      <w:r>
        <w:rPr>
          <w:rStyle w:val="25"/>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8年一般公共预算财政拨款基本支出806.57万元，其中：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646.27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公用经费160.30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5"/>
          <w:rFonts w:ascii="黑体" w:hAnsi="黑体" w:eastAsia="黑体"/>
          <w:b w:val="0"/>
        </w:rPr>
      </w:pPr>
      <w:bookmarkStart w:id="42" w:name="_Toc15377215"/>
      <w:bookmarkStart w:id="43" w:name="_Toc15396609"/>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8年“三公”经费财政拨款支出决算为13.69万元，完成预算100</w:t>
      </w:r>
      <w:r>
        <w:rPr>
          <w:rFonts w:ascii="仿宋" w:hAnsi="仿宋" w:eastAsia="仿宋"/>
          <w:color w:val="000000"/>
          <w:sz w:val="32"/>
          <w:szCs w:val="32"/>
        </w:rPr>
        <w:t>%</w:t>
      </w:r>
      <w:r>
        <w:rPr>
          <w:rFonts w:hint="eastAsia" w:ascii="仿宋" w:hAnsi="仿宋" w:eastAsia="仿宋"/>
          <w:color w:val="000000"/>
          <w:sz w:val="32"/>
          <w:szCs w:val="32"/>
        </w:rPr>
        <w:t>，决算数与预算数持平。</w:t>
      </w:r>
    </w:p>
    <w:p>
      <w:pPr>
        <w:spacing w:line="600" w:lineRule="exact"/>
        <w:ind w:firstLine="640"/>
        <w:outlineLvl w:val="2"/>
        <w:rPr>
          <w:rFonts w:ascii="仿宋" w:hAnsi="仿宋" w:eastAsia="仿宋"/>
          <w:b/>
          <w:color w:val="000000"/>
          <w:sz w:val="32"/>
          <w:szCs w:val="32"/>
        </w:rPr>
      </w:pPr>
      <w:bookmarkStart w:id="45" w:name="_Toc15377217"/>
      <w:r>
        <w:rPr>
          <w:rFonts w:hint="eastAsia" w:ascii="仿宋" w:hAnsi="仿宋" w:eastAsia="仿宋"/>
          <w:b/>
          <w:color w:val="000000"/>
          <w:sz w:val="32"/>
          <w:szCs w:val="32"/>
        </w:rPr>
        <w:t>（二）“三公”经费财政拨款支出决算具体情况说明</w:t>
      </w:r>
      <w:bookmarkEnd w:id="45"/>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8年“三公”经费财政拨款支出决算中，因公出国（境）费支出决算0万元，占0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；公务用车购置及运行维护费支出决算0万元，占0</w:t>
      </w:r>
      <w:r>
        <w:rPr>
          <w:rFonts w:ascii="仿宋" w:hAnsi="仿宋" w:eastAsia="仿宋"/>
          <w:color w:val="000000"/>
          <w:sz w:val="32"/>
          <w:szCs w:val="32"/>
        </w:rPr>
        <w:t>%</w:t>
      </w:r>
      <w:r>
        <w:rPr>
          <w:rFonts w:hint="eastAsia" w:ascii="仿宋" w:hAnsi="仿宋" w:eastAsia="仿宋"/>
          <w:color w:val="000000"/>
          <w:sz w:val="32"/>
          <w:szCs w:val="32"/>
        </w:rPr>
        <w:t>；公务接待费支出决算13.69万元，占100</w:t>
      </w:r>
      <w:r>
        <w:rPr>
          <w:rFonts w:ascii="仿宋" w:hAnsi="仿宋" w:eastAsia="仿宋"/>
          <w:color w:val="000000"/>
          <w:sz w:val="32"/>
          <w:szCs w:val="32"/>
        </w:rPr>
        <w:t>%</w:t>
      </w:r>
      <w:r>
        <w:rPr>
          <w:rFonts w:hint="eastAsia" w:ascii="仿宋" w:hAnsi="仿宋" w:eastAsia="仿宋"/>
          <w:color w:val="000000"/>
          <w:sz w:val="32"/>
          <w:szCs w:val="32"/>
        </w:rPr>
        <w:t>。具体情况如下：</w:t>
      </w:r>
    </w:p>
    <w:p>
      <w:pPr>
        <w:numPr>
          <w:ilvl w:val="0"/>
          <w:numId w:val="4"/>
        </w:num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因公出国（境）经费支出</w:t>
      </w:r>
      <w:r>
        <w:rPr>
          <w:rFonts w:hint="eastAsia" w:ascii="仿宋_GB2312" w:eastAsia="仿宋_GB2312"/>
          <w:color w:val="000000"/>
          <w:sz w:val="32"/>
          <w:szCs w:val="32"/>
        </w:rPr>
        <w:t>0万元，</w:t>
      </w:r>
      <w:r>
        <w:rPr>
          <w:rStyle w:val="14"/>
          <w:rFonts w:hint="eastAsia" w:ascii="仿宋" w:hAnsi="仿宋" w:eastAsia="仿宋"/>
          <w:b w:val="0"/>
          <w:bCs/>
          <w:color w:val="000000"/>
          <w:sz w:val="32"/>
          <w:szCs w:val="32"/>
        </w:rPr>
        <w:t>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全年安排因公出国（境）团组0次，出国（境）0人。</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rPr>
        <w:t>0万元,</w:t>
      </w:r>
      <w:r>
        <w:rPr>
          <w:rStyle w:val="14"/>
          <w:rFonts w:hint="eastAsia" w:ascii="仿宋" w:hAnsi="仿宋" w:eastAsia="仿宋"/>
          <w:b w:val="0"/>
          <w:bCs/>
          <w:color w:val="000000"/>
          <w:sz w:val="32"/>
          <w:szCs w:val="32"/>
        </w:rPr>
        <w:t>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。年初无预算</w:t>
      </w:r>
      <w:r>
        <w:rPr>
          <w:rFonts w:hint="eastAsia" w:ascii="仿宋_GB2312" w:eastAsia="仿宋_GB2312"/>
          <w:color w:val="000000"/>
          <w:sz w:val="32"/>
          <w:szCs w:val="32"/>
        </w:rPr>
        <w:t>公务用车购置及运行维护费。</w:t>
      </w:r>
    </w:p>
    <w:p>
      <w:pPr>
        <w:spacing w:line="60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rPr>
        <w:t>0万元。全年按规定更新购置公务用车0辆，其中：轿车0辆、金额0万元，越野车0辆、金额0万元，载客汽车0辆、金额0万元，截至</w:t>
      </w:r>
      <w:r>
        <w:rPr>
          <w:rFonts w:ascii="仿宋_GB2312" w:eastAsia="仿宋_GB2312"/>
          <w:color w:val="000000"/>
          <w:sz w:val="32"/>
          <w:szCs w:val="32"/>
        </w:rPr>
        <w:t>201</w:t>
      </w:r>
      <w:r>
        <w:rPr>
          <w:rFonts w:hint="eastAsia" w:ascii="仿宋_GB2312" w:eastAsia="仿宋_GB2312"/>
          <w:color w:val="000000"/>
          <w:sz w:val="32"/>
          <w:szCs w:val="32"/>
        </w:rPr>
        <w:t>8年</w:t>
      </w:r>
      <w:r>
        <w:rPr>
          <w:rFonts w:ascii="仿宋_GB2312" w:eastAsia="仿宋_GB2312"/>
          <w:color w:val="000000"/>
          <w:sz w:val="32"/>
          <w:szCs w:val="32"/>
        </w:rPr>
        <w:t>12</w:t>
      </w:r>
      <w:r>
        <w:rPr>
          <w:rFonts w:hint="eastAsia" w:ascii="仿宋_GB2312" w:eastAsia="仿宋_GB2312"/>
          <w:color w:val="000000"/>
          <w:sz w:val="32"/>
          <w:szCs w:val="32"/>
        </w:rPr>
        <w:t>月底，单位公务用车0辆。</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rPr>
        <w:t>13.69万元，</w:t>
      </w:r>
      <w:r>
        <w:rPr>
          <w:rStyle w:val="14"/>
          <w:rFonts w:hint="eastAsia" w:ascii="仿宋" w:hAnsi="仿宋" w:eastAsia="仿宋"/>
          <w:b w:val="0"/>
          <w:bCs/>
          <w:color w:val="000000"/>
          <w:sz w:val="32"/>
          <w:szCs w:val="32"/>
        </w:rPr>
        <w:t>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w:t>
      </w:r>
      <w:r>
        <w:rPr>
          <w:rFonts w:hint="eastAsia" w:ascii="仿宋_GB2312" w:eastAsia="仿宋_GB2312"/>
          <w:color w:val="000000"/>
          <w:sz w:val="32"/>
          <w:szCs w:val="32"/>
        </w:rPr>
        <w:t>7年减少0.94万元，下降0.93</w:t>
      </w:r>
      <w:r>
        <w:rPr>
          <w:rFonts w:ascii="仿宋_GB2312" w:eastAsia="仿宋_GB2312"/>
          <w:color w:val="000000"/>
          <w:sz w:val="32"/>
          <w:szCs w:val="32"/>
        </w:rPr>
        <w:t>%</w:t>
      </w:r>
      <w:r>
        <w:rPr>
          <w:rFonts w:hint="eastAsia" w:ascii="仿宋_GB2312" w:eastAsia="仿宋_GB2312"/>
          <w:color w:val="000000"/>
          <w:sz w:val="32"/>
          <w:szCs w:val="32"/>
        </w:rPr>
        <w:t>。主要原因是陈家乡狠抓落实，对公务接待费用实行集体会签制，事前先由需接待部门的负责人、分管领导向主要领导请示，凡是接待一律在政府机关伙食团就餐，并严格控制接待标准和陪同人员，报销时必须同时有乡长和主管领导共同签字的公务接待就餐单、公函、及菜单，财政所才予以报销。。</w:t>
      </w:r>
    </w:p>
    <w:p>
      <w:pPr>
        <w:spacing w:line="600" w:lineRule="exact"/>
        <w:ind w:firstLine="640"/>
        <w:outlineLvl w:val="1"/>
        <w:rPr>
          <w:rFonts w:ascii="仿宋_GB2312" w:eastAsia="仿宋_GB2312"/>
          <w:color w:val="000000"/>
          <w:sz w:val="32"/>
          <w:szCs w:val="32"/>
        </w:rPr>
      </w:pPr>
      <w:bookmarkStart w:id="46" w:name="_Toc15396610"/>
      <w:bookmarkStart w:id="47" w:name="_Toc15377218"/>
      <w:r>
        <w:rPr>
          <w:rFonts w:hint="eastAsia" w:ascii="仿宋_GB2312" w:eastAsia="仿宋_GB2312"/>
          <w:color w:val="000000"/>
          <w:sz w:val="32"/>
          <w:szCs w:val="32"/>
        </w:rPr>
        <w:t>主要用于执行公务、开展业务活动开支的交通费、住宿费、用餐费等。国内公务接待278批次，3451人次（不包括陪同人员），共计支出13.69万元，具体内容包括：开展工作交流，迎检，脱贫攻坚巡查，上级工作指导等方面工作。其中：</w:t>
      </w:r>
    </w:p>
    <w:p>
      <w:pPr>
        <w:spacing w:line="600" w:lineRule="exact"/>
        <w:ind w:firstLine="640"/>
        <w:outlineLvl w:val="1"/>
        <w:rPr>
          <w:rFonts w:ascii="仿宋_GB2312" w:eastAsia="仿宋_GB2312"/>
          <w:color w:val="000000"/>
          <w:sz w:val="32"/>
          <w:szCs w:val="32"/>
        </w:rPr>
      </w:pPr>
      <w:r>
        <w:rPr>
          <w:rFonts w:hint="eastAsia" w:ascii="仿宋_GB2312" w:eastAsia="仿宋_GB2312"/>
          <w:color w:val="000000"/>
          <w:sz w:val="32"/>
          <w:szCs w:val="32"/>
        </w:rPr>
        <w:t>外事接待支出0元，外事接待0批次，0人，共计支出0万元。</w:t>
      </w:r>
    </w:p>
    <w:p>
      <w:pPr>
        <w:spacing w:line="600" w:lineRule="exact"/>
        <w:ind w:firstLine="640"/>
        <w:outlineLvl w:val="1"/>
        <w:rPr>
          <w:rFonts w:ascii="仿宋_GB2312" w:eastAsia="仿宋_GB2312"/>
          <w:color w:val="000000"/>
          <w:sz w:val="32"/>
          <w:szCs w:val="32"/>
        </w:rPr>
      </w:pPr>
      <w:r>
        <w:rPr>
          <w:rFonts w:hint="eastAsia" w:ascii="仿宋_GB2312" w:eastAsia="仿宋_GB2312"/>
          <w:color w:val="000000"/>
          <w:sz w:val="32"/>
          <w:szCs w:val="32"/>
        </w:rPr>
        <w:t>其他国内公务接待支出0万元。</w:t>
      </w:r>
    </w:p>
    <w:p>
      <w:pPr>
        <w:spacing w:line="600" w:lineRule="exact"/>
        <w:ind w:firstLine="640"/>
        <w:outlineLvl w:val="1"/>
        <w:rPr>
          <w:rStyle w:val="25"/>
          <w:rFonts w:ascii="黑体" w:hAnsi="黑体" w:eastAsia="黑体"/>
        </w:rPr>
      </w:pPr>
      <w:r>
        <w:rPr>
          <w:rFonts w:hint="eastAsia" w:ascii="黑体" w:eastAsia="黑体"/>
          <w:color w:val="000000"/>
          <w:sz w:val="32"/>
          <w:szCs w:val="32"/>
        </w:rPr>
        <w:t>八、</w:t>
      </w:r>
      <w:r>
        <w:rPr>
          <w:rStyle w:val="25"/>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8年政府性基金预算拨款支出83万元。</w:t>
      </w:r>
    </w:p>
    <w:p>
      <w:pPr>
        <w:numPr>
          <w:ilvl w:val="0"/>
          <w:numId w:val="5"/>
        </w:numPr>
        <w:spacing w:line="600" w:lineRule="exact"/>
        <w:ind w:firstLine="640"/>
        <w:outlineLvl w:val="1"/>
        <w:rPr>
          <w:rStyle w:val="25"/>
          <w:rFonts w:ascii="黑体" w:hAnsi="黑体" w:eastAsia="黑体"/>
          <w:b w:val="0"/>
        </w:rPr>
      </w:pPr>
      <w:bookmarkStart w:id="48" w:name="_Toc15396611"/>
      <w:bookmarkStart w:id="49" w:name="_Toc15377219"/>
      <w:r>
        <w:rPr>
          <w:rStyle w:val="25"/>
          <w:rFonts w:hint="eastAsia" w:ascii="黑体" w:hAnsi="黑体" w:eastAsia="黑体"/>
          <w:b w:val="0"/>
        </w:rPr>
        <w:t>国有资本经营预算支出决算情况说明</w:t>
      </w:r>
      <w:bookmarkEnd w:id="48"/>
      <w:bookmarkEnd w:id="49"/>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8年国有资本经营预算拨款支出0万元。</w:t>
      </w:r>
    </w:p>
    <w:p>
      <w:pPr>
        <w:pStyle w:val="23"/>
        <w:numPr>
          <w:ilvl w:val="0"/>
          <w:numId w:val="6"/>
        </w:numPr>
        <w:spacing w:line="580" w:lineRule="exact"/>
        <w:ind w:firstLineChars="0"/>
        <w:rPr>
          <w:rStyle w:val="25"/>
          <w:rFonts w:ascii="黑体" w:hAnsi="黑体" w:eastAsia="黑体"/>
          <w:b w:val="0"/>
        </w:rPr>
      </w:pPr>
      <w:r>
        <w:rPr>
          <w:rStyle w:val="25"/>
          <w:rFonts w:hint="eastAsia" w:ascii="黑体" w:hAnsi="黑体" w:eastAsia="黑体"/>
          <w:b w:val="0"/>
        </w:rPr>
        <w:t>预算绩效情况说明</w:t>
      </w:r>
    </w:p>
    <w:p>
      <w:pPr>
        <w:numPr>
          <w:ilvl w:val="0"/>
          <w:numId w:val="7"/>
        </w:numPr>
        <w:spacing w:line="580" w:lineRule="exact"/>
        <w:ind w:firstLine="643" w:firstLineChars="200"/>
        <w:rPr>
          <w:rFonts w:ascii="仿宋" w:hAnsi="仿宋" w:eastAsia="仿宋" w:cs="楷体_GB2312"/>
          <w:b/>
          <w:bCs/>
          <w:sz w:val="32"/>
          <w:szCs w:val="32"/>
        </w:rPr>
      </w:pPr>
      <w:r>
        <w:rPr>
          <w:rFonts w:hint="eastAsia" w:ascii="仿宋" w:hAnsi="仿宋" w:eastAsia="仿宋" w:cs="楷体_GB2312"/>
          <w:b/>
          <w:bCs/>
          <w:sz w:val="32"/>
          <w:szCs w:val="32"/>
        </w:rPr>
        <w:t>预算绩效管理工作开展情况。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在年初预算编制阶段，组织对预算项目开展了预算事前绩效评估，对5个项目编制了绩效目标，预算执行过程中，选取5个项目开展绩效监控，年终执行完毕后，对5个项目开展了绩效目标完成情况梳理填报。</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总体看，我单位预算编制及执行决算较为准确，支出管理较为规范，财务管理制度较完善，部门整体绩效较好。部门支出绩效自评得分为96分。但也存在一些问题：一是项目进度缓慢，归档不及时。二是对项目工程及时跟进，确保项目工程完成，下一步改进措施：一是加快项目进度，二是及时对项目资料进行归档。</w:t>
      </w:r>
    </w:p>
    <w:p>
      <w:pPr>
        <w:spacing w:line="580" w:lineRule="exact"/>
        <w:ind w:firstLine="643" w:firstLineChars="200"/>
        <w:rPr>
          <w:rFonts w:ascii="仿宋_GB2312" w:hAnsi="仿宋_GB2312" w:eastAsia="仿宋_GB2312" w:cs="仿宋_GB2312"/>
          <w:sz w:val="32"/>
          <w:szCs w:val="32"/>
        </w:rPr>
      </w:pPr>
      <w:r>
        <w:rPr>
          <w:rFonts w:hint="eastAsia" w:ascii="仿宋" w:hAnsi="仿宋" w:eastAsia="仿宋" w:cs="楷体_GB2312"/>
          <w:b/>
          <w:bCs/>
          <w:sz w:val="32"/>
          <w:szCs w:val="32"/>
        </w:rPr>
        <w:t>（二）项目绩效目标完成情况。</w:t>
      </w:r>
      <w:r>
        <w:rPr>
          <w:rFonts w:hint="eastAsia" w:ascii="楷体_GB2312" w:hAnsi="楷体_GB2312" w:eastAsia="楷体_GB2312" w:cs="楷体_GB2312"/>
          <w:b/>
          <w:bCs/>
          <w:sz w:val="32"/>
          <w:szCs w:val="32"/>
        </w:rPr>
        <w:br w:type="textWrapping"/>
      </w:r>
      <w:r>
        <w:rPr>
          <w:rFonts w:hint="eastAsia" w:ascii="仿宋_GB2312" w:hAnsi="仿宋_GB2312" w:eastAsia="仿宋_GB2312" w:cs="仿宋_GB2312"/>
          <w:sz w:val="32"/>
          <w:szCs w:val="32"/>
        </w:rPr>
        <w:t>本部门在2018年度部门决算中反映财力保障等5个项目绩效目标实际完成情况：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财力保障化债项目绩效目标完成情况综述。项目全年预算数35万元，执行数为35万元，完成预算的100%。通过项目实施，保障各项工作圆满完成，努力提高村民增收，巩固村民的经济稳增长，让百姓得到实惠，发现的主要问题：一是管理上还不够积极主动，不能够很好参与其中。下一步改进措施：一是在管理工作中积极主动，提高管理水平能力，做到人人参与其管理中去。</w:t>
      </w: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3"/>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项目支出绩效目标完成情况表（1）</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(2018年度)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陈家乡2018年度财力保障化债项目</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达州市达川区陈家乡人民政府</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35万元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35万元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35万元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35万元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分年逐批化解建设欠款，巩固基层组织建设</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减少债务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减少乡村级债务情况35万元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已完成村级债务化解35万元</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账务处理</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做到公平、透明，不得出现新的债务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已完成相关任务</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年度目标任务完成率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目标任务完成率达100%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完成率</w:t>
            </w:r>
            <w:r>
              <w:rPr>
                <w:rFonts w:ascii="Arial" w:hAnsi="Arial" w:cs="Arial"/>
                <w:color w:val="000000"/>
                <w:sz w:val="24"/>
              </w:rPr>
              <w:t>≥</w:t>
            </w:r>
            <w:r>
              <w:rPr>
                <w:rFonts w:hint="eastAsia" w:ascii="宋体" w:hAnsi="宋体" w:cs="宋体"/>
                <w:color w:val="000000"/>
                <w:sz w:val="24"/>
              </w:rPr>
              <w:t>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解决存在债务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促进社会和谐发展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解决实际债务提高经济。</w:t>
            </w:r>
          </w:p>
        </w:tc>
      </w:tr>
      <w:tr>
        <w:tblPrEx>
          <w:tblCellMar>
            <w:top w:w="0" w:type="dxa"/>
            <w:left w:w="0" w:type="dxa"/>
            <w:bottom w:w="0" w:type="dxa"/>
            <w:right w:w="0" w:type="dxa"/>
          </w:tblCellMar>
        </w:tblPrEx>
        <w:trPr>
          <w:trHeight w:val="103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化解矛盾</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及时处理相关债务，调和基层政权和债权人的关系，提升社会满意度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已完成相关债务，达到目标</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项目效益指标</w:t>
            </w:r>
            <w:r>
              <w:rPr>
                <w:rFonts w:hint="eastAsia" w:ascii="宋体" w:hAns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生态效益指标意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坚持绿色环保</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 xml:space="preserve">     保障环境，不能以牺牲环境为代价</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已达到</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项目效益指标</w:t>
            </w:r>
            <w:r>
              <w:rPr>
                <w:rFonts w:hint="eastAsia" w:ascii="宋体" w:hAns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后期经济发展</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持续提供经济发展动力</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Arial" w:hAnsi="Arial" w:cs="Arial"/>
                <w:color w:val="000000"/>
                <w:sz w:val="24"/>
              </w:rPr>
              <w:t>促进了当地经济发展</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村民满意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 xml:space="preserve">       满意度</w:t>
            </w:r>
            <w:r>
              <w:rPr>
                <w:rFonts w:ascii="Arial" w:hAnsi="Arial" w:cs="Arial"/>
                <w:color w:val="000000"/>
                <w:sz w:val="24"/>
              </w:rPr>
              <w:t>≥</w:t>
            </w:r>
            <w:r>
              <w:rPr>
                <w:rFonts w:hint="eastAsia" w:ascii="宋体" w:hAns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已达到满意度</w:t>
            </w:r>
            <w:r>
              <w:rPr>
                <w:rFonts w:ascii="Arial" w:hAnsi="Arial" w:cs="Arial"/>
                <w:color w:val="000000"/>
                <w:sz w:val="24"/>
              </w:rPr>
              <w:t>≥</w:t>
            </w:r>
            <w:r>
              <w:rPr>
                <w:rFonts w:hint="eastAsia" w:ascii="宋体" w:hAnsi="宋体" w:cs="宋体"/>
                <w:color w:val="000000"/>
                <w:sz w:val="24"/>
              </w:rPr>
              <w:t>95%</w:t>
            </w:r>
          </w:p>
        </w:tc>
      </w:tr>
    </w:tbl>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财力保障环境综合治理项目绩效目标完成情况综述。项目全年预算数25万元，执行数为25万元，完成预算的100%。通过项目实施，给老百姓创造一个良好的生活环境，改善人文居住的环境，对环境进行综合治理。发现的主要问题：一是对周围环境保持不够好，爱护意识不够强，人人参与意识不浓。下一步改进措施：一是提高人人环保意识，让大家都参与其中，创造一个美丽和谐的环境。</w:t>
      </w: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3"/>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项目支出绩效目标完成情况表（2）</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(2018年度)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陈家乡2018年度财力保障环境综合治理项目</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达州市达川区陈家乡人民政府</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25万元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25万元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25万元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25万元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推进环保节能治理，建立健全农村生活垃圾处理长效机制，深入开展环境污染和面源污染治理。</w:t>
            </w:r>
            <w:r>
              <w:rPr>
                <w:rFonts w:hint="eastAsia" w:ascii="宋体" w:hAnsi="宋体" w:cs="宋体"/>
                <w:color w:val="000000"/>
                <w:sz w:val="24"/>
              </w:rPr>
              <w:tab/>
            </w:r>
            <w:r>
              <w:rPr>
                <w:rFonts w:hint="eastAsia" w:ascii="宋体" w:hAnsi="宋体" w:cs="宋体"/>
                <w:color w:val="000000"/>
                <w:sz w:val="24"/>
              </w:rPr>
              <w:tab/>
            </w:r>
            <w:r>
              <w:rPr>
                <w:rFonts w:hint="eastAsia" w:ascii="宋体" w:hAnsi="宋体" w:cs="宋体"/>
                <w:color w:val="000000"/>
                <w:sz w:val="24"/>
              </w:rPr>
              <w:tab/>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保洁工作、环境治理宣传活动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落实社区保洁员3名，各村保洁员1名、宣传标语不低于24幅，会议每月一次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已完成落实社区保洁员3名，各村保洁员1名、宣传标语不低于24幅，会议每月一次</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卫生保洁、垃圾清运、车辆停放</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做到场镇和村主要交通路干净，无污水，无垃圾。天天有人清扫做到垃圾日清，及时将垃圾运往佳境环保做无害化处理。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已完成做到场镇和村主要交通路干净，无污水，无垃圾。天天有人清扫做到垃圾日清，及时将垃圾运往佳境环保做无害化处理。</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年度目标任务完成率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目标任务完成率达100%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完成率</w:t>
            </w:r>
            <w:r>
              <w:rPr>
                <w:rFonts w:ascii="Arial" w:hAnsi="Arial" w:cs="Arial"/>
                <w:color w:val="000000"/>
                <w:sz w:val="24"/>
              </w:rPr>
              <w:t>≥</w:t>
            </w:r>
            <w:r>
              <w:rPr>
                <w:rFonts w:hint="eastAsia" w:ascii="宋体" w:hAnsi="宋体" w:cs="宋体"/>
                <w:color w:val="000000"/>
                <w:sz w:val="24"/>
              </w:rPr>
              <w:t>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垃圾处置费用、保洁员工资、垃圾清运车费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严格按相关要求报账、严格按相关要求报账、严格按相关要求报账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严格按相关要求报账、严格按相关要求报账、严格按相关要求报账</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投资环境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为外来投资商创建一个干净、整治的投资环境，提升五四招商引资能力。</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w:t>
            </w:r>
          </w:p>
        </w:tc>
      </w:tr>
      <w:tr>
        <w:tblPrEx>
          <w:tblCellMar>
            <w:top w:w="0" w:type="dxa"/>
            <w:left w:w="0" w:type="dxa"/>
            <w:bottom w:w="0" w:type="dxa"/>
            <w:right w:w="0" w:type="dxa"/>
          </w:tblCellMar>
        </w:tblPrEx>
        <w:trPr>
          <w:trHeight w:val="103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环境卫生整治</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改善人居环境，提升群众幸福生活指数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改善了群众的人居环境，提升了幸福生活 指数。</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项目效益指标</w:t>
            </w:r>
            <w:r>
              <w:rPr>
                <w:rFonts w:hint="eastAsia" w:ascii="宋体" w:hAns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生态效益指标意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坚持绿色环保</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 xml:space="preserve"> 垃圾日清，迅速处置</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做到了垃圾日清，垃圾池周清。</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项目效益指标</w:t>
            </w:r>
            <w:r>
              <w:rPr>
                <w:rFonts w:hint="eastAsia" w:ascii="宋体" w:hAns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政策导向</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长期保障工作平稳进行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Arial" w:hAnsi="Arial" w:cs="Arial"/>
                <w:color w:val="000000"/>
                <w:sz w:val="24"/>
              </w:rPr>
              <w:t>促进了全乡环境整治的发展</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社会满意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 xml:space="preserve">  社会满意度</w:t>
            </w:r>
            <w:r>
              <w:rPr>
                <w:rFonts w:ascii="Arial" w:hAnsi="Arial" w:cs="Arial"/>
                <w:color w:val="000000"/>
                <w:sz w:val="24"/>
              </w:rPr>
              <w:t>≥</w:t>
            </w:r>
            <w:r>
              <w:rPr>
                <w:rFonts w:hint="eastAsia" w:ascii="宋体" w:hAns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已达到满意度</w:t>
            </w:r>
            <w:r>
              <w:rPr>
                <w:rFonts w:ascii="Arial" w:hAnsi="Arial" w:cs="Arial"/>
                <w:color w:val="000000"/>
                <w:sz w:val="24"/>
              </w:rPr>
              <w:t>≥</w:t>
            </w:r>
            <w:r>
              <w:rPr>
                <w:rFonts w:hint="eastAsia" w:ascii="宋体" w:hAnsi="宋体" w:cs="宋体"/>
                <w:color w:val="000000"/>
                <w:sz w:val="24"/>
              </w:rPr>
              <w:t>95%</w:t>
            </w:r>
          </w:p>
        </w:tc>
      </w:tr>
    </w:tbl>
    <w:p>
      <w:pPr>
        <w:spacing w:line="580" w:lineRule="exact"/>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财力保障项促进发展项目绩效目标完成情况综述。项目全年预算数18万元，执行数为18万元，完成预算的100%。通过项目实施，巩固产业发展，让百姓参与其中，促进产业发展，让百姓得实惠，提高人均收入。发现的主要问题：一是在管理中还不是很到位，二是产业发展资金投入较少。下一步改进措施：提高人人参与到管理中来，切实抓好责任管理。</w:t>
      </w: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3"/>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项目支出绩效目标完成情况表（3）</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(2018年度)</w:t>
            </w:r>
          </w:p>
        </w:tc>
      </w:tr>
      <w:tr>
        <w:tblPrEx>
          <w:tblCellMar>
            <w:top w:w="0" w:type="dxa"/>
            <w:left w:w="0" w:type="dxa"/>
            <w:bottom w:w="0" w:type="dxa"/>
            <w:right w:w="0" w:type="dxa"/>
          </w:tblCellMar>
        </w:tblPrEx>
        <w:trPr>
          <w:trHeight w:val="90"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陈家乡2018年度财力保障促发展项目</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达州市达川区陈家乡人民政府</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18万元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18万元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18万元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18万元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864"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加大村级基础设施建设投入，改善农村基础设施状况，修建水利、道路，增强农村经济发展实力</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w:t>
            </w:r>
          </w:p>
        </w:tc>
      </w:tr>
      <w:tr>
        <w:tblPrEx>
          <w:tblCellMar>
            <w:top w:w="0" w:type="dxa"/>
            <w:left w:w="0" w:type="dxa"/>
            <w:bottom w:w="0" w:type="dxa"/>
            <w:right w:w="0" w:type="dxa"/>
          </w:tblCellMar>
        </w:tblPrEx>
        <w:trPr>
          <w:trHeight w:val="82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方便群众出行</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解决600余人出行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已完成涉及725人的出行问题</w:t>
            </w:r>
          </w:p>
        </w:tc>
      </w:tr>
      <w:tr>
        <w:tblPrEx>
          <w:tblCellMar>
            <w:top w:w="0" w:type="dxa"/>
            <w:left w:w="0" w:type="dxa"/>
            <w:bottom w:w="0" w:type="dxa"/>
            <w:right w:w="0" w:type="dxa"/>
          </w:tblCellMar>
        </w:tblPrEx>
        <w:trPr>
          <w:trHeight w:val="110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工程标准</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严格按照工程标准执行，以监理单位验收质量为准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已完成相关任务</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年度目标任务完成率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目标任务完成率达100%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完成率</w:t>
            </w:r>
            <w:r>
              <w:rPr>
                <w:rFonts w:ascii="Arial" w:hAnsi="Arial" w:cs="Arial"/>
                <w:color w:val="000000"/>
                <w:sz w:val="24"/>
              </w:rPr>
              <w:t>≥</w:t>
            </w:r>
            <w:r>
              <w:rPr>
                <w:rFonts w:hint="eastAsia" w:ascii="宋体" w:hAnsi="宋体" w:cs="宋体"/>
                <w:color w:val="000000"/>
                <w:sz w:val="24"/>
              </w:rPr>
              <w:t>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材料采购、人工费用、其他费用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严格预算，最后以审计价为准、以当地人工费用标准为准、严格预算，最后以审计价为准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严格预算，最后以审计价为准、以当地人工费用标准为准、严格预算，最后以审计价为准</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为经济发展提供基础</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提升运输能力，联通产业发展圈，提高运输迅速，节约运输成本，引起产业规模扩大，增加就业人员的工资水平，提高经济发展。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提升运输能力，联通产业发展圈，提高运输迅速，节约运输成本，引起产业规模扩大，增加就业人员的工资水平，提高经济发展。</w:t>
            </w:r>
          </w:p>
        </w:tc>
      </w:tr>
      <w:tr>
        <w:tblPrEx>
          <w:tblCellMar>
            <w:top w:w="0" w:type="dxa"/>
            <w:left w:w="0" w:type="dxa"/>
            <w:bottom w:w="0" w:type="dxa"/>
            <w:right w:w="0" w:type="dxa"/>
          </w:tblCellMar>
        </w:tblPrEx>
        <w:trPr>
          <w:trHeight w:val="103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改善出行</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方便群众出行，农产品物资运输更加方便快捷，提升物流速度，为社会提供安全便捷的运输条件。</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方便群众出行，农产品物资运输更加方便快捷，提升物流速度，为社会提供安全便捷的运输条件。</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项目效益指标</w:t>
            </w:r>
            <w:r>
              <w:rPr>
                <w:rFonts w:hint="eastAsia" w:ascii="宋体" w:hAns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生态效益指标意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坚持绿色环保</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 xml:space="preserve">   道路建设规划合理，不能以牺牲环保为代价。</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已达到</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项目效益指标</w:t>
            </w:r>
            <w:r>
              <w:rPr>
                <w:rFonts w:hint="eastAsia" w:ascii="宋体" w:hAns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后期经济发展</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将持续为该村提供经济发展动力</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Arial" w:hAnsi="Arial" w:cs="Arial"/>
                <w:color w:val="000000"/>
                <w:sz w:val="24"/>
              </w:rPr>
              <w:t>促进了当地经济发展</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村民满意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 xml:space="preserve">       满意度</w:t>
            </w:r>
            <w:r>
              <w:rPr>
                <w:rFonts w:ascii="Arial" w:hAnsi="Arial" w:cs="Arial"/>
                <w:color w:val="000000"/>
                <w:sz w:val="24"/>
              </w:rPr>
              <w:t>≥</w:t>
            </w:r>
            <w:r>
              <w:rPr>
                <w:rFonts w:hint="eastAsia" w:ascii="宋体" w:hAns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已达到满意度</w:t>
            </w:r>
            <w:r>
              <w:rPr>
                <w:rFonts w:ascii="Arial" w:hAnsi="Arial" w:cs="Arial"/>
                <w:color w:val="000000"/>
                <w:sz w:val="24"/>
              </w:rPr>
              <w:t>≥</w:t>
            </w:r>
            <w:r>
              <w:rPr>
                <w:rFonts w:hint="eastAsia" w:ascii="宋体" w:hAnsi="宋体" w:cs="宋体"/>
                <w:color w:val="000000"/>
                <w:sz w:val="24"/>
              </w:rPr>
              <w:t>95%</w:t>
            </w:r>
          </w:p>
        </w:tc>
      </w:tr>
    </w:tbl>
    <w:p>
      <w:pPr>
        <w:spacing w:line="580" w:lineRule="exact"/>
        <w:ind w:left="64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财力保障项安全生产监管项目绩效目标完成情况综述。项目全年预算数9万元，执行数为9万元，完成预算的100%。通过项目实施，巩固保障辖区安全，为辖区营造良好的生活投资安全氛围。发现的主要问题：一是在管理中还不是很到位，二是投入力度较大，具体人员较少。下一步改进措施：提高人人参与到管理中来，切实抓好责任管理。</w:t>
      </w: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3"/>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项目支出绩效目标完成情况表（4）</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(2018年度)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财力保障-保运行-安全生产监管经费</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达州市达川区陈家乡人民政府</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9万元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9万元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9万元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9万元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防范遏制生产安全事故为重点，切实落实企业主体责任、部门监管责任、党委政府领导责任，狠抓改革创新、依法治理、基础建设、专项整治和安全宣传教育，落实隐患排查治理体系、风险预防控制体系和社会共治体系建设等工作。</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学习宣传教育活动、开展打非治违和专项整治、专项排查，重点领域整治</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12次以上、6次以上、每月1次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已完成排查12次以上、已完成宣传教育活动6次以上、对重点领域每月1次排查。</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责任落实、加大宣传、狠抓整治</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明确党委政府领导责任、镇安监所监管责任、各村社区、企业主体责任体系、每月召开一次安全专项会议、每月排查一次安全隐患，对隐患进行定人定责定时整改</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已完成责任体系、每月召开一次安全专项会议、每月排查一次安全隐患，对隐患进行定人定责定时整改</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年度目标任务完成率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目标任务完成率达100%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完成率</w:t>
            </w:r>
            <w:r>
              <w:rPr>
                <w:rFonts w:ascii="Arial" w:hAnsi="Arial" w:cs="Arial"/>
                <w:color w:val="000000"/>
                <w:sz w:val="24"/>
              </w:rPr>
              <w:t>≥</w:t>
            </w:r>
            <w:r>
              <w:rPr>
                <w:rFonts w:hint="eastAsia" w:ascii="宋体" w:hAnsi="宋体" w:cs="宋体"/>
                <w:color w:val="000000"/>
                <w:sz w:val="24"/>
              </w:rPr>
              <w:t>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差旅费标准、会议培训会标准、宣传费用标准</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遵守达州市达川区差旅费有关标准、遵守达州市达川区会议费有关标准、遵守达州市达川区政府采购有关标准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遵守达州市达川区差旅费有关标准、遵守达州市达川区会议费有关标准、遵守达州市达川区政府采购有关标准</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安全零事故，为经济保驾护航</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以安全生产为主要目标，防范各类事故发生，减少各类经济成本，确保经济稳步发展。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完成安全生产为主要目标，防范各类事故发生，减少各类经济成本，确保经济稳步发展。</w:t>
            </w:r>
          </w:p>
        </w:tc>
      </w:tr>
      <w:tr>
        <w:tblPrEx>
          <w:tblCellMar>
            <w:top w:w="0" w:type="dxa"/>
            <w:left w:w="0" w:type="dxa"/>
            <w:bottom w:w="0" w:type="dxa"/>
            <w:right w:w="0" w:type="dxa"/>
          </w:tblCellMar>
        </w:tblPrEx>
        <w:trPr>
          <w:trHeight w:val="103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有效防范和遏制各项事故发生</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及时处理相关债务，调和基层政权和债权人的关系，提升社会满意度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为企业、群众提供一个安全的生产生活环境，保障人民群众生活财产安全</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项目效益指标</w:t>
            </w:r>
            <w:r>
              <w:rPr>
                <w:rFonts w:hint="eastAsia" w:ascii="宋体" w:hAns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生态效益指标意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坚持绿色环保</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 xml:space="preserve"> 不得破坏生态和损害环境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已达到</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项目效益指标</w:t>
            </w:r>
            <w:r>
              <w:rPr>
                <w:rFonts w:hint="eastAsia" w:ascii="宋体" w:hAns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政策导向</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长期保障工作平稳进行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Arial" w:hAnsi="Arial" w:cs="Arial"/>
                <w:color w:val="000000"/>
                <w:sz w:val="24"/>
              </w:rPr>
              <w:t>长期保障工作平稳进行展</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村民满意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 xml:space="preserve">       满意度</w:t>
            </w:r>
            <w:r>
              <w:rPr>
                <w:rFonts w:ascii="Arial" w:hAnsi="Arial" w:cs="Arial"/>
                <w:color w:val="000000"/>
                <w:sz w:val="24"/>
              </w:rPr>
              <w:t>≥</w:t>
            </w:r>
            <w:r>
              <w:rPr>
                <w:rFonts w:hint="eastAsia" w:ascii="宋体" w:hAns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已达到满意度</w:t>
            </w:r>
            <w:r>
              <w:rPr>
                <w:rFonts w:ascii="Arial" w:hAnsi="Arial" w:cs="Arial"/>
                <w:color w:val="000000"/>
                <w:sz w:val="24"/>
              </w:rPr>
              <w:t>≥</w:t>
            </w:r>
            <w:r>
              <w:rPr>
                <w:rFonts w:hint="eastAsia" w:ascii="宋体" w:hAnsi="宋体" w:cs="宋体"/>
                <w:color w:val="000000"/>
                <w:sz w:val="24"/>
              </w:rPr>
              <w:t>95%</w:t>
            </w:r>
          </w:p>
        </w:tc>
      </w:tr>
    </w:tbl>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财力保障信访、维稳、扫黄、除黑、禁毒资金项目绩效目标完成情况综述。项目全年预算数15万元，执行数为15万元，完成预算的100%。通过项目实施，维护了辖区信访、维稳等工作开展，解决了群众合理诉求，打击黄、赌、毒，扫清黑恶势力，为人民群众塑造一个安定、和谐、稳定的社会环境。发现的主要问题：一是在管理中还不是很到位，二是投入力度较大，具体人员较少。下一步改进措施：提高人人参与到管理中来，切实抓好责任管理。</w:t>
      </w: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3"/>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项目支出绩效目标完成情况表（5）</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(2018年度)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陈家乡2018年度信访、维稳、扫黄、除黑、禁毒资金资金项目</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达州市达川区陈家乡人民政府</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15万元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15万元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15万元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15万元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解决群众合理诉求，，打击黄、赌、毒，扫清黑恶势力，为人民群众塑造一个安定、和谐、稳定的社会环境</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开展教育宣传活动、组织专项行动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12次、3次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已完成全年开展了宣传活动12次，组织专项行动3次。</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rPr>
              <w:t>合理诉求、</w:t>
            </w:r>
            <w:r>
              <w:rPr>
                <w:rFonts w:hint="eastAsia" w:ascii="宋体" w:hAnsi="宋体" w:cs="宋体"/>
                <w:color w:val="000000"/>
                <w:sz w:val="24"/>
                <w:lang w:eastAsia="zh-CN"/>
              </w:rPr>
              <w:t>扫黑除恶</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及时处理，上报，将矛盾化解在萌芽状态。及时上报线索，配合民警开展工作</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已完成相关任务</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年度目标任务完成率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目标任务完成率达100%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完成率</w:t>
            </w:r>
            <w:r>
              <w:rPr>
                <w:rFonts w:ascii="Arial" w:hAnsi="Arial" w:cs="Arial"/>
                <w:color w:val="000000"/>
                <w:sz w:val="24"/>
              </w:rPr>
              <w:t>≥</w:t>
            </w:r>
            <w:r>
              <w:rPr>
                <w:rFonts w:hint="eastAsia" w:ascii="宋体" w:hAnsi="宋体" w:cs="宋体"/>
                <w:color w:val="000000"/>
                <w:sz w:val="24"/>
              </w:rPr>
              <w:t>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差旅费标准、会议培训会标准、会议培训会标准</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遵守达州市达川区差旅费有关标准、遵守达州市达川区会议费有关标准、遵守达州市达川区政府采购有关标准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遵守达州市达川区差旅费有关标准、遵守达州市达川区会议费有关标准、遵守达州市达川区政府采购有关标准</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经济投资环境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保护投资人的利益不受损害。确保社会平安、稳定。</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保护投资人的利益不受损害。确保社会平安、稳定。</w:t>
            </w:r>
          </w:p>
        </w:tc>
      </w:tr>
      <w:tr>
        <w:tblPrEx>
          <w:tblCellMar>
            <w:top w:w="0" w:type="dxa"/>
            <w:left w:w="0" w:type="dxa"/>
            <w:bottom w:w="0" w:type="dxa"/>
            <w:right w:w="0" w:type="dxa"/>
          </w:tblCellMar>
        </w:tblPrEx>
        <w:trPr>
          <w:trHeight w:val="103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营造良好社会风气</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合理信访，及时处置，</w:t>
            </w:r>
            <w:r>
              <w:rPr>
                <w:rFonts w:hint="eastAsia" w:ascii="宋体" w:hAnsi="宋体" w:cs="宋体"/>
                <w:color w:val="000000"/>
                <w:sz w:val="24"/>
                <w:lang w:eastAsia="zh-CN"/>
              </w:rPr>
              <w:t>扫黑除恶</w:t>
            </w:r>
            <w:r>
              <w:rPr>
                <w:rFonts w:hint="eastAsia" w:ascii="宋体" w:hAnsi="宋体" w:cs="宋体"/>
                <w:color w:val="000000"/>
                <w:sz w:val="24"/>
              </w:rPr>
              <w:t>，综合治理，塑造了公平、正义、平安、和谐的社会。</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合理信访，及时处置，</w:t>
            </w:r>
            <w:r>
              <w:rPr>
                <w:rFonts w:hint="eastAsia" w:ascii="宋体" w:hAnsi="宋体" w:cs="宋体"/>
                <w:color w:val="000000"/>
                <w:sz w:val="24"/>
                <w:lang w:eastAsia="zh-CN"/>
              </w:rPr>
              <w:t>扫黑除恶</w:t>
            </w:r>
            <w:r>
              <w:rPr>
                <w:rFonts w:hint="eastAsia" w:ascii="宋体" w:hAnsi="宋体" w:cs="宋体"/>
                <w:color w:val="000000"/>
                <w:sz w:val="24"/>
              </w:rPr>
              <w:t>，综合治理，塑造了公平、正义、平安、和谐的社会。</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项目效益指标</w:t>
            </w:r>
            <w:r>
              <w:rPr>
                <w:rFonts w:hint="eastAsia" w:ascii="宋体" w:hAns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生态效益指标意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坚持绿色环保</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 xml:space="preserve"> 保障环境，不能以牺牲环境为代价</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已达到</w:t>
            </w:r>
          </w:p>
        </w:tc>
      </w:tr>
      <w:tr>
        <w:tblPrEx>
          <w:tblCellMar>
            <w:top w:w="0" w:type="dxa"/>
            <w:left w:w="0" w:type="dxa"/>
            <w:bottom w:w="0" w:type="dxa"/>
            <w:right w:w="0" w:type="dxa"/>
          </w:tblCellMar>
        </w:tblPrEx>
        <w:trPr>
          <w:trHeight w:val="114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项目效益指标</w:t>
            </w:r>
            <w:r>
              <w:rPr>
                <w:rFonts w:hint="eastAsia" w:ascii="宋体" w:hAns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政策导向</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长期保障工作平稳进行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Arial" w:hAnsi="Arial" w:cs="Arial"/>
                <w:color w:val="000000"/>
                <w:sz w:val="24"/>
              </w:rPr>
              <w:t>已保障工作平稳进行</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村民满意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 xml:space="preserve">       满意度</w:t>
            </w:r>
            <w:r>
              <w:rPr>
                <w:rFonts w:ascii="Arial" w:hAnsi="Arial" w:cs="Arial"/>
                <w:color w:val="000000"/>
                <w:sz w:val="24"/>
              </w:rPr>
              <w:t>≥</w:t>
            </w:r>
            <w:r>
              <w:rPr>
                <w:rFonts w:hint="eastAsia" w:ascii="宋体" w:hAns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已达到满意度</w:t>
            </w:r>
            <w:r>
              <w:rPr>
                <w:rFonts w:ascii="Arial" w:hAnsi="Arial" w:cs="Arial"/>
                <w:color w:val="000000"/>
                <w:sz w:val="24"/>
              </w:rPr>
              <w:t>≥</w:t>
            </w:r>
            <w:r>
              <w:rPr>
                <w:rFonts w:hint="eastAsia" w:ascii="宋体" w:hAnsi="宋体" w:cs="宋体"/>
                <w:color w:val="000000"/>
                <w:sz w:val="24"/>
              </w:rPr>
              <w:t>95%</w:t>
            </w:r>
          </w:p>
        </w:tc>
      </w:tr>
    </w:tbl>
    <w:p>
      <w:pPr>
        <w:spacing w:line="580" w:lineRule="exact"/>
        <w:ind w:firstLine="643" w:firstLineChars="200"/>
        <w:rPr>
          <w:rFonts w:ascii="仿宋" w:hAnsi="仿宋" w:eastAsia="仿宋" w:cs="楷体_GB2312"/>
          <w:b/>
          <w:bCs/>
          <w:sz w:val="32"/>
          <w:szCs w:val="32"/>
        </w:rPr>
      </w:pPr>
      <w:bookmarkStart w:id="50" w:name="_Toc15396612"/>
      <w:bookmarkStart w:id="51" w:name="_Toc15377221"/>
    </w:p>
    <w:p>
      <w:pPr>
        <w:spacing w:line="580" w:lineRule="exact"/>
        <w:ind w:firstLine="643" w:firstLineChars="200"/>
        <w:rPr>
          <w:rFonts w:ascii="仿宋" w:hAnsi="仿宋" w:eastAsia="仿宋" w:cs="仿宋_GB2312"/>
          <w:sz w:val="32"/>
          <w:szCs w:val="32"/>
        </w:rPr>
      </w:pPr>
      <w:r>
        <w:rPr>
          <w:rFonts w:hint="eastAsia" w:ascii="仿宋" w:hAnsi="仿宋" w:eastAsia="仿宋" w:cs="楷体_GB2312"/>
          <w:b/>
          <w:bCs/>
          <w:sz w:val="32"/>
          <w:szCs w:val="32"/>
        </w:rPr>
        <w:t>（三）部门开展绩效评价结果。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本部门按要求对2018年部门整体支出绩效评价情况开展自评，《达川区陈家乡部门2018年部门整体支出绩效评价报告》见附件。</w:t>
      </w:r>
    </w:p>
    <w:p>
      <w:pPr>
        <w:spacing w:line="600" w:lineRule="exact"/>
        <w:ind w:firstLine="800" w:firstLineChars="250"/>
        <w:outlineLvl w:val="1"/>
        <w:rPr>
          <w:rFonts w:ascii="黑体" w:hAnsi="黑体" w:eastAsia="黑体"/>
          <w:color w:val="000000"/>
          <w:sz w:val="32"/>
          <w:szCs w:val="32"/>
        </w:rPr>
      </w:pPr>
      <w:r>
        <w:rPr>
          <w:rFonts w:hint="eastAsia" w:ascii="仿宋_GB2312" w:hAnsi="仿宋_GB2312" w:eastAsia="仿宋_GB2312" w:cs="仿宋_GB2312"/>
          <w:sz w:val="32"/>
          <w:szCs w:val="32"/>
        </w:rPr>
        <w:t>本部门自行组织对财力保障项目开展了绩效评价，《陈家乡2018项目年绩效评价报告》见附件。</w:t>
      </w:r>
    </w:p>
    <w:p>
      <w:pPr>
        <w:spacing w:line="600" w:lineRule="exact"/>
        <w:ind w:firstLine="800" w:firstLineChars="250"/>
        <w:outlineLvl w:val="1"/>
        <w:rPr>
          <w:rStyle w:val="25"/>
          <w:rFonts w:ascii="黑体" w:hAnsi="黑体" w:eastAsia="黑体"/>
        </w:rPr>
      </w:pPr>
      <w:r>
        <w:rPr>
          <w:rFonts w:hint="eastAsia" w:ascii="黑体" w:hAnsi="黑体" w:eastAsia="黑体"/>
          <w:color w:val="000000"/>
          <w:sz w:val="32"/>
          <w:szCs w:val="32"/>
        </w:rPr>
        <w:t>十</w:t>
      </w:r>
      <w:r>
        <w:rPr>
          <w:rStyle w:val="25"/>
          <w:rFonts w:hint="eastAsia" w:ascii="黑体" w:hAnsi="黑体" w:eastAsia="黑体"/>
        </w:rPr>
        <w:t>一、</w:t>
      </w:r>
      <w:r>
        <w:rPr>
          <w:rStyle w:val="25"/>
          <w:rFonts w:hint="eastAsia" w:ascii="黑体" w:hAnsi="黑体" w:eastAsia="黑体"/>
          <w:b w:val="0"/>
        </w:rPr>
        <w:t>其他重要事项的情况说明</w:t>
      </w:r>
      <w:bookmarkEnd w:id="50"/>
      <w:bookmarkEnd w:id="51"/>
    </w:p>
    <w:p>
      <w:pPr>
        <w:spacing w:line="600" w:lineRule="exact"/>
        <w:ind w:firstLine="643" w:firstLineChars="200"/>
        <w:outlineLvl w:val="2"/>
        <w:rPr>
          <w:rFonts w:ascii="仿宋" w:hAnsi="仿宋" w:eastAsia="仿宋"/>
          <w:color w:val="000000"/>
          <w:sz w:val="32"/>
          <w:szCs w:val="32"/>
        </w:rPr>
      </w:pPr>
      <w:bookmarkStart w:id="52" w:name="_Toc15377222"/>
      <w:r>
        <w:rPr>
          <w:rFonts w:hint="eastAsia" w:ascii="仿宋" w:hAnsi="仿宋" w:eastAsia="仿宋"/>
          <w:b/>
          <w:color w:val="000000"/>
          <w:sz w:val="32"/>
          <w:szCs w:val="32"/>
        </w:rPr>
        <w:t>（一）机关运行经费支出情况</w:t>
      </w:r>
      <w:bookmarkEnd w:id="52"/>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ascii="仿宋_GB2312" w:eastAsia="仿宋_GB2312"/>
          <w:color w:val="000000"/>
          <w:sz w:val="32"/>
          <w:szCs w:val="32"/>
          <w:highlight w:val="yellow"/>
        </w:rPr>
        <w:t>201</w:t>
      </w:r>
      <w:r>
        <w:rPr>
          <w:rFonts w:hint="eastAsia" w:ascii="仿宋_GB2312" w:eastAsia="仿宋_GB2312"/>
          <w:color w:val="000000"/>
          <w:sz w:val="32"/>
          <w:szCs w:val="32"/>
          <w:highlight w:val="yellow"/>
        </w:rPr>
        <w:t>8年，达州市达川区陈家乡人民政府机关运行经费支出160.3万元，比</w:t>
      </w:r>
      <w:r>
        <w:rPr>
          <w:rFonts w:ascii="仿宋_GB2312" w:eastAsia="仿宋_GB2312"/>
          <w:color w:val="000000"/>
          <w:sz w:val="32"/>
          <w:szCs w:val="32"/>
          <w:highlight w:val="yellow"/>
        </w:rPr>
        <w:t>201</w:t>
      </w:r>
      <w:r>
        <w:rPr>
          <w:rFonts w:hint="eastAsia" w:ascii="仿宋_GB2312" w:eastAsia="仿宋_GB2312"/>
          <w:color w:val="000000"/>
          <w:sz w:val="32"/>
          <w:szCs w:val="32"/>
          <w:highlight w:val="yellow"/>
        </w:rPr>
        <w:t>7年增加了34.8万元，上升78.3</w:t>
      </w:r>
      <w:r>
        <w:rPr>
          <w:rFonts w:ascii="仿宋_GB2312" w:eastAsia="仿宋_GB2312"/>
          <w:color w:val="000000"/>
          <w:sz w:val="32"/>
          <w:szCs w:val="32"/>
          <w:highlight w:val="yellow"/>
        </w:rPr>
        <w:t>%</w:t>
      </w:r>
      <w:r>
        <w:rPr>
          <w:rFonts w:hint="eastAsia" w:ascii="仿宋_GB2312" w:eastAsia="仿宋_GB2312"/>
          <w:color w:val="000000"/>
          <w:sz w:val="32"/>
          <w:szCs w:val="32"/>
          <w:highlight w:val="yellow"/>
        </w:rPr>
        <w:t>。</w:t>
      </w:r>
      <w:r>
        <w:rPr>
          <w:rFonts w:hint="eastAsia" w:ascii="仿宋_GB2312" w:eastAsia="仿宋_GB2312"/>
          <w:color w:val="000000" w:themeColor="text1"/>
          <w:sz w:val="32"/>
          <w:szCs w:val="32"/>
          <w:highlight w:val="yellow"/>
          <w14:textFill>
            <w14:solidFill>
              <w14:schemeClr w14:val="tx1"/>
            </w14:solidFill>
          </w14:textFill>
        </w:rPr>
        <w:t>主要原因是脱贫攻坚及新进人员等。</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3" w:name="_Toc15377223"/>
      <w:r>
        <w:rPr>
          <w:rFonts w:hint="eastAsia" w:ascii="仿宋" w:hAnsi="仿宋" w:eastAsia="仿宋"/>
          <w:b/>
          <w:color w:val="000000"/>
          <w:sz w:val="32"/>
          <w:szCs w:val="32"/>
        </w:rPr>
        <w:t>（二）政府采购支出情况</w:t>
      </w:r>
      <w:bookmarkEnd w:id="53"/>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8年，达州市达川区陈家乡人民政府采购支出总额5.88万元，其中：政府采购货物支出5.88万元、政府采购工程支出0万元、政府采购服务支出0万元。主要用于2018年政府日常办公设备的购置。</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4" w:name="_Toc15377224"/>
      <w:r>
        <w:rPr>
          <w:rFonts w:hint="eastAsia" w:ascii="仿宋" w:hAnsi="仿宋" w:eastAsia="仿宋"/>
          <w:b/>
          <w:color w:val="000000"/>
          <w:sz w:val="32"/>
          <w:szCs w:val="32"/>
        </w:rPr>
        <w:t>（三）国有资产占有使用情况</w:t>
      </w:r>
      <w:bookmarkEnd w:id="54"/>
    </w:p>
    <w:p>
      <w:pPr>
        <w:autoSpaceDE w:val="0"/>
        <w:autoSpaceDN w:val="0"/>
        <w:adjustRightInd w:val="0"/>
        <w:spacing w:line="60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8年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日，陈家乡共有车辆1辆，其中：部级领导干部用车0辆、一般公务用车0辆、一般执法执勤用车0辆、特种专业技术用车0辆、其他用车1辆，</w:t>
      </w:r>
      <w:r>
        <w:rPr>
          <w:rFonts w:hint="eastAsia" w:ascii="仿宋_GB2312" w:eastAsia="仿宋_GB2312"/>
          <w:color w:val="000000" w:themeColor="text1"/>
          <w:sz w:val="32"/>
          <w:szCs w:val="32"/>
          <w14:textFill>
            <w14:solidFill>
              <w14:schemeClr w14:val="tx1"/>
            </w14:solidFill>
          </w14:textFill>
        </w:rPr>
        <w:t>其他用车主要是用于</w:t>
      </w:r>
      <w:r>
        <w:rPr>
          <w:rFonts w:hint="eastAsia" w:ascii="仿宋_GB2312" w:eastAsia="仿宋_GB2312"/>
          <w:color w:val="000000"/>
          <w:sz w:val="32"/>
          <w:szCs w:val="32"/>
        </w:rPr>
        <w:t>场镇垃圾清理用车，但本单位未使用，故未产生公务车运行维护费。</w:t>
      </w:r>
      <w:r>
        <w:rPr>
          <w:rFonts w:hint="eastAsia" w:ascii="仿宋_GB2312" w:eastAsia="仿宋_GB2312"/>
          <w:color w:val="000000" w:themeColor="text1"/>
          <w:sz w:val="32"/>
          <w:szCs w:val="32"/>
          <w14:textFill>
            <w14:solidFill>
              <w14:schemeClr w14:val="tx1"/>
            </w14:solidFill>
          </w14:textFill>
        </w:rPr>
        <w:t>单价</w:t>
      </w:r>
      <w:r>
        <w:rPr>
          <w:rFonts w:ascii="仿宋_GB2312" w:eastAsia="仿宋_GB2312"/>
          <w:color w:val="000000" w:themeColor="text1"/>
          <w:sz w:val="32"/>
          <w:szCs w:val="32"/>
          <w14:textFill>
            <w14:solidFill>
              <w14:schemeClr w14:val="tx1"/>
            </w14:solidFill>
          </w14:textFill>
        </w:rPr>
        <w:t>50</w:t>
      </w:r>
      <w:r>
        <w:rPr>
          <w:rFonts w:hint="eastAsia" w:ascii="仿宋_GB2312" w:eastAsia="仿宋_GB2312"/>
          <w:color w:val="000000" w:themeColor="text1"/>
          <w:sz w:val="32"/>
          <w:szCs w:val="32"/>
          <w14:textFill>
            <w14:solidFill>
              <w14:schemeClr w14:val="tx1"/>
            </w14:solidFill>
          </w14:textFill>
        </w:rPr>
        <w:t>万元以上通用设备0台（套），单价</w:t>
      </w:r>
      <w:r>
        <w:rPr>
          <w:rFonts w:ascii="仿宋_GB2312" w:eastAsia="仿宋_GB2312"/>
          <w:color w:val="000000" w:themeColor="text1"/>
          <w:sz w:val="32"/>
          <w:szCs w:val="32"/>
          <w14:textFill>
            <w14:solidFill>
              <w14:schemeClr w14:val="tx1"/>
            </w14:solidFill>
          </w14:textFill>
        </w:rPr>
        <w:t>100</w:t>
      </w:r>
      <w:r>
        <w:rPr>
          <w:rFonts w:hint="eastAsia" w:ascii="仿宋_GB2312" w:eastAsia="仿宋_GB2312"/>
          <w:color w:val="000000"/>
          <w:sz w:val="32"/>
          <w:szCs w:val="32"/>
        </w:rPr>
        <w:t>万元以上专用设备0台（套）。</w:t>
      </w:r>
    </w:p>
    <w:p>
      <w:pPr>
        <w:spacing w:line="600" w:lineRule="exact"/>
        <w:outlineLvl w:val="0"/>
        <w:rPr>
          <w:rFonts w:ascii="黑体" w:hAnsi="黑体" w:eastAsia="黑体"/>
          <w:b/>
          <w:color w:val="000000"/>
          <w:sz w:val="44"/>
          <w:szCs w:val="44"/>
        </w:rPr>
      </w:pPr>
      <w:bookmarkStart w:id="55" w:name="_Toc15396613"/>
      <w:bookmarkStart w:id="56" w:name="_Toc15377225"/>
    </w:p>
    <w:p>
      <w:pPr>
        <w:spacing w:line="600" w:lineRule="exact"/>
        <w:outlineLvl w:val="0"/>
        <w:rPr>
          <w:rFonts w:ascii="黑体" w:hAnsi="黑体" w:eastAsia="黑体"/>
          <w:b/>
          <w:color w:val="000000"/>
          <w:sz w:val="44"/>
          <w:szCs w:val="44"/>
        </w:rPr>
      </w:pPr>
    </w:p>
    <w:p>
      <w:pPr>
        <w:spacing w:line="600" w:lineRule="exact"/>
        <w:outlineLvl w:val="0"/>
        <w:rPr>
          <w:rFonts w:ascii="黑体" w:hAnsi="黑体" w:eastAsia="黑体"/>
          <w:b/>
          <w:color w:val="000000"/>
          <w:sz w:val="44"/>
          <w:szCs w:val="44"/>
        </w:rPr>
      </w:pPr>
    </w:p>
    <w:p>
      <w:pPr>
        <w:spacing w:line="600" w:lineRule="exact"/>
        <w:outlineLvl w:val="0"/>
        <w:rPr>
          <w:rFonts w:ascii="黑体" w:hAnsi="黑体" w:eastAsia="黑体"/>
          <w:b/>
          <w:color w:val="000000"/>
          <w:sz w:val="44"/>
          <w:szCs w:val="44"/>
        </w:rPr>
      </w:pPr>
    </w:p>
    <w:p>
      <w:pPr>
        <w:spacing w:line="600" w:lineRule="exact"/>
        <w:outlineLvl w:val="0"/>
        <w:rPr>
          <w:rFonts w:ascii="黑体" w:hAnsi="黑体" w:eastAsia="黑体"/>
          <w:b/>
          <w:color w:val="000000"/>
          <w:sz w:val="44"/>
          <w:szCs w:val="44"/>
        </w:rPr>
      </w:pPr>
    </w:p>
    <w:p>
      <w:pPr>
        <w:spacing w:line="600" w:lineRule="exact"/>
        <w:outlineLvl w:val="0"/>
        <w:rPr>
          <w:rFonts w:ascii="黑体" w:hAnsi="黑体" w:eastAsia="黑体"/>
          <w:b/>
          <w:color w:val="000000"/>
          <w:sz w:val="44"/>
          <w:szCs w:val="44"/>
        </w:rPr>
      </w:pPr>
    </w:p>
    <w:p>
      <w:pPr>
        <w:spacing w:line="600" w:lineRule="exact"/>
        <w:outlineLvl w:val="0"/>
        <w:rPr>
          <w:rFonts w:ascii="黑体" w:hAnsi="黑体" w:eastAsia="黑体"/>
          <w:b/>
          <w:color w:val="000000"/>
          <w:sz w:val="44"/>
          <w:szCs w:val="44"/>
        </w:rPr>
      </w:pPr>
    </w:p>
    <w:p>
      <w:pPr>
        <w:spacing w:line="600" w:lineRule="exact"/>
        <w:outlineLvl w:val="0"/>
        <w:rPr>
          <w:rFonts w:ascii="黑体" w:hAnsi="黑体" w:eastAsia="黑体"/>
          <w:b/>
          <w:color w:val="000000"/>
          <w:sz w:val="44"/>
          <w:szCs w:val="44"/>
        </w:rPr>
      </w:pPr>
    </w:p>
    <w:p>
      <w:pPr>
        <w:spacing w:line="600" w:lineRule="exact"/>
        <w:outlineLvl w:val="0"/>
        <w:rPr>
          <w:rFonts w:ascii="黑体" w:hAnsi="黑体" w:eastAsia="黑体"/>
          <w:b/>
          <w:color w:val="000000"/>
          <w:sz w:val="44"/>
          <w:szCs w:val="44"/>
        </w:rPr>
      </w:pPr>
    </w:p>
    <w:p>
      <w:pPr>
        <w:spacing w:line="600" w:lineRule="exact"/>
        <w:outlineLvl w:val="0"/>
        <w:rPr>
          <w:rFonts w:ascii="黑体" w:hAnsi="黑体" w:eastAsia="黑体"/>
          <w:b/>
          <w:color w:val="000000"/>
          <w:sz w:val="44"/>
          <w:szCs w:val="44"/>
        </w:rPr>
      </w:pPr>
    </w:p>
    <w:p>
      <w:pPr>
        <w:spacing w:line="600" w:lineRule="exact"/>
        <w:outlineLvl w:val="0"/>
        <w:rPr>
          <w:rFonts w:ascii="黑体" w:hAnsi="黑体" w:eastAsia="黑体"/>
          <w:b/>
          <w:color w:val="000000"/>
          <w:sz w:val="44"/>
          <w:szCs w:val="44"/>
        </w:rPr>
      </w:pPr>
    </w:p>
    <w:p>
      <w:pPr>
        <w:spacing w:line="600" w:lineRule="exact"/>
        <w:outlineLvl w:val="0"/>
        <w:rPr>
          <w:rFonts w:ascii="黑体" w:hAnsi="黑体" w:eastAsia="黑体"/>
          <w:b/>
          <w:color w:val="000000"/>
          <w:sz w:val="44"/>
          <w:szCs w:val="44"/>
        </w:rPr>
      </w:pPr>
    </w:p>
    <w:p>
      <w:pPr>
        <w:spacing w:line="600" w:lineRule="exact"/>
        <w:outlineLvl w:val="0"/>
        <w:rPr>
          <w:rFonts w:ascii="黑体" w:hAnsi="黑体" w:eastAsia="黑体"/>
          <w:b/>
          <w:color w:val="000000"/>
          <w:sz w:val="44"/>
          <w:szCs w:val="44"/>
        </w:rPr>
      </w:pPr>
    </w:p>
    <w:p>
      <w:pPr>
        <w:spacing w:line="600" w:lineRule="exact"/>
        <w:outlineLvl w:val="0"/>
        <w:rPr>
          <w:rFonts w:ascii="黑体" w:hAnsi="黑体" w:eastAsia="黑体"/>
          <w:b/>
          <w:color w:val="000000"/>
          <w:sz w:val="44"/>
          <w:szCs w:val="44"/>
        </w:rPr>
      </w:pPr>
    </w:p>
    <w:p>
      <w:pPr>
        <w:spacing w:line="600" w:lineRule="exact"/>
        <w:outlineLvl w:val="0"/>
        <w:rPr>
          <w:rFonts w:ascii="黑体" w:hAnsi="黑体" w:eastAsia="黑体"/>
          <w:b/>
          <w:color w:val="000000"/>
          <w:sz w:val="44"/>
          <w:szCs w:val="44"/>
        </w:rPr>
      </w:pPr>
    </w:p>
    <w:p>
      <w:pPr>
        <w:spacing w:line="600" w:lineRule="exact"/>
        <w:outlineLvl w:val="0"/>
        <w:rPr>
          <w:rFonts w:ascii="黑体" w:hAnsi="黑体" w:eastAsia="黑体"/>
          <w:b/>
          <w:color w:val="000000"/>
          <w:sz w:val="44"/>
          <w:szCs w:val="44"/>
        </w:rPr>
      </w:pPr>
    </w:p>
    <w:p>
      <w:pPr>
        <w:spacing w:line="600" w:lineRule="exact"/>
        <w:outlineLvl w:val="0"/>
        <w:rPr>
          <w:rFonts w:ascii="黑体" w:hAnsi="黑体" w:eastAsia="黑体"/>
          <w:b/>
          <w:color w:val="000000"/>
          <w:sz w:val="44"/>
          <w:szCs w:val="44"/>
        </w:rPr>
      </w:pPr>
    </w:p>
    <w:p>
      <w:pPr>
        <w:spacing w:line="600" w:lineRule="exact"/>
        <w:outlineLvl w:val="0"/>
        <w:rPr>
          <w:rFonts w:ascii="黑体" w:hAnsi="黑体" w:eastAsia="黑体"/>
          <w:b/>
          <w:color w:val="000000"/>
          <w:sz w:val="44"/>
          <w:szCs w:val="44"/>
        </w:rPr>
      </w:pPr>
    </w:p>
    <w:p>
      <w:pPr>
        <w:spacing w:line="600" w:lineRule="exact"/>
        <w:jc w:val="center"/>
        <w:outlineLvl w:val="0"/>
        <w:rPr>
          <w:rFonts w:ascii="宋体"/>
          <w:b/>
          <w:color w:val="000000"/>
          <w:sz w:val="44"/>
          <w:szCs w:val="44"/>
        </w:rPr>
      </w:pPr>
      <w:r>
        <w:rPr>
          <w:rFonts w:hint="eastAsia" w:ascii="黑体" w:hAnsi="黑体" w:eastAsia="黑体"/>
          <w:b/>
          <w:color w:val="000000"/>
          <w:sz w:val="44"/>
          <w:szCs w:val="44"/>
        </w:rPr>
        <w:t>第三部分名</w:t>
      </w:r>
      <w:r>
        <w:rPr>
          <w:rStyle w:val="24"/>
          <w:rFonts w:hint="eastAsia" w:ascii="黑体" w:hAnsi="黑体" w:eastAsia="黑体"/>
          <w:b w:val="0"/>
        </w:rPr>
        <w:t>词解释</w:t>
      </w:r>
      <w:bookmarkEnd w:id="55"/>
      <w:bookmarkEnd w:id="56"/>
    </w:p>
    <w:p>
      <w:pPr>
        <w:spacing w:line="600" w:lineRule="exact"/>
        <w:ind w:firstLine="640" w:firstLineChars="200"/>
        <w:jc w:val="left"/>
        <w:outlineLvl w:val="0"/>
        <w:rPr>
          <w:rFonts w:ascii="仿宋_GB2312" w:eastAsia="仿宋_GB2312"/>
          <w:sz w:val="32"/>
          <w:szCs w:val="32"/>
        </w:rPr>
      </w:pPr>
      <w:bookmarkStart w:id="57" w:name="_Toc15377226"/>
      <w:r>
        <w:rPr>
          <w:rFonts w:hint="eastAsia" w:ascii="仿宋_GB2312" w:eastAsia="仿宋_GB2312"/>
          <w:sz w:val="32"/>
          <w:szCs w:val="32"/>
        </w:rPr>
        <w:t>1、财政拨款收入：指区级财政当年拨付的资金。</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2、一般公共服务（类）政府办公厅（室）及相关机构事务（款）行政运行（项）：反映行政单位（包括实行公务员管理的事业单位）的基本支出。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3、 一般公共服务支出（类）政府办公厅（室）及相关机构事务（款）一般行政管理事务（项）：反应行政单位</w:t>
      </w:r>
      <w:r>
        <w:rPr>
          <w:rFonts w:hint="eastAsia" w:ascii="仿宋_GB2312" w:eastAsia="仿宋_GB2312"/>
          <w:sz w:val="32"/>
          <w:szCs w:val="32"/>
          <w:lang w:eastAsia="zh-CN"/>
        </w:rPr>
        <w:t>行政管理事务</w:t>
      </w:r>
      <w:r>
        <w:rPr>
          <w:rFonts w:hint="eastAsia" w:ascii="仿宋_GB2312" w:eastAsia="仿宋_GB2312"/>
          <w:sz w:val="32"/>
          <w:szCs w:val="32"/>
        </w:rPr>
        <w:t>方面的支出。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4、一般公共服务（类）财政事务（款）行政运行（项）：反映财政方面的支出。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5、一般公共服务支出（类）纪检监察事务（款）其他纪检监察事务支出（项）：反应本单位纪检监察相关事物支出。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6、文化体育与传媒支出（类）文化（款）群众文化（项）：反映群众文化方面的支出，包括基层文化馆（站）、群众艺术馆支出等。</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 xml:space="preserve">7、文化体育与传媒支出（类）新闻出版广播影视（款）广播（项）：反映广播系统职工工资及影视方面的支出。 </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8、社会保障和就业支出（类）行政事业单位离退休（款）  机关事业单位基本养老保险缴费支出★（项）：反映机关事业单位基本养老保险缴费。</w:t>
      </w:r>
    </w:p>
    <w:p>
      <w:pPr>
        <w:spacing w:line="600" w:lineRule="exact"/>
        <w:ind w:firstLine="640" w:firstLineChars="200"/>
        <w:rPr>
          <w:rStyle w:val="14"/>
          <w:rFonts w:ascii="仿宋" w:hAnsi="仿宋" w:eastAsia="仿宋"/>
          <w:b w:val="0"/>
          <w:bCs/>
          <w:color w:val="000000"/>
          <w:sz w:val="32"/>
          <w:szCs w:val="32"/>
        </w:rPr>
      </w:pPr>
      <w:r>
        <w:rPr>
          <w:rFonts w:hint="eastAsia" w:ascii="仿宋_GB2312" w:eastAsia="仿宋_GB2312"/>
          <w:sz w:val="32"/>
          <w:szCs w:val="32"/>
        </w:rPr>
        <w:t>9、社会保障和就业支出（类）行政事业单位离退休（款）机关事业单位职业年金缴费支出★（项）：反应机关事业</w:t>
      </w:r>
      <w:r>
        <w:rPr>
          <w:rStyle w:val="14"/>
          <w:rFonts w:hint="eastAsia" w:ascii="仿宋" w:hAnsi="仿宋" w:eastAsia="仿宋"/>
          <w:b w:val="0"/>
          <w:bCs/>
          <w:color w:val="000000"/>
          <w:sz w:val="32"/>
          <w:szCs w:val="32"/>
        </w:rPr>
        <w:t>单位职业年金单位部分缴费情况。</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10社会保障和就业支出（类）抚恤（款）死亡抚恤（项）反应机关事业单位职工死亡抚恤金安葬费等情况。</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11、社会保障和就业支出（类）抚恤（款）在乡复员、退伍军人生活补助（项）：反映复员、退伍军人领取的生活补助等方面的支出。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12、社会保障和就业支出（类）残疾人事业（款）其他残疾人事业支出（项）：主要反应残疾人专职委员相关工资福利费开支。</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 xml:space="preserve">13、社会保障和就业支出（类）抚恤（款）义务兵优待（项）：反映义务兵优待方面的支出。 </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14、社会保障和就业支出（类）特困人员救助供养★（款）农村特困人员救助供养支出★（项）：反映用于城乡五保人员的生活补助支出。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15、医疗卫生与计划生育支出（类）计划生育事务（款）计划生育机构（项）：反映卫生和计划生育部门所属计划生育机构的支出。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16、医疗卫生与计划生育支出（类）行政事业单位医疗（款）行政单位医疗（项）：反映财政部门集中安排的行政单位基本医疗保险缴费经费，未参加医疗保险的行政单位的公费医疗经费，按国家规定享受离休人员、红军老战士待遇的人员的医疗经费。</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17、医疗卫生与计划生育支出（类）行政事业单位医疗（款）事业单位医疗（项）：反映财政部门集中安排的事业单位的公费医疗经费，按国家规定享受离休人员待遇的医疗经费。</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18、医疗卫生与计划生育支出（类）行政事业单位医疗（款）公务员医疗补助★（项）：主要反映本单位公务员医疗补助缴费的情况。</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19、医疗卫生与计划生育支出（类）计划生育事务（款）其他计划生育事物支出（项）：反应计划生育机构事业单位部门等发生的支出。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20、城乡社区支出（类）城乡社区环境卫生（款）  城乡社区环境卫生（项）：主要反映本单位辖区城乡社区环境整治等费用支出。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21、城乡社区支出（类）国有土地使用权出让收入及对应专项债务收入安排的支出（款）其他国有土地使用权出让收入安排的支出（项）：反映一事一议等安排与社区建设发展的其他支出。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22、城乡社区支出（类）其他城乡社区支出（款）其他城乡社区支出（项）：反应城乡社区其他方面支出。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23、农林水支出（类）农业（款）事业运行（项）：反映用于农业事业单位基本支出，事业单位设施、系统运行与资产维护等方面的支出。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24、农林水支出（类）农业（款）农村道路建设（项）：反映对农村道路建设的补助支出。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25、农林水支出（类）扶贫（款）其他扶贫支出（项）：反映用于农村脱贫攻坚中的支出。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26、农林水支出（类）农业综合开发（款）产业化经营（项）：支出决算为10万元，主要反映农村产业发展的补助支出。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27、农林水支出（类）农村综合改革（款）对村级一事一议的补助（项）：反映农村对村级一事一议财政奖补情况的支出。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28、农林水支出（类）农村综合改革（款）对村民委员会和村支部的补助（项）：反映各级财政对村民委员会和村党支部的补助支出。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29、住房保障支出（类）住房改革支出（款）  住房公积金（项）：反映用于本乡职工住房公积金缴存等支出。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30、其他支出（类）彩票公益金及对应专项债务收入安排的支出（款）用于体育事业的彩票公益金支出（项）：反映用于本乡维修维护支出。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31、结余分配：指事业单位按规定提取的职工福利基金、事业基金和缴纳的所得税，以及建设单位按规定应交回的基本建设竣工项目结余资金。</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32、年末结转和结余：指本年度或以前年度预算安排、因客观条件发生变化无法按原计划实施，需延迟到以后年度按有关规定继续使用的资金。</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33、基本支出：指为保障机构正常运转、完成日常工作任务而发生的人员支出和公用支出。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 xml:space="preserve">34、项目支出：指在基本支出之外为完成特定行政任务和事业发展目标所发生的支出。 </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35、经营支出：指事业单位在专业业务活动及其辅助活动之外开展非独立核算经营活动发生的支出。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36、“三公”经费：纳入区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37、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ind w:firstLine="883" w:firstLineChars="200"/>
        <w:jc w:val="center"/>
        <w:outlineLvl w:val="0"/>
        <w:rPr>
          <w:rStyle w:val="24"/>
          <w:rFonts w:ascii="黑体" w:hAnsi="黑体" w:eastAsia="黑体"/>
          <w:b w:val="0"/>
        </w:rPr>
      </w:pPr>
      <w:r>
        <w:rPr>
          <w:rFonts w:ascii="宋体"/>
          <w:b/>
          <w:color w:val="000000"/>
          <w:sz w:val="44"/>
          <w:szCs w:val="44"/>
        </w:rPr>
        <w:br w:type="page"/>
      </w:r>
      <w:bookmarkStart w:id="58" w:name="_Toc15396614"/>
      <w:r>
        <w:rPr>
          <w:rFonts w:hint="eastAsia" w:ascii="黑体" w:hAnsi="黑体" w:eastAsia="黑体"/>
          <w:color w:val="000000"/>
          <w:sz w:val="44"/>
          <w:szCs w:val="44"/>
        </w:rPr>
        <w:t>第</w:t>
      </w:r>
      <w:r>
        <w:rPr>
          <w:rStyle w:val="24"/>
          <w:rFonts w:hint="eastAsia" w:ascii="黑体" w:hAnsi="黑体" w:eastAsia="黑体"/>
          <w:b w:val="0"/>
        </w:rPr>
        <w:t>四部分 附件</w:t>
      </w:r>
      <w:bookmarkEnd w:id="58"/>
    </w:p>
    <w:p>
      <w:pPr>
        <w:spacing w:line="600" w:lineRule="exact"/>
        <w:jc w:val="center"/>
        <w:outlineLvl w:val="0"/>
        <w:rPr>
          <w:rStyle w:val="24"/>
        </w:rPr>
      </w:pPr>
    </w:p>
    <w:p>
      <w:pPr>
        <w:pStyle w:val="3"/>
        <w:rPr>
          <w:rStyle w:val="24"/>
          <w:rFonts w:ascii="仿宋" w:hAnsi="仿宋" w:eastAsia="仿宋"/>
          <w:b w:val="0"/>
          <w:bCs w:val="0"/>
          <w:sz w:val="32"/>
          <w:szCs w:val="32"/>
        </w:rPr>
      </w:pPr>
      <w:bookmarkStart w:id="59" w:name="_Toc15396615"/>
      <w:r>
        <w:rPr>
          <w:rStyle w:val="24"/>
          <w:rFonts w:hint="eastAsia" w:ascii="仿宋" w:hAnsi="仿宋" w:eastAsia="仿宋"/>
          <w:b w:val="0"/>
          <w:bCs w:val="0"/>
          <w:sz w:val="32"/>
          <w:szCs w:val="32"/>
        </w:rPr>
        <w:t>附件1</w:t>
      </w:r>
      <w:bookmarkEnd w:id="59"/>
    </w:p>
    <w:p>
      <w:pPr>
        <w:spacing w:line="600" w:lineRule="exact"/>
        <w:jc w:val="center"/>
        <w:outlineLvl w:val="0"/>
        <w:rPr>
          <w:rFonts w:ascii="黑体" w:hAnsi="黑体" w:eastAsia="黑体" w:cs="方正小标宋简体"/>
          <w:sz w:val="36"/>
          <w:szCs w:val="36"/>
        </w:rPr>
      </w:pPr>
      <w:bookmarkStart w:id="60" w:name="_Toc15396616"/>
      <w:r>
        <w:rPr>
          <w:rFonts w:hint="eastAsia" w:ascii="黑体" w:hAnsi="黑体" w:eastAsia="黑体" w:cs="方正小标宋简体"/>
          <w:sz w:val="36"/>
          <w:szCs w:val="36"/>
        </w:rPr>
        <w:t>陈家乡部门2018年部门整体支出绩效评价报告</w:t>
      </w:r>
      <w:bookmarkEnd w:id="60"/>
    </w:p>
    <w:p>
      <w:pPr>
        <w:spacing w:line="580" w:lineRule="exact"/>
        <w:ind w:firstLine="640" w:firstLineChars="200"/>
        <w:rPr>
          <w:rFonts w:ascii="黑体" w:hAnsi="黑体" w:eastAsia="黑体" w:cs="黑体"/>
          <w:sz w:val="32"/>
          <w:szCs w:val="32"/>
        </w:rPr>
      </w:pP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一、部门（单位）概况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陈家乡政府位于达川区东南部，幅面积36平方公里，总人口20514人（其中农业人口19844人），辖7个村、137个社、1个居民委员会。陈家乡水田10811亩，旱地4209亩，园地680亩，林地9499亩。农业经济主要以种植、养殖业为主。</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（一）机构组成。</w:t>
      </w:r>
    </w:p>
    <w:p>
      <w:pPr>
        <w:pStyle w:val="5"/>
        <w:adjustRightInd w:val="0"/>
        <w:snapToGrid w:val="0"/>
        <w:spacing w:before="93" w:line="578" w:lineRule="exact"/>
        <w:ind w:firstLine="672" w:firstLineChars="210"/>
        <w:rPr>
          <w:rFonts w:ascii="仿宋" w:hAnsi="仿宋" w:eastAsia="仿宋" w:cs="仿宋_GB2312"/>
          <w:sz w:val="32"/>
          <w:szCs w:val="32"/>
        </w:rPr>
      </w:pPr>
      <w:r>
        <w:rPr>
          <w:rFonts w:hint="eastAsia" w:hAnsi="宋体"/>
          <w:sz w:val="32"/>
          <w:szCs w:val="32"/>
        </w:rPr>
        <w:t>陈家乡下属二级单位4个，其中行政单位1个，其他事业单位3个。</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w:t>
      </w:r>
      <w:r>
        <w:rPr>
          <w:rFonts w:ascii="仿宋" w:hAnsi="仿宋" w:eastAsia="仿宋" w:cs="仿宋_GB2312"/>
          <w:sz w:val="32"/>
          <w:szCs w:val="32"/>
        </w:rPr>
        <w:t>机构职能。</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陈家乡政府主要职责、职能为贯彻落实党和政府各项路线方针政策；为经济发展提供服务；建立和健全农村社会化服务体系，为群众提供各项公共服务；进一步强化社会管理职能，加强辖区内的社会治安综合管理；进一步加强基层组织管理，加强基层领导班子、干部队伍的建设；法律、法规、规章和上级规定的其他事项。推进达川区陈家乡经济发展、改善人民生活、保持农村社会稳定、偿还乡镇和村级债务、搞好场镇建设和加快新农村基础设施建设工作。</w:t>
      </w:r>
    </w:p>
    <w:p>
      <w:pPr>
        <w:spacing w:line="580" w:lineRule="exact"/>
        <w:ind w:left="420" w:leftChars="200"/>
        <w:rPr>
          <w:rFonts w:ascii="仿宋" w:hAnsi="仿宋" w:eastAsia="仿宋" w:cs="仿宋_GB2312"/>
          <w:sz w:val="32"/>
          <w:szCs w:val="32"/>
        </w:rPr>
      </w:pPr>
      <w:r>
        <w:rPr>
          <w:rFonts w:hint="eastAsia" w:ascii="仿宋" w:hAnsi="仿宋" w:eastAsia="仿宋" w:cs="仿宋_GB2312"/>
          <w:sz w:val="32"/>
          <w:szCs w:val="32"/>
        </w:rPr>
        <w:t>（三）</w:t>
      </w:r>
      <w:r>
        <w:rPr>
          <w:rFonts w:ascii="仿宋" w:hAnsi="仿宋" w:eastAsia="仿宋" w:cs="仿宋_GB2312"/>
          <w:sz w:val="32"/>
          <w:szCs w:val="32"/>
        </w:rPr>
        <w:t>人员概况。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陈家乡编制人数29人，其中行政编制16人(含工勤2人)，事业编制10人；2018年末实有人数26人，其中公共预算财政拨款人数16人，公共预算财政补助开支人数10人。</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二、部门财政资金收支情况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（一）部门财政资金收入情况。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2018年本年收入合计1241.22万元，其中：一般公共预算财政拨款收入1158.22万元，占93.31%；政府性基金预算财政拨款收入83万元，占6.69%；国有资本经营预算财政拨款收入0万元，占0%；事业收入0万元，占0%；经营收入0万元，占0%；附属单位上缴收入0万元，占0%；其他收入0万元，占0%。</w:t>
      </w:r>
    </w:p>
    <w:p>
      <w:pPr>
        <w:numPr>
          <w:ilvl w:val="0"/>
          <w:numId w:val="7"/>
        </w:num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部门财政资金支出情况。</w:t>
      </w:r>
    </w:p>
    <w:p>
      <w:pPr>
        <w:spacing w:line="600" w:lineRule="exact"/>
        <w:ind w:firstLine="640"/>
        <w:rPr>
          <w:rFonts w:ascii="仿宋" w:hAnsi="仿宋" w:eastAsia="仿宋" w:cs="仿宋_GB2312"/>
          <w:sz w:val="32"/>
          <w:szCs w:val="32"/>
        </w:rPr>
      </w:pPr>
      <w:r>
        <w:rPr>
          <w:rFonts w:ascii="仿宋" w:hAnsi="仿宋" w:eastAsia="仿宋"/>
          <w:color w:val="000000"/>
          <w:sz w:val="32"/>
          <w:szCs w:val="32"/>
        </w:rPr>
        <w:t>201</w:t>
      </w:r>
      <w:r>
        <w:rPr>
          <w:rFonts w:hint="eastAsia" w:ascii="仿宋" w:hAnsi="仿宋" w:eastAsia="仿宋"/>
          <w:color w:val="000000"/>
          <w:sz w:val="32"/>
          <w:szCs w:val="32"/>
        </w:rPr>
        <w:t>8年本年支出合计1241.22万元，其中：基本支出806.56万元，占64.98</w:t>
      </w:r>
      <w:r>
        <w:rPr>
          <w:rFonts w:ascii="仿宋" w:hAnsi="仿宋" w:eastAsia="仿宋"/>
          <w:color w:val="000000"/>
          <w:sz w:val="32"/>
          <w:szCs w:val="32"/>
        </w:rPr>
        <w:t>%</w:t>
      </w:r>
      <w:r>
        <w:rPr>
          <w:rFonts w:hint="eastAsia" w:ascii="仿宋" w:hAnsi="仿宋" w:eastAsia="仿宋"/>
          <w:color w:val="000000"/>
          <w:sz w:val="32"/>
          <w:szCs w:val="32"/>
        </w:rPr>
        <w:t>；项目支出434.66万元，占35.02</w:t>
      </w:r>
      <w:r>
        <w:rPr>
          <w:rFonts w:ascii="仿宋" w:hAnsi="仿宋" w:eastAsia="仿宋"/>
          <w:color w:val="000000"/>
          <w:sz w:val="32"/>
          <w:szCs w:val="32"/>
        </w:rPr>
        <w:t>%</w:t>
      </w:r>
      <w:r>
        <w:rPr>
          <w:rFonts w:hint="eastAsia" w:ascii="仿宋" w:hAnsi="仿宋" w:eastAsia="仿宋"/>
          <w:color w:val="000000"/>
          <w:sz w:val="32"/>
          <w:szCs w:val="32"/>
        </w:rPr>
        <w:t>；上缴上级支出0万元，占0</w:t>
      </w:r>
      <w:r>
        <w:rPr>
          <w:rFonts w:ascii="仿宋" w:hAnsi="仿宋" w:eastAsia="仿宋"/>
          <w:color w:val="000000"/>
          <w:sz w:val="32"/>
          <w:szCs w:val="32"/>
        </w:rPr>
        <w:t>%</w:t>
      </w:r>
      <w:r>
        <w:rPr>
          <w:rFonts w:hint="eastAsia" w:ascii="仿宋" w:hAnsi="仿宋" w:eastAsia="仿宋"/>
          <w:color w:val="000000"/>
          <w:sz w:val="32"/>
          <w:szCs w:val="32"/>
        </w:rPr>
        <w:t>；经营支出0万元，占0</w:t>
      </w:r>
      <w:r>
        <w:rPr>
          <w:rFonts w:ascii="仿宋" w:hAnsi="仿宋" w:eastAsia="仿宋"/>
          <w:color w:val="000000"/>
          <w:sz w:val="32"/>
          <w:szCs w:val="32"/>
        </w:rPr>
        <w:t>%</w:t>
      </w:r>
      <w:r>
        <w:rPr>
          <w:rFonts w:hint="eastAsia" w:ascii="仿宋" w:hAnsi="仿宋" w:eastAsia="仿宋"/>
          <w:color w:val="000000"/>
          <w:sz w:val="32"/>
          <w:szCs w:val="32"/>
        </w:rPr>
        <w:t>；对附属单位补助支出0万元，占0</w:t>
      </w:r>
      <w:r>
        <w:rPr>
          <w:rFonts w:ascii="仿宋" w:hAnsi="仿宋" w:eastAsia="仿宋"/>
          <w:color w:val="000000"/>
          <w:sz w:val="32"/>
          <w:szCs w:val="32"/>
        </w:rPr>
        <w:t>%</w:t>
      </w:r>
      <w:r>
        <w:rPr>
          <w:rFonts w:hint="eastAsia" w:ascii="仿宋" w:hAnsi="仿宋" w:eastAsia="仿宋"/>
          <w:color w:val="000000"/>
          <w:sz w:val="32"/>
          <w:szCs w:val="32"/>
        </w:rPr>
        <w:t>。</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三、部门整体预算绩效管理情况（根据适用指标体系进行调整）</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（一）部门预算管理。</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包括部门绩效目标制定、目标完成、预算编制准确、支出控制、预算动态调整、执行进度、预算完成情况和违规记录等情况。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（二）专项预算管理。</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包括专项预算项目程序严密、规划合理、结果符合、分配科学、分配及时、专项预算绩效目标完成、实施绩效、违规记录等情况。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（三）结果应用情况。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包括部门自评质量、绩效目标公开和自评公开、评价结果整改和应用结果反馈等情况。</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四、评价结论及建议</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spacing w:line="580" w:lineRule="exact"/>
        <w:ind w:firstLine="640" w:firstLineChars="200"/>
        <w:rPr>
          <w:rFonts w:ascii="仿宋" w:hAnsi="仿宋" w:eastAsia="仿宋" w:cs="仿宋_GB2312"/>
          <w:sz w:val="32"/>
          <w:szCs w:val="32"/>
        </w:rPr>
      </w:pPr>
      <w:r>
        <w:rPr>
          <w:rFonts w:hint="eastAsia" w:ascii="仿宋" w:hAnsi="仿宋" w:eastAsia="仿宋" w:cs="仿宋"/>
          <w:sz w:val="32"/>
          <w:szCs w:val="32"/>
        </w:rPr>
        <w:t>总体看，我单位预算编制及执行决算较为准确，支出管理较为规范，财务管理制度较完善，部门整体绩效较好。部门支出绩效自评得分为100分。</w:t>
      </w:r>
    </w:p>
    <w:p>
      <w:pPr>
        <w:numPr>
          <w:ilvl w:val="0"/>
          <w:numId w:val="8"/>
        </w:num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存在问题。</w:t>
      </w:r>
    </w:p>
    <w:p>
      <w:pPr>
        <w:spacing w:line="578" w:lineRule="exact"/>
        <w:ind w:firstLine="640" w:firstLineChars="200"/>
        <w:rPr>
          <w:rFonts w:ascii="仿宋" w:hAnsi="仿宋" w:eastAsia="仿宋" w:cs="仿宋"/>
          <w:sz w:val="32"/>
          <w:szCs w:val="32"/>
        </w:rPr>
      </w:pPr>
      <w:r>
        <w:rPr>
          <w:rFonts w:hint="eastAsia" w:ascii="仿宋" w:hAnsi="仿宋" w:eastAsia="仿宋" w:cs="仿宋"/>
          <w:sz w:val="32"/>
          <w:szCs w:val="32"/>
        </w:rPr>
        <w:t>1、政府采购方面。政府采购方面存在等的思想，不能及时与上级沟通。</w:t>
      </w:r>
    </w:p>
    <w:p>
      <w:pPr>
        <w:spacing w:line="578" w:lineRule="exact"/>
        <w:ind w:firstLine="640" w:firstLineChars="200"/>
        <w:rPr>
          <w:rFonts w:ascii="仿宋" w:hAnsi="仿宋" w:eastAsia="仿宋" w:cs="仿宋"/>
          <w:sz w:val="32"/>
          <w:szCs w:val="32"/>
        </w:rPr>
      </w:pPr>
      <w:r>
        <w:rPr>
          <w:rFonts w:hint="eastAsia" w:ascii="仿宋" w:hAnsi="仿宋" w:eastAsia="仿宋" w:cs="仿宋"/>
          <w:sz w:val="32"/>
          <w:szCs w:val="32"/>
        </w:rPr>
        <w:t>2、资产管理方面。在平时工作中对资产管理的知识学习不够，经验不足。</w:t>
      </w:r>
    </w:p>
    <w:p>
      <w:pPr>
        <w:spacing w:line="578" w:lineRule="exact"/>
        <w:ind w:firstLine="640" w:firstLineChars="200"/>
        <w:rPr>
          <w:rFonts w:ascii="仿宋" w:hAnsi="仿宋" w:eastAsia="仿宋" w:cs="仿宋"/>
          <w:sz w:val="32"/>
          <w:szCs w:val="32"/>
        </w:rPr>
      </w:pPr>
      <w:r>
        <w:rPr>
          <w:rFonts w:hint="eastAsia" w:ascii="仿宋" w:hAnsi="仿宋" w:eastAsia="仿宋" w:cs="仿宋"/>
          <w:sz w:val="32"/>
          <w:szCs w:val="32"/>
        </w:rPr>
        <w:t>3、财务管理及会计核算方面。在工学矛盾处理不够好，就导致做账不够及时。</w:t>
      </w:r>
    </w:p>
    <w:p>
      <w:pPr>
        <w:spacing w:line="578" w:lineRule="exact"/>
        <w:ind w:firstLine="640" w:firstLineChars="200"/>
        <w:rPr>
          <w:rFonts w:ascii="仿宋" w:hAnsi="仿宋" w:eastAsia="仿宋" w:cs="仿宋"/>
          <w:sz w:val="32"/>
          <w:szCs w:val="32"/>
        </w:rPr>
      </w:pPr>
      <w:r>
        <w:rPr>
          <w:rFonts w:hint="eastAsia" w:ascii="仿宋" w:hAnsi="仿宋" w:eastAsia="仿宋" w:cs="仿宋"/>
          <w:sz w:val="32"/>
          <w:szCs w:val="32"/>
        </w:rPr>
        <w:t>4、人员管理方面。在平时工作中对人员管理还不是很严格，存在时紧时松的现象。</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（三）改进建议。</w:t>
      </w:r>
    </w:p>
    <w:p>
      <w:pPr>
        <w:spacing w:line="578" w:lineRule="exact"/>
        <w:ind w:firstLine="640" w:firstLineChars="200"/>
        <w:rPr>
          <w:rFonts w:ascii="仿宋" w:hAnsi="仿宋" w:eastAsia="仿宋" w:cs="仿宋"/>
          <w:sz w:val="32"/>
          <w:szCs w:val="32"/>
        </w:rPr>
      </w:pPr>
      <w:r>
        <w:rPr>
          <w:rFonts w:hint="eastAsia" w:ascii="仿宋" w:hAnsi="仿宋" w:eastAsia="仿宋" w:cs="仿宋"/>
          <w:sz w:val="32"/>
          <w:szCs w:val="32"/>
        </w:rPr>
        <w:t>1、提高预算编制质量。严格按照年初的预算编制，落实好资金的分配，及时报送相关资料。</w:t>
      </w:r>
    </w:p>
    <w:p>
      <w:pPr>
        <w:spacing w:line="578" w:lineRule="exact"/>
        <w:ind w:firstLine="640" w:firstLineChars="200"/>
        <w:rPr>
          <w:rFonts w:ascii="仿宋" w:hAnsi="仿宋" w:eastAsia="仿宋" w:cs="仿宋"/>
          <w:sz w:val="32"/>
          <w:szCs w:val="32"/>
        </w:rPr>
      </w:pPr>
      <w:r>
        <w:rPr>
          <w:rFonts w:hint="eastAsia" w:ascii="仿宋" w:hAnsi="仿宋" w:eastAsia="仿宋" w:cs="仿宋"/>
          <w:sz w:val="32"/>
          <w:szCs w:val="32"/>
        </w:rPr>
        <w:t>2、严格执行政府采购。严格按照行政采购计划，采购程序进行采购。</w:t>
      </w:r>
    </w:p>
    <w:p>
      <w:pPr>
        <w:spacing w:line="578" w:lineRule="exact"/>
        <w:ind w:firstLine="640" w:firstLineChars="200"/>
        <w:rPr>
          <w:rFonts w:ascii="仿宋" w:hAnsi="仿宋" w:eastAsia="仿宋" w:cs="仿宋"/>
          <w:sz w:val="32"/>
          <w:szCs w:val="32"/>
        </w:rPr>
      </w:pPr>
      <w:r>
        <w:rPr>
          <w:rFonts w:hint="eastAsia" w:ascii="仿宋" w:hAnsi="仿宋" w:eastAsia="仿宋" w:cs="仿宋"/>
          <w:sz w:val="32"/>
          <w:szCs w:val="32"/>
        </w:rPr>
        <w:t>3、加强资产管理。加强资产管理的知识学习，严格遵守资产管理制度进行管理，并制定专人负责管理。</w:t>
      </w:r>
    </w:p>
    <w:p>
      <w:pPr>
        <w:spacing w:line="578" w:lineRule="exact"/>
        <w:ind w:firstLine="640" w:firstLineChars="200"/>
        <w:rPr>
          <w:rFonts w:ascii="仿宋" w:hAnsi="仿宋" w:eastAsia="仿宋" w:cs="仿宋"/>
          <w:sz w:val="32"/>
          <w:szCs w:val="32"/>
        </w:rPr>
      </w:pPr>
      <w:r>
        <w:rPr>
          <w:rFonts w:hint="eastAsia" w:ascii="仿宋" w:hAnsi="仿宋" w:eastAsia="仿宋" w:cs="仿宋"/>
          <w:sz w:val="32"/>
          <w:szCs w:val="32"/>
        </w:rPr>
        <w:t>4、强化资金财务管理。一是按月编制“银行存款余额调节表”，使单位账面余额与银行对账单余额调节相符。二是严把资金支付审核关，严格检查入账发票的准确性，核实原始凭证的完整性。</w:t>
      </w:r>
    </w:p>
    <w:p>
      <w:pPr>
        <w:spacing w:line="578" w:lineRule="exact"/>
        <w:ind w:firstLine="640" w:firstLineChars="200"/>
        <w:rPr>
          <w:rFonts w:ascii="仿宋" w:hAnsi="仿宋" w:eastAsia="仿宋" w:cs="仿宋"/>
          <w:sz w:val="32"/>
          <w:szCs w:val="32"/>
        </w:rPr>
      </w:pPr>
      <w:r>
        <w:rPr>
          <w:rFonts w:hint="eastAsia" w:ascii="仿宋" w:hAnsi="仿宋" w:eastAsia="仿宋" w:cs="仿宋"/>
          <w:sz w:val="32"/>
          <w:szCs w:val="32"/>
        </w:rPr>
        <w:t>5、人员管理。严格加强人员管理，坚持上下班制度，不迟到早退，遵守人员管理制度。</w:t>
      </w:r>
    </w:p>
    <w:p>
      <w:pPr>
        <w:spacing w:line="580" w:lineRule="exact"/>
        <w:rPr>
          <w:rFonts w:ascii="仿宋_GB2312" w:hAnsi="仿宋_GB2312" w:eastAsia="仿宋_GB2312" w:cs="仿宋_GB2312"/>
          <w:sz w:val="32"/>
          <w:szCs w:val="32"/>
        </w:rPr>
      </w:pP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pStyle w:val="3"/>
        <w:rPr>
          <w:rStyle w:val="24"/>
          <w:rFonts w:ascii="仿宋" w:hAnsi="仿宋" w:eastAsia="仿宋"/>
          <w:b w:val="0"/>
          <w:bCs w:val="0"/>
          <w:sz w:val="32"/>
          <w:szCs w:val="32"/>
        </w:rPr>
      </w:pPr>
      <w:bookmarkStart w:id="61" w:name="_Toc15396617"/>
      <w:r>
        <w:rPr>
          <w:rStyle w:val="24"/>
          <w:rFonts w:hint="eastAsia" w:ascii="仿宋" w:hAnsi="仿宋" w:eastAsia="仿宋"/>
          <w:b w:val="0"/>
          <w:bCs w:val="0"/>
          <w:sz w:val="32"/>
          <w:szCs w:val="32"/>
        </w:rPr>
        <w:t>附件2</w:t>
      </w:r>
      <w:bookmarkEnd w:id="61"/>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2018年达州市达川区陈家乡项目支出绩效评价报告</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w:t>
      </w:r>
      <w:r>
        <w:rPr>
          <w:rFonts w:ascii="仿宋" w:hAnsi="仿宋" w:eastAsia="仿宋" w:cs="仿宋_GB2312"/>
          <w:sz w:val="32"/>
          <w:szCs w:val="32"/>
        </w:rPr>
        <w:t>、评价工作开展及项目情况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达川区陈家乡2018年项目资金434.66万元，其中：保运行资金61.88万元，用于政府日常工作正常运转；促发展资金5万元，化债资金35万元，用于解决历年欠款；解困资金1.12万元，解决陈家乡的一些困难户的救济；信访维稳资金15万元，用于全乡安全、信访、维稳。</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w:t>
      </w:r>
      <w:r>
        <w:rPr>
          <w:rFonts w:ascii="仿宋" w:hAnsi="仿宋" w:eastAsia="仿宋" w:cs="仿宋_GB2312"/>
          <w:sz w:val="32"/>
          <w:szCs w:val="32"/>
        </w:rPr>
        <w:t>、评价结论及绩效分析</w:t>
      </w:r>
    </w:p>
    <w:p>
      <w:pPr>
        <w:spacing w:line="580" w:lineRule="exact"/>
        <w:ind w:firstLine="640" w:firstLineChars="200"/>
        <w:rPr>
          <w:rFonts w:ascii="仿宋" w:hAnsi="仿宋" w:eastAsia="仿宋" w:cs="仿宋_GB2312"/>
          <w:sz w:val="32"/>
          <w:szCs w:val="32"/>
        </w:rPr>
      </w:pPr>
      <w:bookmarkStart w:id="62" w:name="_Toc15396618"/>
      <w:r>
        <w:rPr>
          <w:rFonts w:ascii="仿宋" w:hAnsi="仿宋" w:eastAsia="仿宋" w:cs="仿宋_GB2312"/>
          <w:sz w:val="32"/>
          <w:szCs w:val="32"/>
        </w:rPr>
        <w:t>（一）评价结论</w:t>
      </w:r>
    </w:p>
    <w:p>
      <w:pPr>
        <w:spacing w:line="580" w:lineRule="exact"/>
        <w:ind w:firstLine="640" w:firstLineChars="200"/>
        <w:rPr>
          <w:rFonts w:ascii="仿宋" w:hAnsi="仿宋" w:eastAsia="仿宋" w:cs="仿宋_GB2312"/>
          <w:sz w:val="32"/>
          <w:szCs w:val="32"/>
        </w:rPr>
      </w:pPr>
      <w:r>
        <w:rPr>
          <w:rFonts w:hint="eastAsia" w:ascii="仿宋" w:hAnsi="仿宋" w:eastAsia="仿宋" w:cs="仿宋"/>
          <w:sz w:val="32"/>
          <w:szCs w:val="32"/>
        </w:rPr>
        <w:t>确保政府日常工作正常运转；进一步解决历年欠款债务，确保社会和谐，维护社会稳定；农村基础设施环境建设得到加强，改善农村生产生活条件，提高村民幸福生活指数，促进农村社会事业的发展和乡风文明水平的提高。</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1、项目决策</w:t>
      </w:r>
    </w:p>
    <w:p>
      <w:pPr>
        <w:spacing w:line="580" w:lineRule="exact"/>
        <w:ind w:firstLine="640" w:firstLineChars="200"/>
        <w:rPr>
          <w:rFonts w:ascii="仿宋" w:hAnsi="仿宋" w:eastAsia="仿宋" w:cs="仿宋_GB2312"/>
          <w:sz w:val="32"/>
          <w:szCs w:val="32"/>
        </w:rPr>
      </w:pPr>
      <w:r>
        <w:rPr>
          <w:rFonts w:hint="eastAsia" w:ascii="仿宋" w:hAnsi="仿宋" w:eastAsia="仿宋" w:cs="仿宋"/>
          <w:sz w:val="32"/>
          <w:szCs w:val="32"/>
        </w:rPr>
        <w:t>2018年</w:t>
      </w:r>
      <w:r>
        <w:rPr>
          <w:rFonts w:hint="eastAsia" w:ascii="仿宋" w:hAnsi="仿宋" w:eastAsia="仿宋" w:cs="仿宋"/>
          <w:sz w:val="32"/>
          <w:szCs w:val="32"/>
          <w:lang w:val="zh-CN"/>
        </w:rPr>
        <w:t>项目申报严格按照上级要求明确绩效目标，控制成本，提高项目发挥作用，严格按照项目的程序进行申报，严格按照批复项目的内容，符合资金管理办法等相关规定</w:t>
      </w:r>
      <w:r>
        <w:rPr>
          <w:rFonts w:hint="eastAsia" w:ascii="仿宋" w:hAnsi="仿宋" w:eastAsia="仿宋" w:cs="仿宋"/>
          <w:sz w:val="32"/>
          <w:szCs w:val="32"/>
        </w:rPr>
        <w:t>使用</w:t>
      </w:r>
      <w:r>
        <w:rPr>
          <w:rFonts w:hint="eastAsia" w:ascii="仿宋" w:hAnsi="仿宋" w:eastAsia="仿宋" w:cs="仿宋"/>
          <w:sz w:val="32"/>
          <w:szCs w:val="32"/>
          <w:lang w:val="zh-CN"/>
        </w:rPr>
        <w:t>。</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2、项目管理</w:t>
      </w:r>
    </w:p>
    <w:p>
      <w:pPr>
        <w:spacing w:line="578" w:lineRule="exact"/>
        <w:ind w:firstLine="640" w:firstLineChars="200"/>
        <w:rPr>
          <w:rFonts w:ascii="仿宋" w:hAnsi="仿宋" w:eastAsia="仿宋" w:cs="仿宋_GB2312"/>
          <w:sz w:val="32"/>
          <w:szCs w:val="32"/>
        </w:rPr>
      </w:pPr>
      <w:r>
        <w:rPr>
          <w:rFonts w:hint="eastAsia" w:ascii="仿宋" w:hAnsi="仿宋" w:eastAsia="仿宋" w:cs="仿宋"/>
          <w:sz w:val="32"/>
          <w:szCs w:val="32"/>
          <w:lang w:val="zh-CN"/>
        </w:rPr>
        <w:t>项目资金申报相符性项目申报内容与具体实施内容相符，且申报目标合理可行。资金分配科学合理，资金使用严格按照财务管理制度，严格财经制度管理办法约束。</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3、项目绩效</w:t>
      </w:r>
    </w:p>
    <w:p>
      <w:pPr>
        <w:spacing w:line="578" w:lineRule="exact"/>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通过陈家乡全体工作人员的努力下，各项工作圆满完成，</w:t>
      </w:r>
      <w:r>
        <w:rPr>
          <w:rFonts w:hint="eastAsia" w:ascii="仿宋" w:hAnsi="仿宋" w:eastAsia="仿宋" w:cs="仿宋"/>
          <w:sz w:val="32"/>
          <w:szCs w:val="32"/>
        </w:rPr>
        <w:t>化解了以前的一些</w:t>
      </w:r>
      <w:r>
        <w:rPr>
          <w:rFonts w:hint="eastAsia" w:ascii="仿宋" w:hAnsi="仿宋" w:eastAsia="仿宋" w:cs="仿宋"/>
          <w:sz w:val="32"/>
          <w:szCs w:val="32"/>
          <w:lang w:val="zh-CN"/>
        </w:rPr>
        <w:t>债务，促进陈家乡脱贫攻坚中的产业发展，解决了陈家乡的一些困难户的救济，解决了上访人员的一些实际困难，</w:t>
      </w:r>
      <w:r>
        <w:rPr>
          <w:rFonts w:hint="eastAsia" w:ascii="仿宋" w:hAnsi="仿宋" w:eastAsia="仿宋" w:cs="仿宋"/>
          <w:sz w:val="32"/>
          <w:szCs w:val="32"/>
        </w:rPr>
        <w:t>确保了政府日常工作正常运转、社会和谐，维护了社会稳定。</w:t>
      </w:r>
      <w:r>
        <w:rPr>
          <w:rFonts w:hint="eastAsia" w:ascii="仿宋" w:hAnsi="仿宋" w:eastAsia="仿宋" w:cs="仿宋"/>
          <w:sz w:val="32"/>
          <w:szCs w:val="32"/>
          <w:lang w:val="zh-CN"/>
        </w:rPr>
        <w:t>充分调动了民主参与，民主管理，民主管理的积极性。</w:t>
      </w:r>
    </w:p>
    <w:p>
      <w:pPr>
        <w:numPr>
          <w:ilvl w:val="0"/>
          <w:numId w:val="9"/>
        </w:num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存在主要问题</w:t>
      </w:r>
    </w:p>
    <w:p>
      <w:pPr>
        <w:spacing w:line="578" w:lineRule="exact"/>
        <w:ind w:firstLine="640" w:firstLineChars="200"/>
        <w:rPr>
          <w:rFonts w:ascii="仿宋" w:hAnsi="仿宋" w:eastAsia="仿宋" w:cs="仿宋"/>
          <w:sz w:val="32"/>
          <w:szCs w:val="32"/>
          <w:lang w:val="zh-CN"/>
        </w:rPr>
      </w:pPr>
      <w:r>
        <w:rPr>
          <w:rFonts w:hint="eastAsia" w:ascii="仿宋" w:hAnsi="仿宋" w:eastAsia="仿宋" w:cs="仿宋"/>
          <w:sz w:val="32"/>
          <w:szCs w:val="32"/>
        </w:rPr>
        <w:t>1、</w:t>
      </w:r>
      <w:r>
        <w:rPr>
          <w:rFonts w:hint="eastAsia" w:ascii="仿宋" w:hAnsi="仿宋" w:eastAsia="仿宋" w:cs="仿宋"/>
          <w:sz w:val="32"/>
          <w:szCs w:val="32"/>
          <w:lang w:val="zh-CN"/>
        </w:rPr>
        <w:t>财政项目自评报告对于本单位来说是刚开展的一项工作，缺乏经验，资金管理制度没有完整的建立起来。</w:t>
      </w:r>
    </w:p>
    <w:p>
      <w:pPr>
        <w:spacing w:line="578" w:lineRule="exact"/>
        <w:ind w:firstLine="640" w:firstLineChars="200"/>
        <w:rPr>
          <w:rFonts w:ascii="仿宋" w:hAnsi="仿宋" w:eastAsia="仿宋" w:cs="仿宋"/>
          <w:sz w:val="32"/>
          <w:szCs w:val="32"/>
          <w:lang w:val="zh-CN"/>
        </w:rPr>
      </w:pPr>
      <w:r>
        <w:rPr>
          <w:rFonts w:hint="eastAsia" w:ascii="仿宋" w:hAnsi="仿宋" w:eastAsia="仿宋" w:cs="仿宋"/>
          <w:sz w:val="32"/>
          <w:szCs w:val="32"/>
        </w:rPr>
        <w:t>2、</w:t>
      </w:r>
      <w:r>
        <w:rPr>
          <w:rFonts w:hint="eastAsia" w:ascii="仿宋" w:hAnsi="仿宋" w:eastAsia="仿宋" w:cs="仿宋"/>
          <w:sz w:val="32"/>
          <w:szCs w:val="32"/>
          <w:lang w:val="zh-CN"/>
        </w:rPr>
        <w:t>历年存在欠款的现象，主要是历年的一些债务较多，乡党委政府无力偿还，也没其他的收入，只有等财政拨款收入才能去偿还，有一些等靠思想，积极主动性还不够。</w:t>
      </w:r>
    </w:p>
    <w:p>
      <w:pPr>
        <w:spacing w:line="580" w:lineRule="exact"/>
        <w:ind w:firstLine="640" w:firstLineChars="200"/>
        <w:rPr>
          <w:rFonts w:ascii="仿宋" w:hAnsi="仿宋" w:eastAsia="仿宋" w:cs="仿宋_GB2312"/>
          <w:sz w:val="32"/>
          <w:szCs w:val="32"/>
        </w:rPr>
      </w:pPr>
      <w:r>
        <w:rPr>
          <w:rFonts w:hint="eastAsia" w:ascii="仿宋" w:hAnsi="仿宋" w:eastAsia="仿宋" w:cs="仿宋"/>
          <w:sz w:val="32"/>
          <w:szCs w:val="32"/>
        </w:rPr>
        <w:t>3、在脱贫攻坚产业发展方面上，引进来，走出去的思想不够，缺乏一些产业技术扶持，不能够很好的去真正了解一些种植、养殖技术，缺乏专业性的指导。</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w:t>
      </w:r>
      <w:r>
        <w:rPr>
          <w:rFonts w:ascii="仿宋" w:hAnsi="仿宋" w:eastAsia="仿宋" w:cs="仿宋_GB2312"/>
          <w:sz w:val="32"/>
          <w:szCs w:val="32"/>
        </w:rPr>
        <w:t>、相关措施建议</w:t>
      </w:r>
    </w:p>
    <w:p>
      <w:pPr>
        <w:spacing w:line="578" w:lineRule="exact"/>
        <w:ind w:firstLine="640" w:firstLineChars="200"/>
        <w:rPr>
          <w:rFonts w:ascii="仿宋" w:hAnsi="仿宋" w:eastAsia="仿宋" w:cs="仿宋"/>
          <w:sz w:val="32"/>
          <w:szCs w:val="32"/>
        </w:rPr>
      </w:pPr>
      <w:r>
        <w:rPr>
          <w:rFonts w:hint="eastAsia" w:ascii="仿宋" w:hAnsi="仿宋" w:eastAsia="仿宋" w:cs="仿宋"/>
          <w:sz w:val="32"/>
          <w:szCs w:val="32"/>
        </w:rPr>
        <w:t>1、乡党委政府积极主动多向上级部门领导汇报，结合乡的一些现实的情况与部门领导做好沟通汇报，力争早日解决好历年的欠款。</w:t>
      </w:r>
    </w:p>
    <w:p>
      <w:pPr>
        <w:spacing w:line="578" w:lineRule="exact"/>
        <w:ind w:firstLine="640" w:firstLineChars="200"/>
        <w:rPr>
          <w:rFonts w:ascii="仿宋" w:hAnsi="仿宋" w:eastAsia="仿宋" w:cs="仿宋_GB2312"/>
          <w:sz w:val="32"/>
          <w:szCs w:val="32"/>
        </w:rPr>
      </w:pPr>
      <w:r>
        <w:rPr>
          <w:rFonts w:hint="eastAsia" w:ascii="仿宋" w:hAnsi="仿宋" w:eastAsia="仿宋" w:cs="仿宋"/>
          <w:sz w:val="32"/>
          <w:szCs w:val="32"/>
        </w:rPr>
        <w:t>2、加强我乡的一些技术人员的学习，多向一些产业发展的较好的乡镇组织参观学习，做到引进来，走出去的思想，打破以前的一些陈旧的思想，切实把我乡的产业提高一个新台阶。</w:t>
      </w: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Style w:val="24"/>
          <w:rFonts w:ascii="黑体" w:hAnsi="黑体" w:eastAsia="黑体"/>
          <w:b w:val="0"/>
        </w:rPr>
      </w:pPr>
      <w:r>
        <w:rPr>
          <w:rFonts w:hint="eastAsia" w:ascii="黑体" w:hAnsi="黑体" w:eastAsia="黑体"/>
          <w:color w:val="000000"/>
          <w:sz w:val="44"/>
          <w:szCs w:val="44"/>
        </w:rPr>
        <w:t>第</w:t>
      </w:r>
      <w:r>
        <w:rPr>
          <w:rStyle w:val="24"/>
          <w:rFonts w:hint="eastAsia" w:ascii="黑体" w:hAnsi="黑体" w:eastAsia="黑体"/>
          <w:b w:val="0"/>
        </w:rPr>
        <w:t>五部分 附表</w:t>
      </w:r>
      <w:bookmarkEnd w:id="57"/>
      <w:bookmarkEnd w:id="62"/>
    </w:p>
    <w:p>
      <w:pPr>
        <w:pStyle w:val="3"/>
        <w:rPr>
          <w:rFonts w:ascii="仿宋" w:hAnsi="仿宋" w:eastAsia="仿宋"/>
          <w:color w:val="000000"/>
        </w:rPr>
      </w:pPr>
      <w:bookmarkStart w:id="63" w:name="_Toc15396619"/>
      <w:r>
        <w:rPr>
          <w:rFonts w:hint="eastAsia" w:ascii="仿宋" w:hAnsi="仿宋" w:eastAsia="仿宋"/>
          <w:b w:val="0"/>
          <w:color w:val="000000"/>
        </w:rPr>
        <w:t>一、收</w:t>
      </w:r>
      <w:r>
        <w:rPr>
          <w:rStyle w:val="25"/>
          <w:rFonts w:hint="eastAsia" w:ascii="仿宋" w:hAnsi="仿宋" w:eastAsia="仿宋"/>
          <w:b w:val="0"/>
          <w:bCs w:val="0"/>
        </w:rPr>
        <w:t>入支出决算总表</w:t>
      </w:r>
      <w:bookmarkEnd w:id="63"/>
    </w:p>
    <w:p>
      <w:pPr>
        <w:pStyle w:val="3"/>
        <w:rPr>
          <w:rFonts w:ascii="仿宋" w:hAnsi="仿宋" w:eastAsia="仿宋"/>
          <w:color w:val="000000"/>
        </w:rPr>
      </w:pPr>
      <w:bookmarkStart w:id="64" w:name="_Toc15396620"/>
      <w:r>
        <w:rPr>
          <w:rFonts w:hint="eastAsia" w:ascii="仿宋" w:hAnsi="仿宋" w:eastAsia="仿宋"/>
          <w:b w:val="0"/>
          <w:color w:val="000000"/>
        </w:rPr>
        <w:t>二、收</w:t>
      </w:r>
      <w:r>
        <w:rPr>
          <w:rStyle w:val="25"/>
          <w:rFonts w:hint="eastAsia" w:ascii="仿宋" w:hAnsi="仿宋" w:eastAsia="仿宋"/>
          <w:b w:val="0"/>
          <w:bCs w:val="0"/>
        </w:rPr>
        <w:t>入总表</w:t>
      </w:r>
      <w:bookmarkEnd w:id="64"/>
    </w:p>
    <w:p>
      <w:pPr>
        <w:pStyle w:val="3"/>
        <w:rPr>
          <w:rFonts w:ascii="仿宋" w:hAnsi="仿宋" w:eastAsia="仿宋"/>
          <w:color w:val="000000"/>
        </w:rPr>
      </w:pPr>
      <w:bookmarkStart w:id="65" w:name="_Toc15396621"/>
      <w:r>
        <w:rPr>
          <w:rStyle w:val="25"/>
          <w:rFonts w:hint="eastAsia" w:ascii="仿宋" w:hAnsi="仿宋" w:eastAsia="仿宋"/>
          <w:b w:val="0"/>
          <w:bCs w:val="0"/>
        </w:rPr>
        <w:t>三、</w:t>
      </w:r>
      <w:r>
        <w:rPr>
          <w:rFonts w:hint="eastAsia" w:ascii="仿宋" w:hAnsi="仿宋" w:eastAsia="仿宋"/>
          <w:b w:val="0"/>
          <w:color w:val="000000"/>
        </w:rPr>
        <w:t>支</w:t>
      </w:r>
      <w:r>
        <w:rPr>
          <w:rStyle w:val="25"/>
          <w:rFonts w:hint="eastAsia" w:ascii="仿宋" w:hAnsi="仿宋" w:eastAsia="仿宋"/>
          <w:b w:val="0"/>
          <w:bCs w:val="0"/>
        </w:rPr>
        <w:t>出总表</w:t>
      </w:r>
      <w:bookmarkEnd w:id="65"/>
    </w:p>
    <w:p>
      <w:pPr>
        <w:pStyle w:val="3"/>
        <w:rPr>
          <w:rFonts w:ascii="仿宋" w:hAnsi="仿宋" w:eastAsia="仿宋"/>
          <w:b w:val="0"/>
          <w:color w:val="000000"/>
        </w:rPr>
      </w:pPr>
      <w:bookmarkStart w:id="66" w:name="_Toc15396622"/>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政拨款收入支出决算总表</w:t>
      </w:r>
      <w:bookmarkEnd w:id="66"/>
    </w:p>
    <w:p>
      <w:pPr>
        <w:pStyle w:val="3"/>
        <w:rPr>
          <w:rFonts w:ascii="仿宋" w:hAnsi="仿宋" w:eastAsia="仿宋"/>
          <w:color w:val="000000"/>
        </w:rPr>
      </w:pPr>
      <w:bookmarkStart w:id="67" w:name="_Toc15396623"/>
      <w:r>
        <w:rPr>
          <w:rStyle w:val="25"/>
          <w:rFonts w:hint="eastAsia" w:ascii="仿宋" w:hAnsi="仿宋" w:eastAsia="仿宋"/>
          <w:b w:val="0"/>
          <w:bCs w:val="0"/>
        </w:rPr>
        <w:t>五、</w:t>
      </w:r>
      <w:r>
        <w:rPr>
          <w:rFonts w:hint="eastAsia" w:ascii="仿宋" w:hAnsi="仿宋" w:eastAsia="仿宋"/>
          <w:b w:val="0"/>
          <w:color w:val="000000"/>
        </w:rPr>
        <w:t>财</w:t>
      </w:r>
      <w:r>
        <w:rPr>
          <w:rStyle w:val="25"/>
          <w:rFonts w:hint="eastAsia" w:ascii="仿宋" w:hAnsi="仿宋" w:eastAsia="仿宋"/>
          <w:b w:val="0"/>
          <w:bCs w:val="0"/>
        </w:rPr>
        <w:t>政拨款支出决算明细表（政府经济分类科目）</w:t>
      </w:r>
      <w:bookmarkEnd w:id="67"/>
    </w:p>
    <w:p>
      <w:pPr>
        <w:pStyle w:val="3"/>
        <w:rPr>
          <w:rFonts w:ascii="仿宋" w:hAnsi="仿宋" w:eastAsia="仿宋"/>
          <w:color w:val="000000"/>
        </w:rPr>
      </w:pPr>
      <w:bookmarkStart w:id="68" w:name="_Toc15396624"/>
      <w:r>
        <w:rPr>
          <w:rStyle w:val="25"/>
          <w:rFonts w:hint="eastAsia" w:ascii="仿宋" w:hAnsi="仿宋" w:eastAsia="仿宋"/>
          <w:b w:val="0"/>
          <w:bCs w:val="0"/>
        </w:rPr>
        <w:t>六、</w:t>
      </w:r>
      <w:r>
        <w:rPr>
          <w:rFonts w:hint="eastAsia" w:ascii="仿宋" w:hAnsi="仿宋" w:eastAsia="仿宋"/>
          <w:b w:val="0"/>
          <w:color w:val="000000"/>
        </w:rPr>
        <w:t>一</w:t>
      </w:r>
      <w:r>
        <w:rPr>
          <w:rStyle w:val="25"/>
          <w:rFonts w:hint="eastAsia" w:ascii="仿宋" w:hAnsi="仿宋" w:eastAsia="仿宋"/>
          <w:b w:val="0"/>
          <w:bCs w:val="0"/>
        </w:rPr>
        <w:t>般公共预算财政拨款支出决算表</w:t>
      </w:r>
      <w:bookmarkEnd w:id="68"/>
    </w:p>
    <w:p>
      <w:pPr>
        <w:pStyle w:val="3"/>
        <w:rPr>
          <w:rFonts w:ascii="仿宋" w:hAnsi="仿宋" w:eastAsia="仿宋"/>
          <w:color w:val="000000"/>
        </w:rPr>
      </w:pPr>
      <w:bookmarkStart w:id="69" w:name="_Toc15396625"/>
      <w:r>
        <w:rPr>
          <w:rStyle w:val="25"/>
          <w:rFonts w:hint="eastAsia" w:ascii="仿宋" w:hAnsi="仿宋" w:eastAsia="仿宋"/>
          <w:b w:val="0"/>
          <w:bCs w:val="0"/>
        </w:rPr>
        <w:t>七、</w:t>
      </w:r>
      <w:r>
        <w:rPr>
          <w:rFonts w:hint="eastAsia" w:ascii="仿宋" w:hAnsi="仿宋" w:eastAsia="仿宋"/>
          <w:b w:val="0"/>
          <w:color w:val="000000"/>
        </w:rPr>
        <w:t>一</w:t>
      </w:r>
      <w:r>
        <w:rPr>
          <w:rStyle w:val="25"/>
          <w:rFonts w:hint="eastAsia" w:ascii="仿宋" w:hAnsi="仿宋" w:eastAsia="仿宋"/>
          <w:b w:val="0"/>
          <w:bCs w:val="0"/>
        </w:rPr>
        <w:t>般公共预算财政拨款支出决算明细表</w:t>
      </w:r>
      <w:bookmarkEnd w:id="69"/>
    </w:p>
    <w:p>
      <w:pPr>
        <w:pStyle w:val="3"/>
        <w:rPr>
          <w:rFonts w:ascii="仿宋" w:hAnsi="仿宋" w:eastAsia="仿宋"/>
          <w:color w:val="000000"/>
        </w:rPr>
      </w:pPr>
      <w:bookmarkStart w:id="70" w:name="_Toc15396626"/>
      <w:r>
        <w:rPr>
          <w:rStyle w:val="25"/>
          <w:rFonts w:hint="eastAsia" w:ascii="仿宋" w:hAnsi="仿宋" w:eastAsia="仿宋"/>
          <w:b w:val="0"/>
          <w:bCs w:val="0"/>
        </w:rPr>
        <w:t>八、</w:t>
      </w:r>
      <w:r>
        <w:rPr>
          <w:rFonts w:hint="eastAsia" w:ascii="仿宋" w:hAnsi="仿宋" w:eastAsia="仿宋"/>
          <w:b w:val="0"/>
          <w:color w:val="000000"/>
        </w:rPr>
        <w:t>一</w:t>
      </w:r>
      <w:r>
        <w:rPr>
          <w:rStyle w:val="25"/>
          <w:rFonts w:hint="eastAsia" w:ascii="仿宋" w:hAnsi="仿宋" w:eastAsia="仿宋"/>
          <w:b w:val="0"/>
          <w:bCs w:val="0"/>
        </w:rPr>
        <w:t>般公共预算财政拨款基本支出决算表</w:t>
      </w:r>
      <w:bookmarkEnd w:id="70"/>
    </w:p>
    <w:p>
      <w:pPr>
        <w:pStyle w:val="3"/>
        <w:rPr>
          <w:rFonts w:ascii="仿宋" w:hAnsi="仿宋" w:eastAsia="仿宋"/>
          <w:color w:val="000000"/>
        </w:rPr>
      </w:pPr>
      <w:bookmarkStart w:id="71" w:name="_Toc15396627"/>
      <w:r>
        <w:rPr>
          <w:rStyle w:val="25"/>
          <w:rFonts w:hint="eastAsia" w:ascii="仿宋" w:hAnsi="仿宋" w:eastAsia="仿宋"/>
          <w:b w:val="0"/>
          <w:bCs w:val="0"/>
        </w:rPr>
        <w:t>九、</w:t>
      </w:r>
      <w:r>
        <w:rPr>
          <w:rFonts w:hint="eastAsia" w:ascii="仿宋" w:hAnsi="仿宋" w:eastAsia="仿宋"/>
          <w:b w:val="0"/>
          <w:color w:val="000000"/>
        </w:rPr>
        <w:t>一</w:t>
      </w:r>
      <w:r>
        <w:rPr>
          <w:rStyle w:val="25"/>
          <w:rFonts w:hint="eastAsia" w:ascii="仿宋" w:hAnsi="仿宋" w:eastAsia="仿宋"/>
          <w:b w:val="0"/>
          <w:bCs w:val="0"/>
        </w:rPr>
        <w:t>般公共预算财政拨款项目支出决算表</w:t>
      </w:r>
      <w:bookmarkEnd w:id="71"/>
    </w:p>
    <w:p>
      <w:pPr>
        <w:pStyle w:val="3"/>
        <w:rPr>
          <w:rFonts w:ascii="仿宋" w:hAnsi="仿宋" w:eastAsia="仿宋"/>
          <w:color w:val="000000"/>
        </w:rPr>
      </w:pPr>
      <w:bookmarkStart w:id="72" w:name="_Toc15396628"/>
      <w:r>
        <w:rPr>
          <w:rStyle w:val="25"/>
          <w:rFonts w:hint="eastAsia" w:ascii="仿宋" w:hAnsi="仿宋" w:eastAsia="仿宋"/>
          <w:b w:val="0"/>
          <w:bCs w:val="0"/>
        </w:rPr>
        <w:t>十、</w:t>
      </w:r>
      <w:r>
        <w:rPr>
          <w:rFonts w:hint="eastAsia" w:ascii="仿宋" w:hAnsi="仿宋" w:eastAsia="仿宋"/>
          <w:b w:val="0"/>
          <w:color w:val="000000"/>
        </w:rPr>
        <w:t>一</w:t>
      </w:r>
      <w:r>
        <w:rPr>
          <w:rStyle w:val="25"/>
          <w:rFonts w:hint="eastAsia" w:ascii="仿宋" w:hAnsi="仿宋" w:eastAsia="仿宋"/>
          <w:b w:val="0"/>
          <w:bCs w:val="0"/>
        </w:rPr>
        <w:t>般公共预算财政拨款“三公”经费支出决算表</w:t>
      </w:r>
      <w:bookmarkEnd w:id="72"/>
    </w:p>
    <w:p>
      <w:pPr>
        <w:pStyle w:val="3"/>
        <w:rPr>
          <w:rFonts w:ascii="仿宋" w:hAnsi="仿宋" w:eastAsia="仿宋"/>
          <w:color w:val="000000"/>
        </w:rPr>
      </w:pPr>
      <w:bookmarkStart w:id="73" w:name="_Toc15396629"/>
      <w:r>
        <w:rPr>
          <w:rStyle w:val="25"/>
          <w:rFonts w:hint="eastAsia" w:ascii="仿宋" w:hAnsi="仿宋" w:eastAsia="仿宋"/>
          <w:b w:val="0"/>
          <w:bCs w:val="0"/>
        </w:rPr>
        <w:t>十一、</w:t>
      </w:r>
      <w:r>
        <w:rPr>
          <w:rFonts w:hint="eastAsia" w:ascii="仿宋" w:hAnsi="仿宋" w:eastAsia="仿宋"/>
          <w:b w:val="0"/>
          <w:color w:val="000000"/>
        </w:rPr>
        <w:t>政</w:t>
      </w:r>
      <w:r>
        <w:rPr>
          <w:rStyle w:val="25"/>
          <w:rFonts w:hint="eastAsia" w:ascii="仿宋" w:hAnsi="仿宋" w:eastAsia="仿宋"/>
          <w:b w:val="0"/>
          <w:bCs w:val="0"/>
        </w:rPr>
        <w:t>府性基金预算财政拨款收入支出决算表</w:t>
      </w:r>
      <w:bookmarkEnd w:id="73"/>
    </w:p>
    <w:p>
      <w:pPr>
        <w:pStyle w:val="3"/>
        <w:rPr>
          <w:rFonts w:ascii="仿宋" w:hAnsi="仿宋" w:eastAsia="仿宋"/>
          <w:color w:val="000000"/>
        </w:rPr>
      </w:pPr>
      <w:bookmarkStart w:id="74" w:name="_Toc15396630"/>
      <w:r>
        <w:rPr>
          <w:rStyle w:val="25"/>
          <w:rFonts w:hint="eastAsia" w:ascii="仿宋" w:hAnsi="仿宋" w:eastAsia="仿宋"/>
          <w:b w:val="0"/>
          <w:bCs w:val="0"/>
        </w:rPr>
        <w:t>十二、</w:t>
      </w:r>
      <w:r>
        <w:rPr>
          <w:rFonts w:hint="eastAsia" w:ascii="仿宋" w:hAnsi="仿宋" w:eastAsia="仿宋"/>
          <w:b w:val="0"/>
          <w:color w:val="000000"/>
        </w:rPr>
        <w:t>政</w:t>
      </w:r>
      <w:r>
        <w:rPr>
          <w:rStyle w:val="25"/>
          <w:rFonts w:hint="eastAsia" w:ascii="仿宋" w:hAnsi="仿宋" w:eastAsia="仿宋"/>
          <w:b w:val="0"/>
          <w:bCs w:val="0"/>
        </w:rPr>
        <w:t>府性基金预算财政拨款“三公”经费支出决算表</w:t>
      </w:r>
      <w:bookmarkEnd w:id="74"/>
    </w:p>
    <w:p>
      <w:pPr>
        <w:pStyle w:val="3"/>
        <w:rPr>
          <w:rFonts w:ascii="仿宋" w:hAnsi="仿宋" w:eastAsia="仿宋"/>
          <w:color w:val="000000" w:themeColor="text1"/>
          <w14:textFill>
            <w14:solidFill>
              <w14:schemeClr w14:val="tx1"/>
            </w14:solidFill>
          </w14:textFill>
        </w:rPr>
      </w:pPr>
      <w:bookmarkStart w:id="75" w:name="_Toc15396631"/>
      <w:r>
        <w:rPr>
          <w:rStyle w:val="25"/>
          <w:rFonts w:hint="eastAsia" w:ascii="仿宋" w:hAnsi="仿宋" w:eastAsia="仿宋"/>
          <w:b w:val="0"/>
          <w:bCs w:val="0"/>
        </w:rPr>
        <w:t>十三、</w:t>
      </w:r>
      <w:r>
        <w:rPr>
          <w:rFonts w:hint="eastAsia" w:ascii="仿宋" w:hAnsi="仿宋" w:eastAsia="仿宋"/>
          <w:b w:val="0"/>
          <w:color w:val="000000"/>
        </w:rPr>
        <w:t>国</w:t>
      </w:r>
      <w:r>
        <w:rPr>
          <w:rStyle w:val="25"/>
          <w:rFonts w:hint="eastAsia" w:ascii="仿宋" w:hAnsi="仿宋" w:eastAsia="仿宋"/>
          <w:b w:val="0"/>
          <w:bCs w:val="0"/>
        </w:rPr>
        <w:t>有资本经营预算支出决算表</w:t>
      </w:r>
      <w:bookmarkEnd w:id="75"/>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27</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1FFE38"/>
    <w:multiLevelType w:val="singleLevel"/>
    <w:tmpl w:val="951FFE38"/>
    <w:lvl w:ilvl="0" w:tentative="0">
      <w:start w:val="1"/>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3">
    <w:nsid w:val="0633A94B"/>
    <w:multiLevelType w:val="singleLevel"/>
    <w:tmpl w:val="0633A94B"/>
    <w:lvl w:ilvl="0" w:tentative="0">
      <w:start w:val="2"/>
      <w:numFmt w:val="chineseCounting"/>
      <w:suff w:val="nothing"/>
      <w:lvlText w:val="（%1）"/>
      <w:lvlJc w:val="left"/>
      <w:rPr>
        <w:rFonts w:hint="eastAsia"/>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6">
    <w:nsid w:val="37096899"/>
    <w:multiLevelType w:val="singleLevel"/>
    <w:tmpl w:val="37096899"/>
    <w:lvl w:ilvl="0" w:tentative="0">
      <w:start w:val="1"/>
      <w:numFmt w:val="decimal"/>
      <w:lvlText w:val="%1."/>
      <w:lvlJc w:val="left"/>
      <w:pPr>
        <w:tabs>
          <w:tab w:val="left" w:pos="312"/>
        </w:tabs>
      </w:pPr>
    </w:lvl>
  </w:abstractNum>
  <w:abstractNum w:abstractNumId="7">
    <w:nsid w:val="50447D9B"/>
    <w:multiLevelType w:val="multilevel"/>
    <w:tmpl w:val="50447D9B"/>
    <w:lvl w:ilvl="0" w:tentative="0">
      <w:start w:val="2"/>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8">
    <w:nsid w:val="6CD60002"/>
    <w:multiLevelType w:val="singleLevel"/>
    <w:tmpl w:val="6CD60002"/>
    <w:lvl w:ilvl="0" w:tentative="0">
      <w:start w:val="1"/>
      <w:numFmt w:val="decimal"/>
      <w:suff w:val="nothing"/>
      <w:lvlText w:val="%1、"/>
      <w:lvlJc w:val="left"/>
      <w:pPr>
        <w:ind w:left="640" w:firstLine="0"/>
      </w:pPr>
    </w:lvl>
  </w:abstractNum>
  <w:num w:numId="1">
    <w:abstractNumId w:val="7"/>
  </w:num>
  <w:num w:numId="2">
    <w:abstractNumId w:val="8"/>
  </w:num>
  <w:num w:numId="3">
    <w:abstractNumId w:val="4"/>
  </w:num>
  <w:num w:numId="4">
    <w:abstractNumId w:val="6"/>
  </w:num>
  <w:num w:numId="5">
    <w:abstractNumId w:val="1"/>
  </w:num>
  <w:num w:numId="6">
    <w:abstractNumId w:val="5"/>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60A2"/>
    <w:rsid w:val="000222C6"/>
    <w:rsid w:val="0002549F"/>
    <w:rsid w:val="000647A1"/>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E6613"/>
    <w:rsid w:val="000E7119"/>
    <w:rsid w:val="000F26F0"/>
    <w:rsid w:val="0011114E"/>
    <w:rsid w:val="00114E9B"/>
    <w:rsid w:val="001320C6"/>
    <w:rsid w:val="0014729F"/>
    <w:rsid w:val="00157BAB"/>
    <w:rsid w:val="001654D1"/>
    <w:rsid w:val="00172A27"/>
    <w:rsid w:val="0018106D"/>
    <w:rsid w:val="001877A7"/>
    <w:rsid w:val="00191536"/>
    <w:rsid w:val="00196687"/>
    <w:rsid w:val="001A263D"/>
    <w:rsid w:val="001C0962"/>
    <w:rsid w:val="001D6D2A"/>
    <w:rsid w:val="001D7531"/>
    <w:rsid w:val="001E737D"/>
    <w:rsid w:val="001F0592"/>
    <w:rsid w:val="001F7506"/>
    <w:rsid w:val="002006CD"/>
    <w:rsid w:val="00202B36"/>
    <w:rsid w:val="00204B7A"/>
    <w:rsid w:val="0021101A"/>
    <w:rsid w:val="00220536"/>
    <w:rsid w:val="002219BE"/>
    <w:rsid w:val="00235629"/>
    <w:rsid w:val="00256659"/>
    <w:rsid w:val="00260C38"/>
    <w:rsid w:val="002616C0"/>
    <w:rsid w:val="002662AA"/>
    <w:rsid w:val="00280496"/>
    <w:rsid w:val="00295495"/>
    <w:rsid w:val="002B2613"/>
    <w:rsid w:val="002B4EA7"/>
    <w:rsid w:val="002F1818"/>
    <w:rsid w:val="002F567B"/>
    <w:rsid w:val="003216A9"/>
    <w:rsid w:val="0037013F"/>
    <w:rsid w:val="00380C92"/>
    <w:rsid w:val="003930BE"/>
    <w:rsid w:val="00394E8F"/>
    <w:rsid w:val="003A484F"/>
    <w:rsid w:val="003B0BE0"/>
    <w:rsid w:val="003B0C1B"/>
    <w:rsid w:val="003B688C"/>
    <w:rsid w:val="003C0291"/>
    <w:rsid w:val="003C39AE"/>
    <w:rsid w:val="003C7B60"/>
    <w:rsid w:val="003D1FB2"/>
    <w:rsid w:val="003D66DA"/>
    <w:rsid w:val="003E111F"/>
    <w:rsid w:val="003E1310"/>
    <w:rsid w:val="003E5C7D"/>
    <w:rsid w:val="003E6F55"/>
    <w:rsid w:val="00406254"/>
    <w:rsid w:val="004223DE"/>
    <w:rsid w:val="00434489"/>
    <w:rsid w:val="00437085"/>
    <w:rsid w:val="00443880"/>
    <w:rsid w:val="004464F4"/>
    <w:rsid w:val="00471401"/>
    <w:rsid w:val="00473F31"/>
    <w:rsid w:val="0048263A"/>
    <w:rsid w:val="00487E5D"/>
    <w:rsid w:val="004A711F"/>
    <w:rsid w:val="004B199D"/>
    <w:rsid w:val="004B211D"/>
    <w:rsid w:val="004B4690"/>
    <w:rsid w:val="004E0A2D"/>
    <w:rsid w:val="004E206B"/>
    <w:rsid w:val="004E6DF7"/>
    <w:rsid w:val="004F0FBD"/>
    <w:rsid w:val="00505A47"/>
    <w:rsid w:val="00512FDA"/>
    <w:rsid w:val="00520DA0"/>
    <w:rsid w:val="005664BB"/>
    <w:rsid w:val="0057481D"/>
    <w:rsid w:val="0058486E"/>
    <w:rsid w:val="00597286"/>
    <w:rsid w:val="005D1C8B"/>
    <w:rsid w:val="005D5CED"/>
    <w:rsid w:val="005F1A4C"/>
    <w:rsid w:val="0060378C"/>
    <w:rsid w:val="00605688"/>
    <w:rsid w:val="006070AF"/>
    <w:rsid w:val="00607E6C"/>
    <w:rsid w:val="006101B1"/>
    <w:rsid w:val="00614E44"/>
    <w:rsid w:val="00622830"/>
    <w:rsid w:val="00630AEF"/>
    <w:rsid w:val="006325F8"/>
    <w:rsid w:val="00634C9A"/>
    <w:rsid w:val="006440E4"/>
    <w:rsid w:val="0066343B"/>
    <w:rsid w:val="00664777"/>
    <w:rsid w:val="006748A4"/>
    <w:rsid w:val="00683E73"/>
    <w:rsid w:val="006A3141"/>
    <w:rsid w:val="006A5777"/>
    <w:rsid w:val="006A5E34"/>
    <w:rsid w:val="006B2422"/>
    <w:rsid w:val="006B2B9A"/>
    <w:rsid w:val="006C1937"/>
    <w:rsid w:val="006F020C"/>
    <w:rsid w:val="007028E7"/>
    <w:rsid w:val="007127B7"/>
    <w:rsid w:val="00733C98"/>
    <w:rsid w:val="007416B6"/>
    <w:rsid w:val="00746F48"/>
    <w:rsid w:val="0075404D"/>
    <w:rsid w:val="00756548"/>
    <w:rsid w:val="0076182A"/>
    <w:rsid w:val="00767B7E"/>
    <w:rsid w:val="007770C3"/>
    <w:rsid w:val="00784D24"/>
    <w:rsid w:val="00785FBA"/>
    <w:rsid w:val="00786E4A"/>
    <w:rsid w:val="007875EB"/>
    <w:rsid w:val="0079426B"/>
    <w:rsid w:val="007A748F"/>
    <w:rsid w:val="007D312A"/>
    <w:rsid w:val="007D3F19"/>
    <w:rsid w:val="007E23B0"/>
    <w:rsid w:val="007F1991"/>
    <w:rsid w:val="007F2C2F"/>
    <w:rsid w:val="007F55FC"/>
    <w:rsid w:val="007F5665"/>
    <w:rsid w:val="00800112"/>
    <w:rsid w:val="00802BC7"/>
    <w:rsid w:val="008244C4"/>
    <w:rsid w:val="008249A6"/>
    <w:rsid w:val="008253BB"/>
    <w:rsid w:val="0083706E"/>
    <w:rsid w:val="008414C5"/>
    <w:rsid w:val="008423A5"/>
    <w:rsid w:val="00850625"/>
    <w:rsid w:val="00853718"/>
    <w:rsid w:val="00855221"/>
    <w:rsid w:val="00860645"/>
    <w:rsid w:val="00871F71"/>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46945"/>
    <w:rsid w:val="00951248"/>
    <w:rsid w:val="0095152F"/>
    <w:rsid w:val="00954C49"/>
    <w:rsid w:val="0097099F"/>
    <w:rsid w:val="00971997"/>
    <w:rsid w:val="00971FFC"/>
    <w:rsid w:val="00983813"/>
    <w:rsid w:val="0098660A"/>
    <w:rsid w:val="009931C3"/>
    <w:rsid w:val="009B2C43"/>
    <w:rsid w:val="009B4EAE"/>
    <w:rsid w:val="009B7462"/>
    <w:rsid w:val="009B7573"/>
    <w:rsid w:val="009B76EF"/>
    <w:rsid w:val="009C22F4"/>
    <w:rsid w:val="009C2E98"/>
    <w:rsid w:val="009D3447"/>
    <w:rsid w:val="009D4711"/>
    <w:rsid w:val="009F1185"/>
    <w:rsid w:val="009F18CD"/>
    <w:rsid w:val="009F2A13"/>
    <w:rsid w:val="00A01CFD"/>
    <w:rsid w:val="00A04EB0"/>
    <w:rsid w:val="00A13CC1"/>
    <w:rsid w:val="00A16847"/>
    <w:rsid w:val="00A237D8"/>
    <w:rsid w:val="00A268C4"/>
    <w:rsid w:val="00A307CD"/>
    <w:rsid w:val="00A40A00"/>
    <w:rsid w:val="00A4142F"/>
    <w:rsid w:val="00A56DF2"/>
    <w:rsid w:val="00A67AB5"/>
    <w:rsid w:val="00A9128D"/>
    <w:rsid w:val="00A91760"/>
    <w:rsid w:val="00A93B00"/>
    <w:rsid w:val="00A93C21"/>
    <w:rsid w:val="00AB6CA1"/>
    <w:rsid w:val="00AC3C6A"/>
    <w:rsid w:val="00AC7510"/>
    <w:rsid w:val="00AD5620"/>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77EA6"/>
    <w:rsid w:val="00B81598"/>
    <w:rsid w:val="00B841F1"/>
    <w:rsid w:val="00B944D6"/>
    <w:rsid w:val="00BB4DF0"/>
    <w:rsid w:val="00BC289F"/>
    <w:rsid w:val="00BC5361"/>
    <w:rsid w:val="00BC5460"/>
    <w:rsid w:val="00BC6B50"/>
    <w:rsid w:val="00BD0E25"/>
    <w:rsid w:val="00BF1FEE"/>
    <w:rsid w:val="00BF5BD6"/>
    <w:rsid w:val="00C03E31"/>
    <w:rsid w:val="00C33E72"/>
    <w:rsid w:val="00C354B2"/>
    <w:rsid w:val="00C35554"/>
    <w:rsid w:val="00C42709"/>
    <w:rsid w:val="00C533CC"/>
    <w:rsid w:val="00C5751C"/>
    <w:rsid w:val="00C61BFC"/>
    <w:rsid w:val="00C62B85"/>
    <w:rsid w:val="00C65438"/>
    <w:rsid w:val="00C91CBB"/>
    <w:rsid w:val="00CB0164"/>
    <w:rsid w:val="00CC09B6"/>
    <w:rsid w:val="00CC666F"/>
    <w:rsid w:val="00CD1E3F"/>
    <w:rsid w:val="00CE44F6"/>
    <w:rsid w:val="00CE49DA"/>
    <w:rsid w:val="00CE7B61"/>
    <w:rsid w:val="00D00095"/>
    <w:rsid w:val="00D20620"/>
    <w:rsid w:val="00D26091"/>
    <w:rsid w:val="00D34E7C"/>
    <w:rsid w:val="00D35489"/>
    <w:rsid w:val="00D51276"/>
    <w:rsid w:val="00D51D30"/>
    <w:rsid w:val="00D7035F"/>
    <w:rsid w:val="00DA65AC"/>
    <w:rsid w:val="00DB1913"/>
    <w:rsid w:val="00DC410D"/>
    <w:rsid w:val="00DC68CA"/>
    <w:rsid w:val="00DC7CBA"/>
    <w:rsid w:val="00DD73B7"/>
    <w:rsid w:val="00DF28BC"/>
    <w:rsid w:val="00DF34B9"/>
    <w:rsid w:val="00E01053"/>
    <w:rsid w:val="00E07ACF"/>
    <w:rsid w:val="00E331A1"/>
    <w:rsid w:val="00E33202"/>
    <w:rsid w:val="00E336A9"/>
    <w:rsid w:val="00E460F2"/>
    <w:rsid w:val="00E50624"/>
    <w:rsid w:val="00E568DF"/>
    <w:rsid w:val="00E62FFD"/>
    <w:rsid w:val="00E64269"/>
    <w:rsid w:val="00E82267"/>
    <w:rsid w:val="00EA010F"/>
    <w:rsid w:val="00ED1B63"/>
    <w:rsid w:val="00ED3C1F"/>
    <w:rsid w:val="00ED4085"/>
    <w:rsid w:val="00ED420E"/>
    <w:rsid w:val="00EE2F57"/>
    <w:rsid w:val="00EF4C34"/>
    <w:rsid w:val="00EF77C6"/>
    <w:rsid w:val="00F05438"/>
    <w:rsid w:val="00F06729"/>
    <w:rsid w:val="00F1361C"/>
    <w:rsid w:val="00F160C7"/>
    <w:rsid w:val="00F36D8F"/>
    <w:rsid w:val="00F417B1"/>
    <w:rsid w:val="00F602DF"/>
    <w:rsid w:val="00F81FD9"/>
    <w:rsid w:val="00F841AA"/>
    <w:rsid w:val="00F93BBC"/>
    <w:rsid w:val="00FA23E8"/>
    <w:rsid w:val="00FA3291"/>
    <w:rsid w:val="00FD3CC1"/>
    <w:rsid w:val="00FF1E02"/>
    <w:rsid w:val="00FF30B4"/>
    <w:rsid w:val="05967E8C"/>
    <w:rsid w:val="06C54CF3"/>
    <w:rsid w:val="083C6F26"/>
    <w:rsid w:val="0D0F66D4"/>
    <w:rsid w:val="0FDA2BC4"/>
    <w:rsid w:val="103A1757"/>
    <w:rsid w:val="108502CC"/>
    <w:rsid w:val="10A66FB6"/>
    <w:rsid w:val="10AC56E0"/>
    <w:rsid w:val="10C055FF"/>
    <w:rsid w:val="114776E0"/>
    <w:rsid w:val="12DD5BFA"/>
    <w:rsid w:val="14FE7FBE"/>
    <w:rsid w:val="15E642AD"/>
    <w:rsid w:val="16873D30"/>
    <w:rsid w:val="16BB723D"/>
    <w:rsid w:val="16F6268C"/>
    <w:rsid w:val="18F859EB"/>
    <w:rsid w:val="19455F76"/>
    <w:rsid w:val="19976FFC"/>
    <w:rsid w:val="1CF56CB6"/>
    <w:rsid w:val="1D542BAA"/>
    <w:rsid w:val="1D963381"/>
    <w:rsid w:val="1DE369F2"/>
    <w:rsid w:val="1E661BAE"/>
    <w:rsid w:val="1EC42FA4"/>
    <w:rsid w:val="1F8757AE"/>
    <w:rsid w:val="213E0B5F"/>
    <w:rsid w:val="21C12F9D"/>
    <w:rsid w:val="232F1F5D"/>
    <w:rsid w:val="2399482F"/>
    <w:rsid w:val="240371BF"/>
    <w:rsid w:val="250E2160"/>
    <w:rsid w:val="279C4929"/>
    <w:rsid w:val="28E4483E"/>
    <w:rsid w:val="29EC19BC"/>
    <w:rsid w:val="29FD04D3"/>
    <w:rsid w:val="2C723C50"/>
    <w:rsid w:val="2CBA2795"/>
    <w:rsid w:val="2DF72DD6"/>
    <w:rsid w:val="2FED280E"/>
    <w:rsid w:val="30180BC9"/>
    <w:rsid w:val="319F7F4E"/>
    <w:rsid w:val="322675B4"/>
    <w:rsid w:val="35EA1E0A"/>
    <w:rsid w:val="36150A12"/>
    <w:rsid w:val="38AA1806"/>
    <w:rsid w:val="391B24A4"/>
    <w:rsid w:val="42257AD1"/>
    <w:rsid w:val="483C667A"/>
    <w:rsid w:val="4B8A1D1C"/>
    <w:rsid w:val="4B930201"/>
    <w:rsid w:val="4C50298A"/>
    <w:rsid w:val="4CF30512"/>
    <w:rsid w:val="4D0733E7"/>
    <w:rsid w:val="4D7678B4"/>
    <w:rsid w:val="4E6F3773"/>
    <w:rsid w:val="4FA51710"/>
    <w:rsid w:val="50B837D7"/>
    <w:rsid w:val="51E33B1E"/>
    <w:rsid w:val="521562F2"/>
    <w:rsid w:val="537E6E53"/>
    <w:rsid w:val="554B1E94"/>
    <w:rsid w:val="58B0027E"/>
    <w:rsid w:val="5949335F"/>
    <w:rsid w:val="5964483D"/>
    <w:rsid w:val="59721282"/>
    <w:rsid w:val="5A3633CE"/>
    <w:rsid w:val="5A596325"/>
    <w:rsid w:val="5AE54B31"/>
    <w:rsid w:val="5BD04D7F"/>
    <w:rsid w:val="5C087718"/>
    <w:rsid w:val="5EB409AE"/>
    <w:rsid w:val="5F5F48BD"/>
    <w:rsid w:val="61B30C06"/>
    <w:rsid w:val="64584DB2"/>
    <w:rsid w:val="67B7036B"/>
    <w:rsid w:val="68271748"/>
    <w:rsid w:val="69FB10EF"/>
    <w:rsid w:val="6C9A4CBD"/>
    <w:rsid w:val="6D8A0CAD"/>
    <w:rsid w:val="6EDF15D2"/>
    <w:rsid w:val="6F60286E"/>
    <w:rsid w:val="70ED7CAB"/>
    <w:rsid w:val="715223FD"/>
    <w:rsid w:val="72EF5F64"/>
    <w:rsid w:val="739C0397"/>
    <w:rsid w:val="74DB1DBF"/>
    <w:rsid w:val="79A62327"/>
    <w:rsid w:val="7AFB65A7"/>
    <w:rsid w:val="7F0A709B"/>
    <w:rsid w:val="7FB3644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5"/>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2"/>
    <w:qFormat/>
    <w:uiPriority w:val="9"/>
    <w:rPr>
      <w:rFonts w:ascii="Times New Roman" w:hAnsi="Times New Roman"/>
      <w:b/>
      <w:bCs/>
      <w:kern w:val="44"/>
      <w:sz w:val="44"/>
      <w:szCs w:val="44"/>
    </w:rPr>
  </w:style>
  <w:style w:type="character" w:customStyle="1" w:styleId="25">
    <w:name w:val="标题 2 Char"/>
    <w:basedOn w:val="13"/>
    <w:link w:val="3"/>
    <w:qFormat/>
    <w:uiPriority w:val="9"/>
    <w:rPr>
      <w:rFonts w:asciiTheme="majorHAnsi" w:hAnsiTheme="majorHAnsi" w:eastAsiaTheme="majorEastAsia" w:cstheme="majorBidi"/>
      <w:b/>
      <w:bCs/>
      <w:kern w:val="2"/>
      <w:sz w:val="32"/>
      <w:szCs w:val="32"/>
    </w:rPr>
  </w:style>
  <w:style w:type="paragraph" w:customStyle="1" w:styleId="26">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4"/>
    <w:qFormat/>
    <w:uiPriority w:val="9"/>
    <w:rPr>
      <w:rFonts w:ascii="Times New Roman" w:hAnsi="Times New Roman"/>
      <w:b/>
      <w:bCs/>
      <w:kern w:val="2"/>
      <w:sz w:val="32"/>
      <w:szCs w:val="32"/>
    </w:rPr>
  </w:style>
  <w:style w:type="character" w:customStyle="1" w:styleId="29">
    <w:name w:val="font51"/>
    <w:basedOn w:val="13"/>
    <w:qFormat/>
    <w:uiPriority w:val="0"/>
    <w:rPr>
      <w:rFonts w:hint="default" w:ascii="Times New Roman" w:hAnsi="Times New Roman" w:cs="Times New Roman"/>
      <w:color w:val="000000"/>
      <w:sz w:val="20"/>
      <w:szCs w:val="20"/>
      <w:u w:val="none"/>
    </w:rPr>
  </w:style>
  <w:style w:type="character" w:customStyle="1" w:styleId="30">
    <w:name w:val="font41"/>
    <w:basedOn w:val="13"/>
    <w:qFormat/>
    <w:uiPriority w:val="0"/>
    <w:rPr>
      <w:rFonts w:hint="default" w:ascii="仿宋_GB2312" w:eastAsia="仿宋_GB2312" w:cs="仿宋_GB2312"/>
      <w:color w:val="000000"/>
      <w:sz w:val="20"/>
      <w:szCs w:val="20"/>
      <w:u w:val="none"/>
    </w:rPr>
  </w:style>
  <w:style w:type="character" w:customStyle="1" w:styleId="31">
    <w:name w:val="font21"/>
    <w:basedOn w:val="13"/>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7B655B-63C4-4BCC-876F-B9275FAAF8A0}">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41</Pages>
  <Words>3076</Words>
  <Characters>17534</Characters>
  <Lines>146</Lines>
  <Paragraphs>41</Paragraphs>
  <TotalTime>177</TotalTime>
  <ScaleCrop>false</ScaleCrop>
  <LinksUpToDate>false</LinksUpToDate>
  <CharactersWithSpaces>20569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聪聪聪聪</cp:lastModifiedBy>
  <cp:lastPrinted>2019-08-01T00:48:00Z</cp:lastPrinted>
  <dcterms:modified xsi:type="dcterms:W3CDTF">2022-03-10T09:40:44Z</dcterms:modified>
  <dc:title>四川省***</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2B9F6B744F334C4496F61B10786DBE5C</vt:lpwstr>
  </property>
</Properties>
</file>