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96597"/>
      <w:bookmarkStart w:id="5" w:name="_Toc15378441"/>
      <w:r>
        <w:rPr>
          <w:rFonts w:ascii="黑体" w:hAnsi="黑体" w:eastAsia="黑体"/>
          <w:color w:val="000000"/>
          <w:sz w:val="72"/>
          <w:szCs w:val="72"/>
        </w:rPr>
        <w:t>20</w:t>
      </w:r>
      <w:r>
        <w:rPr>
          <w:rFonts w:hint="eastAsia" w:ascii="黑体" w:hAnsi="黑体" w:eastAsia="黑体"/>
          <w:color w:val="000000"/>
          <w:sz w:val="72"/>
          <w:szCs w:val="72"/>
          <w:lang w:eastAsia="zh-CN"/>
        </w:rPr>
        <w:t>1</w:t>
      </w:r>
      <w:r>
        <w:rPr>
          <w:rFonts w:hint="eastAsia" w:ascii="黑体" w:hAnsi="黑体" w:eastAsia="黑体"/>
          <w:color w:val="000000"/>
          <w:sz w:val="72"/>
          <w:szCs w:val="72"/>
          <w:lang w:val="en-US" w:eastAsia="zh-CN"/>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达州市达川区石梯镇中心卫生院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rPr>
          <w:rFonts w:hint="eastAsia"/>
          <w:lang w:val="en-US" w:eastAsia="zh-CN"/>
        </w:rPr>
        <w:t>9</w:t>
      </w:r>
      <w:r>
        <w:rPr>
          <w:rFonts w:hint="eastAsia"/>
        </w:rPr>
        <w:t>月</w:t>
      </w:r>
      <w:r>
        <w:rPr>
          <w:rFonts w:hint="eastAsia"/>
          <w:lang w:val="en-US" w:eastAsia="zh-CN"/>
        </w:rPr>
        <w:t>18</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w:t>
      </w:r>
      <w:r>
        <w:rPr>
          <w:rStyle w:val="15"/>
          <w:rFonts w:hint="eastAsia"/>
          <w:lang w:eastAsia="zh-CN"/>
        </w:rPr>
        <w:t>1</w:t>
      </w:r>
      <w:r>
        <w:rPr>
          <w:rStyle w:val="15"/>
          <w:rFonts w:hint="eastAsia"/>
          <w:lang w:val="en-US" w:eastAsia="zh-CN"/>
        </w:rPr>
        <w:t>8</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"_Toc15396615" </w:instrText>
      </w:r>
      <w:r>
        <w:fldChar w:fldCharType="separate"/>
      </w:r>
      <w:r>
        <w:rPr>
          <w:rStyle w:val="15"/>
          <w:rFonts w:hint="eastAsia" w:ascii="仿宋" w:hAnsi="仿宋" w:eastAsia="仿宋"/>
          <w:sz w:val="28"/>
          <w:szCs w:val="28"/>
          <w:lang w:eastAsia="zh-CN"/>
        </w:rPr>
        <w:t>十、预算绩效情况说明</w:t>
      </w:r>
      <w:r>
        <w:rPr>
          <w:rFonts w:ascii="仿宋" w:hAnsi="仿宋" w:eastAsia="仿宋"/>
          <w:sz w:val="28"/>
          <w:szCs w:val="28"/>
        </w:rPr>
        <w:tab/>
      </w:r>
      <w:r>
        <w:rPr>
          <w:rFonts w:hint="eastAsia" w:ascii="仿宋" w:hAnsi="仿宋" w:eastAsia="仿宋"/>
          <w:sz w:val="28"/>
          <w:szCs w:val="28"/>
          <w:lang w:val="en-US" w:eastAsia="zh-CN"/>
        </w:rPr>
        <w:t>12</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19</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22</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r>
        <w:rPr>
          <w:rFonts w:ascii="仿宋" w:hAnsi="仿宋" w:eastAsia="仿宋"/>
          <w:sz w:val="28"/>
          <w:szCs w:val="28"/>
        </w:rPr>
        <w:fldChar w:fldCharType="end"/>
      </w:r>
    </w:p>
    <w:p>
      <w:pPr>
        <w:pStyle w:val="10"/>
        <w:rPr>
          <w:rFonts w:hint="eastAsia" w:eastAsia="仿宋" w:cstheme="minorBidi"/>
          <w:lang w:val="en-US"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lang w:val="en-US" w:eastAsia="zh-CN"/>
        </w:rPr>
        <w:t>2</w:t>
      </w:r>
      <w:r>
        <w:fldChar w:fldCharType="end"/>
      </w:r>
      <w:r>
        <w:rPr>
          <w:rFonts w:hint="eastAsia"/>
          <w:lang w:val="en-US" w:eastAsia="zh-CN"/>
        </w:rPr>
        <w:t>9</w:t>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贯彻执行卫生工作法律、法规和方针、政策，组织实施国家卫生标准技术规范，制定和实施卫生人才发展规划。</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坚持预防为主的方针，协助处理农村重大疫情和公共卫生突发事情，协助重点控制严重危害农民身体健康的结核病、艾滋病等传染病等疾病；实施免疫规划，为艾滋病感染者和艾滋病患者提供预防保健咨询服务等，</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一般常见病、多发病的诊治，正常分娩的接产和妊娠合并症的诊治，现场救护，慢性病筛查和重点慢性病病例管理，精神病患者管理，转诊服务等。</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普及疾病预防和卫生保健知识，进行健康档案管理，引导农民建立良好的卫生习惯，倡导科学、文明、健康的生活方式。</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抓好辖区内公共卫生管理和服务及卫生监督工作；协助镇政府开展城乡居民医疗宣传、咨询等工作；承担辖区内公共卫生作息收集与报告任务；处理突发公共卫生事件；对辖区村卫生室进行规范管理和业务指导及对乡村医生的培训。</w:t>
      </w:r>
    </w:p>
    <w:p>
      <w:pPr>
        <w:ind w:left="0" w:leftChars="0" w:firstLine="639" w:firstLineChars="21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履行城镇职工医疗保险、城镇居民医疗保险定点机构职责。</w:t>
      </w:r>
    </w:p>
    <w:p>
      <w:pPr>
        <w:adjustRightInd w:val="0"/>
        <w:snapToGrid w:val="0"/>
        <w:spacing w:line="600" w:lineRule="atLeast"/>
        <w:ind w:firstLine="704" w:firstLineChars="220"/>
        <w:rPr>
          <w:rFonts w:hint="eastAsia" w:ascii="仿宋_GB2312" w:eastAsia="仿宋_GB2312"/>
          <w:sz w:val="32"/>
          <w:szCs w:val="32"/>
        </w:rPr>
      </w:pPr>
      <w:r>
        <w:rPr>
          <w:rFonts w:hint="eastAsia" w:ascii="仿宋_GB2312" w:eastAsia="仿宋_GB2312"/>
          <w:sz w:val="32"/>
          <w:szCs w:val="32"/>
        </w:rPr>
        <w:t>。</w:t>
      </w:r>
    </w:p>
    <w:bookmarkEnd w:id="16"/>
    <w:bookmarkEnd w:id="17"/>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eastAsia="zh-CN"/>
        </w:rPr>
        <w:t>1</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660" w:firstLineChars="22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20</w:t>
      </w:r>
      <w:r>
        <w:rPr>
          <w:rFonts w:hint="eastAsia" w:ascii="仿宋_GB2312" w:eastAsia="仿宋_GB2312" w:cs="Times New Roman"/>
          <w:sz w:val="30"/>
          <w:szCs w:val="30"/>
          <w:lang w:eastAsia="zh-CN"/>
        </w:rPr>
        <w:t>1</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年</w:t>
      </w:r>
      <w:r>
        <w:rPr>
          <w:rFonts w:hint="eastAsia" w:ascii="仿宋_GB2312" w:hAnsi="Times New Roman" w:eastAsia="仿宋_GB2312" w:cs="Times New Roman"/>
          <w:sz w:val="30"/>
          <w:szCs w:val="30"/>
        </w:rPr>
        <w:t>达川区</w:t>
      </w:r>
      <w:r>
        <w:rPr>
          <w:rFonts w:hint="eastAsia" w:ascii="仿宋_GB2312" w:hAnsi="Times New Roman" w:eastAsia="仿宋_GB2312" w:cs="Times New Roman"/>
          <w:sz w:val="30"/>
          <w:szCs w:val="30"/>
          <w:lang w:eastAsia="zh-CN"/>
        </w:rPr>
        <w:t>石</w:t>
      </w:r>
      <w:r>
        <w:rPr>
          <w:rFonts w:hint="eastAsia" w:ascii="仿宋_GB2312" w:eastAsia="仿宋_GB2312" w:cs="Times New Roman"/>
          <w:sz w:val="30"/>
          <w:szCs w:val="30"/>
          <w:lang w:eastAsia="zh-CN"/>
        </w:rPr>
        <w:t>梯</w:t>
      </w:r>
      <w:r>
        <w:rPr>
          <w:rFonts w:hint="eastAsia" w:ascii="仿宋_GB2312" w:hAnsi="Times New Roman" w:eastAsia="仿宋_GB2312" w:cs="Times New Roman"/>
          <w:sz w:val="30"/>
          <w:szCs w:val="30"/>
        </w:rPr>
        <w:t>镇中心卫生院</w:t>
      </w:r>
      <w:r>
        <w:rPr>
          <w:rFonts w:hint="eastAsia" w:ascii="仿宋_GB2312" w:hAnsi="Times New Roman" w:eastAsia="仿宋_GB2312" w:cs="Times New Roman"/>
          <w:sz w:val="30"/>
          <w:szCs w:val="30"/>
          <w:lang w:eastAsia="zh-CN"/>
        </w:rPr>
        <w:t>的卫生工作</w:t>
      </w:r>
      <w:r>
        <w:rPr>
          <w:rFonts w:hint="eastAsia" w:ascii="仿宋_GB2312" w:hAnsi="Times New Roman" w:eastAsia="仿宋_GB2312" w:cs="Times New Roman"/>
          <w:sz w:val="30"/>
          <w:szCs w:val="30"/>
        </w:rPr>
        <w:t>在镇党委、政府</w:t>
      </w:r>
      <w:r>
        <w:rPr>
          <w:rFonts w:hint="eastAsia" w:ascii="仿宋_GB2312" w:hAnsi="Times New Roman" w:eastAsia="仿宋_GB2312" w:cs="Times New Roman"/>
          <w:sz w:val="30"/>
          <w:szCs w:val="30"/>
          <w:lang w:eastAsia="zh-CN"/>
        </w:rPr>
        <w:t>和</w:t>
      </w:r>
      <w:r>
        <w:rPr>
          <w:rFonts w:hint="eastAsia" w:ascii="仿宋_GB2312" w:hAnsi="Times New Roman" w:eastAsia="仿宋_GB2312" w:cs="Times New Roman"/>
          <w:sz w:val="30"/>
          <w:szCs w:val="30"/>
        </w:rPr>
        <w:t>区卫生</w:t>
      </w:r>
      <w:r>
        <w:rPr>
          <w:rFonts w:hint="eastAsia" w:ascii="仿宋_GB2312" w:hAnsi="Times New Roman" w:eastAsia="仿宋_GB2312" w:cs="Times New Roman"/>
          <w:sz w:val="30"/>
          <w:szCs w:val="30"/>
          <w:lang w:eastAsia="zh-CN"/>
        </w:rPr>
        <w:t>计生</w:t>
      </w:r>
      <w:r>
        <w:rPr>
          <w:rFonts w:hint="eastAsia" w:ascii="仿宋_GB2312" w:hAnsi="Times New Roman" w:eastAsia="仿宋_GB2312" w:cs="Times New Roman"/>
          <w:sz w:val="30"/>
          <w:szCs w:val="30"/>
        </w:rPr>
        <w:t>局领导下，</w:t>
      </w:r>
      <w:bookmarkStart w:id="20" w:name="OLE_LINK1"/>
      <w:r>
        <w:rPr>
          <w:rFonts w:hint="eastAsia" w:ascii="仿宋_GB2312" w:hAnsi="Times New Roman" w:eastAsia="仿宋_GB2312" w:cs="Times New Roman"/>
          <w:sz w:val="30"/>
          <w:szCs w:val="30"/>
          <w:rtl w:val="0"/>
        </w:rPr>
        <w:t>坚持以“三个代表”重要思想为指导，认真贯彻落实党的</w:t>
      </w:r>
      <w:r>
        <w:rPr>
          <w:rFonts w:hint="eastAsia" w:ascii="仿宋_GB2312" w:hAnsi="Times New Roman" w:eastAsia="仿宋_GB2312" w:cs="Times New Roman"/>
          <w:sz w:val="30"/>
          <w:szCs w:val="30"/>
          <w:rtl w:val="0"/>
          <w:lang w:eastAsia="zh-CN"/>
        </w:rPr>
        <w:t>十九</w:t>
      </w:r>
      <w:r>
        <w:rPr>
          <w:rFonts w:hint="eastAsia" w:ascii="仿宋_GB2312" w:hAnsi="Times New Roman" w:eastAsia="仿宋_GB2312" w:cs="Times New Roman"/>
          <w:sz w:val="30"/>
          <w:szCs w:val="30"/>
          <w:rtl w:val="0"/>
        </w:rPr>
        <w:t>大精神，强化“以病人为中心，以质量为核心”的服务理念，</w:t>
      </w:r>
      <w:r>
        <w:rPr>
          <w:rFonts w:hint="eastAsia" w:ascii="仿宋_GB2312" w:hAnsi="Times New Roman" w:eastAsia="仿宋_GB2312" w:cs="Times New Roman"/>
          <w:sz w:val="30"/>
          <w:szCs w:val="30"/>
        </w:rPr>
        <w:t>深入</w:t>
      </w:r>
      <w:r>
        <w:rPr>
          <w:rFonts w:hint="eastAsia" w:ascii="仿宋_GB2312" w:hAnsi="Times New Roman" w:eastAsia="仿宋_GB2312" w:cs="Times New Roman"/>
          <w:sz w:val="30"/>
          <w:szCs w:val="30"/>
          <w:lang w:eastAsia="zh-CN"/>
        </w:rPr>
        <w:t>全面</w:t>
      </w:r>
      <w:r>
        <w:rPr>
          <w:rFonts w:hint="eastAsia" w:ascii="仿宋_GB2312" w:hAnsi="Times New Roman" w:eastAsia="仿宋_GB2312" w:cs="Times New Roman"/>
          <w:sz w:val="30"/>
          <w:szCs w:val="30"/>
        </w:rPr>
        <w:t>贯彻党的</w:t>
      </w:r>
      <w:r>
        <w:rPr>
          <w:rFonts w:hint="eastAsia" w:ascii="仿宋_GB2312" w:hAnsi="Times New Roman" w:eastAsia="仿宋_GB2312" w:cs="Times New Roman"/>
          <w:sz w:val="30"/>
          <w:szCs w:val="30"/>
          <w:lang w:eastAsia="zh-CN"/>
        </w:rPr>
        <w:t>十九大</w:t>
      </w:r>
      <w:r>
        <w:rPr>
          <w:rFonts w:hint="eastAsia" w:ascii="仿宋_GB2312" w:hAnsi="Times New Roman" w:eastAsia="仿宋_GB2312" w:cs="Times New Roman"/>
          <w:sz w:val="30"/>
          <w:szCs w:val="30"/>
        </w:rPr>
        <w:t>精神</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习近平新时代中国特色社会主义思想</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习近平总书记对四川工作系列重要指示精神和省委十一届三次全会精神，落实市第四次党代会部署</w:t>
      </w:r>
      <w:r>
        <w:rPr>
          <w:rFonts w:hint="eastAsia" w:ascii="仿宋_GB2312" w:hAnsi="Times New Roman" w:eastAsia="仿宋_GB2312" w:cs="Times New Roman"/>
          <w:sz w:val="30"/>
          <w:szCs w:val="30"/>
          <w:lang w:eastAsia="zh-CN"/>
        </w:rPr>
        <w:t>。深入</w:t>
      </w:r>
      <w:r>
        <w:rPr>
          <w:rFonts w:hint="eastAsia" w:ascii="仿宋_GB2312" w:hAnsi="Times New Roman" w:eastAsia="仿宋_GB2312" w:cs="Times New Roman"/>
          <w:sz w:val="30"/>
          <w:szCs w:val="30"/>
        </w:rPr>
        <w:t>开展</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lang w:val="en-US" w:eastAsia="zh-CN"/>
        </w:rPr>
        <w:t>六个年</w:t>
      </w:r>
      <w:r>
        <w:rPr>
          <w:rFonts w:hint="eastAsia" w:ascii="仿宋_GB2312" w:hAnsi="Times New Roman" w:eastAsia="仿宋_GB2312" w:cs="Times New Roman"/>
          <w:sz w:val="30"/>
          <w:szCs w:val="30"/>
          <w:lang w:eastAsia="zh-CN"/>
        </w:rPr>
        <w:t>”、“廉洁医院建设”</w:t>
      </w:r>
      <w:r>
        <w:rPr>
          <w:rFonts w:hint="eastAsia" w:ascii="仿宋_GB2312" w:hAnsi="Times New Roman" w:eastAsia="仿宋_GB2312" w:cs="Times New Roman"/>
          <w:sz w:val="30"/>
          <w:szCs w:val="30"/>
        </w:rPr>
        <w:t>活动。</w:t>
      </w:r>
      <w:bookmarkEnd w:id="20"/>
      <w:r>
        <w:rPr>
          <w:rFonts w:hint="eastAsia" w:ascii="仿宋_GB2312" w:hAnsi="Times New Roman" w:eastAsia="仿宋_GB2312" w:cs="Times New Roman"/>
          <w:sz w:val="30"/>
          <w:szCs w:val="30"/>
        </w:rPr>
        <w:t>加强政治思想和医德医风教育</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抓好医疗核心制度落实，严格</w:t>
      </w:r>
      <w:r>
        <w:rPr>
          <w:rFonts w:hint="eastAsia" w:ascii="仿宋_GB2312" w:hAnsi="Times New Roman" w:eastAsia="仿宋_GB2312" w:cs="Times New Roman"/>
          <w:sz w:val="30"/>
          <w:szCs w:val="30"/>
          <w:lang w:eastAsia="zh-CN"/>
        </w:rPr>
        <w:t>医疗保险</w:t>
      </w:r>
      <w:r>
        <w:rPr>
          <w:rFonts w:hint="eastAsia" w:ascii="仿宋_GB2312" w:hAnsi="Times New Roman" w:eastAsia="仿宋_GB2312" w:cs="Times New Roman"/>
          <w:sz w:val="30"/>
          <w:szCs w:val="30"/>
        </w:rPr>
        <w:t>制度和基</w:t>
      </w:r>
      <w:r>
        <w:rPr>
          <w:rFonts w:hint="eastAsia" w:ascii="仿宋_GB2312" w:hAnsi="Times New Roman" w:eastAsia="仿宋_GB2312" w:cs="Times New Roman"/>
          <w:sz w:val="30"/>
          <w:szCs w:val="30"/>
          <w:lang w:eastAsia="zh-CN"/>
        </w:rPr>
        <w:t>本</w:t>
      </w:r>
      <w:r>
        <w:rPr>
          <w:rFonts w:hint="eastAsia" w:ascii="仿宋_GB2312" w:hAnsi="Times New Roman" w:eastAsia="仿宋_GB2312" w:cs="Times New Roman"/>
          <w:sz w:val="30"/>
          <w:szCs w:val="30"/>
        </w:rPr>
        <w:t>公共卫生项目实施，努力做好辖区内疾病预防控制工作，严格执行药品网上采购“阳光采购”方案</w:t>
      </w:r>
      <w:r>
        <w:rPr>
          <w:rFonts w:hint="eastAsia" w:ascii="仿宋_GB2312" w:hAnsi="Times New Roman" w:eastAsia="仿宋_GB2312" w:cs="Times New Roman"/>
          <w:sz w:val="30"/>
          <w:szCs w:val="30"/>
          <w:lang w:eastAsia="zh-CN"/>
        </w:rPr>
        <w:t>及</w:t>
      </w:r>
      <w:r>
        <w:rPr>
          <w:rFonts w:hint="eastAsia" w:ascii="仿宋_GB2312" w:hAnsi="Times New Roman" w:eastAsia="仿宋_GB2312" w:cs="Times New Roman"/>
          <w:sz w:val="30"/>
          <w:szCs w:val="30"/>
        </w:rPr>
        <w:t>基本药物制度和抗菌药物应用管理的规定。</w:t>
      </w: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spacing w:line="600" w:lineRule="exact"/>
        <w:ind w:firstLine="600" w:firstLineChars="200"/>
        <w:rPr>
          <w:rFonts w:hint="eastAsia" w:ascii="仿宋_GB2312" w:hAnsi="仿宋" w:eastAsia="仿宋_GB2312"/>
          <w:sz w:val="30"/>
          <w:szCs w:val="30"/>
        </w:rPr>
      </w:pPr>
      <w:r>
        <w:rPr>
          <w:rFonts w:hint="eastAsia" w:ascii="仿宋_GB2312" w:hAnsi="仿宋_GB2312" w:eastAsia="仿宋_GB2312" w:cs="仿宋_GB2312"/>
          <w:color w:val="000000"/>
          <w:sz w:val="30"/>
          <w:szCs w:val="30"/>
        </w:rPr>
        <w:t>达州市达川区石</w:t>
      </w:r>
      <w:r>
        <w:rPr>
          <w:rFonts w:hint="eastAsia" w:ascii="仿宋_GB2312" w:hAnsi="仿宋_GB2312" w:eastAsia="仿宋_GB2312" w:cs="仿宋_GB2312"/>
          <w:color w:val="000000"/>
          <w:sz w:val="30"/>
          <w:szCs w:val="30"/>
          <w:lang w:eastAsia="zh-CN"/>
        </w:rPr>
        <w:t>梯</w:t>
      </w:r>
      <w:r>
        <w:rPr>
          <w:rFonts w:hint="eastAsia" w:ascii="仿宋_GB2312" w:hAnsi="仿宋_GB2312" w:eastAsia="仿宋_GB2312" w:cs="仿宋_GB2312"/>
          <w:color w:val="000000"/>
          <w:sz w:val="30"/>
          <w:szCs w:val="30"/>
        </w:rPr>
        <w:t>镇中心卫生院</w:t>
      </w:r>
      <w:r>
        <w:rPr>
          <w:rFonts w:hint="eastAsia" w:ascii="仿宋_GB2312" w:hAnsi="仿宋_GB2312" w:eastAsia="仿宋_GB2312" w:cs="仿宋_GB2312"/>
          <w:color w:val="000000"/>
          <w:sz w:val="30"/>
          <w:szCs w:val="30"/>
          <w:lang w:eastAsia="zh-CN"/>
        </w:rPr>
        <w:t>为</w:t>
      </w:r>
      <w:r>
        <w:rPr>
          <w:rFonts w:hint="eastAsia" w:ascii="仿宋_GB2312" w:hAnsi="仿宋_GB2312" w:eastAsia="仿宋_GB2312" w:cs="仿宋_GB2312"/>
          <w:color w:val="000000"/>
          <w:sz w:val="30"/>
          <w:szCs w:val="30"/>
        </w:rPr>
        <w:t>事业单位1个</w:t>
      </w:r>
      <w:r>
        <w:rPr>
          <w:rFonts w:hint="eastAsia" w:ascii="仿宋_GB2312" w:hAnsi="仿宋_GB2312" w:eastAsia="仿宋_GB2312" w:cs="仿宋_GB2312"/>
          <w:color w:val="000000"/>
          <w:sz w:val="30"/>
          <w:szCs w:val="30"/>
          <w:lang w:eastAsia="zh-CN"/>
        </w:rPr>
        <w:t>，内设院长办公室、行政办公室、财务科、医保办、公共卫生科、住院部、门诊部、妇产科、针灸理疗科、护理部、医技科室、中西药房、收费室、手术室等；</w:t>
      </w:r>
      <w:r>
        <w:rPr>
          <w:rFonts w:hint="eastAsia" w:ascii="仿宋_GB2312" w:hAnsi="仿宋" w:eastAsia="仿宋_GB2312"/>
          <w:sz w:val="30"/>
          <w:szCs w:val="30"/>
        </w:rPr>
        <w:t>年末实有人数</w:t>
      </w:r>
      <w:r>
        <w:rPr>
          <w:rFonts w:hint="eastAsia" w:ascii="仿宋_GB2312" w:hAnsi="仿宋" w:eastAsia="仿宋_GB2312"/>
          <w:sz w:val="30"/>
          <w:szCs w:val="30"/>
          <w:lang w:val="en-US" w:eastAsia="zh-CN"/>
        </w:rPr>
        <w:t>71人</w:t>
      </w:r>
      <w:r>
        <w:rPr>
          <w:rFonts w:hint="eastAsia" w:ascii="仿宋_GB2312" w:hAnsi="仿宋" w:eastAsia="仿宋_GB2312"/>
          <w:sz w:val="30"/>
          <w:szCs w:val="30"/>
        </w:rPr>
        <w:t>（含临聘</w:t>
      </w:r>
      <w:r>
        <w:rPr>
          <w:rFonts w:hint="eastAsia" w:ascii="仿宋_GB2312" w:hAnsi="仿宋" w:eastAsia="仿宋_GB2312"/>
          <w:sz w:val="30"/>
          <w:szCs w:val="30"/>
          <w:lang w:val="en-US" w:eastAsia="zh-CN"/>
        </w:rPr>
        <w:t>9</w:t>
      </w:r>
      <w:r>
        <w:rPr>
          <w:rFonts w:hint="eastAsia" w:ascii="仿宋_GB2312" w:hAnsi="仿宋" w:eastAsia="仿宋_GB2312"/>
          <w:sz w:val="30"/>
          <w:szCs w:val="30"/>
        </w:rPr>
        <w:t>人）人，其中事业专技人员</w:t>
      </w:r>
      <w:r>
        <w:rPr>
          <w:rFonts w:hint="eastAsia" w:ascii="仿宋_GB2312" w:hAnsi="仿宋" w:eastAsia="仿宋_GB2312"/>
          <w:sz w:val="30"/>
          <w:szCs w:val="30"/>
          <w:lang w:val="en-US" w:eastAsia="zh-CN"/>
        </w:rPr>
        <w:t>59</w:t>
      </w:r>
      <w:r>
        <w:rPr>
          <w:rFonts w:hint="eastAsia" w:ascii="仿宋_GB2312" w:hAnsi="仿宋" w:eastAsia="仿宋_GB2312"/>
          <w:sz w:val="30"/>
          <w:szCs w:val="30"/>
        </w:rPr>
        <w:t>人、事业工勤人员</w:t>
      </w:r>
      <w:r>
        <w:rPr>
          <w:rFonts w:hint="eastAsia" w:ascii="仿宋_GB2312" w:hAnsi="仿宋" w:eastAsia="仿宋_GB2312"/>
          <w:sz w:val="30"/>
          <w:szCs w:val="30"/>
          <w:lang w:val="en-US" w:eastAsia="zh-CN"/>
        </w:rPr>
        <w:t>3</w:t>
      </w:r>
      <w:r>
        <w:rPr>
          <w:rFonts w:hint="eastAsia" w:ascii="仿宋_GB2312" w:hAnsi="仿宋" w:eastAsia="仿宋_GB2312"/>
          <w:sz w:val="30"/>
          <w:szCs w:val="30"/>
        </w:rPr>
        <w:t>人、临聘人员</w:t>
      </w:r>
      <w:r>
        <w:rPr>
          <w:rFonts w:hint="eastAsia" w:ascii="仿宋_GB2312" w:hAnsi="仿宋" w:eastAsia="仿宋_GB2312"/>
          <w:sz w:val="30"/>
          <w:szCs w:val="30"/>
          <w:lang w:val="en-US" w:eastAsia="zh-CN"/>
        </w:rPr>
        <w:t>9</w:t>
      </w:r>
      <w:r>
        <w:rPr>
          <w:rFonts w:hint="eastAsia" w:ascii="仿宋_GB2312" w:hAnsi="仿宋" w:eastAsia="仿宋_GB2312"/>
          <w:sz w:val="30"/>
          <w:szCs w:val="30"/>
        </w:rPr>
        <w:t>人；退休人员</w:t>
      </w:r>
      <w:r>
        <w:rPr>
          <w:rFonts w:hint="eastAsia" w:ascii="仿宋_GB2312" w:hAnsi="仿宋" w:eastAsia="仿宋_GB2312"/>
          <w:sz w:val="30"/>
          <w:szCs w:val="30"/>
          <w:lang w:val="en-US" w:eastAsia="zh-CN"/>
        </w:rPr>
        <w:t>26</w:t>
      </w:r>
      <w:r>
        <w:rPr>
          <w:rFonts w:hint="eastAsia" w:ascii="仿宋_GB2312" w:hAnsi="仿宋" w:eastAsia="仿宋_GB2312"/>
          <w:sz w:val="30"/>
          <w:szCs w:val="30"/>
        </w:rPr>
        <w:t>人。</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pPr>
      <w:bookmarkStart w:id="23" w:name="_Toc15377204"/>
      <w:bookmarkStart w:id="2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eastAsia="zh-CN"/>
        </w:rPr>
        <w:t>1</w:t>
      </w:r>
      <w:r>
        <w:rPr>
          <w:rStyle w:val="24"/>
          <w:rFonts w:hint="eastAsia" w:ascii="黑体" w:hAnsi="黑体" w:eastAsia="黑体"/>
          <w:b w:val="0"/>
          <w:bCs w:val="0"/>
          <w:lang w:val="en-US" w:eastAsia="zh-CN"/>
        </w:rPr>
        <w:t>8</w:t>
      </w:r>
      <w:r>
        <w:rPr>
          <w:rStyle w:val="24"/>
          <w:rFonts w:hint="eastAsia" w:ascii="黑体" w:hAnsi="黑体" w:eastAsia="黑体"/>
          <w:b w:val="0"/>
          <w:bCs w:val="0"/>
        </w:rPr>
        <w:t>年度部门决算情况说明</w:t>
      </w:r>
      <w:bookmarkEnd w:id="23"/>
      <w:bookmarkEnd w:id="24"/>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1248.14</w:t>
      </w:r>
      <w:r>
        <w:rPr>
          <w:rFonts w:hint="eastAsia" w:ascii="仿宋" w:hAnsi="仿宋" w:eastAsia="仿宋"/>
          <w:color w:val="000000"/>
          <w:sz w:val="32"/>
          <w:szCs w:val="32"/>
        </w:rPr>
        <w:t>万元。与2017年相比，收、支总计各减少</w:t>
      </w:r>
      <w:r>
        <w:rPr>
          <w:rFonts w:hint="eastAsia" w:ascii="仿宋" w:hAnsi="仿宋" w:eastAsia="仿宋"/>
          <w:color w:val="000000"/>
          <w:sz w:val="32"/>
          <w:szCs w:val="32"/>
          <w:lang w:val="en-US" w:eastAsia="zh-CN"/>
        </w:rPr>
        <w:t>172.23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业务收入下降。</w:t>
      </w:r>
    </w:p>
    <w:p>
      <w:pPr>
        <w:spacing w:line="240" w:lineRule="auto"/>
        <w:rPr>
          <w:rFonts w:hint="eastAsia" w:ascii="仿宋" w:hAnsi="仿宋" w:eastAsia="仿宋"/>
          <w:color w:val="000000"/>
          <w:sz w:val="32"/>
          <w:szCs w:val="32"/>
          <w:lang w:eastAsia="zh-CN"/>
        </w:rPr>
      </w:pPr>
      <w:r>
        <w:drawing>
          <wp:inline distT="0" distB="0" distL="114300" distR="114300">
            <wp:extent cx="5273675" cy="2579370"/>
            <wp:effectExtent l="4445" t="4445" r="17780" b="6985"/>
            <wp:docPr id="109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1166.01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589.41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576.6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240" w:lineRule="auto"/>
        <w:ind w:firstLine="420" w:firstLineChars="200"/>
        <w:rPr>
          <w:rFonts w:hint="eastAsia" w:ascii="仿宋" w:hAnsi="仿宋" w:eastAsia="仿宋"/>
          <w:color w:val="000000" w:themeColor="text1"/>
          <w:sz w:val="32"/>
          <w:szCs w:val="32"/>
          <w:lang w:eastAsia="zh-CN"/>
          <w14:textFill>
            <w14:solidFill>
              <w14:schemeClr w14:val="tx1"/>
            </w14:solidFill>
          </w14:textFill>
        </w:rPr>
      </w:pPr>
      <w:r>
        <w:drawing>
          <wp:inline distT="0" distB="0" distL="114300" distR="114300">
            <wp:extent cx="4571365" cy="2743200"/>
            <wp:effectExtent l="4445" t="4445" r="15240" b="14605"/>
            <wp:docPr id="109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1066.8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895.78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171.02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rPr>
          <w:rFonts w:hint="eastAsia" w:ascii="仿宋" w:hAnsi="仿宋" w:eastAsia="仿宋"/>
          <w:color w:val="000000"/>
          <w:sz w:val="32"/>
          <w:szCs w:val="32"/>
          <w:lang w:eastAsia="zh-CN"/>
        </w:rPr>
      </w:pPr>
      <w:r>
        <w:drawing>
          <wp:inline distT="0" distB="0" distL="114300" distR="114300">
            <wp:extent cx="4571365" cy="2743200"/>
            <wp:effectExtent l="4445" t="4445" r="15240" b="14605"/>
            <wp:docPr id="109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671.54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61.84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财政应返还额度减少。</w:t>
      </w:r>
    </w:p>
    <w:p>
      <w:pPr>
        <w:spacing w:line="240" w:lineRule="auto"/>
        <w:ind w:firstLine="420" w:firstLineChars="200"/>
        <w:rPr>
          <w:rFonts w:hint="eastAsia" w:ascii="仿宋" w:hAnsi="仿宋" w:eastAsia="仿宋"/>
          <w:color w:val="000000"/>
          <w:sz w:val="32"/>
          <w:szCs w:val="32"/>
          <w:lang w:val="en-US" w:eastAsia="zh-CN"/>
        </w:rPr>
      </w:pPr>
      <w:r>
        <w:drawing>
          <wp:inline distT="0" distB="0" distL="114300" distR="114300">
            <wp:extent cx="4924425" cy="3162300"/>
            <wp:effectExtent l="4445" t="4445" r="5080" b="14605"/>
            <wp:docPr id="109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490.2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45.9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161.06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24.7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人员支出及商品和服务支出减少。</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3599815"/>
            <wp:effectExtent l="4445" t="4445" r="14605" b="15240"/>
            <wp:docPr id="109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490.2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68.69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380.72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40.79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240" w:lineRule="auto"/>
        <w:rPr>
          <w:rFonts w:hint="eastAsia" w:ascii="仿宋" w:hAnsi="仿宋" w:eastAsia="仿宋"/>
          <w:color w:val="000000" w:themeColor="text1"/>
          <w:sz w:val="32"/>
          <w:szCs w:val="32"/>
          <w:lang w:eastAsia="zh-CN"/>
          <w14:textFill>
            <w14:solidFill>
              <w14:schemeClr w14:val="tx1"/>
            </w14:solidFill>
          </w14:textFill>
        </w:rPr>
      </w:pPr>
      <w:r>
        <w:drawing>
          <wp:inline distT="0" distB="0" distL="114300" distR="114300">
            <wp:extent cx="4876800" cy="2743200"/>
            <wp:effectExtent l="4445" t="4445" r="14605" b="14605"/>
            <wp:docPr id="119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213"/>
      <w:bookmarkStart w:id="39" w:name="_Toc15377444"/>
      <w:bookmarkStart w:id="40"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eastAsia="zh-CN"/>
          <w14:textFill>
            <w14:solidFill>
              <w14:schemeClr w14:val="tx1"/>
            </w14:solidFill>
          </w14:textFill>
        </w:rPr>
        <w:t>1</w:t>
      </w:r>
      <w:r>
        <w:rPr>
          <w:rFonts w:hint="eastAsia" w:ascii="仿宋" w:hAnsi="仿宋" w:eastAsia="仿宋"/>
          <w:b/>
          <w:color w:val="000000" w:themeColor="text1"/>
          <w:sz w:val="32"/>
          <w:szCs w:val="32"/>
          <w:lang w:val="en-US" w:eastAsia="zh-CN"/>
          <w14:textFill>
            <w14:solidFill>
              <w14:schemeClr w14:val="tx1"/>
            </w14:solidFill>
          </w14:textFill>
        </w:rPr>
        <w:t>8</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1066.8万元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85.5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_GB2312" w:eastAsia="仿宋_GB2312"/>
          <w:color w:val="000000"/>
          <w:sz w:val="32"/>
          <w:szCs w:val="32"/>
        </w:rPr>
        <w:t>社会保障和就业（208）行政事业单位离退休（20805）机关事业单位基本养老保险缴费支出（2080505）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65.97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_GB2312" w:eastAsia="仿宋_GB2312"/>
          <w:color w:val="000000"/>
          <w:sz w:val="32"/>
          <w:szCs w:val="32"/>
        </w:rPr>
        <w:t>社会保障和就业（208）行政事业单位离退休（20805）机关事业单位</w:t>
      </w:r>
      <w:r>
        <w:rPr>
          <w:rStyle w:val="14"/>
          <w:rFonts w:hint="eastAsia" w:ascii="仿宋_GB2312" w:eastAsia="仿宋_GB2312"/>
          <w:color w:val="000000"/>
          <w:sz w:val="32"/>
          <w:szCs w:val="32"/>
          <w:lang w:eastAsia="zh-CN"/>
        </w:rPr>
        <w:t>职业年金</w:t>
      </w:r>
      <w:r>
        <w:rPr>
          <w:rStyle w:val="14"/>
          <w:rFonts w:hint="eastAsia" w:ascii="仿宋_GB2312" w:eastAsia="仿宋_GB2312"/>
          <w:color w:val="000000"/>
          <w:sz w:val="32"/>
          <w:szCs w:val="32"/>
        </w:rPr>
        <w:t>缴费支出（2080505）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3</w:t>
      </w:r>
      <w:r>
        <w:rPr>
          <w:rStyle w:val="14"/>
          <w:rFonts w:ascii="仿宋" w:hAnsi="仿宋" w:eastAsia="仿宋"/>
          <w:bCs/>
          <w:color w:val="auto"/>
          <w:sz w:val="32"/>
          <w:szCs w:val="32"/>
        </w:rPr>
        <w:t>.</w:t>
      </w:r>
      <w:r>
        <w:rPr>
          <w:rStyle w:val="14"/>
          <w:rFonts w:hint="eastAsia" w:ascii="仿宋_GB2312" w:eastAsia="仿宋_GB2312"/>
          <w:color w:val="auto"/>
          <w:sz w:val="32"/>
          <w:szCs w:val="32"/>
        </w:rPr>
        <w:t>医疗卫生与计划生育（210）基层医疗卫生机构（21003）乡镇卫生院（2100302）</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754.49</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80.6</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，决算数</w:t>
      </w:r>
      <w:r>
        <w:rPr>
          <w:rStyle w:val="14"/>
          <w:rFonts w:hint="eastAsia" w:ascii="仿宋" w:hAnsi="仿宋" w:eastAsia="仿宋"/>
          <w:b w:val="0"/>
          <w:bCs/>
          <w:color w:val="auto"/>
          <w:sz w:val="32"/>
          <w:szCs w:val="32"/>
          <w:lang w:eastAsia="zh-CN"/>
        </w:rPr>
        <w:t>小</w:t>
      </w:r>
      <w:r>
        <w:rPr>
          <w:rStyle w:val="14"/>
          <w:rFonts w:hint="eastAsia" w:ascii="仿宋" w:hAnsi="仿宋" w:eastAsia="仿宋"/>
          <w:b w:val="0"/>
          <w:bCs/>
          <w:color w:val="auto"/>
          <w:sz w:val="32"/>
          <w:szCs w:val="32"/>
        </w:rPr>
        <w:t>于预算数的主要原因是</w:t>
      </w:r>
      <w:r>
        <w:rPr>
          <w:rStyle w:val="14"/>
          <w:rFonts w:hint="eastAsia" w:ascii="仿宋" w:hAnsi="仿宋" w:eastAsia="仿宋"/>
          <w:b w:val="0"/>
          <w:bCs/>
          <w:color w:val="auto"/>
          <w:sz w:val="32"/>
          <w:szCs w:val="32"/>
          <w:lang w:eastAsia="zh-CN"/>
        </w:rPr>
        <w:t>财政应返还额度增加等</w:t>
      </w:r>
      <w:r>
        <w:rPr>
          <w:rStyle w:val="14"/>
          <w:rFonts w:hint="eastAsia" w:ascii="仿宋" w:hAnsi="仿宋" w:eastAsia="仿宋"/>
          <w:b w:val="0"/>
          <w:bCs/>
          <w:color w:val="auto"/>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医疗卫生与计划生育（210）基层医疗卫生机构（21003）其他基层医疗卫生机构支出（2100399）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37.4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医疗卫生与计划生育（210）公共卫生（21004）基本公共卫生服务（2100408）</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132.62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w:t>
      </w:r>
      <w:r>
        <w:rPr>
          <w:rStyle w:val="14"/>
          <w:rFonts w:hint="eastAsia" w:ascii="仿宋_GB2312" w:eastAsia="仿宋_GB2312"/>
          <w:color w:val="000000"/>
          <w:sz w:val="32"/>
          <w:szCs w:val="32"/>
          <w:lang w:eastAsia="zh-CN"/>
        </w:rPr>
        <w:t>中医药</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中医（民族医）药专项</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601</w:t>
      </w:r>
      <w:r>
        <w:rPr>
          <w:rStyle w:val="14"/>
          <w:rFonts w:hint="eastAsia" w:ascii="仿宋_GB2312" w:eastAsia="仿宋_GB2312"/>
          <w:color w:val="000000"/>
          <w:sz w:val="32"/>
          <w:szCs w:val="32"/>
        </w:rPr>
        <w:t>）</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w:t>
      </w:r>
      <w:r>
        <w:rPr>
          <w:rStyle w:val="14"/>
          <w:rFonts w:hint="eastAsia" w:ascii="仿宋_GB2312" w:eastAsia="仿宋_GB2312"/>
          <w:color w:val="000000"/>
          <w:sz w:val="32"/>
          <w:szCs w:val="32"/>
          <w:lang w:eastAsia="zh-CN"/>
        </w:rPr>
        <w:t>行政事业单位医疗</w:t>
      </w:r>
      <w:r>
        <w:rPr>
          <w:rStyle w:val="14"/>
          <w:rFonts w:hint="eastAsia" w:ascii="仿宋_GB2312" w:eastAsia="仿宋_GB2312"/>
          <w:color w:val="000000"/>
          <w:sz w:val="32"/>
          <w:szCs w:val="32"/>
        </w:rPr>
        <w:t>（210</w:t>
      </w:r>
      <w:r>
        <w:rPr>
          <w:rStyle w:val="14"/>
          <w:rFonts w:hint="eastAsia" w:ascii="仿宋_GB2312" w:eastAsia="仿宋_GB2312"/>
          <w:color w:val="000000"/>
          <w:sz w:val="32"/>
          <w:szCs w:val="32"/>
          <w:lang w:val="en-US" w:eastAsia="zh-CN"/>
        </w:rPr>
        <w:t>11</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w:t>
      </w:r>
      <w:r>
        <w:rPr>
          <w:rStyle w:val="14"/>
          <w:rFonts w:hint="eastAsia" w:ascii="仿宋_GB2312" w:eastAsia="仿宋_GB2312"/>
          <w:color w:val="000000"/>
          <w:sz w:val="32"/>
          <w:szCs w:val="32"/>
          <w:lang w:val="en-US" w:eastAsia="zh-CN"/>
        </w:rPr>
        <w:t>1102</w:t>
      </w:r>
      <w:r>
        <w:rPr>
          <w:rStyle w:val="14"/>
          <w:rFonts w:hint="eastAsia" w:ascii="仿宋_GB2312" w:eastAsia="仿宋_GB2312"/>
          <w:color w:val="000000"/>
          <w:sz w:val="32"/>
          <w:szCs w:val="32"/>
        </w:rPr>
        <w:t>）</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31.8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_GB2312" w:eastAsia="仿宋_GB2312"/>
          <w:color w:val="000000"/>
          <w:sz w:val="32"/>
          <w:szCs w:val="32"/>
        </w:rPr>
        <w:t>住房保障支出（221）住房保障改革（22102）住房公积金（2210201）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40.79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sz w:val="32"/>
          <w:szCs w:val="32"/>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sz w:val="32"/>
          <w:szCs w:val="32"/>
        </w:rPr>
        <w:t>般公共预算财政拨款基本支出决算情况说明</w:t>
      </w:r>
      <w:bookmarkEnd w:id="41"/>
      <w:bookmarkEnd w:id="42"/>
      <w:r>
        <w:rPr>
          <w:rStyle w:val="25"/>
          <w:rFonts w:ascii="黑体" w:hAnsi="黑体" w:eastAsia="黑体"/>
          <w:b w:val="0"/>
          <w:sz w:val="32"/>
          <w:szCs w:val="32"/>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eastAsia="zh-CN"/>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319.19</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302.73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16.45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hint="eastAsia"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outlineLvl w:val="2"/>
        <w:rPr>
          <w:rFonts w:hint="eastAsia" w:ascii="仿宋" w:hAnsi="仿宋" w:eastAsia="仿宋"/>
          <w:color w:val="000000"/>
          <w:sz w:val="32"/>
          <w:szCs w:val="32"/>
          <w:lang w:eastAsia="zh-CN"/>
        </w:rPr>
      </w:pPr>
      <w:r>
        <w:rPr>
          <w:rFonts w:hint="eastAsia" w:ascii="仿宋" w:hAnsi="仿宋" w:eastAsia="仿宋"/>
          <w:b/>
          <w:color w:val="000000"/>
          <w:sz w:val="32"/>
          <w:szCs w:val="32"/>
          <w:lang w:eastAsia="zh-CN"/>
        </w:rPr>
        <w:t>（无）</w:t>
      </w:r>
      <w:bookmarkStart w:id="47" w:name="_Toc15377218"/>
      <w:bookmarkStart w:id="48" w:name="_Toc15396610"/>
    </w:p>
    <w:p>
      <w:pPr>
        <w:numPr>
          <w:ilvl w:val="0"/>
          <w:numId w:val="2"/>
        </w:numPr>
        <w:spacing w:line="600" w:lineRule="exact"/>
        <w:ind w:firstLine="640"/>
        <w:outlineLvl w:val="1"/>
        <w:rPr>
          <w:rStyle w:val="25"/>
          <w:rFonts w:hint="eastAsia" w:ascii="黑体" w:hAnsi="黑体" w:eastAsia="黑体"/>
          <w:b w:val="0"/>
        </w:rPr>
      </w:pPr>
      <w:r>
        <w:rPr>
          <w:rStyle w:val="25"/>
          <w:rFonts w:hint="eastAsia" w:ascii="黑体" w:hAnsi="黑体" w:eastAsia="黑体"/>
          <w:b w:val="0"/>
        </w:rPr>
        <w:t>政府性基金预算支出决算情况说明</w:t>
      </w:r>
      <w:bookmarkEnd w:id="47"/>
      <w:bookmarkEnd w:id="48"/>
    </w:p>
    <w:p>
      <w:pPr>
        <w:numPr>
          <w:ilvl w:val="0"/>
          <w:numId w:val="0"/>
        </w:numPr>
        <w:spacing w:line="600" w:lineRule="exact"/>
        <w:ind w:firstLine="640" w:firstLineChars="200"/>
        <w:outlineLvl w:val="1"/>
        <w:rPr>
          <w:rStyle w:val="25"/>
          <w:rFonts w:hint="eastAsia" w:ascii="黑体" w:hAnsi="黑体" w:eastAsia="黑体"/>
          <w:lang w:eastAsia="zh-CN"/>
        </w:rPr>
      </w:pPr>
      <w:r>
        <w:rPr>
          <w:rStyle w:val="25"/>
          <w:rFonts w:hint="eastAsia" w:ascii="黑体" w:hAnsi="黑体" w:eastAsia="黑体"/>
          <w:b w:val="0"/>
          <w:lang w:eastAsia="zh-CN"/>
        </w:rPr>
        <w:t>（无）</w:t>
      </w:r>
    </w:p>
    <w:p>
      <w:pPr>
        <w:numPr>
          <w:ilvl w:val="0"/>
          <w:numId w:val="3"/>
        </w:numPr>
        <w:spacing w:line="600" w:lineRule="exact"/>
        <w:ind w:firstLine="640"/>
        <w:outlineLvl w:val="1"/>
        <w:rPr>
          <w:rFonts w:ascii="仿宋_GB2312" w:eastAsia="仿宋_GB2312"/>
          <w:color w:val="000000"/>
          <w:sz w:val="32"/>
          <w:szCs w:val="32"/>
        </w:rPr>
      </w:pPr>
      <w:bookmarkStart w:id="49" w:name="_Toc15396611"/>
      <w:bookmarkStart w:id="50" w:name="_Toc15377219"/>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ind w:firstLine="640" w:firstLineChars="200"/>
        <w:outlineLvl w:val="1"/>
        <w:rPr>
          <w:rFonts w:ascii="仿宋_GB2312" w:eastAsia="仿宋_GB2312"/>
          <w:color w:val="000000"/>
          <w:sz w:val="32"/>
          <w:szCs w:val="32"/>
        </w:rPr>
      </w:pPr>
      <w:r>
        <w:rPr>
          <w:rStyle w:val="25"/>
          <w:rFonts w:hint="eastAsia" w:ascii="黑体" w:hAnsi="黑体" w:eastAsia="黑体"/>
          <w:b w:val="0"/>
          <w:lang w:eastAsia="zh-CN"/>
        </w:rPr>
        <w:t>（无）</w:t>
      </w:r>
    </w:p>
    <w:p>
      <w:pPr>
        <w:pStyle w:val="23"/>
        <w:numPr>
          <w:ilvl w:val="0"/>
          <w:numId w:val="4"/>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bookmarkStart w:id="51" w:name="_Toc15377221"/>
      <w:bookmarkStart w:id="52" w:name="_Toc15396612"/>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国家基本公共卫生服务、基层医疗机构实施国家基本药物制度和综合改革</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按要求对2018年部门整体支出开展绩效自评，从评价情况来看</w:t>
      </w:r>
      <w:r>
        <w:rPr>
          <w:rFonts w:hint="eastAsia" w:ascii="仿宋_GB2312" w:hAnsi="仿宋_GB2312" w:eastAsia="仿宋_GB2312" w:cs="仿宋_GB2312"/>
          <w:sz w:val="32"/>
          <w:szCs w:val="32"/>
          <w:lang w:eastAsia="zh-CN"/>
        </w:rPr>
        <w:t>：一是提高基本公共卫生服务项目均等化水平，推进基本公卫生服务项目开展，加强孕产妇健康管理、慢性病管理和儿童健康管理，把孕产妇和婴儿死亡率控制在指标范围内；二是巩固基本药物制度，推进综合改革顺利运行，筑牢基层医疗卫生服务网底，实现医改“保基本、强基层、建机制”的目标，全面完成各项任务目标。</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pPr>
        <w:numPr>
          <w:ilvl w:val="0"/>
          <w:numId w:val="0"/>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132.62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132.62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基本公共卫生服务项目均等化水平，规范基本公共卫生服务行为，推进基本公卫生服务项目开展，加强孕产妇健康管理、慢性病管理和儿童健康管理，把孕产妇和婴儿死亡率控制在指标范围内，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pPr>
        <w:numPr>
          <w:ilvl w:val="0"/>
          <w:numId w:val="0"/>
        </w:numPr>
        <w:spacing w:line="58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巩固基本药物制度，推进综合改革顺利运行，不断提升服务能力和水平，筑牢基层医疗卫生服务网底，实现医改“保基本、强基层、建机制”的目标</w:t>
      </w:r>
      <w:r>
        <w:rPr>
          <w:rFonts w:hint="eastAsia" w:ascii="仿宋_GB2312" w:hAnsi="仿宋_GB2312" w:eastAsia="仿宋_GB2312" w:cs="仿宋_GB2312"/>
          <w:sz w:val="32"/>
          <w:szCs w:val="32"/>
          <w:lang w:val="en-US" w:eastAsia="zh-CN"/>
        </w:rPr>
        <w:t>.</w:t>
      </w:r>
    </w:p>
    <w:p>
      <w:pPr>
        <w:widowControl w:val="0"/>
        <w:numPr>
          <w:ilvl w:val="0"/>
          <w:numId w:val="0"/>
        </w:numPr>
        <w:tabs>
          <w:tab w:val="left" w:pos="312"/>
        </w:tabs>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tabs>
          <w:tab w:val="left" w:pos="312"/>
        </w:tabs>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tabs>
          <w:tab w:val="left" w:pos="312"/>
        </w:tabs>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tabs>
          <w:tab w:val="left" w:pos="312"/>
        </w:tabs>
        <w:spacing w:line="580" w:lineRule="exact"/>
        <w:jc w:val="both"/>
        <w:rPr>
          <w:rFonts w:hint="eastAsia" w:ascii="仿宋_GB2312" w:hAnsi="仿宋_GB2312" w:eastAsia="仿宋_GB2312" w:cs="仿宋_GB2312"/>
          <w:sz w:val="32"/>
          <w:szCs w:val="32"/>
          <w:lang w:val="en-US" w:eastAsia="zh-CN"/>
        </w:rPr>
      </w:pPr>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黑体" w:hAnsi="黑体" w:eastAsia="黑体" w:cs="宋体"/>
                <w:bCs/>
                <w:color w:val="000000"/>
                <w:kern w:val="0"/>
                <w:sz w:val="36"/>
                <w:szCs w:val="36"/>
                <w:lang w:eastAsia="zh-CN" w:bidi="ar"/>
              </w:rPr>
            </w:pPr>
            <w:r>
              <w:rPr>
                <w:rFonts w:hint="eastAsia" w:ascii="黑体" w:hAnsi="黑体" w:eastAsia="黑体" w:cs="宋体"/>
                <w:bCs/>
                <w:color w:val="000000"/>
                <w:kern w:val="0"/>
                <w:sz w:val="36"/>
                <w:szCs w:val="36"/>
                <w:lang w:bidi="ar"/>
              </w:rPr>
              <w:t>项目支出绩效目标完成情况表</w:t>
            </w:r>
          </w:p>
          <w:p>
            <w:pPr>
              <w:pStyle w:val="23"/>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国家基本公共卫生服务项目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达州市达川区</w:t>
            </w:r>
            <w:r>
              <w:rPr>
                <w:rFonts w:hint="eastAsia" w:ascii="仿宋_GB2312" w:hAnsi="仿宋_GB2312" w:eastAsia="仿宋_GB2312" w:cs="仿宋_GB2312"/>
                <w:color w:val="000000"/>
                <w:sz w:val="24"/>
                <w:lang w:eastAsia="zh-CN"/>
              </w:rPr>
              <w:t>石梯镇中心卫生院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132.62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132.62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132.62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132.62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适龄人群国家免疫规划疫苗接种率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65岁及以上老年人健康管理率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≧7</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居民健康档案规范化电子建档率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建档立卡贫困人口家庭医生签约率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居民健康保健意识和健康知识知晓率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卫生监督信息上报时效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5个工作日内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5个工作日内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公共卫生均等化水平提高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中长期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居民满意度、建档立卡贫困户满意度。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r>
    </w:tbl>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1135" w:tblpY="89"/>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黑体" w:hAnsi="黑体" w:eastAsia="黑体" w:cs="宋体"/>
                <w:bCs/>
                <w:color w:val="000000"/>
                <w:kern w:val="0"/>
                <w:sz w:val="36"/>
                <w:szCs w:val="36"/>
                <w:lang w:eastAsia="zh-CN" w:bidi="ar"/>
              </w:rPr>
            </w:pPr>
            <w:r>
              <w:rPr>
                <w:rFonts w:hint="eastAsia" w:ascii="黑体" w:hAnsi="黑体" w:eastAsia="黑体" w:cs="宋体"/>
                <w:bCs/>
                <w:color w:val="000000"/>
                <w:kern w:val="0"/>
                <w:sz w:val="36"/>
                <w:szCs w:val="36"/>
                <w:lang w:bidi="ar"/>
              </w:rPr>
              <w:t>项目支出绩效目标完成情况表</w:t>
            </w:r>
          </w:p>
          <w:p>
            <w:pPr>
              <w:pStyle w:val="23"/>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基层医疗卫生机构实施国家基本药物制度和综合改革项目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达州市达川区</w:t>
            </w:r>
            <w:r>
              <w:rPr>
                <w:rFonts w:hint="eastAsia" w:ascii="仿宋_GB2312" w:hAnsi="仿宋_GB2312" w:eastAsia="仿宋_GB2312" w:cs="仿宋_GB2312"/>
                <w:color w:val="000000"/>
                <w:sz w:val="24"/>
                <w:lang w:eastAsia="zh-CN"/>
              </w:rPr>
              <w:t>石梯镇中心卫生院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37.4</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37.4</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3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实施基本药物制度的机构比例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基本药物网采率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目录药品质量合格率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基本药物零差率销售率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降低患者的医疗费用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有效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保证药品安全、有效、经济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r>
    </w:tbl>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按要求对2018年部门整体支出绩效评价情况开展自评，《</w:t>
      </w:r>
      <w:r>
        <w:rPr>
          <w:rFonts w:hint="eastAsia" w:ascii="仿宋_GB2312" w:hAnsi="仿宋_GB2312" w:eastAsia="仿宋_GB2312" w:cs="仿宋_GB2312"/>
          <w:sz w:val="32"/>
          <w:szCs w:val="32"/>
          <w:lang w:eastAsia="zh-CN"/>
        </w:rPr>
        <w:t>达州市达川区石梯镇中心卫生院</w:t>
      </w:r>
      <w:r>
        <w:rPr>
          <w:rFonts w:hint="eastAsia" w:ascii="仿宋_GB2312" w:hAnsi="仿宋_GB2312" w:eastAsia="仿宋_GB2312" w:cs="仿宋_GB2312"/>
          <w:sz w:val="32"/>
          <w:szCs w:val="32"/>
        </w:rPr>
        <w:t>2018年部门整体支出绩效评价报告》见附件。</w:t>
      </w:r>
      <w:r>
        <w:rPr>
          <w:rFonts w:hint="eastAsia" w:ascii="仿宋_GB2312" w:hAnsi="仿宋_GB2312" w:eastAsia="仿宋_GB2312" w:cs="仿宋_GB2312"/>
          <w:sz w:val="32"/>
          <w:szCs w:val="32"/>
          <w:lang w:eastAsia="zh-CN"/>
        </w:rPr>
        <w:t>《国家基本公共卫生服务、基层医疗卫生机构实施国家基本药物制度和综合改革项目2018年绩效</w:t>
      </w:r>
      <w:r>
        <w:rPr>
          <w:rFonts w:hint="eastAsia" w:ascii="仿宋_GB2312" w:hAnsi="仿宋_GB2312" w:eastAsia="仿宋_GB2312" w:cs="仿宋_GB2312"/>
          <w:sz w:val="32"/>
          <w:szCs w:val="32"/>
        </w:rPr>
        <w:t>评价报告》见附件。</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firstLineChars="200"/>
        <w:outlineLvl w:val="2"/>
        <w:rPr>
          <w:rFonts w:ascii="仿宋" w:hAnsi="仿宋" w:eastAsia="仿宋"/>
          <w:color w:val="000000"/>
          <w:sz w:val="32"/>
          <w:szCs w:val="32"/>
        </w:rPr>
      </w:pPr>
      <w:r>
        <w:rPr>
          <w:rStyle w:val="25"/>
          <w:rFonts w:hint="eastAsia" w:ascii="黑体" w:hAnsi="黑体" w:eastAsia="黑体"/>
          <w:b w:val="0"/>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eastAsia="zh-CN"/>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，达川区石梯镇中心卫生院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21.65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21.65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办公设备购置等</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截至20</w:t>
      </w:r>
      <w:r>
        <w:rPr>
          <w:rFonts w:hint="eastAsia" w:ascii="仿宋_GB2312" w:eastAsia="仿宋_GB2312"/>
          <w:color w:val="000000"/>
          <w:sz w:val="32"/>
          <w:szCs w:val="32"/>
          <w:lang w:eastAsia="zh-CN"/>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年12月31日，我院有救护车辆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辆。单价50万元以上通用设备无（套），单价100万元以上专用设备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 机关事业单位基本养老保险缴费支出（0</w:t>
      </w:r>
      <w:r>
        <w:rPr>
          <w:rFonts w:hint="eastAsia" w:ascii="仿宋_GB2312" w:eastAsia="仿宋_GB2312" w:cs="Arial"/>
          <w:color w:val="000000"/>
          <w:sz w:val="32"/>
          <w:szCs w:val="32"/>
          <w:lang w:val="en-US" w:eastAsia="zh-CN"/>
        </w:rPr>
        <w:t>6</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反映机构事业单位实</w:t>
      </w:r>
      <w:r>
        <w:rPr>
          <w:rFonts w:hint="eastAsia" w:ascii="仿宋_GB2312" w:eastAsia="仿宋_GB2312"/>
          <w:color w:val="000000"/>
          <w:sz w:val="32"/>
          <w:szCs w:val="32"/>
        </w:rPr>
        <w:t>施养老保险制度由单位缴纳的</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保险</w:t>
      </w:r>
      <w:r>
        <w:rPr>
          <w:rFonts w:hint="eastAsia" w:ascii="仿宋_GB2312" w:eastAsia="仿宋_GB2312" w:cs="Arial"/>
          <w:color w:val="000000"/>
          <w:sz w:val="32"/>
          <w:szCs w:val="32"/>
        </w:rPr>
        <w:t>支出</w:t>
      </w:r>
      <w:r>
        <w:rPr>
          <w:rFonts w:hint="eastAsia" w:ascii="仿宋_GB2312" w:eastAsia="仿宋_GB2312" w:cs="Arial"/>
          <w:color w:val="000000"/>
          <w:sz w:val="32"/>
          <w:szCs w:val="32"/>
          <w:lang w:eastAsia="zh-CN"/>
        </w:rPr>
        <w:t>。</w:t>
      </w:r>
    </w:p>
    <w:p>
      <w:pPr>
        <w:ind w:firstLine="784" w:firstLineChars="245"/>
        <w:rPr>
          <w:rStyle w:val="14"/>
          <w:rFonts w:hint="default" w:ascii="仿宋_GB2312" w:eastAsia="仿宋_GB2312"/>
          <w:b w:val="0"/>
          <w:color w:val="000000"/>
          <w:sz w:val="32"/>
          <w:szCs w:val="32"/>
          <w:lang w:val="en-US" w:eastAsia="zh-CN"/>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r>
        <w:rPr>
          <w:rStyle w:val="14"/>
          <w:rFonts w:hint="eastAsia" w:ascii="仿宋_GB2312" w:eastAsia="仿宋_GB2312"/>
          <w:b w:val="0"/>
          <w:color w:val="000000"/>
          <w:sz w:val="32"/>
          <w:szCs w:val="32"/>
          <w:lang w:val="en-US" w:eastAsia="zh-CN"/>
        </w:rPr>
        <w:t>;</w:t>
      </w:r>
      <w:r>
        <w:rPr>
          <w:rStyle w:val="14"/>
          <w:rFonts w:hint="eastAsia" w:ascii="仿宋_GB2312" w:eastAsia="仿宋_GB2312"/>
          <w:b w:val="0"/>
          <w:color w:val="000000"/>
          <w:sz w:val="32"/>
          <w:szCs w:val="32"/>
        </w:rPr>
        <w:t>（210）基层医疗卫生机构</w:t>
      </w:r>
      <w:r>
        <w:rPr>
          <w:rStyle w:val="14"/>
          <w:rFonts w:hint="eastAsia" w:ascii="仿宋_GB2312" w:eastAsia="仿宋_GB2312"/>
          <w:b w:val="0"/>
          <w:color w:val="000000"/>
          <w:sz w:val="32"/>
          <w:szCs w:val="32"/>
          <w:lang w:val="en-US" w:eastAsia="zh-CN"/>
        </w:rPr>
        <w:t xml:space="preserve">(06) 中医药 </w:t>
      </w:r>
    </w:p>
    <w:p>
      <w:pPr>
        <w:rPr>
          <w:rStyle w:val="14"/>
          <w:rFonts w:hint="default" w:ascii="仿宋_GB2312" w:eastAsia="仿宋_GB2312"/>
          <w:b w:val="0"/>
          <w:color w:val="000000"/>
          <w:sz w:val="32"/>
          <w:szCs w:val="32"/>
          <w:lang w:val="en-US" w:eastAsia="zh-CN"/>
        </w:rPr>
      </w:pPr>
      <w:r>
        <w:rPr>
          <w:rStyle w:val="14"/>
          <w:rFonts w:hint="eastAsia" w:ascii="仿宋_GB2312" w:eastAsia="仿宋_GB2312"/>
          <w:b w:val="0"/>
          <w:color w:val="000000"/>
          <w:sz w:val="32"/>
          <w:szCs w:val="32"/>
          <w:lang w:eastAsia="zh-CN"/>
        </w:rPr>
        <w:t>（</w:t>
      </w:r>
      <w:r>
        <w:rPr>
          <w:rStyle w:val="14"/>
          <w:rFonts w:hint="eastAsia" w:ascii="仿宋_GB2312" w:eastAsia="仿宋_GB2312"/>
          <w:b w:val="0"/>
          <w:color w:val="000000"/>
          <w:sz w:val="32"/>
          <w:szCs w:val="32"/>
          <w:lang w:val="en-US" w:eastAsia="zh-CN"/>
        </w:rPr>
        <w:t>01）反映中医（民族医）药专项支出;</w:t>
      </w:r>
      <w:r>
        <w:rPr>
          <w:rStyle w:val="14"/>
          <w:rFonts w:hint="eastAsia" w:ascii="仿宋_GB2312" w:eastAsia="仿宋_GB2312"/>
          <w:b w:val="0"/>
          <w:color w:val="000000"/>
          <w:sz w:val="32"/>
          <w:szCs w:val="32"/>
        </w:rPr>
        <w:t>（210）基层医疗卫生机构</w:t>
      </w:r>
      <w:r>
        <w:rPr>
          <w:rStyle w:val="14"/>
          <w:rFonts w:hint="eastAsia" w:ascii="仿宋_GB2312" w:eastAsia="仿宋_GB2312"/>
          <w:b w:val="0"/>
          <w:color w:val="000000"/>
          <w:sz w:val="32"/>
          <w:szCs w:val="32"/>
          <w:lang w:eastAsia="zh-CN"/>
        </w:rPr>
        <w:t>（</w:t>
      </w:r>
      <w:r>
        <w:rPr>
          <w:rStyle w:val="14"/>
          <w:rFonts w:hint="eastAsia" w:ascii="仿宋_GB2312" w:eastAsia="仿宋_GB2312"/>
          <w:b w:val="0"/>
          <w:color w:val="000000"/>
          <w:sz w:val="32"/>
          <w:szCs w:val="32"/>
          <w:lang w:val="en-US" w:eastAsia="zh-CN"/>
        </w:rPr>
        <w:t>11）行政事业单位医疗（02）反映事业单位医疗支出;</w:t>
      </w:r>
      <w:r>
        <w:rPr>
          <w:rStyle w:val="14"/>
          <w:rFonts w:hint="eastAsia" w:ascii="仿宋_GB2312" w:eastAsia="仿宋_GB2312"/>
          <w:b w:val="0"/>
          <w:color w:val="000000"/>
          <w:sz w:val="32"/>
          <w:szCs w:val="32"/>
        </w:rPr>
        <w:t>（2</w:t>
      </w:r>
      <w:r>
        <w:rPr>
          <w:rStyle w:val="14"/>
          <w:rFonts w:hint="eastAsia" w:ascii="仿宋_GB2312" w:eastAsia="仿宋_GB2312"/>
          <w:b w:val="0"/>
          <w:color w:val="000000"/>
          <w:sz w:val="32"/>
          <w:szCs w:val="32"/>
          <w:lang w:val="en-US" w:eastAsia="zh-CN"/>
        </w:rPr>
        <w:t>21</w:t>
      </w:r>
      <w:r>
        <w:rPr>
          <w:rStyle w:val="14"/>
          <w:rFonts w:hint="eastAsia" w:ascii="仿宋_GB2312" w:eastAsia="仿宋_GB2312"/>
          <w:b w:val="0"/>
          <w:color w:val="000000"/>
          <w:sz w:val="32"/>
          <w:szCs w:val="32"/>
        </w:rPr>
        <w:t>）</w:t>
      </w:r>
      <w:r>
        <w:rPr>
          <w:rStyle w:val="14"/>
          <w:rFonts w:hint="eastAsia" w:ascii="仿宋_GB2312" w:eastAsia="仿宋_GB2312"/>
          <w:b w:val="0"/>
          <w:color w:val="000000"/>
          <w:sz w:val="32"/>
          <w:szCs w:val="32"/>
          <w:lang w:eastAsia="zh-CN"/>
        </w:rPr>
        <w:t>住房保障支出（</w:t>
      </w:r>
      <w:r>
        <w:rPr>
          <w:rStyle w:val="14"/>
          <w:rFonts w:hint="eastAsia" w:ascii="仿宋_GB2312" w:eastAsia="仿宋_GB2312"/>
          <w:b w:val="0"/>
          <w:color w:val="000000"/>
          <w:sz w:val="32"/>
          <w:szCs w:val="32"/>
          <w:lang w:val="en-US" w:eastAsia="zh-CN"/>
        </w:rPr>
        <w:t>02）住房改革支出（01）反映单位缴纳的住房公积金支出。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bookmarkStart w:id="58" w:name="_Toc15396614"/>
      <w:bookmarkStart w:id="59"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hint="eastAsia" w:ascii="黑体" w:hAnsi="黑体" w:eastAsia="黑体" w:cs="方正小标宋简体"/>
          <w:sz w:val="36"/>
          <w:szCs w:val="36"/>
          <w:lang w:eastAsia="zh-CN"/>
        </w:rPr>
      </w:pPr>
      <w:bookmarkStart w:id="61" w:name="_Toc15396616"/>
      <w:r>
        <w:rPr>
          <w:rFonts w:hint="eastAsia" w:ascii="黑体" w:hAnsi="黑体" w:eastAsia="黑体" w:cs="方正小标宋简体"/>
          <w:sz w:val="36"/>
          <w:szCs w:val="36"/>
          <w:lang w:eastAsia="zh-CN"/>
        </w:rPr>
        <w:t>达川区石梯镇中心卫生院</w:t>
      </w:r>
    </w:p>
    <w:p>
      <w:pPr>
        <w:spacing w:line="600" w:lineRule="exact"/>
        <w:jc w:val="center"/>
        <w:outlineLvl w:val="0"/>
        <w:rPr>
          <w:rFonts w:hint="eastAsia"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eastAsia="zh-CN"/>
        </w:rPr>
        <w:t>1</w:t>
      </w:r>
      <w:r>
        <w:rPr>
          <w:rFonts w:hint="eastAsia" w:ascii="黑体" w:hAnsi="黑体" w:eastAsia="黑体" w:cs="方正小标宋简体"/>
          <w:sz w:val="36"/>
          <w:szCs w:val="36"/>
          <w:lang w:val="en-US" w:eastAsia="zh-CN"/>
        </w:rPr>
        <w:t>8</w:t>
      </w:r>
      <w:r>
        <w:rPr>
          <w:rFonts w:hint="eastAsia" w:ascii="黑体" w:hAnsi="黑体" w:eastAsia="黑体" w:cs="方正小标宋简体"/>
          <w:sz w:val="36"/>
          <w:szCs w:val="36"/>
        </w:rPr>
        <w:t>年部门整体支出绩效评价报告</w:t>
      </w:r>
      <w:bookmarkEnd w:id="61"/>
    </w:p>
    <w:p>
      <w:pPr>
        <w:spacing w:line="600" w:lineRule="exact"/>
        <w:jc w:val="center"/>
        <w:outlineLvl w:val="0"/>
        <w:rPr>
          <w:rFonts w:hint="eastAsia" w:ascii="黑体" w:hAnsi="黑体" w:eastAsia="黑体" w:cs="方正小标宋简体"/>
          <w:sz w:val="36"/>
          <w:szCs w:val="36"/>
        </w:rPr>
      </w:pPr>
    </w:p>
    <w:p>
      <w:pPr>
        <w:spacing w:line="580" w:lineRule="exact"/>
        <w:ind w:firstLine="640" w:firstLineChars="200"/>
        <w:rPr>
          <w:rFonts w:hint="eastAsia" w:ascii="仿宋" w:hAnsi="仿宋" w:eastAsia="仿宋" w:cs="仿宋_GB2312"/>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pPr>
        <w:spacing w:line="580" w:lineRule="exact"/>
        <w:ind w:firstLine="600" w:firstLineChars="20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达州市达川区石</w:t>
      </w:r>
      <w:r>
        <w:rPr>
          <w:rFonts w:hint="eastAsia" w:ascii="仿宋_GB2312" w:hAnsi="仿宋_GB2312" w:eastAsia="仿宋_GB2312" w:cs="仿宋_GB2312"/>
          <w:color w:val="000000"/>
          <w:sz w:val="30"/>
          <w:szCs w:val="30"/>
          <w:lang w:eastAsia="zh-CN"/>
        </w:rPr>
        <w:t>梯</w:t>
      </w:r>
      <w:r>
        <w:rPr>
          <w:rFonts w:hint="eastAsia" w:ascii="仿宋_GB2312" w:hAnsi="仿宋_GB2312" w:eastAsia="仿宋_GB2312" w:cs="仿宋_GB2312"/>
          <w:color w:val="000000"/>
          <w:sz w:val="30"/>
          <w:szCs w:val="30"/>
        </w:rPr>
        <w:t>镇中心卫生院</w:t>
      </w:r>
      <w:r>
        <w:rPr>
          <w:rFonts w:hint="eastAsia" w:ascii="仿宋_GB2312" w:hAnsi="仿宋_GB2312" w:eastAsia="仿宋_GB2312" w:cs="仿宋_GB2312"/>
          <w:color w:val="000000"/>
          <w:sz w:val="30"/>
          <w:szCs w:val="30"/>
          <w:lang w:eastAsia="zh-CN"/>
        </w:rPr>
        <w:t>为</w:t>
      </w:r>
      <w:r>
        <w:rPr>
          <w:rFonts w:hint="eastAsia" w:ascii="仿宋_GB2312" w:hAnsi="仿宋_GB2312" w:eastAsia="仿宋_GB2312" w:cs="仿宋_GB2312"/>
          <w:color w:val="000000"/>
          <w:sz w:val="30"/>
          <w:szCs w:val="30"/>
        </w:rPr>
        <w:t>事业单位1个</w:t>
      </w:r>
      <w:r>
        <w:rPr>
          <w:rFonts w:hint="eastAsia" w:ascii="仿宋_GB2312" w:hAnsi="仿宋_GB2312" w:eastAsia="仿宋_GB2312" w:cs="仿宋_GB2312"/>
          <w:color w:val="000000"/>
          <w:sz w:val="30"/>
          <w:szCs w:val="30"/>
          <w:lang w:eastAsia="zh-CN"/>
        </w:rPr>
        <w:t>，内设院长办公室、行政办公室、财务科、医保办、公共卫生科、住院部、门诊部、妇产科、针灸理疗科、护理部、医技科室、中西药房、收费室、手术室等。</w:t>
      </w:r>
    </w:p>
    <w:p>
      <w:pPr>
        <w:numPr>
          <w:ilvl w:val="0"/>
          <w:numId w:val="7"/>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机构职能</w:t>
      </w:r>
    </w:p>
    <w:p>
      <w:pPr>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达州市达川区</w:t>
      </w:r>
      <w:r>
        <w:rPr>
          <w:rFonts w:hint="eastAsia" w:ascii="仿宋_GB2312" w:hAnsi="仿宋_GB2312" w:eastAsia="仿宋_GB2312" w:cs="仿宋_GB2312"/>
          <w:sz w:val="32"/>
          <w:szCs w:val="32"/>
          <w:lang w:eastAsia="zh-CN"/>
        </w:rPr>
        <w:t>石梯镇中心</w:t>
      </w:r>
      <w:r>
        <w:rPr>
          <w:rFonts w:hint="eastAsia" w:ascii="仿宋_GB2312" w:hAnsi="仿宋_GB2312" w:eastAsia="仿宋_GB2312" w:cs="仿宋_GB2312"/>
          <w:sz w:val="32"/>
          <w:szCs w:val="32"/>
        </w:rPr>
        <w:t>卫生院是</w:t>
      </w:r>
      <w:r>
        <w:rPr>
          <w:rFonts w:hint="eastAsia" w:ascii="仿宋_GB2312" w:hAnsi="仿宋_GB2312" w:eastAsia="仿宋_GB2312" w:cs="仿宋_GB2312"/>
          <w:sz w:val="32"/>
          <w:szCs w:val="32"/>
          <w:lang w:eastAsia="zh-CN"/>
        </w:rPr>
        <w:t>一所非经营性医疗机构</w:t>
      </w:r>
      <w:r>
        <w:rPr>
          <w:rFonts w:hint="eastAsia" w:ascii="仿宋_GB2312" w:hAnsi="仿宋_GB2312" w:eastAsia="仿宋_GB2312"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numPr>
          <w:ilvl w:val="0"/>
          <w:numId w:val="7"/>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人员概况</w:t>
      </w:r>
    </w:p>
    <w:p>
      <w:pPr>
        <w:spacing w:line="60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lang w:eastAsia="zh-CN"/>
        </w:rPr>
        <w:t>本单位编制人数</w:t>
      </w:r>
      <w:r>
        <w:rPr>
          <w:rFonts w:hint="eastAsia" w:ascii="仿宋_GB2312" w:hAnsi="仿宋" w:eastAsia="仿宋_GB2312"/>
          <w:sz w:val="30"/>
          <w:szCs w:val="30"/>
          <w:lang w:val="en-US" w:eastAsia="zh-CN"/>
        </w:rPr>
        <w:t>78人，其中事业编制78人，</w:t>
      </w:r>
      <w:r>
        <w:rPr>
          <w:rFonts w:hint="eastAsia" w:ascii="仿宋_GB2312" w:hAnsi="仿宋" w:eastAsia="仿宋_GB2312"/>
          <w:sz w:val="30"/>
          <w:szCs w:val="30"/>
        </w:rPr>
        <w:t>年末实有人数</w:t>
      </w:r>
      <w:r>
        <w:rPr>
          <w:rFonts w:hint="eastAsia" w:ascii="仿宋_GB2312" w:hAnsi="仿宋" w:eastAsia="仿宋_GB2312"/>
          <w:sz w:val="30"/>
          <w:szCs w:val="30"/>
          <w:lang w:val="en-US" w:eastAsia="zh-CN"/>
        </w:rPr>
        <w:t>71</w:t>
      </w:r>
      <w:r>
        <w:rPr>
          <w:rFonts w:hint="eastAsia" w:ascii="仿宋_GB2312" w:hAnsi="仿宋" w:eastAsia="仿宋_GB2312"/>
          <w:sz w:val="30"/>
          <w:szCs w:val="30"/>
        </w:rPr>
        <w:t>人，其中事业专技人员</w:t>
      </w:r>
      <w:r>
        <w:rPr>
          <w:rFonts w:hint="eastAsia" w:ascii="仿宋_GB2312" w:hAnsi="仿宋" w:eastAsia="仿宋_GB2312"/>
          <w:sz w:val="30"/>
          <w:szCs w:val="30"/>
          <w:lang w:val="en-US" w:eastAsia="zh-CN"/>
        </w:rPr>
        <w:t>59</w:t>
      </w:r>
      <w:r>
        <w:rPr>
          <w:rFonts w:hint="eastAsia" w:ascii="仿宋_GB2312" w:hAnsi="仿宋" w:eastAsia="仿宋_GB2312"/>
          <w:sz w:val="30"/>
          <w:szCs w:val="30"/>
        </w:rPr>
        <w:t>人、事业工勤人员</w:t>
      </w:r>
      <w:r>
        <w:rPr>
          <w:rFonts w:hint="eastAsia" w:ascii="仿宋_GB2312" w:hAnsi="仿宋" w:eastAsia="仿宋_GB2312"/>
          <w:sz w:val="30"/>
          <w:szCs w:val="30"/>
          <w:lang w:val="en-US" w:eastAsia="zh-CN"/>
        </w:rPr>
        <w:t>3</w:t>
      </w:r>
      <w:r>
        <w:rPr>
          <w:rFonts w:hint="eastAsia" w:ascii="仿宋_GB2312" w:hAnsi="仿宋" w:eastAsia="仿宋_GB2312"/>
          <w:sz w:val="30"/>
          <w:szCs w:val="30"/>
        </w:rPr>
        <w:t>人、临聘人员</w:t>
      </w:r>
      <w:r>
        <w:rPr>
          <w:rFonts w:hint="eastAsia" w:ascii="仿宋_GB2312" w:hAnsi="仿宋" w:eastAsia="仿宋_GB2312"/>
          <w:sz w:val="30"/>
          <w:szCs w:val="30"/>
          <w:lang w:val="en-US" w:eastAsia="zh-CN"/>
        </w:rPr>
        <w:t>9</w:t>
      </w:r>
      <w:r>
        <w:rPr>
          <w:rFonts w:hint="eastAsia" w:ascii="仿宋_GB2312" w:hAnsi="仿宋" w:eastAsia="仿宋_GB2312"/>
          <w:sz w:val="30"/>
          <w:szCs w:val="30"/>
        </w:rPr>
        <w:t>人</w:t>
      </w:r>
      <w:r>
        <w:rPr>
          <w:rFonts w:hint="eastAsia" w:ascii="仿宋_GB2312" w:hAnsi="仿宋" w:eastAsia="仿宋_GB2312"/>
          <w:sz w:val="30"/>
          <w:szCs w:val="30"/>
          <w:lang w:eastAsia="zh-CN"/>
        </w:rPr>
        <w:t>，</w:t>
      </w:r>
      <w:r>
        <w:rPr>
          <w:rFonts w:hint="eastAsia" w:ascii="仿宋_GB2312" w:hAnsi="仿宋" w:eastAsia="仿宋_GB2312"/>
          <w:sz w:val="30"/>
          <w:szCs w:val="30"/>
        </w:rPr>
        <w:t>退休人员</w:t>
      </w:r>
      <w:r>
        <w:rPr>
          <w:rFonts w:hint="eastAsia" w:ascii="仿宋_GB2312" w:hAnsi="仿宋" w:eastAsia="仿宋_GB2312"/>
          <w:sz w:val="30"/>
          <w:szCs w:val="30"/>
          <w:lang w:val="en-US" w:eastAsia="zh-CN"/>
        </w:rPr>
        <w:t>26</w:t>
      </w:r>
      <w:r>
        <w:rPr>
          <w:rFonts w:hint="eastAsia" w:ascii="仿宋_GB2312" w:hAnsi="仿宋" w:eastAsia="仿宋_GB2312"/>
          <w:sz w:val="30"/>
          <w:szCs w:val="30"/>
        </w:rPr>
        <w:t>人。</w:t>
      </w:r>
    </w:p>
    <w:p>
      <w:pPr>
        <w:spacing w:line="600" w:lineRule="exact"/>
        <w:ind w:firstLine="600" w:firstLineChars="200"/>
        <w:rPr>
          <w:rFonts w:hint="eastAsia" w:ascii="仿宋_GB2312" w:hAnsi="仿宋" w:eastAsia="仿宋_GB2312"/>
          <w:sz w:val="30"/>
          <w:szCs w:val="30"/>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本单位2018年财政资金收入</w:t>
      </w:r>
      <w:r>
        <w:rPr>
          <w:rFonts w:hint="eastAsia" w:ascii="仿宋" w:hAnsi="仿宋" w:eastAsia="仿宋"/>
          <w:color w:val="000000"/>
          <w:sz w:val="32"/>
          <w:szCs w:val="32"/>
          <w:lang w:val="en-US" w:eastAsia="zh-CN"/>
        </w:rPr>
        <w:t>589.41</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589.41</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numPr>
          <w:ilvl w:val="0"/>
          <w:numId w:val="8"/>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部门财政资金支出情况。</w:t>
      </w:r>
    </w:p>
    <w:p>
      <w:pPr>
        <w:spacing w:line="580" w:lineRule="exact"/>
        <w:rPr>
          <w:rFonts w:hint="eastAsia" w:ascii="仿宋" w:hAnsi="仿宋" w:eastAsia="仿宋" w:cs="仿宋_GB2312"/>
          <w:sz w:val="32"/>
          <w:szCs w:val="32"/>
        </w:rPr>
      </w:pPr>
      <w:r>
        <w:rPr>
          <w:rFonts w:hint="eastAsia" w:ascii="仿宋" w:hAnsi="仿宋" w:eastAsia="仿宋" w:cs="仿宋_GB2312"/>
          <w:sz w:val="32"/>
          <w:szCs w:val="32"/>
        </w:rPr>
        <w:t xml:space="preserve">   本单位2018年财政资金支出</w:t>
      </w:r>
      <w:r>
        <w:rPr>
          <w:rFonts w:hint="eastAsia" w:ascii="仿宋" w:hAnsi="仿宋" w:eastAsia="仿宋"/>
          <w:color w:val="000000"/>
          <w:sz w:val="32"/>
          <w:szCs w:val="32"/>
          <w:lang w:val="en-US" w:eastAsia="zh-CN"/>
        </w:rPr>
        <w:t>490.2</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490.2</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（一）预决算编制情况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严格部门预算编制，提高预算编制的质量，加强综合财政预算管理，切实提高财政资金使用效益。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1.科学编制预算。严格遵循政府预算统一性、完整性、年度性、可靠性、公开性和分类性原则，切实落实区财政局相关预算要求，结合实际，保证预算编制的科学、合理、规范、准确、完整、效益。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2.严格经费收支。坚持综合预算、零基预算、细化预算的原则，科学编制完整的部门综合收支计划，细化收支预算，规范收支行为。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3.维护预算严肃性。严格执行并维护预算的严肃性，预算前展开调研，多方研究，一经确定严格执行，不随意调整，也不无故追加。</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（二）执行管理情况</w:t>
      </w:r>
      <w:r>
        <w:rPr>
          <w:rFonts w:hint="eastAsia" w:ascii="楷体" w:hAnsi="楷体" w:eastAsia="楷体" w:cs="楷体"/>
          <w:b/>
          <w:sz w:val="32"/>
          <w:szCs w:val="32"/>
        </w:rPr>
        <w:tab/>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1.部门预算执行进度情况。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按《预算法》和财政有关规定，职工工资等人员经费按月发放，项目支出按项目实施情况</w:t>
      </w:r>
      <w:r>
        <w:rPr>
          <w:rFonts w:hint="eastAsia" w:ascii="仿宋" w:hAnsi="仿宋" w:eastAsia="仿宋"/>
          <w:sz w:val="32"/>
          <w:szCs w:val="32"/>
          <w:lang w:eastAsia="zh-CN"/>
        </w:rPr>
        <w:t>由</w:t>
      </w:r>
      <w:r>
        <w:rPr>
          <w:rFonts w:hint="eastAsia" w:ascii="仿宋" w:hAnsi="仿宋" w:eastAsia="仿宋"/>
          <w:sz w:val="32"/>
          <w:szCs w:val="32"/>
        </w:rPr>
        <w:t>区财政</w:t>
      </w:r>
      <w:r>
        <w:rPr>
          <w:rFonts w:hint="eastAsia" w:ascii="仿宋" w:hAnsi="仿宋" w:eastAsia="仿宋"/>
          <w:sz w:val="32"/>
          <w:szCs w:val="32"/>
          <w:lang w:eastAsia="zh-CN"/>
        </w:rPr>
        <w:t>局</w:t>
      </w:r>
      <w:r>
        <w:rPr>
          <w:rFonts w:hint="eastAsia" w:ascii="仿宋" w:hAnsi="仿宋" w:eastAsia="仿宋"/>
          <w:sz w:val="32"/>
          <w:szCs w:val="32"/>
        </w:rPr>
        <w:t>按项目进度拨付。在支付方式上，职工工资</w:t>
      </w:r>
      <w:r>
        <w:rPr>
          <w:rFonts w:hint="eastAsia" w:ascii="仿宋" w:hAnsi="仿宋" w:eastAsia="仿宋"/>
          <w:sz w:val="32"/>
          <w:szCs w:val="32"/>
          <w:lang w:eastAsia="zh-CN"/>
        </w:rPr>
        <w:t>实行打卡发放，超过</w:t>
      </w:r>
      <w:r>
        <w:rPr>
          <w:rFonts w:hint="eastAsia" w:ascii="仿宋" w:hAnsi="仿宋" w:eastAsia="仿宋"/>
          <w:sz w:val="32"/>
          <w:szCs w:val="32"/>
          <w:lang w:val="en-US" w:eastAsia="zh-CN"/>
        </w:rPr>
        <w:t>1000元以上的支出实行转账支付</w:t>
      </w:r>
      <w:r>
        <w:rPr>
          <w:rFonts w:hint="eastAsia" w:ascii="仿宋" w:hAnsi="仿宋" w:eastAsia="仿宋"/>
          <w:sz w:val="32"/>
          <w:szCs w:val="32"/>
        </w:rPr>
        <w:t>，尽量减少现金支出。</w:t>
      </w:r>
    </w:p>
    <w:p>
      <w:pPr>
        <w:tabs>
          <w:tab w:val="left" w:pos="312"/>
        </w:tabs>
        <w:spacing w:line="560" w:lineRule="exact"/>
        <w:ind w:left="640"/>
        <w:rPr>
          <w:rFonts w:hint="eastAsia" w:ascii="仿宋" w:hAnsi="仿宋" w:eastAsia="仿宋"/>
          <w:sz w:val="32"/>
          <w:szCs w:val="32"/>
        </w:rPr>
      </w:pPr>
      <w:r>
        <w:rPr>
          <w:rFonts w:hint="eastAsia" w:ascii="仿宋" w:hAnsi="仿宋" w:eastAsia="仿宋"/>
          <w:sz w:val="32"/>
          <w:szCs w:val="32"/>
        </w:rPr>
        <w:t>2.预算约束刚性情况。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3.运行成本控制情况</w:t>
      </w:r>
    </w:p>
    <w:p>
      <w:pPr>
        <w:spacing w:line="560" w:lineRule="exact"/>
        <w:ind w:firstLine="640" w:firstLineChars="200"/>
        <w:rPr>
          <w:rFonts w:hint="eastAsia" w:ascii="仿宋" w:hAnsi="仿宋" w:eastAsia="仿宋"/>
          <w:sz w:val="32"/>
          <w:szCs w:val="32"/>
        </w:rPr>
      </w:pPr>
      <w:bookmarkStart w:id="77" w:name="_GoBack"/>
      <w:bookmarkEnd w:id="77"/>
      <w:r>
        <w:rPr>
          <w:rFonts w:hint="eastAsia" w:ascii="仿宋" w:hAnsi="仿宋" w:eastAsia="仿宋"/>
          <w:sz w:val="32"/>
          <w:szCs w:val="32"/>
        </w:rPr>
        <w:t>认真开展厉行节约反对浪费规定学习的同时，倡导全</w:t>
      </w:r>
      <w:r>
        <w:rPr>
          <w:rFonts w:hint="eastAsia" w:ascii="仿宋" w:hAnsi="仿宋" w:eastAsia="仿宋"/>
          <w:sz w:val="32"/>
          <w:szCs w:val="32"/>
          <w:lang w:eastAsia="zh-CN"/>
        </w:rPr>
        <w:t>院职工</w:t>
      </w:r>
      <w:r>
        <w:rPr>
          <w:rFonts w:hint="eastAsia" w:ascii="仿宋" w:hAnsi="仿宋" w:eastAsia="仿宋"/>
          <w:sz w:val="32"/>
          <w:szCs w:val="32"/>
        </w:rPr>
        <w:t>弘扬艰苦奋斗、勤俭节约的优良作风，进一步推进建设节约型</w:t>
      </w:r>
      <w:r>
        <w:rPr>
          <w:rFonts w:hint="eastAsia" w:ascii="仿宋" w:hAnsi="仿宋" w:eastAsia="仿宋"/>
          <w:sz w:val="32"/>
          <w:szCs w:val="32"/>
          <w:lang w:eastAsia="zh-CN"/>
        </w:rPr>
        <w:t>单位</w:t>
      </w:r>
      <w:r>
        <w:rPr>
          <w:rFonts w:hint="eastAsia" w:ascii="仿宋" w:hAnsi="仿宋" w:eastAsia="仿宋"/>
          <w:sz w:val="32"/>
          <w:szCs w:val="32"/>
        </w:rPr>
        <w:t>。办公室、</w:t>
      </w:r>
      <w:r>
        <w:rPr>
          <w:rFonts w:hint="eastAsia" w:ascii="仿宋" w:hAnsi="仿宋" w:eastAsia="仿宋"/>
          <w:sz w:val="32"/>
          <w:szCs w:val="32"/>
          <w:lang w:eastAsia="zh-CN"/>
        </w:rPr>
        <w:t>病房</w:t>
      </w:r>
      <w:r>
        <w:rPr>
          <w:rFonts w:hint="eastAsia" w:ascii="仿宋" w:hAnsi="仿宋" w:eastAsia="仿宋"/>
          <w:sz w:val="32"/>
          <w:szCs w:val="32"/>
        </w:rPr>
        <w:t>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加快推进无纸化办公。</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（三）综合管理情况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1.政府采购实施情况。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按照《预算法》和《政府采购法》规定编制政府采购预算和实施政府采购计划，按规定做好备案工作。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2、资产管理。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固定资产实行“统一管理，分级负责”。设置固定资产的管理部门，统一建账、核算，统一登记、监督管理和维修。各科室是固定资产的使用部门，并负责固定资产的保管和使用。同时，根据《行政事业单位资产清查核实管理办法》开展了资产清查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（1）资产管理信息系统建设情况。已将所有资产全部录入行政事业单位资产管理系统，并指定专人负责管理系统。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（2）资产清查情况。启动</w:t>
      </w:r>
      <w:r>
        <w:rPr>
          <w:rFonts w:hint="eastAsia" w:ascii="仿宋" w:hAnsi="仿宋" w:eastAsia="仿宋"/>
          <w:sz w:val="32"/>
          <w:szCs w:val="32"/>
          <w:lang w:eastAsia="zh-CN"/>
        </w:rPr>
        <w:t>本</w:t>
      </w:r>
      <w:r>
        <w:rPr>
          <w:rFonts w:hint="eastAsia" w:ascii="仿宋" w:hAnsi="仿宋" w:eastAsia="仿宋"/>
          <w:sz w:val="32"/>
          <w:szCs w:val="32"/>
        </w:rPr>
        <w:t>单位资产清查，并将资产清查结果上报了相关主管部门。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（3）资产报表上报情况。安排专人负责国有资产清查及报表上报工作。在资产清查结束后，已上报清查报表、清查工作报告等国有资产报表数据。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3.内控制度管理。201</w:t>
      </w:r>
      <w:r>
        <w:rPr>
          <w:rFonts w:hint="eastAsia" w:ascii="仿宋" w:hAnsi="仿宋" w:eastAsia="仿宋"/>
          <w:sz w:val="32"/>
          <w:szCs w:val="32"/>
          <w:lang w:val="en-US" w:eastAsia="zh-CN"/>
        </w:rPr>
        <w:t>8</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从多方面规范了经费开支行为，严格审签制度，切实把控财务风险。同时，严格执行上级有关财务管理规定，落实“三重一大”制度，确保财务整体的安全、顺畅，防止违法违纪现象发生。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4.信息公开。按照相关规定，落实工作人员按要求对2018年预决算信息进行了公开，确保公开透明。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5.绩效管理。通过对单位的工作和运营目标进行分解，设定各</w:t>
      </w:r>
      <w:r>
        <w:rPr>
          <w:rFonts w:hint="eastAsia" w:ascii="仿宋" w:hAnsi="仿宋" w:eastAsia="仿宋"/>
          <w:sz w:val="32"/>
          <w:szCs w:val="32"/>
          <w:lang w:eastAsia="zh-CN"/>
        </w:rPr>
        <w:t>科</w:t>
      </w:r>
      <w:r>
        <w:rPr>
          <w:rFonts w:hint="eastAsia" w:ascii="仿宋" w:hAnsi="仿宋" w:eastAsia="仿宋"/>
          <w:sz w:val="32"/>
          <w:szCs w:val="32"/>
        </w:rPr>
        <w:t>室绩效目标，对</w:t>
      </w:r>
      <w:r>
        <w:rPr>
          <w:rFonts w:hint="eastAsia" w:ascii="仿宋" w:hAnsi="仿宋" w:eastAsia="仿宋"/>
          <w:sz w:val="32"/>
          <w:szCs w:val="32"/>
          <w:lang w:eastAsia="zh-CN"/>
        </w:rPr>
        <w:t>科</w:t>
      </w:r>
      <w:r>
        <w:rPr>
          <w:rFonts w:hint="eastAsia" w:ascii="仿宋" w:hAnsi="仿宋" w:eastAsia="仿宋"/>
          <w:sz w:val="32"/>
          <w:szCs w:val="32"/>
        </w:rPr>
        <w:t>室和个人的绩效进行沟通、反馈、考评，从而将个人、</w:t>
      </w:r>
      <w:r>
        <w:rPr>
          <w:rFonts w:hint="eastAsia" w:ascii="仿宋" w:hAnsi="仿宋" w:eastAsia="仿宋"/>
          <w:sz w:val="32"/>
          <w:szCs w:val="32"/>
          <w:lang w:eastAsia="zh-CN"/>
        </w:rPr>
        <w:t>科</w:t>
      </w:r>
      <w:r>
        <w:rPr>
          <w:rFonts w:hint="eastAsia" w:ascii="仿宋" w:hAnsi="仿宋" w:eastAsia="仿宋"/>
          <w:sz w:val="32"/>
          <w:szCs w:val="32"/>
        </w:rPr>
        <w:t>室与单位目标有机结合，提高单位整体绩效，促进职工工作积极性和单位发展动力。</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6.依法接受财政监督情况。按照财政部门相关要求，开展了2018年度财政监督检查的自查自纠工作，并报送了自查自纠报告及报表。</w:t>
      </w:r>
    </w:p>
    <w:p>
      <w:pPr>
        <w:spacing w:line="600" w:lineRule="exact"/>
        <w:ind w:firstLine="600" w:firstLineChars="200"/>
        <w:rPr>
          <w:rFonts w:hint="eastAsia" w:ascii="仿宋_GB2312" w:hAnsi="仿宋" w:eastAsia="仿宋_GB2312"/>
          <w:sz w:val="30"/>
          <w:szCs w:val="30"/>
        </w:rPr>
      </w:pPr>
    </w:p>
    <w:p>
      <w:pPr>
        <w:ind w:left="0" w:leftChars="0" w:firstLine="639" w:firstLineChars="213"/>
        <w:rPr>
          <w:rFonts w:hint="eastAsia" w:ascii="仿宋_GB2312" w:hAnsi="仿宋_GB2312" w:eastAsia="仿宋_GB2312" w:cs="仿宋_GB2312"/>
          <w:sz w:val="30"/>
          <w:szCs w:val="30"/>
        </w:rPr>
      </w:pPr>
    </w:p>
    <w:p>
      <w:pPr>
        <w:spacing w:line="580" w:lineRule="exact"/>
        <w:ind w:firstLine="600" w:firstLineChars="200"/>
        <w:rPr>
          <w:rFonts w:hint="eastAsia" w:ascii="仿宋_GB2312" w:hAnsi="仿宋_GB2312" w:eastAsia="仿宋_GB2312" w:cs="仿宋_GB2312"/>
          <w:color w:val="000000"/>
          <w:sz w:val="30"/>
          <w:szCs w:val="30"/>
          <w:lang w:eastAsia="zh-CN"/>
        </w:rPr>
      </w:pPr>
    </w:p>
    <w:p>
      <w:pPr>
        <w:spacing w:line="580" w:lineRule="exac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4"/>
          <w:rFonts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580" w:lineRule="exact"/>
        <w:jc w:val="center"/>
        <w:rPr>
          <w:rFonts w:hint="eastAsia" w:ascii="黑体" w:hAnsi="黑体" w:eastAsia="黑体" w:cs="方正小标宋简体"/>
          <w:sz w:val="44"/>
          <w:szCs w:val="44"/>
          <w:lang w:eastAsia="zh-CN"/>
        </w:rPr>
      </w:pPr>
      <w:r>
        <w:rPr>
          <w:rFonts w:hint="eastAsia" w:ascii="黑体" w:hAnsi="黑体" w:eastAsia="黑体" w:cs="方正小标宋简体"/>
          <w:sz w:val="44"/>
          <w:szCs w:val="44"/>
        </w:rPr>
        <w:t>20</w:t>
      </w:r>
      <w:r>
        <w:rPr>
          <w:rFonts w:hint="eastAsia" w:ascii="黑体" w:hAnsi="黑体" w:eastAsia="黑体" w:cs="方正小标宋简体"/>
          <w:sz w:val="44"/>
          <w:szCs w:val="44"/>
          <w:lang w:eastAsia="zh-CN"/>
        </w:rPr>
        <w:t>1</w:t>
      </w:r>
      <w:r>
        <w:rPr>
          <w:rFonts w:hint="eastAsia" w:ascii="黑体" w:hAnsi="黑体" w:eastAsia="黑体" w:cs="方正小标宋简体"/>
          <w:sz w:val="44"/>
          <w:szCs w:val="44"/>
          <w:lang w:val="en-US" w:eastAsia="zh-CN"/>
        </w:rPr>
        <w:t>8</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达川区石梯镇中心卫生院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3" w:firstLineChars="200"/>
        <w:rPr>
          <w:rFonts w:hint="eastAsia" w:ascii="仿宋" w:hAnsi="仿宋" w:eastAsia="仿宋" w:cs="仿宋_GB2312"/>
          <w:b/>
          <w:sz w:val="32"/>
          <w:szCs w:val="32"/>
        </w:rPr>
      </w:pPr>
      <w:bookmarkStart w:id="63" w:name="_Toc15396618"/>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85</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132.62万元、基层医疗机构基本药物制度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37.4万元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进一步完善和落实相关管理制度，加强内部控制管理制度学习，严格遵照相关制度贯彻落实到位，做到精细化管理。</w:t>
      </w: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9"/>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86"/>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EFBD3F2A"/>
    <w:multiLevelType w:val="singleLevel"/>
    <w:tmpl w:val="EFBD3F2A"/>
    <w:lvl w:ilvl="0" w:tentative="0">
      <w:start w:val="8"/>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F12EDBF"/>
    <w:multiLevelType w:val="singleLevel"/>
    <w:tmpl w:val="3F12EDBF"/>
    <w:lvl w:ilvl="0" w:tentative="0">
      <w:start w:val="2"/>
      <w:numFmt w:val="chineseCounting"/>
      <w:suff w:val="nothing"/>
      <w:lvlText w:val="（%1）"/>
      <w:lvlJc w:val="left"/>
      <w:pPr>
        <w:ind w:left="0" w:firstLine="0"/>
      </w:pPr>
    </w:lvl>
  </w:abstractNum>
  <w:abstractNum w:abstractNumId="7">
    <w:nsid w:val="6DEA2601"/>
    <w:multiLevelType w:val="singleLevel"/>
    <w:tmpl w:val="6DEA2601"/>
    <w:lvl w:ilvl="0" w:tentative="0">
      <w:start w:val="2"/>
      <w:numFmt w:val="chineseCounting"/>
      <w:suff w:val="nothing"/>
      <w:lvlText w:val="（%1）"/>
      <w:lvlJc w:val="left"/>
      <w:pPr>
        <w:ind w:left="0" w:firstLine="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lvlOverride w:ilvl="0">
      <w:startOverride w:val="2"/>
    </w:lvlOverride>
  </w:num>
  <w:num w:numId="8">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6F0"/>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B4C7C"/>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433392F"/>
    <w:rsid w:val="04757EDD"/>
    <w:rsid w:val="06245911"/>
    <w:rsid w:val="0914014D"/>
    <w:rsid w:val="0C705A02"/>
    <w:rsid w:val="0D945F20"/>
    <w:rsid w:val="0E5141AF"/>
    <w:rsid w:val="0EB50A23"/>
    <w:rsid w:val="0F203250"/>
    <w:rsid w:val="0F506829"/>
    <w:rsid w:val="10C055FF"/>
    <w:rsid w:val="129475B5"/>
    <w:rsid w:val="132B5C1A"/>
    <w:rsid w:val="163E2C83"/>
    <w:rsid w:val="16BB723D"/>
    <w:rsid w:val="184819D9"/>
    <w:rsid w:val="18C87E33"/>
    <w:rsid w:val="1C361F4D"/>
    <w:rsid w:val="1CB77491"/>
    <w:rsid w:val="1D00440D"/>
    <w:rsid w:val="1D0D4A77"/>
    <w:rsid w:val="1F674249"/>
    <w:rsid w:val="2243142D"/>
    <w:rsid w:val="227720BF"/>
    <w:rsid w:val="22CE435C"/>
    <w:rsid w:val="236112AD"/>
    <w:rsid w:val="23C067F5"/>
    <w:rsid w:val="240371BF"/>
    <w:rsid w:val="2662672A"/>
    <w:rsid w:val="298C2407"/>
    <w:rsid w:val="29FD04D3"/>
    <w:rsid w:val="2AFB50B0"/>
    <w:rsid w:val="2B426BF7"/>
    <w:rsid w:val="2B862FDE"/>
    <w:rsid w:val="2DA804AF"/>
    <w:rsid w:val="301A00AB"/>
    <w:rsid w:val="312E1A94"/>
    <w:rsid w:val="319F7F4E"/>
    <w:rsid w:val="3B2D3FC3"/>
    <w:rsid w:val="3FFF06D6"/>
    <w:rsid w:val="40AF62EF"/>
    <w:rsid w:val="412F41F5"/>
    <w:rsid w:val="421A79E7"/>
    <w:rsid w:val="47392CF0"/>
    <w:rsid w:val="4C1F5045"/>
    <w:rsid w:val="539A4AC7"/>
    <w:rsid w:val="55C508BA"/>
    <w:rsid w:val="58322352"/>
    <w:rsid w:val="59F862DC"/>
    <w:rsid w:val="5A3F3B8D"/>
    <w:rsid w:val="5AB256F4"/>
    <w:rsid w:val="5ED46D0F"/>
    <w:rsid w:val="5F9F45E0"/>
    <w:rsid w:val="61467FE4"/>
    <w:rsid w:val="66405328"/>
    <w:rsid w:val="68F610D9"/>
    <w:rsid w:val="6C122D4F"/>
    <w:rsid w:val="6EF16E70"/>
    <w:rsid w:val="703E7FE3"/>
    <w:rsid w:val="70AD1023"/>
    <w:rsid w:val="71CC72C3"/>
    <w:rsid w:val="738C49DA"/>
    <w:rsid w:val="74E60026"/>
    <w:rsid w:val="752C781F"/>
    <w:rsid w:val="795640B9"/>
    <w:rsid w:val="7A1B5500"/>
    <w:rsid w:val="7B310655"/>
    <w:rsid w:val="7DAB62EF"/>
    <w:rsid w:val="7E9E424D"/>
    <w:rsid w:val="7EA84A37"/>
    <w:rsid w:val="7FBE5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Documents%20and%20Settings\Administrator\&#26700;&#38754;\&#20915;&#31639;&#20844;&#24320;&#22270;&#34920;.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Documents%20and%20Settings\Administrator\&#26700;&#38754;\&#20915;&#31639;&#20844;&#24320;&#22270;&#349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Documents%20and%20Settings\Administrator\&#26700;&#38754;\&#20915;&#31639;&#20844;&#24320;&#22270;&#3492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Documents%20and%20Settings\Administrator\&#26700;&#3875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solidFill>
                  <a:srgbClr val="000000"/>
                </a:solidFill>
                <a:latin typeface="宋体" panose="02010600030101010101" charset="-122"/>
                <a:ea typeface="宋体" panose="02010600030101010101" charset="-122"/>
                <a:cs typeface="宋体" panose="02010600030101010101" charset="-122"/>
              </a:rPr>
              <a:t>收、支决算总计变动情况图</a:t>
            </a:r>
            <a:r>
              <a:rPr lang="zh-CN" altLang="en-US" sz="18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manualLayout>
          <c:xMode val="edge"/>
          <c:yMode val="edge"/>
          <c:x val="0.181269556925079"/>
          <c:y val="0.0277777777777778"/>
        </c:manualLayout>
      </c:layout>
      <c:overlay val="0"/>
    </c:title>
    <c:autoTitleDeleted val="0"/>
    <c:plotArea>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[决算公开图表.xls]Sheet1!$F$10:$G$10</c:f>
              <c:strCache>
                <c:ptCount val="2"/>
                <c:pt idx="0">
                  <c:v>2017年</c:v>
                </c:pt>
                <c:pt idx="1">
                  <c:v>2018年</c:v>
                </c:pt>
              </c:strCache>
            </c:strRef>
          </c:cat>
          <c:val>
            <c:numRef>
              <c:f>[决算公开图表.xls]Sheet1!$F$11:$G$11</c:f>
              <c:numCache>
                <c:formatCode>General</c:formatCode>
                <c:ptCount val="2"/>
                <c:pt idx="0">
                  <c:v>1420.37</c:v>
                </c:pt>
                <c:pt idx="1">
                  <c:v>1248.14</c:v>
                </c:pt>
              </c:numCache>
            </c:numRef>
          </c:val>
        </c:ser>
        <c:dLbls>
          <c:showLegendKey val="0"/>
          <c:showVal val="1"/>
          <c:showCatName val="0"/>
          <c:showSerName val="0"/>
          <c:showPercent val="0"/>
          <c:showBubbleSize val="0"/>
        </c:dLbls>
        <c:gapWidth val="150"/>
        <c:overlap val="0"/>
        <c:axId val="442955253"/>
        <c:axId val="301804578"/>
      </c:barChart>
      <c:catAx>
        <c:axId val="442955253"/>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301804578"/>
        <c:crosses val="autoZero"/>
        <c:auto val="1"/>
        <c:lblAlgn val="ctr"/>
        <c:lblOffset val="100"/>
        <c:noMultiLvlLbl val="0"/>
      </c:catAx>
      <c:valAx>
        <c:axId val="301804578"/>
        <c:scaling>
          <c:orientation val="minMax"/>
          <c:max val="1600"/>
          <c:min val="10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442955253"/>
        <c:crosses val="autoZero"/>
        <c:crossBetween val="between"/>
        <c:majorUnit val="100"/>
      </c:valAx>
    </c:plotArea>
    <c:legend>
      <c:legendPos val="r"/>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a:t>收入决算结构图</a:t>
            </a:r>
            <a:endParaRPr lang="zh-CN" altLang="zh-CN"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[决算公开图表.xls]Sheet1!$D$33:$E$33</c:f>
              <c:strCache>
                <c:ptCount val="2"/>
                <c:pt idx="0">
                  <c:v>财政拨款收入</c:v>
                </c:pt>
                <c:pt idx="1">
                  <c:v>事业收入</c:v>
                </c:pt>
              </c:strCache>
            </c:strRef>
          </c:cat>
          <c:val>
            <c:numRef>
              <c:f>[决算公开图表.xls]Sheet1!$D$34:$E$34</c:f>
              <c:numCache>
                <c:formatCode>General</c:formatCode>
                <c:ptCount val="2"/>
                <c:pt idx="0">
                  <c:v>589.41</c:v>
                </c:pt>
                <c:pt idx="1">
                  <c:v>576.6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支出决算结构图</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[决算公开图表.xls]Sheet1!$D$57:$E$57</c:f>
              <c:strCache>
                <c:ptCount val="2"/>
                <c:pt idx="0">
                  <c:v>基本支出</c:v>
                </c:pt>
                <c:pt idx="1">
                  <c:v>项目支出</c:v>
                </c:pt>
              </c:strCache>
            </c:strRef>
          </c:cat>
          <c:val>
            <c:numRef>
              <c:f>[决算公开图表.xls]Sheet1!$D$58:$E$58</c:f>
              <c:numCache>
                <c:formatCode>General</c:formatCode>
                <c:ptCount val="2"/>
                <c:pt idx="0">
                  <c:v>895.78</c:v>
                </c:pt>
                <c:pt idx="1">
                  <c:v>171.02</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380" b="1" i="0" u="none" strike="noStrike" baseline="0">
                <a:solidFill>
                  <a:srgbClr val="000000"/>
                </a:solidFill>
                <a:latin typeface="宋体" panose="02010600030101010101" charset="-122"/>
                <a:ea typeface="宋体" panose="02010600030101010101" charset="-122"/>
                <a:cs typeface="宋体" panose="02010600030101010101" charset="-122"/>
              </a:rPr>
              <a:t>财政拨款收、支决算总计变动情况</a:t>
            </a:r>
            <a:r>
              <a:rPr lang="zh-CN" altLang="en-US" sz="1380" b="1" i="0" u="none" strike="noStrike" baseline="0">
                <a:solidFill>
                  <a:srgbClr val="000000"/>
                </a:solidFill>
                <a:latin typeface="宋体" panose="02010600030101010101" charset="-122"/>
                <a:ea typeface="宋体" panose="02010600030101010101" charset="-122"/>
                <a:cs typeface="宋体" panose="02010600030101010101" charset="-122"/>
              </a:rPr>
              <a:t>表（万元）</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manualLayout>
          <c:xMode val="edge"/>
          <c:yMode val="edge"/>
          <c:x val="0.168600902643456"/>
          <c:y val="0.0391566265060241"/>
        </c:manualLayout>
      </c:layout>
      <c:overlay val="0"/>
    </c:title>
    <c:autoTitleDeleted val="0"/>
    <c:plotArea>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[决算公开图表.xls]Sheet1!$D$83:$E$83</c:f>
              <c:strCache>
                <c:ptCount val="2"/>
                <c:pt idx="0">
                  <c:v>2017年</c:v>
                </c:pt>
                <c:pt idx="1">
                  <c:v>2018年</c:v>
                </c:pt>
              </c:strCache>
            </c:strRef>
          </c:cat>
          <c:val>
            <c:numRef>
              <c:f>[决算公开图表.xls]Sheet1!$D$84:$E$84</c:f>
              <c:numCache>
                <c:formatCode>General</c:formatCode>
                <c:ptCount val="2"/>
                <c:pt idx="0">
                  <c:v>733.38</c:v>
                </c:pt>
                <c:pt idx="1">
                  <c:v>671.54</c:v>
                </c:pt>
              </c:numCache>
            </c:numRef>
          </c:val>
        </c:ser>
        <c:dLbls>
          <c:showLegendKey val="0"/>
          <c:showVal val="1"/>
          <c:showCatName val="0"/>
          <c:showSerName val="0"/>
          <c:showPercent val="0"/>
          <c:showBubbleSize val="0"/>
        </c:dLbls>
        <c:gapWidth val="150"/>
        <c:overlap val="0"/>
        <c:axId val="349970854"/>
        <c:axId val="121119611"/>
      </c:barChart>
      <c:catAx>
        <c:axId val="34997085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121119611"/>
        <c:crosses val="autoZero"/>
        <c:auto val="1"/>
        <c:lblAlgn val="ctr"/>
        <c:lblOffset val="100"/>
        <c:noMultiLvlLbl val="0"/>
      </c:catAx>
      <c:valAx>
        <c:axId val="121119611"/>
        <c:scaling>
          <c:orientation val="minMax"/>
          <c:max val="800"/>
          <c:min val="200"/>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ysClr val="windowText" lastClr="000000"/>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349970854"/>
        <c:crosses val="autoZero"/>
        <c:crossBetween val="between"/>
      </c:valAx>
    </c:plotArea>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一般公共预算财政拨款支出决算变动情况</a:t>
            </a:r>
            <a:r>
              <a:rPr lang="en-US" altLang="zh-CN" sz="1800" b="1" i="0" u="none" strike="noStrike" baseline="0"/>
              <a:t>(</a:t>
            </a:r>
            <a:r>
              <a:rPr altLang="zh-CN" sz="1800" b="1" i="0" u="none" strike="noStrike" baseline="0"/>
              <a:t>万元）</a:t>
            </a:r>
            <a:endParaRPr altLang="zh-CN"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[1决算公开图表.xls]Sheet1!$D$111:$E$111</c:f>
              <c:strCache>
                <c:ptCount val="2"/>
                <c:pt idx="0">
                  <c:v>2017年</c:v>
                </c:pt>
                <c:pt idx="1">
                  <c:v>2018年</c:v>
                </c:pt>
              </c:strCache>
            </c:strRef>
          </c:cat>
          <c:val>
            <c:numRef>
              <c:f>[1决算公开图表.xls]Sheet1!$D$112:$E$112</c:f>
              <c:numCache>
                <c:formatCode>General</c:formatCode>
                <c:ptCount val="2"/>
                <c:pt idx="0">
                  <c:v>651.26</c:v>
                </c:pt>
                <c:pt idx="1">
                  <c:v>490.2</c:v>
                </c:pt>
              </c:numCache>
            </c:numRef>
          </c:val>
        </c:ser>
        <c:dLbls>
          <c:showLegendKey val="0"/>
          <c:showVal val="1"/>
          <c:showCatName val="0"/>
          <c:showSerName val="0"/>
          <c:showPercent val="0"/>
          <c:showBubbleSize val="0"/>
        </c:dLbls>
        <c:gapWidth val="150"/>
        <c:overlap val="0"/>
        <c:axId val="309603986"/>
        <c:axId val="104639406"/>
      </c:barChart>
      <c:catAx>
        <c:axId val="30960398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639406"/>
        <c:crosses val="autoZero"/>
        <c:auto val="1"/>
        <c:lblAlgn val="ctr"/>
        <c:lblOffset val="100"/>
        <c:noMultiLvlLbl val="0"/>
      </c:catAx>
      <c:valAx>
        <c:axId val="104639406"/>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9603986"/>
        <c:crosses val="autoZero"/>
        <c:crossBetween val="between"/>
      </c:valAx>
    </c:plotArea>
    <c:plotVisOnly val="1"/>
    <c:dispBlanksAs val="gap"/>
    <c:showDLblsOverMax val="0"/>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一般公共预算财政拨款支出决算结构</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[决算公开图表.xls]Sheet1!$D$139:$F$139</c:f>
              <c:strCache>
                <c:ptCount val="3"/>
                <c:pt idx="0">
                  <c:v>社会保障和就业</c:v>
                </c:pt>
                <c:pt idx="1">
                  <c:v>医疗卫生</c:v>
                </c:pt>
                <c:pt idx="2">
                  <c:v>住房保障</c:v>
                </c:pt>
              </c:strCache>
            </c:strRef>
          </c:cat>
          <c:val>
            <c:numRef>
              <c:f>[决算公开图表.xls]Sheet1!$D$140:$F$140</c:f>
              <c:numCache>
                <c:formatCode>General</c:formatCode>
                <c:ptCount val="3"/>
                <c:pt idx="0">
                  <c:v>68.69</c:v>
                </c:pt>
                <c:pt idx="1">
                  <c:v>380.72</c:v>
                </c:pt>
                <c:pt idx="2">
                  <c:v>40.79</c:v>
                </c:pt>
              </c:numCache>
            </c:numRef>
          </c:val>
        </c:ser>
        <c:dLbls>
          <c:showLegendKey val="0"/>
          <c:showVal val="1"/>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23</TotalTime>
  <ScaleCrop>false</ScaleCrop>
  <LinksUpToDate>false</LinksUpToDate>
  <CharactersWithSpaces>9641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蓝忻儿</cp:lastModifiedBy>
  <cp:lastPrinted>2019-09-18T01:54:00Z</cp:lastPrinted>
  <dcterms:modified xsi:type="dcterms:W3CDTF">2022-02-25T04:11:19Z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CFB667FF8C8340A380A42A09F27CC91B</vt:lpwstr>
  </property>
</Properties>
</file>