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1" w:name="_Toc15396475"/>
      <w:bookmarkStart w:id="2" w:name="_Toc15396597"/>
      <w:bookmarkStart w:id="3" w:name="_Toc15377193"/>
      <w:bookmarkStart w:id="4" w:name="_Toc15377425"/>
      <w:bookmarkStart w:id="5" w:name="_Toc15378441"/>
      <w:r>
        <w:rPr>
          <w:rFonts w:ascii="黑体" w:eastAsia="黑体"/>
          <w:color w:val="000000"/>
          <w:sz w:val="72"/>
          <w:szCs w:val="72"/>
        </w:rPr>
        <w:t>201</w:t>
      </w:r>
      <w:r>
        <w:rPr>
          <w:rFonts w:ascii="黑体" w:eastAsia="黑体" w:hint="eastAsia"/>
          <w:color w:val="000000"/>
          <w:sz w:val="72"/>
          <w:szCs w:val="72"/>
        </w:rPr>
        <w:t>9</w:t>
      </w:r>
      <w:r>
        <w:rPr>
          <w:rFonts w:ascii="方正小标宋简体" w:eastAsia="方正小标宋简体" w:hint="eastAsia"/>
          <w:color w:val="000000"/>
          <w:sz w:val="72"/>
          <w:szCs w:val="72"/>
        </w:rPr>
        <w:t>年度</w:t>
      </w:r>
      <w:bookmarkStart w:id="6" w:name="_GoBack"/>
      <w:bookmarkEnd w:id="1"/>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olor w:val="000000"/>
          <w:sz w:val="72"/>
          <w:szCs w:val="72"/>
        </w:rPr>
      </w:pPr>
      <w:bookmarkStart w:id="7" w:name="_Toc15377426"/>
      <w:bookmarkStart w:id="8" w:name="_Toc15377194"/>
      <w:bookmarkStart w:id="9" w:name="_Toc15378442"/>
      <w:bookmarkStart w:id="10" w:name="_Toc15396476"/>
      <w:bookmarkStart w:id="11" w:name="_Toc15396598"/>
      <w:r>
        <w:rPr>
          <w:rFonts w:ascii="方正小标宋简体" w:eastAsia="方正小标宋简体" w:hint="eastAsia"/>
          <w:color w:val="000000"/>
          <w:sz w:val="72"/>
          <w:szCs w:val="72"/>
        </w:rPr>
        <w:t>四川省</w:t>
      </w:r>
      <w:bookmarkStart w:id="12" w:name="_Toc15306268"/>
      <w:bookmarkEnd w:id="0"/>
      <w:r>
        <w:rPr>
          <w:rFonts w:ascii="方正小标宋简体" w:eastAsia="方正小标宋简体" w:hint="eastAsia"/>
          <w:color w:val="000000"/>
          <w:sz w:val="72"/>
          <w:szCs w:val="72"/>
        </w:rPr>
        <w:t>达州市达川区渡市镇部门决算</w:t>
      </w:r>
      <w:bookmarkEnd w:id="7"/>
      <w:bookmarkEnd w:id="8"/>
      <w:bookmarkEnd w:id="9"/>
      <w:bookmarkEnd w:id="10"/>
      <w:bookmarkEnd w:id="11"/>
      <w:bookmarkEnd w:id="12"/>
      <w:r>
        <w:rPr>
          <w:rFonts w:ascii="方正小标宋简体" w:eastAsia="方正小标宋简体" w:hint="eastAsia"/>
          <w:color w:val="000000"/>
          <w:sz w:val="72"/>
          <w:szCs w:val="72"/>
        </w:rPr>
        <w:t>编制说明</w:t>
      </w: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0"/>
        <w:tabs>
          <w:tab w:val="right" w:leader="dot" w:pos="8296"/>
        </w:tabs>
      </w:pPr>
      <w:r>
        <w:rPr>
          <w:rFonts w:hint="eastAsia"/>
        </w:rPr>
        <w:t>公开时间：2019年9月17日</w:t>
      </w:r>
    </w:p>
    <w:p/>
    <w:p>
      <w:pPr>
        <w:pStyle w:val="20"/>
        <w:tabs>
          <w:tab w:val="right" w:leader="dot" w:pos="8296"/>
        </w:tabs>
        <w:rPr>
          <w:rFonts w:cs="Arial"/>
        </w:rPr>
      </w:pPr>
      <w:r>
        <w:fldChar w:fldCharType="begin"/>
      </w:r>
      <w:r>
        <w:instrText>Hyperlink \l "_Toc15396599"</w:instrText>
      </w:r>
      <w:r>
        <w:fldChar w:fldCharType="separate"/>
      </w:r>
      <w:r>
        <w:rPr>
          <w:rFonts w:hint="eastAsia"/>
        </w:rPr>
        <w:t>第一部分部门概况</w:t>
      </w:r>
      <w:r>
        <w:tab/>
      </w:r>
      <w:r>
        <w:rPr>
          <w:rFonts w:hint="eastAsia"/>
        </w:rPr>
        <w:t>4</w:t>
      </w:r>
      <w:r>
        <w:fldChar w:fldCharType="end"/>
      </w:r>
    </w:p>
    <w:p>
      <w:pPr>
        <w:pStyle w:val="21"/>
        <w:tabs>
          <w:tab w:val="right" w:leader="dot" w:pos="8296"/>
        </w:tabs>
        <w:rPr>
          <w:rFonts w:ascii="仿宋" w:eastAsia="仿宋" w:cs="Arial"/>
          <w:sz w:val="28"/>
          <w:szCs w:val="28"/>
        </w:rPr>
      </w:pPr>
      <w:r>
        <w:fldChar w:fldCharType="begin"/>
      </w:r>
      <w:r>
        <w:instrText>Hyperlink \l "_Toc15396600"</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fldChar w:fldCharType="end"/>
      </w:r>
    </w:p>
    <w:p>
      <w:pPr>
        <w:pStyle w:val="21"/>
        <w:tabs>
          <w:tab w:val="right" w:leader="dot" w:pos="8296"/>
        </w:tabs>
        <w:rPr>
          <w:rFonts w:ascii="仿宋" w:eastAsia="仿宋" w:cs="Arial"/>
          <w:sz w:val="28"/>
          <w:szCs w:val="28"/>
        </w:rPr>
      </w:pPr>
      <w:r>
        <w:fldChar w:fldCharType="begin"/>
      </w:r>
      <w:r>
        <w:instrText>Hyperlink \l "_Toc15396601"</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fldChar w:fldCharType="end"/>
      </w:r>
    </w:p>
    <w:p>
      <w:pPr>
        <w:pStyle w:val="20"/>
        <w:tabs>
          <w:tab w:val="right" w:leader="dot" w:pos="8296"/>
        </w:tabs>
      </w:pPr>
      <w:r>
        <w:fldChar w:fldCharType="begin"/>
      </w:r>
      <w:r>
        <w:instrText>Hyperlink \l "_Toc15396602"</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"_Toc15396603"</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"_Toc15396604"</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"_Toc15396605"</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"_Toc15396606"</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"_Toc15396607"</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"_Toc15396608"</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12</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"_Toc15396609"</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12</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"_Toc15396610"</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fldChar w:fldCharType="end"/>
      </w:r>
    </w:p>
    <w:p>
      <w:pPr>
        <w:pStyle w:val="21"/>
        <w:tabs>
          <w:tab w:val="right" w:leader="dot" w:pos="8296"/>
        </w:tabs>
        <w:rPr>
          <w:rFonts w:ascii="仿宋" w:eastAsia="仿宋"/>
          <w:sz w:val="28"/>
          <w:szCs w:val="28"/>
        </w:rPr>
      </w:pPr>
      <w:r>
        <w:fldChar w:fldCharType="begin"/>
      </w:r>
      <w:r>
        <w:instrText>Hyperlink \l "_Toc15396611"</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fldChar w:fldCharType="end"/>
      </w:r>
    </w:p>
    <w:p>
      <w:pPr>
        <w:pStyle w:val="21"/>
        <w:tabs>
          <w:tab w:val="right" w:leader="dot" w:pos="8296"/>
        </w:tabs>
        <w:rPr>
          <w:rFonts w:ascii="仿宋" w:eastAsia="仿宋"/>
          <w:sz w:val="28"/>
          <w:szCs w:val="28"/>
        </w:rPr>
      </w:pPr>
      <w:r>
        <w:rPr>
          <w:rStyle w:val="24"/>
          <w:rFonts w:ascii="仿宋" w:eastAsia="仿宋" w:hint="eastAsia"/>
          <w:sz w:val="28"/>
          <w:szCs w:val="28"/>
        </w:rPr>
        <w:t>十</w:t>
      </w:r>
      <w:r>
        <w:fldChar w:fldCharType="begin"/>
      </w:r>
      <w:r>
        <w:instrText>Hyperlink \l "_Toc15396611"</w:instrText>
      </w:r>
      <w:r>
        <w:fldChar w:fldCharType="separate"/>
      </w:r>
      <w:r>
        <w:rPr>
          <w:rFonts w:ascii="仿宋" w:eastAsia="仿宋" w:cs="Times New Roman" w:hint="eastAsia"/>
          <w:bCs/>
          <w:sz w:val="28"/>
          <w:szCs w:val="28"/>
        </w:rPr>
        <w:t>、</w:t>
      </w:r>
      <w:r>
        <w:rPr>
          <w:rFonts w:ascii="仿宋" w:eastAsia="仿宋" w:hint="eastAsia"/>
          <w:sz w:val="28"/>
          <w:szCs w:val="28"/>
        </w:rPr>
        <w:t xml:space="preserve"> </w:t>
      </w:r>
      <w:r>
        <w:rPr>
          <w:rStyle w:val="2Char"/>
          <w:rFonts w:ascii="黑体" w:eastAsia="黑体" w:hint="eastAsia"/>
          <w:b w:val="0"/>
        </w:rPr>
        <w:t>预算绩效情况说明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fldChar w:fldCharType="end"/>
      </w:r>
    </w:p>
    <w:p>
      <w:pPr>
        <w:pStyle w:val="21"/>
        <w:tabs>
          <w:tab w:val="right" w:leader="dot" w:pos="8296"/>
        </w:tabs>
        <w:ind w:leftChars="0" w:left="0" w:firstLineChars="200" w:firstLine="420"/>
        <w:rPr>
          <w:rFonts w:ascii="仿宋" w:eastAsia="仿宋" w:cs="Arial"/>
          <w:sz w:val="28"/>
          <w:szCs w:val="28"/>
        </w:rPr>
      </w:pPr>
      <w:r>
        <w:fldChar w:fldCharType="begin"/>
      </w:r>
      <w:r>
        <w:instrText>Hyperlink \l "_Toc15396612"</w:instrText>
      </w:r>
      <w:r>
        <w:fldChar w:fldCharType="separate"/>
      </w:r>
      <w:r>
        <w:rPr>
          <w:rFonts w:ascii="仿宋" w:eastAsia="仿宋" w:hint="eastAsia"/>
          <w:sz w:val="28"/>
          <w:szCs w:val="28"/>
        </w:rPr>
        <w:t>十</w:t>
      </w:r>
      <w:r>
        <w:rPr>
          <w:rFonts w:ascii="仿宋" w:eastAsia="仿宋" w:cs="Times New Roman" w:hint="eastAsia"/>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24</w:t>
      </w:r>
      <w:r>
        <w:rPr>
          <w:rFonts w:ascii="仿宋" w:eastAsia="仿宋"/>
          <w:sz w:val="28"/>
          <w:szCs w:val="28"/>
        </w:rPr>
        <w:fldChar w:fldCharType="end"/>
      </w:r>
      <w:r>
        <w:fldChar w:fldCharType="end"/>
      </w:r>
    </w:p>
    <w:p>
      <w:pPr>
        <w:pStyle w:val="20"/>
        <w:tabs>
          <w:tab w:val="right" w:leader="dot" w:pos="8296"/>
        </w:tabs>
        <w:rPr>
          <w:rFonts w:cs="Arial"/>
        </w:rPr>
      </w:pPr>
      <w:r>
        <w:fldChar w:fldCharType="begin"/>
      </w:r>
      <w:r>
        <w:instrText>Hyperlink \l "_Toc15396613"</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25</w:t>
      </w:r>
      <w:r>
        <w:fldChar w:fldCharType="end"/>
      </w:r>
      <w:r>
        <w:fldChar w:fldCharType="end"/>
      </w:r>
    </w:p>
    <w:p>
      <w:pPr>
        <w:pStyle w:val="20"/>
        <w:tabs>
          <w:tab w:val="right" w:leader="dot" w:pos="8296"/>
        </w:tabs>
        <w:rPr>
          <w:rFonts w:cs="Arial"/>
        </w:rPr>
      </w:pPr>
      <w:r>
        <w:fldChar w:fldCharType="begin"/>
      </w:r>
      <w:r>
        <w:instrText>Hyperlink \l "_Toc15396614"</w:instrText>
      </w:r>
      <w:r>
        <w:fldChar w:fldCharType="separate"/>
      </w:r>
      <w:r>
        <w:rPr>
          <w:rFonts w:hint="eastAsia"/>
        </w:rPr>
        <w:t>第</w:t>
      </w:r>
      <w:r>
        <w:rPr>
          <w:rFonts w:hint="eastAsia"/>
          <w:bCs/>
          <w:kern w:val="44"/>
        </w:rPr>
        <w:t>四部分附件</w:t>
      </w:r>
      <w:r>
        <w:tab/>
      </w:r>
      <w:r>
        <w:fldChar w:fldCharType="begin"/>
      </w:r>
      <w:r>
        <w:instrText xml:space="preserve"> PAGEREF _Toc15396614 \h </w:instrText>
      </w:r>
      <w:r>
        <w:fldChar w:fldCharType="separate"/>
      </w:r>
      <w:r>
        <w:t>30</w:t>
      </w:r>
      <w: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"_Toc15396615"</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30</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fldChar w:fldCharType="begin"/>
      </w:r>
      <w:r>
        <w:instrText>Hyperlink \l "_Toc15396617"</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33</w:t>
      </w:r>
      <w:r>
        <w:rPr>
          <w:rFonts w:ascii="仿宋" w:eastAsia="仿宋"/>
          <w:sz w:val="28"/>
          <w:szCs w:val="28"/>
        </w:rPr>
        <w:fldChar w:fldCharType="end"/>
      </w:r>
      <w:r>
        <w:fldChar w:fldCharType="end"/>
      </w:r>
    </w:p>
    <w:p>
      <w:pPr>
        <w:pStyle w:val="20"/>
        <w:tabs>
          <w:tab w:val="right" w:leader="dot" w:pos="8296"/>
        </w:tabs>
        <w:rPr>
          <w:rFonts w:cs="Arial"/>
        </w:rPr>
      </w:pPr>
      <w:r>
        <w:fldChar w:fldCharType="begin"/>
      </w:r>
      <w:r>
        <w:instrText>Hyperlink \l "_Toc15396618"</w:instrText>
      </w:r>
      <w:r>
        <w:fldChar w:fldCharType="separate"/>
      </w:r>
      <w:r>
        <w:rPr>
          <w:rFonts w:hint="eastAsia"/>
        </w:rPr>
        <w:t>第</w:t>
      </w:r>
      <w:r>
        <w:rPr>
          <w:rFonts w:hint="eastAsia"/>
          <w:bCs/>
          <w:kern w:val="44"/>
        </w:rPr>
        <w:t>五部分附表</w:t>
      </w:r>
      <w:r>
        <w:tab/>
      </w:r>
      <w:r>
        <w:fldChar w:fldCharType="begin"/>
      </w:r>
      <w:r>
        <w:instrText xml:space="preserve"> PAGEREF _Toc15396618 \h </w:instrText>
      </w:r>
      <w:r>
        <w:fldChar w:fldCharType="separate"/>
      </w:r>
      <w:r>
        <w:t>3</w:t>
      </w:r>
      <w:r>
        <w:rPr>
          <w:rFonts w:hint="eastAsia"/>
        </w:rPr>
        <w:t>6</w:t>
      </w:r>
      <w: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一、</w:t>
      </w:r>
      <w:r>
        <w:fldChar w:fldCharType="begin"/>
      </w:r>
      <w:r>
        <w:instrText>Hyperlink \l "_Toc15396619"</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二、</w:t>
      </w:r>
      <w:r>
        <w:fldChar w:fldCharType="begin"/>
      </w:r>
      <w:r>
        <w:instrText>Hyperlink \l "_Toc15396620"</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三、</w:t>
      </w:r>
      <w:r>
        <w:fldChar w:fldCharType="begin"/>
      </w:r>
      <w:r>
        <w:instrText>Hyperlink \l "_Toc15396621"</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四、</w:t>
      </w:r>
      <w:r>
        <w:fldChar w:fldCharType="begin"/>
      </w:r>
      <w:r>
        <w:instrText>Hyperlink \l "_Toc15396622"</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sz w:val="28"/>
          <w:szCs w:val="28"/>
        </w:rPr>
      </w:pPr>
      <w:r>
        <w:rPr>
          <w:rFonts w:ascii="仿宋" w:eastAsia="仿宋" w:hint="eastAsia"/>
          <w:sz w:val="28"/>
          <w:szCs w:val="28"/>
        </w:rPr>
        <w:t>五、</w:t>
      </w:r>
      <w:r>
        <w:fldChar w:fldCharType="begin"/>
      </w:r>
      <w:r>
        <w:instrText>Hyperlink \l "_Toc15396623"</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六、</w:t>
      </w:r>
      <w:r>
        <w:fldChar w:fldCharType="begin"/>
      </w:r>
      <w:r>
        <w:instrText>Hyperlink \l "_Toc15396624"</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七、</w:t>
      </w:r>
      <w:r>
        <w:fldChar w:fldCharType="begin"/>
      </w:r>
      <w:r>
        <w:instrText>Hyperlink \l "_Toc15396625"</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八、</w:t>
      </w:r>
      <w:r>
        <w:fldChar w:fldCharType="begin"/>
      </w:r>
      <w:r>
        <w:instrText>Hyperlink \l "_Toc15396626"</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九、</w:t>
      </w:r>
      <w:r>
        <w:fldChar w:fldCharType="begin"/>
      </w:r>
      <w:r>
        <w:instrText>Hyperlink \l "_Toc15396627"</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w:t>
      </w:r>
      <w:r>
        <w:fldChar w:fldCharType="begin"/>
      </w:r>
      <w:r>
        <w:instrText>Hyperlink \l "_Toc15396628"</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Hyperlink \l "_Toc15396629"</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Hyperlink \l "_Toc15396630"</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pStyle w:val="21"/>
        <w:tabs>
          <w:tab w:val="right" w:leader="dot" w:pos="8296"/>
        </w:tabs>
        <w:rPr>
          <w:rFonts w:ascii="仿宋" w:eastAsia="仿宋" w:cs="Arial"/>
          <w:sz w:val="24"/>
        </w:rPr>
      </w:pPr>
      <w:r>
        <w:rPr>
          <w:rFonts w:ascii="仿宋" w:eastAsia="仿宋" w:hint="eastAsia"/>
          <w:sz w:val="28"/>
          <w:szCs w:val="28"/>
        </w:rPr>
        <w:t>十三、</w:t>
      </w:r>
      <w:r>
        <w:fldChar w:fldCharType="begin"/>
      </w:r>
      <w:r>
        <w:instrText>Hyperlink \l "_Toc15396631"</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3" w:name="_Toc15377196"/>
      <w:bookmarkStart w:id="14" w:name="_Toc15396599"/>
      <w:r>
        <w:rPr>
          <w:rFonts w:ascii="黑体" w:eastAsia="黑体"/>
          <w:b/>
        </w:rPr>
        <w:br w:type="page"/>
      </w:r>
    </w:p>
    <w:p>
      <w:pPr>
        <w:pStyle w:val="1"/>
        <w:jc w:val="center"/>
        <w:rPr>
          <w:rStyle w:val="1Char"/>
          <w:rFonts w:ascii="黑体" w:eastAsia="黑体"/>
          <w:b/>
        </w:rPr>
      </w:pPr>
      <w:r>
        <w:rPr>
          <w:rFonts w:ascii="黑体" w:eastAsia="黑体" w:hint="eastAsia"/>
          <w:b w:val="0"/>
        </w:rPr>
        <w:t xml:space="preserve">第一部分 </w:t>
      </w:r>
      <w:r>
        <w:rPr>
          <w:rStyle w:val="1Char"/>
          <w:rFonts w:ascii="黑体" w:eastAsia="黑体" w:hint="eastAsia"/>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rPr>
      </w:pPr>
      <w:bookmarkStart w:id="15" w:name="_Toc15396600"/>
      <w:bookmarkStart w:id="16" w:name="_Toc15377197"/>
      <w:r>
        <w:rPr>
          <w:rFonts w:ascii="黑体" w:eastAsia="黑体" w:hint="eastAsia"/>
          <w:b w:val="0"/>
          <w:color w:val="000000"/>
        </w:rPr>
        <w:t>一、基</w:t>
      </w:r>
      <w:r>
        <w:rPr>
          <w:rStyle w:val="2Char"/>
          <w:rFonts w:ascii="黑体" w:eastAsia="黑体" w:hint="eastAsia"/>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7" w:name="_Toc15378445"/>
      <w:bookmarkStart w:id="18" w:name="_Toc15377198"/>
      <w:r>
        <w:rPr>
          <w:rFonts w:ascii="仿宋" w:eastAsia="仿宋" w:hint="eastAsia"/>
          <w:bCs/>
          <w:color w:val="000000"/>
          <w:sz w:val="32"/>
          <w:szCs w:val="32"/>
        </w:rPr>
        <w:t>（一）主要职能。</w:t>
      </w:r>
      <w:bookmarkEnd w:id="17"/>
      <w:bookmarkEnd w:id="18"/>
    </w:p>
    <w:p>
      <w:pPr>
        <w:pStyle w:val="15"/>
        <w:adjustRightInd w:val="0"/>
        <w:snapToGrid w:val="0"/>
        <w:spacing w:beforeLines="0" w:before="93" w:line="600" w:lineRule="exact"/>
        <w:ind w:firstLineChars="209" w:firstLine="672"/>
        <w:rPr>
          <w:bCs/>
          <w:color w:val="000000"/>
          <w:sz w:val="32"/>
          <w:szCs w:val="32"/>
        </w:rPr>
      </w:pPr>
      <w:r>
        <w:rPr>
          <w:rFonts w:hint="eastAsia"/>
          <w:sz w:val="32"/>
          <w:szCs w:val="32"/>
        </w:rPr>
        <w:t>渡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渡市镇经济发展、改善人民生活、保持农村社会稳定、偿还乡镇和村级债务、搞好场镇建设和加快新农村基础设施建设工作和脱贫攻坚工作。</w:t>
      </w:r>
    </w:p>
    <w:p>
      <w:pPr>
        <w:pStyle w:val="15"/>
        <w:adjustRightInd w:val="0"/>
        <w:snapToGrid w:val="0"/>
        <w:spacing w:beforeLines="0" w:before="93" w:line="600" w:lineRule="exact"/>
        <w:ind w:firstLineChars="200" w:firstLine="640"/>
        <w:outlineLvl w:val="2"/>
        <w:rPr>
          <w:rFonts w:ascii="仿宋" w:eastAsia="仿宋"/>
          <w:bCs/>
          <w:color w:val="000000"/>
          <w:sz w:val="32"/>
          <w:szCs w:val="32"/>
        </w:rPr>
      </w:pPr>
      <w:bookmarkStart w:id="19" w:name="_Toc15377199"/>
      <w:bookmarkStart w:id="20" w:name="_Toc15378446"/>
      <w:r>
        <w:rPr>
          <w:rFonts w:ascii="仿宋" w:eastAsia="仿宋" w:hint="eastAsia"/>
          <w:bCs/>
          <w:color w:val="000000"/>
          <w:sz w:val="32"/>
          <w:szCs w:val="32"/>
        </w:rPr>
        <w:t>（二）</w:t>
      </w:r>
      <w:r>
        <w:rPr>
          <w:rFonts w:ascii="仿宋" w:eastAsia="仿宋"/>
          <w:bCs/>
          <w:color w:val="000000"/>
          <w:sz w:val="32"/>
          <w:szCs w:val="32"/>
        </w:rPr>
        <w:t>201</w:t>
      </w:r>
      <w:r>
        <w:rPr>
          <w:rFonts w:ascii="仿宋" w:eastAsia="仿宋" w:hint="eastAsia"/>
          <w:bCs/>
          <w:color w:val="000000"/>
          <w:sz w:val="32"/>
          <w:szCs w:val="32"/>
        </w:rPr>
        <w:t>9年重点工作完成情况。</w:t>
      </w:r>
      <w:bookmarkEnd w:id="19"/>
      <w:bookmarkEnd w:id="20"/>
    </w:p>
    <w:p>
      <w:pPr>
        <w:pStyle w:val="22"/>
        <w:widowControl/>
        <w:shd w:val="clear" w:color="auto" w:fill="FFFFFF"/>
        <w:spacing w:before="0" w:beforeAutospacing="0" w:after="0" w:afterAutospacing="0" w:line="578" w:lineRule="exact"/>
        <w:ind w:firstLineChars="200" w:firstLine="640"/>
        <w:rPr>
          <w:rFonts w:ascii="Times New Roman" w:eastAsia="方正仿宋简体" w:cs="Times New Roman" w:hAnsi="Times New Roman"/>
          <w:color w:val="000000"/>
          <w:sz w:val="32"/>
          <w:szCs w:val="32"/>
        </w:rPr>
      </w:pPr>
      <w:r>
        <w:rPr>
          <w:rFonts w:ascii="Times New Roman" w:eastAsia="方正仿宋简体" w:cs="Times New Roman" w:hAnsi="Times New Roman"/>
          <w:kern w:val="0"/>
          <w:sz w:val="32"/>
          <w:szCs w:val="32"/>
        </w:rPr>
        <w:t>2</w:t>
      </w:r>
      <w:r>
        <w:rPr>
          <w:rFonts w:ascii="Times New Roman" w:eastAsia="方正仿宋简体" w:cs="Times New Roman" w:hAnsi="Times New Roman"/>
          <w:sz w:val="32"/>
          <w:szCs w:val="32"/>
        </w:rPr>
        <w:t>01</w:t>
      </w:r>
      <w:r>
        <w:rPr>
          <w:rFonts w:ascii="Times New Roman" w:eastAsia="方正仿宋简体" w:cs="Times New Roman" w:hAnsi="Times New Roman" w:hint="eastAsia"/>
          <w:sz w:val="32"/>
          <w:szCs w:val="32"/>
        </w:rPr>
        <w:t>9</w:t>
      </w:r>
      <w:r>
        <w:rPr>
          <w:rFonts w:ascii="Times New Roman" w:eastAsia="方正仿宋简体" w:cs="Times New Roman" w:hAnsi="Times New Roman"/>
          <w:sz w:val="32"/>
          <w:szCs w:val="32"/>
        </w:rPr>
        <w:t>年，在区委、区政府的正确领导下，</w:t>
      </w:r>
      <w:r>
        <w:rPr>
          <w:rFonts w:ascii="Times New Roman" w:eastAsia="方正仿宋简体" w:cs="Times New Roman" w:hAnsi="Times New Roman"/>
          <w:color w:val="000000"/>
          <w:sz w:val="32"/>
          <w:szCs w:val="32"/>
        </w:rPr>
        <w:t>高举中国特色社会主义伟大旗帜，以习近平新时代中国特色社会主义思想为指导，全面深入贯彻落实党的十九大精神，坚定按照省委十一届</w:t>
      </w:r>
      <w:r>
        <w:rPr>
          <w:rFonts w:ascii="Times New Roman" w:eastAsia="方正仿宋简体" w:cs="Times New Roman" w:hAnsi="Times New Roman" w:hint="eastAsia"/>
          <w:color w:val="000000"/>
          <w:sz w:val="32"/>
          <w:szCs w:val="32"/>
        </w:rPr>
        <w:t>三</w:t>
      </w:r>
      <w:r>
        <w:rPr>
          <w:rFonts w:ascii="Times New Roman" w:eastAsia="方正仿宋简体" w:cs="Times New Roman" w:hAnsi="Times New Roman"/>
          <w:color w:val="000000"/>
          <w:sz w:val="32"/>
          <w:szCs w:val="32"/>
        </w:rPr>
        <w:t>次全会、市委四届</w:t>
      </w:r>
      <w:r>
        <w:rPr>
          <w:rFonts w:ascii="Times New Roman" w:eastAsia="方正仿宋简体" w:cs="Times New Roman" w:hAnsi="Times New Roman" w:hint="eastAsia"/>
          <w:color w:val="000000"/>
          <w:sz w:val="32"/>
          <w:szCs w:val="32"/>
        </w:rPr>
        <w:t>六</w:t>
      </w:r>
      <w:r>
        <w:rPr>
          <w:rFonts w:ascii="Times New Roman" w:eastAsia="方正仿宋简体" w:cs="Times New Roman" w:hAnsi="Times New Roman"/>
          <w:color w:val="000000"/>
          <w:sz w:val="32"/>
          <w:szCs w:val="32"/>
        </w:rPr>
        <w:t>次全会、区二届</w:t>
      </w:r>
      <w:r>
        <w:rPr>
          <w:rFonts w:ascii="Times New Roman" w:eastAsia="方正仿宋简体" w:cs="Times New Roman" w:hAnsi="Times New Roman" w:hint="eastAsia"/>
          <w:color w:val="000000"/>
          <w:sz w:val="32"/>
          <w:szCs w:val="32"/>
        </w:rPr>
        <w:t>二</w:t>
      </w:r>
      <w:r>
        <w:rPr>
          <w:rFonts w:ascii="Times New Roman" w:eastAsia="方正仿宋简体" w:cs="Times New Roman" w:hAnsi="Times New Roman"/>
          <w:color w:val="000000"/>
          <w:sz w:val="32"/>
          <w:szCs w:val="32"/>
        </w:rPr>
        <w:t>次</w:t>
      </w:r>
      <w:r>
        <w:rPr>
          <w:rFonts w:ascii="Times New Roman" w:eastAsia="方正仿宋简体" w:cs="Times New Roman" w:hAnsi="Times New Roman" w:hint="eastAsia"/>
          <w:color w:val="000000"/>
          <w:sz w:val="32"/>
          <w:szCs w:val="32"/>
        </w:rPr>
        <w:t>党代会</w:t>
      </w:r>
      <w:r>
        <w:rPr>
          <w:rFonts w:ascii="Times New Roman" w:eastAsia="方正仿宋简体" w:cs="Times New Roman" w:hAnsi="Times New Roman"/>
          <w:color w:val="000000"/>
          <w:sz w:val="32"/>
          <w:szCs w:val="32"/>
        </w:rPr>
        <w:t>、三次党代会决策部署，认真落实镇党委</w:t>
      </w:r>
      <w:r>
        <w:rPr>
          <w:rFonts w:ascii="Times New Roman" w:eastAsia="方正仿宋简体" w:cs="Times New Roman" w:hAnsi="Times New Roman" w:hint="eastAsia"/>
          <w:color w:val="000000"/>
          <w:sz w:val="32"/>
          <w:szCs w:val="32"/>
        </w:rPr>
        <w:t>“12345”</w:t>
      </w:r>
      <w:r>
        <w:rPr>
          <w:rFonts w:ascii="Times New Roman" w:eastAsia="方正仿宋简体" w:cs="Times New Roman" w:hAnsi="Times New Roman"/>
          <w:color w:val="000000"/>
          <w:sz w:val="32"/>
          <w:szCs w:val="32"/>
        </w:rPr>
        <w:t>总体部署</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坚持</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各项工作创一流、多项工作争第一</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的工作基调，</w:t>
      </w:r>
      <w:r>
        <w:rPr>
          <w:rFonts w:ascii="Times New Roman" w:eastAsia="方正仿宋简体" w:cs="Times New Roman" w:hAnsi="Times New Roman" w:hint="eastAsia"/>
          <w:b/>
          <w:bCs/>
          <w:color w:val="000000"/>
          <w:sz w:val="32"/>
          <w:szCs w:val="32"/>
        </w:rPr>
        <w:t>一是</w:t>
      </w:r>
      <w:r>
        <w:rPr>
          <w:rFonts w:ascii="方正黑体简体" w:eastAsia="方正黑体简体" w:cs="方正黑体简体" w:hint="eastAsia"/>
          <w:b/>
          <w:bCs/>
          <w:color w:val="000000"/>
          <w:sz w:val="32"/>
          <w:szCs w:val="32"/>
        </w:rPr>
        <w:t>攻坚克难、打好脱贫奔康大决战。</w:t>
      </w:r>
      <w:r>
        <w:rPr>
          <w:rFonts w:ascii="Times New Roman" w:eastAsia="方正仿宋简体" w:cs="Times New Roman" w:hAnsi="Times New Roman"/>
          <w:color w:val="000000"/>
          <w:sz w:val="32"/>
          <w:szCs w:val="32"/>
        </w:rPr>
        <w:t>充分发挥镇脱贫攻坚前线指挥部领军作用，落实贫困村“5+2”、非贫困村“3+2”驻村帮扶机制，构建各司其职、合力攻坚的责任体系。</w:t>
      </w:r>
      <w:r>
        <w:rPr>
          <w:rFonts w:ascii="Times New Roman" w:eastAsia="方正仿宋简体" w:cs="Times New Roman" w:hAnsi="Times New Roman" w:hint="eastAsia"/>
          <w:color w:val="000000"/>
          <w:sz w:val="32"/>
          <w:szCs w:val="32"/>
        </w:rPr>
        <w:t>2018年全镇</w:t>
      </w:r>
      <w:r>
        <w:rPr>
          <w:rFonts w:ascii="Times New Roman" w:eastAsia="方正仿宋简体" w:cs="Times New Roman" w:hAnsi="Times New Roman"/>
          <w:color w:val="000000"/>
          <w:sz w:val="32"/>
          <w:szCs w:val="32"/>
        </w:rPr>
        <w:t>确保脱贫59户166人，巩固脱贫696户2164人，贫困发生率下降到0.6%。对标贫困县“一低三有”、贫困村“一低五有”和贫困户“一超六有</w:t>
      </w:r>
      <w:r>
        <w:rPr>
          <w:rFonts w:eastAsia="方正仿宋简体" w:cs="Times New Roman" w:hint="eastAsia"/>
          <w:color w:val="000000"/>
          <w:sz w:val="32"/>
          <w:szCs w:val="32"/>
        </w:rPr>
        <w:t>。</w:t>
      </w:r>
      <w:r>
        <w:rPr>
          <w:rFonts w:eastAsia="方正仿宋简体" w:cs="Times New Roman" w:hint="eastAsia"/>
          <w:b/>
          <w:bCs/>
          <w:color w:val="000000"/>
          <w:sz w:val="32"/>
          <w:szCs w:val="32"/>
        </w:rPr>
        <w:t>二是</w:t>
      </w:r>
      <w:r>
        <w:rPr>
          <w:rFonts w:ascii="方正黑体简体" w:eastAsia="方正黑体简体" w:cs="方正黑体简体" w:hint="eastAsia"/>
          <w:b/>
          <w:bCs/>
          <w:color w:val="000000"/>
          <w:sz w:val="32"/>
          <w:szCs w:val="32"/>
        </w:rPr>
        <w:t>务实高效、打好产业发展大决战。</w:t>
      </w:r>
      <w:r>
        <w:rPr>
          <w:rFonts w:ascii="Times New Roman" w:eastAsia="方正仿宋简体" w:cs="Times New Roman" w:hAnsi="Times New Roman"/>
          <w:color w:val="000000"/>
          <w:sz w:val="32"/>
          <w:szCs w:val="32"/>
        </w:rPr>
        <w:t>实施乡村振兴战略，坚持示范引领，抓好青花椒、柑橘等农产品</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创建新产业新业态示范区</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以南岩等四个贫困村为中心，高标准建成5000亩柑橘产业园</w:t>
      </w:r>
      <w:r>
        <w:rPr>
          <w:rFonts w:ascii="Times New Roman" w:eastAsia="方正仿宋简体" w:cs="Times New Roman" w:hAnsi="Times New Roman" w:hint="eastAsia"/>
          <w:color w:val="000000"/>
          <w:sz w:val="32"/>
          <w:szCs w:val="32"/>
        </w:rPr>
        <w:t>；成立青花椒发展领导小组统筹渡市镇青花椒发展，规划</w:t>
      </w:r>
      <w:r>
        <w:rPr>
          <w:rFonts w:ascii="Times New Roman" w:eastAsia="方正仿宋简体" w:cs="Times New Roman" w:hAnsi="Times New Roman"/>
          <w:color w:val="000000"/>
          <w:sz w:val="32"/>
          <w:szCs w:val="32"/>
        </w:rPr>
        <w:t>以西兴、水口</w:t>
      </w:r>
      <w:r>
        <w:rPr>
          <w:rFonts w:ascii="Times New Roman" w:eastAsia="方正仿宋简体" w:cs="Times New Roman" w:hAnsi="Times New Roman" w:hint="eastAsia"/>
          <w:color w:val="000000"/>
          <w:sz w:val="32"/>
          <w:szCs w:val="32"/>
        </w:rPr>
        <w:t>庙</w:t>
      </w:r>
      <w:r>
        <w:rPr>
          <w:rFonts w:ascii="Times New Roman" w:eastAsia="方正仿宋简体" w:cs="Times New Roman" w:hAnsi="Times New Roman"/>
          <w:color w:val="000000"/>
          <w:sz w:val="32"/>
          <w:szCs w:val="32"/>
        </w:rPr>
        <w:t>、白腊坪、龙镇为中心发展万亩青花椒产业园</w:t>
      </w:r>
      <w:r>
        <w:rPr>
          <w:rFonts w:ascii="Times New Roman" w:eastAsia="方正仿宋简体" w:cs="Times New Roman" w:hAnsi="Times New Roman" w:hint="eastAsia"/>
          <w:color w:val="000000"/>
          <w:sz w:val="32"/>
          <w:szCs w:val="32"/>
        </w:rPr>
        <w:t>，目前全镇已发展青花椒3600亩；</w:t>
      </w:r>
      <w:r>
        <w:rPr>
          <w:rFonts w:ascii="Times New Roman" w:eastAsia="方正仿宋简体" w:cs="Times New Roman" w:hAnsi="Times New Roman"/>
          <w:color w:val="000000"/>
          <w:sz w:val="32"/>
          <w:szCs w:val="32"/>
        </w:rPr>
        <w:t>以天王牧业为龙头发展万头生猪养殖园</w:t>
      </w:r>
      <w:r>
        <w:rPr>
          <w:rFonts w:ascii="Times New Roman" w:eastAsia="方正仿宋简体" w:cs="Times New Roman" w:hAnsi="Times New Roman" w:hint="eastAsia"/>
          <w:color w:val="000000"/>
          <w:sz w:val="32"/>
          <w:szCs w:val="32"/>
        </w:rPr>
        <w:t>；以高均坪村为中心的千亩特色产业带，目前已发展有油牡丹等500亩，莲藕100亩，特色养殖150亩</w:t>
      </w:r>
      <w:r>
        <w:rPr>
          <w:rFonts w:ascii="Times New Roman" w:eastAsia="方正仿宋简体" w:cs="Times New Roman" w:hAnsi="Times New Roman"/>
          <w:color w:val="000000"/>
          <w:sz w:val="32"/>
          <w:szCs w:val="32"/>
        </w:rPr>
        <w:t>。</w:t>
      </w:r>
      <w:r>
        <w:rPr>
          <w:rFonts w:eastAsia="方正仿宋简体" w:cs="Times New Roman" w:hint="eastAsia"/>
          <w:b/>
          <w:bCs/>
          <w:color w:val="000000"/>
          <w:sz w:val="32"/>
          <w:szCs w:val="32"/>
        </w:rPr>
        <w:t>三是</w:t>
      </w:r>
      <w:r>
        <w:rPr>
          <w:rFonts w:ascii="方正黑体简体" w:eastAsia="方正黑体简体" w:cs="方正黑体简体" w:hint="eastAsia"/>
          <w:b/>
          <w:bCs/>
          <w:color w:val="000000"/>
          <w:sz w:val="32"/>
          <w:szCs w:val="32"/>
        </w:rPr>
        <w:t>聚焦聚力、打好项目建设攻坚战。</w:t>
      </w:r>
      <w:r>
        <w:rPr>
          <w:rFonts w:ascii="方正楷体简体" w:eastAsia="方正楷体简体" w:cs="方正楷体简体" w:hint="eastAsia"/>
          <w:color w:val="000000"/>
          <w:sz w:val="32"/>
          <w:szCs w:val="32"/>
        </w:rPr>
        <w:t>（一）是积极推进水利等基础设施建设</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整治病险水库1座，清淤河流、渠道2.8公里。实施土地整理项目1个以上，推进双挂钩项目</w:t>
      </w:r>
      <w:r>
        <w:rPr>
          <w:rFonts w:ascii="Times New Roman" w:eastAsia="方正仿宋简体" w:cs="Times New Roman" w:hAnsi="Times New Roman" w:hint="eastAsia"/>
          <w:color w:val="000000"/>
          <w:sz w:val="32"/>
          <w:szCs w:val="32"/>
        </w:rPr>
        <w:t>正顺利推进中</w:t>
      </w:r>
      <w:r>
        <w:rPr>
          <w:rFonts w:ascii="Times New Roman" w:eastAsia="方正仿宋简体" w:cs="Times New Roman" w:hAnsi="Times New Roman"/>
          <w:color w:val="000000"/>
          <w:sz w:val="32"/>
          <w:szCs w:val="32"/>
        </w:rPr>
        <w:t>，</w:t>
      </w:r>
      <w:r>
        <w:rPr>
          <w:rFonts w:ascii="Times New Roman" w:eastAsia="方正仿宋简体" w:cs="Times New Roman" w:hAnsi="Times New Roman" w:hint="eastAsia"/>
          <w:color w:val="000000"/>
          <w:sz w:val="32"/>
          <w:szCs w:val="32"/>
        </w:rPr>
        <w:t>预计可</w:t>
      </w:r>
      <w:r>
        <w:rPr>
          <w:rFonts w:ascii="Times New Roman" w:eastAsia="方正仿宋简体" w:cs="Times New Roman" w:hAnsi="Times New Roman"/>
          <w:color w:val="000000"/>
          <w:sz w:val="32"/>
          <w:szCs w:val="32"/>
        </w:rPr>
        <w:t>新增建设用地指标700余亩。</w:t>
      </w:r>
      <w:r>
        <w:rPr>
          <w:rFonts w:ascii="方正楷体简体" w:eastAsia="方正楷体简体" w:cs="方正楷体简体" w:hint="eastAsia"/>
          <w:color w:val="000000"/>
          <w:sz w:val="32"/>
          <w:szCs w:val="32"/>
        </w:rPr>
        <w:t>（二）是持续推进场镇建设。</w:t>
      </w:r>
      <w:r>
        <w:rPr>
          <w:rFonts w:ascii="Times New Roman" w:eastAsia="方正仿宋简体" w:cs="Times New Roman" w:hAnsi="Times New Roman"/>
          <w:color w:val="000000"/>
          <w:sz w:val="32"/>
          <w:szCs w:val="32"/>
        </w:rPr>
        <w:t>2018年全镇新增路灯100余盏</w:t>
      </w:r>
      <w:r>
        <w:rPr>
          <w:rFonts w:ascii="Times New Roman" w:eastAsia="方正仿宋简体" w:cs="Times New Roman" w:hAnsi="Times New Roman" w:hint="eastAsia"/>
          <w:color w:val="000000"/>
          <w:sz w:val="32"/>
          <w:szCs w:val="32"/>
        </w:rPr>
        <w:t>，打通新建镇中心医院至新建供电所连接路，拉大了场镇建设框架，整治街面200米。</w:t>
      </w:r>
      <w:r>
        <w:rPr>
          <w:rFonts w:ascii="Times New Roman" w:eastAsia="方正仿宋简体" w:cs="Times New Roman" w:hAnsi="Times New Roman" w:hint="eastAsia"/>
          <w:b/>
          <w:bCs/>
          <w:color w:val="000000"/>
          <w:sz w:val="32"/>
          <w:szCs w:val="32"/>
        </w:rPr>
        <w:t>四是</w:t>
      </w:r>
      <w:r>
        <w:rPr>
          <w:rFonts w:ascii="方正黑体简体" w:eastAsia="方正黑体简体" w:cs="方正黑体简体" w:hint="eastAsia"/>
          <w:b/>
          <w:bCs/>
          <w:color w:val="000000"/>
          <w:sz w:val="32"/>
          <w:szCs w:val="32"/>
        </w:rPr>
        <w:t>民生共享、打好文旅繁荣攻坚战。</w:t>
      </w:r>
      <w:r>
        <w:rPr>
          <w:rFonts w:eastAsia="方正仿宋简体"/>
          <w:sz w:val="32"/>
          <w:szCs w:val="32"/>
        </w:rPr>
        <w:t>大力实施文化靓镇工程，努力提升人民群众精神文明水平。注重文化科技下村活动，充分发挥各村（社区）农家书屋作用，健全管理制度，组织科技、文化、法律知识下村活动4次，免费放映公益电影</w:t>
      </w:r>
      <w:r>
        <w:rPr>
          <w:rFonts w:ascii="Times New Roman" w:eastAsia="方正仿宋简体" w:cs="Times New Roman" w:hAnsi="Times New Roman"/>
          <w:sz w:val="32"/>
          <w:szCs w:val="32"/>
        </w:rPr>
        <w:t>80</w:t>
      </w:r>
      <w:r>
        <w:rPr>
          <w:rFonts w:eastAsia="方正仿宋简体"/>
          <w:sz w:val="32"/>
          <w:szCs w:val="32"/>
        </w:rPr>
        <w:t>场</w:t>
      </w:r>
      <w:r>
        <w:rPr>
          <w:rFonts w:eastAsia="方正仿宋简体" w:hint="eastAsia"/>
          <w:sz w:val="32"/>
          <w:szCs w:val="32"/>
        </w:rPr>
        <w:t>。</w:t>
      </w:r>
      <w:r>
        <w:rPr>
          <w:rFonts w:ascii="Times New Roman" w:eastAsia="方正仿宋简体" w:cs="Times New Roman" w:hAnsi="Times New Roman"/>
          <w:color w:val="000000"/>
          <w:sz w:val="32"/>
          <w:szCs w:val="32"/>
        </w:rPr>
        <w:t>落实《十大民生救助制度》，提高救助实效</w:t>
      </w:r>
      <w:r>
        <w:rPr>
          <w:rFonts w:ascii="Times New Roman" w:eastAsia="方正仿宋简体" w:cs="Times New Roman" w:hAnsi="Times New Roman"/>
          <w:sz w:val="32"/>
          <w:szCs w:val="32"/>
        </w:rPr>
        <w:t>，</w:t>
      </w:r>
      <w:r>
        <w:rPr>
          <w:rFonts w:ascii="Times New Roman" w:eastAsia="方正仿宋简体" w:cs="Times New Roman" w:hAnsi="Times New Roman" w:hint="eastAsia"/>
          <w:sz w:val="32"/>
          <w:szCs w:val="32"/>
        </w:rPr>
        <w:t>全镇</w:t>
      </w:r>
      <w:r>
        <w:rPr>
          <w:rFonts w:ascii="Times New Roman" w:eastAsia="方正仿宋简体" w:cs="Times New Roman" w:hAnsi="Times New Roman"/>
          <w:sz w:val="32"/>
          <w:szCs w:val="32"/>
        </w:rPr>
        <w:t>办理了各类救助共计</w:t>
      </w:r>
      <w:r>
        <w:rPr>
          <w:rFonts w:ascii="Times New Roman" w:eastAsia="方正仿宋简体" w:cs="Times New Roman" w:hAnsi="Times New Roman" w:hint="eastAsia"/>
          <w:sz w:val="32"/>
          <w:szCs w:val="32"/>
        </w:rPr>
        <w:t>873</w:t>
      </w:r>
      <w:r>
        <w:rPr>
          <w:rFonts w:ascii="Times New Roman" w:eastAsia="方正仿宋简体" w:cs="Times New Roman" w:hAnsi="Times New Roman"/>
          <w:sz w:val="32"/>
          <w:szCs w:val="32"/>
        </w:rPr>
        <w:t>余万元，</w:t>
      </w:r>
      <w:r>
        <w:rPr>
          <w:rFonts w:ascii="Times New Roman" w:eastAsia="方正仿宋简体" w:cs="Times New Roman" w:hAnsi="Times New Roman" w:hint="eastAsia"/>
          <w:sz w:val="32"/>
          <w:szCs w:val="32"/>
        </w:rPr>
        <w:t>惠及3689人次，其中</w:t>
      </w:r>
      <w:r>
        <w:rPr>
          <w:rFonts w:ascii="Times New Roman" w:eastAsia="方正仿宋简体" w:cs="Times New Roman" w:hAnsi="Times New Roman"/>
          <w:sz w:val="32"/>
          <w:szCs w:val="32"/>
        </w:rPr>
        <w:t>重新审定低保</w:t>
      </w:r>
      <w:r>
        <w:rPr>
          <w:rFonts w:ascii="Times New Roman" w:eastAsia="方正仿宋简体" w:cs="Times New Roman" w:hAnsi="Times New Roman" w:hint="eastAsia"/>
          <w:sz w:val="32"/>
          <w:szCs w:val="32"/>
        </w:rPr>
        <w:t>2321</w:t>
      </w:r>
      <w:r>
        <w:rPr>
          <w:rFonts w:ascii="Times New Roman" w:eastAsia="方正仿宋简体" w:cs="Times New Roman" w:hAnsi="Times New Roman"/>
          <w:sz w:val="32"/>
          <w:szCs w:val="32"/>
        </w:rPr>
        <w:t>人</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sz w:val="32"/>
          <w:szCs w:val="32"/>
        </w:rPr>
        <w:t>解决了</w:t>
      </w:r>
      <w:r>
        <w:rPr>
          <w:rFonts w:ascii="Times New Roman" w:eastAsia="方正仿宋简体" w:cs="Times New Roman" w:hAnsi="Times New Roman" w:hint="eastAsia"/>
          <w:sz w:val="32"/>
          <w:szCs w:val="32"/>
        </w:rPr>
        <w:t>34</w:t>
      </w:r>
      <w:r>
        <w:rPr>
          <w:rFonts w:ascii="Times New Roman" w:eastAsia="方正仿宋简体" w:cs="Times New Roman" w:hAnsi="Times New Roman"/>
          <w:sz w:val="32"/>
          <w:szCs w:val="32"/>
        </w:rPr>
        <w:t>名精神病患者免费住院康复治疗</w:t>
      </w:r>
      <w:r>
        <w:rPr>
          <w:rFonts w:ascii="Times New Roman" w:eastAsia="方正仿宋简体" w:cs="Times New Roman" w:hAnsi="Times New Roman" w:hint="eastAsia"/>
          <w:sz w:val="32"/>
          <w:szCs w:val="32"/>
        </w:rPr>
        <w:t>或服药救助</w:t>
      </w:r>
      <w:r>
        <w:rPr>
          <w:rFonts w:ascii="Times New Roman" w:eastAsia="方正仿宋简体" w:cs="Times New Roman" w:hAnsi="Times New Roman"/>
          <w:sz w:val="32"/>
          <w:szCs w:val="32"/>
        </w:rPr>
        <w:t>，解决残疾人重度补贴</w:t>
      </w:r>
      <w:r>
        <w:rPr>
          <w:rFonts w:ascii="Times New Roman" w:eastAsia="方正仿宋简体" w:cs="Times New Roman" w:hAnsi="Times New Roman" w:hint="eastAsia"/>
          <w:sz w:val="32"/>
          <w:szCs w:val="32"/>
        </w:rPr>
        <w:t>252</w:t>
      </w:r>
      <w:r>
        <w:rPr>
          <w:rFonts w:ascii="Times New Roman" w:eastAsia="方正仿宋简体" w:cs="Times New Roman" w:hAnsi="Times New Roman"/>
          <w:sz w:val="32"/>
          <w:szCs w:val="32"/>
        </w:rPr>
        <w:t>人、</w:t>
      </w:r>
      <w:r>
        <w:rPr>
          <w:rFonts w:ascii="Times New Roman" w:eastAsia="方正仿宋简体" w:cs="Times New Roman" w:hAnsi="Times New Roman" w:hint="eastAsia"/>
          <w:sz w:val="32"/>
          <w:szCs w:val="32"/>
        </w:rPr>
        <w:t>其他残疾救助28人次；</w:t>
      </w:r>
      <w:r>
        <w:rPr>
          <w:rFonts w:ascii="Times New Roman" w:eastAsia="方正仿宋简体" w:cs="Times New Roman" w:hAnsi="Times New Roman"/>
          <w:color w:val="000000"/>
          <w:sz w:val="32"/>
          <w:szCs w:val="32"/>
        </w:rPr>
        <w:t>医疗保险分别覆盖</w:t>
      </w:r>
      <w:r>
        <w:rPr>
          <w:rFonts w:ascii="Times New Roman" w:eastAsia="方正仿宋简体" w:cs="Times New Roman" w:hAnsi="Times New Roman" w:hint="eastAsia"/>
          <w:color w:val="000000"/>
          <w:sz w:val="32"/>
          <w:szCs w:val="32"/>
        </w:rPr>
        <w:t>达</w:t>
      </w:r>
      <w:r>
        <w:rPr>
          <w:rFonts w:ascii="Times New Roman" w:eastAsia="方正仿宋简体" w:cs="Times New Roman" w:hAnsi="Times New Roman"/>
          <w:color w:val="000000"/>
          <w:sz w:val="32"/>
          <w:szCs w:val="32"/>
        </w:rPr>
        <w:t>26500余人</w:t>
      </w:r>
      <w:r>
        <w:rPr>
          <w:rFonts w:ascii="Times New Roman" w:eastAsia="方正仿宋简体" w:cs="Times New Roman" w:hAnsi="Times New Roman" w:hint="eastAsia"/>
          <w:b/>
          <w:bCs/>
          <w:color w:val="000000"/>
          <w:sz w:val="32"/>
          <w:szCs w:val="32"/>
        </w:rPr>
        <w:t>。五是</w:t>
      </w:r>
      <w:r>
        <w:rPr>
          <w:rFonts w:ascii="方正黑体简体" w:eastAsia="方正黑体简体" w:cs="方正黑体简体" w:hint="eastAsia"/>
          <w:b/>
          <w:bCs/>
          <w:color w:val="000000"/>
          <w:sz w:val="32"/>
          <w:szCs w:val="32"/>
        </w:rPr>
        <w:t>绿色低碳，打好环保攻坚战。</w:t>
      </w:r>
      <w:r>
        <w:rPr>
          <w:rFonts w:ascii="方正楷体简体" w:eastAsia="方正楷体简体" w:cs="方正楷体简体" w:hint="eastAsia"/>
          <w:color w:val="000000"/>
          <w:sz w:val="32"/>
          <w:szCs w:val="32"/>
        </w:rPr>
        <w:t>实施“蓝天”工程，开展“环境治理攻坚年”活动。</w:t>
      </w:r>
      <w:r>
        <w:rPr>
          <w:rFonts w:ascii="方正仿宋简体" w:eastAsia="方正仿宋简体" w:cs="方正仿宋简体" w:hint="eastAsia"/>
          <w:color w:val="000000"/>
          <w:sz w:val="32"/>
          <w:szCs w:val="32"/>
        </w:rPr>
        <w:t>全镇</w:t>
      </w:r>
      <w:r>
        <w:rPr>
          <w:rFonts w:ascii="Times New Roman" w:eastAsia="方正仿宋简体" w:cs="Times New Roman" w:hAnsi="Times New Roman"/>
          <w:color w:val="000000"/>
          <w:sz w:val="32"/>
          <w:szCs w:val="32"/>
        </w:rPr>
        <w:t>共有</w:t>
      </w:r>
      <w:r>
        <w:rPr>
          <w:rFonts w:ascii="Times New Roman" w:eastAsia="方正仿宋简体" w:cs="Times New Roman" w:hAnsi="Times New Roman" w:hint="eastAsia"/>
          <w:color w:val="000000"/>
          <w:sz w:val="32"/>
          <w:szCs w:val="32"/>
        </w:rPr>
        <w:t>对</w:t>
      </w:r>
      <w:r>
        <w:rPr>
          <w:rFonts w:ascii="Times New Roman" w:eastAsia="方正仿宋简体" w:cs="Times New Roman" w:hAnsi="Times New Roman"/>
          <w:color w:val="000000"/>
          <w:sz w:val="32"/>
          <w:szCs w:val="32"/>
        </w:rPr>
        <w:t>5家中小型企业、“散、乱、污”企业10家、养殖场11家</w:t>
      </w:r>
      <w:r>
        <w:rPr>
          <w:rFonts w:ascii="Times New Roman" w:eastAsia="方正仿宋简体" w:cs="Times New Roman" w:hAnsi="Times New Roman" w:hint="eastAsia"/>
          <w:color w:val="000000"/>
          <w:sz w:val="32"/>
          <w:szCs w:val="32"/>
        </w:rPr>
        <w:t>实施了环保</w:t>
      </w:r>
      <w:r>
        <w:rPr>
          <w:rFonts w:ascii="Times New Roman" w:eastAsia="方正仿宋简体" w:cs="Times New Roman" w:hAnsi="Times New Roman"/>
          <w:color w:val="000000"/>
          <w:sz w:val="32"/>
          <w:szCs w:val="32"/>
        </w:rPr>
        <w:t>整改，</w:t>
      </w:r>
      <w:r>
        <w:rPr>
          <w:rFonts w:ascii="方正仿宋简体" w:eastAsia="方正仿宋简体" w:cs="方正仿宋简体" w:hint="eastAsia"/>
          <w:color w:val="000000"/>
          <w:sz w:val="32"/>
          <w:szCs w:val="32"/>
        </w:rPr>
        <w:t>共关停</w:t>
      </w:r>
      <w:r>
        <w:rPr>
          <w:rFonts w:ascii="Times New Roman" w:eastAsia="方正仿宋简体" w:cs="Times New Roman" w:hAnsi="Times New Roman"/>
          <w:color w:val="000000"/>
          <w:sz w:val="32"/>
          <w:szCs w:val="32"/>
        </w:rPr>
        <w:t>4</w:t>
      </w:r>
      <w:r>
        <w:rPr>
          <w:rFonts w:ascii="方正仿宋简体" w:eastAsia="方正仿宋简体" w:cs="方正仿宋简体" w:hint="eastAsia"/>
          <w:color w:val="000000"/>
          <w:sz w:val="32"/>
          <w:szCs w:val="32"/>
        </w:rPr>
        <w:t>家各型企业或养殖场，</w:t>
      </w:r>
      <w:r>
        <w:rPr>
          <w:rFonts w:ascii="Times New Roman" w:eastAsia="方正仿宋简体" w:cs="Times New Roman" w:hAnsi="Times New Roman"/>
          <w:color w:val="000000"/>
          <w:sz w:val="32"/>
          <w:szCs w:val="32"/>
        </w:rPr>
        <w:t>整治了3处入河排污</w:t>
      </w:r>
      <w:r>
        <w:rPr>
          <w:rFonts w:ascii="方正仿宋简体" w:eastAsia="方正仿宋简体" w:cs="方正仿宋简体" w:hint="eastAsia"/>
          <w:color w:val="000000"/>
          <w:sz w:val="32"/>
          <w:szCs w:val="32"/>
        </w:rPr>
        <w:t>口，污水处理厂建设工程正加紧推进中</w:t>
      </w:r>
      <w:r>
        <w:rPr>
          <w:rFonts w:ascii="方正楷体简体" w:eastAsia="方正楷体简体" w:cs="方正楷体简体" w:hint="eastAsia"/>
          <w:color w:val="000000"/>
          <w:sz w:val="32"/>
          <w:szCs w:val="32"/>
        </w:rPr>
        <w:t>。</w:t>
      </w:r>
      <w:r>
        <w:rPr>
          <w:rFonts w:ascii="Times New Roman" w:eastAsia="方正仿宋简体" w:cs="Times New Roman" w:hAnsi="Times New Roman" w:hint="eastAsia"/>
          <w:color w:val="000000"/>
          <w:sz w:val="32"/>
          <w:szCs w:val="32"/>
        </w:rPr>
        <w:t>全面加强河长制工作，镇村两级河长共巡河400余次，共清理河道垃圾100余次，清理河道30余公里，全面推进“清四乱”工程，在全镇范围内每月开展1次“清四乱”专项巡查，全面落实河库（堰坝）“清水工程”，在全镇范围内开展了肥水养鱼专项整治行动，目前全镇没发现有</w:t>
      </w:r>
      <w:r>
        <w:rPr>
          <w:rFonts w:ascii="方正仿宋简体" w:eastAsia="方正仿宋简体" w:cs="方正仿宋简体" w:hint="eastAsia"/>
          <w:color w:val="000000"/>
          <w:sz w:val="32"/>
          <w:szCs w:val="32"/>
        </w:rPr>
        <w:t>Ⅳ类及以下水质的河流、塘库堰</w:t>
      </w:r>
      <w:r>
        <w:rPr>
          <w:rFonts w:ascii="Times New Roman" w:eastAsia="方正仿宋简体" w:cs="Times New Roman" w:hAnsi="Times New Roman" w:hint="eastAsia"/>
          <w:color w:val="000000"/>
          <w:sz w:val="32"/>
          <w:szCs w:val="32"/>
        </w:rPr>
        <w:t>；在全镇开展“四清六治”行动，100多公里的村社道路边沟杂草全部进行了清除，清理垃圾121处，治理乱摆乱放、乱搭乱建等21户。</w:t>
      </w:r>
      <w:r>
        <w:rPr>
          <w:rFonts w:ascii="Times New Roman" w:eastAsia="方正仿宋简体" w:cs="Times New Roman" w:hAnsi="Times New Roman"/>
          <w:color w:val="000000"/>
          <w:sz w:val="32"/>
          <w:szCs w:val="32"/>
        </w:rPr>
        <w:t>倡导绿色消费，追求低碳生活，宣传生态、绿色、环保理念，引导全社会形成尊重自然、节约资源、保护环境的良好风气。</w:t>
      </w:r>
    </w:p>
    <w:p>
      <w:pPr>
        <w:pStyle w:val="2"/>
        <w:rPr>
          <w:rStyle w:val="2Char"/>
          <w:color w:val="000000"/>
        </w:rPr>
      </w:pPr>
      <w:bookmarkStart w:id="21" w:name="_Toc15396601"/>
      <w:bookmarkStart w:id="22" w:name="_Toc15377200"/>
      <w:r>
        <w:rPr>
          <w:rFonts w:ascii="黑体" w:eastAsia="黑体" w:hint="eastAsia"/>
          <w:b w:val="0"/>
          <w:color w:val="000000"/>
        </w:rPr>
        <w:t>二、机</w:t>
      </w:r>
      <w:r>
        <w:rPr>
          <w:rStyle w:val="2Char"/>
          <w:rFonts w:ascii="黑体" w:eastAsia="黑体" w:hint="eastAsia"/>
          <w:color w:val="000000"/>
        </w:rPr>
        <w:t>构设置</w:t>
      </w:r>
      <w:bookmarkEnd w:id="21"/>
      <w:bookmarkEnd w:id="22"/>
    </w:p>
    <w:p>
      <w:pPr>
        <w:pStyle w:val="15"/>
        <w:adjustRightInd w:val="0"/>
        <w:snapToGrid w:val="0"/>
        <w:spacing w:beforeLines="0" w:before="93" w:line="578" w:lineRule="exact"/>
        <w:ind w:firstLineChars="209" w:firstLine="672"/>
        <w:rPr>
          <w:sz w:val="32"/>
          <w:szCs w:val="32"/>
        </w:rPr>
      </w:pPr>
      <w:r>
        <w:rPr>
          <w:rFonts w:hint="eastAsia"/>
          <w:color w:val="000000"/>
          <w:sz w:val="32"/>
          <w:szCs w:val="32"/>
        </w:rPr>
        <w:t>渡市镇纳入一级决算单位5个，其中行政单位1个，其他事业单位4个。</w:t>
      </w:r>
      <w:r>
        <w:rPr>
          <w:rFonts w:hint="eastAsia"/>
          <w:sz w:val="32"/>
          <w:szCs w:val="32"/>
        </w:rPr>
        <w:t>主要包括：达州市达川区</w:t>
      </w:r>
      <w:r>
        <w:rPr>
          <w:rFonts w:hint="eastAsia"/>
          <w:color w:val="000000"/>
          <w:sz w:val="32"/>
          <w:szCs w:val="32"/>
        </w:rPr>
        <w:t>渡市镇</w:t>
      </w:r>
      <w:r>
        <w:rPr>
          <w:rFonts w:hint="eastAsia"/>
          <w:sz w:val="32"/>
          <w:szCs w:val="32"/>
        </w:rPr>
        <w:t>人民政府、达州市达川区</w:t>
      </w:r>
      <w:r>
        <w:rPr>
          <w:rFonts w:hint="eastAsia"/>
          <w:color w:val="000000"/>
          <w:sz w:val="32"/>
          <w:szCs w:val="32"/>
        </w:rPr>
        <w:t>渡市镇</w:t>
      </w:r>
      <w:r>
        <w:rPr>
          <w:rFonts w:hint="eastAsia"/>
          <w:sz w:val="32"/>
          <w:szCs w:val="32"/>
        </w:rPr>
        <w:t>计划生育服务站、达州市达川区</w:t>
      </w:r>
      <w:r>
        <w:rPr>
          <w:rFonts w:hint="eastAsia"/>
          <w:color w:val="000000"/>
          <w:sz w:val="32"/>
          <w:szCs w:val="32"/>
        </w:rPr>
        <w:t>渡市镇</w:t>
      </w:r>
      <w:r>
        <w:rPr>
          <w:rFonts w:hint="eastAsia"/>
          <w:sz w:val="32"/>
          <w:szCs w:val="32"/>
        </w:rPr>
        <w:t>新闻出版和广播影视站、达州市达川区</w:t>
      </w:r>
      <w:r>
        <w:rPr>
          <w:rFonts w:hint="eastAsia"/>
          <w:color w:val="000000"/>
          <w:sz w:val="32"/>
          <w:szCs w:val="32"/>
        </w:rPr>
        <w:t>渡市镇船管站、</w:t>
      </w:r>
      <w:r>
        <w:rPr>
          <w:rFonts w:hint="eastAsia"/>
          <w:sz w:val="32"/>
          <w:szCs w:val="32"/>
        </w:rPr>
        <w:t>达州市达川区渡市镇社会事务（政务）服务中心。</w:t>
      </w:r>
    </w:p>
    <w:p>
      <w:pPr>
        <w:spacing w:line="578" w:lineRule="exact"/>
        <w:ind w:firstLineChars="200" w:firstLine="640"/>
        <w:rPr>
          <w:rFonts w:ascii="仿宋_GB2312" w:eastAsia="仿宋_GB2312"/>
          <w:sz w:val="32"/>
          <w:szCs w:val="32"/>
        </w:rPr>
      </w:pPr>
    </w:p>
    <w:p>
      <w:pPr>
        <w:widowControl/>
        <w:jc w:val="left"/>
        <w:rPr>
          <w:rFonts w:ascii="仿宋" w:eastAsia="仿宋"/>
          <w:color w:val="000000"/>
          <w:kern w:val="0"/>
          <w:sz w:val="32"/>
          <w:szCs w:val="32"/>
        </w:rPr>
      </w:pPr>
      <w:r>
        <w:rPr>
          <w:rFonts w:ascii="仿宋" w:eastAsia="仿宋"/>
          <w:color w:val="000000"/>
          <w:sz w:val="32"/>
          <w:szCs w:val="32"/>
        </w:rPr>
        <w:br w:type="page"/>
      </w:r>
    </w:p>
    <w:p>
      <w:pPr>
        <w:pStyle w:val="1"/>
        <w:ind w:right="440"/>
        <w:jc w:val="right"/>
        <w:rPr>
          <w:rStyle w:val="1Char"/>
          <w:rFonts w:ascii="黑体" w:eastAsia="黑体"/>
        </w:rPr>
      </w:pPr>
      <w:bookmarkStart w:id="23" w:name="_Toc15396602"/>
      <w:bookmarkStart w:id="24" w:name="_Toc15377204"/>
      <w:r>
        <w:rPr>
          <w:rFonts w:ascii="黑体" w:eastAsia="黑体" w:hint="eastAsia"/>
          <w:b w:val="0"/>
          <w:color w:val="000000"/>
        </w:rPr>
        <w:t>第二部分</w:t>
      </w:r>
      <w:r>
        <w:rPr>
          <w:rStyle w:val="1Char"/>
          <w:rFonts w:ascii="黑体" w:eastAsia="黑体" w:hint="eastAsia"/>
        </w:rPr>
        <w:t>2019年度部门决算情况说明</w:t>
      </w:r>
      <w:bookmarkEnd w:id="23"/>
      <w:bookmarkEnd w:id="24"/>
    </w:p>
    <w:p/>
    <w:p>
      <w:pPr>
        <w:pStyle w:val="29"/>
        <w:numPr>
          <w:ilvl w:val="0"/>
          <w:numId w:val="1"/>
        </w:numPr>
        <w:spacing w:line="600" w:lineRule="exact"/>
        <w:ind w:firstLineChars="0"/>
        <w:outlineLvl w:val="1"/>
        <w:rPr>
          <w:rStyle w:val="2Char"/>
          <w:rFonts w:ascii="黑体" w:eastAsia="黑体"/>
          <w:b w:val="0"/>
        </w:rPr>
      </w:pPr>
      <w:bookmarkStart w:id="25" w:name="_Toc15396603"/>
      <w:bookmarkStart w:id="26" w:name="_Toc15377205"/>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_GB2312" w:eastAsia="仿宋_GB2312"/>
          <w:color w:val="000000"/>
          <w:sz w:val="32"/>
          <w:szCs w:val="32"/>
        </w:rPr>
      </w:pPr>
      <w:r>
        <w:rPr>
          <w:rFonts w:ascii="仿宋" w:eastAsia="仿宋" w:hint="eastAsia"/>
          <w:color w:val="000000"/>
          <w:sz w:val="32"/>
          <w:szCs w:val="32"/>
        </w:rPr>
        <w:t>2019年度收、支总计</w:t>
      </w:r>
      <w:r>
        <w:rPr>
          <w:rFonts w:eastAsia="仿宋" w:hint="eastAsia"/>
          <w:sz w:val="32"/>
          <w:szCs w:val="32"/>
        </w:rPr>
        <w:t>2863.99</w:t>
      </w:r>
      <w:r>
        <w:rPr>
          <w:rFonts w:ascii="仿宋" w:eastAsia="仿宋" w:hint="eastAsia"/>
          <w:color w:val="000000"/>
          <w:sz w:val="32"/>
          <w:szCs w:val="32"/>
        </w:rPr>
        <w:t>万元，与2018年相比，收、支总计各增加939.7万元，上升67.18</w:t>
      </w:r>
      <w:r>
        <w:rPr>
          <w:rFonts w:ascii="仿宋" w:eastAsia="仿宋"/>
          <w:color w:val="000000"/>
          <w:sz w:val="32"/>
          <w:szCs w:val="32"/>
        </w:rPr>
        <w:t>%</w:t>
      </w:r>
      <w:r>
        <w:rPr>
          <w:rFonts w:ascii="仿宋" w:eastAsia="仿宋" w:hint="eastAsia"/>
          <w:color w:val="000000"/>
          <w:sz w:val="32"/>
          <w:szCs w:val="32"/>
        </w:rPr>
        <w:t>。主要变动原因是行政区划调整。</w:t>
      </w:r>
    </w:p>
    <w:p>
      <w:pPr>
        <w:pStyle w:val="29"/>
        <w:numPr>
          <w:ilvl w:val="0"/>
          <w:numId w:val="1"/>
        </w:numPr>
        <w:spacing w:line="600" w:lineRule="exact"/>
        <w:ind w:firstLineChars="0"/>
        <w:outlineLvl w:val="1"/>
        <w:rPr>
          <w:rStyle w:val="2Char"/>
          <w:rFonts w:ascii="黑体" w:eastAsia="黑体"/>
          <w:b w:val="0"/>
        </w:rPr>
      </w:pPr>
      <w:bookmarkStart w:id="27" w:name="_Toc15377206"/>
      <w:bookmarkStart w:id="28" w:name="_Toc15396604"/>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_GB2312" w:eastAsia="仿宋_GB2312"/>
          <w:color w:val="FF0000"/>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eastAsia="仿宋" w:hint="eastAsia"/>
          <w:sz w:val="32"/>
          <w:szCs w:val="32"/>
        </w:rPr>
        <w:t>2863.99</w:t>
      </w:r>
      <w:r>
        <w:rPr>
          <w:rFonts w:ascii="仿宋" w:eastAsia="仿宋" w:hint="eastAsia"/>
          <w:color w:val="000000"/>
          <w:sz w:val="32"/>
          <w:szCs w:val="32"/>
        </w:rPr>
        <w:t>万元，其中：一般公共预算财政拨款收入2742.99万元，占95.7</w:t>
      </w:r>
      <w:r>
        <w:rPr>
          <w:rFonts w:ascii="仿宋" w:eastAsia="仿宋"/>
          <w:color w:val="000000"/>
          <w:sz w:val="32"/>
          <w:szCs w:val="32"/>
        </w:rPr>
        <w:t>%</w:t>
      </w:r>
      <w:r>
        <w:rPr>
          <w:rFonts w:ascii="仿宋" w:eastAsia="仿宋" w:hint="eastAsia"/>
          <w:color w:val="000000"/>
          <w:sz w:val="32"/>
          <w:szCs w:val="32"/>
        </w:rPr>
        <w:t>；政府性基金预算财政拨款收入121万元，占4.3</w:t>
      </w:r>
      <w:r>
        <w:rPr>
          <w:rFonts w:ascii="仿宋" w:eastAsia="仿宋"/>
          <w:color w:val="000000"/>
          <w:sz w:val="32"/>
          <w:szCs w:val="32"/>
        </w:rPr>
        <w:t>%</w:t>
      </w:r>
      <w:r>
        <w:rPr>
          <w:rFonts w:ascii="仿宋" w:eastAsia="仿宋" w:hint="eastAsia"/>
          <w:color w:val="000000"/>
          <w:sz w:val="32"/>
          <w:szCs w:val="32"/>
        </w:rPr>
        <w:t>；</w:t>
      </w:r>
    </w:p>
    <w:p>
      <w:pPr>
        <w:pStyle w:val="29"/>
        <w:numPr>
          <w:ilvl w:val="0"/>
          <w:numId w:val="1"/>
        </w:numPr>
        <w:spacing w:line="600" w:lineRule="exact"/>
        <w:ind w:firstLineChars="0"/>
        <w:outlineLvl w:val="1"/>
        <w:rPr>
          <w:rStyle w:val="2Char"/>
          <w:rFonts w:ascii="黑体" w:eastAsia="黑体"/>
          <w:b w:val="0"/>
        </w:rPr>
      </w:pPr>
      <w:bookmarkStart w:id="29" w:name="_Toc15396605"/>
      <w:bookmarkStart w:id="30" w:name="_Toc15377207"/>
      <w:r>
        <w:rPr>
          <w:rFonts w:ascii="黑体" w:eastAsia="黑体" w:hint="eastAsia"/>
          <w:color w:val="000000"/>
          <w:sz w:val="32"/>
          <w:szCs w:val="32"/>
        </w:rPr>
        <w:t>支</w:t>
      </w:r>
      <w:r>
        <w:rPr>
          <w:rStyle w:val="2Char"/>
          <w:rFonts w:ascii="黑体" w:eastAsia="黑体" w:hint="eastAsia"/>
          <w:b w:val="0"/>
        </w:rPr>
        <w:t>出决算情况说明</w:t>
      </w:r>
      <w:bookmarkEnd w:id="29"/>
      <w:bookmarkEnd w:id="30"/>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9年本年支出合计</w:t>
      </w:r>
      <w:r>
        <w:rPr>
          <w:rFonts w:eastAsia="仿宋" w:hint="eastAsia"/>
          <w:sz w:val="32"/>
          <w:szCs w:val="32"/>
        </w:rPr>
        <w:t>2863.99</w:t>
      </w:r>
      <w:r>
        <w:rPr>
          <w:rFonts w:ascii="仿宋" w:eastAsia="仿宋" w:hint="eastAsia"/>
          <w:color w:val="000000"/>
          <w:sz w:val="32"/>
          <w:szCs w:val="32"/>
        </w:rPr>
        <w:t>万元，其中：基本支出</w:t>
      </w:r>
      <w:r>
        <w:rPr>
          <w:rFonts w:eastAsia="仿宋" w:hint="eastAsia"/>
          <w:sz w:val="32"/>
          <w:szCs w:val="32"/>
        </w:rPr>
        <w:t>2157.65</w:t>
      </w:r>
      <w:r>
        <w:rPr>
          <w:rFonts w:ascii="仿宋" w:eastAsia="仿宋" w:hint="eastAsia"/>
          <w:color w:val="000000"/>
          <w:sz w:val="32"/>
          <w:szCs w:val="32"/>
        </w:rPr>
        <w:t>万元，占</w:t>
      </w:r>
      <w:r>
        <w:rPr>
          <w:rFonts w:eastAsia="仿宋" w:hint="eastAsia"/>
          <w:sz w:val="32"/>
          <w:szCs w:val="32"/>
        </w:rPr>
        <w:t>75.33</w:t>
      </w:r>
      <w:r>
        <w:rPr>
          <w:rFonts w:ascii="仿宋" w:eastAsia="仿宋"/>
          <w:color w:val="000000"/>
          <w:sz w:val="32"/>
          <w:szCs w:val="32"/>
        </w:rPr>
        <w:t>%</w:t>
      </w:r>
      <w:r>
        <w:rPr>
          <w:rFonts w:ascii="仿宋" w:eastAsia="仿宋" w:hint="eastAsia"/>
          <w:color w:val="000000"/>
          <w:sz w:val="32"/>
          <w:szCs w:val="32"/>
        </w:rPr>
        <w:t>；项目支出</w:t>
      </w:r>
      <w:r>
        <w:rPr>
          <w:rFonts w:eastAsia="仿宋" w:hint="eastAsia"/>
          <w:sz w:val="32"/>
          <w:szCs w:val="32"/>
        </w:rPr>
        <w:t>706.34</w:t>
      </w:r>
      <w:r>
        <w:rPr>
          <w:rFonts w:ascii="仿宋" w:eastAsia="仿宋" w:hint="eastAsia"/>
          <w:color w:val="000000"/>
          <w:sz w:val="32"/>
          <w:szCs w:val="32"/>
        </w:rPr>
        <w:t>万元，占</w:t>
      </w:r>
      <w:r>
        <w:rPr>
          <w:rFonts w:eastAsia="仿宋" w:hint="eastAsia"/>
          <w:sz w:val="32"/>
          <w:szCs w:val="32"/>
        </w:rPr>
        <w:t>24.67</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1"/>
        <w:rPr>
          <w:rStyle w:val="2Char"/>
          <w:rFonts w:ascii="黑体" w:eastAsia="黑体"/>
          <w:b w:val="0"/>
        </w:rPr>
      </w:pPr>
      <w:bookmarkStart w:id="31" w:name="_Toc15396606"/>
      <w:bookmarkStart w:id="32" w:name="_Toc15377208"/>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9年财政拨款收、支总计</w:t>
      </w:r>
      <w:r>
        <w:rPr>
          <w:rFonts w:eastAsia="仿宋" w:hint="eastAsia"/>
          <w:sz w:val="32"/>
          <w:szCs w:val="32"/>
        </w:rPr>
        <w:t>2863.99</w:t>
      </w:r>
      <w:r>
        <w:rPr>
          <w:rFonts w:ascii="仿宋" w:eastAsia="仿宋" w:hint="eastAsia"/>
          <w:color w:val="000000"/>
          <w:sz w:val="32"/>
          <w:szCs w:val="32"/>
        </w:rPr>
        <w:t>万元。与</w:t>
      </w:r>
      <w:r>
        <w:rPr>
          <w:rFonts w:ascii="仿宋" w:eastAsia="仿宋"/>
          <w:color w:val="000000"/>
          <w:sz w:val="32"/>
          <w:szCs w:val="32"/>
        </w:rPr>
        <w:t>201</w:t>
      </w:r>
      <w:r>
        <w:rPr>
          <w:rFonts w:ascii="仿宋" w:eastAsia="仿宋" w:hint="eastAsia"/>
          <w:color w:val="000000"/>
          <w:sz w:val="32"/>
          <w:szCs w:val="32"/>
        </w:rPr>
        <w:t>8年相比，财政拨款收、支总计各增加939.7万元，上升67.18</w:t>
      </w:r>
      <w:r>
        <w:rPr>
          <w:rFonts w:ascii="仿宋" w:eastAsia="仿宋"/>
          <w:color w:val="000000"/>
          <w:sz w:val="32"/>
          <w:szCs w:val="32"/>
        </w:rPr>
        <w:t>%</w:t>
      </w:r>
      <w:r>
        <w:rPr>
          <w:rFonts w:ascii="仿宋" w:eastAsia="仿宋" w:hint="eastAsia"/>
          <w:color w:val="000000"/>
          <w:sz w:val="32"/>
          <w:szCs w:val="32"/>
        </w:rPr>
        <w:t>。主要变动原因是行政区划调整。</w:t>
      </w:r>
    </w:p>
    <w:p>
      <w:pPr>
        <w:spacing w:line="600" w:lineRule="exact"/>
        <w:ind w:firstLineChars="200" w:firstLine="640"/>
        <w:outlineLvl w:val="1"/>
        <w:rPr>
          <w:rStyle w:val="2Char"/>
          <w:rFonts w:ascii="黑体" w:eastAsia="黑体"/>
          <w:b w:val="0"/>
        </w:rPr>
      </w:pPr>
      <w:bookmarkStart w:id="33" w:name="_Toc15396607"/>
      <w:bookmarkStart w:id="34" w:name="_Toc15377209"/>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9年一般公共预算财政拨款支出2742.99万元，占本年支出合计的95.77</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8年相比，一般公共预算财政拨款增加870.7万元，上升68.25</w:t>
      </w:r>
      <w:r>
        <w:rPr>
          <w:rFonts w:ascii="仿宋" w:eastAsia="仿宋"/>
          <w:color w:val="000000"/>
          <w:sz w:val="32"/>
          <w:szCs w:val="32"/>
        </w:rPr>
        <w:t>%</w:t>
      </w:r>
      <w:r>
        <w:rPr>
          <w:rFonts w:ascii="仿宋" w:eastAsia="仿宋" w:hint="eastAsia"/>
          <w:color w:val="000000"/>
          <w:sz w:val="32"/>
          <w:szCs w:val="32"/>
        </w:rPr>
        <w:t>。主要变动原因是行政区划调整。</w:t>
      </w:r>
    </w:p>
    <w:p>
      <w:pPr>
        <w:spacing w:line="600" w:lineRule="exact"/>
        <w:ind w:firstLineChars="200" w:firstLine="640"/>
        <w:outlineLvl w:val="2"/>
        <w:rPr>
          <w:rFonts w:ascii="仿宋" w:eastAsia="仿宋"/>
          <w:b/>
          <w:color w:val="000000"/>
          <w:sz w:val="32"/>
          <w:szCs w:val="32"/>
        </w:rPr>
      </w:pPr>
      <w:bookmarkStart w:id="36" w:name="_Toc15377211"/>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9年一般公共预算财政拨款支出2742.99万元，主要用于以下方面</w:t>
      </w:r>
      <w:r>
        <w:rPr>
          <w:rFonts w:ascii="仿宋" w:eastAsia="仿宋"/>
          <w:color w:val="000000"/>
          <w:sz w:val="32"/>
          <w:szCs w:val="32"/>
        </w:rPr>
        <w:t>:</w:t>
      </w:r>
      <w:r>
        <w:rPr>
          <w:rFonts w:ascii="仿宋" w:eastAsia="仿宋" w:hint="eastAsia"/>
          <w:color w:val="000000"/>
          <w:sz w:val="32"/>
          <w:szCs w:val="32"/>
        </w:rPr>
        <w:t>一般公共服务支出846.2万元，占30.85</w:t>
      </w:r>
      <w:r>
        <w:rPr>
          <w:rFonts w:ascii="仿宋" w:eastAsia="仿宋"/>
          <w:color w:val="000000"/>
          <w:sz w:val="32"/>
          <w:szCs w:val="32"/>
        </w:rPr>
        <w:t>%</w:t>
      </w:r>
      <w:r>
        <w:rPr>
          <w:rFonts w:ascii="仿宋" w:eastAsia="仿宋" w:hint="eastAsia"/>
          <w:color w:val="000000"/>
          <w:sz w:val="32"/>
          <w:szCs w:val="32"/>
        </w:rPr>
        <w:t>；文化体育与传媒支出79.6万元，占2.9</w:t>
      </w:r>
      <w:r>
        <w:rPr>
          <w:rFonts w:ascii="仿宋" w:eastAsia="仿宋"/>
          <w:color w:val="000000"/>
          <w:sz w:val="32"/>
          <w:szCs w:val="32"/>
        </w:rPr>
        <w:t>%</w:t>
      </w:r>
      <w:r>
        <w:rPr>
          <w:rFonts w:ascii="仿宋" w:eastAsia="仿宋" w:hint="eastAsia"/>
          <w:color w:val="000000"/>
          <w:sz w:val="32"/>
          <w:szCs w:val="32"/>
        </w:rPr>
        <w:t>；社会保障和就业支出819.4万元，占29.89</w:t>
      </w:r>
      <w:r>
        <w:rPr>
          <w:rFonts w:ascii="仿宋" w:eastAsia="仿宋"/>
          <w:color w:val="000000"/>
          <w:sz w:val="32"/>
          <w:szCs w:val="32"/>
        </w:rPr>
        <w:t>%</w:t>
      </w:r>
      <w:r>
        <w:rPr>
          <w:rFonts w:ascii="仿宋" w:eastAsia="仿宋" w:hint="eastAsia"/>
          <w:color w:val="000000"/>
          <w:sz w:val="32"/>
          <w:szCs w:val="32"/>
        </w:rPr>
        <w:t>；医疗卫生与计划生育支出100.24万元，占3.65</w:t>
      </w:r>
      <w:r>
        <w:rPr>
          <w:rFonts w:ascii="仿宋" w:eastAsia="仿宋"/>
          <w:color w:val="000000"/>
          <w:sz w:val="32"/>
          <w:szCs w:val="32"/>
        </w:rPr>
        <w:t>%</w:t>
      </w:r>
      <w:r>
        <w:rPr>
          <w:rFonts w:ascii="仿宋" w:eastAsia="仿宋" w:hint="eastAsia"/>
          <w:color w:val="000000"/>
          <w:sz w:val="32"/>
          <w:szCs w:val="32"/>
        </w:rPr>
        <w:t>；城乡社区支出84.98万元，占3.09</w:t>
      </w:r>
      <w:r>
        <w:rPr>
          <w:rFonts w:ascii="仿宋" w:eastAsia="仿宋"/>
          <w:color w:val="000000"/>
          <w:sz w:val="32"/>
          <w:szCs w:val="32"/>
        </w:rPr>
        <w:t>%</w:t>
      </w:r>
      <w:r>
        <w:rPr>
          <w:rFonts w:ascii="仿宋" w:eastAsia="仿宋" w:hint="eastAsia"/>
          <w:color w:val="000000"/>
          <w:sz w:val="32"/>
          <w:szCs w:val="32"/>
        </w:rPr>
        <w:t>；农业水支出677.72万元，占24.7</w:t>
      </w:r>
      <w:r>
        <w:rPr>
          <w:rFonts w:ascii="仿宋" w:eastAsia="仿宋"/>
          <w:color w:val="000000"/>
          <w:sz w:val="32"/>
          <w:szCs w:val="32"/>
        </w:rPr>
        <w:t>%</w:t>
      </w:r>
      <w:r>
        <w:rPr>
          <w:rFonts w:ascii="仿宋" w:eastAsia="仿宋" w:hint="eastAsia"/>
          <w:color w:val="000000"/>
          <w:sz w:val="32"/>
          <w:szCs w:val="32"/>
        </w:rPr>
        <w:t>；交通运输支出45.31万元，占1.66</w:t>
      </w:r>
      <w:r>
        <w:rPr>
          <w:rFonts w:ascii="仿宋" w:eastAsia="仿宋"/>
          <w:color w:val="000000"/>
          <w:sz w:val="32"/>
          <w:szCs w:val="32"/>
        </w:rPr>
        <w:t>%</w:t>
      </w:r>
      <w:r>
        <w:rPr>
          <w:rFonts w:ascii="仿宋" w:eastAsia="仿宋" w:hint="eastAsia"/>
          <w:color w:val="000000"/>
          <w:sz w:val="32"/>
          <w:szCs w:val="32"/>
        </w:rPr>
        <w:t>；住房保障支出49.54万元，占1.8</w:t>
      </w:r>
      <w:r>
        <w:rPr>
          <w:rFonts w:ascii="仿宋" w:eastAsia="仿宋"/>
          <w:color w:val="000000"/>
          <w:sz w:val="32"/>
          <w:szCs w:val="32"/>
        </w:rPr>
        <w:t>%</w:t>
      </w:r>
      <w:r>
        <w:rPr>
          <w:rFonts w:ascii="仿宋" w:eastAsia="仿宋" w:hint="eastAsia"/>
          <w:color w:val="000000"/>
          <w:sz w:val="32"/>
          <w:szCs w:val="32"/>
        </w:rPr>
        <w:t>；其他支出40万元，占1.46</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2"/>
        <w:rPr>
          <w:rFonts w:ascii="仿宋" w:eastAsia="仿宋"/>
          <w:b/>
          <w:color w:val="000000"/>
          <w:sz w:val="32"/>
          <w:szCs w:val="32"/>
        </w:rPr>
      </w:pPr>
      <w:bookmarkStart w:id="37" w:name="_Toc15377212"/>
      <w:r>
        <w:rPr>
          <w:rFonts w:ascii="仿宋" w:eastAsia="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color w:val="FF0000"/>
          <w:sz w:val="32"/>
          <w:szCs w:val="32"/>
        </w:rPr>
      </w:pPr>
      <w:bookmarkStart w:id="38" w:name="_Toc15377213"/>
      <w:bookmarkStart w:id="39" w:name="_Toc15377444"/>
      <w:bookmarkStart w:id="40" w:name="_Toc15378460"/>
      <w:r>
        <w:rPr>
          <w:rFonts w:ascii="仿宋" w:eastAsia="仿宋" w:hint="eastAsia"/>
          <w:b/>
          <w:color w:val="000000"/>
          <w:sz w:val="32"/>
          <w:szCs w:val="32"/>
        </w:rPr>
        <w:t>2019年一般公共预算支出决算数为</w:t>
      </w:r>
      <w:r>
        <w:rPr>
          <w:rFonts w:ascii="仿宋" w:eastAsia="仿宋" w:hint="eastAsia"/>
          <w:color w:val="000000"/>
          <w:sz w:val="32"/>
          <w:szCs w:val="32"/>
        </w:rPr>
        <w:t>2742.99</w:t>
      </w:r>
      <w:r>
        <w:rPr>
          <w:rStyle w:val="23"/>
          <w:rFonts w:ascii="仿宋" w:eastAsia="仿宋" w:hint="eastAsia"/>
          <w:b w:val="0"/>
          <w:bCs/>
          <w:color w:val="000000"/>
          <w:sz w:val="32"/>
          <w:szCs w:val="32"/>
        </w:rPr>
        <w:t>万元</w:t>
      </w:r>
      <w:r>
        <w:rPr>
          <w:rFonts w:ascii="仿宋" w:eastAsia="仿宋" w:hint="eastAsia"/>
          <w:color w:val="000000"/>
          <w:sz w:val="32"/>
          <w:szCs w:val="32"/>
        </w:rPr>
        <w:t>，</w:t>
      </w:r>
      <w:r>
        <w:rPr>
          <w:rStyle w:val="23"/>
          <w:rFonts w:ascii="仿宋" w:eastAsia="仿宋" w:hint="eastAsia"/>
          <w:bCs/>
          <w:color w:val="000000"/>
          <w:sz w:val="32"/>
          <w:szCs w:val="32"/>
        </w:rPr>
        <w:t>完成预算100</w:t>
      </w:r>
      <w:r>
        <w:rPr>
          <w:rStyle w:val="23"/>
          <w:rFonts w:ascii="仿宋" w:eastAsia="仿宋"/>
          <w:bCs/>
          <w:color w:val="000000"/>
          <w:sz w:val="32"/>
          <w:szCs w:val="32"/>
        </w:rPr>
        <w:t>%</w:t>
      </w:r>
      <w:r>
        <w:rPr>
          <w:rStyle w:val="23"/>
          <w:rFonts w:ascii="仿宋" w:eastAsia="仿宋" w:hint="eastAsia"/>
          <w:bCs/>
          <w:color w:val="000000"/>
          <w:sz w:val="32"/>
          <w:szCs w:val="32"/>
        </w:rPr>
        <w:t>。其中：</w:t>
      </w:r>
      <w:bookmarkEnd w:id="38"/>
      <w:bookmarkEnd w:id="39"/>
      <w:bookmarkEnd w:id="40"/>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支出决算为565.06万元，完成预算100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一般公共服务（类）政府办公厅（室）（款）一般行政管理事务（项）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支出决算为229.03万元，完成预算100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一般公共服务（类）财政事务（室）（款）行政运行（项）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支出决算为52.11万元，完成预算100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文化体育与传媒（类）文化（款）群众文化（项）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支出决算为10.84万元，完成预算100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文化体育与传媒（类）文化（款）其他文化（项）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文化体育与传媒（类）新闻出版广播影视（款）广播（项）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支出决算为55.16万元，完成预算100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color w:val="000000"/>
          <w:sz w:val="32"/>
          <w:szCs w:val="32"/>
        </w:rPr>
      </w:pPr>
      <w:r>
        <w:rPr>
          <w:rStyle w:val="23"/>
          <w:rFonts w:ascii="仿宋" w:eastAsia="仿宋" w:hint="eastAsia"/>
          <w:bCs/>
          <w:color w:val="000000"/>
          <w:sz w:val="32"/>
          <w:szCs w:val="32"/>
        </w:rPr>
        <w:t>文化体育与传媒（类）其他文化与体育传媒支出（款）其他文化与体育传媒支出（项）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社会保障和就业（类）民政管理事务（款）基层政权和社区建设支出（项）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支出决算为10元，完成预算100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社会保障和就业（类）行政事业单位离退休（款）机关事业单位基本养老保险缴费支出（项）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支出决算为67.01万元，完成预算100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社会保障和就业（类）行政事业单位离退休（款）机关事业单位职业年金缴费支出（项）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社会保障和就业（类）抚恤（款）在乡复员、退伍军人生活补助（项）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支出决算为495.4万元，完成预算100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社会保障和就业（类）抚恤（款）义务兵优待（项）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支出决算为41.25万元，完成预算100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社会保障和就业（类）残疾人事业（款）其他残疾人事业支出（项）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支出决算为5.7万元，完成预算100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社会保障和就业（类）特困人员救助（款）农村特困人员救助供养支出（项）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支出决算为197.55万元，完成预算100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医疗卫生与计划生育（类）计划生育事务（款）计划生育机构</w:t>
      </w:r>
      <w:r>
        <w:rPr>
          <w:rStyle w:val="23"/>
          <w:rFonts w:ascii="仿宋" w:eastAsia="仿宋"/>
          <w:bCs/>
          <w:color w:val="000000"/>
          <w:sz w:val="32"/>
          <w:szCs w:val="32"/>
        </w:rPr>
        <w:t>*</w:t>
      </w:r>
      <w:r>
        <w:rPr>
          <w:rStyle w:val="23"/>
          <w:rFonts w:ascii="仿宋" w:eastAsia="仿宋" w:hint="eastAsia"/>
          <w:bCs/>
          <w:color w:val="000000"/>
          <w:sz w:val="32"/>
          <w:szCs w:val="32"/>
        </w:rPr>
        <w:t>（项）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支出决算为66.26万元，完成预算100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医疗卫生与计划生育（类）行政事业单位医疗（款）行政事业单位医疗（项）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支出决算为33.97万元，完成预算100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城乡社区支出（类）其他城乡社区支出（款）其他城乡社区支出（项）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支出决算为84.98万元，完成预算100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农林水支出（类）农业（款）事业运行（项）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支出决算为73.93万元，完成预算100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农林水支出（类）农业（款）农村道路建设（项）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支出决算为107万元，完成预算100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农林水支出（类）农业（款）对高校毕业生到基层任职补助（项）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支出决算为3.67万元，完成预算100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农林水支出（类）农业（款）其他农业支出（项）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农林水支出（类）水利（款）其他水利支出（项）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农林水支出（类）扶贫（款）其他扶贫支出（项）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支出决算为3.72万元，完成预算100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农林水支出（类）农村综合改革（款）对村民委员会和村党支部的补助（项）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支出决算为442.4万元，完成预算100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农林水支出（类）其他农林水支出（款）其他农林水支出（项）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交通运输支出（类）公路水路运输（款）公路和运输安全（项）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交通运输支出（类）公路水路运输（款）其他公路水路运输支出（项）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支出决算为25.31万元，完成预算100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住房保障支出（类）住房改革支出（款）住房公积金（项）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支出决算为49.54万元，完成预算100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其他支出（类）其他支出（款）其他支出（项）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tabs>
          <w:tab w:val="right" w:pos="8306"/>
        </w:tabs>
        <w:spacing w:line="600" w:lineRule="exact"/>
        <w:ind w:firstLineChars="200"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9年一般公共预算财政拨款基本支出2157.65万元，其中：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1960.67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r>
      <w:r>
        <w:rPr>
          <w:rFonts w:ascii="仿宋" w:eastAsia="仿宋" w:hint="eastAsia"/>
          <w:color w:val="000000"/>
          <w:sz w:val="32"/>
          <w:szCs w:val="32"/>
        </w:rPr>
        <w:t>　　公用经费169.99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b/>
          <w:color w:val="000000"/>
          <w:sz w:val="32"/>
          <w:szCs w:val="32"/>
        </w:rPr>
      </w:pPr>
      <w:r>
        <w:rPr>
          <w:rFonts w:ascii="仿宋" w:eastAsia="仿宋"/>
          <w:color w:val="000000"/>
          <w:sz w:val="32"/>
          <w:szCs w:val="32"/>
        </w:rPr>
        <w:t>201</w:t>
      </w:r>
      <w:r>
        <w:rPr>
          <w:rFonts w:ascii="仿宋" w:eastAsia="仿宋" w:hint="eastAsia"/>
          <w:color w:val="000000"/>
          <w:sz w:val="32"/>
          <w:szCs w:val="32"/>
        </w:rPr>
        <w:t>9年“三公”经费财政拨款支出决算为17.9万元，完成预算79</w:t>
      </w:r>
      <w:r>
        <w:rPr>
          <w:rFonts w:ascii="仿宋" w:eastAsia="仿宋"/>
          <w:color w:val="000000"/>
          <w:sz w:val="32"/>
          <w:szCs w:val="32"/>
        </w:rPr>
        <w:t>%</w:t>
      </w:r>
      <w:r>
        <w:rPr>
          <w:rFonts w:ascii="仿宋" w:eastAsia="仿宋" w:hint="eastAsia"/>
          <w:color w:val="000000"/>
          <w:sz w:val="32"/>
          <w:szCs w:val="32"/>
        </w:rPr>
        <w:t>，决算数小于预算数的主要原因是落实中央八项规定，从严控制公务接待及三公经费压减。</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9年“三公”经费财政拨款支出决算中，因公出国（境）费支出决算0万元，占0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；公务接待费支出决算17.9万元，占100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3"/>
          <w:rFonts w:ascii="仿宋" w:eastAsia="仿宋" w:hint="eastAsia"/>
          <w:b w:val="0"/>
          <w:bCs/>
          <w:color w:val="000000"/>
          <w:sz w:val="32"/>
          <w:szCs w:val="32"/>
        </w:rPr>
        <w:t>年初无预算。</w:t>
      </w:r>
      <w:r>
        <w:rPr>
          <w:rFonts w:ascii="仿宋_GB2312" w:eastAsia="仿宋_GB2312" w:hint="eastAsia"/>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3"/>
          <w:rFonts w:ascii="仿宋" w:eastAsia="仿宋" w:hint="eastAsia"/>
          <w:b w:val="0"/>
          <w:bCs/>
          <w:color w:val="000000"/>
          <w:sz w:val="32"/>
          <w:szCs w:val="32"/>
        </w:rPr>
        <w:t>年初无预算</w:t>
      </w:r>
      <w:r>
        <w:rPr>
          <w:rFonts w:ascii="仿宋_GB2312" w:eastAsia="仿宋_GB2312" w:hint="eastAsia"/>
          <w:color w:val="000000"/>
          <w:sz w:val="32"/>
          <w:szCs w:val="32"/>
        </w:rPr>
        <w:t>公务用车购置及运行维护费。</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月底，单位公务用车0辆。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0万元。单位无公务车辆。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17.9万元，</w:t>
      </w:r>
      <w:r>
        <w:rPr>
          <w:rStyle w:val="23"/>
          <w:rFonts w:ascii="仿宋" w:eastAsia="仿宋" w:hint="eastAsia"/>
          <w:b w:val="0"/>
          <w:bCs/>
          <w:color w:val="000000"/>
          <w:sz w:val="32"/>
          <w:szCs w:val="32"/>
        </w:rPr>
        <w:t>完成预算79</w:t>
      </w:r>
      <w:r>
        <w:rPr>
          <w:rStyle w:val="23"/>
          <w:rFonts w:ascii="仿宋" w:eastAsia="仿宋"/>
          <w:b w:val="0"/>
          <w:bCs/>
          <w:color w:val="000000"/>
          <w:sz w:val="32"/>
          <w:szCs w:val="32"/>
        </w:rPr>
        <w:t>%</w:t>
      </w:r>
      <w:r>
        <w:rPr>
          <w:rStyle w:val="23"/>
          <w:rFonts w:ascii="仿宋" w:eastAsia="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8年增加5.3万元。主要原因是</w:t>
      </w:r>
      <w:r>
        <w:rPr>
          <w:rFonts w:ascii="仿宋_GB2312" w:eastAsia="仿宋_GB2312" w:hint="eastAsia"/>
          <w:sz w:val="32"/>
          <w:szCs w:val="32"/>
        </w:rPr>
        <w:t>行政区划改革，对公务接待费用实行集体会签制，事前先由需接待部门的负责人、分管领导向主要领导请示，凡是接待一律在政府机关伙食团就餐，并严格控制接待标准和陪同人员，报销时必须同时有镇长和主管领导共同签字的公务接待就餐单、公函、及菜单，财政所才予以报销。</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主要用于执行公务、开展业务活动开支的交通费、住宿费、用餐费等。国内公务接待880批次，2500人次（不包括陪同人员），共计支出17.9万元，具体内容包括：</w:t>
      </w:r>
      <w:r>
        <w:rPr>
          <w:rFonts w:ascii="仿宋_GB2312" w:eastAsia="仿宋_GB2312" w:hint="eastAsia"/>
          <w:sz w:val="32"/>
          <w:szCs w:val="32"/>
        </w:rPr>
        <w:t>开展工作交流，迎检，脱贫攻坚巡查，上级工作指导等方面工作</w:t>
      </w:r>
      <w:r>
        <w:rPr>
          <w:rFonts w:ascii="仿宋_GB2312" w:eastAsia="仿宋_GB2312" w:hint="eastAsia"/>
          <w:color w:val="000000"/>
          <w:sz w:val="32"/>
          <w:szCs w:val="32"/>
        </w:rPr>
        <w:t>。其中：</w:t>
      </w:r>
    </w:p>
    <w:p>
      <w:pPr>
        <w:spacing w:line="600" w:lineRule="exact"/>
        <w:ind w:firstLineChars="200" w:firstLine="640"/>
        <w:rPr>
          <w:rFonts w:ascii="仿宋_GB2312" w:eastAsia="仿宋_GB2312"/>
          <w:color w:val="000000"/>
          <w:sz w:val="32"/>
          <w:szCs w:val="32"/>
        </w:rPr>
      </w:pPr>
      <w:r>
        <w:rPr>
          <w:rFonts w:ascii="仿宋" w:eastAsia="仿宋" w:hint="eastAsia"/>
          <w:b/>
          <w:color w:val="000000"/>
          <w:sz w:val="32"/>
          <w:szCs w:val="32"/>
        </w:rPr>
        <w:t>外事接待支出</w:t>
      </w:r>
      <w:r>
        <w:rPr>
          <w:rFonts w:ascii="仿宋" w:eastAsia="仿宋" w:hint="eastAsia"/>
          <w:color w:val="000000"/>
          <w:sz w:val="32"/>
          <w:szCs w:val="32"/>
        </w:rPr>
        <w:t>0</w:t>
      </w:r>
      <w:r>
        <w:rPr>
          <w:rFonts w:ascii="仿宋_GB2312" w:eastAsia="仿宋_GB2312" w:hint="eastAsia"/>
          <w:color w:val="000000"/>
          <w:sz w:val="32"/>
          <w:szCs w:val="32"/>
        </w:rPr>
        <w:t>元，外事接待0批次，0人，共计支出0万元。</w:t>
      </w:r>
    </w:p>
    <w:p>
      <w:pPr>
        <w:spacing w:line="600" w:lineRule="exact"/>
        <w:ind w:firstLine="640"/>
        <w:rPr>
          <w:rFonts w:ascii="仿宋_GB2312" w:eastAsia="仿宋_GB2312"/>
          <w:color w:val="000000"/>
          <w:sz w:val="32"/>
          <w:szCs w:val="32"/>
        </w:rPr>
      </w:pPr>
      <w:r>
        <w:rPr>
          <w:rFonts w:ascii="仿宋" w:eastAsia="仿宋" w:hint="eastAsia"/>
          <w:b/>
          <w:color w:val="000000"/>
          <w:sz w:val="32"/>
          <w:szCs w:val="32"/>
        </w:rPr>
        <w:t>其他国内公务接待支出</w:t>
      </w:r>
      <w:r>
        <w:rPr>
          <w:rFonts w:ascii="仿宋" w:eastAsia="仿宋" w:hint="eastAsia"/>
          <w:color w:val="000000"/>
          <w:sz w:val="32"/>
          <w:szCs w:val="32"/>
        </w:rPr>
        <w:t>0</w:t>
      </w:r>
      <w:r>
        <w:rPr>
          <w:rFonts w:ascii="仿宋_GB2312" w:eastAsia="仿宋_GB2312" w:hint="eastAsia"/>
          <w:color w:val="000000"/>
          <w:sz w:val="32"/>
          <w:szCs w:val="32"/>
        </w:rPr>
        <w:t>万元。</w:t>
      </w:r>
    </w:p>
    <w:p>
      <w:pPr>
        <w:spacing w:line="600" w:lineRule="exact"/>
        <w:ind w:firstLineChars="200" w:firstLine="640"/>
        <w:outlineLvl w:val="1"/>
        <w:rPr>
          <w:rStyle w:val="2Char"/>
          <w:rFonts w:ascii="黑体" w:eastAsia="黑体"/>
        </w:rPr>
      </w:pPr>
      <w:bookmarkStart w:id="47" w:name="_Toc15396610"/>
      <w:bookmarkStart w:id="48" w:name="_Toc15377218"/>
      <w:r>
        <w:rPr>
          <w:rFonts w:ascii="黑体" w:eastAsia="黑体" w:hint="eastAsia"/>
          <w:color w:val="000000"/>
          <w:sz w:val="32"/>
          <w:szCs w:val="32"/>
        </w:rPr>
        <w:t>八、</w:t>
      </w:r>
      <w:r>
        <w:rPr>
          <w:rStyle w:val="2Char"/>
          <w:rFonts w:ascii="黑体" w:eastAsia="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9年政府性基金预算拨款支出121万元。</w:t>
      </w:r>
    </w:p>
    <w:p>
      <w:pPr>
        <w:numPr>
          <w:ilvl w:val="0"/>
          <w:numId w:val="3"/>
        </w:numPr>
        <w:spacing w:line="600" w:lineRule="exact"/>
        <w:ind w:left="0" w:firstLine="640"/>
        <w:outlineLvl w:val="1"/>
        <w:rPr>
          <w:rStyle w:val="2Char"/>
          <w:rFonts w:ascii="黑体" w:eastAsia="黑体"/>
          <w:b w:val="0"/>
        </w:rPr>
      </w:pPr>
      <w:bookmarkStart w:id="49" w:name="_Toc15377219"/>
      <w:bookmarkStart w:id="50" w:name="_Toc15396611"/>
      <w:r>
        <w:rPr>
          <w:rStyle w:val="2Char"/>
          <w:rFonts w:ascii="黑体" w:eastAsia="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pPr>
        <w:pStyle w:val="29"/>
        <w:numPr>
          <w:ilvl w:val="0"/>
          <w:numId w:val="4"/>
        </w:numPr>
        <w:spacing w:line="580" w:lineRule="exact"/>
        <w:ind w:firstLineChars="0"/>
        <w:rPr>
          <w:rStyle w:val="2Char"/>
          <w:rFonts w:ascii="黑体" w:eastAsia="黑体"/>
          <w:b w:val="0"/>
        </w:rPr>
      </w:pPr>
      <w:r>
        <w:rPr>
          <w:rStyle w:val="2Char"/>
          <w:rFonts w:ascii="黑体" w:eastAsia="黑体" w:hint="eastAsia"/>
          <w:b w:val="0"/>
        </w:rPr>
        <w:t>预算绩效情况说明</w:t>
      </w:r>
    </w:p>
    <w:p>
      <w:pPr>
        <w:numPr>
          <w:ilvl w:val="0"/>
          <w:numId w:val="5"/>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组织对预算项目开展了预算事前绩效评估，对1个项目编制了绩效目标，预算执行过程中，选取1个项目开展绩效监控，年终执行完毕后，对1个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2019年部门整体支出开展绩效自评，从评价情况来看自评结果得分100分，但也存在一些问题：一是项目进度缓慢，归档不及时。二是对项目工程及时跟进，确保项目工程完成，下一步改进措施：一是加快项目进度，二是及时对项目资料进行归档。</w:t>
      </w:r>
    </w:p>
    <w:p>
      <w:pPr>
        <w:numPr>
          <w:ilvl w:val="0"/>
          <w:numId w:val="5"/>
        </w:numPr>
        <w:spacing w:line="580" w:lineRule="exact"/>
        <w:ind w:left="0" w:firstLineChars="200" w:firstLine="640"/>
        <w:rPr>
          <w:rFonts w:ascii="仿宋_GB2312" w:eastAsia="仿宋_GB2312" w:cs="仿宋_GB2312"/>
          <w:sz w:val="32"/>
          <w:szCs w:val="32"/>
        </w:rPr>
      </w:pPr>
      <w:r>
        <w:rPr>
          <w:rFonts w:ascii="仿宋" w:eastAsia="仿宋" w:cs="楷体_GB2312" w:hint="eastAsia"/>
          <w:b/>
          <w:bCs/>
          <w:sz w:val="32"/>
          <w:szCs w:val="32"/>
        </w:rPr>
        <w:t>项目绩效目标完成情况。</w:t>
      </w:r>
      <w:r>
        <w:rPr>
          <w:rFonts w:ascii="楷体_GB2312" w:eastAsia="楷体_GB2312" w:cs="楷体_GB2312" w:hint="eastAsia"/>
          <w:b/>
          <w:bCs/>
          <w:sz w:val="32"/>
          <w:szCs w:val="32"/>
        </w:rPr>
        <w:br/>
      </w:r>
      <w:r>
        <w:rPr>
          <w:rFonts w:ascii="仿宋_GB2312" w:eastAsia="仿宋_GB2312" w:cs="仿宋_GB2312" w:hint="eastAsia"/>
          <w:sz w:val="32"/>
          <w:szCs w:val="32"/>
        </w:rPr>
        <w:t xml:space="preserve">    本部门在2019年度部门决算中反映财力保障等5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脱贫攻坚项目绩效目标完成情况综述。项目全年预算数7万元，执行数为7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项目支出绩效目标完成情况表（1）</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渡市镇2019年度财力保障脱贫攻坚项目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分年逐批发展农村产业，提升农民收入，巩固基层组织建设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增加农民收入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用于村产业发展情况65万元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已用于村产业发展情况65万元</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产业发展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做到公平、透明，不得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解决存在产业发展不平衡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解决各村产业发展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化解矛盾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及时发展村级产业，提升社会满意度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已完成各村产业发展，达到目标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环境综合治理项目绩效目标完成情况综述。项目全年预算数40万元，执行数为40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项目支出绩效目标完成情况表（2）</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渡市镇2019年度财力保障环境综合治理项目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落实社区保洁员3名，各村保洁员1名、宣传标语不低于24幅，会议每月一次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已完成落实社区保洁员3名，各村保洁员1名、宣传标语不低于24幅，会议每月一次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为外来投资商创建一个干净、整治的投资环境，提升渡市镇招商引资能力。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促进了全镇环境整治的发展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项促进发展目绩效目标完成情况综述。项目全年预算数3万元，执行数为3万元，完成预算的100%。通过项目实施，巩固产业发展，让百姓参与其中，促进产业发展，让百姓得实惠，提高人均收入。发现的主要问题：一是在管理中还不是很到位，。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项目支出绩效目标完成情况表（3）</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渡市镇2019年度财力保障促发展项目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3万元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加大村级基础设施建设投入，改善农村基础设施状况，修建水利、道路，增强农村经济发展实力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解决600余人出行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已完成涉及725人的出行问题</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改善出行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numPr>
          <w:ilvl w:val="0"/>
          <w:numId w:val="7"/>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项安全生产监管项目绩效目标完成情况综述。项目全年预算数5万元，执行数为5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项目支出绩效目标完成情况表（4）</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渡市镇2019年财力保障-保运行-安全生产监管经费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12次以上、6次以上、每月1次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已完成排查12次以上、已完成宣传教育活动6次以上、对重点领域每月1次排查。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财力保障信访、维稳、扫黄、除黑、禁毒资金项目绩效目标完成情况综述。项目全年预算数2万元，执行数为2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项目支出绩效目标完成情况表（5）</w:t>
            </w:r>
            <w:r>
              <w:rPr>
                <w:rFonts w:ascii="宋体" w:cs="宋体" w:hint="eastAsia"/>
                <w:b/>
                <w:bCs/>
                <w:color w:val="000000"/>
                <w:kern w:val="0"/>
                <w:sz w:val="36"/>
                <w:szCs w:val="36"/>
              </w:rPr>
              <w:br/>
            </w:r>
            <w:r>
              <w:rPr>
                <w:rFonts w:ascii="宋体" w:cs="宋体" w:hint="eastAsia"/>
                <w:color w:val="000000"/>
                <w:kern w:val="0"/>
                <w:sz w:val="36"/>
                <w:szCs w:val="36"/>
              </w:rPr>
              <w:t>(2019年度)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渡市镇2019年度信访、维稳、扫黄、除黑、禁毒资金资金项目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已完成全年开展了宣传活动12次，组织专项行动3次。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5"/>
        </w:numPr>
        <w:spacing w:line="580" w:lineRule="exact"/>
        <w:ind w:left="0" w:firstLineChars="200" w:firstLine="640"/>
        <w:rPr>
          <w:rFonts w:ascii="仿宋" w:eastAsia="仿宋" w:cs="仿宋_GB2312"/>
          <w:sz w:val="32"/>
          <w:szCs w:val="32"/>
        </w:rPr>
      </w:pPr>
      <w:r>
        <w:rPr>
          <w:rFonts w:ascii="仿宋" w:eastAsia="仿宋" w:cs="楷体_GB2312" w:hint="eastAsia"/>
          <w:b/>
          <w:bCs/>
          <w:sz w:val="32"/>
          <w:szCs w:val="32"/>
        </w:rPr>
        <w:t>部门开展绩效评价结果。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本部门按要求对2019年部门整体支出绩效评价情况开展自评，《渡市镇部门2019年部门整体支出绩效评价报告》见附件。</w:t>
      </w:r>
    </w:p>
    <w:p>
      <w:pPr>
        <w:spacing w:line="600" w:lineRule="exact"/>
        <w:ind w:firstLineChars="250" w:firstLine="800"/>
        <w:outlineLvl w:val="1"/>
        <w:rPr>
          <w:rFonts w:ascii="仿宋_GB2312" w:eastAsia="仿宋_GB2312" w:cs="仿宋_GB2312"/>
          <w:sz w:val="32"/>
          <w:szCs w:val="32"/>
        </w:rPr>
      </w:pPr>
      <w:r>
        <w:rPr>
          <w:rFonts w:ascii="仿宋_GB2312" w:eastAsia="仿宋_GB2312" w:cs="仿宋_GB2312" w:hint="eastAsia"/>
          <w:sz w:val="32"/>
          <w:szCs w:val="32"/>
        </w:rPr>
        <w:t>本部门自行组织对财力保障项目开展了绩效评价，《财力保障项目2019年绩效评价报告》见附件。</w:t>
      </w:r>
      <w:bookmarkStart w:id="51" w:name="_Toc15396612"/>
      <w:bookmarkStart w:id="52" w:name="_Toc15377221"/>
    </w:p>
    <w:p>
      <w:pPr>
        <w:spacing w:line="600" w:lineRule="exact"/>
        <w:ind w:firstLineChars="250" w:firstLine="800"/>
        <w:outlineLvl w:val="1"/>
        <w:rPr>
          <w:rStyle w:val="2Char"/>
          <w:rFonts w:ascii="黑体" w:eastAsia="黑体"/>
        </w:rPr>
      </w:pPr>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51"/>
      <w:bookmarkEnd w:id="52"/>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3" w:name="_Toc15377223"/>
      <w:r>
        <w:rPr>
          <w:rFonts w:ascii="仿宋" w:eastAsia="仿宋" w:hint="eastAsia"/>
          <w:b/>
          <w:color w:val="000000"/>
          <w:sz w:val="32"/>
          <w:szCs w:val="32"/>
        </w:rPr>
        <w:t>（一）政府采购支出情况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9年，渡市镇政府采购支出总额0万元，其中：政府采购货物支出0万元、政府采购工程支出0万元、政府采购服务支出0万元。</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4"/>
      <w:r>
        <w:rPr>
          <w:rFonts w:ascii="仿宋" w:eastAsia="仿宋" w:hint="eastAsia"/>
          <w:b/>
          <w:color w:val="000000"/>
          <w:sz w:val="32"/>
          <w:szCs w:val="32"/>
        </w:rPr>
        <w:t>（二）国有资产占有使用情况</w:t>
      </w:r>
      <w:bookmarkEnd w:id="54"/>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日，渡市镇共有车辆0辆，其中：部级领导干部用车0辆、一般公务用车0辆、一般执法执勤用车0辆、特种专业技术用车0辆、其他用车0辆，其他用车主要是用于单价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widowControl/>
        <w:jc w:val="left"/>
        <w:rPr>
          <w:rFonts w:ascii="仿宋_GB2312" w:eastAsia="仿宋_GB2312"/>
          <w:b/>
          <w:color w:val="000000"/>
          <w:sz w:val="32"/>
          <w:szCs w:val="32"/>
        </w:rPr>
      </w:pPr>
    </w:p>
    <w:p>
      <w:pPr>
        <w:numPr>
          <w:ilvl w:val="0"/>
          <w:numId w:val="8"/>
        </w:numPr>
        <w:spacing w:line="600" w:lineRule="exact"/>
        <w:ind w:left="0" w:firstLineChars="150" w:firstLine="660"/>
        <w:jc w:val="center"/>
        <w:outlineLvl w:val="0"/>
        <w:rPr>
          <w:rStyle w:val="1Char"/>
          <w:rFonts w:ascii="黑体" w:eastAsia="黑体"/>
          <w:b w:val="0"/>
        </w:rPr>
      </w:pPr>
      <w:bookmarkStart w:id="55" w:name="_Toc15377225"/>
      <w:bookmarkStart w:id="56" w:name="_Toc15396613"/>
      <w:r>
        <w:rPr>
          <w:rFonts w:ascii="黑体" w:eastAsia="黑体" w:hint="eastAsia"/>
          <w:b/>
          <w:color w:val="000000"/>
          <w:sz w:val="44"/>
          <w:szCs w:val="44"/>
        </w:rPr>
        <w:t>名</w:t>
      </w:r>
      <w:r>
        <w:rPr>
          <w:rStyle w:val="1Char"/>
          <w:rFonts w:ascii="黑体" w:eastAsia="黑体" w:hint="eastAsia"/>
          <w:b w:val="0"/>
        </w:rPr>
        <w:t>词解释</w:t>
      </w:r>
      <w:bookmarkEnd w:id="55"/>
      <w:bookmarkEnd w:id="56"/>
    </w:p>
    <w:p>
      <w:pPr>
        <w:spacing w:line="600" w:lineRule="exact"/>
        <w:jc w:val="left"/>
        <w:rPr>
          <w:rFonts w:ascii="宋体"/>
          <w:b/>
          <w:color w:val="000000"/>
          <w:sz w:val="44"/>
          <w:szCs w:val="44"/>
        </w:rPr>
      </w:pP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1、财政拨款收入：指区级财政当年拨付的资金。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4、一般公共服务（类）财政事务（款）行政运行（项）：反映财政方面的支出。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5、一般公共服务支出（类）纪检监察事务（款）其他纪检监察事务支出（项）：反应本单位纪检监察相关事物支出。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6、文化体育与传媒支出（类）文化（款）群众文化（项）：反映群众文化方面的支出，包括基层文化馆（站）、群众艺术馆支出等。</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7、文化体育与传媒支出（类）新闻出版广播影视（款）广播（项）：反映广播系统职工工资及影视方面的支出。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8、社会保障和就业支出（类）行政事业单位离退休（款）  机关事业单位基本养老保险缴费支出★（项）：反映机关事业单位基本养老保险缴费。</w:t>
      </w:r>
    </w:p>
    <w:p>
      <w:pPr>
        <w:spacing w:line="600" w:lineRule="exact"/>
        <w:ind w:firstLineChars="200" w:firstLine="640"/>
        <w:rPr>
          <w:rStyle w:val="23"/>
          <w:rFonts w:ascii="仿宋" w:eastAsia="仿宋"/>
          <w:b w:val="0"/>
          <w:bCs/>
          <w:color w:val="000000"/>
          <w:sz w:val="32"/>
          <w:szCs w:val="32"/>
        </w:rPr>
      </w:pPr>
      <w:r>
        <w:rPr>
          <w:rFonts w:ascii="仿宋_GB2312" w:eastAsia="仿宋_GB2312" w:hint="eastAsia"/>
          <w:sz w:val="32"/>
          <w:szCs w:val="32"/>
        </w:rPr>
        <w:t>9、社会保障和就业支出（类）行政事业单位离退休（款）机关事业单位职业年金缴费支出★（项）：反应机关事业</w:t>
      </w:r>
      <w:r>
        <w:rPr>
          <w:rStyle w:val="23"/>
          <w:rFonts w:ascii="仿宋" w:eastAsia="仿宋" w:hint="eastAsia"/>
          <w:b w:val="0"/>
          <w:bCs/>
          <w:color w:val="000000"/>
          <w:sz w:val="32"/>
          <w:szCs w:val="32"/>
        </w:rPr>
        <w:t>单位职业年金单位部分缴费情况。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10社会保障和就业支出（类）抚恤（款）死亡抚恤（项）反应机关事业单位职工死亡抚恤金安葬费等情况。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11、社会保障和就业支出（类）抚恤（款）在乡复员、退伍军人生活补助（项）：反映复员、退伍军人领取的生活补助等方面的支出。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12、社会保障和就业支出（类）残疾人事业（款）其他残疾人事业支出（项）：主要反应残疾人专职委员相关工资福利费开支。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13、社会保障和就业支出（类）抚恤（款）义务兵优待（项）：反映义务兵优待方面的支出。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14、社会保障和就业支出（类）特困人员救助供养★（款）农村特困人员救助供养支出★（项）：反映用于城乡五保人员的生活补助支出。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15、医疗卫生与计划生育支出（类）计划生育事务（款）计划生育机构（项）：反映卫生和计划生育部门所属计划生育机构的支出。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18、医疗卫生与计划生育支出（类）行政事业单位医疗（款）公务员医疗补助★（项）：主要反映本单位公务员医疗补助缴费的情况。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19、医疗卫生与计划生育支出（类）计划生育事务（款）其他计划生育事物支出（项）：反应计划生育机构事业单位部门等发生的支出。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20、城乡社区支出（类）城乡社区环境卫生（款）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22、城乡社区支出（类）其他城乡社区支出（款）其他城乡社区支出（项）：反应城乡社区其他方面支出。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23、农林水支出（类）农业（款）事业运行（项）：反映用于农业事业单位基本支出，事业单位设施、系统运行与资产维护等方面的支出。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24、农林水支出（类）农业（款）农村道路建设（项）：反映对农村道路建设的补助支出。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25、农林水支出（类）扶贫（款）其他扶贫支出（项）：反映用于农村脱贫攻坚中的支出。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26、农林水支出（类）农业综合开发（款）产业化经营（项）：支出决算为10万元，主要反映农村产业发展的补助支出。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27、农林水支出（类）农村综合改革（款）对村级一事一议的补助（项）：反映农村对村级一事一议财政奖补情况的支出。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28、农林水支出（类）农村综合改革（款）对村民委员会和村支部的补助（项）：反映各级财政对村民委员会和村党支部的补助支出。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29、住房保障支出（类）住房改革支出（款）  住房公积金（项）：反映用于本乡职工住房公积金缴存等支出。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30、其他支出（类）彩票公益金及对应专项债务收入安排的支出（款）用于体育事业的彩票公益金支出（项）：反映用于本乡维修维护支出。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31、结余分配：指事业单位按规定提取的职工福利基金、事业基金和缴纳的所得税，以及建设单位按规定应交回的基本建设竣工项目结余资金。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32、年末结转和结余：指本年度或以前年度预算安排、因客观条件发生变化无法按原计划实施，需延迟到以后年度按有关规定继续使用的资金。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33、基本支出：指为保障机构正常运转、完成日常工作任务而发生的人员支出和公用支出。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34、项目支出：指在基本支出之外为完成特定行政任务和事业发展目标所发生的支出。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35、经营支出：指事业单位在专业业务活动及其辅助活动之外开展非独立核算经营活动发生的支出。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Chars="200" w:firstLine="640"/>
        <w:rPr>
          <w:rFonts w:ascii="仿宋_GB2312" w:eastAsia="仿宋_GB2312" w:cs="黑体"/>
          <w:sz w:val="32"/>
          <w:szCs w:val="32"/>
        </w:rPr>
      </w:pPr>
    </w:p>
    <w:p>
      <w:pPr>
        <w:spacing w:line="600" w:lineRule="exact"/>
        <w:ind w:firstLineChars="600" w:firstLine="2640"/>
        <w:outlineLvl w:val="0"/>
        <w:rPr>
          <w:rStyle w:val="1Char"/>
          <w:rFonts w:ascii="黑体" w:eastAsia="黑体"/>
          <w:b w:val="0"/>
        </w:rPr>
      </w:pPr>
      <w:bookmarkStart w:id="57" w:name="_Toc15396614"/>
      <w:bookmarkStart w:id="58" w:name="_Toc15377226"/>
      <w:r>
        <w:rPr>
          <w:rFonts w:ascii="黑体" w:eastAsia="黑体" w:hint="eastAsia"/>
          <w:color w:val="000000"/>
          <w:sz w:val="44"/>
          <w:szCs w:val="44"/>
        </w:rPr>
        <w:t>第</w:t>
      </w:r>
      <w:r>
        <w:rPr>
          <w:rStyle w:val="1Char"/>
          <w:rFonts w:ascii="黑体" w:eastAsia="黑体" w:hint="eastAsia"/>
          <w:b w:val="0"/>
        </w:rPr>
        <w:t>四部分 附件</w:t>
      </w:r>
      <w:bookmarkEnd w:id="57"/>
    </w:p>
    <w:p>
      <w:pPr>
        <w:spacing w:line="600" w:lineRule="exact"/>
        <w:outlineLvl w:val="0"/>
        <w:rPr>
          <w:rStyle w:val="1Char"/>
        </w:rPr>
      </w:pPr>
    </w:p>
    <w:p>
      <w:pPr>
        <w:pStyle w:val="2"/>
        <w:rPr>
          <w:rStyle w:val="1Char"/>
          <w:rFonts w:ascii="仿宋" w:eastAsia="仿宋"/>
          <w:sz w:val="32"/>
          <w:szCs w:val="32"/>
        </w:rPr>
      </w:pPr>
      <w:bookmarkStart w:id="59" w:name="_Toc15396615"/>
      <w:r>
        <w:rPr>
          <w:rStyle w:val="1Char"/>
          <w:rFonts w:ascii="仿宋" w:eastAsia="仿宋" w:hint="eastAsia"/>
          <w:sz w:val="32"/>
          <w:szCs w:val="32"/>
        </w:rPr>
        <w:t>附件1</w:t>
      </w:r>
      <w:bookmarkEnd w:id="59"/>
    </w:p>
    <w:p>
      <w:pPr>
        <w:spacing w:line="600" w:lineRule="exact"/>
        <w:jc w:val="center"/>
        <w:outlineLvl w:val="0"/>
        <w:rPr>
          <w:rFonts w:ascii="黑体" w:eastAsia="黑体" w:cs="方正小标宋简体"/>
          <w:sz w:val="36"/>
          <w:szCs w:val="36"/>
        </w:rPr>
      </w:pPr>
      <w:bookmarkStart w:id="60" w:name="_Toc15396616"/>
      <w:r>
        <w:rPr>
          <w:rFonts w:ascii="黑体" w:eastAsia="黑体" w:cs="方正小标宋简体" w:hint="eastAsia"/>
          <w:sz w:val="36"/>
          <w:szCs w:val="36"/>
        </w:rPr>
        <w:t>达州市达川区渡市镇部门2019年部门整体支出绩效评价报告</w:t>
      </w:r>
      <w:bookmarkEnd w:id="60"/>
    </w:p>
    <w:p>
      <w:pPr>
        <w:spacing w:line="580" w:lineRule="exact"/>
        <w:ind w:firstLineChars="200" w:firstLine="640"/>
        <w:rPr>
          <w:rFonts w:ascii="黑体" w:eastAsia="黑体" w:cs="黑体"/>
          <w:sz w:val="32"/>
          <w:szCs w:val="32"/>
        </w:rPr>
      </w:pPr>
    </w:p>
    <w:p>
      <w:pPr>
        <w:numPr>
          <w:ilvl w:val="0"/>
          <w:numId w:val="9"/>
        </w:numPr>
        <w:spacing w:line="580" w:lineRule="exact"/>
        <w:ind w:left="0" w:firstLineChars="200" w:firstLine="640"/>
        <w:rPr>
          <w:rFonts w:ascii="黑体" w:eastAsia="黑体" w:cs="黑体"/>
          <w:sz w:val="32"/>
          <w:szCs w:val="32"/>
        </w:rPr>
      </w:pPr>
      <w:r>
        <w:rPr>
          <w:rFonts w:ascii="黑体" w:eastAsia="黑体" w:cs="黑体" w:hint="eastAsia"/>
          <w:sz w:val="32"/>
          <w:szCs w:val="32"/>
        </w:rPr>
        <w:t>部门（单位）概况</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达川区渡市镇东邻申家乡，南邻木头乡，西依渠县的汇东乡，北连陈家、罐子镇，横跨州河，四周高、中间低，周围是山地，距离城区52公里，乡镇人口32718人（贫困人口2474人），11个行政村1个社区（其中贫困村4个），155个社（其中：居民小组10个）。</w:t>
      </w:r>
    </w:p>
    <w:p>
      <w:pPr>
        <w:spacing w:line="580" w:lineRule="exact"/>
        <w:ind w:firstLineChars="200" w:firstLine="640"/>
        <w:rPr>
          <w:rFonts w:ascii="仿宋" w:eastAsia="仿宋" w:cs="仿宋_GB2312"/>
          <w:sz w:val="32"/>
          <w:szCs w:val="32"/>
        </w:rPr>
      </w:pPr>
      <w:r>
        <w:rPr>
          <w:rFonts w:ascii="仿宋" w:eastAsia="仿宋" w:cs="仿宋_GB2312"/>
          <w:sz w:val="32"/>
          <w:szCs w:val="32"/>
        </w:rPr>
        <w:t>（一）机构组成。</w:t>
      </w:r>
    </w:p>
    <w:p>
      <w:pPr>
        <w:spacing w:line="578" w:lineRule="exact"/>
        <w:ind w:firstLineChars="200" w:firstLine="640"/>
        <w:rPr>
          <w:rFonts w:ascii="仿宋_GB2312" w:eastAsia="仿宋_GB2312"/>
          <w:sz w:val="32"/>
          <w:szCs w:val="32"/>
        </w:rPr>
      </w:pPr>
      <w:r>
        <w:rPr>
          <w:rFonts w:ascii="仿宋_GB2312" w:eastAsia="仿宋_GB2312" w:hint="eastAsia"/>
          <w:sz w:val="32"/>
          <w:szCs w:val="32"/>
        </w:rPr>
        <w:t>渡市镇纳入一级决算单位5个，其中行政单位1个，其他事业单位4个。</w:t>
      </w:r>
    </w:p>
    <w:p>
      <w:pPr>
        <w:numPr>
          <w:ilvl w:val="0"/>
          <w:numId w:val="10"/>
        </w:numPr>
        <w:spacing w:line="580" w:lineRule="exact"/>
        <w:ind w:left="0" w:firstLineChars="200" w:firstLine="640"/>
        <w:rPr>
          <w:rFonts w:ascii="仿宋" w:eastAsia="仿宋" w:cs="仿宋_GB2312"/>
          <w:sz w:val="32"/>
          <w:szCs w:val="32"/>
        </w:rPr>
      </w:pPr>
      <w:r>
        <w:rPr>
          <w:rFonts w:ascii="仿宋" w:eastAsia="仿宋" w:cs="仿宋_GB2312"/>
          <w:sz w:val="32"/>
          <w:szCs w:val="32"/>
        </w:rPr>
        <w:t>机构职能。</w:t>
      </w:r>
    </w:p>
    <w:p>
      <w:pPr>
        <w:pStyle w:val="15"/>
        <w:adjustRightInd w:val="0"/>
        <w:snapToGrid w:val="0"/>
        <w:spacing w:beforeLines="0" w:before="93" w:line="600" w:lineRule="exact"/>
        <w:ind w:firstLineChars="209" w:firstLine="672"/>
        <w:rPr>
          <w:bCs/>
          <w:color w:val="000000"/>
          <w:sz w:val="32"/>
          <w:szCs w:val="32"/>
        </w:rPr>
      </w:pPr>
      <w:r>
        <w:rPr>
          <w:rFonts w:hint="eastAsia"/>
          <w:sz w:val="32"/>
          <w:szCs w:val="32"/>
        </w:rPr>
        <w:t>渡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渡市镇经济发展、改善人民生活、保持农村社会稳定、偿还乡镇和村级债务、搞好场镇建设和加快新农村基础设施建设工作和脱贫攻坚工作。</w:t>
      </w:r>
    </w:p>
    <w:p>
      <w:pPr>
        <w:spacing w:line="580" w:lineRule="exact"/>
        <w:ind w:firstLineChars="200" w:firstLine="640"/>
        <w:rPr>
          <w:rFonts w:ascii="仿宋" w:eastAsia="仿宋" w:cs="仿宋_GB2312"/>
          <w:sz w:val="32"/>
          <w:szCs w:val="32"/>
        </w:rPr>
      </w:pPr>
      <w:r>
        <w:rPr>
          <w:rFonts w:ascii="仿宋" w:eastAsia="仿宋" w:cs="仿宋_GB2312"/>
          <w:sz w:val="32"/>
          <w:szCs w:val="32"/>
        </w:rPr>
        <w:t>（三）人员概况。</w:t>
      </w:r>
    </w:p>
    <w:p>
      <w:pPr>
        <w:spacing w:line="580" w:lineRule="exact"/>
        <w:ind w:firstLineChars="200" w:firstLine="640"/>
        <w:rPr>
          <w:rFonts w:ascii="仿宋" w:eastAsia="仿宋" w:cs="仿宋_GB2312"/>
          <w:sz w:val="32"/>
          <w:szCs w:val="32"/>
        </w:rPr>
      </w:pPr>
      <w:r>
        <w:rPr>
          <w:rFonts w:eastAsia="仿宋" w:hint="eastAsia"/>
          <w:sz w:val="32"/>
          <w:szCs w:val="32"/>
        </w:rPr>
        <w:t>渡市镇</w:t>
      </w:r>
      <w:r>
        <w:rPr>
          <w:rFonts w:eastAsia="仿宋"/>
          <w:sz w:val="32"/>
          <w:szCs w:val="32"/>
        </w:rPr>
        <w:t>编制人数</w:t>
      </w:r>
      <w:r>
        <w:rPr>
          <w:rFonts w:eastAsia="仿宋" w:hint="eastAsia"/>
          <w:sz w:val="32"/>
          <w:szCs w:val="32"/>
        </w:rPr>
        <w:t>63</w:t>
      </w:r>
      <w:r>
        <w:rPr>
          <w:rFonts w:eastAsia="仿宋"/>
          <w:sz w:val="32"/>
          <w:szCs w:val="32"/>
        </w:rPr>
        <w:t>人，其中行政编制</w:t>
      </w:r>
      <w:r>
        <w:rPr>
          <w:rFonts w:eastAsia="仿宋" w:hint="eastAsia"/>
          <w:sz w:val="32"/>
          <w:szCs w:val="32"/>
        </w:rPr>
        <w:t>34</w:t>
      </w:r>
      <w:r>
        <w:rPr>
          <w:rFonts w:eastAsia="仿宋"/>
          <w:sz w:val="32"/>
          <w:szCs w:val="32"/>
        </w:rPr>
        <w:t>人(含工勤</w:t>
      </w:r>
      <w:r>
        <w:rPr>
          <w:rFonts w:eastAsia="仿宋" w:hint="eastAsia"/>
          <w:sz w:val="32"/>
          <w:szCs w:val="32"/>
        </w:rPr>
        <w:t>5</w:t>
      </w:r>
      <w:r>
        <w:rPr>
          <w:rFonts w:eastAsia="仿宋"/>
          <w:sz w:val="32"/>
          <w:szCs w:val="32"/>
        </w:rPr>
        <w:t>人)，事业编制</w:t>
      </w:r>
      <w:r>
        <w:rPr>
          <w:rFonts w:eastAsia="仿宋" w:hint="eastAsia"/>
          <w:sz w:val="32"/>
          <w:szCs w:val="32"/>
        </w:rPr>
        <w:t>29</w:t>
      </w:r>
      <w:r>
        <w:rPr>
          <w:rFonts w:eastAsia="仿宋"/>
          <w:sz w:val="32"/>
          <w:szCs w:val="32"/>
        </w:rPr>
        <w:t>人；201</w:t>
      </w:r>
      <w:r>
        <w:rPr>
          <w:rFonts w:eastAsia="仿宋" w:hint="eastAsia"/>
          <w:sz w:val="32"/>
          <w:szCs w:val="32"/>
        </w:rPr>
        <w:t>9</w:t>
      </w:r>
      <w:r>
        <w:rPr>
          <w:rFonts w:eastAsia="仿宋"/>
          <w:sz w:val="32"/>
          <w:szCs w:val="32"/>
        </w:rPr>
        <w:t>年末实有人数</w:t>
      </w:r>
      <w:r>
        <w:rPr>
          <w:rFonts w:eastAsia="仿宋" w:hint="eastAsia"/>
          <w:sz w:val="32"/>
          <w:szCs w:val="32"/>
        </w:rPr>
        <w:t>63</w:t>
      </w:r>
      <w:r>
        <w:rPr>
          <w:rFonts w:eastAsia="仿宋"/>
          <w:sz w:val="32"/>
          <w:szCs w:val="32"/>
        </w:rPr>
        <w:t>人，其中公共预算财政拨款人数</w:t>
      </w:r>
      <w:r>
        <w:rPr>
          <w:rFonts w:eastAsia="仿宋" w:hint="eastAsia"/>
          <w:sz w:val="32"/>
          <w:szCs w:val="32"/>
        </w:rPr>
        <w:t>34</w:t>
      </w:r>
      <w:r>
        <w:rPr>
          <w:rFonts w:eastAsia="仿宋"/>
          <w:sz w:val="32"/>
          <w:szCs w:val="32"/>
        </w:rPr>
        <w:t>人，公共预算财政补助开支人数</w:t>
      </w:r>
      <w:r>
        <w:rPr>
          <w:rFonts w:eastAsia="仿宋" w:hint="eastAsia"/>
          <w:sz w:val="32"/>
          <w:szCs w:val="32"/>
        </w:rPr>
        <w:t>29</w:t>
      </w:r>
      <w:r>
        <w:rPr>
          <w:rFonts w:eastAsia="仿宋"/>
          <w:sz w:val="32"/>
          <w:szCs w:val="32"/>
        </w:rPr>
        <w:t>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600" w:lineRule="exact"/>
        <w:ind w:firstLineChars="200" w:firstLine="640"/>
        <w:outlineLvl w:val="1"/>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rPr>
        <w:t>9年本年收入合计</w:t>
      </w:r>
      <w:r>
        <w:rPr>
          <w:rFonts w:eastAsia="仿宋" w:hint="eastAsia"/>
          <w:sz w:val="32"/>
          <w:szCs w:val="32"/>
        </w:rPr>
        <w:t>2863.99</w:t>
      </w:r>
      <w:r>
        <w:rPr>
          <w:rFonts w:ascii="仿宋" w:eastAsia="仿宋" w:hint="eastAsia"/>
          <w:color w:val="000000"/>
          <w:sz w:val="32"/>
          <w:szCs w:val="32"/>
        </w:rPr>
        <w:t>万元，其中：一般公共预算财政拨款收入2742.99万元，占95.7</w:t>
      </w:r>
      <w:r>
        <w:rPr>
          <w:rFonts w:ascii="仿宋" w:eastAsia="仿宋"/>
          <w:color w:val="000000"/>
          <w:sz w:val="32"/>
          <w:szCs w:val="32"/>
        </w:rPr>
        <w:t>%</w:t>
      </w:r>
      <w:r>
        <w:rPr>
          <w:rFonts w:ascii="仿宋" w:eastAsia="仿宋" w:hint="eastAsia"/>
          <w:color w:val="000000"/>
          <w:sz w:val="32"/>
          <w:szCs w:val="32"/>
        </w:rPr>
        <w:t>；政府性基金预算财政拨款收入121万元，占4.3</w:t>
      </w:r>
      <w:r>
        <w:rPr>
          <w:rFonts w:ascii="仿宋" w:eastAsia="仿宋"/>
          <w:color w:val="000000"/>
          <w:sz w:val="32"/>
          <w:szCs w:val="32"/>
        </w:rPr>
        <w:t>%</w:t>
      </w:r>
      <w:r>
        <w:rPr>
          <w:rFonts w:ascii="仿宋" w:eastAsia="仿宋" w:hint="eastAsia"/>
          <w:color w:val="000000"/>
          <w:sz w:val="32"/>
          <w:szCs w:val="32"/>
        </w:rPr>
        <w:t>。</w:t>
      </w:r>
    </w:p>
    <w:p>
      <w:pPr>
        <w:numPr>
          <w:ilvl w:val="0"/>
          <w:numId w:val="10"/>
        </w:numPr>
        <w:spacing w:line="580" w:lineRule="exact"/>
        <w:ind w:left="0" w:firstLineChars="200" w:firstLine="64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9年本年支出合计</w:t>
      </w:r>
      <w:r>
        <w:rPr>
          <w:rFonts w:eastAsia="仿宋" w:hint="eastAsia"/>
          <w:sz w:val="32"/>
          <w:szCs w:val="32"/>
        </w:rPr>
        <w:t>2863.99</w:t>
      </w:r>
      <w:r>
        <w:rPr>
          <w:rFonts w:ascii="仿宋" w:eastAsia="仿宋" w:hint="eastAsia"/>
          <w:color w:val="000000"/>
          <w:sz w:val="32"/>
          <w:szCs w:val="32"/>
        </w:rPr>
        <w:t>万元，其中：基本支出</w:t>
      </w:r>
      <w:r>
        <w:rPr>
          <w:rFonts w:eastAsia="仿宋" w:hint="eastAsia"/>
          <w:sz w:val="32"/>
          <w:szCs w:val="32"/>
        </w:rPr>
        <w:t>2157.54</w:t>
      </w:r>
      <w:r>
        <w:rPr>
          <w:rFonts w:ascii="仿宋" w:eastAsia="仿宋" w:hint="eastAsia"/>
          <w:color w:val="000000"/>
          <w:sz w:val="32"/>
          <w:szCs w:val="32"/>
        </w:rPr>
        <w:t>万元，占</w:t>
      </w:r>
      <w:r>
        <w:rPr>
          <w:rFonts w:eastAsia="仿宋" w:hint="eastAsia"/>
          <w:sz w:val="32"/>
          <w:szCs w:val="32"/>
        </w:rPr>
        <w:t>75.33</w:t>
      </w:r>
      <w:r>
        <w:rPr>
          <w:rFonts w:ascii="仿宋" w:eastAsia="仿宋"/>
          <w:color w:val="000000"/>
          <w:sz w:val="32"/>
          <w:szCs w:val="32"/>
        </w:rPr>
        <w:t>%</w:t>
      </w:r>
      <w:r>
        <w:rPr>
          <w:rFonts w:ascii="仿宋" w:eastAsia="仿宋" w:hint="eastAsia"/>
          <w:color w:val="000000"/>
          <w:sz w:val="32"/>
          <w:szCs w:val="32"/>
        </w:rPr>
        <w:t>；项目支出</w:t>
      </w:r>
      <w:r>
        <w:rPr>
          <w:rFonts w:eastAsia="仿宋" w:hint="eastAsia"/>
          <w:sz w:val="32"/>
          <w:szCs w:val="32"/>
        </w:rPr>
        <w:t>706.35</w:t>
      </w:r>
      <w:r>
        <w:rPr>
          <w:rFonts w:ascii="仿宋" w:eastAsia="仿宋" w:hint="eastAsia"/>
          <w:color w:val="000000"/>
          <w:sz w:val="32"/>
          <w:szCs w:val="32"/>
        </w:rPr>
        <w:t>万元，占</w:t>
      </w:r>
      <w:r>
        <w:rPr>
          <w:rFonts w:eastAsia="仿宋" w:hint="eastAsia"/>
          <w:sz w:val="32"/>
          <w:szCs w:val="32"/>
        </w:rPr>
        <w:t>24.67</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（三）结果应用情况。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总体看，我单位预算编制及执行决算较为准确，支出管理较为规范，财务管理制度较完善，部门整体绩效较好。部门支出绩效自评得分为100分。</w:t>
      </w:r>
    </w:p>
    <w:p>
      <w:pPr>
        <w:numPr>
          <w:ilvl w:val="0"/>
          <w:numId w:val="11"/>
        </w:numPr>
        <w:spacing w:line="580" w:lineRule="exact"/>
        <w:ind w:left="0" w:firstLineChars="200" w:firstLine="640"/>
        <w:rPr>
          <w:rFonts w:ascii="仿宋" w:eastAsia="仿宋" w:cs="仿宋_GB2312"/>
          <w:sz w:val="32"/>
          <w:szCs w:val="32"/>
        </w:rPr>
      </w:pPr>
      <w:r>
        <w:rPr>
          <w:rFonts w:ascii="仿宋" w:eastAsia="仿宋" w:cs="仿宋_GB2312"/>
          <w:sz w:val="32"/>
          <w:szCs w:val="32"/>
        </w:rPr>
        <w:t>存在问题。</w:t>
      </w:r>
    </w:p>
    <w:p>
      <w:pPr>
        <w:spacing w:line="578" w:lineRule="exact"/>
        <w:ind w:firstLineChars="200" w:firstLine="640"/>
        <w:rPr>
          <w:rFonts w:ascii="仿宋" w:eastAsia="仿宋" w:cs="仿宋"/>
          <w:sz w:val="32"/>
          <w:szCs w:val="32"/>
        </w:rPr>
      </w:pPr>
      <w:r>
        <w:rPr>
          <w:rFonts w:ascii="仿宋" w:eastAsia="仿宋" w:cs="仿宋" w:hint="eastAsia"/>
          <w:sz w:val="32"/>
          <w:szCs w:val="32"/>
        </w:rPr>
        <w:t>1、政府采购方面。政府采购方面存在等的思想，不能及时与上级沟通。</w:t>
      </w:r>
    </w:p>
    <w:p>
      <w:pPr>
        <w:spacing w:line="578" w:lineRule="exact"/>
        <w:ind w:firstLineChars="200" w:firstLine="640"/>
        <w:rPr>
          <w:rFonts w:ascii="仿宋" w:eastAsia="仿宋" w:cs="仿宋"/>
          <w:sz w:val="32"/>
          <w:szCs w:val="32"/>
        </w:rPr>
      </w:pPr>
      <w:r>
        <w:rPr>
          <w:rFonts w:ascii="仿宋" w:eastAsia="仿宋" w:cs="仿宋" w:hint="eastAsia"/>
          <w:sz w:val="32"/>
          <w:szCs w:val="32"/>
        </w:rPr>
        <w:t>2、资产管理方面。在平时工作中对资产管理的知识学习不够，经验不足。</w:t>
      </w:r>
    </w:p>
    <w:p>
      <w:pPr>
        <w:spacing w:line="578" w:lineRule="exact"/>
        <w:ind w:firstLineChars="200" w:firstLine="640"/>
        <w:rPr>
          <w:rFonts w:ascii="仿宋" w:eastAsia="仿宋" w:cs="仿宋"/>
          <w:sz w:val="32"/>
          <w:szCs w:val="32"/>
        </w:rPr>
      </w:pPr>
      <w:r>
        <w:rPr>
          <w:rFonts w:ascii="仿宋" w:eastAsia="仿宋" w:cs="仿宋"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 w:eastAsia="仿宋" w:cs="仿宋" w:hint="eastAsia"/>
          <w:sz w:val="32"/>
          <w:szCs w:val="32"/>
        </w:rPr>
        <w:t>4、人员管理方面。在平时工作中对人员管理还不是很严格，存在时紧时松的现象。</w:t>
      </w:r>
    </w:p>
    <w:p>
      <w:pPr>
        <w:spacing w:line="580" w:lineRule="exact"/>
        <w:ind w:firstLineChars="200" w:firstLine="640"/>
        <w:rPr>
          <w:rFonts w:ascii="仿宋" w:eastAsia="仿宋" w:cs="仿宋_GB2312"/>
          <w:sz w:val="32"/>
          <w:szCs w:val="32"/>
        </w:rPr>
      </w:pPr>
      <w:r>
        <w:rPr>
          <w:rFonts w:ascii="仿宋" w:eastAsia="仿宋" w:cs="仿宋_GB2312"/>
          <w:sz w:val="32"/>
          <w:szCs w:val="32"/>
        </w:rPr>
        <w:t>（三）改进建议。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1、提高预算编制质量。严格按照年初的预算编制，落实好资金的分配，及时报送相关资料。</w:t>
      </w:r>
    </w:p>
    <w:p>
      <w:pPr>
        <w:spacing w:line="578" w:lineRule="exact"/>
        <w:ind w:firstLineChars="200" w:firstLine="640"/>
        <w:rPr>
          <w:rFonts w:ascii="仿宋" w:eastAsia="仿宋" w:cs="仿宋"/>
          <w:sz w:val="32"/>
          <w:szCs w:val="32"/>
        </w:rPr>
      </w:pPr>
      <w:r>
        <w:rPr>
          <w:rFonts w:ascii="仿宋" w:eastAsia="仿宋" w:cs="仿宋" w:hint="eastAsia"/>
          <w:sz w:val="32"/>
          <w:szCs w:val="32"/>
        </w:rPr>
        <w:t>2、严格执行政府采购。严格按照行政采购计划，采购程序进行采购。</w:t>
      </w:r>
    </w:p>
    <w:p>
      <w:pPr>
        <w:spacing w:line="578" w:lineRule="exact"/>
        <w:ind w:firstLineChars="200" w:firstLine="640"/>
        <w:rPr>
          <w:rFonts w:ascii="仿宋" w:eastAsia="仿宋" w:cs="仿宋"/>
          <w:sz w:val="32"/>
          <w:szCs w:val="32"/>
        </w:rPr>
      </w:pPr>
      <w:r>
        <w:rPr>
          <w:rFonts w:ascii="仿宋" w:eastAsia="仿宋" w:cs="仿宋"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sz w:val="32"/>
          <w:szCs w:val="32"/>
        </w:rPr>
      </w:pPr>
      <w:r>
        <w:rPr>
          <w:rFonts w:ascii="仿宋" w:eastAsia="仿宋" w:cs="仿宋"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sz w:val="32"/>
          <w:szCs w:val="32"/>
        </w:rPr>
      </w:pPr>
      <w:r>
        <w:rPr>
          <w:rFonts w:ascii="仿宋" w:eastAsia="仿宋" w:cs="仿宋" w:hint="eastAsia"/>
          <w:sz w:val="32"/>
          <w:szCs w:val="32"/>
        </w:rPr>
        <w:t>5、人员管理。严格加强人员管理，坚持上下班制度，不迟到早退，遵守人员管理制度。</w:t>
      </w:r>
    </w:p>
    <w:p>
      <w:pPr>
        <w:widowControl/>
        <w:ind w:firstLineChars="100" w:firstLine="320"/>
        <w:jc w:val="left"/>
        <w:rPr>
          <w:rStyle w:val="1Char"/>
          <w:rFonts w:ascii="仿宋" w:eastAsia="仿宋"/>
          <w:b w:val="0"/>
          <w:bCs w:val="0"/>
          <w:sz w:val="32"/>
          <w:szCs w:val="32"/>
        </w:rPr>
      </w:pPr>
      <w:bookmarkStart w:id="61" w:name="_Toc15396617"/>
    </w:p>
    <w:p>
      <w:pPr>
        <w:widowControl/>
        <w:ind w:firstLineChars="100" w:firstLine="320"/>
        <w:jc w:val="left"/>
        <w:rPr>
          <w:rStyle w:val="1Char"/>
          <w:rFonts w:ascii="仿宋" w:eastAsia="仿宋"/>
          <w:b w:val="0"/>
          <w:bCs w:val="0"/>
          <w:sz w:val="32"/>
          <w:szCs w:val="32"/>
        </w:rPr>
      </w:pPr>
    </w:p>
    <w:p>
      <w:pPr>
        <w:widowControl/>
        <w:jc w:val="left"/>
        <w:rPr>
          <w:rStyle w:val="1Char"/>
          <w:rFonts w:ascii="仿宋" w:eastAsia="仿宋"/>
          <w:b w:val="0"/>
          <w:bCs w:val="0"/>
          <w:sz w:val="32"/>
          <w:szCs w:val="32"/>
        </w:rPr>
      </w:pPr>
      <w:r>
        <w:rPr>
          <w:rStyle w:val="1Char"/>
          <w:rFonts w:ascii="仿宋" w:eastAsia="仿宋" w:hint="eastAsia"/>
          <w:b w:val="0"/>
          <w:bCs w:val="0"/>
          <w:sz w:val="32"/>
          <w:szCs w:val="32"/>
        </w:rPr>
        <w:t>附件2</w:t>
      </w:r>
      <w:bookmarkEnd w:id="61"/>
    </w:p>
    <w:p>
      <w:pPr>
        <w:spacing w:line="580" w:lineRule="exact"/>
        <w:jc w:val="center"/>
        <w:rPr>
          <w:rFonts w:ascii="黑体" w:eastAsia="黑体" w:cs="方正小标宋简体"/>
          <w:sz w:val="44"/>
          <w:szCs w:val="44"/>
        </w:rPr>
      </w:pPr>
      <w:r>
        <w:rPr>
          <w:rFonts w:ascii="黑体" w:eastAsia="黑体" w:cs="方正小标宋简体" w:hint="eastAsia"/>
          <w:sz w:val="44"/>
          <w:szCs w:val="44"/>
        </w:rPr>
        <w:t>达川区渡市镇2019年财力保障项目支出绩效评价报告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达川区渡市镇2019年财力保障项目资金255万元，其中：保运行资金217万元，用于政府日常工作正常运转；促发展资金9万元，用于脱贫攻坚产业发展7万元，化债资金13万元，用于解决历年欠款；解困资金4万元，解决我镇的一些困难户的救济；信访维稳资金5万元，用于全镇</w:t>
      </w:r>
      <w:r>
        <w:rPr>
          <w:rFonts w:ascii="仿宋" w:eastAsia="仿宋" w:cs="仿宋_GB2312" w:hint="eastAsia"/>
          <w:sz w:val="32"/>
          <w:szCs w:val="32"/>
          <w:lang w:val="zh-CN"/>
        </w:rPr>
        <w:t>安全、信访、维稳。</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确保政府日常工作正常运转；进一步解决历年欠款债务，确保社会和谐，维护社会稳定；农村基础设施环境建设得到加强，改善农村生产生活条件，提高村民幸福生活指数，促进农村社会事业的发展和镇风文明水平的提高。</w:t>
      </w:r>
    </w:p>
    <w:p>
      <w:pPr>
        <w:spacing w:line="580" w:lineRule="exact"/>
        <w:ind w:firstLineChars="200" w:firstLine="640"/>
        <w:rPr>
          <w:rFonts w:ascii="仿宋" w:eastAsia="仿宋" w:cs="仿宋_GB2312"/>
          <w:sz w:val="32"/>
          <w:szCs w:val="32"/>
        </w:rPr>
      </w:pPr>
      <w:r>
        <w:rPr>
          <w:rFonts w:ascii="仿宋" w:eastAsia="仿宋" w:cs="仿宋_GB2312"/>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1、项目决策</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2019年财力保障</w:t>
      </w:r>
      <w:r>
        <w:rPr>
          <w:rFonts w:ascii="仿宋" w:eastAsia="仿宋" w:cs="仿宋" w:hint="eastAsia"/>
          <w:sz w:val="32"/>
          <w:szCs w:val="32"/>
          <w:lang w:val="zh-CN"/>
        </w:rPr>
        <w:t>项目申报严格按照上级要求明确绩效目标，控制成本，提高项目发挥作用，严格按照项目的程序进行申报，严格按照批复项目的内容，符合资金管理办法等相关规定</w:t>
      </w:r>
      <w:r>
        <w:rPr>
          <w:rFonts w:ascii="仿宋" w:eastAsia="仿宋" w:cs="仿宋" w:hint="eastAsia"/>
          <w:sz w:val="32"/>
          <w:szCs w:val="32"/>
        </w:rPr>
        <w:t>使用</w:t>
      </w:r>
      <w:r>
        <w:rPr>
          <w:rFonts w:ascii="仿宋" w:eastAsia="仿宋" w:cs="仿宋" w:hint="eastAsia"/>
          <w:sz w:val="32"/>
          <w:szCs w:val="32"/>
          <w:lang w:val="zh-CN"/>
        </w:rPr>
        <w:t>。</w:t>
      </w:r>
    </w:p>
    <w:p>
      <w:pPr>
        <w:spacing w:line="580" w:lineRule="exact"/>
        <w:ind w:firstLineChars="200" w:firstLine="640"/>
        <w:rPr>
          <w:rFonts w:ascii="仿宋" w:eastAsia="仿宋" w:cs="仿宋_GB2312"/>
          <w:sz w:val="32"/>
          <w:szCs w:val="32"/>
        </w:rPr>
      </w:pPr>
      <w:r>
        <w:rPr>
          <w:rFonts w:ascii="仿宋" w:eastAsia="仿宋" w:cs="仿宋_GB2312"/>
          <w:sz w:val="32"/>
          <w:szCs w:val="32"/>
        </w:rPr>
        <w:t>2、项目管理</w:t>
      </w:r>
    </w:p>
    <w:p>
      <w:pPr>
        <w:spacing w:line="578" w:lineRule="exact"/>
        <w:ind w:firstLineChars="200" w:firstLine="640"/>
        <w:rPr>
          <w:rFonts w:ascii="仿宋" w:eastAsia="仿宋" w:cs="仿宋_GB2312"/>
          <w:sz w:val="32"/>
          <w:szCs w:val="32"/>
        </w:rPr>
      </w:pPr>
      <w:r>
        <w:rPr>
          <w:rFonts w:ascii="仿宋" w:eastAsia="仿宋" w:cs="仿宋" w:hint="eastAsia"/>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仿宋" w:eastAsia="仿宋" w:cs="仿宋_GB2312"/>
          <w:sz w:val="32"/>
          <w:szCs w:val="32"/>
        </w:rPr>
      </w:pPr>
      <w:r>
        <w:rPr>
          <w:rFonts w:ascii="仿宋" w:eastAsia="仿宋" w:cs="仿宋_GB2312"/>
          <w:sz w:val="32"/>
          <w:szCs w:val="32"/>
        </w:rPr>
        <w:t>3、项目绩效</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lang w:val="zh-CN"/>
        </w:rPr>
        <w:t>通过我镇全体工作人员的努力下，各项工作圆满完成，</w:t>
      </w:r>
      <w:r>
        <w:rPr>
          <w:rFonts w:ascii="仿宋" w:eastAsia="仿宋" w:cs="仿宋" w:hint="eastAsia"/>
          <w:sz w:val="32"/>
          <w:szCs w:val="32"/>
        </w:rPr>
        <w:t>化解了以前的一些</w:t>
      </w:r>
      <w:r>
        <w:rPr>
          <w:rFonts w:ascii="仿宋" w:eastAsia="仿宋" w:cs="仿宋" w:hint="eastAsia"/>
          <w:sz w:val="32"/>
          <w:szCs w:val="32"/>
          <w:lang w:val="zh-CN"/>
        </w:rPr>
        <w:t>债务，促进我镇脱贫攻坚中的产业发展，解决了我镇的一些困难户的救济，解决了上访人员的一些实际困难，</w:t>
      </w:r>
      <w:r>
        <w:rPr>
          <w:rFonts w:ascii="仿宋" w:eastAsia="仿宋" w:cs="仿宋" w:hint="eastAsia"/>
          <w:sz w:val="32"/>
          <w:szCs w:val="32"/>
        </w:rPr>
        <w:t>确保了政府日常工作正常运转、社会和谐，维护了社会稳定。</w:t>
      </w:r>
      <w:r>
        <w:rPr>
          <w:rFonts w:ascii="仿宋" w:eastAsia="仿宋" w:cs="仿宋" w:hint="eastAsia"/>
          <w:sz w:val="32"/>
          <w:szCs w:val="32"/>
          <w:lang w:val="zh-CN"/>
        </w:rPr>
        <w:t>充分调动了民主参与，民主管理，民主管理的积极性。</w:t>
      </w:r>
    </w:p>
    <w:p>
      <w:pPr>
        <w:numPr>
          <w:ilvl w:val="0"/>
          <w:numId w:val="9"/>
        </w:numPr>
        <w:spacing w:line="580" w:lineRule="exact"/>
        <w:ind w:left="0" w:firstLineChars="200" w:firstLine="640"/>
        <w:rPr>
          <w:rFonts w:ascii="仿宋" w:eastAsia="仿宋" w:cs="仿宋_GB2312"/>
          <w:sz w:val="32"/>
          <w:szCs w:val="32"/>
        </w:rPr>
      </w:pPr>
      <w:r>
        <w:rPr>
          <w:rFonts w:ascii="仿宋" w:eastAsia="仿宋" w:cs="仿宋_GB2312"/>
          <w:sz w:val="32"/>
          <w:szCs w:val="32"/>
        </w:rPr>
        <w:t>存在主要问题</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1、</w:t>
      </w:r>
      <w:r>
        <w:rPr>
          <w:rFonts w:ascii="仿宋" w:eastAsia="仿宋" w:cs="仿宋" w:hint="eastAsia"/>
          <w:sz w:val="32"/>
          <w:szCs w:val="32"/>
          <w:lang w:val="zh-CN"/>
        </w:rPr>
        <w:t>财政项目自评报告对于本单位来说是刚开展的一项工作，缺乏经验，资金管理制度没有完整的建立起来。</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2、</w:t>
      </w:r>
      <w:r>
        <w:rPr>
          <w:rFonts w:ascii="仿宋" w:eastAsia="仿宋" w:cs="仿宋" w:hint="eastAsia"/>
          <w:sz w:val="32"/>
          <w:szCs w:val="32"/>
          <w:lang w:val="zh-CN"/>
        </w:rPr>
        <w:t>历年存在欠款的现象，主要是历年的一些债务较多，镇党委政府无力偿还，也没其他的收入，只有等财政拨款收入才能去偿还，有一些等靠思想，积极主动性还不够。</w:t>
      </w:r>
    </w:p>
    <w:p>
      <w:pPr>
        <w:spacing w:line="580" w:lineRule="exact"/>
        <w:ind w:leftChars="200" w:left="420"/>
        <w:rPr>
          <w:rFonts w:ascii="仿宋" w:eastAsia="仿宋" w:cs="仿宋_GB2312"/>
          <w:sz w:val="32"/>
          <w:szCs w:val="32"/>
        </w:rPr>
      </w:pPr>
      <w:r>
        <w:rPr>
          <w:rFonts w:ascii="仿宋" w:eastAsia="仿宋" w:cs="仿宋" w:hint="eastAsia"/>
          <w:sz w:val="32"/>
          <w:szCs w:val="32"/>
        </w:rPr>
        <w:t>3、在脱贫攻坚产业发展方面上，引进来，走出去的思想不够，缺乏一些产业技术扶持，不能够很好的去真正了解一些种植、养殖技术，缺乏专业性的指导。</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1、镇党委政府积极主动多向上级部门领导汇报，结合乡的一些现实的情况与部门领导做好沟通汇报，力争早日解决好历年的欠款。</w:t>
      </w:r>
    </w:p>
    <w:p>
      <w:pPr>
        <w:spacing w:line="578" w:lineRule="exact"/>
        <w:ind w:firstLineChars="200" w:firstLine="640"/>
        <w:rPr>
          <w:rFonts w:ascii="仿宋" w:eastAsia="仿宋" w:cs="仿宋_GB2312"/>
          <w:sz w:val="32"/>
          <w:szCs w:val="32"/>
        </w:rPr>
      </w:pPr>
      <w:r>
        <w:rPr>
          <w:rFonts w:ascii="仿宋" w:eastAsia="仿宋" w:cs="仿宋" w:hint="eastAsia"/>
          <w:sz w:val="32"/>
          <w:szCs w:val="32"/>
        </w:rPr>
        <w:t>2、加强我镇的一些技术人员的学习，多向一些产业发展的较好的乡镇组织参观学习，做到引进来，走出去的思想，打破以前的一些陈旧的思想，切实把我镇的产业提高一个新台阶。</w:t>
      </w:r>
    </w:p>
    <w:p>
      <w:pPr>
        <w:spacing w:line="580" w:lineRule="exact"/>
        <w:ind w:firstLineChars="200" w:firstLine="640"/>
        <w:rPr>
          <w:rFonts w:ascii="仿宋" w:eastAsia="仿宋" w:cs="仿宋_GB2312"/>
          <w:sz w:val="32"/>
          <w:szCs w:val="32"/>
        </w:rPr>
      </w:pPr>
    </w:p>
    <w:p>
      <w:pPr>
        <w:spacing w:line="600" w:lineRule="exact"/>
        <w:jc w:val="center"/>
        <w:outlineLvl w:val="0"/>
        <w:rPr>
          <w:rFonts w:ascii="黑体" w:eastAsia="黑体"/>
          <w:color w:val="000000"/>
          <w:sz w:val="44"/>
          <w:szCs w:val="44"/>
        </w:rPr>
      </w:pPr>
      <w:bookmarkStart w:id="62" w:name="_Toc15396618"/>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五部分 附表</w:t>
      </w:r>
      <w:bookmarkEnd w:id="58"/>
      <w:bookmarkEnd w:id="62"/>
    </w:p>
    <w:p>
      <w:pPr>
        <w:spacing w:line="600" w:lineRule="exact"/>
        <w:jc w:val="center"/>
        <w:outlineLvl w:val="0"/>
        <w:rPr>
          <w:rFonts w:ascii="仿宋" w:eastAsia="仿宋"/>
          <w:b/>
          <w:color w:val="000000"/>
          <w:sz w:val="44"/>
          <w:szCs w:val="44"/>
        </w:rPr>
      </w:pPr>
    </w:p>
    <w:p>
      <w:pPr>
        <w:pStyle w:val="2"/>
        <w:rPr>
          <w:rFonts w:ascii="仿宋" w:eastAsia="仿宋"/>
          <w:color w:val="000000"/>
        </w:rPr>
      </w:pPr>
      <w:bookmarkStart w:id="63" w:name="_Toc15396619"/>
      <w:r>
        <w:rPr>
          <w:rFonts w:ascii="仿宋" w:eastAsia="仿宋" w:hint="eastAsia"/>
          <w:b w:val="0"/>
          <w:color w:val="000000"/>
        </w:rPr>
        <w:t>一、收</w:t>
      </w:r>
      <w:r>
        <w:rPr>
          <w:rStyle w:val="2Char"/>
          <w:rFonts w:ascii="仿宋" w:eastAsia="仿宋" w:hint="eastAsia"/>
        </w:rPr>
        <w:t>入支出决算总表</w:t>
      </w:r>
      <w:bookmarkEnd w:id="63"/>
    </w:p>
    <w:p>
      <w:pPr>
        <w:pStyle w:val="2"/>
        <w:rPr>
          <w:rFonts w:ascii="仿宋" w:eastAsia="仿宋"/>
          <w:color w:val="000000"/>
        </w:rPr>
      </w:pPr>
      <w:bookmarkStart w:id="64" w:name="_Toc15396620"/>
      <w:r>
        <w:rPr>
          <w:rFonts w:ascii="仿宋" w:eastAsia="仿宋" w:hint="eastAsia"/>
          <w:b w:val="0"/>
          <w:color w:val="000000"/>
        </w:rPr>
        <w:t>二、收</w:t>
      </w:r>
      <w:r>
        <w:rPr>
          <w:rStyle w:val="2Char"/>
          <w:rFonts w:ascii="仿宋" w:eastAsia="仿宋" w:hint="eastAsia"/>
        </w:rPr>
        <w:t>入总表</w:t>
      </w:r>
      <w:bookmarkEnd w:id="64"/>
    </w:p>
    <w:p>
      <w:pPr>
        <w:pStyle w:val="2"/>
        <w:rPr>
          <w:rFonts w:ascii="仿宋" w:eastAsia="仿宋"/>
          <w:color w:val="000000"/>
        </w:rPr>
      </w:pPr>
      <w:bookmarkStart w:id="65"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出总表</w:t>
      </w:r>
      <w:bookmarkEnd w:id="65"/>
    </w:p>
    <w:p>
      <w:pPr>
        <w:pStyle w:val="2"/>
        <w:rPr>
          <w:rFonts w:ascii="仿宋" w:eastAsia="仿宋"/>
          <w:b w:val="0"/>
          <w:color w:val="000000"/>
        </w:rPr>
      </w:pPr>
      <w:bookmarkStart w:id="66"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6"/>
    </w:p>
    <w:p>
      <w:pPr>
        <w:pStyle w:val="2"/>
        <w:rPr>
          <w:rFonts w:ascii="仿宋" w:eastAsia="仿宋"/>
          <w:color w:val="000000"/>
        </w:rPr>
      </w:pPr>
      <w:bookmarkStart w:id="67"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政拨款支出决算明细表（政府经济分类科目）</w:t>
      </w:r>
      <w:bookmarkEnd w:id="67"/>
    </w:p>
    <w:p>
      <w:pPr>
        <w:pStyle w:val="2"/>
        <w:rPr>
          <w:rFonts w:ascii="仿宋" w:eastAsia="仿宋"/>
          <w:color w:val="000000"/>
        </w:rPr>
      </w:pPr>
      <w:bookmarkStart w:id="68" w:name="_Toc15396624"/>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8"/>
    </w:p>
    <w:p>
      <w:pPr>
        <w:pStyle w:val="2"/>
        <w:rPr>
          <w:rFonts w:ascii="仿宋" w:eastAsia="仿宋"/>
          <w:color w:val="000000"/>
        </w:rPr>
      </w:pPr>
      <w:bookmarkStart w:id="69"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69"/>
    </w:p>
    <w:p>
      <w:pPr>
        <w:pStyle w:val="2"/>
        <w:rPr>
          <w:rFonts w:ascii="仿宋" w:eastAsia="仿宋"/>
          <w:color w:val="000000"/>
        </w:rPr>
      </w:pPr>
      <w:bookmarkStart w:id="70"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70"/>
    </w:p>
    <w:p>
      <w:pPr>
        <w:pStyle w:val="2"/>
        <w:rPr>
          <w:rFonts w:ascii="仿宋" w:eastAsia="仿宋"/>
          <w:color w:val="000000"/>
        </w:rPr>
      </w:pPr>
      <w:bookmarkStart w:id="71"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71"/>
    </w:p>
    <w:p>
      <w:pPr>
        <w:pStyle w:val="2"/>
        <w:rPr>
          <w:rFonts w:ascii="仿宋" w:eastAsia="仿宋"/>
          <w:color w:val="000000"/>
        </w:rPr>
      </w:pPr>
      <w:bookmarkStart w:id="72"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72"/>
    </w:p>
    <w:p>
      <w:pPr>
        <w:pStyle w:val="2"/>
        <w:rPr>
          <w:rFonts w:ascii="仿宋" w:eastAsia="仿宋"/>
          <w:color w:val="000000"/>
        </w:rPr>
      </w:pPr>
      <w:bookmarkStart w:id="73"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73"/>
    </w:p>
    <w:p>
      <w:pPr>
        <w:pStyle w:val="2"/>
        <w:rPr>
          <w:rFonts w:ascii="仿宋" w:eastAsia="仿宋"/>
          <w:color w:val="000000"/>
        </w:rPr>
      </w:pPr>
      <w:bookmarkStart w:id="74"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4"/>
    </w:p>
    <w:p>
      <w:pPr>
        <w:pStyle w:val="2"/>
        <w:rPr>
          <w:rFonts w:ascii="仿宋" w:eastAsia="仿宋"/>
          <w:color w:val="000000"/>
        </w:rPr>
      </w:pPr>
      <w:bookmarkStart w:id="75"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有资本经营预算支出决算表</w:t>
      </w:r>
      <w:bookmarkEnd w:id="75"/>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10601030101010101"/>
    <w:charset w:val="86"/>
    <w:family w:val="auto"/>
    <w:pitch w:val="variable"/>
    <w:sig w:usb0="00000001" w:usb1="080E0000" w:usb2="00000010" w:usb3="00000000" w:csb0="00040000" w:csb1="00000000"/>
  </w:font>
  <w:font w:name="黑体">
    <w:altName w:val="文泉驿微米黑"/>
    <w:panose1 w:val="02010600030101010101"/>
    <w:charset w:val="86"/>
    <w:family w:val="auto"/>
    <w:pitch w:val="variable"/>
    <w:sig w:usb0="00000001" w:usb1="080E0000" w:usb2="00000010" w:usb3="00000000" w:csb0="00040000" w:csb1="00000000"/>
  </w:font>
  <w:font w:name="Arial">
    <w:altName w:val="DejaVu Sans"/>
    <w:panose1 w:val="020B0604020202020204"/>
    <w:charset w:val="00"/>
    <w:family w:val="swiss"/>
    <w:pitch w:val="variable"/>
    <w:sig w:usb0="20002A87" w:usb1="80000000" w:usb2="00000008" w:usb3="00000000" w:csb0="000001FF" w:csb1="00000000"/>
  </w:font>
  <w:font w:name="仿宋">
    <w:altName w:val="仿宋_GB2312"/>
    <w:panose1 w:val="00000000000000000000"/>
    <w:charset w:val="86"/>
    <w:family w:val="modern"/>
    <w:pitch w:val="variable"/>
    <w:sig w:usb0="00000000" w:usb1="00000000" w:usb2="00000016" w:usb3="00000000" w:csb0="00040001" w:csb1="00000000"/>
  </w:font>
  <w:font w:name="Times New Roman">
    <w:altName w:val="DejaVu Sans"/>
    <w:panose1 w:val="02020603050405020304"/>
    <w:charset w:val="00"/>
    <w:family w:val="roman"/>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楷体_GB2312">
    <w:altName w:val="永中楷体"/>
    <w:panose1 w:val="02010609030101010101"/>
    <w:charset w:val="86"/>
    <w:family w:val="modern"/>
    <w:pitch w:val="variable"/>
    <w:sig w:usb0="00000001" w:usb1="080E0000" w:usb2="00000010" w:usb3="00000000" w:csb0="00040000" w:csb1="00000000"/>
  </w:font>
  <w:font w:name="宋体">
    <w:altName w:val="文泉驿微米黑"/>
    <w:panose1 w:val="02010600030101010101"/>
    <w:charset w:val="86"/>
    <w:family w:val="auto"/>
    <w:pitch w:val="variable"/>
    <w:sig w:usb0="00000003" w:usb1="080E0000" w:usb2="00000010" w:usb3="00000000" w:csb0="00040001" w:csb1="00000000"/>
  </w:font>
  <w:font w:name="Cambria">
    <w:altName w:val="DejaVu Sans"/>
    <w:panose1 w:val="02040503050406030204"/>
    <w:charset w:val="00"/>
    <w:family w:val="roman"/>
    <w:pitch w:val="variable"/>
    <w:sig w:usb0="A00002EF" w:usb1="4000004B" w:usb2="00000000" w:usb3="00000000" w:csb0="0000009F" w:csb1="00000000"/>
  </w:font>
  <w:font w:name="Calibri">
    <w:altName w:val="DejaVu Sans"/>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12477110"/>
    </w:sdtPr>
    <w:sdtContent>
      <w:p>
        <w:pPr>
          <w:pStyle w:val="18"/>
          <w:tabs>
            <w:tab w:val="center" w:pos="4153"/>
            <w:tab w:val="right" w:pos="8306"/>
          </w:tabs>
          <w:jc w:val="center"/>
        </w:pPr>
        <w:r>
          <w:fldChar w:fldCharType="begin"/>
        </w:r>
        <w:r>
          <w:instrText>PAGE   \* MERGEFORMAT</w:instrText>
        </w:r>
        <w:r>
          <w:fldChar w:fldCharType="separate"/>
        </w:r>
        <w:r>
          <w:rPr>
            <w:lang w:val="zh-CN"/>
          </w:rPr>
          <w:t>35</w:t>
        </w:r>
        <w:r>
          <w:rPr>
            <w:lang w:val="zh-CN"/>
          </w:rP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AE6457E2"/>
    <w:multiLevelType w:val="singleLevel"/>
    <w:tmpl w:val="AE6457E2"/>
    <w:lvl w:ilvl="0">
      <w:start w:val="1"/>
      <w:numFmt w:val="decimal"/>
      <w:lvlRestart w:val="0"/>
      <w:lvlText w:val="%1."/>
      <w:lvlJc w:val="left"/>
      <w:pPr>
        <w:tabs>
          <w:tab w:val="num" w:pos="0"/>
        </w:tabs>
        <w:ind w:left="0" w:hanging="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17F426B7"/>
    <w:multiLevelType w:val="multilevel"/>
    <w:tmpl w:val="17F426B7"/>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4">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5">
    <w:nsid w:val="B026C66B"/>
    <w:multiLevelType w:val="singleLevel"/>
    <w:tmpl w:val="B026C66B"/>
    <w:lvl w:ilvl="0">
      <w:start w:val="1"/>
      <w:numFmt w:val="decimal"/>
      <w:lvlRestart w:val="0"/>
      <w:lvlText w:val="%1."/>
      <w:lvlJc w:val="left"/>
      <w:pPr>
        <w:tabs>
          <w:tab w:val="num" w:pos="0"/>
        </w:tabs>
        <w:ind w:left="0" w:hanging="0"/>
      </w:pPr>
    </w:lvl>
  </w:abstractNum>
  <w:abstractNum w:abstractNumId="6">
    <w:nsid w:val="127F1F5C"/>
    <w:multiLevelType w:val="singleLevel"/>
    <w:tmpl w:val="127F1F5C"/>
    <w:lvl w:ilvl="0">
      <w:start w:val="4"/>
      <w:numFmt w:val="decimal"/>
      <w:lvlRestart w:val="0"/>
      <w:suff w:val="nothing"/>
      <w:lvlText w:val="%1、"/>
      <w:lvlJc w:val="left"/>
      <w:pPr>
        <w:tabs>
          <w:tab w:val="num" w:pos="0"/>
        </w:tabs>
        <w:ind w:left="0" w:hanging="0"/>
      </w:pPr>
    </w:lvl>
  </w:abstractNum>
  <w:abstractNum w:abstractNumId="7">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8">
    <w:nsid w:val="951FFE38"/>
    <w:multiLevelType w:val="singleLevel"/>
    <w:tmpl w:val="951FFE38"/>
    <w:lvl w:ilvl="0">
      <w:start w:val="1"/>
      <w:numFmt w:val="chineseCounting"/>
      <w:lvlRestart w:val="0"/>
      <w:suff w:val="nothing"/>
      <w:lvlText w:val="%1、"/>
      <w:lvlJc w:val="left"/>
      <w:pPr>
        <w:tabs>
          <w:tab w:val="num" w:pos="0"/>
        </w:tabs>
        <w:ind w:left="0" w:hanging="0"/>
      </w:pPr>
      <w:rPr>
        <w:rFonts w:hint="eastAsia"/>
      </w:rPr>
    </w:lvl>
  </w:abstractNum>
  <w:abstractNum w:abstractNumId="9">
    <w:nsid w:val="EB3B958D"/>
    <w:multiLevelType w:val="singleLevel"/>
    <w:tmpl w:val="EB3B958D"/>
    <w:lvl w:ilvl="0">
      <w:start w:val="2"/>
      <w:numFmt w:val="chineseCounting"/>
      <w:lvlRestart w:val="0"/>
      <w:suff w:val="nothing"/>
      <w:lvlText w:val="（%1）"/>
      <w:lvlJc w:val="left"/>
      <w:pPr>
        <w:tabs>
          <w:tab w:val="num" w:pos="0"/>
        </w:tabs>
        <w:ind w:left="0" w:hanging="0"/>
      </w:pPr>
      <w:rPr>
        <w:rFonts w:hint="eastAsia"/>
      </w:rPr>
    </w:lvl>
  </w:abstractNum>
  <w:abstractNum w:abstractNumId="10">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100" w:beforeAutospacing="1" w:after="100" w:afterAutospacing="1"/>
    </w:pPr>
    <w:rPr>
      <w:rFonts w:ascii="宋体" w:cs="宋体"/>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41</Pages>
  <Words>15352</Words>
  <Characters>16252</Characters>
  <Lines>1330</Lines>
  <Paragraphs>603</Paragraphs>
  <CharactersWithSpaces>16398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cp:revision>
  <cp:lastPrinted>2019-09-18T02:30:00Z</cp:lastPrinted>
  <dcterms:created xsi:type="dcterms:W3CDTF">2020-09-17T03:37:00Z</dcterms:created>
  <dcterms:modified xsi:type="dcterms:W3CDTF">2021-12-09T01:41:10Z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2052-11.1.0.9069</vt:lpwstr>
  </property>
</Properties>
</file>