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78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达州市达川区房屋征地服务中心</w:t>
      </w:r>
    </w:p>
    <w:p>
      <w:pPr>
        <w:widowControl/>
        <w:spacing w:line="578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年部门整体支出绩效报告</w:t>
      </w:r>
    </w:p>
    <w:p>
      <w:pPr>
        <w:widowControl/>
        <w:spacing w:line="578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ascii="黑体" w:hAnsi="宋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一、部门（单位）概况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（一）机构组成。</w:t>
      </w:r>
    </w:p>
    <w:p>
      <w:pPr>
        <w:spacing w:line="578" w:lineRule="exact"/>
        <w:ind w:firstLine="600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达州市达川区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房屋征地服务中心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按照“三定方案”内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设综合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办公室、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财务审计股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法规监察股、征收补偿股、拆迁指导股、安置管理股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753" w:firstLineChars="25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（二）机构职能。</w:t>
      </w:r>
    </w:p>
    <w:p>
      <w:pPr>
        <w:spacing w:line="600" w:lineRule="exact"/>
        <w:ind w:firstLine="600" w:firstLineChars="200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达州市达川区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房屋征地服务中心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成立于2014年4月，属于政府管理的财政核定收支、全额补助事业单位主要负责组织实施全区国有(集体)土地上房屋及建（构）筑物的拆迁、补偿工作和拆迁户安置安置房的规划、建设、分配和管理工作。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（三）人员概况。</w:t>
      </w:r>
    </w:p>
    <w:p>
      <w:pPr>
        <w:spacing w:line="578" w:lineRule="exact"/>
        <w:ind w:firstLine="600" w:firstLineChars="200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达州市达川区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房屋征地服务中心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核定事业编制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名。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由于拆迁工作量大面宽，经区委区政府研究决定于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年新增编制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，共计人员编制95名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截至2021年共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有干部职工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名（在编人员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名）。</w:t>
      </w:r>
    </w:p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hint="eastAsia" w:ascii="黑体" w:hAnsi="宋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二、部门财政资金收支情况</w:t>
      </w:r>
    </w:p>
    <w:p>
      <w:pPr>
        <w:spacing w:line="578" w:lineRule="exact"/>
        <w:ind w:firstLine="602" w:firstLineChars="200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sz w:val="30"/>
          <w:szCs w:val="30"/>
        </w:rPr>
        <w:t>（一）部门财政资金收入情况</w:t>
      </w:r>
    </w:p>
    <w:p>
      <w:pPr>
        <w:spacing w:line="578" w:lineRule="exact"/>
        <w:ind w:firstLine="600" w:firstLineChars="200"/>
        <w:rPr>
          <w:rFonts w:hint="default" w:ascii="方正楷体简体" w:eastAsia="方正仿宋简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年达州市达川区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房屋征地服务中心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本年收入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9998.0107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万元，其中：一般公共预算财政拨款收入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1147.9307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，政府性基金财政拨款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8850.08万元。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（二）部门财政资金支出情况。</w:t>
      </w:r>
    </w:p>
    <w:p>
      <w:pPr>
        <w:spacing w:line="578" w:lineRule="exact"/>
        <w:ind w:firstLine="600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本年支出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7040.0406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基本支出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1147.9307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万元，项目支出</w:t>
      </w:r>
      <w:r>
        <w:rPr>
          <w:rFonts w:hint="eastAsia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5892.109996</w:t>
      </w: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万元。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（三）部门财政收入结转结余情况。</w:t>
      </w:r>
    </w:p>
    <w:p>
      <w:pPr>
        <w:spacing w:line="578" w:lineRule="exact"/>
        <w:ind w:firstLine="600" w:firstLineChars="200"/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年本级单位结转下年资金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14773.76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万元。</w:t>
      </w:r>
    </w:p>
    <w:p>
      <w:pPr>
        <w:numPr>
          <w:ilvl w:val="0"/>
          <w:numId w:val="1"/>
        </w:numPr>
        <w:spacing w:line="578" w:lineRule="exact"/>
        <w:ind w:firstLine="602" w:firstLineChars="20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部门整体预算绩效管理情况</w:t>
      </w:r>
    </w:p>
    <w:p>
      <w:pPr>
        <w:numPr>
          <w:ilvl w:val="0"/>
          <w:numId w:val="0"/>
        </w:num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（一）预决算编制情况。</w:t>
      </w:r>
      <w:r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widowControl/>
        <w:shd w:val="clear" w:color="auto" w:fill="FFFFFF"/>
        <w:spacing w:line="600" w:lineRule="atLeast"/>
        <w:ind w:firstLine="720"/>
        <w:jc w:val="left"/>
        <w:rPr>
          <w:rFonts w:ascii="宋体" w:hAnsi="宋体" w:eastAsia="方正仿宋简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hAnsi="宋体" w:eastAsia="方正仿宋简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宋体" w:eastAsia="方正仿宋简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、预算编制</w:t>
      </w:r>
      <w:r>
        <w:rPr>
          <w:rFonts w:hint="eastAsia" w:ascii="宋体" w:hAnsi="宋体" w:eastAsia="方正仿宋简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600" w:lineRule="atLeast"/>
        <w:ind w:firstLine="720"/>
        <w:jc w:val="left"/>
        <w:rPr>
          <w:rFonts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按照区财政局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部门预算编制通知要求，按时完成部门年初预算编制工作。在编制过程中，认真核实单位实际财政供养人数和单位实有编制情况，正确编制人员经费和公用经费等，做到尽量细化项目资金支出预算范围和科目，及时上报相关股室进行审核。</w:t>
      </w:r>
    </w:p>
    <w:p>
      <w:pPr>
        <w:widowControl/>
        <w:shd w:val="clear" w:color="auto" w:fill="FFFFFF"/>
        <w:spacing w:line="600" w:lineRule="atLeast"/>
        <w:ind w:firstLine="720"/>
        <w:jc w:val="left"/>
        <w:rPr>
          <w:rFonts w:ascii="方正仿宋简体" w:hAnsi="宋体" w:eastAsia="方正仿宋简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hAnsi="宋体" w:eastAsia="方正仿宋简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宋体" w:eastAsia="方正仿宋简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、认真编制部门年度决算报表。</w:t>
      </w:r>
    </w:p>
    <w:p>
      <w:pPr>
        <w:widowControl/>
        <w:shd w:val="clear" w:color="auto" w:fill="FFFFFF"/>
        <w:spacing w:line="600" w:lineRule="atLeast"/>
        <w:ind w:firstLine="720"/>
        <w:jc w:val="left"/>
        <w:rPr>
          <w:rFonts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按照政府收支分类科目和财务报表支出情况编制部门决算，决算收入、支出口径与财政局国库股、预算股和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股以及财政大平台核对无误，报表编制无差错。认真开展部门年度决算报表编制工作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，并全面及时完成任务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（二）执行管理情况。</w:t>
      </w:r>
      <w:r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、部门预算执行进度情况。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按《预算法》和财政有关规定，职工工资等人员经费按月发放，公务费按月申报，项目支出按项目实施情况经我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和区财政审核无误后按项目进度拨付。在支付方式上，工资和项目资金实行财政直接支付；公用经费根据资金用途选择财政直接支付、申请授权支付，并尽量采取公务卡支付或转账支付。</w:t>
      </w:r>
    </w:p>
    <w:p>
      <w:pPr>
        <w:shd w:val="clear" w:color="auto" w:fill="FFFFFF"/>
        <w:spacing w:line="600" w:lineRule="atLeast"/>
        <w:ind w:firstLine="72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、预算约束刚性情况。</w:t>
      </w:r>
    </w:p>
    <w:p>
      <w:pPr>
        <w:shd w:val="clear" w:color="auto" w:fill="FFFFFF"/>
        <w:spacing w:line="600" w:lineRule="atLeast"/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执行各项资金预算中，严格按照中央、省、市、区各级财务规定，管好、用好每笔资金。在专项项目资金使用过程中，严格按照项目资金管理办法的规定做好项目实施和监管，切实做到专款专用，从而发挥好项目资金对项目实施的促进作用；对涉及专项资金支出额度较大时，必须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严格按照政府建设项目规定进行验收合格后，根据“三重一大”的规定召开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同意后方能按资金拨付程序付款，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杜绝违规违法事件的发生。</w:t>
      </w:r>
    </w:p>
    <w:p>
      <w:pPr>
        <w:shd w:val="clear" w:color="auto" w:fill="FFFFFF"/>
        <w:spacing w:line="600" w:lineRule="atLeast"/>
        <w:ind w:firstLine="72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、行政运行成本控制情况。</w:t>
      </w:r>
    </w:p>
    <w:p>
      <w:pPr>
        <w:shd w:val="clear" w:color="auto" w:fill="FFFFFF"/>
        <w:spacing w:line="600" w:lineRule="atLeast"/>
        <w:ind w:firstLine="72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真开展厉行节约反对浪费规定学习的同时，倡导全体机关工作人员弘扬艰苦奋斗、勤俭节约的优良作风，进一步推进建设节约型机关。严格执行中央八项规定、省、市十项规定，着力控制“三公”经费预算支出。全年无因公出国（境）费用支出；精减会议活动，减少会议费支出；严格执行党政机关厉行节约反对浪费条例，加强内部财务管理。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（三）综合管理情况。</w:t>
      </w:r>
      <w:r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、政府采购实施情况。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按照《预算法》和《政府采购法》规定编制政府采购预算和实施政府采购计划，按规定做好备案工作。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年政府采购预算为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10.45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年政府采购实际执行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8.1705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万元，全部为货物类采购，实际执行占政府采购预算的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78.19</w:t>
      </w:r>
      <w:r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、资产管理。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固定资产实行“统一管理，分级负责”。设置固定资产的管理部门，统一建账、核算，统一登记、监督管理和维修。各科室是固定资产的使用部门，并负责固定资产的保管和使用。同时，根据《行政事业单位资产清查核实管理办法》开展了资产清查工作。已将所有资产全部录入行政事业单位资产管理系统，并指定专人负责管理系统。启动全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资产清查，并将资产清查结果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与实物完全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。安排专人负责国有资产清查及报表上报工作。在资产清查结束后，已上报清查报表、清查工作报告等国有资产报表数据。</w:t>
      </w:r>
      <w:r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、内控制度管理。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建立健全内部控制管理制度，完善内部收支预算制度、政府采购制度、会议制度、固定资产管理制度、项目质量管理、内部审计等一系列内部管理制度。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财务管理制度，强化项目资金管理和使用。结合部门实际制定了内控管理制度，严格遵守国家、省、市财务管理法律法规，本着勤俭节约原则，管理好用好每笔资金。杜绝违规违法事件的发生。财务活动接受审计、财政、纪检监察等部门的监督检查。</w:t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、信息公开。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按照相关规定，落实工作人员按要求对单位信息进行了公开，确保公开透明。</w:t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、绩效管理。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按照区财政局要求对单位开展整体绩效评价，按要求向财政部门报送自评报告等相关绩效信息。</w:t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、依法接受财政监督情况。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按照财政部门相关要求，开展了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年度财政监督检查的自查自纠工作，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对中心的账务进行全面梳理自查，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并报送了自查自纠报告及报表。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（四）整体效益。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达州市达川区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房屋征地服务中心</w:t>
      </w:r>
      <w:r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21年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认真履行好部门职能职责，全面保障了机关日常正常运转，圆满完成了区委、区政府下达的各项目标任务。</w:t>
      </w:r>
    </w:p>
    <w:p>
      <w:pPr>
        <w:spacing w:line="578" w:lineRule="exact"/>
        <w:ind w:firstLine="600" w:firstLineChars="200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四、自评结论及建议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（一）评价结论。</w:t>
      </w:r>
    </w:p>
    <w:p>
      <w:pPr>
        <w:spacing w:line="578" w:lineRule="exact"/>
        <w:ind w:firstLine="600" w:firstLineChars="200"/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总体看，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预算编制及执行决算较为准确，支出管理较为规范，财务管理制度较完善，部门整体绩效较好，自评得分为</w:t>
      </w:r>
      <w:r>
        <w:rPr>
          <w:rFonts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分。</w:t>
      </w:r>
    </w:p>
    <w:p>
      <w:pPr>
        <w:spacing w:line="578" w:lineRule="exact"/>
        <w:ind w:firstLine="602" w:firstLineChars="200"/>
        <w:rPr>
          <w:rFonts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（二）存在问题。</w:t>
      </w:r>
    </w:p>
    <w:p>
      <w:pPr>
        <w:spacing w:line="578" w:lineRule="exact"/>
        <w:ind w:firstLine="602" w:firstLineChars="200"/>
        <w:rPr>
          <w:rFonts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资金兑现不及时。因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我中心拆迁项目较多，涉及拆迁中介（测绘、评估、拆除等）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资金到位不及时的原因，导致年底部分支出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未及时支付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78" w:lineRule="exact"/>
        <w:ind w:firstLine="602" w:firstLineChars="200"/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内控制度管理质量</w:t>
      </w:r>
      <w:r>
        <w:rPr>
          <w:rFonts w:hint="eastAsia" w:ascii="方正仿宋简体" w:eastAsia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有待提</w:t>
      </w:r>
      <w:r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高，个别内控制度执行力不强、监督不力，导致制度管理质量不高。</w:t>
      </w:r>
    </w:p>
    <w:p>
      <w:pPr>
        <w:spacing w:line="578" w:lineRule="exact"/>
        <w:ind w:firstLine="600" w:firstLineChars="200"/>
        <w:rPr>
          <w:rFonts w:hint="eastAsia" w:ascii="方正仿宋简体" w:eastAsia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592E8"/>
    <w:multiLevelType w:val="singleLevel"/>
    <w:tmpl w:val="571592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53FA"/>
    <w:rsid w:val="7BA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2022-05-13T06:35:00Z</dcterms:created>
  <dc:creator>Administrator</dc:creator>
  <cp:lastModifiedBy>Administrator</cp:lastModifiedBy>
  <dcterms:modified xsi:type="dcterms:W3CDTF">2022-05-13T06:36:45Z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13250E57355F416AA39CF58468639DF9</vt:lpwstr>
  </property>
</Properties>
</file>