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宋体" w:eastAsia="宋体"/>
          <w:b/>
          <w:color w:val="000000"/>
          <w:sz w:val="72"/>
          <w:szCs w:val="72"/>
        </w:rPr>
      </w:pPr>
      <w:bookmarkStart w:id="1" w:name="_Toc15377193"/>
      <w:bookmarkStart w:id="2" w:name="_Toc15377425"/>
      <w:bookmarkStart w:id="3" w:name="_Toc15378441"/>
      <w:bookmarkStart w:id="4" w:name="_Toc15396475"/>
      <w:bookmarkStart w:id="5" w:name="_Toc15396597"/>
      <w:r>
        <w:rPr>
          <w:rFonts w:ascii="黑体" w:eastAsia="黑体"/>
          <w:b/>
          <w:color w:val="000000"/>
          <w:sz w:val="72"/>
          <w:szCs w:val="72"/>
        </w:rPr>
        <w:t>201</w:t>
      </w:r>
      <w:r>
        <w:rPr>
          <w:rFonts w:ascii="黑体" w:eastAsia="黑体" w:hint="eastAsia"/>
          <w:b/>
          <w:color w:val="000000"/>
          <w:sz w:val="72"/>
          <w:szCs w:val="72"/>
        </w:rPr>
        <w:t>8</w:t>
      </w:r>
      <w:r>
        <w:rPr>
          <w:rFonts w:ascii="宋体" w:eastAsia="宋体" w:hint="eastAsia"/>
          <w:b/>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宋体" w:eastAsia="宋体"/>
          <w:b/>
          <w:color w:val="000000"/>
          <w:sz w:val="72"/>
          <w:szCs w:val="72"/>
        </w:rPr>
      </w:pPr>
      <w:bookmarkStart w:id="6" w:name="_Toc15377194"/>
      <w:bookmarkStart w:id="7" w:name="_Toc15377426"/>
      <w:bookmarkStart w:id="8" w:name="_Toc15378442"/>
      <w:bookmarkStart w:id="9" w:name="_Toc15396476"/>
      <w:bookmarkStart w:id="10" w:name="_Toc15396598"/>
      <w:r>
        <w:rPr>
          <w:rFonts w:ascii="宋体" w:eastAsia="宋体" w:hint="eastAsia"/>
          <w:b/>
          <w:color w:val="000000"/>
          <w:sz w:val="72"/>
          <w:szCs w:val="72"/>
        </w:rPr>
        <w:t>四川省</w:t>
      </w:r>
      <w:bookmarkStart w:id="11" w:name="_Toc15306268"/>
      <w:bookmarkEnd w:id="0"/>
      <w:r>
        <w:rPr>
          <w:rFonts w:ascii="宋体" w:eastAsia="宋体" w:hint="eastAsia"/>
          <w:b/>
          <w:color w:val="000000"/>
          <w:sz w:val="72"/>
          <w:szCs w:val="72"/>
        </w:rPr>
        <w:t>达州市达川区百节镇部门决算</w:t>
      </w:r>
      <w:bookmarkEnd w:id="6"/>
      <w:bookmarkEnd w:id="7"/>
      <w:bookmarkEnd w:id="8"/>
      <w:bookmarkEnd w:id="9"/>
      <w:bookmarkEnd w:id="10"/>
      <w:bookmarkEnd w:id="11"/>
      <w:r>
        <w:rPr>
          <w:rFonts w:ascii="宋体" w:eastAsia="宋体" w:hint="eastAsia"/>
          <w:b/>
          <w:color w:val="000000"/>
          <w:sz w:val="72"/>
          <w:szCs w:val="72"/>
        </w:rPr>
        <w:t>编报说明</w:t>
      </w:r>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25"/>
        <w:tabs>
          <w:tab w:val="right" w:leader="dot" w:pos="8296"/>
        </w:tabs>
      </w:pPr>
      <w:r>
        <w:rPr>
          <w:rFonts w:hint="eastAsia"/>
        </w:rPr>
        <w:t>公开时间：2019年9月12日</w:t>
      </w:r>
    </w:p>
    <w:p/>
    <w:p>
      <w:pPr>
        <w:pStyle w:val="25"/>
        <w:tabs>
          <w:tab w:val="right" w:leader="dot" w:pos="8296"/>
        </w:tabs>
        <w:rPr>
          <w:rFonts w:cs="Arial"/>
        </w:rPr>
      </w:pPr>
      <w:r>
        <w:fldChar w:fldCharType="begin"/>
      </w:r>
      <w:r>
        <w:instrText>Hyperlink \l "_Toc15396599"</w:instrText>
      </w:r>
      <w:r>
        <w:fldChar w:fldCharType="separate"/>
      </w:r>
      <w:r>
        <w:rPr>
          <w:rFonts w:hint="eastAsia"/>
        </w:rPr>
        <w:t>第一部分</w:t>
      </w:r>
      <w:r>
        <w:t xml:space="preserve"> </w:t>
      </w:r>
      <w:r>
        <w:rPr>
          <w:rFonts w:hint="eastAsia"/>
        </w:rPr>
        <w:t>部门概况</w:t>
      </w:r>
      <w:r>
        <w:tab/>
      </w:r>
      <w:r>
        <w:rPr>
          <w:rFonts w:hint="eastAsia"/>
        </w:rPr>
        <w:t>4</w:t>
      </w:r>
      <w:r>
        <w:fldChar w:fldCharType="end"/>
      </w:r>
    </w:p>
    <w:p>
      <w:pPr>
        <w:pStyle w:val="26"/>
        <w:tabs>
          <w:tab w:val="right" w:leader="dot" w:pos="8296"/>
        </w:tabs>
        <w:rPr>
          <w:rFonts w:ascii="仿宋" w:eastAsia="仿宋" w:cs="Arial"/>
          <w:sz w:val="28"/>
          <w:szCs w:val="28"/>
        </w:rPr>
      </w:pPr>
      <w:r>
        <w:fldChar w:fldCharType="begin"/>
      </w:r>
      <w:r>
        <w:instrText>Hyperlink \l "_Toc15396600"</w:instrText>
      </w:r>
      <w:r>
        <w:fldChar w:fldCharType="separate"/>
      </w:r>
      <w:r>
        <w:rPr>
          <w:rFonts w:ascii="仿宋" w:eastAsia="仿宋" w:hint="eastAsia"/>
          <w:sz w:val="28"/>
          <w:szCs w:val="28"/>
        </w:rPr>
        <w:t>一、基本职能及主要工作</w:t>
      </w:r>
      <w:r>
        <w:rPr>
          <w:rFonts w:ascii="仿宋" w:eastAsia="仿宋"/>
          <w:sz w:val="28"/>
          <w:szCs w:val="28"/>
        </w:rPr>
        <w:tab/>
      </w:r>
      <w:r>
        <w:rPr>
          <w:rFonts w:ascii="仿宋" w:eastAsia="仿宋" w:hint="eastAsia"/>
          <w:sz w:val="28"/>
          <w:szCs w:val="28"/>
        </w:rPr>
        <w:t>4</w:t>
      </w:r>
      <w:r>
        <w:fldChar w:fldCharType="end"/>
      </w:r>
    </w:p>
    <w:p>
      <w:pPr>
        <w:pStyle w:val="26"/>
        <w:tabs>
          <w:tab w:val="right" w:leader="dot" w:pos="8296"/>
        </w:tabs>
        <w:rPr>
          <w:rFonts w:ascii="仿宋" w:eastAsia="仿宋" w:cs="Arial"/>
          <w:sz w:val="28"/>
          <w:szCs w:val="28"/>
        </w:rPr>
      </w:pPr>
      <w:r>
        <w:fldChar w:fldCharType="begin"/>
      </w:r>
      <w:r>
        <w:instrText>Hyperlink \l "_Toc15396601"</w:instrText>
      </w:r>
      <w:r>
        <w:fldChar w:fldCharType="separate"/>
      </w:r>
      <w:r>
        <w:rPr>
          <w:rFonts w:ascii="仿宋" w:eastAsia="仿宋" w:hint="eastAsia"/>
          <w:sz w:val="28"/>
          <w:szCs w:val="28"/>
        </w:rPr>
        <w:t>二、机构设置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_Toc15396601 \h </w:instrText>
      </w:r>
      <w:r>
        <w:rPr>
          <w:rFonts w:ascii="仿宋" w:eastAsia="仿宋"/>
          <w:sz w:val="28"/>
          <w:szCs w:val="28"/>
        </w:rPr>
        <w:fldChar w:fldCharType="separate"/>
      </w:r>
      <w:r>
        <w:rPr>
          <w:rFonts w:ascii="仿宋" w:eastAsia="仿宋"/>
          <w:sz w:val="28"/>
          <w:szCs w:val="28"/>
        </w:rPr>
        <w:t>9</w:t>
      </w:r>
      <w:r>
        <w:rPr>
          <w:rFonts w:ascii="仿宋" w:eastAsia="仿宋"/>
          <w:sz w:val="28"/>
          <w:szCs w:val="28"/>
        </w:rPr>
        <w:fldChar w:fldCharType="end"/>
      </w:r>
      <w:r>
        <w:fldChar w:fldCharType="end"/>
      </w:r>
    </w:p>
    <w:p>
      <w:pPr>
        <w:pStyle w:val="25"/>
        <w:tabs>
          <w:tab w:val="right" w:leader="dot" w:pos="8296"/>
        </w:tabs>
      </w:pPr>
      <w:r>
        <w:fldChar w:fldCharType="begin"/>
      </w:r>
      <w:r>
        <w:instrText>Hyperlink \l "_Toc15396602"</w:instrText>
      </w:r>
      <w:r>
        <w:fldChar w:fldCharType="separate"/>
      </w:r>
      <w:r>
        <w:rPr>
          <w:rFonts w:hint="eastAsia"/>
        </w:rPr>
        <w:t>第二部分</w:t>
      </w:r>
      <w:r>
        <w:t xml:space="preserve"> 2018</w:t>
      </w:r>
      <w:r>
        <w:rPr>
          <w:rFonts w:hint="eastAsia"/>
        </w:rPr>
        <w:t>年度部门决算情况说明</w:t>
      </w:r>
      <w:r>
        <w:tab/>
      </w:r>
      <w:r>
        <w:fldChar w:fldCharType="begin"/>
      </w:r>
      <w:r>
        <w:instrText xml:space="preserve"> PAGEREF _Toc15396602 \h </w:instrText>
      </w:r>
      <w:r>
        <w:fldChar w:fldCharType="separate"/>
      </w:r>
      <w:r>
        <w:rPr>
          <w:rFonts w:hint="eastAsia"/>
          <w:b/>
          <w:bCs/>
        </w:rPr>
        <w:t>。</w:t>
      </w:r>
      <w: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"_Toc15396603"</w:instrText>
      </w:r>
      <w:r>
        <w:fldChar w:fldCharType="separate"/>
      </w:r>
      <w:r>
        <w:rPr>
          <w:rFonts w:ascii="仿宋" w:eastAsia="仿宋" w:cs="Times New Roman" w:hint="eastAsia"/>
          <w:bCs/>
          <w:sz w:val="28"/>
          <w:szCs w:val="28"/>
        </w:rPr>
        <w:t>一、</w:t>
      </w:r>
      <w:r>
        <w:rPr>
          <w:rFonts w:ascii="仿宋" w:eastAsia="仿宋" w:hint="eastAsia"/>
          <w:sz w:val="28"/>
          <w:szCs w:val="28"/>
        </w:rPr>
        <w:t>收</w:t>
      </w:r>
      <w:r>
        <w:rPr>
          <w:rFonts w:ascii="仿宋" w:eastAsia="仿宋" w:cs="Times New Roman" w:hint="eastAsia"/>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"_Toc15396604"</w:instrText>
      </w:r>
      <w:r>
        <w:fldChar w:fldCharType="separate"/>
      </w:r>
      <w:r>
        <w:rPr>
          <w:rFonts w:ascii="仿宋" w:eastAsia="仿宋" w:cs="Times New Roman" w:hint="eastAsia"/>
          <w:bCs/>
          <w:sz w:val="28"/>
          <w:szCs w:val="28"/>
        </w:rPr>
        <w:t>二、</w:t>
      </w:r>
      <w:r>
        <w:rPr>
          <w:rFonts w:ascii="仿宋" w:eastAsia="仿宋" w:hint="eastAsia"/>
          <w:sz w:val="28"/>
          <w:szCs w:val="28"/>
        </w:rPr>
        <w:t>收</w:t>
      </w:r>
      <w:r>
        <w:rPr>
          <w:rFonts w:ascii="仿宋" w:eastAsia="仿宋" w:cs="Times New Roman" w:hint="eastAsia"/>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"_Toc15396605"</w:instrText>
      </w:r>
      <w:r>
        <w:fldChar w:fldCharType="separate"/>
      </w:r>
      <w:r>
        <w:rPr>
          <w:rFonts w:ascii="仿宋" w:eastAsia="仿宋" w:cs="Times New Roman" w:hint="eastAsia"/>
          <w:bCs/>
          <w:sz w:val="28"/>
          <w:szCs w:val="28"/>
        </w:rPr>
        <w:t>三、</w:t>
      </w:r>
      <w:r>
        <w:rPr>
          <w:rFonts w:ascii="仿宋" w:eastAsia="仿宋" w:hint="eastAsia"/>
          <w:sz w:val="28"/>
          <w:szCs w:val="28"/>
        </w:rPr>
        <w:t>支</w:t>
      </w:r>
      <w:r>
        <w:rPr>
          <w:rFonts w:ascii="仿宋" w:eastAsia="仿宋" w:cs="Times New Roman" w:hint="eastAsia"/>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"_Toc15396606"</w:instrText>
      </w:r>
      <w:r>
        <w:fldChar w:fldCharType="separate"/>
      </w:r>
      <w:r>
        <w:rPr>
          <w:rFonts w:ascii="仿宋" w:eastAsia="仿宋" w:hint="eastAsia"/>
          <w:sz w:val="28"/>
          <w:szCs w:val="28"/>
        </w:rPr>
        <w:t>四、财</w:t>
      </w:r>
      <w:r>
        <w:rPr>
          <w:rFonts w:ascii="仿宋" w:eastAsia="仿宋" w:cs="Times New Roman" w:hint="eastAsia"/>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"_Toc15396607"</w:instrText>
      </w:r>
      <w:r>
        <w:fldChar w:fldCharType="separate"/>
      </w:r>
      <w:r>
        <w:rPr>
          <w:rFonts w:ascii="仿宋" w:eastAsia="仿宋" w:hint="eastAsia"/>
          <w:sz w:val="28"/>
          <w:szCs w:val="28"/>
        </w:rPr>
        <w:t>五、一</w:t>
      </w:r>
      <w:r>
        <w:rPr>
          <w:rFonts w:ascii="仿宋" w:eastAsia="仿宋" w:cs="Times New Roman" w:hint="eastAsia"/>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"_Toc15396608"</w:instrText>
      </w:r>
      <w:r>
        <w:fldChar w:fldCharType="separate"/>
      </w:r>
      <w:r>
        <w:rPr>
          <w:rFonts w:ascii="仿宋" w:eastAsia="仿宋" w:hint="eastAsia"/>
          <w:sz w:val="28"/>
          <w:szCs w:val="28"/>
        </w:rPr>
        <w:t>六、一</w:t>
      </w:r>
      <w:r>
        <w:rPr>
          <w:rFonts w:ascii="仿宋" w:eastAsia="仿宋" w:cs="Times New Roman" w:hint="eastAsia"/>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14</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"_Toc15396609"</w:instrText>
      </w:r>
      <w:r>
        <w:fldChar w:fldCharType="separate"/>
      </w:r>
      <w:r>
        <w:rPr>
          <w:rFonts w:ascii="仿宋" w:eastAsia="仿宋" w:hint="eastAsia"/>
          <w:sz w:val="28"/>
          <w:szCs w:val="28"/>
        </w:rPr>
        <w:t>七、</w:t>
      </w:r>
      <w:r>
        <w:rPr>
          <w:rFonts w:ascii="仿宋" w:eastAsia="仿宋"/>
          <w:sz w:val="28"/>
          <w:szCs w:val="28"/>
        </w:rPr>
        <w:t>“</w:t>
      </w:r>
      <w:r>
        <w:rPr>
          <w:rFonts w:ascii="仿宋" w:eastAsia="仿宋" w:cs="Times New Roman" w:hint="eastAsia"/>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"_Toc15396610"</w:instrText>
      </w:r>
      <w:r>
        <w:fldChar w:fldCharType="separate"/>
      </w:r>
      <w:r>
        <w:rPr>
          <w:rFonts w:ascii="仿宋" w:eastAsia="仿宋" w:hint="eastAsia"/>
          <w:sz w:val="28"/>
          <w:szCs w:val="28"/>
        </w:rPr>
        <w:t>八、</w:t>
      </w:r>
      <w:r>
        <w:rPr>
          <w:rFonts w:ascii="仿宋" w:eastAsia="仿宋" w:cs="Times New Roman" w:hint="eastAsia"/>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16</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"_Toc15396611"</w:instrText>
      </w:r>
      <w:r>
        <w:fldChar w:fldCharType="separate"/>
      </w:r>
      <w:r>
        <w:rPr>
          <w:rFonts w:ascii="仿宋" w:eastAsia="仿宋" w:cs="Times New Roman" w:hint="eastAsia"/>
          <w:bCs/>
          <w:sz w:val="28"/>
          <w:szCs w:val="28"/>
        </w:rPr>
        <w:t>九、</w:t>
      </w:r>
      <w:r>
        <w:rPr>
          <w:rFonts w:ascii="仿宋" w:eastAsia="仿宋" w:hint="eastAsia"/>
          <w:sz w:val="28"/>
          <w:szCs w:val="28"/>
        </w:rPr>
        <w:t xml:space="preserve"> 国</w:t>
      </w:r>
      <w:r>
        <w:rPr>
          <w:rFonts w:ascii="仿宋" w:eastAsia="仿宋" w:cs="Times New Roman" w:hint="eastAsia"/>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16</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"_Toc15396612"</w:instrText>
      </w:r>
      <w:r>
        <w:fldChar w:fldCharType="separate"/>
      </w:r>
      <w:r>
        <w:rPr>
          <w:rFonts w:ascii="仿宋" w:eastAsia="仿宋" w:hint="eastAsia"/>
          <w:sz w:val="28"/>
          <w:szCs w:val="28"/>
        </w:rPr>
        <w:t>十</w:t>
      </w:r>
      <w:r>
        <w:rPr>
          <w:rFonts w:ascii="仿宋" w:eastAsia="仿宋" w:cs="Times New Roman" w:hint="eastAsia"/>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ascii="仿宋" w:eastAsia="仿宋"/>
          <w:sz w:val="28"/>
          <w:szCs w:val="28"/>
        </w:rPr>
        <w:t>21</w:t>
      </w:r>
      <w:r>
        <w:rPr>
          <w:rFonts w:ascii="仿宋" w:eastAsia="仿宋"/>
          <w:sz w:val="28"/>
          <w:szCs w:val="28"/>
        </w:rPr>
        <w:fldChar w:fldCharType="end"/>
      </w:r>
      <w:r>
        <w:fldChar w:fldCharType="end"/>
      </w:r>
    </w:p>
    <w:p>
      <w:pPr>
        <w:pStyle w:val="25"/>
        <w:tabs>
          <w:tab w:val="right" w:leader="dot" w:pos="8296"/>
        </w:tabs>
        <w:rPr>
          <w:rFonts w:cs="Arial"/>
        </w:rPr>
      </w:pPr>
      <w:r>
        <w:fldChar w:fldCharType="begin"/>
      </w:r>
      <w:r>
        <w:instrText>Hyperlink \l "_Toc15396613"</w:instrText>
      </w:r>
      <w:r>
        <w:fldChar w:fldCharType="separate"/>
      </w:r>
      <w:r>
        <w:rPr>
          <w:rFonts w:hint="eastAsia"/>
          <w:bCs/>
          <w:kern w:val="44"/>
        </w:rPr>
        <w:t>第三部分</w:t>
      </w:r>
      <w:r>
        <w:rPr>
          <w:rFonts w:hint="eastAsia"/>
        </w:rPr>
        <w:t xml:space="preserve"> 名</w:t>
      </w:r>
      <w:r>
        <w:rPr>
          <w:rFonts w:hint="eastAsia"/>
          <w:bCs/>
          <w:kern w:val="44"/>
        </w:rPr>
        <w:t>词解释</w:t>
      </w:r>
      <w:r>
        <w:tab/>
      </w:r>
      <w:r>
        <w:fldChar w:fldCharType="begin"/>
      </w:r>
      <w:r>
        <w:instrText xml:space="preserve"> PAGEREF _Toc15396613 \h </w:instrText>
      </w:r>
      <w:r>
        <w:fldChar w:fldCharType="separate"/>
      </w:r>
      <w:r>
        <w:t>22</w:t>
      </w:r>
      <w:r>
        <w:fldChar w:fldCharType="end"/>
      </w:r>
      <w:r>
        <w:fldChar w:fldCharType="end"/>
      </w:r>
    </w:p>
    <w:p>
      <w:pPr>
        <w:pStyle w:val="25"/>
        <w:tabs>
          <w:tab w:val="right" w:leader="dot" w:pos="8296"/>
        </w:tabs>
        <w:rPr>
          <w:rFonts w:cs="Arial"/>
        </w:rPr>
      </w:pPr>
      <w:r>
        <w:fldChar w:fldCharType="begin"/>
      </w:r>
      <w:r>
        <w:instrText>Hyperlink \l "_Toc15396614"</w:instrText>
      </w:r>
      <w:r>
        <w:fldChar w:fldCharType="separate"/>
      </w:r>
      <w:r>
        <w:rPr>
          <w:rFonts w:hint="eastAsia"/>
        </w:rPr>
        <w:t>第</w:t>
      </w:r>
      <w:r>
        <w:rPr>
          <w:rFonts w:hint="eastAsia"/>
          <w:bCs/>
          <w:kern w:val="44"/>
        </w:rPr>
        <w:t>四部分</w:t>
      </w:r>
      <w:r>
        <w:rPr>
          <w:bCs/>
          <w:kern w:val="44"/>
        </w:rPr>
        <w:t xml:space="preserve"> </w:t>
      </w:r>
      <w:r>
        <w:rPr>
          <w:rFonts w:hint="eastAsia"/>
          <w:bCs/>
          <w:kern w:val="44"/>
        </w:rPr>
        <w:t>附件</w:t>
      </w:r>
      <w:r>
        <w:tab/>
      </w:r>
      <w:r>
        <w:fldChar w:fldCharType="begin"/>
      </w:r>
      <w:r>
        <w:instrText xml:space="preserve"> PAGEREF _Toc15396614 \h </w:instrText>
      </w:r>
      <w:r>
        <w:fldChar w:fldCharType="separate"/>
      </w:r>
      <w:r>
        <w:t>28</w:t>
      </w:r>
      <w: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"_Toc15396615"</w:instrText>
      </w:r>
      <w:r>
        <w:fldChar w:fldCharType="separate"/>
      </w:r>
      <w:r>
        <w:rPr>
          <w:rFonts w:ascii="仿宋" w:eastAsia="仿宋" w:hint="eastAsia"/>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_Toc15396615 \h </w:instrText>
      </w:r>
      <w:r>
        <w:rPr>
          <w:rFonts w:ascii="仿宋" w:eastAsia="仿宋"/>
          <w:sz w:val="28"/>
          <w:szCs w:val="28"/>
        </w:rPr>
        <w:fldChar w:fldCharType="separate"/>
      </w:r>
      <w:r>
        <w:rPr>
          <w:rFonts w:ascii="仿宋" w:eastAsia="仿宋"/>
          <w:sz w:val="28"/>
          <w:szCs w:val="28"/>
        </w:rPr>
        <w:t>28</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fldChar w:fldCharType="begin"/>
      </w:r>
      <w:r>
        <w:instrText>Hyperlink \l "_Toc15396617"</w:instrText>
      </w:r>
      <w:r>
        <w:fldChar w:fldCharType="separate"/>
      </w:r>
      <w:r>
        <w:rPr>
          <w:rFonts w:ascii="仿宋" w:eastAsia="仿宋" w:hint="eastAsia"/>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33</w:t>
      </w:r>
      <w:r>
        <w:rPr>
          <w:rFonts w:ascii="仿宋" w:eastAsia="仿宋"/>
          <w:sz w:val="28"/>
          <w:szCs w:val="28"/>
        </w:rPr>
        <w:fldChar w:fldCharType="end"/>
      </w:r>
      <w:r>
        <w:fldChar w:fldCharType="end"/>
      </w:r>
    </w:p>
    <w:p>
      <w:pPr>
        <w:pStyle w:val="25"/>
        <w:tabs>
          <w:tab w:val="right" w:leader="dot" w:pos="8296"/>
        </w:tabs>
        <w:rPr>
          <w:rFonts w:cs="Arial"/>
        </w:rPr>
      </w:pPr>
      <w:r>
        <w:fldChar w:fldCharType="begin"/>
      </w:r>
      <w:r>
        <w:instrText>Hyperlink \l "_Toc15396618"</w:instrText>
      </w:r>
      <w:r>
        <w:fldChar w:fldCharType="separate"/>
      </w:r>
      <w:r>
        <w:rPr>
          <w:rFonts w:hint="eastAsia"/>
        </w:rPr>
        <w:t>第</w:t>
      </w:r>
      <w:r>
        <w:rPr>
          <w:rFonts w:hint="eastAsia"/>
          <w:bCs/>
          <w:kern w:val="44"/>
        </w:rPr>
        <w:t>五部分</w:t>
      </w:r>
      <w:r>
        <w:rPr>
          <w:bCs/>
          <w:kern w:val="44"/>
        </w:rPr>
        <w:t xml:space="preserve"> </w:t>
      </w:r>
      <w:r>
        <w:rPr>
          <w:rFonts w:hint="eastAsia"/>
          <w:bCs/>
          <w:kern w:val="44"/>
        </w:rPr>
        <w:t>附表</w:t>
      </w:r>
      <w:r>
        <w:tab/>
      </w:r>
      <w:r>
        <w:fldChar w:fldCharType="begin"/>
      </w:r>
      <w:r>
        <w:instrText xml:space="preserve"> PAGEREF _Toc15396618 \h </w:instrText>
      </w:r>
      <w:r>
        <w:fldChar w:fldCharType="separate"/>
      </w:r>
      <w:r>
        <w:t>35</w:t>
      </w:r>
      <w: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一、</w:t>
      </w:r>
      <w:r>
        <w:fldChar w:fldCharType="begin"/>
      </w:r>
      <w:r>
        <w:instrText>Hyperlink \l "_Toc15396619"</w:instrText>
      </w:r>
      <w:r>
        <w:fldChar w:fldCharType="separate"/>
      </w:r>
      <w:r>
        <w:rPr>
          <w:rFonts w:ascii="仿宋" w:eastAsia="仿宋" w:hint="eastAsia"/>
          <w:sz w:val="28"/>
          <w:szCs w:val="28"/>
        </w:rPr>
        <w:t>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_Toc15396619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二、</w:t>
      </w:r>
      <w:r>
        <w:fldChar w:fldCharType="begin"/>
      </w:r>
      <w:r>
        <w:instrText>Hyperlink \l "_Toc15396620"</w:instrText>
      </w:r>
      <w:r>
        <w:fldChar w:fldCharType="separate"/>
      </w:r>
      <w:r>
        <w:rPr>
          <w:rFonts w:ascii="仿宋" w:eastAsia="仿宋" w:hint="eastAsia"/>
          <w:sz w:val="28"/>
          <w:szCs w:val="28"/>
        </w:rPr>
        <w:t>收入总表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_Toc15396620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三、</w:t>
      </w:r>
      <w:r>
        <w:fldChar w:fldCharType="begin"/>
      </w:r>
      <w:r>
        <w:instrText>Hyperlink \l "_Toc15396621"</w:instrText>
      </w:r>
      <w:r>
        <w:fldChar w:fldCharType="separate"/>
      </w:r>
      <w:r>
        <w:rPr>
          <w:rFonts w:ascii="仿宋" w:eastAsia="仿宋" w:hint="eastAsia"/>
          <w:sz w:val="28"/>
          <w:szCs w:val="28"/>
        </w:rPr>
        <w:t>支出总表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_Toc15396621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四、</w:t>
      </w:r>
      <w:r>
        <w:fldChar w:fldCharType="begin"/>
      </w:r>
      <w:r>
        <w:instrText>Hyperlink \l "_Toc15396622"</w:instrText>
      </w:r>
      <w:r>
        <w:fldChar w:fldCharType="separate"/>
      </w:r>
      <w:r>
        <w:rPr>
          <w:rFonts w:ascii="仿宋" w:eastAsia="仿宋" w:hint="eastAsia"/>
          <w:sz w:val="28"/>
          <w:szCs w:val="28"/>
        </w:rPr>
        <w:t>财政拨款收入支出决算总表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_Toc15396622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sz w:val="28"/>
          <w:szCs w:val="28"/>
        </w:rPr>
      </w:pPr>
      <w:r>
        <w:rPr>
          <w:rFonts w:ascii="仿宋" w:eastAsia="仿宋" w:hint="eastAsia"/>
          <w:sz w:val="28"/>
          <w:szCs w:val="28"/>
        </w:rPr>
        <w:t>五、</w:t>
      </w:r>
      <w:r>
        <w:fldChar w:fldCharType="begin"/>
      </w:r>
      <w:r>
        <w:instrText>Hyperlink \l "_Toc15396623"</w:instrText>
      </w:r>
      <w:r>
        <w:fldChar w:fldCharType="separate"/>
      </w:r>
      <w:r>
        <w:rPr>
          <w:rFonts w:ascii="仿宋" w:eastAsia="仿宋" w:hint="eastAsia"/>
          <w:sz w:val="28"/>
          <w:szCs w:val="28"/>
        </w:rPr>
        <w:t>财政拨款支出决算明细表（政府经济分类科目）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_Toc15396623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六、</w:t>
      </w:r>
      <w:r>
        <w:fldChar w:fldCharType="begin"/>
      </w:r>
      <w:r>
        <w:instrText>Hyperlink \l "_Toc15396624"</w:instrText>
      </w:r>
      <w:r>
        <w:fldChar w:fldCharType="separate"/>
      </w:r>
      <w:r>
        <w:rPr>
          <w:rFonts w:ascii="仿宋" w:eastAsia="仿宋" w:hint="eastAsia"/>
          <w:sz w:val="28"/>
          <w:szCs w:val="28"/>
        </w:rPr>
        <w:t>一般公共预算财政拨款支出决算表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_Toc15396624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七、</w:t>
      </w:r>
      <w:r>
        <w:fldChar w:fldCharType="begin"/>
      </w:r>
      <w:r>
        <w:instrText>Hyperlink \l "_Toc15396625"</w:instrText>
      </w:r>
      <w:r>
        <w:fldChar w:fldCharType="separate"/>
      </w:r>
      <w:r>
        <w:rPr>
          <w:rFonts w:ascii="仿宋" w:eastAsia="仿宋" w:hint="eastAsia"/>
          <w:sz w:val="28"/>
          <w:szCs w:val="28"/>
        </w:rPr>
        <w:t>一般公共预算财政拨款支出决算明细表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_Toc15396625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八、</w:t>
      </w:r>
      <w:r>
        <w:fldChar w:fldCharType="begin"/>
      </w:r>
      <w:r>
        <w:instrText>Hyperlink \l "_Toc15396626"</w:instrText>
      </w:r>
      <w:r>
        <w:fldChar w:fldCharType="separate"/>
      </w:r>
      <w:r>
        <w:rPr>
          <w:rFonts w:ascii="仿宋" w:eastAsia="仿宋" w:hint="eastAsia"/>
          <w:sz w:val="28"/>
          <w:szCs w:val="28"/>
        </w:rPr>
        <w:t>一般公共预算财政拨款基本支出决算表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_Toc15396626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九、</w:t>
      </w:r>
      <w:r>
        <w:fldChar w:fldCharType="begin"/>
      </w:r>
      <w:r>
        <w:instrText>Hyperlink \l "_Toc15396627"</w:instrText>
      </w:r>
      <w:r>
        <w:fldChar w:fldCharType="separate"/>
      </w:r>
      <w:r>
        <w:rPr>
          <w:rFonts w:ascii="仿宋" w:eastAsia="仿宋" w:hint="eastAsia"/>
          <w:sz w:val="28"/>
          <w:szCs w:val="28"/>
        </w:rPr>
        <w:t>一般公共预算财政拨款项目支出决算表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_Toc15396627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十、</w:t>
      </w:r>
      <w:r>
        <w:fldChar w:fldCharType="begin"/>
      </w:r>
      <w:r>
        <w:instrText>Hyperlink \l "_Toc15396628"</w:instrText>
      </w:r>
      <w:r>
        <w:fldChar w:fldCharType="separate"/>
      </w:r>
      <w:r>
        <w:rPr>
          <w:rFonts w:ascii="仿宋" w:eastAsia="仿宋" w:hint="eastAsia"/>
          <w:sz w:val="28"/>
          <w:szCs w:val="28"/>
        </w:rPr>
        <w:t>一般公共预算财政拨款“三公”经费支出决算表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_Toc15396628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十一、</w:t>
      </w:r>
      <w:r>
        <w:fldChar w:fldCharType="begin"/>
      </w:r>
      <w:r>
        <w:instrText>Hyperlink \l "_Toc15396629"</w:instrText>
      </w:r>
      <w:r>
        <w:fldChar w:fldCharType="separate"/>
      </w:r>
      <w:r>
        <w:rPr>
          <w:rFonts w:ascii="仿宋" w:eastAsia="仿宋" w:hint="eastAsia"/>
          <w:sz w:val="28"/>
          <w:szCs w:val="28"/>
        </w:rPr>
        <w:t>政府性基金预算财政拨款收入支出决算表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_Toc15396629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8"/>
          <w:szCs w:val="28"/>
        </w:rPr>
      </w:pPr>
      <w:r>
        <w:rPr>
          <w:rFonts w:ascii="仿宋" w:eastAsia="仿宋" w:hint="eastAsia"/>
          <w:sz w:val="28"/>
          <w:szCs w:val="28"/>
        </w:rPr>
        <w:t>十二、</w:t>
      </w:r>
      <w:r>
        <w:fldChar w:fldCharType="begin"/>
      </w:r>
      <w:r>
        <w:instrText>Hyperlink \l "_Toc15396630"</w:instrText>
      </w:r>
      <w:r>
        <w:fldChar w:fldCharType="separate"/>
      </w:r>
      <w:r>
        <w:rPr>
          <w:rFonts w:ascii="仿宋" w:eastAsia="仿宋" w:hint="eastAsia"/>
          <w:sz w:val="28"/>
          <w:szCs w:val="28"/>
        </w:rPr>
        <w:t>政府性基金预算财政拨款“三公”经费支出决算表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_Toc15396630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pStyle w:val="26"/>
        <w:tabs>
          <w:tab w:val="right" w:leader="dot" w:pos="8296"/>
        </w:tabs>
        <w:rPr>
          <w:rFonts w:ascii="仿宋" w:eastAsia="仿宋" w:cs="Arial"/>
          <w:sz w:val="24"/>
        </w:rPr>
      </w:pPr>
      <w:r>
        <w:rPr>
          <w:rFonts w:ascii="仿宋" w:eastAsia="仿宋" w:hint="eastAsia"/>
          <w:sz w:val="28"/>
          <w:szCs w:val="28"/>
        </w:rPr>
        <w:t>十三、</w:t>
      </w:r>
      <w:r>
        <w:fldChar w:fldCharType="begin"/>
      </w:r>
      <w:r>
        <w:instrText>Hyperlink \l "_Toc15396631"</w:instrText>
      </w:r>
      <w:r>
        <w:fldChar w:fldCharType="separate"/>
      </w:r>
      <w:r>
        <w:rPr>
          <w:rFonts w:ascii="仿宋" w:eastAsia="仿宋" w:hint="eastAsia"/>
          <w:sz w:val="28"/>
          <w:szCs w:val="28"/>
        </w:rPr>
        <w:t>国有资本经营预算支出决算表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_Toc15396631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fldChar w:fldCharType="end"/>
      </w:r>
    </w:p>
    <w:p>
      <w:pPr>
        <w:widowControl/>
        <w:jc w:val="left"/>
        <w:rPr>
          <w:rFonts w:ascii="仿宋" w:eastAsia="仿宋"/>
          <w:color w:val="000000"/>
          <w:sz w:val="24"/>
        </w:rPr>
      </w:pPr>
      <w:r>
        <w:rPr>
          <w:rFonts w:ascii="仿宋" w:eastAsia="仿宋"/>
          <w:color w:val="000000"/>
          <w:sz w:val="24"/>
        </w:rPr>
        <w:fldChar w:fldCharType="end"/>
      </w:r>
    </w:p>
    <w:p>
      <w:pPr>
        <w:widowControl/>
        <w:jc w:val="left"/>
        <w:rPr>
          <w:rFonts w:ascii="黑体" w:eastAsia="黑体"/>
          <w:bCs/>
          <w:kern w:val="44"/>
          <w:sz w:val="44"/>
          <w:szCs w:val="44"/>
        </w:rPr>
      </w:pPr>
      <w:bookmarkStart w:id="12" w:name="_Toc15377196"/>
      <w:bookmarkStart w:id="13" w:name="_Toc15396599"/>
      <w:r>
        <w:rPr>
          <w:rFonts w:ascii="黑体" w:eastAsia="黑体"/>
          <w:b/>
        </w:rPr>
        <w:br w:type="page"/>
      </w:r>
    </w:p>
    <w:p>
      <w:pPr>
        <w:pStyle w:val="1"/>
        <w:jc w:val="center"/>
        <w:rPr>
          <w:rFonts w:ascii="黑体" w:eastAsia="黑体"/>
          <w:bCs w:val="0"/>
        </w:rPr>
      </w:pPr>
      <w:r>
        <w:rPr>
          <w:rFonts w:ascii="黑体" w:eastAsia="黑体" w:hint="eastAsia"/>
          <w:b w:val="0"/>
        </w:rPr>
        <w:t xml:space="preserve">第一部分 </w:t>
      </w:r>
      <w:r>
        <w:rPr>
          <w:rStyle w:val="1Char"/>
          <w:rFonts w:ascii="黑体" w:eastAsia="黑体" w:hint="eastAsia"/>
        </w:rPr>
        <w:t>部门概况</w:t>
      </w:r>
      <w:bookmarkEnd w:id="12"/>
      <w:bookmarkEnd w:id="13"/>
    </w:p>
    <w:p>
      <w:pPr>
        <w:pStyle w:val="2"/>
        <w:rPr>
          <w:rStyle w:val="2Char"/>
          <w:rFonts w:ascii="仿宋" w:eastAsia="仿宋"/>
        </w:rPr>
      </w:pPr>
      <w:bookmarkStart w:id="14" w:name="_Toc15377197"/>
      <w:bookmarkStart w:id="15" w:name="_Toc15396600"/>
      <w:r>
        <w:rPr>
          <w:rFonts w:ascii="黑体" w:eastAsia="黑体" w:hint="eastAsia"/>
          <w:b w:val="0"/>
        </w:rPr>
        <w:t>一、基</w:t>
      </w:r>
      <w:r>
        <w:rPr>
          <w:rStyle w:val="2Char"/>
          <w:rFonts w:ascii="黑体" w:eastAsia="黑体" w:hint="eastAsia"/>
        </w:rPr>
        <w:t>本职能及主要工作</w:t>
      </w:r>
      <w:bookmarkEnd w:id="14"/>
      <w:bookmarkEnd w:id="15"/>
    </w:p>
    <w:p>
      <w:pPr>
        <w:ind w:firstLineChars="200" w:firstLine="640"/>
        <w:rPr>
          <w:rFonts w:ascii="仿宋" w:eastAsia="仿宋"/>
          <w:bCs/>
          <w:sz w:val="32"/>
          <w:szCs w:val="32"/>
        </w:rPr>
      </w:pPr>
      <w:bookmarkStart w:id="16" w:name="_Toc15377198"/>
      <w:bookmarkStart w:id="17" w:name="_Toc15378445"/>
      <w:r>
        <w:rPr>
          <w:rFonts w:ascii="仿宋" w:eastAsia="仿宋" w:hint="eastAsia"/>
          <w:bCs/>
          <w:sz w:val="32"/>
          <w:szCs w:val="32"/>
        </w:rPr>
        <w:t>（一）主要职能。</w:t>
      </w:r>
      <w:bookmarkStart w:id="18" w:name="_Toc15377199"/>
      <w:bookmarkStart w:id="19" w:name="_Toc15378446"/>
      <w:bookmarkEnd w:id="16"/>
      <w:bookmarkEnd w:id="17"/>
    </w:p>
    <w:p>
      <w:pPr>
        <w:ind w:firstLineChars="200" w:firstLine="640"/>
        <w:rPr>
          <w:rFonts w:ascii="仿宋_GB2312" w:eastAsia="仿宋_GB2312"/>
          <w:sz w:val="32"/>
          <w:szCs w:val="32"/>
        </w:rPr>
      </w:pPr>
      <w:r>
        <w:rPr>
          <w:rFonts w:ascii="仿宋_GB2312" w:eastAsia="仿宋_GB2312" w:hint="eastAsia"/>
          <w:sz w:val="32"/>
          <w:szCs w:val="32"/>
        </w:rPr>
        <w:t>1、促进经济发展，增加农民收入</w:t>
      </w:r>
    </w:p>
    <w:p>
      <w:pPr>
        <w:ind w:firstLineChars="200" w:firstLine="640"/>
        <w:rPr>
          <w:rFonts w:ascii="仿宋_GB2312" w:eastAsia="仿宋_GB2312"/>
          <w:sz w:val="32"/>
          <w:szCs w:val="32"/>
        </w:rPr>
      </w:pPr>
      <w:r>
        <w:rPr>
          <w:rFonts w:ascii="仿宋_GB2312" w:eastAsia="仿宋_GB2312" w:hint="eastAsia"/>
          <w:sz w:val="32"/>
          <w:szCs w:val="32"/>
        </w:rPr>
        <w:t>营造良好的经济发展环境、落实国家扶贫开发政策和强农惠农措施。完善和落实农村基本经营制度，培育和发展农民专业合作经济组织和中介组织，健全农村市场和农业服务体系，壮大第三产业。保护基本农田，组织开展农业基础设施建设，推广农业先进适用技术，为农民提供科普培训、技术技能培训和市场信息服务，帮助农民多渠道转移就业，促进农民增收。做好农村集体资产财务管理，推动产业结构调整，发展培育特色优势产业和特色经济，扶持龙头企业发展壮大，促进现代农业发展。大力发展民营经济，搞好开放外联工作，为招商引资创造良好的发展环境。</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2、强化公共服务，着力改善民生</w:t>
      </w:r>
    </w:p>
    <w:p>
      <w:pPr>
        <w:ind w:firstLineChars="150" w:firstLine="48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贯彻落实国家基本公共政策，发展农村社会公益事业，加快新型农村公共服务体系建设，加强社会事务的行政管理，开展精神文明、文教卫生、计划生育、生态环境、乡村建设、社会保障、防疫救灾工作。加强农村基础设施建设，做好新农村建设的指导，推进农村新民居建设。拓宽服务渠道，完善解决民生问题的办事制度和程序，通过</w:t>
      </w:r>
      <w:r>
        <w:rPr>
          <w:rFonts w:ascii="仿宋_GB2312" w:eastAsia="仿宋_GB2312"/>
          <w:sz w:val="32"/>
          <w:szCs w:val="32"/>
        </w:rPr>
        <w:t>“</w:t>
      </w:r>
      <w:r>
        <w:rPr>
          <w:rFonts w:ascii="仿宋_GB2312" w:eastAsia="仿宋_GB2312" w:hint="eastAsia"/>
          <w:sz w:val="32"/>
          <w:szCs w:val="32"/>
        </w:rPr>
        <w:t>一站式</w:t>
      </w:r>
      <w:r>
        <w:rPr>
          <w:rFonts w:ascii="仿宋_GB2312" w:eastAsia="仿宋_GB2312"/>
          <w:sz w:val="32"/>
          <w:szCs w:val="32"/>
        </w:rPr>
        <w:t>”</w:t>
      </w:r>
      <w:r>
        <w:rPr>
          <w:rFonts w:ascii="仿宋_GB2312" w:eastAsia="仿宋_GB2312" w:hint="eastAsia"/>
          <w:sz w:val="32"/>
          <w:szCs w:val="32"/>
        </w:rPr>
        <w:t>服务、办事代理制等多种形式，改进服务方式，方便群众办事。</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3、加强社会管理，维护农村稳定</w:t>
      </w:r>
    </w:p>
    <w:p>
      <w:pPr>
        <w:ind w:firstLineChars="150" w:firstLine="48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增强社会管理职能，加强人民调解、行政调解和司法调解的作用，强化农村社会治安综合治理，化解农村社会矛盾，维护农村社会公共秩序，确保社会稳定。推进依法行政，严格依法履行职责。推行行政机关首问首办责任制度，强化责任意识。健全维护农民权益机制，保障农民合法权益，维护农村社会公平正义。</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4、推进基层民主，促进农村和谐</w:t>
      </w:r>
    </w:p>
    <w:p>
      <w:pPr>
        <w:ind w:firstLineChars="150" w:firstLine="48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加强党的思想建设、组织建设、作风建设和制度建设，充分发挥工会、共青团、妇联等群众团体的桥梁纽带作用。健全村级党组织领导下的村民自治机制，推进农村民主政治建设，扩大农村基层民主，保障法律法规赋予公民的民主权利。加强农村基层组织建设，引导农民有序参与村级事务管理，推进村务公开，促进社会组织健康发展，构建和谐社会。按县政府下放行政管理权限的要求，做好相应工作。</w:t>
      </w:r>
    </w:p>
    <w:p>
      <w:pPr>
        <w:pStyle w:val="15"/>
        <w:adjustRightInd w:val="0"/>
        <w:snapToGrid w:val="0"/>
        <w:spacing w:beforeLines="0" w:before="93" w:line="600" w:lineRule="exact"/>
        <w:ind w:firstLineChars="209" w:firstLine="672"/>
        <w:outlineLvl w:val="2"/>
        <w:rPr>
          <w:rFonts w:ascii="仿宋" w:eastAsia="仿宋"/>
          <w:bCs/>
          <w:sz w:val="32"/>
          <w:szCs w:val="32"/>
        </w:rPr>
      </w:pPr>
      <w:r>
        <w:rPr>
          <w:rFonts w:ascii="仿宋" w:eastAsia="仿宋" w:hint="eastAsia"/>
          <w:bCs/>
          <w:sz w:val="32"/>
          <w:szCs w:val="32"/>
        </w:rPr>
        <w:t>（二）</w:t>
      </w:r>
      <w:r>
        <w:rPr>
          <w:rFonts w:ascii="仿宋" w:eastAsia="仿宋"/>
          <w:bCs/>
          <w:sz w:val="32"/>
          <w:szCs w:val="32"/>
        </w:rPr>
        <w:t>201</w:t>
      </w:r>
      <w:r>
        <w:rPr>
          <w:rFonts w:ascii="仿宋" w:eastAsia="仿宋" w:hint="eastAsia"/>
          <w:bCs/>
          <w:sz w:val="32"/>
          <w:szCs w:val="32"/>
        </w:rPr>
        <w:t>8年重点工作完成情况。</w:t>
      </w:r>
      <w:bookmarkEnd w:id="18"/>
      <w:bookmarkEnd w:id="19"/>
    </w:p>
    <w:p>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年来我</w:t>
      </w:r>
      <w:r>
        <w:rPr>
          <w:rFonts w:ascii="仿宋_GB2312" w:eastAsia="仿宋_GB2312" w:hint="eastAsia"/>
          <w:sz w:val="32"/>
          <w:szCs w:val="32"/>
        </w:rPr>
        <w:t>镇</w:t>
      </w:r>
      <w:r>
        <w:rPr>
          <w:rFonts w:ascii="仿宋_GB2312" w:eastAsia="仿宋_GB2312"/>
          <w:sz w:val="32"/>
          <w:szCs w:val="32"/>
        </w:rPr>
        <w:t>主要做了以下九个方面的工作：</w:t>
      </w:r>
    </w:p>
    <w:p>
      <w:pPr>
        <w:spacing w:line="578" w:lineRule="exact"/>
        <w:ind w:firstLineChars="200" w:firstLine="640"/>
        <w:rPr>
          <w:rFonts w:eastAsia="仿宋_GB2312"/>
          <w:sz w:val="32"/>
          <w:szCs w:val="32"/>
        </w:rPr>
      </w:pPr>
      <w:r>
        <w:rPr>
          <w:rFonts w:eastAsia="黑体" w:hint="eastAsia"/>
          <w:bCs/>
          <w:sz w:val="32"/>
          <w:szCs w:val="32"/>
        </w:rPr>
        <w:t>1</w:t>
      </w:r>
      <w:r>
        <w:rPr>
          <w:rFonts w:eastAsia="黑体"/>
          <w:bCs/>
          <w:sz w:val="32"/>
          <w:szCs w:val="32"/>
        </w:rPr>
        <w:t>、社会经济发展稳步</w:t>
      </w:r>
      <w:r>
        <w:rPr>
          <w:rFonts w:eastAsia="黑体" w:hint="eastAsia"/>
          <w:bCs/>
          <w:sz w:val="32"/>
          <w:szCs w:val="32"/>
        </w:rPr>
        <w:t>增长</w:t>
      </w:r>
      <w:r>
        <w:rPr>
          <w:rFonts w:eastAsia="仿宋_GB2312"/>
          <w:sz w:val="32"/>
          <w:szCs w:val="32"/>
        </w:rPr>
        <w:t>。</w:t>
      </w:r>
    </w:p>
    <w:p>
      <w:pPr>
        <w:spacing w:line="578" w:lineRule="exact"/>
        <w:ind w:firstLineChars="200" w:firstLine="640"/>
        <w:rPr>
          <w:rFonts w:ascii="仿宋_GB2312" w:eastAsia="仿宋_GB2312"/>
          <w:sz w:val="32"/>
          <w:szCs w:val="32"/>
        </w:rPr>
      </w:pPr>
      <w:r>
        <w:rPr>
          <w:rFonts w:ascii="仿宋_GB2312" w:eastAsia="仿宋_GB2312" w:hint="eastAsia"/>
          <w:sz w:val="32"/>
          <w:szCs w:val="32"/>
        </w:rPr>
        <w:t>准确</w:t>
      </w:r>
      <w:r>
        <w:rPr>
          <w:rFonts w:ascii="仿宋_GB2312" w:eastAsia="仿宋_GB2312"/>
          <w:sz w:val="32"/>
          <w:szCs w:val="32"/>
        </w:rPr>
        <w:t>把握区委、区政府决策部署，围绕各项目标任务，坚持发展为第一要务，全力确保经济平稳增长，社会持续发展。一是强化目标监控，确保主要指标稳步运行。对重要经济指标实行专人监控，每月调度，季度分析，保障平稳运行。全辖区生产总值实现</w:t>
      </w:r>
      <w:r>
        <w:rPr>
          <w:rFonts w:ascii="仿宋_GB2312" w:eastAsia="仿宋_GB2312" w:hint="eastAsia"/>
          <w:sz w:val="32"/>
          <w:szCs w:val="32"/>
        </w:rPr>
        <w:t>4.1213</w:t>
      </w:r>
      <w:r>
        <w:rPr>
          <w:rFonts w:ascii="仿宋_GB2312" w:eastAsia="仿宋_GB2312"/>
          <w:sz w:val="32"/>
          <w:szCs w:val="32"/>
        </w:rPr>
        <w:t>亿元，</w:t>
      </w:r>
      <w:r>
        <w:rPr>
          <w:rFonts w:ascii="仿宋_GB2312" w:eastAsia="仿宋_GB2312" w:hint="eastAsia"/>
          <w:sz w:val="32"/>
          <w:szCs w:val="32"/>
        </w:rPr>
        <w:t>同比</w:t>
      </w:r>
      <w:r>
        <w:rPr>
          <w:rFonts w:ascii="仿宋_GB2312" w:eastAsia="仿宋_GB2312"/>
          <w:sz w:val="32"/>
          <w:szCs w:val="32"/>
        </w:rPr>
        <w:t>增长</w:t>
      </w:r>
      <w:r>
        <w:rPr>
          <w:rFonts w:ascii="仿宋_GB2312" w:eastAsia="仿宋_GB2312" w:hint="eastAsia"/>
          <w:sz w:val="32"/>
          <w:szCs w:val="32"/>
        </w:rPr>
        <w:t>5.5</w:t>
      </w:r>
      <w:r>
        <w:rPr>
          <w:rFonts w:ascii="仿宋_GB2312" w:eastAsia="仿宋_GB2312"/>
          <w:sz w:val="32"/>
          <w:szCs w:val="32"/>
        </w:rPr>
        <w:t>%；实现工业增加值</w:t>
      </w:r>
      <w:r>
        <w:rPr>
          <w:rFonts w:ascii="仿宋_GB2312" w:eastAsia="仿宋_GB2312" w:hint="eastAsia"/>
          <w:sz w:val="32"/>
          <w:szCs w:val="32"/>
        </w:rPr>
        <w:t>3.0672</w:t>
      </w:r>
      <w:r>
        <w:rPr>
          <w:rFonts w:ascii="仿宋_GB2312" w:eastAsia="仿宋_GB2312"/>
          <w:sz w:val="32"/>
          <w:szCs w:val="32"/>
        </w:rPr>
        <w:t>亿元，</w:t>
      </w:r>
      <w:r>
        <w:rPr>
          <w:rFonts w:ascii="仿宋_GB2312" w:eastAsia="仿宋_GB2312" w:hint="eastAsia"/>
          <w:sz w:val="32"/>
          <w:szCs w:val="32"/>
        </w:rPr>
        <w:t>同比</w:t>
      </w:r>
      <w:r>
        <w:rPr>
          <w:rFonts w:ascii="仿宋_GB2312" w:eastAsia="仿宋_GB2312"/>
          <w:sz w:val="32"/>
          <w:szCs w:val="32"/>
        </w:rPr>
        <w:t>增长</w:t>
      </w:r>
      <w:r>
        <w:rPr>
          <w:rFonts w:ascii="仿宋_GB2312" w:eastAsia="仿宋_GB2312" w:hint="eastAsia"/>
          <w:sz w:val="32"/>
          <w:szCs w:val="32"/>
        </w:rPr>
        <w:t>5.24</w:t>
      </w:r>
      <w:r>
        <w:rPr>
          <w:rFonts w:ascii="仿宋_GB2312" w:eastAsia="仿宋_GB2312"/>
          <w:sz w:val="32"/>
          <w:szCs w:val="32"/>
        </w:rPr>
        <w:t>%；农村人均纯收入实现</w:t>
      </w:r>
      <w:r>
        <w:rPr>
          <w:rFonts w:ascii="仿宋_GB2312" w:eastAsia="仿宋_GB2312" w:hint="eastAsia"/>
          <w:sz w:val="32"/>
          <w:szCs w:val="32"/>
        </w:rPr>
        <w:t>15305</w:t>
      </w:r>
      <w:r>
        <w:rPr>
          <w:rFonts w:ascii="仿宋_GB2312" w:eastAsia="仿宋_GB2312"/>
          <w:sz w:val="32"/>
          <w:szCs w:val="32"/>
        </w:rPr>
        <w:t>元，</w:t>
      </w:r>
      <w:r>
        <w:rPr>
          <w:rFonts w:ascii="仿宋_GB2312" w:eastAsia="仿宋_GB2312" w:hint="eastAsia"/>
          <w:sz w:val="32"/>
          <w:szCs w:val="32"/>
        </w:rPr>
        <w:t>同比增长13.5</w:t>
      </w:r>
      <w:r>
        <w:rPr>
          <w:rFonts w:ascii="仿宋_GB2312" w:eastAsia="仿宋_GB2312"/>
          <w:sz w:val="32"/>
          <w:szCs w:val="32"/>
        </w:rPr>
        <w:t>%。二是加大工业和技改投入，确保镇域经济稳步增长。201</w:t>
      </w:r>
      <w:r>
        <w:rPr>
          <w:rFonts w:ascii="仿宋_GB2312" w:eastAsia="仿宋_GB2312" w:hint="eastAsia"/>
          <w:sz w:val="32"/>
          <w:szCs w:val="32"/>
        </w:rPr>
        <w:t>8</w:t>
      </w:r>
      <w:r>
        <w:rPr>
          <w:rFonts w:ascii="仿宋_GB2312" w:eastAsia="仿宋_GB2312"/>
          <w:sz w:val="32"/>
          <w:szCs w:val="32"/>
        </w:rPr>
        <w:t>年实现工业技改投入</w:t>
      </w:r>
      <w:r>
        <w:rPr>
          <w:rFonts w:ascii="仿宋_GB2312" w:eastAsia="仿宋_GB2312" w:hint="eastAsia"/>
          <w:sz w:val="32"/>
          <w:szCs w:val="32"/>
        </w:rPr>
        <w:t>89</w:t>
      </w:r>
      <w:r>
        <w:rPr>
          <w:rFonts w:ascii="仿宋_GB2312" w:eastAsia="仿宋_GB2312"/>
          <w:sz w:val="32"/>
          <w:szCs w:val="32"/>
        </w:rPr>
        <w:t>万元，</w:t>
      </w:r>
      <w:r>
        <w:rPr>
          <w:rFonts w:ascii="仿宋_GB2312" w:eastAsia="仿宋_GB2312" w:hint="eastAsia"/>
          <w:sz w:val="32"/>
          <w:szCs w:val="32"/>
        </w:rPr>
        <w:t>同比</w:t>
      </w:r>
      <w:r>
        <w:rPr>
          <w:rFonts w:ascii="仿宋_GB2312" w:eastAsia="仿宋_GB2312"/>
          <w:sz w:val="32"/>
          <w:szCs w:val="32"/>
        </w:rPr>
        <w:t>增长</w:t>
      </w:r>
      <w:r>
        <w:rPr>
          <w:rFonts w:ascii="仿宋_GB2312" w:eastAsia="仿宋_GB2312" w:hint="eastAsia"/>
          <w:sz w:val="32"/>
          <w:szCs w:val="32"/>
        </w:rPr>
        <w:t>5.3</w:t>
      </w:r>
      <w:r>
        <w:rPr>
          <w:rFonts w:ascii="仿宋_GB2312" w:eastAsia="仿宋_GB2312"/>
          <w:sz w:val="32"/>
          <w:szCs w:val="32"/>
        </w:rPr>
        <w:t>%。三是加快产业发展，确保广大群众稳步增收。全镇突出发展乌梅</w:t>
      </w:r>
      <w:r>
        <w:rPr>
          <w:rFonts w:ascii="仿宋_GB2312" w:eastAsia="仿宋_GB2312" w:hint="eastAsia"/>
          <w:sz w:val="32"/>
          <w:szCs w:val="32"/>
        </w:rPr>
        <w:t>100</w:t>
      </w:r>
      <w:r>
        <w:rPr>
          <w:rFonts w:ascii="仿宋_GB2312" w:eastAsia="仿宋_GB2312"/>
          <w:sz w:val="32"/>
          <w:szCs w:val="32"/>
        </w:rPr>
        <w:t>00亩、花卉苗圃</w:t>
      </w:r>
      <w:r>
        <w:rPr>
          <w:rFonts w:ascii="仿宋_GB2312" w:eastAsia="仿宋_GB2312" w:hint="eastAsia"/>
          <w:sz w:val="32"/>
          <w:szCs w:val="32"/>
        </w:rPr>
        <w:t>20</w:t>
      </w:r>
      <w:r>
        <w:rPr>
          <w:rFonts w:ascii="仿宋_GB2312" w:eastAsia="仿宋_GB2312"/>
          <w:sz w:val="32"/>
          <w:szCs w:val="32"/>
        </w:rPr>
        <w:t>00亩、香椿</w:t>
      </w:r>
      <w:r>
        <w:rPr>
          <w:rFonts w:ascii="仿宋_GB2312" w:eastAsia="仿宋_GB2312" w:hint="eastAsia"/>
          <w:sz w:val="32"/>
          <w:szCs w:val="32"/>
        </w:rPr>
        <w:t>20</w:t>
      </w:r>
      <w:r>
        <w:rPr>
          <w:rFonts w:ascii="仿宋_GB2312" w:eastAsia="仿宋_GB2312"/>
          <w:sz w:val="32"/>
          <w:szCs w:val="32"/>
        </w:rPr>
        <w:t>00亩、特色水果1</w:t>
      </w:r>
      <w:r>
        <w:rPr>
          <w:rFonts w:ascii="仿宋_GB2312" w:eastAsia="仿宋_GB2312" w:hint="eastAsia"/>
          <w:sz w:val="32"/>
          <w:szCs w:val="32"/>
        </w:rPr>
        <w:t>5</w:t>
      </w:r>
      <w:r>
        <w:rPr>
          <w:rFonts w:ascii="仿宋_GB2312" w:eastAsia="仿宋_GB2312"/>
          <w:sz w:val="32"/>
          <w:szCs w:val="32"/>
        </w:rPr>
        <w:t>00亩，积极发展农旅结合产业和采摘体验农场</w:t>
      </w:r>
      <w:r>
        <w:rPr>
          <w:rFonts w:ascii="仿宋_GB2312" w:eastAsia="仿宋_GB2312" w:hint="eastAsia"/>
          <w:sz w:val="32"/>
          <w:szCs w:val="32"/>
        </w:rPr>
        <w:t>。</w:t>
      </w:r>
      <w:r>
        <w:rPr>
          <w:rFonts w:ascii="仿宋_GB2312" w:eastAsia="仿宋_GB2312"/>
          <w:sz w:val="32"/>
          <w:szCs w:val="32"/>
        </w:rPr>
        <w:t>投入资金</w:t>
      </w:r>
      <w:r>
        <w:rPr>
          <w:rFonts w:ascii="仿宋_GB2312" w:eastAsia="仿宋_GB2312" w:hint="eastAsia"/>
          <w:sz w:val="32"/>
          <w:szCs w:val="32"/>
        </w:rPr>
        <w:t>2</w:t>
      </w:r>
      <w:r>
        <w:rPr>
          <w:rFonts w:ascii="仿宋_GB2312" w:eastAsia="仿宋_GB2312"/>
          <w:sz w:val="32"/>
          <w:szCs w:val="32"/>
        </w:rPr>
        <w:t>000万元，在蔡家坡、赵家坝、玉龙村建设1500亩乌梅科技核心示范园。</w:t>
      </w:r>
    </w:p>
    <w:p>
      <w:pPr>
        <w:spacing w:line="578" w:lineRule="exact"/>
        <w:ind w:rightChars="-50" w:right="-105" w:firstLine="640"/>
        <w:rPr>
          <w:rFonts w:ascii="黑体" w:eastAsia="黑体"/>
          <w:bCs/>
          <w:sz w:val="32"/>
          <w:szCs w:val="32"/>
        </w:rPr>
      </w:pPr>
      <w:r>
        <w:rPr>
          <w:rFonts w:ascii="黑体" w:eastAsia="黑体" w:hint="eastAsia"/>
          <w:bCs/>
          <w:sz w:val="32"/>
          <w:szCs w:val="32"/>
        </w:rPr>
        <w:t>2、重点项目建设扎实推进。</w:t>
      </w:r>
    </w:p>
    <w:p>
      <w:pPr>
        <w:spacing w:line="578" w:lineRule="exact"/>
        <w:ind w:firstLineChars="200" w:firstLine="640"/>
        <w:rPr>
          <w:rFonts w:ascii="仿宋_GB2312" w:eastAsia="仿宋_GB2312"/>
          <w:sz w:val="32"/>
          <w:szCs w:val="32"/>
        </w:rPr>
      </w:pPr>
      <w:r>
        <w:rPr>
          <w:rFonts w:ascii="仿宋_GB2312" w:eastAsia="仿宋_GB2312" w:hint="eastAsia"/>
          <w:sz w:val="32"/>
          <w:szCs w:val="32"/>
        </w:rPr>
        <w:t>持续加大宣传发动，</w:t>
      </w:r>
      <w:r>
        <w:rPr>
          <w:rFonts w:ascii="仿宋_GB2312" w:eastAsia="仿宋_GB2312"/>
          <w:sz w:val="32"/>
          <w:szCs w:val="32"/>
        </w:rPr>
        <w:t>积极</w:t>
      </w:r>
      <w:r>
        <w:rPr>
          <w:rFonts w:ascii="仿宋_GB2312" w:eastAsia="仿宋_GB2312" w:hint="eastAsia"/>
          <w:sz w:val="32"/>
          <w:szCs w:val="32"/>
        </w:rPr>
        <w:t>主动</w:t>
      </w:r>
      <w:r>
        <w:rPr>
          <w:rFonts w:ascii="仿宋_GB2312" w:eastAsia="仿宋_GB2312"/>
          <w:sz w:val="32"/>
          <w:szCs w:val="32"/>
        </w:rPr>
        <w:t>做好达州机场</w:t>
      </w:r>
      <w:r>
        <w:rPr>
          <w:rFonts w:ascii="仿宋_GB2312" w:eastAsia="仿宋_GB2312" w:hint="eastAsia"/>
          <w:sz w:val="32"/>
          <w:szCs w:val="32"/>
        </w:rPr>
        <w:t>迁建、机场大道、S305升级改造、北部污水处理厂等重点项目</w:t>
      </w:r>
      <w:r>
        <w:rPr>
          <w:rFonts w:ascii="仿宋_GB2312" w:eastAsia="仿宋_GB2312"/>
          <w:sz w:val="32"/>
          <w:szCs w:val="32"/>
        </w:rPr>
        <w:t>的征拆工作，</w:t>
      </w:r>
      <w:r>
        <w:rPr>
          <w:rFonts w:ascii="仿宋_GB2312" w:eastAsia="仿宋_GB2312" w:hint="eastAsia"/>
          <w:sz w:val="32"/>
          <w:szCs w:val="32"/>
        </w:rPr>
        <w:t>妥善解决项目建设产生的矛盾纠纷，有效促进了项目建设的顺利推进。2018年，完成电力、广电</w:t>
      </w:r>
      <w:r>
        <w:rPr>
          <w:rFonts w:ascii="仿宋_GB2312" w:eastAsia="仿宋_GB2312"/>
          <w:sz w:val="32"/>
          <w:szCs w:val="32"/>
        </w:rPr>
        <w:t>迁</w:t>
      </w:r>
      <w:r>
        <w:rPr>
          <w:rFonts w:ascii="仿宋_GB2312" w:eastAsia="仿宋_GB2312" w:hint="eastAsia"/>
          <w:sz w:val="32"/>
          <w:szCs w:val="32"/>
        </w:rPr>
        <w:t>改线路4千米</w:t>
      </w:r>
      <w:r>
        <w:rPr>
          <w:rFonts w:ascii="仿宋_GB2312" w:eastAsia="仿宋_GB2312"/>
          <w:sz w:val="32"/>
          <w:szCs w:val="32"/>
        </w:rPr>
        <w:t>，征地</w:t>
      </w:r>
      <w:r>
        <w:rPr>
          <w:rFonts w:ascii="仿宋_GB2312" w:eastAsia="仿宋_GB2312" w:hint="eastAsia"/>
          <w:sz w:val="32"/>
          <w:szCs w:val="32"/>
        </w:rPr>
        <w:t>80余</w:t>
      </w:r>
      <w:r>
        <w:rPr>
          <w:rFonts w:ascii="仿宋_GB2312" w:eastAsia="仿宋_GB2312"/>
          <w:sz w:val="32"/>
          <w:szCs w:val="32"/>
        </w:rPr>
        <w:t>亩</w:t>
      </w:r>
      <w:r>
        <w:rPr>
          <w:rFonts w:ascii="仿宋_GB2312" w:eastAsia="仿宋_GB2312" w:hint="eastAsia"/>
          <w:sz w:val="32"/>
          <w:szCs w:val="32"/>
        </w:rPr>
        <w:t>。加强指导，全面</w:t>
      </w:r>
      <w:r>
        <w:rPr>
          <w:rFonts w:ascii="仿宋_GB2312" w:eastAsia="仿宋_GB2312"/>
          <w:sz w:val="32"/>
          <w:szCs w:val="32"/>
        </w:rPr>
        <w:t>完成</w:t>
      </w:r>
      <w:r>
        <w:rPr>
          <w:rFonts w:ascii="仿宋_GB2312" w:eastAsia="仿宋_GB2312" w:hint="eastAsia"/>
          <w:sz w:val="32"/>
          <w:szCs w:val="32"/>
        </w:rPr>
        <w:t>机场迁建项目、机场大道的</w:t>
      </w:r>
      <w:r>
        <w:rPr>
          <w:rFonts w:ascii="仿宋_GB2312" w:eastAsia="仿宋_GB2312"/>
          <w:sz w:val="32"/>
          <w:szCs w:val="32"/>
        </w:rPr>
        <w:t>拆迁赔偿工作及征地安置补偿款的分配。</w:t>
      </w:r>
      <w:r>
        <w:rPr>
          <w:rFonts w:ascii="仿宋_GB2312" w:eastAsia="仿宋_GB2312" w:hint="eastAsia"/>
          <w:sz w:val="32"/>
          <w:szCs w:val="32"/>
        </w:rPr>
        <w:t>完成乌梅山4A级风景区规划并通过省旅发委创建评审</w:t>
      </w:r>
      <w:r>
        <w:rPr>
          <w:rFonts w:ascii="仿宋_GB2312" w:eastAsia="仿宋_GB2312"/>
          <w:sz w:val="32"/>
          <w:szCs w:val="32"/>
        </w:rPr>
        <w:t>。</w:t>
      </w:r>
    </w:p>
    <w:p>
      <w:pPr>
        <w:spacing w:line="578" w:lineRule="exact"/>
        <w:ind w:rightChars="-50" w:right="-105" w:firstLine="640"/>
        <w:rPr>
          <w:rFonts w:ascii="黑体" w:eastAsia="黑体"/>
          <w:bCs/>
          <w:sz w:val="32"/>
          <w:szCs w:val="32"/>
        </w:rPr>
      </w:pPr>
      <w:r>
        <w:rPr>
          <w:rFonts w:ascii="黑体" w:eastAsia="黑体" w:hint="eastAsia"/>
          <w:bCs/>
          <w:sz w:val="32"/>
          <w:szCs w:val="32"/>
        </w:rPr>
        <w:t>3、精准扶贫工作再创佳绩。</w:t>
      </w:r>
    </w:p>
    <w:p>
      <w:pPr>
        <w:spacing w:line="578" w:lineRule="exact"/>
        <w:ind w:rightChars="-50" w:right="-105" w:firstLine="640"/>
        <w:rPr>
          <w:rFonts w:ascii="仿宋_GB2312" w:eastAsia="仿宋_GB2312"/>
          <w:sz w:val="32"/>
          <w:szCs w:val="32"/>
        </w:rPr>
      </w:pPr>
      <w:r>
        <w:rPr>
          <w:rFonts w:eastAsia="仿宋_GB2312" w:hint="eastAsia"/>
          <w:sz w:val="32"/>
          <w:szCs w:val="32"/>
        </w:rPr>
        <w:t>2</w:t>
      </w:r>
      <w:r>
        <w:rPr>
          <w:rFonts w:ascii="仿宋_GB2312" w:eastAsia="仿宋_GB2312" w:hint="eastAsia"/>
          <w:sz w:val="32"/>
          <w:szCs w:val="32"/>
        </w:rPr>
        <w:t>018年是全区脱贫摘帽验收年，我镇严格按照区委、区政府脱贫攻坚部署，成立百节镇脱贫摘帽前线指挥部，召开指挥部会议十六次，专题研究部署全镇脱贫攻坚工作。严格</w:t>
      </w:r>
      <w:r>
        <w:rPr>
          <w:rFonts w:ascii="仿宋_GB2312" w:eastAsia="仿宋_GB2312"/>
          <w:sz w:val="32"/>
          <w:szCs w:val="32"/>
        </w:rPr>
        <w:t>按照</w:t>
      </w:r>
      <w:r>
        <w:rPr>
          <w:rFonts w:ascii="仿宋_GB2312" w:eastAsia="仿宋_GB2312" w:hint="eastAsia"/>
          <w:sz w:val="32"/>
          <w:szCs w:val="32"/>
        </w:rPr>
        <w:t>镇“三有”、贫困村“一低五有”、贫困户“一超六有”标准全面补足短板。加强结对帮扶工作，按照</w:t>
      </w:r>
      <w:r>
        <w:rPr>
          <w:rFonts w:ascii="仿宋_GB2312" w:eastAsia="仿宋_GB2312"/>
          <w:sz w:val="32"/>
          <w:szCs w:val="32"/>
        </w:rPr>
        <w:t>“六个一批”</w:t>
      </w:r>
      <w:r>
        <w:rPr>
          <w:rFonts w:ascii="仿宋_GB2312" w:eastAsia="仿宋_GB2312" w:hint="eastAsia"/>
          <w:sz w:val="32"/>
          <w:szCs w:val="32"/>
        </w:rPr>
        <w:t>“四合一”工作的要求</w:t>
      </w:r>
      <w:r>
        <w:rPr>
          <w:rFonts w:ascii="仿宋_GB2312" w:eastAsia="仿宋_GB2312"/>
          <w:sz w:val="32"/>
          <w:szCs w:val="32"/>
        </w:rPr>
        <w:t>分类施策脱贫，逐户落实帮扶责任人和帮扶措施</w:t>
      </w:r>
      <w:r>
        <w:rPr>
          <w:rFonts w:ascii="仿宋_GB2312" w:eastAsia="仿宋_GB2312" w:hint="eastAsia"/>
          <w:sz w:val="32"/>
          <w:szCs w:val="32"/>
        </w:rPr>
        <w:t>。</w:t>
      </w:r>
      <w:r>
        <w:rPr>
          <w:rFonts w:ascii="仿宋_GB2312" w:eastAsia="仿宋_GB2312"/>
          <w:sz w:val="32"/>
          <w:szCs w:val="32"/>
        </w:rPr>
        <w:t>投入各类项目和资金</w:t>
      </w:r>
      <w:r>
        <w:rPr>
          <w:rFonts w:ascii="仿宋_GB2312" w:eastAsia="仿宋_GB2312" w:hint="eastAsia"/>
          <w:sz w:val="32"/>
          <w:szCs w:val="32"/>
        </w:rPr>
        <w:t>458.5</w:t>
      </w:r>
      <w:r>
        <w:rPr>
          <w:rFonts w:ascii="仿宋_GB2312" w:eastAsia="仿宋_GB2312"/>
          <w:sz w:val="32"/>
          <w:szCs w:val="32"/>
        </w:rPr>
        <w:t>万元</w:t>
      </w:r>
      <w:r>
        <w:rPr>
          <w:rFonts w:ascii="仿宋_GB2312" w:eastAsia="仿宋_GB2312" w:hint="eastAsia"/>
          <w:sz w:val="32"/>
          <w:szCs w:val="32"/>
        </w:rPr>
        <w:t>，</w:t>
      </w:r>
      <w:r>
        <w:rPr>
          <w:rFonts w:ascii="仿宋_GB2312" w:eastAsia="仿宋_GB2312"/>
          <w:sz w:val="32"/>
          <w:szCs w:val="32"/>
        </w:rPr>
        <w:t>开展实用技术培训</w:t>
      </w:r>
      <w:r>
        <w:rPr>
          <w:rFonts w:ascii="仿宋_GB2312" w:eastAsia="仿宋_GB2312" w:hint="eastAsia"/>
          <w:sz w:val="32"/>
          <w:szCs w:val="32"/>
        </w:rPr>
        <w:t>38</w:t>
      </w:r>
      <w:r>
        <w:rPr>
          <w:rFonts w:ascii="仿宋_GB2312" w:eastAsia="仿宋_GB2312"/>
          <w:sz w:val="32"/>
          <w:szCs w:val="32"/>
        </w:rPr>
        <w:t>次，完成培训</w:t>
      </w:r>
      <w:r>
        <w:rPr>
          <w:rFonts w:ascii="仿宋_GB2312" w:eastAsia="仿宋_GB2312" w:hint="eastAsia"/>
          <w:sz w:val="32"/>
          <w:szCs w:val="32"/>
        </w:rPr>
        <w:t>4000</w:t>
      </w:r>
      <w:r>
        <w:rPr>
          <w:rFonts w:ascii="仿宋_GB2312" w:eastAsia="仿宋_GB2312"/>
          <w:sz w:val="32"/>
          <w:szCs w:val="32"/>
        </w:rPr>
        <w:t>余人次，实现就业创业</w:t>
      </w:r>
      <w:r>
        <w:rPr>
          <w:rFonts w:ascii="仿宋_GB2312" w:eastAsia="仿宋_GB2312" w:hint="eastAsia"/>
          <w:sz w:val="32"/>
          <w:szCs w:val="32"/>
        </w:rPr>
        <w:t>1200</w:t>
      </w:r>
      <w:r>
        <w:rPr>
          <w:rFonts w:ascii="仿宋_GB2312" w:eastAsia="仿宋_GB2312"/>
          <w:sz w:val="32"/>
          <w:szCs w:val="32"/>
        </w:rPr>
        <w:t>余人。完成</w:t>
      </w:r>
      <w:r>
        <w:rPr>
          <w:rFonts w:ascii="仿宋_GB2312" w:eastAsia="仿宋_GB2312" w:hint="eastAsia"/>
          <w:sz w:val="32"/>
          <w:szCs w:val="32"/>
        </w:rPr>
        <w:t>贫困户</w:t>
      </w:r>
      <w:r>
        <w:rPr>
          <w:rFonts w:ascii="仿宋_GB2312" w:eastAsia="仿宋_GB2312"/>
          <w:sz w:val="32"/>
          <w:szCs w:val="32"/>
        </w:rPr>
        <w:t>危房改造</w:t>
      </w:r>
      <w:r>
        <w:rPr>
          <w:rFonts w:ascii="仿宋_GB2312" w:eastAsia="仿宋_GB2312" w:hint="eastAsia"/>
          <w:sz w:val="32"/>
          <w:szCs w:val="32"/>
        </w:rPr>
        <w:t>35</w:t>
      </w:r>
      <w:r>
        <w:rPr>
          <w:rFonts w:ascii="仿宋_GB2312" w:eastAsia="仿宋_GB2312"/>
          <w:sz w:val="32"/>
          <w:szCs w:val="32"/>
        </w:rPr>
        <w:t>户</w:t>
      </w:r>
      <w:r>
        <w:rPr>
          <w:rFonts w:ascii="仿宋_GB2312" w:eastAsia="仿宋_GB2312" w:hint="eastAsia"/>
          <w:sz w:val="32"/>
          <w:szCs w:val="32"/>
        </w:rPr>
        <w:t>、易地搬迁46</w:t>
      </w:r>
      <w:r>
        <w:rPr>
          <w:rFonts w:ascii="仿宋_GB2312" w:eastAsia="仿宋_GB2312"/>
          <w:sz w:val="32"/>
          <w:szCs w:val="32"/>
        </w:rPr>
        <w:t>户</w:t>
      </w:r>
      <w:r>
        <w:rPr>
          <w:rFonts w:ascii="仿宋_GB2312" w:eastAsia="仿宋_GB2312" w:hint="eastAsia"/>
          <w:sz w:val="32"/>
          <w:szCs w:val="32"/>
        </w:rPr>
        <w:t>144人、该厨改厕154户。</w:t>
      </w:r>
      <w:r>
        <w:rPr>
          <w:rFonts w:ascii="仿宋_GB2312" w:eastAsia="仿宋_GB2312"/>
          <w:sz w:val="32"/>
          <w:szCs w:val="32"/>
        </w:rPr>
        <w:t>将符合条件的</w:t>
      </w:r>
      <w:r>
        <w:rPr>
          <w:rFonts w:ascii="仿宋_GB2312" w:eastAsia="仿宋_GB2312" w:hint="eastAsia"/>
          <w:sz w:val="32"/>
          <w:szCs w:val="32"/>
        </w:rPr>
        <w:t>388名</w:t>
      </w:r>
      <w:r>
        <w:rPr>
          <w:rFonts w:ascii="仿宋_GB2312" w:eastAsia="仿宋_GB2312"/>
          <w:sz w:val="32"/>
          <w:szCs w:val="32"/>
        </w:rPr>
        <w:t>贫困对象</w:t>
      </w:r>
      <w:r>
        <w:rPr>
          <w:rFonts w:ascii="仿宋_GB2312" w:eastAsia="仿宋_GB2312" w:hint="eastAsia"/>
          <w:sz w:val="32"/>
          <w:szCs w:val="32"/>
        </w:rPr>
        <w:t>实行低保兜底</w:t>
      </w:r>
      <w:r>
        <w:rPr>
          <w:rFonts w:ascii="仿宋_GB2312" w:eastAsia="仿宋_GB2312"/>
          <w:sz w:val="32"/>
          <w:szCs w:val="32"/>
        </w:rPr>
        <w:t>。</w:t>
      </w:r>
      <w:r>
        <w:rPr>
          <w:rFonts w:ascii="仿宋_GB2312" w:eastAsia="仿宋_GB2312" w:hint="eastAsia"/>
          <w:sz w:val="32"/>
          <w:szCs w:val="32"/>
        </w:rPr>
        <w:t>完成梯岩村0.9公里社道硬化，争取项目资金13.3万元完成赵家坝、蔡家坡、蒋家坡人畜饮水工程建设。</w:t>
      </w:r>
      <w:r>
        <w:rPr>
          <w:rFonts w:ascii="仿宋_GB2312" w:eastAsia="仿宋_GB2312"/>
          <w:sz w:val="32"/>
          <w:szCs w:val="32"/>
        </w:rPr>
        <w:t>截至目前，已完成脱贫</w:t>
      </w:r>
      <w:r>
        <w:rPr>
          <w:rFonts w:ascii="仿宋_GB2312" w:eastAsia="仿宋_GB2312" w:hint="eastAsia"/>
          <w:sz w:val="32"/>
          <w:szCs w:val="32"/>
        </w:rPr>
        <w:t>338户807</w:t>
      </w:r>
      <w:r>
        <w:rPr>
          <w:rFonts w:ascii="仿宋_GB2312" w:eastAsia="仿宋_GB2312"/>
          <w:sz w:val="32"/>
          <w:szCs w:val="32"/>
        </w:rPr>
        <w:t>人。</w:t>
      </w:r>
    </w:p>
    <w:p>
      <w:pPr>
        <w:spacing w:line="578" w:lineRule="exact"/>
        <w:ind w:rightChars="-50" w:right="-105" w:firstLine="630"/>
        <w:rPr>
          <w:rFonts w:ascii="黑体" w:eastAsia="黑体"/>
          <w:bCs/>
          <w:sz w:val="32"/>
          <w:szCs w:val="32"/>
        </w:rPr>
      </w:pPr>
      <w:r>
        <w:rPr>
          <w:rFonts w:ascii="黑体" w:eastAsia="黑体" w:hint="eastAsia"/>
          <w:bCs/>
          <w:sz w:val="32"/>
          <w:szCs w:val="32"/>
        </w:rPr>
        <w:t>4、基础设施建设不断改善。</w:t>
      </w:r>
    </w:p>
    <w:p>
      <w:pPr>
        <w:rPr>
          <w:rFonts w:ascii="仿宋_GB2312" w:eastAsia="仿宋_GB2312"/>
          <w:sz w:val="32"/>
          <w:szCs w:val="32"/>
        </w:rPr>
      </w:pPr>
      <w:r>
        <w:rPr>
          <w:rFonts w:eastAsia="仿宋_GB2312" w:hint="eastAsia"/>
          <w:sz w:val="32"/>
          <w:szCs w:val="32"/>
        </w:rPr>
        <w:t xml:space="preserve">    </w:t>
      </w:r>
      <w:r>
        <w:rPr>
          <w:rFonts w:ascii="仿宋_GB2312" w:eastAsia="仿宋_GB2312"/>
          <w:sz w:val="32"/>
          <w:szCs w:val="32"/>
        </w:rPr>
        <w:t>完成210国道百节段</w:t>
      </w:r>
      <w:r>
        <w:rPr>
          <w:rFonts w:ascii="仿宋_GB2312" w:eastAsia="仿宋_GB2312" w:hint="eastAsia"/>
          <w:sz w:val="32"/>
          <w:szCs w:val="32"/>
        </w:rPr>
        <w:t>勘界设计工程</w:t>
      </w:r>
      <w:r>
        <w:rPr>
          <w:rFonts w:ascii="仿宋_GB2312" w:eastAsia="仿宋_GB2312"/>
          <w:sz w:val="32"/>
          <w:szCs w:val="32"/>
        </w:rPr>
        <w:t>，完成</w:t>
      </w:r>
      <w:r>
        <w:rPr>
          <w:rFonts w:ascii="仿宋_GB2312" w:eastAsia="仿宋_GB2312" w:hint="eastAsia"/>
          <w:sz w:val="32"/>
          <w:szCs w:val="32"/>
        </w:rPr>
        <w:t>宝林村7.8</w:t>
      </w:r>
      <w:r>
        <w:rPr>
          <w:rFonts w:ascii="仿宋_GB2312" w:eastAsia="仿宋_GB2312"/>
          <w:sz w:val="32"/>
          <w:szCs w:val="32"/>
        </w:rPr>
        <w:t>公里道路加宽工程</w:t>
      </w:r>
      <w:r>
        <w:rPr>
          <w:rFonts w:ascii="仿宋_GB2312" w:eastAsia="仿宋_GB2312" w:hint="eastAsia"/>
          <w:sz w:val="32"/>
          <w:szCs w:val="32"/>
        </w:rPr>
        <w:t>，观音桥村、交通村新建硬化道路2.5公里。完成魁字岩、双石坝、宝林、鼓楼、玉龙、蔡家坡土地整理项目，土地平整1500亩，新建产业道路9.7公里、蓄水池40口，生产路17公里，整治堰塘7口，水渠7.7公里，进一步改善了项目村社生产条件</w:t>
      </w:r>
      <w:r>
        <w:rPr>
          <w:rFonts w:ascii="仿宋_GB2312" w:eastAsia="仿宋_GB2312"/>
          <w:sz w:val="32"/>
          <w:szCs w:val="32"/>
        </w:rPr>
        <w:t>。</w:t>
      </w:r>
    </w:p>
    <w:p>
      <w:pPr>
        <w:snapToGrid w:val="0"/>
        <w:spacing w:line="578" w:lineRule="exact"/>
        <w:ind w:firstLine="630"/>
        <w:rPr>
          <w:rFonts w:ascii="黑体" w:eastAsia="黑体"/>
          <w:bCs/>
          <w:sz w:val="32"/>
          <w:szCs w:val="32"/>
        </w:rPr>
      </w:pPr>
      <w:r>
        <w:rPr>
          <w:rFonts w:ascii="黑体" w:eastAsia="黑体" w:hint="eastAsia"/>
          <w:bCs/>
          <w:sz w:val="32"/>
          <w:szCs w:val="32"/>
        </w:rPr>
        <w:t>5、文旅新型产业加快发展。</w:t>
      </w:r>
    </w:p>
    <w:p>
      <w:pPr>
        <w:ind w:firstLineChars="200" w:firstLine="640"/>
        <w:rPr>
          <w:rFonts w:ascii="仿宋_GB2312" w:eastAsia="仿宋_GB2312"/>
          <w:sz w:val="32"/>
          <w:szCs w:val="32"/>
        </w:rPr>
      </w:pPr>
      <w:r>
        <w:rPr>
          <w:rFonts w:ascii="仿宋_GB2312" w:eastAsia="仿宋_GB2312" w:hint="eastAsia"/>
          <w:sz w:val="32"/>
          <w:szCs w:val="32"/>
        </w:rPr>
        <w:t>全面</w:t>
      </w:r>
      <w:r>
        <w:rPr>
          <w:rFonts w:ascii="仿宋_GB2312" w:eastAsia="仿宋_GB2312"/>
          <w:sz w:val="32"/>
          <w:szCs w:val="32"/>
        </w:rPr>
        <w:t>完成13个村（社区）农家书屋建设，安装地面数字电视</w:t>
      </w:r>
      <w:r>
        <w:rPr>
          <w:rFonts w:ascii="仿宋_GB2312" w:eastAsia="仿宋_GB2312" w:hint="eastAsia"/>
          <w:sz w:val="32"/>
          <w:szCs w:val="32"/>
        </w:rPr>
        <w:t>83</w:t>
      </w:r>
      <w:r>
        <w:rPr>
          <w:rFonts w:ascii="仿宋_GB2312" w:eastAsia="仿宋_GB2312"/>
          <w:sz w:val="32"/>
          <w:szCs w:val="32"/>
        </w:rPr>
        <w:t>户，放映电影</w:t>
      </w:r>
      <w:r>
        <w:rPr>
          <w:rFonts w:ascii="仿宋_GB2312" w:eastAsia="仿宋_GB2312" w:hint="eastAsia"/>
          <w:sz w:val="32"/>
          <w:szCs w:val="32"/>
        </w:rPr>
        <w:t>72</w:t>
      </w:r>
      <w:r>
        <w:rPr>
          <w:rFonts w:ascii="仿宋_GB2312" w:eastAsia="仿宋_GB2312"/>
          <w:sz w:val="32"/>
          <w:szCs w:val="32"/>
        </w:rPr>
        <w:t>场，</w:t>
      </w:r>
      <w:r>
        <w:rPr>
          <w:rFonts w:ascii="仿宋_GB2312" w:eastAsia="仿宋_GB2312" w:hint="eastAsia"/>
          <w:sz w:val="32"/>
          <w:szCs w:val="32"/>
        </w:rPr>
        <w:t>新</w:t>
      </w:r>
      <w:r>
        <w:rPr>
          <w:rFonts w:ascii="仿宋_GB2312" w:eastAsia="仿宋_GB2312"/>
          <w:sz w:val="32"/>
          <w:szCs w:val="32"/>
        </w:rPr>
        <w:t>安装村村通广播</w:t>
      </w:r>
      <w:r>
        <w:rPr>
          <w:rFonts w:ascii="仿宋_GB2312" w:eastAsia="仿宋_GB2312" w:hint="eastAsia"/>
          <w:sz w:val="32"/>
          <w:szCs w:val="32"/>
        </w:rPr>
        <w:t>4</w:t>
      </w:r>
      <w:r>
        <w:rPr>
          <w:rFonts w:ascii="仿宋_GB2312" w:eastAsia="仿宋_GB2312"/>
          <w:sz w:val="32"/>
          <w:szCs w:val="32"/>
        </w:rPr>
        <w:t>组。新建乌梅山</w:t>
      </w:r>
      <w:r>
        <w:rPr>
          <w:rFonts w:ascii="仿宋_GB2312" w:eastAsia="仿宋_GB2312" w:hint="eastAsia"/>
          <w:sz w:val="32"/>
          <w:szCs w:val="32"/>
        </w:rPr>
        <w:t>观景亭7座</w:t>
      </w:r>
      <w:r>
        <w:rPr>
          <w:rFonts w:ascii="仿宋_GB2312" w:eastAsia="仿宋_GB2312"/>
          <w:sz w:val="32"/>
          <w:szCs w:val="32"/>
        </w:rPr>
        <w:t>，</w:t>
      </w:r>
      <w:r>
        <w:rPr>
          <w:rFonts w:ascii="仿宋_GB2312" w:eastAsia="仿宋_GB2312" w:hint="eastAsia"/>
          <w:sz w:val="32"/>
          <w:szCs w:val="32"/>
        </w:rPr>
        <w:t>旅游公厕2座，加快开发天生湖、</w:t>
      </w:r>
      <w:r>
        <w:rPr>
          <w:rFonts w:ascii="仿宋_GB2312" w:eastAsia="仿宋_GB2312"/>
          <w:sz w:val="32"/>
          <w:szCs w:val="32"/>
        </w:rPr>
        <w:t>乌梅王、乌梅山文化广场等景观建设，元九登高吸引游客1万余人次。三牌静栖苑、莲子沟、老街铜钵河、蔡家坡家庭农场已形成特色显著的产业旅游景点，</w:t>
      </w:r>
      <w:r>
        <w:rPr>
          <w:rFonts w:ascii="仿宋_GB2312" w:eastAsia="仿宋_GB2312" w:hint="eastAsia"/>
          <w:sz w:val="32"/>
          <w:szCs w:val="32"/>
        </w:rPr>
        <w:t>全年</w:t>
      </w:r>
      <w:r>
        <w:rPr>
          <w:rFonts w:ascii="仿宋_GB2312" w:eastAsia="仿宋_GB2312"/>
          <w:sz w:val="32"/>
          <w:szCs w:val="32"/>
        </w:rPr>
        <w:t>共接待游客</w:t>
      </w:r>
      <w:r>
        <w:rPr>
          <w:rFonts w:ascii="仿宋_GB2312" w:eastAsia="仿宋_GB2312" w:hint="eastAsia"/>
          <w:sz w:val="32"/>
          <w:szCs w:val="32"/>
        </w:rPr>
        <w:t>2</w:t>
      </w:r>
      <w:r>
        <w:rPr>
          <w:rFonts w:ascii="仿宋_GB2312" w:eastAsia="仿宋_GB2312"/>
          <w:sz w:val="32"/>
          <w:szCs w:val="32"/>
        </w:rPr>
        <w:t>万</w:t>
      </w:r>
      <w:r>
        <w:rPr>
          <w:rFonts w:ascii="仿宋_GB2312" w:eastAsia="仿宋_GB2312" w:hint="eastAsia"/>
          <w:sz w:val="32"/>
          <w:szCs w:val="32"/>
        </w:rPr>
        <w:t>余</w:t>
      </w:r>
      <w:r>
        <w:rPr>
          <w:rFonts w:ascii="仿宋_GB2312" w:eastAsia="仿宋_GB2312"/>
          <w:sz w:val="32"/>
          <w:szCs w:val="32"/>
        </w:rPr>
        <w:t>人次，实现乡村旅游产业收入</w:t>
      </w:r>
      <w:r>
        <w:rPr>
          <w:rFonts w:ascii="仿宋_GB2312" w:eastAsia="仿宋_GB2312" w:hint="eastAsia"/>
          <w:sz w:val="32"/>
          <w:szCs w:val="32"/>
        </w:rPr>
        <w:t>2</w:t>
      </w:r>
      <w:r>
        <w:rPr>
          <w:rFonts w:ascii="仿宋_GB2312" w:eastAsia="仿宋_GB2312"/>
          <w:sz w:val="32"/>
          <w:szCs w:val="32"/>
        </w:rPr>
        <w:t>00余万元。</w:t>
      </w:r>
    </w:p>
    <w:p>
      <w:pPr>
        <w:spacing w:line="578" w:lineRule="exact"/>
        <w:ind w:rightChars="-50" w:right="-105" w:firstLine="630"/>
        <w:rPr>
          <w:rFonts w:ascii="黑体" w:eastAsia="黑体"/>
          <w:bCs/>
          <w:sz w:val="32"/>
          <w:szCs w:val="32"/>
        </w:rPr>
      </w:pPr>
      <w:r>
        <w:rPr>
          <w:rFonts w:ascii="黑体" w:eastAsia="黑体" w:hint="eastAsia"/>
          <w:bCs/>
          <w:sz w:val="32"/>
          <w:szCs w:val="32"/>
        </w:rPr>
        <w:t>6、依法治镇工作扎实推进。</w:t>
      </w:r>
    </w:p>
    <w:p>
      <w:pPr>
        <w:spacing w:line="578" w:lineRule="exact"/>
        <w:ind w:rightChars="-50" w:right="-105" w:firstLine="630"/>
        <w:rPr>
          <w:rFonts w:ascii="仿宋_GB2312" w:eastAsia="仿宋_GB2312"/>
          <w:sz w:val="32"/>
          <w:szCs w:val="32"/>
        </w:rPr>
      </w:pPr>
      <w:r>
        <w:rPr>
          <w:rFonts w:ascii="仿宋_GB2312" w:eastAsia="仿宋_GB2312"/>
          <w:sz w:val="32"/>
          <w:szCs w:val="32"/>
        </w:rPr>
        <w:t>深入开展法律“七进”、平安创建</w:t>
      </w:r>
      <w:r>
        <w:rPr>
          <w:rFonts w:ascii="仿宋_GB2312" w:eastAsia="仿宋_GB2312" w:hint="eastAsia"/>
          <w:sz w:val="32"/>
          <w:szCs w:val="32"/>
        </w:rPr>
        <w:t>雪亮工程</w:t>
      </w:r>
      <w:r>
        <w:rPr>
          <w:rFonts w:ascii="仿宋_GB2312" w:eastAsia="仿宋_GB2312"/>
          <w:sz w:val="32"/>
          <w:szCs w:val="32"/>
        </w:rPr>
        <w:t>等活动，健全社区矫正和社区救助体制，开展大型法治宣传活动</w:t>
      </w:r>
      <w:r>
        <w:rPr>
          <w:rFonts w:ascii="仿宋_GB2312" w:eastAsia="仿宋_GB2312" w:hint="eastAsia"/>
          <w:sz w:val="32"/>
          <w:szCs w:val="32"/>
        </w:rPr>
        <w:t>2</w:t>
      </w:r>
      <w:r>
        <w:rPr>
          <w:rFonts w:ascii="仿宋_GB2312" w:eastAsia="仿宋_GB2312"/>
          <w:sz w:val="32"/>
          <w:szCs w:val="32"/>
        </w:rPr>
        <w:t>次，悬挂各类法治标语</w:t>
      </w:r>
      <w:r>
        <w:rPr>
          <w:rFonts w:ascii="仿宋_GB2312" w:eastAsia="仿宋_GB2312" w:hint="eastAsia"/>
          <w:sz w:val="32"/>
          <w:szCs w:val="32"/>
        </w:rPr>
        <w:t>20</w:t>
      </w:r>
      <w:r>
        <w:rPr>
          <w:rFonts w:ascii="仿宋_GB2312" w:eastAsia="仿宋_GB2312"/>
          <w:sz w:val="32"/>
          <w:szCs w:val="32"/>
        </w:rPr>
        <w:t>副，制作展板</w:t>
      </w:r>
      <w:r>
        <w:rPr>
          <w:rFonts w:ascii="仿宋_GB2312" w:eastAsia="仿宋_GB2312" w:hint="eastAsia"/>
          <w:sz w:val="32"/>
          <w:szCs w:val="32"/>
        </w:rPr>
        <w:t>1</w:t>
      </w:r>
      <w:r>
        <w:rPr>
          <w:rFonts w:ascii="仿宋_GB2312" w:eastAsia="仿宋_GB2312"/>
          <w:sz w:val="32"/>
          <w:szCs w:val="32"/>
        </w:rPr>
        <w:t>5个，查处治安案件</w:t>
      </w:r>
      <w:r>
        <w:rPr>
          <w:rFonts w:ascii="仿宋_GB2312" w:eastAsia="仿宋_GB2312" w:hint="eastAsia"/>
          <w:sz w:val="32"/>
          <w:szCs w:val="32"/>
        </w:rPr>
        <w:t>9</w:t>
      </w:r>
      <w:r>
        <w:rPr>
          <w:rFonts w:ascii="仿宋_GB2312" w:eastAsia="仿宋_GB2312"/>
          <w:sz w:val="32"/>
          <w:szCs w:val="32"/>
        </w:rPr>
        <w:t>件，接访群众来访案件</w:t>
      </w:r>
      <w:r>
        <w:rPr>
          <w:rFonts w:ascii="仿宋_GB2312" w:eastAsia="仿宋_GB2312" w:hint="eastAsia"/>
          <w:sz w:val="32"/>
          <w:szCs w:val="32"/>
        </w:rPr>
        <w:t>15</w:t>
      </w:r>
      <w:r>
        <w:rPr>
          <w:rFonts w:ascii="仿宋_GB2312" w:eastAsia="仿宋_GB2312"/>
          <w:sz w:val="32"/>
          <w:szCs w:val="32"/>
        </w:rPr>
        <w:t>件，调处化解率达9</w:t>
      </w:r>
      <w:r>
        <w:rPr>
          <w:rFonts w:ascii="仿宋_GB2312" w:eastAsia="仿宋_GB2312" w:hint="eastAsia"/>
          <w:sz w:val="32"/>
          <w:szCs w:val="32"/>
        </w:rPr>
        <w:t>9</w:t>
      </w:r>
      <w:r>
        <w:rPr>
          <w:rFonts w:ascii="仿宋_GB2312" w:eastAsia="仿宋_GB2312"/>
          <w:sz w:val="32"/>
          <w:szCs w:val="32"/>
        </w:rPr>
        <w:t>%，受理和处置省、市、区交办的信访案件</w:t>
      </w:r>
      <w:r>
        <w:rPr>
          <w:rFonts w:ascii="仿宋_GB2312" w:eastAsia="仿宋_GB2312" w:hint="eastAsia"/>
          <w:sz w:val="32"/>
          <w:szCs w:val="32"/>
        </w:rPr>
        <w:t>16</w:t>
      </w:r>
      <w:r>
        <w:rPr>
          <w:rFonts w:ascii="仿宋_GB2312" w:eastAsia="仿宋_GB2312"/>
          <w:sz w:val="32"/>
          <w:szCs w:val="32"/>
        </w:rPr>
        <w:t>件，结案率100%</w:t>
      </w:r>
      <w:r>
        <w:rPr>
          <w:rFonts w:ascii="仿宋_GB2312" w:eastAsia="仿宋_GB2312" w:hint="eastAsia"/>
          <w:sz w:val="32"/>
          <w:szCs w:val="32"/>
        </w:rPr>
        <w:t>，无</w:t>
      </w:r>
      <w:r>
        <w:rPr>
          <w:rFonts w:ascii="仿宋_GB2312" w:eastAsia="仿宋_GB2312"/>
          <w:sz w:val="32"/>
          <w:szCs w:val="32"/>
        </w:rPr>
        <w:t>领导包案交办信访突出问题</w:t>
      </w:r>
      <w:r>
        <w:rPr>
          <w:rFonts w:ascii="仿宋_GB2312" w:eastAsia="仿宋_GB2312" w:hint="eastAsia"/>
          <w:sz w:val="32"/>
          <w:szCs w:val="32"/>
        </w:rPr>
        <w:t>案件</w:t>
      </w:r>
      <w:r>
        <w:rPr>
          <w:rFonts w:ascii="仿宋_GB2312" w:eastAsia="仿宋_GB2312"/>
          <w:sz w:val="32"/>
          <w:szCs w:val="32"/>
        </w:rPr>
        <w:t>，排查调处矛盾纠纷</w:t>
      </w:r>
      <w:r>
        <w:rPr>
          <w:rFonts w:ascii="仿宋_GB2312" w:eastAsia="仿宋_GB2312" w:hint="eastAsia"/>
          <w:sz w:val="32"/>
          <w:szCs w:val="32"/>
        </w:rPr>
        <w:t>216</w:t>
      </w:r>
      <w:r>
        <w:rPr>
          <w:rFonts w:ascii="仿宋_GB2312" w:eastAsia="仿宋_GB2312"/>
          <w:sz w:val="32"/>
          <w:szCs w:val="32"/>
        </w:rPr>
        <w:t>件，调解成功率达</w:t>
      </w:r>
      <w:r>
        <w:rPr>
          <w:rFonts w:ascii="仿宋_GB2312" w:eastAsia="仿宋_GB2312" w:hint="eastAsia"/>
          <w:sz w:val="32"/>
          <w:szCs w:val="32"/>
        </w:rPr>
        <w:t>100</w:t>
      </w:r>
      <w:r>
        <w:rPr>
          <w:rFonts w:ascii="仿宋_GB2312" w:eastAsia="仿宋_GB2312"/>
          <w:sz w:val="32"/>
          <w:szCs w:val="32"/>
        </w:rPr>
        <w:t>%</w:t>
      </w:r>
    </w:p>
    <w:p>
      <w:pPr>
        <w:shd w:val="clear" w:color="auto" w:fill="FFFFFF"/>
        <w:snapToGrid w:val="0"/>
        <w:spacing w:line="578" w:lineRule="exact"/>
        <w:ind w:firstLineChars="196" w:firstLine="627"/>
        <w:rPr>
          <w:rFonts w:ascii="黑体" w:eastAsia="黑体"/>
          <w:bCs/>
          <w:kern w:val="0"/>
          <w:sz w:val="32"/>
          <w:szCs w:val="32"/>
        </w:rPr>
      </w:pPr>
      <w:r>
        <w:rPr>
          <w:rFonts w:ascii="黑体" w:eastAsia="黑体" w:hint="eastAsia"/>
          <w:bCs/>
          <w:kern w:val="0"/>
          <w:sz w:val="32"/>
          <w:szCs w:val="32"/>
        </w:rPr>
        <w:t>7、区域环境治理成效显著。</w:t>
      </w:r>
    </w:p>
    <w:p>
      <w:pPr>
        <w:spacing w:line="578" w:lineRule="exact"/>
        <w:ind w:rightChars="-50" w:right="-105" w:firstLine="630"/>
        <w:rPr>
          <w:rFonts w:ascii="仿宋_GB2312" w:eastAsia="仿宋_GB2312"/>
          <w:sz w:val="32"/>
          <w:szCs w:val="32"/>
        </w:rPr>
      </w:pPr>
      <w:r>
        <w:rPr>
          <w:rFonts w:ascii="仿宋_GB2312" w:eastAsia="仿宋_GB2312"/>
          <w:sz w:val="32"/>
          <w:szCs w:val="32"/>
        </w:rPr>
        <w:t>紧紧围绕建设美丽百节为目标，加大城乡统筹力度，强化基础设施建设，加强区域环境整治，不断增添发展新动力。全镇城镇化率达到29%，</w:t>
      </w:r>
      <w:r>
        <w:rPr>
          <w:rFonts w:ascii="仿宋_GB2312" w:eastAsia="仿宋_GB2312" w:hint="eastAsia"/>
          <w:sz w:val="32"/>
          <w:szCs w:val="32"/>
        </w:rPr>
        <w:t>整治垃圾倾倒场，生活垃圾实现统一处理。全面开展“四清六治”工作，创建优美、整洁、有序的城乡环境。2018年，我镇被四川省小城镇建设办公室命名为省级特色小城镇和“百镇建设行动”扩面增量试点镇。认真开展环保工作，严格落实秸秆禁烧制度，完成禁养区养殖场拆迁工作完善各级河长制，</w:t>
      </w:r>
      <w:r>
        <w:rPr>
          <w:rFonts w:ascii="仿宋_GB2312" w:eastAsia="仿宋_GB2312"/>
          <w:sz w:val="32"/>
          <w:szCs w:val="32"/>
        </w:rPr>
        <w:t>铜钵河污水治理基本实现，场镇绿化面积达到30%，农村森林覆盖率达到40%以上，</w:t>
      </w:r>
      <w:r>
        <w:rPr>
          <w:rFonts w:ascii="仿宋_GB2312" w:eastAsia="仿宋_GB2312" w:hint="eastAsia"/>
          <w:sz w:val="32"/>
          <w:szCs w:val="32"/>
        </w:rPr>
        <w:t>2018年，我镇成功申报为四川省森林小镇，</w:t>
      </w:r>
      <w:r>
        <w:rPr>
          <w:rFonts w:ascii="仿宋_GB2312" w:eastAsia="仿宋_GB2312"/>
          <w:sz w:val="32"/>
          <w:szCs w:val="32"/>
        </w:rPr>
        <w:t>人民的生</w:t>
      </w:r>
      <w:r>
        <w:rPr>
          <w:rFonts w:ascii="仿宋_GB2312" w:eastAsia="仿宋_GB2312" w:hint="eastAsia"/>
          <w:sz w:val="32"/>
          <w:szCs w:val="32"/>
        </w:rPr>
        <w:t>活环境</w:t>
      </w:r>
      <w:r>
        <w:rPr>
          <w:rFonts w:ascii="仿宋_GB2312" w:eastAsia="仿宋_GB2312"/>
          <w:sz w:val="32"/>
          <w:szCs w:val="32"/>
        </w:rPr>
        <w:t>得到有效改善。</w:t>
      </w:r>
    </w:p>
    <w:p>
      <w:pPr>
        <w:snapToGrid w:val="0"/>
        <w:spacing w:line="578" w:lineRule="exact"/>
        <w:ind w:firstLineChars="196" w:firstLine="627"/>
        <w:rPr>
          <w:rFonts w:ascii="黑体" w:eastAsia="黑体"/>
          <w:bCs/>
          <w:kern w:val="0"/>
          <w:sz w:val="32"/>
          <w:szCs w:val="32"/>
        </w:rPr>
      </w:pPr>
      <w:r>
        <w:rPr>
          <w:rFonts w:ascii="黑体" w:eastAsia="黑体" w:hint="eastAsia"/>
          <w:bCs/>
          <w:kern w:val="0"/>
          <w:sz w:val="32"/>
          <w:szCs w:val="32"/>
        </w:rPr>
        <w:t>8、民生幸福指数逐步提升。</w:t>
      </w:r>
    </w:p>
    <w:p>
      <w:pPr>
        <w:snapToGrid w:val="0"/>
        <w:spacing w:line="578" w:lineRule="exact"/>
        <w:ind w:firstLineChars="196" w:firstLine="627"/>
        <w:rPr>
          <w:rFonts w:eastAsia="仿宋_GB2312"/>
          <w:sz w:val="32"/>
          <w:szCs w:val="32"/>
        </w:rPr>
      </w:pPr>
      <w:r>
        <w:rPr>
          <w:rFonts w:ascii="仿宋_GB2312" w:eastAsia="仿宋_GB2312"/>
          <w:sz w:val="32"/>
          <w:szCs w:val="32"/>
        </w:rPr>
        <w:t>始终坚持把爱惜民力、改善民生作为工作的出发点和落脚点，加大民生投入，促进民生发展，不断提高人民幸福指数。全面完成“民生工程”任务。城镇企业职工养老保险、城镇基本医疗保险应保尽保，新农合参合率99.99%，新生婴儿死亡率控制在13‰以下； “9+10”民生工程有效实施，受益人口达</w:t>
      </w:r>
      <w:r>
        <w:rPr>
          <w:rFonts w:ascii="仿宋_GB2312" w:eastAsia="仿宋_GB2312" w:hint="eastAsia"/>
          <w:sz w:val="32"/>
          <w:szCs w:val="32"/>
        </w:rPr>
        <w:t>1632</w:t>
      </w:r>
      <w:r>
        <w:rPr>
          <w:rFonts w:ascii="仿宋_GB2312" w:eastAsia="仿宋_GB2312"/>
          <w:sz w:val="32"/>
          <w:szCs w:val="32"/>
        </w:rPr>
        <w:t>人，完成城乡居民养老保险</w:t>
      </w:r>
      <w:r>
        <w:rPr>
          <w:rFonts w:ascii="仿宋_GB2312" w:eastAsia="仿宋_GB2312" w:hint="eastAsia"/>
          <w:sz w:val="32"/>
          <w:szCs w:val="32"/>
        </w:rPr>
        <w:t>13533人</w:t>
      </w:r>
      <w:r>
        <w:rPr>
          <w:rFonts w:ascii="仿宋_GB2312" w:eastAsia="仿宋_GB2312"/>
          <w:sz w:val="32"/>
          <w:szCs w:val="32"/>
        </w:rPr>
        <w:t>。完成</w:t>
      </w:r>
      <w:r>
        <w:rPr>
          <w:rFonts w:ascii="仿宋_GB2312" w:eastAsia="仿宋_GB2312" w:hint="eastAsia"/>
          <w:sz w:val="32"/>
          <w:szCs w:val="32"/>
        </w:rPr>
        <w:t>百节学校标准化建设和便民服务中心建设</w:t>
      </w:r>
      <w:r>
        <w:rPr>
          <w:rFonts w:ascii="仿宋_GB2312" w:eastAsia="仿宋_GB2312"/>
          <w:sz w:val="32"/>
          <w:szCs w:val="32"/>
        </w:rPr>
        <w:t>。成功举办了“</w:t>
      </w:r>
      <w:r>
        <w:rPr>
          <w:rFonts w:ascii="仿宋_GB2312" w:eastAsia="仿宋_GB2312" w:hint="eastAsia"/>
          <w:sz w:val="32"/>
          <w:szCs w:val="32"/>
        </w:rPr>
        <w:t>文化下乡活动</w:t>
      </w:r>
      <w:r>
        <w:rPr>
          <w:rFonts w:ascii="仿宋_GB2312" w:eastAsia="仿宋_GB2312"/>
          <w:sz w:val="32"/>
          <w:szCs w:val="32"/>
        </w:rPr>
        <w:t>”。食品药品安全监管加强，群众饮食用药安全得到保障。安全生产责任进一步落实，安全生产形势总体平稳。</w:t>
      </w:r>
      <w:r>
        <w:rPr>
          <w:rFonts w:ascii="仿宋_GB2312" w:eastAsia="仿宋_GB2312" w:hint="eastAsia"/>
          <w:sz w:val="32"/>
          <w:szCs w:val="32"/>
        </w:rPr>
        <w:t>深入开展“扫黑除恶”专项斗争，</w:t>
      </w:r>
      <w:r>
        <w:rPr>
          <w:rFonts w:ascii="仿宋_GB2312" w:eastAsia="仿宋_GB2312"/>
          <w:sz w:val="32"/>
          <w:szCs w:val="32"/>
        </w:rPr>
        <w:t>“315”群众工作法全面推行，“大调解”工作体系不断健全，信访工作实现“四降”目标。平安百节建设深入推进，群众安全感满意率始终保持在90%以上。</w:t>
      </w:r>
    </w:p>
    <w:p>
      <w:pPr>
        <w:widowControl/>
        <w:shd w:val="clear" w:color="auto" w:fill="FFFFFF"/>
        <w:snapToGrid w:val="0"/>
        <w:spacing w:line="578" w:lineRule="exact"/>
        <w:ind w:firstLineChars="196" w:firstLine="627"/>
        <w:rPr>
          <w:rFonts w:ascii="黑体" w:eastAsia="黑体"/>
          <w:bCs/>
          <w:kern w:val="0"/>
          <w:sz w:val="32"/>
          <w:szCs w:val="32"/>
        </w:rPr>
      </w:pPr>
      <w:r>
        <w:rPr>
          <w:rFonts w:ascii="黑体" w:eastAsia="黑体" w:hint="eastAsia"/>
          <w:bCs/>
          <w:kern w:val="0"/>
          <w:sz w:val="32"/>
          <w:szCs w:val="32"/>
        </w:rPr>
        <w:t>9、作风转变执行力不断增强。</w:t>
      </w:r>
    </w:p>
    <w:p>
      <w:pPr>
        <w:widowControl/>
        <w:shd w:val="clear" w:color="auto" w:fill="FFFFFF"/>
        <w:snapToGrid w:val="0"/>
        <w:spacing w:line="578" w:lineRule="exact"/>
        <w:ind w:firstLineChars="196" w:firstLine="627"/>
        <w:rPr>
          <w:rFonts w:ascii="仿宋_GB2312" w:eastAsia="仿宋_GB2312"/>
          <w:sz w:val="32"/>
          <w:szCs w:val="32"/>
        </w:rPr>
      </w:pPr>
      <w:r>
        <w:rPr>
          <w:rFonts w:ascii="仿宋_GB2312" w:eastAsia="仿宋_GB2312" w:hint="eastAsia"/>
          <w:sz w:val="32"/>
          <w:szCs w:val="32"/>
        </w:rPr>
        <w:t>深入贯彻十九大精神</w:t>
      </w:r>
      <w:r>
        <w:rPr>
          <w:rFonts w:ascii="仿宋_GB2312" w:eastAsia="仿宋_GB2312"/>
          <w:sz w:val="32"/>
          <w:szCs w:val="32"/>
        </w:rPr>
        <w:t>，</w:t>
      </w:r>
      <w:r>
        <w:rPr>
          <w:rFonts w:ascii="仿宋_GB2312" w:eastAsia="仿宋_GB2312" w:hint="eastAsia"/>
          <w:sz w:val="32"/>
          <w:szCs w:val="32"/>
        </w:rPr>
        <w:t>增强“四个意识”，落实“四责五讲”，开展“民情户户通”活动，解决群众反映问题150余个，</w:t>
      </w:r>
      <w:r>
        <w:rPr>
          <w:rFonts w:ascii="仿宋_GB2312" w:eastAsia="仿宋_GB2312"/>
          <w:sz w:val="32"/>
          <w:szCs w:val="32"/>
        </w:rPr>
        <w:t>认真落实党风廉政建设责任制，严肃查处违法违纪行为</w:t>
      </w:r>
      <w:r>
        <w:rPr>
          <w:rFonts w:ascii="仿宋_GB2312" w:eastAsia="仿宋_GB2312" w:hint="eastAsia"/>
          <w:sz w:val="32"/>
          <w:szCs w:val="32"/>
        </w:rPr>
        <w:t>，干部职工作风持续向好</w:t>
      </w:r>
      <w:r>
        <w:rPr>
          <w:rFonts w:ascii="仿宋_GB2312" w:eastAsia="仿宋_GB2312"/>
          <w:sz w:val="32"/>
          <w:szCs w:val="32"/>
        </w:rPr>
        <w:t>。</w:t>
      </w:r>
    </w:p>
    <w:p>
      <w:pPr>
        <w:snapToGrid w:val="0"/>
        <w:spacing w:line="578" w:lineRule="exact"/>
        <w:ind w:firstLineChars="196" w:firstLine="627"/>
        <w:rPr>
          <w:rFonts w:ascii="仿宋_GB2312" w:eastAsia="仿宋_GB2312"/>
          <w:sz w:val="32"/>
          <w:szCs w:val="32"/>
        </w:rPr>
      </w:pPr>
      <w:r>
        <w:rPr>
          <w:rFonts w:ascii="仿宋_GB2312" w:eastAsia="仿宋_GB2312" w:hint="eastAsia"/>
          <w:sz w:val="32"/>
          <w:szCs w:val="32"/>
        </w:rPr>
        <w:t>在肯定成绩的同时，我们也应该清醒的看到，全镇在经济社会发展和政府工作运行中仍存在一些问题与不足，主要是农业产业化，特别是乌梅产业发展离规模化、产业化、效益化还有一定差距；脱贫攻坚扫尾任务和巩固脱贫成果工作任重道远，还需精准发力，扎实推进；人均相关经济指标还没达到群众的期盼指数，还需进一步提高；文明场镇建设、窗口形象打造还需进一步提升；群众内生动力还需进一步增强；党员干部执政为民促发展的能力和水平还有待进一步提高。对于这些问题和不足，我们一定会在今后工作中认真加以改进。</w:t>
      </w:r>
    </w:p>
    <w:p>
      <w:pPr>
        <w:snapToGrid w:val="0"/>
        <w:spacing w:line="578" w:lineRule="exact"/>
        <w:ind w:firstLineChars="196" w:firstLine="627"/>
        <w:rPr>
          <w:rFonts w:ascii="黑体" w:eastAsia="黑体"/>
          <w:bCs/>
          <w:kern w:val="0"/>
          <w:sz w:val="32"/>
          <w:szCs w:val="32"/>
        </w:rPr>
      </w:pPr>
      <w:bookmarkStart w:id="20" w:name="_Toc15377200"/>
      <w:bookmarkStart w:id="21" w:name="_Toc15396601"/>
      <w:r>
        <w:rPr>
          <w:rFonts w:ascii="黑体" w:eastAsia="黑体" w:hint="eastAsia"/>
          <w:bCs/>
          <w:kern w:val="0"/>
          <w:sz w:val="32"/>
          <w:szCs w:val="32"/>
        </w:rPr>
        <w:t>二、机构设置</w:t>
      </w:r>
      <w:bookmarkEnd w:id="20"/>
      <w:bookmarkEnd w:id="21"/>
    </w:p>
    <w:p>
      <w:pPr>
        <w:snapToGrid w:val="0"/>
        <w:spacing w:line="578" w:lineRule="exact"/>
        <w:ind w:firstLineChars="196" w:firstLine="627"/>
        <w:rPr>
          <w:rFonts w:ascii="仿宋_GB2312" w:eastAsia="仿宋_GB2312"/>
          <w:sz w:val="32"/>
          <w:szCs w:val="32"/>
        </w:rPr>
      </w:pPr>
      <w:r>
        <w:rPr>
          <w:rFonts w:ascii="仿宋_GB2312" w:eastAsia="仿宋_GB2312" w:hint="eastAsia"/>
          <w:sz w:val="32"/>
          <w:szCs w:val="32"/>
        </w:rPr>
        <w:t>百节镇下属二级预算单位4个，其中行政单位</w:t>
      </w:r>
      <w:r>
        <w:rPr>
          <w:rFonts w:ascii="仿宋_GB2312" w:eastAsia="仿宋_GB2312"/>
          <w:sz w:val="32"/>
          <w:szCs w:val="32"/>
        </w:rPr>
        <w:t>1</w:t>
      </w:r>
      <w:r>
        <w:rPr>
          <w:rFonts w:ascii="仿宋_GB2312" w:eastAsia="仿宋_GB2312" w:hint="eastAsia"/>
          <w:sz w:val="32"/>
          <w:szCs w:val="32"/>
        </w:rPr>
        <w:t>个，其他事业单位3个。主要包括：达州市达川区百节镇人民政府、达州市达川区百节镇社会事物（服务）中心、达州市达川区百节镇计划生育服务站、达州市达川区百节镇广播电视站。</w:t>
      </w:r>
    </w:p>
    <w:p>
      <w:pPr>
        <w:widowControl/>
        <w:ind w:firstLineChars="150" w:firstLine="660"/>
        <w:jc w:val="left"/>
        <w:rPr>
          <w:rStyle w:val="1Char"/>
          <w:rFonts w:ascii="黑体" w:eastAsia="黑体"/>
        </w:rPr>
      </w:pPr>
      <w:r>
        <w:rPr>
          <w:rStyle w:val="1Char"/>
          <w:rFonts w:ascii="黑体" w:eastAsia="黑体" w:hint="eastAsia"/>
        </w:rPr>
        <w:t>第二部分 2018年度部门决算情况说明</w:t>
      </w:r>
    </w:p>
    <w:p/>
    <w:p>
      <w:pPr>
        <w:pStyle w:val="23"/>
        <w:numPr>
          <w:ilvl w:val="0"/>
          <w:numId w:val="1"/>
        </w:numPr>
        <w:spacing w:line="600" w:lineRule="exact"/>
        <w:ind w:firstLineChars="0"/>
        <w:outlineLvl w:val="1"/>
        <w:rPr>
          <w:rStyle w:val="2Char"/>
          <w:rFonts w:ascii="黑体" w:eastAsia="黑体"/>
        </w:rPr>
      </w:pPr>
      <w:bookmarkStart w:id="22" w:name="_Toc15377205"/>
      <w:bookmarkStart w:id="23" w:name="_Toc15396603"/>
      <w:r>
        <w:rPr>
          <w:rFonts w:ascii="黑体" w:eastAsia="黑体" w:hint="eastAsia"/>
          <w:sz w:val="32"/>
          <w:szCs w:val="32"/>
        </w:rPr>
        <w:t>收</w:t>
      </w:r>
      <w:r>
        <w:rPr>
          <w:rStyle w:val="2Char"/>
          <w:rFonts w:ascii="黑体" w:eastAsia="黑体" w:hint="eastAsia"/>
          <w:b w:val="0"/>
        </w:rPr>
        <w:t>入支出决算总体情况说明</w:t>
      </w:r>
      <w:bookmarkEnd w:id="22"/>
      <w:bookmarkEnd w:id="23"/>
    </w:p>
    <w:p>
      <w:pPr>
        <w:spacing w:line="600" w:lineRule="exact"/>
        <w:ind w:firstLineChars="200" w:firstLine="640"/>
        <w:rPr>
          <w:rFonts w:ascii="仿宋_GB2312" w:eastAsia="仿宋_GB2312"/>
          <w:sz w:val="32"/>
          <w:szCs w:val="32"/>
        </w:rPr>
      </w:pPr>
      <w:r>
        <w:rPr>
          <w:rFonts w:ascii="仿宋_GB2312" w:eastAsia="仿宋_GB2312" w:hint="eastAsia"/>
          <w:sz w:val="32"/>
          <w:szCs w:val="32"/>
        </w:rPr>
        <w:t>2018年度收、支总计1595.03万元。与2017年相比，收、支总计各增加118.21万元，增长8</w:t>
      </w:r>
      <w:r>
        <w:rPr>
          <w:rFonts w:ascii="仿宋_GB2312" w:eastAsia="仿宋_GB2312"/>
          <w:sz w:val="32"/>
          <w:szCs w:val="32"/>
        </w:rPr>
        <w:t>%</w:t>
      </w:r>
      <w:r>
        <w:rPr>
          <w:rFonts w:ascii="仿宋_GB2312" w:eastAsia="仿宋_GB2312" w:hint="eastAsia"/>
          <w:sz w:val="32"/>
          <w:szCs w:val="32"/>
        </w:rPr>
        <w:t>。主要变动原因是项目支出增加及工资基数调整。</w:t>
      </w:r>
    </w:p>
    <w:p>
      <w:pPr>
        <w:pStyle w:val="23"/>
        <w:numPr>
          <w:ilvl w:val="0"/>
          <w:numId w:val="1"/>
        </w:numPr>
        <w:spacing w:line="600" w:lineRule="exact"/>
        <w:ind w:firstLineChars="0"/>
        <w:outlineLvl w:val="1"/>
        <w:rPr>
          <w:rStyle w:val="2Char"/>
          <w:rFonts w:ascii="黑体" w:eastAsia="黑体"/>
          <w:b w:val="0"/>
        </w:rPr>
      </w:pPr>
      <w:bookmarkStart w:id="24" w:name="_Toc15377206"/>
      <w:bookmarkStart w:id="25" w:name="_Toc15396604"/>
      <w:r>
        <w:rPr>
          <w:rFonts w:ascii="黑体" w:eastAsia="黑体" w:hint="eastAsia"/>
          <w:sz w:val="32"/>
          <w:szCs w:val="32"/>
        </w:rPr>
        <w:t>收</w:t>
      </w:r>
      <w:r>
        <w:rPr>
          <w:rStyle w:val="2Char"/>
          <w:rFonts w:ascii="黑体" w:eastAsia="黑体" w:hint="eastAsia"/>
          <w:b w:val="0"/>
        </w:rPr>
        <w:t>入决算情况说明</w:t>
      </w:r>
      <w:bookmarkEnd w:id="24"/>
      <w:bookmarkEnd w:id="25"/>
    </w:p>
    <w:p>
      <w:pPr>
        <w:spacing w:line="6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8年本年收入合计1595.03万元，其中：一般公共预算财政拨款收入1489.03万元，占93.35</w:t>
      </w:r>
      <w:r>
        <w:rPr>
          <w:rFonts w:ascii="仿宋_GB2312" w:eastAsia="仿宋_GB2312"/>
          <w:sz w:val="32"/>
          <w:szCs w:val="32"/>
        </w:rPr>
        <w:t>%</w:t>
      </w:r>
      <w:r>
        <w:rPr>
          <w:rFonts w:ascii="仿宋_GB2312" w:eastAsia="仿宋_GB2312" w:hint="eastAsia"/>
          <w:sz w:val="32"/>
          <w:szCs w:val="32"/>
        </w:rPr>
        <w:t>；政府性基金预算财政拨款收入106万元，占6.65</w:t>
      </w:r>
      <w:r>
        <w:rPr>
          <w:rFonts w:ascii="仿宋_GB2312" w:eastAsia="仿宋_GB2312"/>
          <w:sz w:val="32"/>
          <w:szCs w:val="32"/>
        </w:rPr>
        <w:t>%</w:t>
      </w:r>
      <w:r>
        <w:rPr>
          <w:rFonts w:ascii="仿宋_GB2312" w:eastAsia="仿宋_GB2312" w:hint="eastAsia"/>
          <w:sz w:val="32"/>
          <w:szCs w:val="32"/>
        </w:rPr>
        <w:t>。</w:t>
      </w:r>
    </w:p>
    <w:p>
      <w:pPr>
        <w:pStyle w:val="23"/>
        <w:numPr>
          <w:ilvl w:val="0"/>
          <w:numId w:val="1"/>
        </w:numPr>
        <w:spacing w:line="600" w:lineRule="exact"/>
        <w:ind w:firstLineChars="0"/>
        <w:outlineLvl w:val="1"/>
        <w:rPr>
          <w:rStyle w:val="2Char"/>
          <w:rFonts w:ascii="黑体" w:eastAsia="黑体"/>
          <w:b w:val="0"/>
        </w:rPr>
      </w:pPr>
      <w:bookmarkStart w:id="26" w:name="_Toc15377207"/>
      <w:bookmarkStart w:id="27" w:name="_Toc15396605"/>
      <w:r>
        <w:rPr>
          <w:rFonts w:ascii="黑体" w:eastAsia="黑体" w:hint="eastAsia"/>
          <w:sz w:val="32"/>
          <w:szCs w:val="32"/>
        </w:rPr>
        <w:t>支</w:t>
      </w:r>
      <w:r>
        <w:rPr>
          <w:rStyle w:val="2Char"/>
          <w:rFonts w:ascii="黑体" w:eastAsia="黑体" w:hint="eastAsia"/>
          <w:b w:val="0"/>
        </w:rPr>
        <w:t>出决算情况说明</w:t>
      </w:r>
      <w:bookmarkEnd w:id="26"/>
      <w:bookmarkEnd w:id="27"/>
    </w:p>
    <w:p>
      <w:pPr>
        <w:spacing w:line="6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8年本年支出合计1595.03万元，其中：基本支出1001.85万元，占62.81</w:t>
      </w:r>
      <w:r>
        <w:rPr>
          <w:rFonts w:ascii="仿宋_GB2312" w:eastAsia="仿宋_GB2312"/>
          <w:sz w:val="32"/>
          <w:szCs w:val="32"/>
        </w:rPr>
        <w:t>%</w:t>
      </w:r>
      <w:r>
        <w:rPr>
          <w:rFonts w:ascii="仿宋_GB2312" w:eastAsia="仿宋_GB2312" w:hint="eastAsia"/>
          <w:sz w:val="32"/>
          <w:szCs w:val="32"/>
        </w:rPr>
        <w:t>；项目支出593.18万元，占37.19</w:t>
      </w:r>
      <w:r>
        <w:rPr>
          <w:rFonts w:ascii="仿宋_GB2312" w:eastAsia="仿宋_GB2312"/>
          <w:sz w:val="32"/>
          <w:szCs w:val="32"/>
        </w:rPr>
        <w:t>%</w:t>
      </w:r>
      <w:r>
        <w:rPr>
          <w:rFonts w:ascii="仿宋_GB2312" w:eastAsia="仿宋_GB2312" w:hint="eastAsia"/>
          <w:sz w:val="32"/>
          <w:szCs w:val="32"/>
        </w:rPr>
        <w:t>。</w:t>
      </w:r>
    </w:p>
    <w:p>
      <w:pPr>
        <w:spacing w:line="600" w:lineRule="exact"/>
        <w:ind w:firstLineChars="200" w:firstLine="640"/>
        <w:outlineLvl w:val="1"/>
        <w:rPr>
          <w:rStyle w:val="2Char"/>
          <w:rFonts w:ascii="黑体" w:eastAsia="黑体"/>
          <w:b w:val="0"/>
        </w:rPr>
      </w:pPr>
      <w:bookmarkStart w:id="28" w:name="_Toc15377208"/>
      <w:bookmarkStart w:id="29" w:name="_Toc15396606"/>
      <w:r>
        <w:rPr>
          <w:rFonts w:ascii="黑体" w:eastAsia="黑体" w:hint="eastAsia"/>
          <w:sz w:val="32"/>
          <w:szCs w:val="32"/>
        </w:rPr>
        <w:t>四、财</w:t>
      </w:r>
      <w:r>
        <w:rPr>
          <w:rStyle w:val="2Char"/>
          <w:rFonts w:ascii="黑体" w:eastAsia="黑体" w:hint="eastAsia"/>
          <w:b w:val="0"/>
        </w:rPr>
        <w:t>政拨款收入支出决算总体情况说明</w:t>
      </w:r>
      <w:bookmarkEnd w:id="28"/>
      <w:bookmarkEnd w:id="29"/>
    </w:p>
    <w:p>
      <w:pPr>
        <w:spacing w:line="6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8年财政拨款收、支总计3190.06万元。与</w:t>
      </w:r>
      <w:r>
        <w:rPr>
          <w:rFonts w:ascii="仿宋_GB2312" w:eastAsia="仿宋_GB2312"/>
          <w:sz w:val="32"/>
          <w:szCs w:val="32"/>
        </w:rPr>
        <w:t>201</w:t>
      </w:r>
      <w:r>
        <w:rPr>
          <w:rFonts w:ascii="仿宋_GB2312" w:eastAsia="仿宋_GB2312" w:hint="eastAsia"/>
          <w:sz w:val="32"/>
          <w:szCs w:val="32"/>
        </w:rPr>
        <w:t>7年相比，财政拨款收、支总计各增加236.42万元，增长8</w:t>
      </w:r>
      <w:r>
        <w:rPr>
          <w:rFonts w:ascii="仿宋_GB2312" w:eastAsia="仿宋_GB2312"/>
          <w:sz w:val="32"/>
          <w:szCs w:val="32"/>
        </w:rPr>
        <w:t>%</w:t>
      </w:r>
      <w:r>
        <w:rPr>
          <w:rFonts w:ascii="仿宋_GB2312" w:eastAsia="仿宋_GB2312" w:hint="eastAsia"/>
          <w:sz w:val="32"/>
          <w:szCs w:val="32"/>
        </w:rPr>
        <w:t>。主要变动原因是项目支出增加及工资基数调整。</w:t>
      </w:r>
    </w:p>
    <w:p>
      <w:pPr>
        <w:spacing w:line="600" w:lineRule="exact"/>
        <w:ind w:firstLineChars="200" w:firstLine="640"/>
        <w:outlineLvl w:val="1"/>
        <w:rPr>
          <w:rStyle w:val="2Char"/>
          <w:rFonts w:ascii="黑体" w:eastAsia="黑体"/>
          <w:b w:val="0"/>
        </w:rPr>
      </w:pPr>
      <w:bookmarkStart w:id="30" w:name="_Toc15377209"/>
      <w:bookmarkStart w:id="31" w:name="_Toc15396607"/>
      <w:r>
        <w:rPr>
          <w:rFonts w:ascii="黑体" w:eastAsia="黑体" w:hint="eastAsia"/>
          <w:b/>
          <w:sz w:val="32"/>
          <w:szCs w:val="32"/>
        </w:rPr>
        <w:t>五、一</w:t>
      </w:r>
      <w:r>
        <w:rPr>
          <w:rStyle w:val="2Char"/>
          <w:rFonts w:ascii="黑体" w:eastAsia="黑体" w:hint="eastAsia"/>
        </w:rPr>
        <w:t>般公共预算财政拨款支出决算情况说明</w:t>
      </w:r>
      <w:bookmarkEnd w:id="30"/>
      <w:bookmarkEnd w:id="31"/>
    </w:p>
    <w:p>
      <w:pPr>
        <w:spacing w:line="600" w:lineRule="exact"/>
        <w:ind w:firstLineChars="200" w:firstLine="640"/>
        <w:outlineLvl w:val="2"/>
        <w:rPr>
          <w:rFonts w:ascii="仿宋" w:eastAsia="仿宋"/>
          <w:b/>
          <w:sz w:val="32"/>
          <w:szCs w:val="32"/>
        </w:rPr>
      </w:pPr>
      <w:bookmarkStart w:id="32" w:name="_Toc15377210"/>
      <w:r>
        <w:rPr>
          <w:rFonts w:ascii="仿宋" w:eastAsia="仿宋" w:hint="eastAsia"/>
          <w:b/>
          <w:sz w:val="32"/>
          <w:szCs w:val="32"/>
        </w:rPr>
        <w:t>（一）一般公共预算财政拨款支出决算总体情况</w:t>
      </w:r>
      <w:bookmarkEnd w:id="32"/>
    </w:p>
    <w:p>
      <w:pPr>
        <w:spacing w:line="6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8年一般公共预算财政拨款支出1489.03万元，占本年支出合计的93.35</w:t>
      </w:r>
      <w:r>
        <w:rPr>
          <w:rFonts w:ascii="仿宋_GB2312" w:eastAsia="仿宋_GB2312"/>
          <w:sz w:val="32"/>
          <w:szCs w:val="32"/>
        </w:rPr>
        <w:t>%</w:t>
      </w:r>
      <w:r>
        <w:rPr>
          <w:rFonts w:ascii="仿宋_GB2312" w:eastAsia="仿宋_GB2312" w:hint="eastAsia"/>
          <w:sz w:val="32"/>
          <w:szCs w:val="32"/>
        </w:rPr>
        <w:t>。与</w:t>
      </w:r>
      <w:r>
        <w:rPr>
          <w:rFonts w:ascii="仿宋_GB2312" w:eastAsia="仿宋_GB2312"/>
          <w:sz w:val="32"/>
          <w:szCs w:val="32"/>
        </w:rPr>
        <w:t>201</w:t>
      </w:r>
      <w:r>
        <w:rPr>
          <w:rFonts w:ascii="仿宋_GB2312" w:eastAsia="仿宋_GB2312" w:hint="eastAsia"/>
          <w:sz w:val="32"/>
          <w:szCs w:val="32"/>
        </w:rPr>
        <w:t>7年相比，一般公共预算财政拨款增加60.41万元，增长4.23</w:t>
      </w:r>
      <w:r>
        <w:rPr>
          <w:rFonts w:ascii="仿宋_GB2312" w:eastAsia="仿宋_GB2312"/>
          <w:sz w:val="32"/>
          <w:szCs w:val="32"/>
        </w:rPr>
        <w:t>%</w:t>
      </w:r>
      <w:r>
        <w:rPr>
          <w:rFonts w:ascii="仿宋_GB2312" w:eastAsia="仿宋_GB2312" w:hint="eastAsia"/>
          <w:sz w:val="32"/>
          <w:szCs w:val="32"/>
        </w:rPr>
        <w:t>。主要变动原因是增加及工资基数调整。</w:t>
      </w:r>
    </w:p>
    <w:p>
      <w:pPr>
        <w:spacing w:line="600" w:lineRule="exact"/>
        <w:ind w:firstLineChars="200" w:firstLine="640"/>
        <w:outlineLvl w:val="2"/>
        <w:rPr>
          <w:rFonts w:ascii="仿宋" w:eastAsia="仿宋"/>
          <w:b/>
          <w:sz w:val="32"/>
          <w:szCs w:val="32"/>
        </w:rPr>
      </w:pPr>
      <w:bookmarkStart w:id="33" w:name="_Toc15377211"/>
      <w:r>
        <w:rPr>
          <w:rFonts w:ascii="仿宋" w:eastAsia="仿宋" w:hint="eastAsia"/>
          <w:b/>
          <w:sz w:val="32"/>
          <w:szCs w:val="32"/>
        </w:rPr>
        <w:t>（二）一般公共预算财政拨款支出决算结构情况</w:t>
      </w:r>
      <w:bookmarkEnd w:id="33"/>
    </w:p>
    <w:p>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8年一般公共预算财政拨款支出1489.03万元，主要用于以下方面</w:t>
      </w:r>
      <w:r>
        <w:rPr>
          <w:rFonts w:ascii="仿宋_GB2312" w:eastAsia="仿宋_GB2312"/>
          <w:sz w:val="32"/>
          <w:szCs w:val="32"/>
        </w:rPr>
        <w:t>:</w:t>
      </w:r>
      <w:r>
        <w:rPr>
          <w:rFonts w:ascii="仿宋_GB2312" w:eastAsia="仿宋_GB2312" w:hint="eastAsia"/>
          <w:sz w:val="32"/>
          <w:szCs w:val="32"/>
        </w:rPr>
        <w:t>一般公共服务（类）支出453.64万元，占30.47</w:t>
      </w:r>
      <w:r>
        <w:rPr>
          <w:rFonts w:ascii="仿宋_GB2312" w:eastAsia="仿宋_GB2312"/>
          <w:sz w:val="32"/>
          <w:szCs w:val="32"/>
        </w:rPr>
        <w:t>%</w:t>
      </w:r>
      <w:r>
        <w:rPr>
          <w:rFonts w:ascii="仿宋_GB2312" w:eastAsia="仿宋_GB2312" w:hint="eastAsia"/>
          <w:sz w:val="32"/>
          <w:szCs w:val="32"/>
        </w:rPr>
        <w:t>；文化体育与传媒（类）支出38.54万元，占2.59</w:t>
      </w:r>
      <w:r>
        <w:rPr>
          <w:rFonts w:ascii="仿宋_GB2312" w:eastAsia="仿宋_GB2312"/>
          <w:sz w:val="32"/>
          <w:szCs w:val="32"/>
        </w:rPr>
        <w:t>%</w:t>
      </w:r>
      <w:r>
        <w:rPr>
          <w:rFonts w:ascii="仿宋_GB2312" w:eastAsia="仿宋_GB2312" w:hint="eastAsia"/>
          <w:sz w:val="32"/>
          <w:szCs w:val="32"/>
        </w:rPr>
        <w:t>；社会保障和就业（类）支出264.17万元，占17.74</w:t>
      </w:r>
      <w:r>
        <w:rPr>
          <w:rFonts w:ascii="仿宋_GB2312" w:eastAsia="仿宋_GB2312"/>
          <w:sz w:val="32"/>
          <w:szCs w:val="32"/>
        </w:rPr>
        <w:t>%</w:t>
      </w:r>
      <w:r>
        <w:rPr>
          <w:rFonts w:ascii="仿宋_GB2312" w:eastAsia="仿宋_GB2312" w:hint="eastAsia"/>
          <w:sz w:val="32"/>
          <w:szCs w:val="32"/>
        </w:rPr>
        <w:t>；医疗卫生与计划生育支出45.16万元，占3.03</w:t>
      </w:r>
      <w:r>
        <w:rPr>
          <w:rFonts w:ascii="仿宋_GB2312" w:eastAsia="仿宋_GB2312"/>
          <w:sz w:val="32"/>
          <w:szCs w:val="32"/>
        </w:rPr>
        <w:t>%</w:t>
      </w:r>
      <w:r>
        <w:rPr>
          <w:rFonts w:ascii="仿宋_GB2312" w:eastAsia="仿宋_GB2312" w:hint="eastAsia"/>
          <w:sz w:val="32"/>
          <w:szCs w:val="32"/>
        </w:rPr>
        <w:t>；城乡社区（类）支出25.92万元，占1.74</w:t>
      </w:r>
      <w:r>
        <w:rPr>
          <w:rFonts w:ascii="仿宋_GB2312" w:eastAsia="仿宋_GB2312"/>
          <w:sz w:val="32"/>
          <w:szCs w:val="32"/>
        </w:rPr>
        <w:t>%</w:t>
      </w:r>
      <w:r>
        <w:rPr>
          <w:rFonts w:ascii="仿宋_GB2312" w:eastAsia="仿宋_GB2312" w:hint="eastAsia"/>
          <w:sz w:val="32"/>
          <w:szCs w:val="32"/>
        </w:rPr>
        <w:t>；农林水（类）支出474.34万元，占31.86</w:t>
      </w:r>
      <w:r>
        <w:rPr>
          <w:rFonts w:ascii="仿宋_GB2312" w:eastAsia="仿宋_GB2312"/>
          <w:sz w:val="32"/>
          <w:szCs w:val="32"/>
        </w:rPr>
        <w:t>%</w:t>
      </w:r>
      <w:r>
        <w:rPr>
          <w:rFonts w:ascii="仿宋_GB2312" w:eastAsia="仿宋_GB2312" w:hint="eastAsia"/>
          <w:sz w:val="32"/>
          <w:szCs w:val="32"/>
        </w:rPr>
        <w:t>；商品服务业务（类）支出10万元，占0.67</w:t>
      </w:r>
      <w:r>
        <w:rPr>
          <w:rFonts w:ascii="仿宋_GB2312" w:eastAsia="仿宋_GB2312"/>
          <w:sz w:val="32"/>
          <w:szCs w:val="32"/>
        </w:rPr>
        <w:t>%</w:t>
      </w:r>
      <w:r>
        <w:rPr>
          <w:rFonts w:ascii="仿宋_GB2312" w:eastAsia="仿宋_GB2312" w:hint="eastAsia"/>
          <w:sz w:val="32"/>
          <w:szCs w:val="32"/>
        </w:rPr>
        <w:t>；住房保障支出27.25万元，占1.83</w:t>
      </w:r>
      <w:r>
        <w:rPr>
          <w:rFonts w:ascii="仿宋_GB2312" w:eastAsia="仿宋_GB2312"/>
          <w:sz w:val="32"/>
          <w:szCs w:val="32"/>
        </w:rPr>
        <w:t>%</w:t>
      </w:r>
      <w:r>
        <w:rPr>
          <w:rFonts w:ascii="仿宋_GB2312" w:eastAsia="仿宋_GB2312" w:hint="eastAsia"/>
          <w:sz w:val="32"/>
          <w:szCs w:val="32"/>
        </w:rPr>
        <w:t>；其他支出150万元，占10.07</w:t>
      </w:r>
      <w:r>
        <w:rPr>
          <w:rFonts w:ascii="仿宋_GB2312" w:eastAsia="仿宋_GB2312"/>
          <w:sz w:val="32"/>
          <w:szCs w:val="32"/>
        </w:rPr>
        <w:t>%</w:t>
      </w:r>
      <w:r>
        <w:rPr>
          <w:rFonts w:ascii="仿宋_GB2312" w:eastAsia="仿宋_GB2312" w:hint="eastAsia"/>
          <w:sz w:val="32"/>
          <w:szCs w:val="32"/>
        </w:rPr>
        <w:t>。</w:t>
      </w:r>
    </w:p>
    <w:p>
      <w:pPr>
        <w:spacing w:line="600" w:lineRule="exact"/>
        <w:ind w:firstLineChars="150" w:firstLine="480"/>
        <w:outlineLvl w:val="2"/>
        <w:rPr>
          <w:rFonts w:ascii="仿宋" w:eastAsia="仿宋"/>
          <w:b/>
          <w:sz w:val="32"/>
          <w:szCs w:val="32"/>
        </w:rPr>
      </w:pPr>
      <w:bookmarkStart w:id="34" w:name="_Toc15377212"/>
      <w:r>
        <w:rPr>
          <w:rFonts w:ascii="仿宋" w:eastAsia="仿宋" w:hint="eastAsia"/>
          <w:b/>
          <w:sz w:val="32"/>
          <w:szCs w:val="32"/>
        </w:rPr>
        <w:t>（三）一般公共预算财政拨款支出决算具体情况</w:t>
      </w:r>
      <w:bookmarkEnd w:id="34"/>
    </w:p>
    <w:p>
      <w:pPr>
        <w:spacing w:line="600" w:lineRule="exact"/>
        <w:ind w:firstLineChars="200" w:firstLine="640"/>
        <w:outlineLvl w:val="2"/>
        <w:rPr>
          <w:rFonts w:ascii="仿宋" w:eastAsia="仿宋"/>
          <w:sz w:val="32"/>
          <w:szCs w:val="32"/>
        </w:rPr>
      </w:pPr>
      <w:bookmarkStart w:id="35" w:name="_Toc15377213"/>
      <w:bookmarkStart w:id="36" w:name="_Toc15377444"/>
      <w:bookmarkStart w:id="37" w:name="_Toc15378460"/>
      <w:r>
        <w:rPr>
          <w:rFonts w:ascii="仿宋" w:eastAsia="仿宋" w:hint="eastAsia"/>
          <w:b/>
          <w:sz w:val="32"/>
          <w:szCs w:val="32"/>
        </w:rPr>
        <w:t>2018年一般公共预算支出决算数为1489.03万元</w:t>
      </w:r>
      <w:r>
        <w:rPr>
          <w:rFonts w:ascii="仿宋" w:eastAsia="仿宋" w:hint="eastAsia"/>
          <w:sz w:val="32"/>
          <w:szCs w:val="32"/>
        </w:rPr>
        <w:t>，</w:t>
      </w:r>
      <w:r>
        <w:rPr>
          <w:rStyle w:val="18"/>
          <w:rFonts w:ascii="仿宋" w:eastAsia="仿宋" w:hint="eastAsia"/>
          <w:bCs/>
          <w:sz w:val="32"/>
          <w:szCs w:val="32"/>
        </w:rPr>
        <w:t>完成预算100</w:t>
      </w:r>
      <w:r>
        <w:rPr>
          <w:rStyle w:val="18"/>
          <w:rFonts w:ascii="仿宋" w:eastAsia="仿宋"/>
          <w:bCs/>
          <w:sz w:val="32"/>
          <w:szCs w:val="32"/>
        </w:rPr>
        <w:t>%</w:t>
      </w:r>
      <w:r>
        <w:rPr>
          <w:rStyle w:val="18"/>
          <w:rFonts w:ascii="仿宋" w:eastAsia="仿宋" w:hint="eastAsia"/>
          <w:bCs/>
          <w:sz w:val="32"/>
          <w:szCs w:val="32"/>
        </w:rPr>
        <w:t>。其中：</w:t>
      </w:r>
      <w:bookmarkEnd w:id="35"/>
      <w:bookmarkEnd w:id="36"/>
      <w:bookmarkEnd w:id="37"/>
    </w:p>
    <w:p>
      <w:pPr>
        <w:spacing w:line="600" w:lineRule="exact"/>
        <w:ind w:firstLineChars="200" w:firstLine="640"/>
        <w:rPr>
          <w:rStyle w:val="18"/>
          <w:rFonts w:ascii="仿宋" w:eastAsia="仿宋"/>
          <w:b w:val="0"/>
          <w:bCs/>
          <w:sz w:val="32"/>
          <w:szCs w:val="32"/>
        </w:rPr>
      </w:pPr>
      <w:r>
        <w:rPr>
          <w:rStyle w:val="18"/>
          <w:rFonts w:ascii="仿宋" w:eastAsia="仿宋"/>
          <w:bCs/>
          <w:sz w:val="32"/>
          <w:szCs w:val="32"/>
        </w:rPr>
        <w:t>1.</w:t>
      </w:r>
      <w:r>
        <w:rPr>
          <w:rStyle w:val="18"/>
          <w:rFonts w:ascii="仿宋" w:eastAsia="仿宋" w:hint="eastAsia"/>
          <w:bCs/>
          <w:sz w:val="32"/>
          <w:szCs w:val="32"/>
        </w:rPr>
        <w:t>一般公共服务（类）政府办公厅（室）及相关机构事务（款）行政运行（项）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327.33</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2</w:t>
      </w:r>
      <w:r>
        <w:rPr>
          <w:rStyle w:val="18"/>
          <w:rFonts w:ascii="仿宋" w:eastAsia="仿宋"/>
          <w:bCs/>
          <w:sz w:val="32"/>
          <w:szCs w:val="32"/>
        </w:rPr>
        <w:t>.</w:t>
      </w:r>
      <w:r>
        <w:rPr>
          <w:rStyle w:val="18"/>
          <w:rFonts w:ascii="仿宋" w:eastAsia="仿宋" w:hint="eastAsia"/>
          <w:bCs/>
          <w:sz w:val="32"/>
          <w:szCs w:val="32"/>
        </w:rPr>
        <w:t>一般公共服务（类）政府办公厅（室）及相关机构事务（款）一般行政管理事务（项）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94.38</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3</w:t>
      </w:r>
      <w:r>
        <w:rPr>
          <w:rStyle w:val="18"/>
          <w:rFonts w:ascii="仿宋" w:eastAsia="仿宋"/>
          <w:bCs/>
          <w:sz w:val="32"/>
          <w:szCs w:val="32"/>
        </w:rPr>
        <w:t>.</w:t>
      </w:r>
      <w:r>
        <w:rPr>
          <w:rStyle w:val="18"/>
          <w:rFonts w:ascii="仿宋" w:eastAsia="仿宋" w:hint="eastAsia"/>
          <w:bCs/>
          <w:sz w:val="32"/>
          <w:szCs w:val="32"/>
        </w:rPr>
        <w:t>一般公共服务（类）财政事务（款）行政运行（项）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26.94</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4</w:t>
      </w:r>
      <w:r>
        <w:rPr>
          <w:rStyle w:val="18"/>
          <w:rFonts w:ascii="仿宋" w:eastAsia="仿宋"/>
          <w:bCs/>
          <w:sz w:val="32"/>
          <w:szCs w:val="32"/>
        </w:rPr>
        <w:t>.</w:t>
      </w:r>
      <w:r>
        <w:rPr>
          <w:rStyle w:val="18"/>
          <w:rFonts w:ascii="仿宋" w:eastAsia="仿宋" w:hint="eastAsia"/>
          <w:bCs/>
          <w:sz w:val="32"/>
          <w:szCs w:val="32"/>
        </w:rPr>
        <w:t>一般公共服务（类）财政事务（款）一般行政管理事务（项）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支出决算为5万元，完成预算100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5</w:t>
      </w:r>
      <w:r>
        <w:rPr>
          <w:rStyle w:val="18"/>
          <w:rFonts w:ascii="仿宋" w:eastAsia="仿宋"/>
          <w:bCs/>
          <w:sz w:val="32"/>
          <w:szCs w:val="32"/>
        </w:rPr>
        <w:t>.</w:t>
      </w:r>
      <w:r>
        <w:rPr>
          <w:rFonts w:hint="eastAsia"/>
        </w:rPr>
        <w:t xml:space="preserve"> </w:t>
      </w:r>
      <w:r>
        <w:rPr>
          <w:rStyle w:val="18"/>
          <w:rFonts w:ascii="仿宋" w:eastAsia="仿宋" w:hint="eastAsia"/>
          <w:bCs/>
          <w:sz w:val="32"/>
          <w:szCs w:val="32"/>
        </w:rPr>
        <w:t>文化体育与传媒支出（类）文化（款）群众文化（项）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10.46</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6</w:t>
      </w:r>
      <w:r>
        <w:rPr>
          <w:rStyle w:val="18"/>
          <w:rFonts w:ascii="仿宋" w:eastAsia="仿宋"/>
          <w:bCs/>
          <w:sz w:val="32"/>
          <w:szCs w:val="32"/>
        </w:rPr>
        <w:t>.</w:t>
      </w:r>
      <w:r>
        <w:rPr>
          <w:rFonts w:hint="eastAsia"/>
        </w:rPr>
        <w:t xml:space="preserve"> </w:t>
      </w:r>
      <w:r>
        <w:rPr>
          <w:rStyle w:val="18"/>
          <w:rFonts w:ascii="仿宋" w:eastAsia="仿宋" w:hint="eastAsia"/>
          <w:bCs/>
          <w:sz w:val="32"/>
          <w:szCs w:val="32"/>
        </w:rPr>
        <w:t>文化体育与传媒支出（类）文化（款）其他文化支出（项）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支出决算为4.3万元，完成预算100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7</w:t>
      </w:r>
      <w:r>
        <w:rPr>
          <w:rStyle w:val="18"/>
          <w:rFonts w:ascii="仿宋" w:eastAsia="仿宋"/>
          <w:bCs/>
          <w:sz w:val="32"/>
          <w:szCs w:val="32"/>
        </w:rPr>
        <w:t>.</w:t>
      </w:r>
      <w:r>
        <w:rPr>
          <w:rFonts w:hint="eastAsia"/>
        </w:rPr>
        <w:t xml:space="preserve"> </w:t>
      </w:r>
      <w:r>
        <w:rPr>
          <w:rStyle w:val="18"/>
          <w:rFonts w:ascii="仿宋" w:eastAsia="仿宋" w:hint="eastAsia"/>
          <w:bCs/>
          <w:sz w:val="32"/>
          <w:szCs w:val="32"/>
        </w:rPr>
        <w:t>文化体育与传媒支出（类）</w:t>
      </w:r>
      <w:r>
        <w:rPr>
          <w:rStyle w:val="18"/>
          <w:rFonts w:ascii="仿宋" w:eastAsia="仿宋" w:hint="eastAsia"/>
          <w:b w:val="0"/>
          <w:bCs/>
          <w:sz w:val="32"/>
          <w:szCs w:val="32"/>
        </w:rPr>
        <w:t>新闻出版广播影视</w:t>
      </w:r>
      <w:r>
        <w:rPr>
          <w:rStyle w:val="18"/>
          <w:rFonts w:ascii="仿宋" w:eastAsia="仿宋" w:hint="eastAsia"/>
          <w:bCs/>
          <w:sz w:val="32"/>
          <w:szCs w:val="32"/>
        </w:rPr>
        <w:t>（款）广播（项）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23.78</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8</w:t>
      </w:r>
      <w:r>
        <w:rPr>
          <w:rStyle w:val="18"/>
          <w:rFonts w:ascii="仿宋" w:eastAsia="仿宋"/>
          <w:bCs/>
          <w:sz w:val="32"/>
          <w:szCs w:val="32"/>
        </w:rPr>
        <w:t>.</w:t>
      </w:r>
      <w:r>
        <w:rPr>
          <w:rStyle w:val="18"/>
          <w:rFonts w:ascii="仿宋" w:eastAsia="仿宋" w:hint="eastAsia"/>
          <w:bCs/>
          <w:sz w:val="32"/>
          <w:szCs w:val="32"/>
        </w:rPr>
        <w:t xml:space="preserve"> 社会保障和就业（类）行政事业单位离退休（款）机关事业单位基本养老保险缴费支出（项）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51.34</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9</w:t>
      </w:r>
      <w:r>
        <w:rPr>
          <w:rStyle w:val="18"/>
          <w:rFonts w:ascii="仿宋" w:eastAsia="仿宋"/>
          <w:bCs/>
          <w:sz w:val="32"/>
          <w:szCs w:val="32"/>
        </w:rPr>
        <w:t>.</w:t>
      </w:r>
      <w:r>
        <w:rPr>
          <w:rStyle w:val="18"/>
          <w:rFonts w:ascii="仿宋" w:eastAsia="仿宋" w:hint="eastAsia"/>
          <w:bCs/>
          <w:sz w:val="32"/>
          <w:szCs w:val="32"/>
        </w:rPr>
        <w:t xml:space="preserve"> 社会保障和就业（类）行政事业单位离退休（款）机关事业单位职业年金缴费支出（项）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支出决算为7.48万元，完成预算100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10</w:t>
      </w:r>
      <w:r>
        <w:rPr>
          <w:rStyle w:val="18"/>
          <w:rFonts w:ascii="仿宋" w:eastAsia="仿宋"/>
          <w:bCs/>
          <w:sz w:val="32"/>
          <w:szCs w:val="32"/>
        </w:rPr>
        <w:t>.</w:t>
      </w:r>
      <w:r>
        <w:rPr>
          <w:rStyle w:val="18"/>
          <w:rFonts w:ascii="仿宋" w:eastAsia="仿宋" w:hint="eastAsia"/>
          <w:bCs/>
          <w:sz w:val="32"/>
          <w:szCs w:val="32"/>
        </w:rPr>
        <w:t xml:space="preserve"> 社会保障和就业（类）抚恤（款）在乡复员、退伍军人生活补助（项）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152.4</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11</w:t>
      </w:r>
      <w:r>
        <w:rPr>
          <w:rStyle w:val="18"/>
          <w:rFonts w:ascii="仿宋" w:eastAsia="仿宋"/>
          <w:bCs/>
          <w:sz w:val="32"/>
          <w:szCs w:val="32"/>
        </w:rPr>
        <w:t>.</w:t>
      </w:r>
      <w:r>
        <w:rPr>
          <w:rStyle w:val="18"/>
          <w:rFonts w:ascii="仿宋" w:eastAsia="仿宋" w:hint="eastAsia"/>
          <w:bCs/>
          <w:sz w:val="32"/>
          <w:szCs w:val="32"/>
        </w:rPr>
        <w:t xml:space="preserve"> 社会保障和就业（类）抚恤（款）义务兵优待（项）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18.41</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12</w:t>
      </w:r>
      <w:r>
        <w:rPr>
          <w:rStyle w:val="18"/>
          <w:rFonts w:ascii="仿宋" w:eastAsia="仿宋"/>
          <w:bCs/>
          <w:sz w:val="32"/>
          <w:szCs w:val="32"/>
        </w:rPr>
        <w:t>.</w:t>
      </w:r>
      <w:r>
        <w:rPr>
          <w:rStyle w:val="18"/>
          <w:rFonts w:ascii="仿宋" w:eastAsia="仿宋" w:hint="eastAsia"/>
          <w:bCs/>
          <w:sz w:val="32"/>
          <w:szCs w:val="32"/>
        </w:rPr>
        <w:t xml:space="preserve"> 社会保障和就业（类）残疾人事业（款）其他残疾人事业支出（项）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支出决算为2.35万元，完成预算100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13</w:t>
      </w:r>
      <w:r>
        <w:rPr>
          <w:rStyle w:val="18"/>
          <w:rFonts w:ascii="仿宋" w:eastAsia="仿宋"/>
          <w:bCs/>
          <w:sz w:val="32"/>
          <w:szCs w:val="32"/>
        </w:rPr>
        <w:t>.</w:t>
      </w:r>
      <w:r>
        <w:rPr>
          <w:rStyle w:val="18"/>
          <w:rFonts w:ascii="仿宋" w:eastAsia="仿宋" w:hint="eastAsia"/>
          <w:bCs/>
          <w:sz w:val="32"/>
          <w:szCs w:val="32"/>
        </w:rPr>
        <w:t xml:space="preserve"> 社会保障和就业（类）特困人员救助供养（款）农村特困人员救助供养支出（项）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32.2</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Style w:val="18"/>
          <w:rFonts w:ascii="仿宋" w:eastAsia="仿宋"/>
          <w:b w:val="0"/>
          <w:bCs/>
          <w:sz w:val="32"/>
          <w:szCs w:val="32"/>
        </w:rPr>
      </w:pPr>
      <w:r>
        <w:rPr>
          <w:rStyle w:val="18"/>
          <w:rFonts w:ascii="仿宋" w:eastAsia="仿宋" w:hint="eastAsia"/>
          <w:bCs/>
          <w:sz w:val="32"/>
          <w:szCs w:val="32"/>
        </w:rPr>
        <w:t>14</w:t>
      </w:r>
      <w:r>
        <w:rPr>
          <w:rStyle w:val="18"/>
          <w:rFonts w:ascii="仿宋" w:eastAsia="仿宋"/>
          <w:bCs/>
          <w:sz w:val="32"/>
          <w:szCs w:val="32"/>
        </w:rPr>
        <w:t>.</w:t>
      </w:r>
      <w:r>
        <w:rPr>
          <w:rStyle w:val="18"/>
          <w:rFonts w:ascii="仿宋" w:eastAsia="仿宋" w:hint="eastAsia"/>
          <w:bCs/>
          <w:sz w:val="32"/>
          <w:szCs w:val="32"/>
        </w:rPr>
        <w:t xml:space="preserve"> 医疗卫生与计划生育支出（类）计划生育事务（款）计划生育机构（项）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支出决算为20.1万元，完成预算100</w:t>
      </w:r>
      <w:r>
        <w:rPr>
          <w:rStyle w:val="18"/>
          <w:rFonts w:ascii="仿宋" w:eastAsia="仿宋"/>
          <w:b w:val="0"/>
          <w:bCs/>
          <w:sz w:val="32"/>
          <w:szCs w:val="32"/>
        </w:rPr>
        <w:t>%</w:t>
      </w:r>
      <w:r>
        <w:rPr>
          <w:rStyle w:val="18"/>
          <w:rFonts w:ascii="仿宋" w:eastAsia="仿宋" w:hint="eastAsia"/>
          <w:b w:val="0"/>
          <w:bCs/>
          <w:sz w:val="32"/>
          <w:szCs w:val="32"/>
        </w:rPr>
        <w:t xml:space="preserve">。             </w:t>
      </w:r>
    </w:p>
    <w:p>
      <w:pPr>
        <w:spacing w:line="600" w:lineRule="exact"/>
        <w:ind w:firstLineChars="200" w:firstLine="640"/>
        <w:rPr>
          <w:rFonts w:ascii="仿宋" w:eastAsia="仿宋"/>
          <w:b/>
          <w:sz w:val="32"/>
          <w:szCs w:val="32"/>
        </w:rPr>
      </w:pPr>
      <w:r>
        <w:rPr>
          <w:rStyle w:val="18"/>
          <w:rFonts w:ascii="仿宋" w:eastAsia="仿宋" w:hint="eastAsia"/>
          <w:bCs/>
          <w:sz w:val="32"/>
          <w:szCs w:val="32"/>
        </w:rPr>
        <w:t>15</w:t>
      </w:r>
      <w:r>
        <w:rPr>
          <w:rStyle w:val="18"/>
          <w:rFonts w:ascii="仿宋" w:eastAsia="仿宋"/>
          <w:bCs/>
          <w:sz w:val="32"/>
          <w:szCs w:val="32"/>
        </w:rPr>
        <w:t>.</w:t>
      </w:r>
      <w:r>
        <w:rPr>
          <w:rStyle w:val="18"/>
          <w:rFonts w:ascii="仿宋" w:eastAsia="仿宋" w:hint="eastAsia"/>
          <w:bCs/>
          <w:sz w:val="32"/>
          <w:szCs w:val="32"/>
        </w:rPr>
        <w:t xml:space="preserve"> 医疗卫生与计划生育支出（类）行政事业单位医疗（款）行政单位医疗（项）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16.39</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 xml:space="preserve">。   </w:t>
      </w:r>
    </w:p>
    <w:p>
      <w:pPr>
        <w:spacing w:line="600" w:lineRule="exact"/>
        <w:ind w:firstLineChars="200" w:firstLine="640"/>
        <w:rPr>
          <w:rFonts w:ascii="仿宋" w:eastAsia="仿宋"/>
          <w:b/>
          <w:sz w:val="32"/>
          <w:szCs w:val="32"/>
        </w:rPr>
      </w:pPr>
      <w:r>
        <w:rPr>
          <w:rStyle w:val="18"/>
          <w:rFonts w:ascii="仿宋" w:eastAsia="仿宋" w:hint="eastAsia"/>
          <w:bCs/>
          <w:sz w:val="32"/>
          <w:szCs w:val="32"/>
        </w:rPr>
        <w:t>16</w:t>
      </w:r>
      <w:r>
        <w:rPr>
          <w:rStyle w:val="18"/>
          <w:rFonts w:ascii="仿宋" w:eastAsia="仿宋"/>
          <w:bCs/>
          <w:sz w:val="32"/>
          <w:szCs w:val="32"/>
        </w:rPr>
        <w:t>.</w:t>
      </w:r>
      <w:r>
        <w:rPr>
          <w:rStyle w:val="18"/>
          <w:rFonts w:ascii="仿宋" w:eastAsia="仿宋" w:hint="eastAsia"/>
          <w:bCs/>
          <w:sz w:val="32"/>
          <w:szCs w:val="32"/>
        </w:rPr>
        <w:t xml:space="preserve"> 医疗卫生与计划生育支出（类）行政事业单位医疗（款）事业单位医疗（项）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7.23</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17</w:t>
      </w:r>
      <w:r>
        <w:rPr>
          <w:rStyle w:val="18"/>
          <w:rFonts w:ascii="仿宋" w:eastAsia="仿宋"/>
          <w:bCs/>
          <w:sz w:val="32"/>
          <w:szCs w:val="32"/>
        </w:rPr>
        <w:t>.</w:t>
      </w:r>
      <w:r>
        <w:rPr>
          <w:rStyle w:val="18"/>
          <w:rFonts w:ascii="仿宋" w:eastAsia="仿宋" w:hint="eastAsia"/>
          <w:bCs/>
          <w:sz w:val="32"/>
          <w:szCs w:val="32"/>
        </w:rPr>
        <w:t xml:space="preserve"> 医疗卫生与计划生育支出（类）行政事业单位医疗（款）公务员医疗补助（项）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1.45</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18</w:t>
      </w:r>
      <w:r>
        <w:rPr>
          <w:rStyle w:val="18"/>
          <w:rFonts w:ascii="仿宋" w:eastAsia="仿宋"/>
          <w:bCs/>
          <w:sz w:val="32"/>
          <w:szCs w:val="32"/>
        </w:rPr>
        <w:t>.</w:t>
      </w:r>
      <w:r>
        <w:rPr>
          <w:rStyle w:val="18"/>
          <w:rFonts w:ascii="仿宋" w:eastAsia="仿宋" w:hint="eastAsia"/>
          <w:bCs/>
          <w:sz w:val="32"/>
          <w:szCs w:val="32"/>
        </w:rPr>
        <w:t xml:space="preserve"> 城乡社区支出（类）其他城乡社区支出（款）其他城乡社区支出（项）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25.92</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19</w:t>
      </w:r>
      <w:r>
        <w:rPr>
          <w:rStyle w:val="18"/>
          <w:rFonts w:ascii="仿宋" w:eastAsia="仿宋"/>
          <w:bCs/>
          <w:sz w:val="32"/>
          <w:szCs w:val="32"/>
        </w:rPr>
        <w:t>.</w:t>
      </w:r>
      <w:r>
        <w:rPr>
          <w:rStyle w:val="18"/>
          <w:rFonts w:ascii="仿宋" w:eastAsia="仿宋" w:hint="eastAsia"/>
          <w:bCs/>
          <w:sz w:val="32"/>
          <w:szCs w:val="32"/>
        </w:rPr>
        <w:t xml:space="preserve"> 农林水支出（类）农业（款）事业运行（项）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75.05</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20</w:t>
      </w:r>
      <w:r>
        <w:rPr>
          <w:rStyle w:val="18"/>
          <w:rFonts w:ascii="仿宋" w:eastAsia="仿宋"/>
          <w:bCs/>
          <w:sz w:val="32"/>
          <w:szCs w:val="32"/>
        </w:rPr>
        <w:t>.</w:t>
      </w:r>
      <w:r>
        <w:rPr>
          <w:rStyle w:val="18"/>
          <w:rFonts w:ascii="仿宋" w:eastAsia="仿宋" w:hint="eastAsia"/>
          <w:bCs/>
          <w:sz w:val="32"/>
          <w:szCs w:val="32"/>
        </w:rPr>
        <w:t xml:space="preserve"> 农林水支出（类）农业（款）防灾救灾（项）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支出决算为10万元，完成预算100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21</w:t>
      </w:r>
      <w:r>
        <w:rPr>
          <w:rStyle w:val="18"/>
          <w:rFonts w:ascii="仿宋" w:eastAsia="仿宋"/>
          <w:bCs/>
          <w:sz w:val="32"/>
          <w:szCs w:val="32"/>
        </w:rPr>
        <w:t>.</w:t>
      </w:r>
      <w:r>
        <w:rPr>
          <w:rStyle w:val="18"/>
          <w:rFonts w:ascii="仿宋" w:eastAsia="仿宋" w:hint="eastAsia"/>
          <w:bCs/>
          <w:sz w:val="32"/>
          <w:szCs w:val="32"/>
        </w:rPr>
        <w:t xml:space="preserve"> 农林水支出（类）农业（款）农村道路建设（项）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支出决算为50万元，完成预算100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22</w:t>
      </w:r>
      <w:r>
        <w:rPr>
          <w:rStyle w:val="18"/>
          <w:rFonts w:ascii="仿宋" w:eastAsia="仿宋"/>
          <w:bCs/>
          <w:sz w:val="32"/>
          <w:szCs w:val="32"/>
        </w:rPr>
        <w:t>.</w:t>
      </w:r>
      <w:r>
        <w:rPr>
          <w:rStyle w:val="18"/>
          <w:rFonts w:ascii="仿宋" w:eastAsia="仿宋" w:hint="eastAsia"/>
          <w:bCs/>
          <w:sz w:val="32"/>
          <w:szCs w:val="32"/>
        </w:rPr>
        <w:t xml:space="preserve"> 农林水支出（类）农业（款）对高校毕业生到基层任职补助（项）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支出决算为3.92万元，完成预算100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23</w:t>
      </w:r>
      <w:r>
        <w:rPr>
          <w:rStyle w:val="18"/>
          <w:rFonts w:ascii="仿宋" w:eastAsia="仿宋"/>
          <w:bCs/>
          <w:sz w:val="32"/>
          <w:szCs w:val="32"/>
        </w:rPr>
        <w:t>.</w:t>
      </w:r>
      <w:r>
        <w:rPr>
          <w:rStyle w:val="18"/>
          <w:rFonts w:ascii="仿宋" w:eastAsia="仿宋" w:hint="eastAsia"/>
          <w:bCs/>
          <w:sz w:val="32"/>
          <w:szCs w:val="32"/>
        </w:rPr>
        <w:t xml:space="preserve"> 农林水支出（类）水利（款）农田水利（项）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支出决算为30万元，完成预算100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24</w:t>
      </w:r>
      <w:r>
        <w:rPr>
          <w:rStyle w:val="18"/>
          <w:rFonts w:ascii="仿宋" w:eastAsia="仿宋"/>
          <w:bCs/>
          <w:sz w:val="32"/>
          <w:szCs w:val="32"/>
        </w:rPr>
        <w:t>.</w:t>
      </w:r>
      <w:r>
        <w:rPr>
          <w:rStyle w:val="18"/>
          <w:rFonts w:ascii="仿宋" w:eastAsia="仿宋" w:hint="eastAsia"/>
          <w:bCs/>
          <w:sz w:val="32"/>
          <w:szCs w:val="32"/>
        </w:rPr>
        <w:t xml:space="preserve"> 农林水支出（类）扶贫（款）农村基础设施建设（项）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29.5</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25</w:t>
      </w:r>
      <w:r>
        <w:rPr>
          <w:rStyle w:val="18"/>
          <w:rFonts w:ascii="仿宋" w:eastAsia="仿宋"/>
          <w:bCs/>
          <w:sz w:val="32"/>
          <w:szCs w:val="32"/>
        </w:rPr>
        <w:t>.</w:t>
      </w:r>
      <w:r>
        <w:rPr>
          <w:rStyle w:val="18"/>
          <w:rFonts w:ascii="仿宋" w:eastAsia="仿宋" w:hint="eastAsia"/>
          <w:bCs/>
          <w:sz w:val="32"/>
          <w:szCs w:val="32"/>
        </w:rPr>
        <w:t xml:space="preserve"> 农林水支出（类）扶贫（款）  其他扶贫支出（项）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支出决算为4万元，完成预算100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26</w:t>
      </w:r>
      <w:r>
        <w:rPr>
          <w:rStyle w:val="18"/>
          <w:rFonts w:ascii="仿宋" w:eastAsia="仿宋"/>
          <w:bCs/>
          <w:sz w:val="32"/>
          <w:szCs w:val="32"/>
        </w:rPr>
        <w:t>.</w:t>
      </w:r>
      <w:r>
        <w:rPr>
          <w:rStyle w:val="18"/>
          <w:rFonts w:ascii="仿宋" w:eastAsia="仿宋" w:hint="eastAsia"/>
          <w:bCs/>
          <w:sz w:val="32"/>
          <w:szCs w:val="32"/>
        </w:rPr>
        <w:t xml:space="preserve"> 农林水支出（类）农业综合开发（款）土地治理（项）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支出决算为4万元，完成预算100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27</w:t>
      </w:r>
      <w:r>
        <w:rPr>
          <w:rStyle w:val="18"/>
          <w:rFonts w:ascii="仿宋" w:eastAsia="仿宋"/>
          <w:bCs/>
          <w:sz w:val="32"/>
          <w:szCs w:val="32"/>
        </w:rPr>
        <w:t>.</w:t>
      </w:r>
      <w:r>
        <w:rPr>
          <w:rStyle w:val="18"/>
          <w:rFonts w:ascii="仿宋" w:eastAsia="仿宋" w:hint="eastAsia"/>
          <w:bCs/>
          <w:sz w:val="32"/>
          <w:szCs w:val="32"/>
        </w:rPr>
        <w:t xml:space="preserve"> 农林水支出（类）农村综合改革（款）对村级一事一议的补助（项）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23</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28</w:t>
      </w:r>
      <w:r>
        <w:rPr>
          <w:rStyle w:val="18"/>
          <w:rFonts w:ascii="仿宋" w:eastAsia="仿宋"/>
          <w:bCs/>
          <w:sz w:val="32"/>
          <w:szCs w:val="32"/>
        </w:rPr>
        <w:t>.</w:t>
      </w:r>
      <w:r>
        <w:rPr>
          <w:rStyle w:val="18"/>
          <w:rFonts w:ascii="仿宋" w:eastAsia="仿宋" w:hint="eastAsia"/>
          <w:bCs/>
          <w:sz w:val="32"/>
          <w:szCs w:val="32"/>
        </w:rPr>
        <w:t xml:space="preserve"> 农林水支出（类）农村综合改革（款）对村民委员会和村党支部的补助 （项）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176.87</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29</w:t>
      </w:r>
      <w:r>
        <w:rPr>
          <w:rStyle w:val="18"/>
          <w:rFonts w:ascii="仿宋" w:eastAsia="仿宋"/>
          <w:bCs/>
          <w:sz w:val="32"/>
          <w:szCs w:val="32"/>
        </w:rPr>
        <w:t>.</w:t>
      </w:r>
      <w:r>
        <w:rPr>
          <w:rStyle w:val="18"/>
          <w:rFonts w:ascii="仿宋" w:eastAsia="仿宋" w:hint="eastAsia"/>
          <w:bCs/>
          <w:sz w:val="32"/>
          <w:szCs w:val="32"/>
        </w:rPr>
        <w:t xml:space="preserve"> 农林水支出（类）农村综合改革（款）农村综合改革示范试点补助（项）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支出决算为68万元，完成预算100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30</w:t>
      </w:r>
      <w:r>
        <w:rPr>
          <w:rStyle w:val="18"/>
          <w:rFonts w:ascii="仿宋" w:eastAsia="仿宋"/>
          <w:bCs/>
          <w:sz w:val="32"/>
          <w:szCs w:val="32"/>
        </w:rPr>
        <w:t>.</w:t>
      </w:r>
      <w:r>
        <w:rPr>
          <w:rStyle w:val="18"/>
          <w:rFonts w:ascii="仿宋" w:eastAsia="仿宋" w:hint="eastAsia"/>
          <w:bCs/>
          <w:sz w:val="32"/>
          <w:szCs w:val="32"/>
        </w:rPr>
        <w:t xml:space="preserve"> 商业服务业等支出（类）旅游业管理与服务支出（款）其他旅游业管理与服务支出（项）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支出决算为10万元，完成预算100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31</w:t>
      </w:r>
      <w:r>
        <w:rPr>
          <w:rStyle w:val="18"/>
          <w:rFonts w:ascii="仿宋" w:eastAsia="仿宋"/>
          <w:bCs/>
          <w:sz w:val="32"/>
          <w:szCs w:val="32"/>
        </w:rPr>
        <w:t>.</w:t>
      </w:r>
      <w:r>
        <w:rPr>
          <w:rFonts w:hint="eastAsia"/>
        </w:rPr>
        <w:t xml:space="preserve"> </w:t>
      </w:r>
      <w:r>
        <w:rPr>
          <w:rStyle w:val="18"/>
          <w:rFonts w:ascii="仿宋" w:eastAsia="仿宋" w:hint="eastAsia"/>
          <w:bCs/>
          <w:sz w:val="32"/>
          <w:szCs w:val="32"/>
        </w:rPr>
        <w:t>住房保障支出（类）住房改革支出（款）住房公积金（项）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27.25</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18"/>
          <w:rFonts w:ascii="仿宋" w:eastAsia="仿宋" w:hint="eastAsia"/>
          <w:bCs/>
          <w:sz w:val="32"/>
          <w:szCs w:val="32"/>
        </w:rPr>
        <w:t>32</w:t>
      </w:r>
      <w:r>
        <w:rPr>
          <w:rStyle w:val="18"/>
          <w:rFonts w:ascii="仿宋" w:eastAsia="仿宋"/>
          <w:bCs/>
          <w:sz w:val="32"/>
          <w:szCs w:val="32"/>
        </w:rPr>
        <w:t>.</w:t>
      </w:r>
      <w:r>
        <w:rPr>
          <w:rFonts w:hint="eastAsia"/>
        </w:rPr>
        <w:t xml:space="preserve"> </w:t>
      </w:r>
      <w:r>
        <w:rPr>
          <w:rStyle w:val="18"/>
          <w:rFonts w:ascii="仿宋" w:eastAsia="仿宋" w:hint="eastAsia"/>
          <w:bCs/>
          <w:sz w:val="32"/>
          <w:szCs w:val="32"/>
        </w:rPr>
        <w:t>其他支出（类）其他支出（款）其他支出（项）</w:t>
      </w:r>
      <w:r>
        <w:rPr>
          <w:rStyle w:val="18"/>
          <w:rFonts w:ascii="仿宋" w:eastAsia="仿宋"/>
          <w:bCs/>
          <w:sz w:val="32"/>
          <w:szCs w:val="32"/>
        </w:rPr>
        <w:t>:</w:t>
      </w:r>
      <w:r>
        <w:rPr>
          <w:rStyle w:val="18"/>
          <w:rFonts w:ascii="仿宋" w:eastAsia="仿宋"/>
          <w:b w:val="0"/>
          <w:bCs/>
          <w:sz w:val="32"/>
          <w:szCs w:val="32"/>
        </w:rPr>
        <w:t xml:space="preserve"> </w:t>
      </w:r>
      <w:r>
        <w:rPr>
          <w:rStyle w:val="18"/>
          <w:rFonts w:ascii="仿宋" w:eastAsia="仿宋" w:hint="eastAsia"/>
          <w:b w:val="0"/>
          <w:bCs/>
          <w:sz w:val="32"/>
          <w:szCs w:val="32"/>
        </w:rPr>
        <w:t>支出决算为</w:t>
      </w:r>
      <w:r>
        <w:rPr>
          <w:rStyle w:val="18"/>
          <w:rFonts w:ascii="仿宋" w:eastAsia="仿宋"/>
          <w:b w:val="0"/>
          <w:bCs/>
          <w:sz w:val="32"/>
          <w:szCs w:val="32"/>
        </w:rPr>
        <w:t>150</w:t>
      </w:r>
      <w:r>
        <w:rPr>
          <w:rStyle w:val="18"/>
          <w:rFonts w:ascii="仿宋" w:eastAsia="仿宋" w:hint="eastAsia"/>
          <w:b w:val="0"/>
          <w:bCs/>
          <w:sz w:val="32"/>
          <w:szCs w:val="32"/>
        </w:rPr>
        <w:t>万元，完成预算100</w:t>
      </w:r>
      <w:r>
        <w:rPr>
          <w:rStyle w:val="18"/>
          <w:rFonts w:ascii="仿宋" w:eastAsia="仿宋"/>
          <w:b w:val="0"/>
          <w:bCs/>
          <w:sz w:val="32"/>
          <w:szCs w:val="32"/>
        </w:rPr>
        <w:t>%</w:t>
      </w:r>
      <w:r>
        <w:rPr>
          <w:rStyle w:val="18"/>
          <w:rFonts w:ascii="仿宋" w:eastAsia="仿宋" w:hint="eastAsia"/>
          <w:b w:val="0"/>
          <w:bCs/>
          <w:sz w:val="32"/>
          <w:szCs w:val="32"/>
        </w:rPr>
        <w:t>。</w:t>
      </w:r>
    </w:p>
    <w:p>
      <w:pPr>
        <w:tabs>
          <w:tab w:val="right" w:pos="8306"/>
        </w:tabs>
        <w:spacing w:line="600" w:lineRule="exact"/>
        <w:ind w:firstLine="640"/>
        <w:outlineLvl w:val="1"/>
        <w:rPr>
          <w:rStyle w:val="2Char"/>
          <w:b w:val="0"/>
        </w:rPr>
      </w:pPr>
      <w:bookmarkStart w:id="38" w:name="_Toc15377214"/>
      <w:bookmarkStart w:id="39" w:name="_Toc15396608"/>
      <w:r>
        <w:rPr>
          <w:rFonts w:ascii="黑体" w:eastAsia="黑体" w:hint="eastAsia"/>
          <w:b/>
          <w:sz w:val="32"/>
          <w:szCs w:val="32"/>
        </w:rPr>
        <w:t>六、一般公共预算财政拨款基本支出决算情况说明</w:t>
      </w:r>
      <w:bookmarkEnd w:id="38"/>
      <w:bookmarkEnd w:id="39"/>
      <w:r>
        <w:rPr>
          <w:rStyle w:val="2Char"/>
          <w:rFonts w:ascii="黑体" w:eastAsia="黑体"/>
          <w:b w:val="0"/>
        </w:rPr>
        <w:tab/>
      </w:r>
    </w:p>
    <w:p>
      <w:pPr>
        <w:spacing w:line="600" w:lineRule="exact"/>
        <w:ind w:firstLine="645"/>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8年一般公共预算财政拨款基本支出1001.85万元，其中：</w:t>
      </w:r>
    </w:p>
    <w:p>
      <w:pPr>
        <w:spacing w:line="600" w:lineRule="exact"/>
        <w:ind w:firstLine="645"/>
        <w:rPr>
          <w:rFonts w:ascii="仿宋_GB2312" w:eastAsia="仿宋_GB2312"/>
          <w:sz w:val="32"/>
          <w:szCs w:val="32"/>
        </w:rPr>
      </w:pPr>
      <w:r>
        <w:rPr>
          <w:rFonts w:ascii="仿宋_GB2312" w:eastAsia="仿宋_GB2312" w:hint="eastAsia"/>
          <w:sz w:val="32"/>
          <w:szCs w:val="32"/>
        </w:rPr>
        <w:t>人员经费870.02万元，主要包括：基本工资138.95万元、津贴补贴74.68万元、奖金6.94万元、伙食补助费4.8万元、绩效工资36.77万元、机关事业单位基本养老保险缴费51.34万元、职业年金缴费7.48万元、职工基本医疗保险缴费23.62万元、公务员医疗补助缴费1.45万元、其他社会保障缴费4.11万元、住房公积金27.25万元、其他工资福利支出15.81万元、生活补助346.99万元、救济费32.2万元、奖励金67.21万元、其他对个人和家庭的补助支出30.44万元。</w:t>
      </w:r>
      <w:r>
        <w:rPr>
          <w:rFonts w:ascii="仿宋_GB2312" w:eastAsia="仿宋_GB2312"/>
          <w:sz w:val="32"/>
          <w:szCs w:val="32"/>
        </w:rPr>
        <w:br/>
      </w:r>
      <w:r>
        <w:rPr>
          <w:rFonts w:ascii="仿宋_GB2312" w:eastAsia="仿宋_GB2312" w:hint="eastAsia"/>
          <w:sz w:val="32"/>
          <w:szCs w:val="32"/>
        </w:rPr>
        <w:t>　　公用经费131.83万元，主要包括：办公费58.06万元、印刷费4.83万元、水费0.22万元、电费3.8万元、邮电费6.19万元、差旅费12.36万元、培训费1.33万元、公务接待费9.55万元、劳务费0.93万元、工会经费5.79万元、其他交通费25.13万元、其他商品和服务支出3.64万元。</w:t>
      </w:r>
    </w:p>
    <w:p>
      <w:pPr>
        <w:spacing w:line="600" w:lineRule="exact"/>
        <w:ind w:firstLine="640"/>
        <w:outlineLvl w:val="1"/>
        <w:rPr>
          <w:rStyle w:val="2Char"/>
          <w:rFonts w:ascii="黑体" w:eastAsia="黑体"/>
          <w:b w:val="0"/>
        </w:rPr>
      </w:pPr>
      <w:bookmarkStart w:id="40" w:name="_Toc15377215"/>
      <w:bookmarkStart w:id="41" w:name="_Toc15396609"/>
      <w:r>
        <w:rPr>
          <w:rFonts w:ascii="黑体" w:eastAsia="黑体" w:hint="eastAsia"/>
          <w:b/>
          <w:sz w:val="32"/>
          <w:szCs w:val="32"/>
        </w:rPr>
        <w:t>七、</w:t>
      </w:r>
      <w:r>
        <w:rPr>
          <w:rStyle w:val="2Char"/>
          <w:rFonts w:ascii="黑体" w:eastAsia="黑体" w:hint="eastAsia"/>
        </w:rPr>
        <w:t>“三公”经费财政拨款支出决算情况说明</w:t>
      </w:r>
      <w:bookmarkEnd w:id="40"/>
      <w:bookmarkEnd w:id="41"/>
    </w:p>
    <w:p>
      <w:pPr>
        <w:spacing w:line="600" w:lineRule="exact"/>
        <w:ind w:firstLine="640"/>
        <w:outlineLvl w:val="2"/>
        <w:rPr>
          <w:rFonts w:ascii="仿宋" w:eastAsia="仿宋"/>
          <w:b/>
          <w:sz w:val="32"/>
          <w:szCs w:val="32"/>
        </w:rPr>
      </w:pPr>
      <w:bookmarkStart w:id="42" w:name="_Toc15377216"/>
      <w:r>
        <w:rPr>
          <w:rFonts w:ascii="仿宋" w:eastAsia="仿宋" w:hint="eastAsia"/>
          <w:b/>
          <w:sz w:val="32"/>
          <w:szCs w:val="32"/>
        </w:rPr>
        <w:t>（一）“三公”经费财政拨款支出决算总体情况说明</w:t>
      </w:r>
      <w:bookmarkEnd w:id="42"/>
    </w:p>
    <w:p>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8年“三公”经费财政拨款支出决算为9.55万元，完成预算71</w:t>
      </w:r>
      <w:r>
        <w:rPr>
          <w:rFonts w:ascii="仿宋_GB2312" w:eastAsia="仿宋_GB2312"/>
          <w:sz w:val="32"/>
          <w:szCs w:val="32"/>
        </w:rPr>
        <w:t>%</w:t>
      </w:r>
      <w:r>
        <w:rPr>
          <w:rFonts w:ascii="仿宋_GB2312" w:eastAsia="仿宋_GB2312" w:hint="eastAsia"/>
          <w:sz w:val="32"/>
          <w:szCs w:val="32"/>
        </w:rPr>
        <w:t>，决算数小于预算数的主要原因是压减日常接待支出。</w:t>
      </w:r>
    </w:p>
    <w:p>
      <w:pPr>
        <w:spacing w:line="600" w:lineRule="exact"/>
        <w:ind w:firstLine="640"/>
        <w:outlineLvl w:val="2"/>
        <w:rPr>
          <w:rFonts w:ascii="仿宋" w:eastAsia="仿宋"/>
          <w:b/>
          <w:sz w:val="32"/>
          <w:szCs w:val="32"/>
        </w:rPr>
      </w:pPr>
      <w:bookmarkStart w:id="43" w:name="_Toc15377217"/>
      <w:r>
        <w:rPr>
          <w:rFonts w:ascii="仿宋" w:eastAsia="仿宋" w:hint="eastAsia"/>
          <w:b/>
          <w:sz w:val="32"/>
          <w:szCs w:val="32"/>
        </w:rPr>
        <w:t>（二）“三公”经费财政拨款支出决算具体情况说明</w:t>
      </w:r>
      <w:bookmarkEnd w:id="43"/>
    </w:p>
    <w:p>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8年“三公”经费财政拨款支出决算中，因公出国（境）费支出无；公务用车购置及运行维护费支出无；公务接待费支出决算9.55万元，占71</w:t>
      </w:r>
      <w:r>
        <w:rPr>
          <w:rFonts w:ascii="仿宋_GB2312" w:eastAsia="仿宋_GB2312"/>
          <w:sz w:val="32"/>
          <w:szCs w:val="32"/>
        </w:rPr>
        <w:t>%</w:t>
      </w:r>
      <w:r>
        <w:rPr>
          <w:rFonts w:ascii="仿宋_GB2312" w:eastAsia="仿宋_GB2312" w:hint="eastAsia"/>
          <w:sz w:val="32"/>
          <w:szCs w:val="32"/>
        </w:rPr>
        <w:t>。具体情况如下：</w:t>
      </w:r>
    </w:p>
    <w:p>
      <w:pPr>
        <w:spacing w:line="600" w:lineRule="exact"/>
        <w:ind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因公出国（境）经费支出无。主要原因是当年没有发生。</w:t>
      </w:r>
    </w:p>
    <w:p>
      <w:pPr>
        <w:spacing w:line="600" w:lineRule="exact"/>
        <w:ind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公务用车购置及运行维护费支出无。主要原因是我镇无公务用车及当年也未购置车辆。</w:t>
      </w:r>
    </w:p>
    <w:p>
      <w:pPr>
        <w:spacing w:line="600" w:lineRule="exact"/>
        <w:ind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公务接待费支出9.55万元，完成预算71</w:t>
      </w:r>
      <w:r>
        <w:rPr>
          <w:rFonts w:ascii="仿宋_GB2312" w:eastAsia="仿宋_GB2312"/>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7年减少4.5万元，下降32</w:t>
      </w:r>
      <w:r>
        <w:rPr>
          <w:rFonts w:ascii="仿宋_GB2312" w:eastAsia="仿宋_GB2312"/>
          <w:sz w:val="32"/>
          <w:szCs w:val="32"/>
        </w:rPr>
        <w:t>%</w:t>
      </w:r>
      <w:r>
        <w:rPr>
          <w:rFonts w:ascii="仿宋_GB2312" w:eastAsia="仿宋_GB2312" w:hint="eastAsia"/>
          <w:sz w:val="32"/>
          <w:szCs w:val="32"/>
        </w:rPr>
        <w:t>。主要原因是压减日常接待支出。</w:t>
      </w:r>
    </w:p>
    <w:p>
      <w:pPr>
        <w:spacing w:line="600" w:lineRule="exact"/>
        <w:ind w:firstLine="640"/>
        <w:rPr>
          <w:rFonts w:ascii="仿宋_GB2312" w:eastAsia="仿宋_GB2312"/>
          <w:sz w:val="32"/>
          <w:szCs w:val="32"/>
        </w:rPr>
      </w:pPr>
      <w:r>
        <w:rPr>
          <w:rFonts w:ascii="仿宋_GB2312" w:eastAsia="仿宋_GB2312" w:hint="eastAsia"/>
          <w:sz w:val="32"/>
          <w:szCs w:val="32"/>
        </w:rPr>
        <w:t>主要用于执行公务、开展业务活动开支的住宿费、用餐费等。国内公务接待199批次，</w:t>
      </w:r>
      <w:r>
        <w:rPr>
          <w:rFonts w:ascii="仿宋_GB2312" w:eastAsia="仿宋_GB2312"/>
          <w:sz w:val="32"/>
          <w:szCs w:val="32"/>
        </w:rPr>
        <w:t>1,592</w:t>
      </w:r>
      <w:r>
        <w:rPr>
          <w:rFonts w:ascii="仿宋_GB2312" w:eastAsia="仿宋_GB2312" w:hint="eastAsia"/>
          <w:sz w:val="32"/>
          <w:szCs w:val="32"/>
        </w:rPr>
        <w:t>人次（不包括陪同人员），共计支出9.55万元，具体内容都是国内日常公务接待支出。</w:t>
      </w:r>
      <w:bookmarkStart w:id="44" w:name="_Toc15377218"/>
      <w:bookmarkStart w:id="45" w:name="_Toc15396610"/>
    </w:p>
    <w:p>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8年政府性基金预算拨款支出106万元。</w:t>
      </w:r>
    </w:p>
    <w:p>
      <w:pPr>
        <w:numPr>
          <w:ilvl w:val="0"/>
          <w:numId w:val="2"/>
        </w:numPr>
        <w:spacing w:line="600" w:lineRule="exact"/>
        <w:ind w:left="0" w:firstLine="640"/>
        <w:outlineLvl w:val="1"/>
        <w:rPr>
          <w:rStyle w:val="2Char"/>
          <w:rFonts w:ascii="黑体" w:eastAsia="黑体"/>
          <w:b w:val="0"/>
        </w:rPr>
      </w:pPr>
      <w:bookmarkStart w:id="46" w:name="_Toc15377219"/>
      <w:bookmarkStart w:id="47" w:name="_Toc15396611"/>
      <w:r>
        <w:rPr>
          <w:rStyle w:val="2Char"/>
          <w:rFonts w:ascii="黑体" w:eastAsia="黑体" w:hint="eastAsia"/>
          <w:b w:val="0"/>
        </w:rPr>
        <w:t>国有资本经营预算支出决算情况说明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8年国有资本经营预算拨款支出无。</w:t>
      </w:r>
    </w:p>
    <w:p>
      <w:pPr>
        <w:pStyle w:val="23"/>
        <w:numPr>
          <w:ilvl w:val="0"/>
          <w:numId w:val="3"/>
        </w:numPr>
        <w:spacing w:line="580" w:lineRule="exact"/>
        <w:ind w:firstLineChars="0"/>
        <w:rPr>
          <w:rStyle w:val="2Char"/>
          <w:rFonts w:ascii="黑体" w:eastAsia="黑体"/>
          <w:b w:val="0"/>
        </w:rPr>
      </w:pPr>
      <w:r>
        <w:rPr>
          <w:rStyle w:val="2Char"/>
          <w:rFonts w:ascii="黑体" w:eastAsia="黑体" w:hint="eastAsia"/>
        </w:rPr>
        <w:t>预算绩效情况说明</w:t>
      </w:r>
    </w:p>
    <w:p>
      <w:pPr>
        <w:numPr>
          <w:ilvl w:val="0"/>
          <w:numId w:val="4"/>
        </w:numPr>
        <w:spacing w:line="580" w:lineRule="exact"/>
        <w:ind w:left="0" w:firstLineChars="200" w:firstLine="640"/>
        <w:rPr>
          <w:rFonts w:ascii="仿宋" w:eastAsia="仿宋" w:cs="楷体_GB2312"/>
          <w:b/>
          <w:bCs/>
          <w:sz w:val="32"/>
          <w:szCs w:val="32"/>
        </w:rPr>
      </w:pPr>
      <w:r>
        <w:rPr>
          <w:rFonts w:ascii="仿宋" w:eastAsia="仿宋" w:cs="楷体_GB2312" w:hint="eastAsia"/>
          <w:b/>
          <w:bCs/>
          <w:sz w:val="32"/>
          <w:szCs w:val="32"/>
        </w:rPr>
        <w:t>预算绩效管理工作开展情况。</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根据预算绩效管理要求，本单位在年初预算编制阶段，组织对预算项目开展了预算事前绩效评估，对11个项目编制了绩效目标，预算执行过程中，选取5个项目开展绩效监控，年终执行完毕后，对5个项目开展了绩效目标完成情况梳理填报。</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本部门按要求对2018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Chars="200" w:firstLine="640"/>
        <w:rPr>
          <w:rFonts w:ascii="仿宋_GB2312" w:eastAsia="仿宋_GB2312"/>
          <w:sz w:val="32"/>
          <w:szCs w:val="32"/>
        </w:rPr>
      </w:pPr>
      <w:r>
        <w:rPr>
          <w:rFonts w:ascii="仿宋" w:eastAsia="仿宋" w:cs="楷体_GB2312" w:hint="eastAsia"/>
          <w:b/>
          <w:bCs/>
          <w:sz w:val="32"/>
          <w:szCs w:val="32"/>
        </w:rPr>
        <w:t>（二）项目绩效目标完成情况。</w:t>
      </w:r>
      <w:r>
        <w:rPr>
          <w:rFonts w:ascii="楷体_GB2312" w:eastAsia="楷体_GB2312" w:cs="楷体_GB2312" w:hint="eastAsia"/>
          <w:b/>
          <w:bCs/>
          <w:sz w:val="32"/>
          <w:szCs w:val="32"/>
        </w:rPr>
        <w:br/>
      </w:r>
      <w:r>
        <w:rPr>
          <w:rFonts w:ascii="仿宋_GB2312" w:eastAsia="仿宋_GB2312" w:cs="仿宋_GB2312" w:hint="eastAsia"/>
          <w:sz w:val="32"/>
          <w:szCs w:val="32"/>
        </w:rPr>
        <w:t xml:space="preserve">    </w:t>
      </w:r>
      <w:r>
        <w:rPr>
          <w:rFonts w:ascii="仿宋_GB2312" w:eastAsia="仿宋_GB2312" w:hint="eastAsia"/>
          <w:sz w:val="32"/>
          <w:szCs w:val="32"/>
        </w:rPr>
        <w:t>本部门在2018年度部门决算中反映财力保障等5个项目绩效目标实际完成情况：</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1、财力保障化债项目绩效目标完成情况综述。项目全年预算数1万元，执行数为1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3"/>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项目支出绩效目标完成情况表（一）</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百节镇2018年度财力保障化债项目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达州市达川区百节镇人民政府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化解建设欠款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减少债务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减少乡村级债务情况1万元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已完成村级债务化解1万元</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帐务处理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做到公平、透明，不得出现新的债务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解决存在债务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促进社会和谐发展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解决实际债务提高经济。</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化解矛盾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已完成相关债务，达到目标</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持续提供经济发展动力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96%</w:t>
            </w:r>
          </w:p>
        </w:tc>
      </w:tr>
    </w:tbl>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sz w:val="32"/>
          <w:szCs w:val="32"/>
        </w:rPr>
      </w:pPr>
      <w:r>
        <w:rPr>
          <w:rFonts w:ascii="仿宋_GB2312" w:eastAsia="仿宋_GB2312" w:hint="eastAsia"/>
          <w:sz w:val="32"/>
          <w:szCs w:val="32"/>
        </w:rPr>
        <w:t>2、财力保障环境综合治理项目绩效目标完成情况综述。项目全年预算数40万元，执行数为40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3"/>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项目支出绩效目标完成情况表（二）</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百节镇2018年度财力保障环境综合治理项目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达州市达川区百节镇人民政府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40万元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推进环保节能治理，建立健全农村生活垃圾处理长效机制，深入开展环境污染和面源污染治理。</w:t>
              <w:tab/>
              <w:tab/>
              <w:tab/>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落实社区保洁员3名，各村保洁员1名、宣传标语不低于24幅，会议每月一次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已完成落实社区保洁员3名，各村保洁员1名、宣传标语不低于24幅，会议每月一次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已完成做到场镇和村主要交通路干净，无污水，无垃圾。天天有人清扫做到垃圾日清，及时将垃圾运往佳境环保做无害化处理。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投资环境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为外来投资商创建一个干净、整治的投资环境，提升五四招商引资能力。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环境卫生整治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改善人居环境，提升群众幸福生活指数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改善了群众的人居环境，提升了幸福生活 指数。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垃圾日清，迅速处置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做到了垃圾日清，垃圾池周清。</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促进了全乡环境整治的发展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社会满意度</w:t>
            </w:r>
            <w:r>
              <w:rPr>
                <w:rFonts w:ascii="Arial" w:cs="Arial" w:hAnsi="Arial"/>
                <w:color w:val="000000"/>
                <w:sz w:val="24"/>
              </w:rPr>
              <w:t>≥</w:t>
            </w:r>
            <w:r>
              <w:rPr>
                <w:rFonts w:ascii="宋体" w:cs="宋体" w:hint="eastAsia"/>
                <w:color w:val="000000"/>
                <w:sz w:val="24"/>
              </w:rPr>
              <w:t>97%</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97%</w:t>
            </w:r>
          </w:p>
        </w:tc>
      </w:tr>
    </w:tbl>
    <w:p>
      <w:pPr>
        <w:spacing w:line="580" w:lineRule="exact"/>
        <w:rPr>
          <w:rFonts w:ascii="仿宋_GB2312" w:eastAsia="仿宋_GB2312" w:cs="仿宋_GB2312"/>
          <w:sz w:val="32"/>
          <w:szCs w:val="32"/>
        </w:rPr>
      </w:pPr>
    </w:p>
    <w:p>
      <w:pPr>
        <w:spacing w:line="580" w:lineRule="exact"/>
        <w:ind w:firstLineChars="200" w:firstLine="640"/>
        <w:rPr>
          <w:rFonts w:ascii="仿宋_GB2312" w:eastAsia="仿宋_GB2312"/>
          <w:sz w:val="32"/>
          <w:szCs w:val="32"/>
        </w:rPr>
      </w:pPr>
      <w:r>
        <w:rPr>
          <w:rFonts w:ascii="仿宋_GB2312" w:eastAsia="仿宋_GB2312" w:hint="eastAsia"/>
          <w:sz w:val="32"/>
          <w:szCs w:val="32"/>
        </w:rPr>
        <w:t>3、财力保障项促进发展项目绩效目标完成情况综述。项目全年预算数30万元，执行数30万元，完成预算的100%。通过项目实施，巩固旅游等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3"/>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项目支出绩效目标完成情况表（三）</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9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百节镇2018年度财力保障促发展项目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达州市达川区百节镇人民政府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864"/>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加大村级基础设施建设投入，改善农村基础设施状况，旅游等产业发展，增强农村经济发展实力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82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改善农村基础设施状况，旅游等产业发展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旅游等产业发展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旅游产业得到了进一步发展</w:t>
            </w:r>
          </w:p>
        </w:tc>
      </w:tr>
      <w:tr>
        <w:trPr>
          <w:trHeight w:val="110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工程标准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材料采购、人工费用、补助标准等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为经济发展提供基础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改善出行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道路建设规划合理，不能以牺牲环保为代价。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将持续为该村提供经济发展动力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Chars="200" w:firstLine="640"/>
        <w:rPr>
          <w:rFonts w:ascii="仿宋_GB2312" w:eastAsia="仿宋_GB2312"/>
          <w:sz w:val="32"/>
          <w:szCs w:val="32"/>
        </w:rPr>
      </w:pPr>
      <w:r>
        <w:rPr>
          <w:rFonts w:ascii="仿宋_GB2312" w:eastAsia="仿宋_GB2312" w:hint="eastAsia"/>
          <w:sz w:val="32"/>
          <w:szCs w:val="32"/>
        </w:rPr>
        <w:t>4、财力保障项安全生产监管项目绩效目标完成情况综述。项目全年预算数5万元，执行数为5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3"/>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项目支出绩效目标完成情况表（四）</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百节镇安全生产、交通监管经费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达州市达川区百节镇人民政府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学习宣传教育活动、开展打非治违和专项整治、专项排查，重点领域整治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15次以上、6次以上、每月1次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已完成排查15次以上、已完成宣传教育活动6次以上、对重点领域每月1次排查。</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责任落实、加大宣传、狠抓整治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已完成责任体系、每月召开一次安全专项会议、每月排查一次安全隐患，对隐患进行定人定责定时整改</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差旅费标准、会议培训会标准、宣传费用标准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按照达州市达川区差旅费有关标准、遵守达州市达川区会议费有关标准、遵守达州市达川区政府采购有关标准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按照达州市达川区差旅费有关标准、遵守达州市达川区会议费有关标准、遵守达州市达川区政府采购有关标准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安全零事故，为经济保驾护航</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以安全生产为主要目标，防范各类事故发生，减少各类经济成本，确保经济稳步发展。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完成安全生产为主要目标，防范各类事故发生，减少各类经济成本，确保经济稳步发展。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有效防范和遏制各项事故发生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为企业、群众提供一个安全的生产生活环境，保障人民群众生活财产安全</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不得破坏生态和损害环境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长期保障工作平稳进行展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96%</w:t>
            </w:r>
          </w:p>
        </w:tc>
      </w:tr>
    </w:tbl>
    <w:p>
      <w:pPr>
        <w:spacing w:line="580" w:lineRule="exact"/>
        <w:ind w:firstLineChars="200" w:firstLine="640"/>
        <w:rPr>
          <w:rFonts w:ascii="仿宋_GB2312" w:eastAsia="仿宋_GB2312"/>
          <w:sz w:val="32"/>
          <w:szCs w:val="32"/>
        </w:rPr>
      </w:pPr>
      <w:r>
        <w:rPr>
          <w:rFonts w:ascii="仿宋_GB2312" w:eastAsia="仿宋_GB2312" w:hint="eastAsia"/>
          <w:sz w:val="32"/>
          <w:szCs w:val="32"/>
        </w:rPr>
        <w:t>5、财力保障信访、维稳、扫黄、除黑、禁毒资金项目绩效目标完成情况综述。项目全年预算数15万元，执行数为15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3"/>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项目支出绩效目标完成情况表（五）</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百节镇2018年度信访、维稳、扫黄、除黑、禁毒资金资金项目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达州市达川区百节镇人民政府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15万元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15万元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解决群众合理诉求，，打击黄、赌、毒，扫清黑恶势力，为人民群众塑造一个安定、和谐、稳定的社会环境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开展教育宣传活动、组织专项行动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15次、6次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已完成全年开展了宣传活动15次，组织专项行动6次。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合理诉求、扫黑除恶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及时处理，上报，将矛盾化解在萌芽状态。及时上报线索，配合民警开展工作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差旅费标准、会议培训会标准、会议培训会标准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按照达州市达川区差旅费有关标准、遵守达州市达川区会议费有关标准、遵守达州市达川区政府采购有关标准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按照达州市达川区差旅费有关标准、遵守达州市达川区会议费有关标准、遵守达州市达川区政府采购有关标准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经济投资环境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营造良好社会风气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14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已保障工作平稳进行</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96%</w:t>
            </w:r>
          </w:p>
        </w:tc>
      </w:tr>
    </w:tbl>
    <w:p>
      <w:pPr>
        <w:spacing w:line="580" w:lineRule="exact"/>
        <w:ind w:firstLineChars="200" w:firstLine="640"/>
        <w:rPr>
          <w:rFonts w:ascii="仿宋" w:eastAsia="仿宋" w:cs="楷体_GB2312"/>
          <w:b/>
          <w:bCs/>
          <w:sz w:val="32"/>
          <w:szCs w:val="32"/>
        </w:rPr>
      </w:pPr>
    </w:p>
    <w:p>
      <w:pPr>
        <w:spacing w:line="580" w:lineRule="exact"/>
        <w:ind w:firstLineChars="200" w:firstLine="640"/>
        <w:rPr>
          <w:rFonts w:ascii="仿宋" w:eastAsia="仿宋" w:cs="仿宋_GB2312"/>
          <w:sz w:val="32"/>
          <w:szCs w:val="32"/>
        </w:rPr>
      </w:pPr>
      <w:r>
        <w:rPr>
          <w:rFonts w:ascii="仿宋" w:eastAsia="仿宋" w:cs="楷体_GB2312" w:hint="eastAsia"/>
          <w:b/>
          <w:bCs/>
          <w:sz w:val="32"/>
          <w:szCs w:val="32"/>
        </w:rPr>
        <w:t>（三）部门开展绩效评价结果。</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本部门按要求对2018年部门整体支出绩效评价情况开展自评，《达川区百节镇2018年部门整体支出绩效评价报告》见附件。</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本部门自行组织对财力保障项目开展了绩效评价，《百节镇2018项目年绩效评价报告》见附件。</w:t>
      </w:r>
    </w:p>
    <w:p>
      <w:pPr>
        <w:spacing w:line="600" w:lineRule="exact"/>
        <w:ind w:firstLineChars="250" w:firstLine="800"/>
        <w:outlineLvl w:val="1"/>
        <w:rPr>
          <w:rStyle w:val="2Char"/>
          <w:rFonts w:ascii="黑体" w:eastAsia="黑体"/>
          <w:b w:val="0"/>
        </w:rPr>
      </w:pPr>
      <w:bookmarkStart w:id="48" w:name="_Toc15377221"/>
      <w:bookmarkStart w:id="49" w:name="_Toc15396612"/>
      <w:r>
        <w:rPr>
          <w:rFonts w:ascii="黑体" w:eastAsia="黑体" w:hint="eastAsia"/>
          <w:b/>
          <w:sz w:val="32"/>
          <w:szCs w:val="32"/>
        </w:rPr>
        <w:t>十</w:t>
      </w:r>
      <w:r>
        <w:rPr>
          <w:rStyle w:val="2Char"/>
          <w:rFonts w:ascii="黑体" w:eastAsia="黑体" w:hint="eastAsia"/>
        </w:rPr>
        <w:t>一、其他重要事项的情况说明</w:t>
      </w:r>
      <w:bookmarkEnd w:id="48"/>
      <w:bookmarkEnd w:id="49"/>
    </w:p>
    <w:p>
      <w:pPr>
        <w:spacing w:line="600" w:lineRule="exact"/>
        <w:ind w:firstLineChars="200" w:firstLine="640"/>
        <w:outlineLvl w:val="2"/>
        <w:rPr>
          <w:rFonts w:ascii="仿宋" w:eastAsia="仿宋"/>
          <w:sz w:val="32"/>
          <w:szCs w:val="32"/>
        </w:rPr>
      </w:pPr>
      <w:bookmarkStart w:id="50" w:name="_Toc15377222"/>
      <w:r>
        <w:rPr>
          <w:rFonts w:ascii="仿宋" w:eastAsia="仿宋" w:hint="eastAsia"/>
          <w:b/>
          <w:sz w:val="32"/>
          <w:szCs w:val="32"/>
        </w:rPr>
        <w:t>（一）机关运行经费支出情况</w:t>
      </w:r>
      <w:bookmarkEnd w:id="50"/>
    </w:p>
    <w:p>
      <w:pPr>
        <w:spacing w:line="6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8年，百节镇人民政府机关运行经费支出131.83万元，比</w:t>
      </w:r>
      <w:r>
        <w:rPr>
          <w:rFonts w:ascii="仿宋_GB2312" w:eastAsia="仿宋_GB2312"/>
          <w:sz w:val="32"/>
          <w:szCs w:val="32"/>
        </w:rPr>
        <w:t>201</w:t>
      </w:r>
      <w:r>
        <w:rPr>
          <w:rFonts w:ascii="仿宋_GB2312" w:eastAsia="仿宋_GB2312" w:hint="eastAsia"/>
          <w:sz w:val="32"/>
          <w:szCs w:val="32"/>
        </w:rPr>
        <w:t>7年减少232.75万元，下降43.36</w:t>
      </w:r>
      <w:r>
        <w:rPr>
          <w:rFonts w:ascii="仿宋_GB2312" w:eastAsia="仿宋_GB2312"/>
          <w:sz w:val="32"/>
          <w:szCs w:val="32"/>
        </w:rPr>
        <w:t>%</w:t>
      </w:r>
      <w:r>
        <w:rPr>
          <w:rFonts w:ascii="仿宋_GB2312" w:eastAsia="仿宋_GB2312" w:hint="eastAsia"/>
          <w:sz w:val="32"/>
          <w:szCs w:val="32"/>
        </w:rPr>
        <w:t>（或与</w:t>
      </w:r>
      <w:r>
        <w:rPr>
          <w:rFonts w:ascii="仿宋_GB2312" w:eastAsia="仿宋_GB2312"/>
          <w:sz w:val="32"/>
          <w:szCs w:val="32"/>
        </w:rPr>
        <w:t>201</w:t>
      </w:r>
      <w:r>
        <w:rPr>
          <w:rFonts w:ascii="仿宋_GB2312" w:eastAsia="仿宋_GB2312" w:hint="eastAsia"/>
          <w:sz w:val="32"/>
          <w:szCs w:val="32"/>
        </w:rPr>
        <w:t>7年决算数持平）。主要原因是项目、脱贫等工作任务减少和压减日常办公费用等支出。</w:t>
      </w:r>
    </w:p>
    <w:p>
      <w:pPr>
        <w:autoSpaceDE w:val="0"/>
        <w:autoSpaceDN w:val="0"/>
        <w:adjustRightInd w:val="0"/>
        <w:spacing w:line="600" w:lineRule="exact"/>
        <w:ind w:firstLineChars="200" w:firstLine="640"/>
        <w:jc w:val="left"/>
        <w:outlineLvl w:val="2"/>
        <w:rPr>
          <w:rFonts w:ascii="仿宋" w:eastAsia="仿宋"/>
          <w:b/>
          <w:sz w:val="32"/>
          <w:szCs w:val="32"/>
        </w:rPr>
      </w:pPr>
      <w:bookmarkStart w:id="51" w:name="_Toc15377223"/>
      <w:r>
        <w:rPr>
          <w:rFonts w:ascii="仿宋" w:eastAsia="仿宋" w:hint="eastAsia"/>
          <w:b/>
          <w:sz w:val="32"/>
          <w:szCs w:val="32"/>
        </w:rPr>
        <w:t>（二）政府采购支出情况</w:t>
      </w:r>
      <w:bookmarkEnd w:id="51"/>
    </w:p>
    <w:p>
      <w:pPr>
        <w:spacing w:line="6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8年，百节镇政府采购支出当年无。</w:t>
      </w:r>
    </w:p>
    <w:p>
      <w:pPr>
        <w:autoSpaceDE w:val="0"/>
        <w:autoSpaceDN w:val="0"/>
        <w:adjustRightInd w:val="0"/>
        <w:spacing w:line="600" w:lineRule="exact"/>
        <w:ind w:firstLineChars="200" w:firstLine="640"/>
        <w:jc w:val="left"/>
        <w:outlineLvl w:val="2"/>
        <w:rPr>
          <w:rFonts w:ascii="仿宋" w:eastAsia="仿宋"/>
          <w:b/>
          <w:sz w:val="32"/>
          <w:szCs w:val="32"/>
        </w:rPr>
      </w:pPr>
      <w:bookmarkStart w:id="52" w:name="_Toc15377224"/>
      <w:r>
        <w:rPr>
          <w:rFonts w:ascii="仿宋" w:eastAsia="仿宋" w:hint="eastAsia"/>
          <w:b/>
          <w:sz w:val="32"/>
          <w:szCs w:val="32"/>
        </w:rPr>
        <w:t>（三）国有资产占有使用情况</w:t>
      </w:r>
      <w:bookmarkEnd w:id="52"/>
    </w:p>
    <w:p>
      <w:pPr>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8年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日，百节镇固定资产占用96.69万元。其中：房屋建筑物74.78万元，办公通用设备及办公家具等21.91万元。</w:t>
      </w:r>
    </w:p>
    <w:p>
      <w:pPr>
        <w:spacing w:line="600" w:lineRule="exact"/>
        <w:ind w:firstLineChars="200" w:firstLine="640"/>
        <w:rPr>
          <w:rFonts w:ascii="仿宋_GB2312" w:eastAsia="仿宋_GB2312"/>
          <w:sz w:val="32"/>
          <w:szCs w:val="32"/>
        </w:rPr>
      </w:pPr>
      <w:r>
        <w:rPr>
          <w:rFonts w:ascii="仿宋_GB2312" w:eastAsia="仿宋_GB2312"/>
          <w:sz w:val="32"/>
          <w:szCs w:val="32"/>
        </w:rPr>
        <w:br w:type="page"/>
      </w:r>
    </w:p>
    <w:p>
      <w:pPr>
        <w:numPr>
          <w:ilvl w:val="0"/>
          <w:numId w:val="5"/>
        </w:numPr>
        <w:spacing w:line="600" w:lineRule="exact"/>
        <w:ind w:left="0" w:firstLineChars="150" w:firstLine="660"/>
        <w:jc w:val="center"/>
        <w:outlineLvl w:val="0"/>
        <w:rPr>
          <w:rStyle w:val="1Char"/>
          <w:rFonts w:ascii="黑体" w:eastAsia="黑体"/>
          <w:b w:val="0"/>
        </w:rPr>
      </w:pPr>
      <w:bookmarkStart w:id="53" w:name="_Toc15377225"/>
      <w:bookmarkStart w:id="54" w:name="_Toc15396613"/>
      <w:r>
        <w:rPr>
          <w:rFonts w:ascii="黑体" w:eastAsia="黑体" w:hint="eastAsia"/>
          <w:sz w:val="44"/>
          <w:szCs w:val="44"/>
        </w:rPr>
        <w:t>名</w:t>
      </w:r>
      <w:r>
        <w:rPr>
          <w:rStyle w:val="1Char"/>
          <w:rFonts w:ascii="黑体" w:eastAsia="黑体" w:hint="eastAsia"/>
          <w:b w:val="0"/>
        </w:rPr>
        <w:t>词解释</w:t>
      </w:r>
      <w:bookmarkEnd w:id="53"/>
      <w:bookmarkEnd w:id="54"/>
    </w:p>
    <w:p>
      <w:pPr>
        <w:spacing w:line="600" w:lineRule="exact"/>
        <w:jc w:val="left"/>
        <w:rPr>
          <w:rFonts w:ascii="宋体"/>
          <w:b/>
          <w:sz w:val="44"/>
          <w:szCs w:val="44"/>
        </w:rPr>
      </w:pP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1.</w:t>
      </w:r>
      <w:r>
        <w:rPr>
          <w:rFonts w:ascii="仿宋_GB2312" w:eastAsia="仿宋_GB2312" w:cs="Times New Roman" w:hint="eastAsia"/>
          <w:color w:val="auto"/>
          <w:kern w:val="2"/>
          <w:sz w:val="32"/>
          <w:szCs w:val="32"/>
        </w:rPr>
        <w:t>财政拨款收入：指单位从同级及上级财政部门取得的财政预算资金。</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2.</w:t>
      </w:r>
      <w:r>
        <w:rPr>
          <w:rFonts w:ascii="仿宋_GB2312" w:eastAsia="仿宋_GB2312" w:cs="Times New Roman" w:hint="eastAsia"/>
          <w:color w:val="auto"/>
          <w:kern w:val="2"/>
          <w:sz w:val="32"/>
          <w:szCs w:val="32"/>
        </w:rPr>
        <w:t>事业收入：指事业单位开展专业业务活动及辅助活动取得的收入。</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3.</w:t>
      </w:r>
      <w:r>
        <w:rPr>
          <w:rFonts w:ascii="仿宋_GB2312" w:eastAsia="仿宋_GB2312" w:cs="Times New Roman" w:hint="eastAsia"/>
          <w:color w:val="auto"/>
          <w:kern w:val="2"/>
          <w:sz w:val="32"/>
          <w:szCs w:val="32"/>
        </w:rPr>
        <w:t>经营收入：指事业单位在专业业务活动及其辅助活动之外开展非独立核算经营活动取得的收入。</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4.</w:t>
      </w:r>
      <w:r>
        <w:rPr>
          <w:rFonts w:ascii="仿宋_GB2312" w:eastAsia="仿宋_GB2312" w:cs="Times New Roman" w:hint="eastAsia"/>
          <w:color w:val="auto"/>
          <w:kern w:val="2"/>
          <w:sz w:val="32"/>
          <w:szCs w:val="32"/>
        </w:rPr>
        <w:t>其他收入：指单位取得的除上述收入以外的各项收入。主要是利息、罚没等。</w:t>
      </w:r>
      <w:r>
        <w:rPr>
          <w:rFonts w:ascii="仿宋_GB2312" w:eastAsia="仿宋_GB2312" w:cs="Times New Roman"/>
          <w:color w:val="auto"/>
          <w:kern w:val="2"/>
          <w:sz w:val="32"/>
          <w:szCs w:val="32"/>
        </w:rPr>
        <w:t xml:space="preserve"> </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5.</w:t>
      </w:r>
      <w:r>
        <w:rPr>
          <w:rFonts w:ascii="仿宋_GB2312" w:eastAsia="仿宋_GB2312" w:cs="Times New Roman" w:hint="eastAsia"/>
          <w:color w:val="auto"/>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s="Times New Roman"/>
          <w:color w:val="auto"/>
          <w:kern w:val="2"/>
          <w:sz w:val="32"/>
          <w:szCs w:val="32"/>
        </w:rPr>
        <w:t xml:space="preserve"> </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6.</w:t>
      </w:r>
      <w:r>
        <w:rPr>
          <w:rFonts w:ascii="仿宋_GB2312" w:eastAsia="仿宋_GB2312" w:cs="Times New Roman" w:hint="eastAsia"/>
          <w:color w:val="auto"/>
          <w:kern w:val="2"/>
          <w:sz w:val="32"/>
          <w:szCs w:val="32"/>
        </w:rPr>
        <w:t>年初结转和结余：指以前年度尚未完成、结转到本年按有关规定继续使用的资金。</w:t>
      </w:r>
      <w:r>
        <w:rPr>
          <w:rFonts w:ascii="仿宋_GB2312" w:eastAsia="仿宋_GB2312" w:cs="Times New Roman"/>
          <w:color w:val="auto"/>
          <w:kern w:val="2"/>
          <w:sz w:val="32"/>
          <w:szCs w:val="32"/>
        </w:rPr>
        <w:t xml:space="preserve"> </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7.</w:t>
      </w:r>
      <w:r>
        <w:rPr>
          <w:rFonts w:ascii="仿宋_GB2312" w:eastAsia="仿宋_GB2312" w:cs="Times New Roman" w:hint="eastAsia"/>
          <w:color w:val="auto"/>
          <w:kern w:val="2"/>
          <w:sz w:val="32"/>
          <w:szCs w:val="32"/>
        </w:rPr>
        <w:t>结余分配：指事业单位按照事业单位会计制度的规定从非财政补助结余中分配的事业基金和职工福利基金等。</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8</w:t>
      </w:r>
      <w:r>
        <w:rPr>
          <w:rFonts w:ascii="仿宋_GB2312" w:eastAsia="仿宋_GB2312" w:cs="Times New Roman" w:hint="eastAsia"/>
          <w:color w:val="auto"/>
          <w:kern w:val="2"/>
          <w:sz w:val="32"/>
          <w:szCs w:val="32"/>
        </w:rPr>
        <w:t>.年末结转和结余：指单位按有关规定结转到下年或以后年度继续使用的资金。</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9</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一般公共服务（类）政府办公厅（室）及相关机构事务（款）行政运行（项）</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指反映行政单位（包括实行公务员管理的事业单位）的基本支出。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10</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一般公共服务（类）政府办公厅（室）及相关机构事务（款）一般行政管理事务（项）</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指反映行政单位（包括实行公务员管理的事业单位）未单独设置项目科目的其他项目支出。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11</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一般公共服务（类）财政事务（款）行政运行（项）</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指反映行政单位（包括实行公务员管理的事业单位）的基本支出。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12</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一般公共服务（类）财政事务（款）一般行政管理事务（项）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指反映行政单位（包括实行公务员管理的事业单位）未单独设置项目科目的其他项目支出。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13</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文化体育与传媒支出（类）文化（款）群众文化（项）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指反映群众文化方面的支出，包括基层文化馆（站），群众艺术馆支出等。</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14</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文化体育与传媒支出（类）文化（款）其他文化支出（项）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指反映其它用于文化方面的支出。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15</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文化体育与传媒支出（类）新闻出版广播影视（款）广播（项）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指反映广播电台、广播发射台、广播转播台及有线广播台支出。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16</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社会保障和就业（类）行政事业单位离退休（款）机关事业单位基本养老保险缴费支出（项）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指反映机关事业单位实施养老保险制度由单位实际缴纳的基本养老保险支出。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17</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社会保障和就业（类）行政事业单位离退休（款）机关事业单位职业年金缴费支出（项）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指反映机关事业单位实施养老保险制度由单位实际缴纳的职业年金支出。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18</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社会保障和就业（类）抚恤（款）在乡复员、退伍军人生活补助（项）</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指反映在乡退伍红军老战士（含西路军红军老战士、失散人员），1954年10月31日前入伍的在乡退伍军人，按规定办理带病回乡手续的退伍军人生活补助。</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19</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社会保障和就业（类）抚恤（款）义务兵优待（项）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指反映用于义务兵优待方面的支出。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20</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社会保障和就业（类）残疾人事业（款）其他残疾人事业支出（项）</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指反映用于其他残疾人事业方面的支出。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21</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社会保障和就业（类）特困人员救助供养（款）农村特困人员救助供养支出（项）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指反映农村特困人员救助供养的支出。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22</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医疗卫生与计划生育支出（类）计划生育事务（款）计划生育机构（项）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 xml:space="preserve">指反映卫生和计划生育部门所属计划生育机构支出。             </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23</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医疗卫生与计划生育支出（类）行政事业单位医疗（款）行政单位医疗（项）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 xml:space="preserve">指反映财政部门集中安排的行政单位基本医疗保险缴费经费，未参加医疗保险的行政单位公费医疗经费，按国家规定亨受离退休人员、红军老战士待遇人员的医疗经费。   </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24</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医疗卫生与计划生育支出（类）行政事业单位医疗（款）事业单位医疗（项）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指反映财政部门集中安排的事业单位基本医疗保险缴费经费，未参加医疗保险的事业单位公费医疗经费，按国家规定亨受离退休人员的医疗经费。</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25</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医疗卫生与计划生育支出（类）行政事业单位医疗（款）公务员医疗补助（项）</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指反映财政部门集中安排的公务员医疗补助经费。</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26</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城乡社区支出（类）其他城乡社区支出（款）其他城乡社区支出（项）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指反映其他用于城乡社区方面的支出。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27</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农林水支出（类）农业（款）事业运行（项）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指反映用于农业事业单位方面的基本支出，事业单位设施、系统运行与资产维护等方面的支出。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28</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农林水支出（类）农业（款）防灾救灾（项）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指反映农业生产遭受自然、生物灾害损害给予的补助，促进农业防灾增产措施的补助，海难救助补助，草原扑火防火及因其他灾害导致农牧渔业生产者损失给予的补助。</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29</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农林水支出（类）农业（款）农村道路建设（项）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指反映用于农村公路、乡村道路建设方面的补助。</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30</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农林水支出（类）农业（款）对高校毕业生到基层任职补助（项）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指反映按规定对高校毕业生到基层任职的补助支出。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31</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农林水支出（类）水利（款）农田水利（项）</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指反映国家对农田水利和打井、集雨设施、节水灌溉等水利设施的补助，小型水库处除险补助以及排灌站、小水电站补助等。</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32</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农林水支出（类）扶贫（款）农村基础设施建设（项）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指反映用于农村贫困地区乡村道路、住房、基本农田、水利设施、人畜饮水、生态环境保护等生产生活条件改善方面的支出。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33</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农林水支出（类）扶贫（款）其他扶贫支出（项）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指反映其他方面的扶贫支出。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34</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农林水支出（类）农业综合开发（款）土地治理（项）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指反映农业综合开发部门安排的土地治理项目支出。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35</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农林水支出（类）农村综合改革（款）对村级一事一议的补助（项）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指反映农村税费改革后对村级公益事业建设一事一议的补助支出。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36</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农林水支出（类）农村综合改革（款）对村民委员会和村党支部的补助 （项）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指反映各级财政对村民委员会和村党支部的补助支出，以及支持建立县级财力保障机制安排的村级组织运转奖补资金。</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37</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农林水支出（类）农村综合改革（款）农村综合改革示范试点补助（项）</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指反映各级财政对农村综合改革示范试点、新型农业社会化服务体系建设等补助支出。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38</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商业服务业等支出（类）旅游业管理与服务支出（款）其他旅游业管理与服务支出（项）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指反映用于其他旅游业管理与服务方面的支出。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39</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住房保障支出（类）住房改革支出（款）住房公积金（项）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指反映行政事业单位按人力资源和社会保障部、财政部规定的基本工资和津贴补贴以及规定比例为职工缴纳的住房公积金。</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40</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 xml:space="preserve"> 其他支出（类）其他支出（款）其他支出（项）</w:t>
      </w:r>
      <w:r>
        <w:rPr>
          <w:rFonts w:ascii="仿宋_GB2312" w:eastAsia="仿宋_GB2312" w:cs="Times New Roman"/>
          <w:color w:val="auto"/>
          <w:kern w:val="2"/>
          <w:sz w:val="32"/>
          <w:szCs w:val="32"/>
        </w:rPr>
        <w:t xml:space="preserve">: </w:t>
      </w:r>
      <w:r>
        <w:rPr>
          <w:rFonts w:ascii="仿宋_GB2312" w:eastAsia="仿宋_GB2312" w:cs="Times New Roman" w:hint="eastAsia"/>
          <w:color w:val="auto"/>
          <w:kern w:val="2"/>
          <w:sz w:val="32"/>
          <w:szCs w:val="32"/>
        </w:rPr>
        <w:t>指反映不能划分到具体功能科目中的支出项目。</w:t>
      </w:r>
    </w:p>
    <w:p>
      <w:pPr>
        <w:ind w:firstLineChars="200" w:firstLine="640"/>
        <w:rPr>
          <w:rFonts w:ascii="仿宋_GB2312" w:eastAsia="仿宋_GB2312"/>
          <w:sz w:val="32"/>
          <w:szCs w:val="32"/>
        </w:rPr>
      </w:pPr>
      <w:r>
        <w:rPr>
          <w:rFonts w:ascii="仿宋_GB2312" w:eastAsia="仿宋_GB2312" w:hint="eastAsia"/>
          <w:sz w:val="32"/>
          <w:szCs w:val="32"/>
        </w:rPr>
        <w:t>41</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pPr>
        <w:ind w:firstLineChars="200" w:firstLine="640"/>
        <w:rPr>
          <w:rFonts w:ascii="仿宋_GB2312" w:eastAsia="仿宋_GB2312"/>
          <w:sz w:val="32"/>
          <w:szCs w:val="32"/>
        </w:rPr>
      </w:pPr>
      <w:r>
        <w:rPr>
          <w:rFonts w:ascii="仿宋_GB2312" w:eastAsia="仿宋_GB2312" w:hint="eastAsia"/>
          <w:sz w:val="32"/>
          <w:szCs w:val="32"/>
        </w:rPr>
        <w:t>42</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Chars="200" w:firstLine="640"/>
        <w:rPr>
          <w:rFonts w:ascii="仿宋_GB2312" w:eastAsia="仿宋_GB2312"/>
          <w:sz w:val="32"/>
          <w:szCs w:val="32"/>
        </w:rPr>
      </w:pPr>
      <w:r>
        <w:rPr>
          <w:rFonts w:ascii="仿宋_GB2312" w:eastAsia="仿宋_GB2312" w:hint="eastAsia"/>
          <w:sz w:val="32"/>
          <w:szCs w:val="32"/>
        </w:rPr>
        <w:t>43</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44</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45</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Chars="200" w:firstLine="640"/>
        <w:rPr>
          <w:rFonts w:ascii="仿宋_GB2312" w:eastAsia="仿宋_GB2312" w:cs="黑体"/>
          <w:color w:val="auto"/>
          <w:sz w:val="32"/>
          <w:szCs w:val="32"/>
        </w:rPr>
      </w:pPr>
    </w:p>
    <w:p>
      <w:pPr>
        <w:ind w:firstLineChars="200" w:firstLine="640"/>
        <w:rPr>
          <w:rFonts w:ascii="仿宋" w:eastAsia="仿宋"/>
          <w:b/>
          <w:sz w:val="32"/>
          <w:szCs w:val="32"/>
        </w:rPr>
      </w:pPr>
    </w:p>
    <w:p>
      <w:pPr>
        <w:spacing w:line="600" w:lineRule="exact"/>
        <w:jc w:val="center"/>
        <w:outlineLvl w:val="0"/>
        <w:rPr>
          <w:rStyle w:val="1Char"/>
          <w:rFonts w:ascii="黑体" w:eastAsia="黑体"/>
          <w:b w:val="0"/>
        </w:rPr>
      </w:pPr>
      <w:bookmarkStart w:id="55" w:name="_Toc15377226"/>
      <w:r>
        <w:rPr>
          <w:rFonts w:ascii="宋体"/>
          <w:b/>
          <w:sz w:val="44"/>
          <w:szCs w:val="44"/>
        </w:rPr>
        <w:br w:type="page"/>
      </w:r>
      <w:bookmarkStart w:id="56" w:name="_Toc15396614"/>
      <w:r>
        <w:rPr>
          <w:rFonts w:ascii="黑体" w:eastAsia="黑体" w:hint="eastAsia"/>
          <w:sz w:val="44"/>
          <w:szCs w:val="44"/>
        </w:rPr>
        <w:t>第</w:t>
      </w:r>
      <w:r>
        <w:rPr>
          <w:rStyle w:val="1Char"/>
          <w:rFonts w:ascii="黑体" w:eastAsia="黑体" w:hint="eastAsia"/>
          <w:b w:val="0"/>
        </w:rPr>
        <w:t>四部分 附件</w:t>
      </w:r>
      <w:bookmarkEnd w:id="56"/>
    </w:p>
    <w:p>
      <w:pPr>
        <w:spacing w:line="600" w:lineRule="exact"/>
        <w:jc w:val="center"/>
        <w:outlineLvl w:val="0"/>
        <w:rPr>
          <w:rStyle w:val="1Char"/>
        </w:rPr>
      </w:pPr>
    </w:p>
    <w:p>
      <w:pPr>
        <w:pStyle w:val="2"/>
        <w:rPr>
          <w:rStyle w:val="1Char"/>
          <w:rFonts w:ascii="仿宋" w:eastAsia="仿宋"/>
          <w:sz w:val="32"/>
          <w:szCs w:val="32"/>
        </w:rPr>
      </w:pPr>
      <w:bookmarkStart w:id="57" w:name="_Toc15396615"/>
      <w:r>
        <w:rPr>
          <w:rStyle w:val="1Char"/>
          <w:rFonts w:ascii="仿宋" w:eastAsia="仿宋" w:hint="eastAsia"/>
          <w:sz w:val="32"/>
          <w:szCs w:val="32"/>
        </w:rPr>
        <w:t>附件1</w:t>
      </w:r>
      <w:bookmarkEnd w:id="57"/>
    </w:p>
    <w:p>
      <w:pPr>
        <w:spacing w:line="600" w:lineRule="exact"/>
        <w:jc w:val="center"/>
        <w:outlineLvl w:val="0"/>
        <w:rPr>
          <w:rFonts w:ascii="黑体" w:eastAsia="黑体" w:cs="方正小标宋简体"/>
          <w:sz w:val="36"/>
          <w:szCs w:val="36"/>
        </w:rPr>
      </w:pPr>
      <w:bookmarkStart w:id="58" w:name="_Toc15396616"/>
      <w:r>
        <w:rPr>
          <w:rFonts w:ascii="黑体" w:eastAsia="黑体" w:cs="方正小标宋简体" w:hint="eastAsia"/>
          <w:sz w:val="36"/>
          <w:szCs w:val="36"/>
        </w:rPr>
        <w:t>达州市达川区百节镇人民政府</w:t>
      </w:r>
    </w:p>
    <w:p>
      <w:pPr>
        <w:spacing w:line="600" w:lineRule="exact"/>
        <w:jc w:val="center"/>
        <w:outlineLvl w:val="0"/>
        <w:rPr>
          <w:rFonts w:ascii="黑体" w:eastAsia="黑体" w:cs="方正小标宋简体"/>
          <w:sz w:val="36"/>
          <w:szCs w:val="36"/>
        </w:rPr>
      </w:pPr>
      <w:r>
        <w:rPr>
          <w:rFonts w:ascii="黑体" w:eastAsia="黑体" w:cs="方正小标宋简体" w:hint="eastAsia"/>
          <w:sz w:val="36"/>
          <w:szCs w:val="36"/>
        </w:rPr>
        <w:t>2018年单位整体支出绩效评价报告</w:t>
      </w:r>
      <w:bookmarkEnd w:id="58"/>
    </w:p>
    <w:p>
      <w:pPr>
        <w:spacing w:line="580" w:lineRule="exact"/>
        <w:ind w:firstLineChars="200" w:firstLine="640"/>
        <w:rPr>
          <w:rFonts w:ascii="黑体" w:eastAsia="黑体" w:cs="黑体"/>
          <w:sz w:val="32"/>
          <w:szCs w:val="32"/>
        </w:rPr>
      </w:pPr>
    </w:p>
    <w:p>
      <w:pPr>
        <w:spacing w:line="580" w:lineRule="exact"/>
        <w:ind w:firstLineChars="200" w:firstLine="640"/>
        <w:rPr>
          <w:rFonts w:ascii="黑体" w:eastAsia="黑体" w:cs="黑体"/>
          <w:sz w:val="32"/>
          <w:szCs w:val="32"/>
        </w:rPr>
      </w:pPr>
      <w:r>
        <w:rPr>
          <w:rFonts w:ascii="黑体" w:eastAsia="黑体" w:cs="黑体" w:hint="eastAsia"/>
          <w:sz w:val="32"/>
          <w:szCs w:val="32"/>
        </w:rPr>
        <w:t>一、单位概况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（一）机构组成。</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百节镇下属二级预算单位4个，其中行政单位</w:t>
      </w:r>
      <w:r>
        <w:rPr>
          <w:rFonts w:ascii="仿宋_GB2312" w:eastAsia="仿宋_GB2312" w:cs="Times New Roman"/>
          <w:color w:val="auto"/>
          <w:kern w:val="2"/>
          <w:sz w:val="32"/>
          <w:szCs w:val="32"/>
        </w:rPr>
        <w:t>1</w:t>
      </w:r>
      <w:r>
        <w:rPr>
          <w:rFonts w:ascii="仿宋_GB2312" w:eastAsia="仿宋_GB2312" w:cs="Times New Roman" w:hint="eastAsia"/>
          <w:color w:val="auto"/>
          <w:kern w:val="2"/>
          <w:sz w:val="32"/>
          <w:szCs w:val="32"/>
        </w:rPr>
        <w:t>个，其他事业单位3个。主要包括：达州市达川区百节镇人民政府、达州市达川区百节镇社会事物（服务）中心、达州市达川区百节镇计划生育服务站、达州市达川区百节镇广播电视站。</w:t>
      </w:r>
    </w:p>
    <w:p>
      <w:pPr>
        <w:ind w:firstLineChars="200" w:firstLine="640"/>
        <w:rPr>
          <w:rFonts w:ascii="仿宋" w:eastAsia="仿宋" w:cs="仿宋_GB2312"/>
          <w:sz w:val="32"/>
          <w:szCs w:val="32"/>
        </w:rPr>
      </w:pPr>
      <w:r>
        <w:rPr>
          <w:rFonts w:ascii="仿宋" w:eastAsia="仿宋" w:cs="仿宋_GB2312"/>
          <w:sz w:val="32"/>
          <w:szCs w:val="32"/>
        </w:rPr>
        <w:t>（二）机构职能。</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1、促进经济发展，增加农民收入</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营造良好的经济发展环境、落实国家扶贫开发政策和强农惠农措施。完善和落实农村基本经营制度，培育和发展农民专业合作经济组织和中介组织，健全农村市场和农业服务体系，壮大第三产业。保护基本农田，组织开展农业基础设施建设，推广农业先进适用技术，为农民提供科普培训、技术技能培训和市场信息服务，帮助农民多渠道转移就业，促进农民增收。做好农村集体资产财务管理，推动产业结构调整，发展培育特色优势产业和特色经济，扶持龙头企业发展壮大，促进现代农业发展。大力发展民营经济，搞好开放外联工作，为招商引资创造良好的发展环境。</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 </w:t>
      </w:r>
      <w:r>
        <w:rPr>
          <w:rFonts w:ascii="仿宋_GB2312" w:eastAsia="仿宋_GB2312" w:cs="Times New Roman" w:hint="eastAsia"/>
          <w:color w:val="auto"/>
          <w:kern w:val="2"/>
          <w:sz w:val="32"/>
          <w:szCs w:val="32"/>
        </w:rPr>
        <w:t>2、强化公共服务，着力改善民生</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 </w:t>
      </w:r>
      <w:r>
        <w:rPr>
          <w:rFonts w:ascii="仿宋_GB2312" w:eastAsia="仿宋_GB2312" w:cs="Times New Roman" w:hint="eastAsia"/>
          <w:color w:val="auto"/>
          <w:kern w:val="2"/>
          <w:sz w:val="32"/>
          <w:szCs w:val="32"/>
        </w:rPr>
        <w:t>贯彻落实国家基本公共政策，发展农村社会公益事业，加快新型农村公共服务体系建设，加强社会事务的行政管理，开展精神文明、文教卫生、计划生育、生态环境、乡村建设、社会保障、防疫救灾工作。加强农村基础设施建设，做好新农村建设的指导，推进农村新民居建设。拓宽服务渠道，完善解决民生问题的办事制度和程序，通过</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一站式</w:t>
      </w:r>
      <w:r>
        <w:rPr>
          <w:rFonts w:ascii="仿宋_GB2312" w:eastAsia="仿宋_GB2312" w:cs="Times New Roman"/>
          <w:color w:val="auto"/>
          <w:kern w:val="2"/>
          <w:sz w:val="32"/>
          <w:szCs w:val="32"/>
        </w:rPr>
        <w:t>”</w:t>
      </w:r>
      <w:r>
        <w:rPr>
          <w:rFonts w:ascii="仿宋_GB2312" w:eastAsia="仿宋_GB2312" w:cs="Times New Roman" w:hint="eastAsia"/>
          <w:color w:val="auto"/>
          <w:kern w:val="2"/>
          <w:sz w:val="32"/>
          <w:szCs w:val="32"/>
        </w:rPr>
        <w:t>服务、办事代理制等多种形式，改进服务方式，方便群众办事。</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 </w:t>
      </w:r>
      <w:r>
        <w:rPr>
          <w:rFonts w:ascii="仿宋_GB2312" w:eastAsia="仿宋_GB2312" w:cs="Times New Roman" w:hint="eastAsia"/>
          <w:color w:val="auto"/>
          <w:kern w:val="2"/>
          <w:sz w:val="32"/>
          <w:szCs w:val="32"/>
        </w:rPr>
        <w:t>3、加强社会管理，维护农村稳定</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 </w:t>
      </w:r>
      <w:r>
        <w:rPr>
          <w:rFonts w:ascii="仿宋_GB2312" w:eastAsia="仿宋_GB2312" w:cs="Times New Roman" w:hint="eastAsia"/>
          <w:color w:val="auto"/>
          <w:kern w:val="2"/>
          <w:sz w:val="32"/>
          <w:szCs w:val="32"/>
        </w:rPr>
        <w:t>增强社会管理职能，加强人民调解、行政调解和司法调解的作用，强化农村社会治安综合治理，化解农村社会矛盾，维护农村社会公共秩序，确保社会稳定。推进依法行政，严格依法履行职责。推行行政机关首问首办责任制度，强化责任意识。健全维护农民权益机制，保障农民合法权益，维护农村社会公平正义。</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 </w:t>
      </w:r>
      <w:r>
        <w:rPr>
          <w:rFonts w:ascii="仿宋_GB2312" w:eastAsia="仿宋_GB2312" w:cs="Times New Roman" w:hint="eastAsia"/>
          <w:color w:val="auto"/>
          <w:kern w:val="2"/>
          <w:sz w:val="32"/>
          <w:szCs w:val="32"/>
        </w:rPr>
        <w:t>4、推进基层民主，促进农村和谐</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color w:val="auto"/>
          <w:kern w:val="2"/>
          <w:sz w:val="32"/>
          <w:szCs w:val="32"/>
        </w:rPr>
        <w:t> </w:t>
      </w:r>
      <w:r>
        <w:rPr>
          <w:rFonts w:ascii="仿宋_GB2312" w:eastAsia="仿宋_GB2312" w:cs="Times New Roman" w:hint="eastAsia"/>
          <w:color w:val="auto"/>
          <w:kern w:val="2"/>
          <w:sz w:val="32"/>
          <w:szCs w:val="32"/>
        </w:rPr>
        <w:t>加强党的思想建设、组织建设、作风建设和制度建设，充分发挥工会、共青团、妇联等群众团体的桥梁纽带作用。健全村级党组织领导下的村民自治机制，推进农村民主政治建设，扩大农村基层民主，保障法律法规赋予公民的民主权利。加强农村基层组织建设，引导农民有序参与村级事务管理，推进村务公开，促进社会组织健康发展，构建和谐社会。按县政府下放行政管理权限的要求，做好相应工作。</w:t>
      </w:r>
    </w:p>
    <w:p>
      <w:pPr>
        <w:snapToGrid w:val="0"/>
        <w:spacing w:line="360" w:lineRule="auto"/>
        <w:ind w:left="320" w:firstLineChars="100" w:firstLine="320"/>
        <w:rPr>
          <w:rFonts w:ascii="黑体" w:eastAsia="黑体" w:cs="黑体"/>
          <w:sz w:val="32"/>
          <w:szCs w:val="32"/>
        </w:rPr>
      </w:pPr>
      <w:r>
        <w:rPr>
          <w:rFonts w:ascii="仿宋" w:eastAsia="仿宋" w:cs="仿宋_GB2312"/>
          <w:sz w:val="32"/>
          <w:szCs w:val="32"/>
        </w:rPr>
        <w:t>（</w:t>
      </w:r>
      <w:r>
        <w:rPr>
          <w:rFonts w:ascii="黑体" w:eastAsia="黑体" w:cs="黑体"/>
          <w:sz w:val="32"/>
          <w:szCs w:val="32"/>
        </w:rPr>
        <w:t>三）人员概况。</w:t>
      </w:r>
    </w:p>
    <w:p>
      <w:pPr>
        <w:pStyle w:val="22"/>
        <w:spacing w:line="560" w:lineRule="exact"/>
        <w:ind w:firstLineChars="200" w:firstLine="640"/>
        <w:rPr>
          <w:rFonts w:ascii="仿宋_GB2312" w:eastAsia="仿宋_GB2312" w:cs="Times New Roman"/>
          <w:color w:val="auto"/>
          <w:kern w:val="2"/>
          <w:sz w:val="32"/>
          <w:szCs w:val="32"/>
        </w:rPr>
      </w:pPr>
      <w:r>
        <w:rPr>
          <w:rFonts w:ascii="仿宋_GB2312" w:eastAsia="仿宋_GB2312" w:cs="Times New Roman" w:hint="eastAsia"/>
          <w:color w:val="auto"/>
          <w:kern w:val="2"/>
          <w:sz w:val="32"/>
          <w:szCs w:val="32"/>
        </w:rPr>
        <w:t>百节镇总编制人数42人（编办核定数），行政编制24人，事业编制18人。2018年年末在职职工38人，其中行政20人，事业18人。</w:t>
      </w:r>
    </w:p>
    <w:p>
      <w:pPr>
        <w:spacing w:line="580" w:lineRule="exact"/>
        <w:ind w:firstLineChars="200" w:firstLine="640"/>
        <w:rPr>
          <w:rFonts w:ascii="黑体" w:eastAsia="黑体" w:cs="黑体"/>
          <w:sz w:val="32"/>
          <w:szCs w:val="32"/>
        </w:rPr>
      </w:pPr>
      <w:r>
        <w:rPr>
          <w:rFonts w:ascii="黑体" w:eastAsia="黑体" w:cs="黑体"/>
          <w:sz w:val="32"/>
          <w:szCs w:val="32"/>
        </w:rPr>
        <w:t>二、部门财政资金收支情况</w:t>
      </w:r>
    </w:p>
    <w:p>
      <w:pPr>
        <w:spacing w:line="580" w:lineRule="exact"/>
        <w:ind w:firstLineChars="200" w:firstLine="640"/>
        <w:rPr>
          <w:rFonts w:ascii="黑体" w:eastAsia="黑体" w:cs="黑体"/>
          <w:sz w:val="32"/>
          <w:szCs w:val="32"/>
        </w:rPr>
      </w:pPr>
      <w:r>
        <w:rPr>
          <w:rFonts w:ascii="黑体" w:eastAsia="黑体" w:cs="黑体"/>
          <w:sz w:val="32"/>
          <w:szCs w:val="32"/>
        </w:rPr>
        <w:t>（一）部门财政资金收入情况。</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2018年百节镇财政拨款收入1595.03万元，其中：一般公共预算财政拨款收入1489.03万元，基金预算收入106万元；</w:t>
      </w:r>
    </w:p>
    <w:p>
      <w:pPr>
        <w:spacing w:line="580" w:lineRule="exact"/>
        <w:ind w:firstLineChars="200" w:firstLine="640"/>
        <w:rPr>
          <w:rFonts w:ascii="黑体" w:eastAsia="黑体" w:cs="黑体"/>
          <w:sz w:val="32"/>
          <w:szCs w:val="32"/>
        </w:rPr>
      </w:pPr>
      <w:r>
        <w:rPr>
          <w:rFonts w:ascii="黑体" w:eastAsia="黑体" w:cs="黑体"/>
          <w:sz w:val="32"/>
          <w:szCs w:val="32"/>
        </w:rPr>
        <w:t>（二）部门财政资金支出情况。</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2018年度达川区百节镇支出1595.03万元，其中：基本支出1001.85万元，占总支出62.81%，项目支出593.18万元，占总支出37.19%；支出按经济功能分类：工资福利支出393.19万元，占总支出24.65%，商品和服务支出282.1万元，占总支出17.69%，对个人和家庭的补助476.84万元，占总支出29.9%，其他资本性支出442.9万元，占总支出27.76%。</w:t>
      </w:r>
    </w:p>
    <w:p>
      <w:pPr>
        <w:spacing w:line="580" w:lineRule="exact"/>
        <w:ind w:firstLineChars="200" w:firstLine="640"/>
        <w:rPr>
          <w:rFonts w:ascii="黑体" w:eastAsia="黑体" w:cs="黑体"/>
          <w:sz w:val="32"/>
          <w:szCs w:val="32"/>
        </w:rPr>
      </w:pPr>
      <w:r>
        <w:rPr>
          <w:rFonts w:ascii="黑体" w:eastAsia="黑体" w:cs="黑体"/>
          <w:sz w:val="32"/>
          <w:szCs w:val="32"/>
        </w:rPr>
        <w:t>三、部门整体预算绩效管理情况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（一）部门预算管理。</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2018年编制部门预算时，进一步详细提供所需资金的政策依据，进一步完备各项目的实施条件、具体要求和实施方案。既要重视预算收入，又要重视资金支出效果。2018年度百节镇财务管理规范，严格按照新的行政会计制度设置会计科目，会计核算规范合理。百节镇人民政府对2018年部门预算工作高度重视，精心组织，认真编制预算报表，严格审核。</w:t>
      </w:r>
    </w:p>
    <w:p>
      <w:pPr>
        <w:spacing w:line="580" w:lineRule="exact"/>
        <w:ind w:firstLineChars="200" w:firstLine="640"/>
        <w:rPr>
          <w:rFonts w:ascii="仿宋" w:eastAsia="仿宋" w:cs="仿宋_GB2312"/>
          <w:sz w:val="32"/>
          <w:szCs w:val="32"/>
        </w:rPr>
      </w:pPr>
      <w:r>
        <w:rPr>
          <w:rFonts w:ascii="仿宋" w:eastAsia="仿宋" w:cs="仿宋_GB2312"/>
          <w:sz w:val="32"/>
          <w:szCs w:val="32"/>
        </w:rPr>
        <w:t>（二）专项预算管理。</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2018年百节镇人民政府</w:t>
      </w:r>
      <w:r>
        <w:rPr>
          <w:rFonts w:ascii="仿宋_GB2312" w:eastAsia="仿宋_GB2312"/>
          <w:sz w:val="32"/>
          <w:szCs w:val="32"/>
        </w:rPr>
        <w:t>专项预算项目程序严密、规划合理、结果符合、分配科学、分配及时、专项预算绩效目标完成、实施</w:t>
      </w:r>
      <w:r>
        <w:rPr>
          <w:rFonts w:ascii="仿宋_GB2312" w:eastAsia="仿宋_GB2312" w:hint="eastAsia"/>
          <w:sz w:val="32"/>
          <w:szCs w:val="32"/>
        </w:rPr>
        <w:t>效果满意度高</w:t>
      </w:r>
      <w:r>
        <w:rPr>
          <w:rFonts w:ascii="仿宋_GB2312" w:eastAsia="仿宋_GB2312"/>
          <w:sz w:val="32"/>
          <w:szCs w:val="32"/>
        </w:rPr>
        <w:t>。</w:t>
      </w:r>
    </w:p>
    <w:p>
      <w:pPr>
        <w:spacing w:line="580" w:lineRule="exact"/>
        <w:ind w:firstLineChars="200" w:firstLine="640"/>
        <w:rPr>
          <w:rFonts w:ascii="仿宋" w:eastAsia="仿宋" w:cs="仿宋_GB2312"/>
          <w:sz w:val="32"/>
          <w:szCs w:val="32"/>
        </w:rPr>
      </w:pPr>
      <w:r>
        <w:rPr>
          <w:rFonts w:ascii="仿宋" w:eastAsia="仿宋" w:cs="仿宋_GB2312"/>
          <w:sz w:val="32"/>
          <w:szCs w:val="32"/>
        </w:rPr>
        <w:t>（三）结果应用情况。</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加强</w:t>
      </w:r>
      <w:r>
        <w:rPr>
          <w:rFonts w:ascii="仿宋_GB2312" w:eastAsia="仿宋_GB2312"/>
          <w:sz w:val="32"/>
          <w:szCs w:val="32"/>
        </w:rPr>
        <w:t>部门</w:t>
      </w:r>
      <w:r>
        <w:rPr>
          <w:rFonts w:ascii="仿宋_GB2312" w:eastAsia="仿宋_GB2312" w:hint="eastAsia"/>
          <w:sz w:val="32"/>
          <w:szCs w:val="32"/>
        </w:rPr>
        <w:t>、专项</w:t>
      </w:r>
      <w:r>
        <w:rPr>
          <w:rFonts w:ascii="仿宋_GB2312" w:eastAsia="仿宋_GB2312"/>
          <w:sz w:val="32"/>
          <w:szCs w:val="32"/>
        </w:rPr>
        <w:t>预算管理</w:t>
      </w:r>
      <w:r>
        <w:rPr>
          <w:rFonts w:ascii="仿宋_GB2312" w:eastAsia="仿宋_GB2312" w:hint="eastAsia"/>
          <w:sz w:val="32"/>
          <w:szCs w:val="32"/>
        </w:rPr>
        <w:t>，规范了各单位部门的随意安排</w:t>
      </w:r>
      <w:r>
        <w:rPr>
          <w:rFonts w:ascii="仿宋_GB2312" w:eastAsia="仿宋_GB2312"/>
          <w:sz w:val="32"/>
          <w:szCs w:val="32"/>
        </w:rPr>
        <w:t>预算</w:t>
      </w:r>
      <w:r>
        <w:rPr>
          <w:rFonts w:ascii="仿宋_GB2312" w:eastAsia="仿宋_GB2312" w:hint="eastAsia"/>
          <w:sz w:val="32"/>
          <w:szCs w:val="32"/>
        </w:rPr>
        <w:t>的行为，避免了财政部门与单位的预算资金审批各申请的随意性，降低了人为因素的影响，增强预算安排的透明度，从而最大限度地提高了财政资金的使用效率。</w:t>
      </w:r>
    </w:p>
    <w:p>
      <w:pPr>
        <w:spacing w:line="580" w:lineRule="exact"/>
        <w:ind w:firstLineChars="200" w:firstLine="640"/>
        <w:rPr>
          <w:rFonts w:ascii="仿宋" w:eastAsia="仿宋" w:cs="仿宋_GB2312"/>
          <w:sz w:val="32"/>
          <w:szCs w:val="32"/>
        </w:rPr>
      </w:pPr>
      <w:r>
        <w:rPr>
          <w:rFonts w:ascii="黑体" w:eastAsia="黑体" w:cs="黑体"/>
          <w:sz w:val="32"/>
          <w:szCs w:val="32"/>
        </w:rPr>
        <w:t>四</w:t>
      </w:r>
      <w:r>
        <w:rPr>
          <w:rFonts w:ascii="仿宋" w:eastAsia="仿宋" w:cs="仿宋_GB2312"/>
          <w:sz w:val="32"/>
          <w:szCs w:val="32"/>
        </w:rPr>
        <w:t>、评价结论及建议</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我单位专项工作均已于2018年完成，完成了年度绩效目标。所有项目的日常管理工作均按照我单位相关管理制度执行，建立了工作有计划、实施有方案、日常有监督的管理机制，工作取得了较好的成效，效能得到了提高、获得了社会公众的好评，2018年对财政资金相关项目内容，采用目标与实施效果比较法，评价定性指标包括经济性、效率性和有效性等，以此来评价绩效持等级，达州市百节镇人民政府评定为“良好”。</w:t>
      </w:r>
    </w:p>
    <w:p>
      <w:pPr>
        <w:spacing w:line="580" w:lineRule="exact"/>
        <w:ind w:firstLineChars="200" w:firstLine="640"/>
        <w:rPr>
          <w:rFonts w:ascii="microsoft yahei" w:hAnsi="microsoft yahei" w:hint="eastAsia"/>
          <w:color w:val="555555"/>
          <w:szCs w:val="21"/>
          <w:shd w:val="clear" w:color="auto" w:fill="FFFFFF"/>
        </w:rPr>
      </w:pPr>
      <w:r>
        <w:rPr>
          <w:rFonts w:ascii="仿宋" w:eastAsia="仿宋" w:cs="仿宋_GB2312"/>
          <w:sz w:val="32"/>
          <w:szCs w:val="32"/>
        </w:rPr>
        <w:t>（二）存在问题。</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预算下达时间晚</w:t>
      </w:r>
      <w:r>
        <w:rPr>
          <w:rFonts w:ascii="仿宋_GB2312" w:eastAsia="仿宋_GB2312" w:hint="eastAsia"/>
          <w:sz w:val="32"/>
          <w:szCs w:val="32"/>
        </w:rPr>
        <w:t>，</w:t>
      </w:r>
      <w:r>
        <w:rPr>
          <w:rFonts w:ascii="仿宋_GB2312" w:eastAsia="仿宋_GB2312"/>
          <w:sz w:val="32"/>
          <w:szCs w:val="32"/>
        </w:rPr>
        <w:t>导致预算执行进度偏慢。特别是一些需要下达到</w:t>
      </w:r>
      <w:r>
        <w:rPr>
          <w:rFonts w:ascii="仿宋_GB2312" w:eastAsia="仿宋_GB2312" w:hint="eastAsia"/>
          <w:sz w:val="32"/>
          <w:szCs w:val="32"/>
        </w:rPr>
        <w:t>村级方面</w:t>
      </w:r>
      <w:r>
        <w:rPr>
          <w:rFonts w:ascii="仿宋_GB2312" w:eastAsia="仿宋_GB2312"/>
          <w:sz w:val="32"/>
          <w:szCs w:val="32"/>
        </w:rPr>
        <w:t>的</w:t>
      </w:r>
      <w:r>
        <w:rPr>
          <w:rFonts w:ascii="仿宋_GB2312" w:eastAsia="仿宋_GB2312" w:hint="eastAsia"/>
          <w:sz w:val="32"/>
          <w:szCs w:val="32"/>
        </w:rPr>
        <w:t>支出</w:t>
      </w:r>
      <w:r>
        <w:rPr>
          <w:rFonts w:ascii="仿宋_GB2312" w:eastAsia="仿宋_GB2312"/>
          <w:sz w:val="32"/>
          <w:szCs w:val="32"/>
        </w:rPr>
        <w:t>，执行支出进度</w:t>
      </w:r>
      <w:r>
        <w:rPr>
          <w:rFonts w:ascii="仿宋_GB2312" w:eastAsia="仿宋_GB2312" w:hint="eastAsia"/>
          <w:sz w:val="32"/>
          <w:szCs w:val="32"/>
        </w:rPr>
        <w:t>会</w:t>
      </w:r>
      <w:r>
        <w:rPr>
          <w:rFonts w:ascii="仿宋_GB2312" w:eastAsia="仿宋_GB2312"/>
          <w:sz w:val="32"/>
          <w:szCs w:val="32"/>
        </w:rPr>
        <w:t>受到影响。 　</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项目前期准备工作不充分</w:t>
      </w:r>
      <w:r>
        <w:rPr>
          <w:rFonts w:ascii="仿宋_GB2312" w:eastAsia="仿宋_GB2312" w:hint="eastAsia"/>
          <w:sz w:val="32"/>
          <w:szCs w:val="32"/>
        </w:rPr>
        <w:t>，</w:t>
      </w:r>
      <w:r>
        <w:rPr>
          <w:rFonts w:ascii="仿宋_GB2312" w:eastAsia="仿宋_GB2312"/>
          <w:sz w:val="32"/>
          <w:szCs w:val="32"/>
        </w:rPr>
        <w:t>未提前做好项目执行的前期评估论证、可行性研究等，也未及时组织招投标以及政府采购等工作，导致预算无法正常执行。</w:t>
      </w:r>
    </w:p>
    <w:p>
      <w:pPr>
        <w:pStyle w:val="30"/>
        <w:shd w:val="clear" w:color="auto" w:fill="FFFFFF"/>
        <w:spacing w:before="93" w:line="560" w:lineRule="atLeast"/>
        <w:ind w:firstLine="585"/>
        <w:jc w:val="both"/>
        <w:rPr>
          <w:rFonts w:ascii="仿宋" w:eastAsia="仿宋" w:cs="仿宋_GB2312"/>
          <w:kern w:val="2"/>
          <w:sz w:val="32"/>
          <w:szCs w:val="32"/>
        </w:rPr>
      </w:pPr>
      <w:r>
        <w:rPr>
          <w:rFonts w:ascii="仿宋" w:eastAsia="仿宋" w:cs="仿宋_GB2312"/>
          <w:kern w:val="2"/>
          <w:sz w:val="32"/>
          <w:szCs w:val="32"/>
        </w:rPr>
        <w:t>（三）改进建议。</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1、进一步健全和完善财务管理制度及内部控制制度，创新管理手段，用新思路、新方法，改进完善财务管理方法。</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2、按照财政预算绩效管理的要求，建立科学的财政资金效益考评制度体系，不断提高财政资金使用管理的水平和效率。</w:t>
      </w:r>
    </w:p>
    <w:p>
      <w:pPr>
        <w:spacing w:line="580" w:lineRule="exact"/>
        <w:ind w:firstLineChars="200" w:firstLine="640"/>
        <w:rPr>
          <w:rFonts w:ascii="仿宋_GB2312" w:eastAsia="仿宋_GB2312"/>
          <w:sz w:val="32"/>
          <w:szCs w:val="32"/>
        </w:rPr>
      </w:pPr>
    </w:p>
    <w:p>
      <w:pPr>
        <w:spacing w:line="580" w:lineRule="exact"/>
        <w:ind w:firstLineChars="200" w:firstLine="640"/>
        <w:rPr>
          <w:rFonts w:ascii="仿宋" w:eastAsia="仿宋" w:cs="仿宋_GB2312"/>
          <w:sz w:val="32"/>
          <w:szCs w:val="32"/>
        </w:rPr>
      </w:pPr>
    </w:p>
    <w:p>
      <w:pPr>
        <w:widowControl/>
        <w:jc w:val="left"/>
        <w:rPr>
          <w:rFonts w:ascii="仿宋_GB2312" w:eastAsia="仿宋_GB2312" w:cs="仿宋_GB2312"/>
          <w:sz w:val="32"/>
          <w:szCs w:val="32"/>
        </w:rPr>
      </w:pPr>
      <w:r>
        <w:rPr>
          <w:rFonts w:ascii="仿宋_GB2312" w:eastAsia="仿宋_GB2312" w:cs="仿宋_GB2312"/>
          <w:sz w:val="32"/>
          <w:szCs w:val="32"/>
        </w:rPr>
        <w:br w:type="page"/>
      </w:r>
    </w:p>
    <w:p>
      <w:pPr>
        <w:pStyle w:val="2"/>
        <w:rPr>
          <w:rStyle w:val="1Char"/>
          <w:rFonts w:ascii="仿宋" w:eastAsia="仿宋"/>
          <w:sz w:val="32"/>
          <w:szCs w:val="32"/>
        </w:rPr>
      </w:pPr>
      <w:bookmarkStart w:id="59" w:name="_Toc15396617"/>
      <w:r>
        <w:rPr>
          <w:rStyle w:val="1Char"/>
          <w:rFonts w:ascii="仿宋" w:eastAsia="仿宋" w:hint="eastAsia"/>
          <w:sz w:val="32"/>
          <w:szCs w:val="32"/>
        </w:rPr>
        <w:t>附件2</w:t>
      </w:r>
      <w:bookmarkEnd w:id="59"/>
    </w:p>
    <w:p>
      <w:pPr>
        <w:spacing w:line="580" w:lineRule="exact"/>
        <w:jc w:val="center"/>
        <w:rPr>
          <w:rFonts w:ascii="黑体" w:eastAsia="黑体" w:cs="方正小标宋简体"/>
          <w:sz w:val="44"/>
          <w:szCs w:val="44"/>
        </w:rPr>
      </w:pPr>
      <w:r>
        <w:rPr>
          <w:rFonts w:ascii="黑体" w:eastAsia="黑体" w:cs="方正小标宋简体" w:hint="eastAsia"/>
          <w:sz w:val="44"/>
          <w:szCs w:val="44"/>
        </w:rPr>
        <w:t>2018年百节镇财力保障项目支出</w:t>
      </w:r>
    </w:p>
    <w:p>
      <w:pPr>
        <w:spacing w:line="580" w:lineRule="exact"/>
        <w:jc w:val="center"/>
        <w:rPr>
          <w:rFonts w:ascii="黑体" w:eastAsia="黑体" w:cs="方正小标宋简体"/>
          <w:sz w:val="44"/>
          <w:szCs w:val="44"/>
        </w:rPr>
      </w:pPr>
      <w:r>
        <w:rPr>
          <w:rFonts w:ascii="黑体" w:eastAsia="黑体" w:cs="方正小标宋简体" w:hint="eastAsia"/>
          <w:sz w:val="44"/>
          <w:szCs w:val="44"/>
        </w:rPr>
        <w:t>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一是明确职责。明确责任与目标任务；二是开展可行性调研论证，并广泛征求村委和村民意见，引导群众参与和监督；三是按要求组织设计与申报。建设单位聘请专业机构对项目进行设计，并提交申报资料，经项目单位初审，报政府同意；四是实施公开招投标。按照“公开、公平、公正”的原则，施工承包实行公开招标，并签订合同，明确双方权利和义务；五是加强质量管理。村委对项目建设质量进行跟踪监督和管理，对不符合质量要求的责令及时整改；六是组织验收，开展审计。</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我单位专项工作均已于2018年完成，完成了年度绩效目标。所有项目的日常管理工作均按照我单位相关管理制度执行，建立了工作有计划、实施有方案、日常有监督的管理机制，工作取得了较好的成效，效能得到了提高、获得了社会公众的好评，2018年对财政资金相关项目内容，采用目标与实施效果比较法，评价定性指标包括经济性、效率性和有效性等，以此来评价绩效持等级，达州市百节镇人民政府评定为“良好”。</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2018年项目申报严格按照上级要求明确绩效目标，控制成本，提高项目发挥作用，严格按照项目的程序进行申报，严格按照批复项目的内容，符合资金管理办法等相关规定使用。为促进经济社会不断发展，农村养殖业、加工业、旅游业逐步兴起，增加群众收入的同时，也给农村环境和农村饮水不安全问题基本得到解决。 二是提高了群众生活质量。三是密切了党群关系。解决农村最迫切需求，是党和政府的“德政工程”和“民心工程”。项目实施过程中，人民群众对党和政府感激之情溢于言表，他们深切感受到了党和政府的关怀和温暖，密切了党群关系。</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项目资金申报相符性项目申报内容与具体实施内容相符，且申报目标合理可行。资金分配科学合理，资金使用严格按照财务管理制度，严格财经制度管理办法约束。</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通过百节镇党、政工作努力下，各项工作圆满完成，促进了百节镇脱贫攻坚中的产业发展，确保了政府日常工作正常运转、社会和谐，维护了社会稳定。充分调动了民主参与，民主管理，民主管理的积极性。在产业发展方面，解决了项目区群众饮水、道路等基础设施安全，促进经济社会不断发展，农村养殖业、加工业逐步兴起，增加群众收入的同时，也给农村环境和农村饮水不安全问题基本得到解决。提高了群众生活质量。清洁、安全的饮用水不但保障了群众远离疾病，促进了农村社会和谐稳定，而且改变了群众的生活方式，告别了肩挑手提或摇把井的用水历史，和城市人一样用上了洗衣机、热水器，提高了群众生活质量，缩小了城乡差距。同时，增强了农民抵抗灾害能力，实施了农村饮水项目，及时满足了群众日常生活需要。在测评中群众满意度高。</w:t>
      </w:r>
    </w:p>
    <w:p>
      <w:pPr>
        <w:numPr>
          <w:ilvl w:val="0"/>
          <w:numId w:val="6"/>
        </w:numPr>
        <w:spacing w:line="580" w:lineRule="exact"/>
        <w:ind w:left="0" w:firstLineChars="200" w:firstLine="640"/>
        <w:rPr>
          <w:rFonts w:ascii="仿宋" w:eastAsia="仿宋" w:cs="仿宋_GB2312"/>
          <w:sz w:val="32"/>
          <w:szCs w:val="32"/>
        </w:rPr>
      </w:pPr>
      <w:r>
        <w:rPr>
          <w:rFonts w:ascii="仿宋" w:eastAsia="仿宋" w:cs="仿宋_GB2312"/>
          <w:sz w:val="32"/>
          <w:szCs w:val="32"/>
        </w:rPr>
        <w:t>存在主要问题</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1、财政项目自评报告对于本单位来说是刚开展的一项工作，缺乏经验，资金管理制度没有完整的建立起来。</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2、项目建成投入使用后，在后期的管理、维护存在资金缺口。</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四</w:t>
      </w:r>
      <w:r>
        <w:rPr>
          <w:rFonts w:ascii="仿宋" w:eastAsia="仿宋" w:cs="仿宋_GB2312"/>
          <w:sz w:val="32"/>
          <w:szCs w:val="32"/>
        </w:rPr>
        <w:t>、相关措施建议</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加强我镇群众的技术培训，多向一些产业发展的较好的乡镇组织参观学习，做到引进来，走出去的思想，打破以前的一些陈旧的思想，切实把我镇的产业提高一个新台阶。农村基础设施环境建设要加强，改善农村生产生活条件，提高村民幸福生活指数，促进农村社会事业的发展和乡风文明水平的提升。</w:t>
      </w:r>
    </w:p>
    <w:p>
      <w:pPr>
        <w:spacing w:line="580" w:lineRule="exact"/>
        <w:ind w:left="640"/>
        <w:rPr>
          <w:rFonts w:ascii="仿宋" w:eastAsia="仿宋" w:cs="仿宋_GB2312"/>
          <w:sz w:val="32"/>
          <w:szCs w:val="32"/>
        </w:rPr>
      </w:pPr>
    </w:p>
    <w:p>
      <w:pPr>
        <w:spacing w:line="600" w:lineRule="exact"/>
        <w:jc w:val="center"/>
        <w:outlineLvl w:val="0"/>
        <w:rPr>
          <w:rFonts w:ascii="黑体" w:eastAsia="黑体"/>
          <w:sz w:val="44"/>
          <w:szCs w:val="44"/>
        </w:rPr>
      </w:pPr>
      <w:bookmarkStart w:id="60" w:name="_Toc15396618"/>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Style w:val="1Char"/>
          <w:rFonts w:ascii="黑体" w:eastAsia="黑体"/>
          <w:b w:val="0"/>
        </w:rPr>
      </w:pPr>
      <w:r>
        <w:rPr>
          <w:rFonts w:ascii="黑体" w:eastAsia="黑体" w:hint="eastAsia"/>
          <w:sz w:val="44"/>
          <w:szCs w:val="44"/>
        </w:rPr>
        <w:t>第</w:t>
      </w:r>
      <w:r>
        <w:rPr>
          <w:rStyle w:val="1Char"/>
          <w:rFonts w:ascii="黑体" w:eastAsia="黑体" w:hint="eastAsia"/>
          <w:b w:val="0"/>
        </w:rPr>
        <w:t>五部分 附表</w:t>
      </w:r>
      <w:bookmarkEnd w:id="55"/>
      <w:bookmarkEnd w:id="60"/>
    </w:p>
    <w:p>
      <w:pPr>
        <w:pStyle w:val="2"/>
        <w:rPr>
          <w:rFonts w:ascii="仿宋" w:eastAsia="仿宋"/>
        </w:rPr>
      </w:pPr>
      <w:bookmarkStart w:id="61" w:name="_Toc15396619"/>
      <w:r>
        <w:rPr>
          <w:rFonts w:ascii="仿宋" w:eastAsia="仿宋" w:hint="eastAsia"/>
          <w:b w:val="0"/>
        </w:rPr>
        <w:t>一、收</w:t>
      </w:r>
      <w:r>
        <w:rPr>
          <w:rStyle w:val="2Char"/>
          <w:rFonts w:ascii="仿宋" w:eastAsia="仿宋" w:hint="eastAsia"/>
        </w:rPr>
        <w:t>入支出决算总表</w:t>
      </w:r>
      <w:bookmarkEnd w:id="61"/>
    </w:p>
    <w:p>
      <w:pPr>
        <w:pStyle w:val="2"/>
        <w:rPr>
          <w:rFonts w:ascii="仿宋" w:eastAsia="仿宋"/>
        </w:rPr>
      </w:pPr>
      <w:bookmarkStart w:id="62" w:name="_Toc15396620"/>
      <w:r>
        <w:rPr>
          <w:rFonts w:ascii="仿宋" w:eastAsia="仿宋" w:hint="eastAsia"/>
          <w:b w:val="0"/>
        </w:rPr>
        <w:t>二、收</w:t>
      </w:r>
      <w:r>
        <w:rPr>
          <w:rStyle w:val="2Char"/>
          <w:rFonts w:ascii="仿宋" w:eastAsia="仿宋" w:hint="eastAsia"/>
        </w:rPr>
        <w:t>入总表</w:t>
      </w:r>
      <w:bookmarkEnd w:id="62"/>
    </w:p>
    <w:p>
      <w:pPr>
        <w:pStyle w:val="2"/>
        <w:rPr>
          <w:rFonts w:ascii="仿宋" w:eastAsia="仿宋"/>
        </w:rPr>
      </w:pPr>
      <w:bookmarkStart w:id="63"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出总表</w:t>
      </w:r>
      <w:bookmarkEnd w:id="63"/>
    </w:p>
    <w:p>
      <w:pPr>
        <w:pStyle w:val="2"/>
        <w:rPr>
          <w:rFonts w:ascii="仿宋" w:eastAsia="仿宋"/>
          <w:b w:val="0"/>
        </w:rPr>
      </w:pPr>
      <w:bookmarkStart w:id="64"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64"/>
    </w:p>
    <w:p>
      <w:pPr>
        <w:pStyle w:val="2"/>
        <w:rPr>
          <w:rFonts w:ascii="仿宋" w:eastAsia="仿宋"/>
        </w:rPr>
      </w:pPr>
      <w:bookmarkStart w:id="65"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政拨款支出决算明细表（政府经济分类科目）</w:t>
      </w:r>
      <w:bookmarkEnd w:id="65"/>
    </w:p>
    <w:p>
      <w:pPr>
        <w:pStyle w:val="2"/>
        <w:rPr>
          <w:rFonts w:ascii="仿宋" w:eastAsia="仿宋"/>
        </w:rPr>
      </w:pPr>
      <w:bookmarkStart w:id="66" w:name="_Toc15396624"/>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66"/>
    </w:p>
    <w:p>
      <w:pPr>
        <w:pStyle w:val="2"/>
        <w:rPr>
          <w:rFonts w:ascii="仿宋" w:eastAsia="仿宋"/>
        </w:rPr>
      </w:pPr>
      <w:bookmarkStart w:id="67"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67"/>
    </w:p>
    <w:p>
      <w:pPr>
        <w:pStyle w:val="2"/>
        <w:rPr>
          <w:rFonts w:ascii="仿宋" w:eastAsia="仿宋"/>
        </w:rPr>
      </w:pPr>
      <w:bookmarkStart w:id="68"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68"/>
    </w:p>
    <w:p>
      <w:pPr>
        <w:pStyle w:val="2"/>
        <w:rPr>
          <w:rFonts w:ascii="仿宋" w:eastAsia="仿宋"/>
        </w:rPr>
      </w:pPr>
      <w:bookmarkStart w:id="69"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69"/>
    </w:p>
    <w:p>
      <w:pPr>
        <w:pStyle w:val="2"/>
        <w:rPr>
          <w:rFonts w:ascii="仿宋" w:eastAsia="仿宋"/>
        </w:rPr>
      </w:pPr>
      <w:bookmarkStart w:id="70" w:name="_Toc15396628"/>
      <w:r>
        <w:rPr>
          <w:rStyle w:val="2Char"/>
          <w:rFonts w:ascii="仿宋" w:eastAsia="仿宋" w:hint="eastAsia"/>
        </w:rPr>
        <w:t>十、</w:t>
      </w:r>
      <w:r>
        <w:rPr>
          <w:rFonts w:ascii="仿宋" w:eastAsia="仿宋" w:hint="eastAsia"/>
          <w:b w:val="0"/>
        </w:rPr>
        <w:t>一</w:t>
      </w:r>
      <w:r>
        <w:rPr>
          <w:rStyle w:val="2Char"/>
          <w:rFonts w:ascii="仿宋" w:eastAsia="仿宋" w:hint="eastAsia"/>
        </w:rPr>
        <w:t>般公共预算财政拨款“三公”经费支出决算表</w:t>
      </w:r>
      <w:bookmarkEnd w:id="70"/>
    </w:p>
    <w:p>
      <w:pPr>
        <w:pStyle w:val="2"/>
        <w:rPr>
          <w:rFonts w:ascii="仿宋" w:eastAsia="仿宋"/>
        </w:rPr>
      </w:pPr>
      <w:bookmarkStart w:id="71" w:name="_Toc15396629"/>
      <w:r>
        <w:rPr>
          <w:rStyle w:val="2Char"/>
          <w:rFonts w:ascii="仿宋" w:eastAsia="仿宋" w:hint="eastAsia"/>
        </w:rPr>
        <w:t>十一、</w:t>
      </w:r>
      <w:r>
        <w:rPr>
          <w:rFonts w:ascii="仿宋" w:eastAsia="仿宋" w:hint="eastAsia"/>
          <w:b w:val="0"/>
        </w:rPr>
        <w:t>政</w:t>
      </w:r>
      <w:r>
        <w:rPr>
          <w:rStyle w:val="2Char"/>
          <w:rFonts w:ascii="仿宋" w:eastAsia="仿宋" w:hint="eastAsia"/>
        </w:rPr>
        <w:t>府性基金预算财政拨款收入支出决算表</w:t>
      </w:r>
      <w:bookmarkEnd w:id="71"/>
    </w:p>
    <w:p>
      <w:pPr>
        <w:pStyle w:val="2"/>
        <w:rPr>
          <w:rFonts w:ascii="仿宋" w:eastAsia="仿宋"/>
        </w:rPr>
      </w:pPr>
      <w:bookmarkStart w:id="72" w:name="_Toc15396630"/>
      <w:r>
        <w:rPr>
          <w:rStyle w:val="2Char"/>
          <w:rFonts w:ascii="仿宋" w:eastAsia="仿宋" w:hint="eastAsia"/>
        </w:rPr>
        <w:t>十二、</w:t>
      </w:r>
      <w:r>
        <w:rPr>
          <w:rFonts w:ascii="仿宋" w:eastAsia="仿宋" w:hint="eastAsia"/>
          <w:b w:val="0"/>
        </w:rPr>
        <w:t>政</w:t>
      </w:r>
      <w:r>
        <w:rPr>
          <w:rStyle w:val="2Char"/>
          <w:rFonts w:ascii="仿宋" w:eastAsia="仿宋" w:hint="eastAsia"/>
        </w:rPr>
        <w:t>府性基金预算财政拨款“三公”经费支出决算表</w:t>
      </w:r>
      <w:bookmarkEnd w:id="72"/>
    </w:p>
    <w:p>
      <w:pPr>
        <w:pStyle w:val="2"/>
        <w:rPr>
          <w:rFonts w:ascii="仿宋" w:eastAsia="仿宋"/>
        </w:rPr>
      </w:pPr>
      <w:bookmarkStart w:id="73" w:name="_Toc15396631"/>
      <w:r>
        <w:rPr>
          <w:rStyle w:val="2Char"/>
          <w:rFonts w:ascii="仿宋" w:eastAsia="仿宋" w:hint="eastAsia"/>
        </w:rPr>
        <w:t>十三、</w:t>
      </w:r>
      <w:r>
        <w:rPr>
          <w:rFonts w:ascii="仿宋" w:eastAsia="仿宋" w:hint="eastAsia"/>
          <w:b w:val="0"/>
        </w:rPr>
        <w:t>国</w:t>
      </w:r>
      <w:r>
        <w:rPr>
          <w:rStyle w:val="2Char"/>
          <w:rFonts w:ascii="仿宋" w:eastAsia="仿宋" w:hint="eastAsia"/>
        </w:rPr>
        <w:t>有资本经营预算支出决算表</w:t>
      </w:r>
      <w:bookmarkEnd w:id="73"/>
    </w:p>
    <w:sectPr>
      <w:headerReference w:type="default" r:id="rId2"/>
      <w:footerReference w:type="default" r:id="rId3"/>
      <w:pgSz w:w="11906" w:h="16838"/>
      <w:pgMar w:top="1440" w:right="1588" w:bottom="1440" w:left="1588"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0000000000000000000"/>
    <w:charset w:val="86"/>
    <w:family w:val="auto"/>
    <w:pitch w:val="variable"/>
    <w:sig w:usb0="00000000" w:usb1="080E0000" w:usb2="00000010" w:usb3="00000000" w:csb0="00040000" w:csb1="00000000"/>
  </w:font>
  <w:font w:name="黑体">
    <w:altName w:val="文泉驿微米黑"/>
    <w:panose1 w:val="02010600030101010101"/>
    <w:charset w:val="86"/>
    <w:family w:val="modern"/>
    <w:pitch w:val="variable"/>
    <w:sig w:usb0="00000000" w:usb1="080E0000" w:usb2="00000010" w:usb3="00000000" w:csb0="00040000" w:csb1="00000000"/>
  </w:font>
  <w:font w:name="宋体">
    <w:altName w:val="文泉驿微米黑"/>
    <w:panose1 w:val="02010600030101010101"/>
    <w:charset w:val="86"/>
    <w:family w:val="auto"/>
    <w:pitch w:val="variable"/>
    <w:sig w:usb0="00000003" w:usb1="288F0000" w:usb2="00000016" w:usb3="00000000" w:csb0="00040001" w:csb1="00000000"/>
  </w:font>
  <w:font w:name="Arial">
    <w:altName w:val="DejaVu Sans"/>
    <w:panose1 w:val="020B0604020202020204"/>
    <w:charset w:val="00"/>
    <w:family w:val="swiss"/>
    <w:pitch w:val="variable"/>
    <w:sig w:usb0="E0002AFF" w:usb1="C0007843" w:usb2="00000009" w:usb3="00000000" w:csb0="000001FF" w:csb1="00000000"/>
  </w:font>
  <w:font w:name="仿宋">
    <w:altName w:val="仿宋_GB2312"/>
    <w:panose1 w:val="00000000000000000000"/>
    <w:charset w:val="86"/>
    <w:family w:val="modern"/>
    <w:pitch w:val="variable"/>
    <w:sig w:usb0="00000000" w:usb1="38CF7CFA"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pitch w:val="variable"/>
    <w:sig w:usb0="00000000" w:usb1="080E0000" w:usb2="00000010" w:usb3="00000000" w:csb0="00040000" w:csb1="00000000"/>
  </w:font>
  <w:font w:name="楷体_GB2312">
    <w:altName w:val="永中楷体"/>
    <w:panose1 w:val="00000000000000000000"/>
    <w:charset w:val="86"/>
    <w:family w:val="modern"/>
    <w:pitch w:val="variable"/>
    <w:sig w:usb0="00000000" w:usb1="080E0000" w:usb2="00000000" w:usb3="00000000" w:csb0="00040000" w:csb1="00000000"/>
  </w:font>
  <w:font w:name="microsoft yahei">
    <w:altName w:val="DejaVu Sans"/>
    <w:panose1 w:val="00000000000000000000"/>
    <w:charset w:val="00"/>
    <w:family w:val="auto"/>
    <w:pitch w:val="variable"/>
    <w:sig w:usb0="00000000" w:usb1="00000000" w:usb2="00000000" w:usb3="00000000" w:csb0="00000000" w:csb1="00000000"/>
  </w:font>
  <w:font w:name="Cambria">
    <w:altName w:val="DejaVu Sans"/>
    <w:panose1 w:val="02040503050406030204"/>
    <w:charset w:val="00"/>
    <w:family w:val="roman"/>
    <w:pitch w:val="variable"/>
    <w:sig w:usb0="E00002FF" w:usb1="400004FF" w:usb2="00000000" w:usb3="00000000" w:csb0="0000019F" w:csb1="00000000"/>
  </w:font>
  <w:font w:name="Calibri">
    <w:altName w:val="DejaVu Sans"/>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386074873"/>
      <w:docPartObj>
        <w:docPartGallery w:val="Page Numbers (Bottom of Page)"/>
        <w:docPartUnique/>
      </w:docPartObj>
    </w:sdtPr>
    <w:sdtContent>
      <w:p>
        <w:pPr>
          <w:pStyle w:val="16"/>
          <w:tabs>
            <w:tab w:val="center" w:pos="4153"/>
            <w:tab w:val="right" w:pos="8306"/>
          </w:tabs>
          <w:jc w:val="center"/>
        </w:pPr>
        <w:r>
          <w:fldChar w:fldCharType="begin"/>
        </w:r>
        <w:r>
          <w:instrText>PAGE   \* MERGEFORMAT</w:instrText>
        </w:r>
        <w:r>
          <w:fldChar w:fldCharType="separate"/>
        </w:r>
        <w:r>
          <w:rPr>
            <w:lang w:val="zh-CN"/>
          </w:rPr>
          <w:t>41</w:t>
        </w:r>
        <w:r>
          <w:fldChar w:fldCharType="end"/>
        </w:r>
      </w:p>
    </w:sdtContent>
  </w:sdt>
  <w:p>
    <w:pPr>
      <w:pStyle w:val="16"/>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612C61FC"/>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2">
    <w:nsid w:val="17F426B7"/>
    <w:multiLevelType w:val="hybridMultilevel"/>
    <w:tmpl w:val="5B3A2D48"/>
    <w:lvl w:ilvl="0">
      <w:start w:val="10"/>
      <w:numFmt w:val="japaneseCounting"/>
      <w:lvlRestart w:val="0"/>
      <w:lvlText w:val="%1、"/>
      <w:lvlJc w:val="left"/>
      <w:pPr>
        <w:tabs>
          <w:tab w:val="num" w:pos="0"/>
        </w:tabs>
        <w:ind w:left="1287" w:hanging="720"/>
      </w:pPr>
      <w:rPr>
        <w:rFonts w:hint="default"/>
      </w:rPr>
    </w:lvl>
    <w:lvl w:ilvl="1">
      <w:start w:val="1"/>
      <w:numFmt w:val="lowerLetter"/>
      <w:lvlText w:val="%2)"/>
      <w:lvlJc w:val="left"/>
      <w:pPr>
        <w:tabs>
          <w:tab w:val="num" w:pos="0"/>
        </w:tabs>
        <w:ind w:left="1407" w:hanging="420"/>
      </w:pPr>
    </w:lvl>
    <w:lvl w:ilvl="2">
      <w:start w:val="1"/>
      <w:numFmt w:val="lowerRoman"/>
      <w:lvlText w:val="%3."/>
      <w:lvlJc w:val="right"/>
      <w:pPr>
        <w:tabs>
          <w:tab w:val="num" w:pos="0"/>
        </w:tabs>
        <w:ind w:left="1827" w:hanging="420"/>
      </w:pPr>
    </w:lvl>
    <w:lvl w:ilvl="3">
      <w:start w:val="1"/>
      <w:numFmt w:val="decimal"/>
      <w:lvlText w:val="%4."/>
      <w:lvlJc w:val="left"/>
      <w:pPr>
        <w:tabs>
          <w:tab w:val="num" w:pos="0"/>
        </w:tabs>
        <w:ind w:left="2247" w:hanging="420"/>
      </w:pPr>
    </w:lvl>
    <w:lvl w:ilvl="4">
      <w:start w:val="1"/>
      <w:numFmt w:val="lowerLetter"/>
      <w:lvlText w:val="%5)"/>
      <w:lvlJc w:val="left"/>
      <w:pPr>
        <w:tabs>
          <w:tab w:val="num" w:pos="0"/>
        </w:tabs>
        <w:ind w:left="2667" w:hanging="420"/>
      </w:pPr>
    </w:lvl>
    <w:lvl w:ilvl="5">
      <w:start w:val="1"/>
      <w:numFmt w:val="lowerRoman"/>
      <w:lvlText w:val="%6."/>
      <w:lvlJc w:val="right"/>
      <w:pPr>
        <w:tabs>
          <w:tab w:val="num" w:pos="0"/>
        </w:tabs>
        <w:ind w:left="3087" w:hanging="420"/>
      </w:pPr>
    </w:lvl>
    <w:lvl w:ilvl="6">
      <w:start w:val="1"/>
      <w:numFmt w:val="decimal"/>
      <w:lvlText w:val="%7."/>
      <w:lvlJc w:val="left"/>
      <w:pPr>
        <w:tabs>
          <w:tab w:val="num" w:pos="0"/>
        </w:tabs>
        <w:ind w:left="3507" w:hanging="420"/>
      </w:pPr>
    </w:lvl>
    <w:lvl w:ilvl="7">
      <w:start w:val="1"/>
      <w:numFmt w:val="lowerLetter"/>
      <w:lvlText w:val="%8)"/>
      <w:lvlJc w:val="left"/>
      <w:pPr>
        <w:tabs>
          <w:tab w:val="num" w:pos="0"/>
        </w:tabs>
        <w:ind w:left="3927" w:hanging="420"/>
      </w:pPr>
    </w:lvl>
    <w:lvl w:ilvl="8">
      <w:start w:val="1"/>
      <w:numFmt w:val="lowerRoman"/>
      <w:lvlText w:val="%9."/>
      <w:lvlJc w:val="right"/>
      <w:pPr>
        <w:tabs>
          <w:tab w:val="num" w:pos="0"/>
        </w:tabs>
        <w:ind w:left="4347" w:hanging="420"/>
      </w:pPr>
    </w:lvl>
  </w:abstractNum>
  <w:abstractNum w:abstractNumId="3">
    <w:nsid w:val="EC0BEF30"/>
    <w:multiLevelType w:val="singleLevel"/>
    <w:tmpl w:val="7F9C15C0"/>
    <w:lvl w:ilvl="0">
      <w:start w:val="1"/>
      <w:numFmt w:val="chineseCounting"/>
      <w:lvlRestart w:val="0"/>
      <w:suff w:val="nothing"/>
      <w:lvlText w:val="（%1）"/>
      <w:lvlJc w:val="left"/>
      <w:pPr>
        <w:tabs>
          <w:tab w:val="num" w:pos="0"/>
        </w:tabs>
        <w:ind w:left="0" w:hanging="0"/>
      </w:pPr>
      <w:rPr>
        <w:rFonts w:ascii="宋体" w:hAnsi="宋体" w:eastAsia="宋体" w:cs="楷体_GB2312" w:hint="eastAsia"/>
        <w:b/>
        <w:bCs/>
        <w:sz w:val="32"/>
        <w:szCs w:val="32"/>
      </w:rPr>
    </w:lvl>
  </w:abstractNum>
  <w:abstractNum w:abstractNumId="4">
    <w:nsid w:val="E2FA047D"/>
    <w:multiLevelType w:val="singleLevel"/>
    <w:tmpl w:val="E2FA047D"/>
    <w:lvl w:ilvl="0">
      <w:start w:val="3"/>
      <w:numFmt w:val="chineseCounting"/>
      <w:lvlRestart w:val="0"/>
      <w:suff w:val="space"/>
      <w:lvlText w:val="第%1部分"/>
      <w:lvlJc w:val="left"/>
      <w:pPr>
        <w:tabs>
          <w:tab w:val="num" w:pos="0"/>
        </w:tabs>
        <w:ind w:left="0" w:hanging="0"/>
      </w:pPr>
      <w:rPr>
        <w:rFonts w:hint="eastAsia"/>
      </w:rPr>
    </w:lvl>
  </w:abstractNum>
  <w:abstractNum w:abstractNumId="5">
    <w:nsid w:val="951FFE38"/>
    <w:multiLevelType w:val="singleLevel"/>
    <w:tmpl w:val="951FFE38"/>
    <w:lvl w:ilvl="0">
      <w:start w:val="1"/>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footer"/>
    <w:basedOn w:val="0"/>
    <w:pPr>
      <w:tabs>
        <w:tab w:val="center" w:pos="4153"/>
        <w:tab w:val="right" w:pos="8306"/>
      </w:tabs>
      <w:snapToGrid w:val="0"/>
      <w:jc w:val="left"/>
    </w:pPr>
    <w:rPr>
      <w:rFonts w:ascii="Calibri" w:hAnsi="Calibri"/>
      <w:kern w:val="0"/>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character" w:styleId="18">
    <w:name w:val="Strong"/>
    <w:basedOn w:val="10"/>
    <w:rPr>
      <w:b/>
    </w:rPr>
  </w:style>
  <w:style w:type="character" w:customStyle="1" w:styleId="19">
    <w:name w:val="Header Char"/>
    <w:basedOn w:val="10"/>
    <w:rPr>
      <w:rFonts w:ascii="Times New Roman" w:hAnsi="Times New Roman"/>
      <w:sz w:val="18"/>
      <w:szCs w:val="18"/>
    </w:rPr>
  </w:style>
  <w:style w:type="character" w:customStyle="1" w:styleId="20">
    <w:name w:val="Footer Char"/>
    <w:basedOn w:val="10"/>
    <w:rPr>
      <w:rFonts w:ascii="Times New Roman" w:hAnsi="Times New Roman"/>
      <w:sz w:val="18"/>
      <w:szCs w:val="18"/>
    </w:rPr>
  </w:style>
  <w:style w:type="character" w:customStyle="1" w:styleId="21">
    <w:name w:val="Body Text Char"/>
    <w:basedOn w:val="10"/>
    <w:rPr>
      <w:rFonts w:ascii="Times New Roman" w:hAnsi="Times New Roman"/>
      <w:szCs w:val="24"/>
    </w:rPr>
  </w:style>
  <w:style w:type="paragraph" w:customStyle="1" w:styleId="22">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3">
    <w:name w:val="List Paragraph"/>
    <w:basedOn w:val="0"/>
    <w:pPr>
      <w:ind w:firstLineChars="200" w:firstLine="200"/>
    </w:pPr>
  </w:style>
  <w:style w:type="paragraph" w:styleId="24">
    <w:name w:val="TOC Heading"/>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styleId="25">
    <w:name w:val="toc 1"/>
    <w:basedOn w:val="0"/>
    <w:autoRedefine/>
    <w:next w:val="0"/>
    <w:pPr>
      <w:tabs>
        <w:tab w:val="right" w:leader="dot" w:pos="8296"/>
      </w:tabs>
      <w:spacing w:before="93"/>
      <w:jc w:val="center"/>
    </w:pPr>
    <w:rPr>
      <w:rFonts w:ascii="仿宋" w:eastAsia="仿宋"/>
      <w:sz w:val="28"/>
      <w:szCs w:val="28"/>
    </w:rPr>
  </w:style>
  <w:style w:type="paragraph" w:styleId="26">
    <w:name w:val="toc 2"/>
    <w:basedOn w:val="0"/>
    <w:autoRedefine/>
    <w:next w:val="0"/>
    <w:pPr>
      <w:tabs>
        <w:tab w:val="right" w:leader="dot" w:pos="8296"/>
      </w:tabs>
      <w:ind w:leftChars="200" w:left="200"/>
    </w:pPr>
  </w:style>
  <w:style w:type="paragraph" w:styleId="27">
    <w:name w:val="toc 3"/>
    <w:basedOn w:val="0"/>
    <w:autoRedefine/>
    <w:next w:val="0"/>
    <w:pPr>
      <w:tabs>
        <w:tab w:val="right" w:leader="dot" w:pos="8296"/>
      </w:tabs>
      <w:ind w:leftChars="400" w:left="400"/>
    </w:pPr>
  </w:style>
  <w:style w:type="character" w:styleId="28">
    <w:name w:val="Hyperlink"/>
    <w:basedOn w:val="10"/>
    <w:rPr>
      <w:color w:val="0000FF"/>
      <w:u w:val="single"/>
    </w:rPr>
  </w:style>
  <w:style w:type="paragraph" w:styleId="29">
    <w:name w:val="Balloon Text"/>
    <w:basedOn w:val="0"/>
    <w:rPr>
      <w:sz w:val="18"/>
      <w:szCs w:val="18"/>
    </w:rPr>
  </w:style>
  <w:style w:type="paragraph" w:styleId="30">
    <w:name w:val="Normal (Web)"/>
    <w:basedOn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1752</TotalTime>
  <Application>Yozo_Office27021597764231179</Application>
  <Pages>1</Pages>
  <Words>0</Words>
  <Characters>0</Characters>
  <Lines>1</Lines>
  <Paragraphs>0</Paragraphs>
  <CharactersWithSpaces>0</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297</cp:revision>
  <cp:lastPrinted>2019-09-12T03:47:00Z</cp:lastPrinted>
  <dcterms:created xsi:type="dcterms:W3CDTF">2019-08-01T01:14:00Z</dcterms:created>
  <dcterms:modified xsi:type="dcterms:W3CDTF">2021-12-09T03:20:47Z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2052-11.1.0.8894</vt:lpwstr>
  </property>
</Properties>
</file>