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center"/>
        <w:outlineLvl w:val="0"/>
        <w:rPr>
          <w:rFonts w:ascii="方正小标宋简体" w:eastAsia="方正小标宋简体"/>
          <w:color w:val="000000"/>
          <w:sz w:val="72"/>
          <w:szCs w:val="72"/>
        </w:rPr>
      </w:pPr>
      <w:bookmarkStart w:id="0" w:name="_Toc15306267"/>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adjustRightInd w:val="0"/>
        <w:snapToGrid w:val="0"/>
        <w:spacing w:line="360" w:lineRule="auto"/>
        <w:jc w:val="center"/>
        <w:outlineLvl w:val="0"/>
        <w:rPr>
          <w:rFonts w:ascii="方正小标宋简体" w:eastAsia="方正小标宋简体"/>
          <w:color w:val="000000"/>
          <w:sz w:val="72"/>
          <w:szCs w:val="72"/>
        </w:rPr>
      </w:pPr>
      <w:bookmarkStart w:id="1" w:name="_Toc15396475"/>
      <w:bookmarkStart w:id="2" w:name="_Toc15377425"/>
      <w:bookmarkStart w:id="3" w:name="_Toc15396597"/>
      <w:bookmarkStart w:id="4" w:name="_Toc15378441"/>
      <w:bookmarkStart w:id="5" w:name="_Toc15377193"/>
      <w:r>
        <w:rPr>
          <w:rFonts w:ascii="黑体" w:eastAsia="黑体"/>
          <w:color w:val="000000"/>
          <w:sz w:val="72"/>
          <w:szCs w:val="72"/>
        </w:rPr>
        <w:t>201</w:t>
      </w:r>
      <w:r>
        <w:rPr>
          <w:rFonts w:ascii="黑体" w:eastAsia="黑体" w:hint="eastAsia"/>
          <w:color w:val="000000"/>
          <w:sz w:val="72"/>
          <w:szCs w:val="72"/>
        </w:rPr>
        <w:t>8</w:t>
      </w:r>
      <w:r>
        <w:rPr>
          <w:rFonts w:ascii="方正小标宋简体" w:eastAsia="方正小标宋简体" w:hint="eastAsia"/>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eastAsia="方正小标宋简体"/>
          <w:color w:val="000000"/>
          <w:sz w:val="72"/>
          <w:szCs w:val="72"/>
        </w:rPr>
      </w:pPr>
      <w:bookmarkStart w:id="6" w:name="_Toc15378442"/>
      <w:bookmarkStart w:id="7" w:name="_Toc15396476"/>
      <w:bookmarkStart w:id="8" w:name="_Toc15396598"/>
      <w:bookmarkStart w:id="9" w:name="_Toc15377194"/>
      <w:bookmarkStart w:id="10" w:name="_Toc15377426"/>
      <w:r>
        <w:rPr>
          <w:rFonts w:ascii="方正小标宋简体" w:eastAsia="方正小标宋简体" w:hint="eastAsia"/>
          <w:color w:val="000000"/>
          <w:sz w:val="72"/>
          <w:szCs w:val="72"/>
        </w:rPr>
        <w:t>四川省</w:t>
      </w:r>
      <w:bookmarkStart w:id="11" w:name="_Toc15306268"/>
      <w:bookmarkEnd w:id="0"/>
      <w:r>
        <w:rPr>
          <w:rFonts w:ascii="方正小标宋简体" w:eastAsia="方正小标宋简体" w:hint="eastAsia"/>
          <w:color w:val="000000"/>
          <w:sz w:val="72"/>
          <w:szCs w:val="72"/>
        </w:rPr>
        <w:t>达州市达川区洛车乡人民政府部门决算</w:t>
      </w:r>
      <w:bookmarkEnd w:id="6"/>
      <w:bookmarkEnd w:id="7"/>
      <w:bookmarkEnd w:id="8"/>
      <w:bookmarkEnd w:id="9"/>
      <w:bookmarkEnd w:id="10"/>
      <w:bookmarkEnd w:id="11"/>
    </w:p>
    <w:p>
      <w:pPr>
        <w:widowControl/>
        <w:jc w:val="center"/>
        <w:rPr>
          <w:rFonts w:ascii="黑体" w:eastAsia="黑体"/>
          <w:color w:val="000000"/>
          <w:sz w:val="48"/>
          <w:szCs w:val="48"/>
        </w:rPr>
      </w:pPr>
      <w:r>
        <w:rPr>
          <w:rFonts w:ascii="方正小标宋简体" w:eastAsia="方正小标宋简体"/>
          <w:color w:val="000000"/>
          <w:sz w:val="36"/>
          <w:szCs w:val="36"/>
        </w:rPr>
        <w:br w:type="page"/>
      </w:r>
      <w:r>
        <w:rPr>
          <w:rFonts w:ascii="黑体" w:eastAsia="黑体" w:hint="eastAsia"/>
          <w:color w:val="000000"/>
          <w:sz w:val="48"/>
          <w:szCs w:val="48"/>
        </w:rPr>
        <w:t>目录</w:t>
      </w:r>
    </w:p>
    <w:p>
      <w:pPr>
        <w:widowControl/>
        <w:jc w:val="center"/>
        <w:rPr>
          <w:rFonts w:ascii="黑体" w:eastAsia="黑体" w:cs="Arial"/>
          <w:sz w:val="28"/>
          <w:szCs w:val="28"/>
        </w:rPr>
      </w:pPr>
      <w:r>
        <w:rPr>
          <w:rFonts w:ascii="黑体" w:eastAsia="黑体"/>
          <w:color w:val="000000"/>
          <w:sz w:val="48"/>
          <w:szCs w:val="48"/>
        </w:rPr>
        <w:fldChar w:fldCharType="begin"/>
      </w:r>
      <w:r>
        <w:rPr>
          <w:rFonts w:ascii="黑体" w:eastAsia="黑体"/>
          <w:color w:val="000000"/>
          <w:sz w:val="48"/>
          <w:szCs w:val="48"/>
        </w:rPr>
        <w:instrText xml:space="preserve"> TOC \o "1-2" \h \z \u </w:instrText>
      </w:r>
      <w:r>
        <w:rPr>
          <w:rFonts w:ascii="黑体" w:eastAsia="黑体"/>
          <w:color w:val="000000"/>
          <w:sz w:val="48"/>
          <w:szCs w:val="48"/>
        </w:rPr>
        <w:fldChar w:fldCharType="separate"/>
      </w:r>
    </w:p>
    <w:p>
      <w:pPr>
        <w:pStyle w:val="20"/>
        <w:tabs>
          <w:tab w:val="right" w:leader="dot" w:pos="8296"/>
        </w:tabs>
      </w:pPr>
      <w:r>
        <w:rPr>
          <w:rFonts w:hint="eastAsia"/>
        </w:rPr>
        <w:t>公开时间：2019年</w:t>
      </w:r>
      <w:r>
        <w:t>9</w:t>
      </w:r>
      <w:r>
        <w:rPr>
          <w:rFonts w:hint="eastAsia"/>
        </w:rPr>
        <w:t>月</w:t>
      </w:r>
      <w:r>
        <w:t>11</w:t>
      </w:r>
      <w:r>
        <w:rPr>
          <w:rFonts w:hint="eastAsia"/>
        </w:rPr>
        <w:t>日</w:t>
      </w:r>
    </w:p>
    <w:p/>
    <w:p>
      <w:pPr>
        <w:pStyle w:val="20"/>
        <w:tabs>
          <w:tab w:val="right" w:leader="dot" w:pos="8296"/>
        </w:tabs>
        <w:rPr>
          <w:rFonts w:cs="Arial"/>
        </w:rPr>
      </w:pPr>
      <w:r>
        <w:fldChar w:fldCharType="begin"/>
      </w:r>
      <w:r>
        <w:instrText xml:space="preserve"> HYPERLINK \l "_Toc15396599" </w:instrText>
      </w:r>
      <w:r>
        <w:fldChar w:fldCharType="separate"/>
      </w:r>
      <w:r>
        <w:rPr>
          <w:rFonts w:hint="eastAsia"/>
        </w:rPr>
        <w:t>第一部分部门概况</w:t>
      </w:r>
      <w:r>
        <w:tab/>
      </w:r>
      <w:r>
        <w:rPr>
          <w:rFonts w:hint="eastAsia"/>
        </w:rPr>
        <w:t>4</w:t>
      </w:r>
      <w:r>
        <w:rPr>
          <w:rFonts w:hint="eastAsia"/>
        </w:rPr>
        <w:fldChar w:fldCharType="end"/>
      </w:r>
    </w:p>
    <w:p>
      <w:pPr>
        <w:pStyle w:val="21"/>
        <w:tabs>
          <w:tab w:val="right" w:leader="dot" w:pos="8296"/>
        </w:tabs>
        <w:rPr>
          <w:rFonts w:ascii="仿宋" w:eastAsia="仿宋" w:cs="Arial"/>
          <w:sz w:val="28"/>
          <w:szCs w:val="28"/>
        </w:rPr>
      </w:pPr>
      <w:r>
        <w:fldChar w:fldCharType="begin"/>
      </w:r>
      <w:r>
        <w:instrText xml:space="preserve"> HYPERLINK \l "_Toc15396600" </w:instrText>
      </w:r>
      <w:r>
        <w:fldChar w:fldCharType="separate"/>
      </w:r>
      <w:r>
        <w:rPr>
          <w:rFonts w:ascii="仿宋" w:eastAsia="仿宋" w:hint="eastAsia"/>
          <w:sz w:val="28"/>
          <w:szCs w:val="28"/>
        </w:rPr>
        <w:t>一、基本职能及主要工作</w:t>
      </w:r>
      <w:r>
        <w:rPr>
          <w:rFonts w:ascii="仿宋" w:eastAsia="仿宋"/>
          <w:sz w:val="28"/>
          <w:szCs w:val="28"/>
        </w:rPr>
        <w:tab/>
      </w:r>
      <w:r>
        <w:rPr>
          <w:rFonts w:ascii="仿宋" w:eastAsia="仿宋" w:hint="eastAsia"/>
          <w:sz w:val="28"/>
          <w:szCs w:val="28"/>
        </w:rPr>
        <w:t>4</w:t>
      </w:r>
      <w:r>
        <w:rPr>
          <w:rFonts w:ascii="仿宋" w:eastAsia="仿宋" w:hint="eastAsia"/>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"_Toc15396601" </w:instrText>
      </w:r>
      <w:r>
        <w:fldChar w:fldCharType="separate"/>
      </w:r>
      <w:r>
        <w:rPr>
          <w:rFonts w:ascii="仿宋" w:eastAsia="仿宋" w:hint="eastAsia"/>
          <w:sz w:val="28"/>
          <w:szCs w:val="28"/>
        </w:rPr>
        <w:t>二、机构设置</w:t>
      </w:r>
      <w:r>
        <w:rPr>
          <w:rFonts w:ascii="仿宋" w:eastAsia="仿宋"/>
          <w:sz w:val="28"/>
          <w:szCs w:val="28"/>
        </w:rPr>
        <w:tab/>
      </w:r>
      <w:r>
        <w:rPr>
          <w:rFonts w:ascii="仿宋" w:eastAsia="仿宋" w:hint="eastAsia"/>
          <w:sz w:val="28"/>
          <w:szCs w:val="28"/>
          <w:lang w:val="en-US" w:eastAsia="zh-CN"/>
        </w:rPr>
        <w:t>7</w:t>
      </w:r>
      <w:r>
        <w:rPr>
          <w:rFonts w:ascii="仿宋" w:eastAsia="仿宋"/>
          <w:sz w:val="28"/>
          <w:szCs w:val="28"/>
        </w:rPr>
        <w:fldChar w:fldCharType="end"/>
      </w:r>
    </w:p>
    <w:p>
      <w:pPr>
        <w:pStyle w:val="20"/>
        <w:tabs>
          <w:tab w:val="right" w:leader="dot" w:pos="8296"/>
        </w:tabs>
      </w:pPr>
      <w:r>
        <w:fldChar w:fldCharType="begin"/>
      </w:r>
      <w:r>
        <w:instrText xml:space="preserve"> HYPERLINK \l "_Toc15396602" </w:instrText>
      </w:r>
      <w:r>
        <w:fldChar w:fldCharType="separate"/>
      </w:r>
      <w:r>
        <w:rPr>
          <w:rFonts w:hint="eastAsia"/>
        </w:rPr>
        <w:t>第二部分</w:t>
      </w:r>
      <w:r>
        <w:t xml:space="preserve"> 2018</w:t>
      </w:r>
      <w:r>
        <w:rPr>
          <w:rFonts w:hint="eastAsia"/>
        </w:rPr>
        <w:t>年度部门决算情况说明</w:t>
      </w:r>
      <w:r>
        <w:tab/>
      </w:r>
      <w:r>
        <w:rPr>
          <w:rFonts w:hint="eastAsia"/>
          <w:lang w:val="en-US" w:eastAsia="zh-CN"/>
        </w:rPr>
        <w:t>8</w:t>
      </w:r>
      <w:r>
        <w:fldChar w:fldCharType="end"/>
      </w:r>
    </w:p>
    <w:p>
      <w:pPr>
        <w:pStyle w:val="21"/>
        <w:tabs>
          <w:tab w:val="right" w:leader="dot" w:pos="8296"/>
        </w:tabs>
        <w:rPr>
          <w:rFonts w:ascii="仿宋" w:eastAsia="仿宋" w:cs="Arial"/>
          <w:sz w:val="28"/>
          <w:szCs w:val="28"/>
        </w:rPr>
      </w:pPr>
      <w:r>
        <w:fldChar w:fldCharType="begin"/>
      </w:r>
      <w:r>
        <w:instrText xml:space="preserve"> HYPERLINK \l "_Toc15396603" </w:instrText>
      </w:r>
      <w:r>
        <w:fldChar w:fldCharType="separate"/>
      </w:r>
      <w:r>
        <w:rPr>
          <w:rFonts w:ascii="仿宋" w:eastAsia="仿宋" w:cs="Times New Roman" w:hint="eastAsia"/>
          <w:bCs/>
          <w:sz w:val="28"/>
          <w:szCs w:val="28"/>
        </w:rPr>
        <w:t>一、</w:t>
      </w:r>
      <w:r>
        <w:rPr>
          <w:rFonts w:ascii="仿宋" w:eastAsia="仿宋" w:hint="eastAsia"/>
          <w:sz w:val="28"/>
          <w:szCs w:val="28"/>
        </w:rPr>
        <w:t>收</w:t>
      </w:r>
      <w:r>
        <w:rPr>
          <w:rFonts w:ascii="仿宋" w:eastAsia="仿宋" w:cs="Times New Roman" w:hint="eastAsia"/>
          <w:bCs/>
          <w:sz w:val="28"/>
          <w:szCs w:val="28"/>
        </w:rPr>
        <w:t>入支出决算总体情况说明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_Toc15396603 \h </w:instrText>
      </w:r>
      <w:r>
        <w:rPr>
          <w:rFonts w:ascii="仿宋" w:eastAsia="仿宋"/>
          <w:sz w:val="28"/>
          <w:szCs w:val="28"/>
        </w:rPr>
        <w:fldChar w:fldCharType="separate"/>
      </w:r>
      <w:r>
        <w:rPr>
          <w:rFonts w:ascii="仿宋" w:eastAsia="仿宋"/>
          <w:sz w:val="28"/>
          <w:szCs w:val="28"/>
        </w:rPr>
        <w:t>8</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"_Toc15396604" </w:instrText>
      </w:r>
      <w:r>
        <w:fldChar w:fldCharType="separate"/>
      </w:r>
      <w:r>
        <w:rPr>
          <w:rFonts w:ascii="仿宋" w:eastAsia="仿宋" w:cs="Times New Roman" w:hint="eastAsia"/>
          <w:bCs/>
          <w:sz w:val="28"/>
          <w:szCs w:val="28"/>
        </w:rPr>
        <w:t>二、</w:t>
      </w:r>
      <w:r>
        <w:rPr>
          <w:rFonts w:ascii="仿宋" w:eastAsia="仿宋" w:hint="eastAsia"/>
          <w:sz w:val="28"/>
          <w:szCs w:val="28"/>
        </w:rPr>
        <w:t>收</w:t>
      </w:r>
      <w:r>
        <w:rPr>
          <w:rFonts w:ascii="仿宋" w:eastAsia="仿宋" w:cs="Times New Roman" w:hint="eastAsia"/>
          <w:bCs/>
          <w:sz w:val="28"/>
          <w:szCs w:val="28"/>
        </w:rPr>
        <w:t>入决算情况说明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_Toc15396604 \h </w:instrText>
      </w:r>
      <w:r>
        <w:rPr>
          <w:rFonts w:ascii="仿宋" w:eastAsia="仿宋"/>
          <w:sz w:val="28"/>
          <w:szCs w:val="28"/>
        </w:rPr>
        <w:fldChar w:fldCharType="separate"/>
      </w:r>
      <w:r>
        <w:rPr>
          <w:rFonts w:ascii="仿宋" w:eastAsia="仿宋"/>
          <w:sz w:val="28"/>
          <w:szCs w:val="28"/>
        </w:rPr>
        <w:t>8</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"_Toc15396605" </w:instrText>
      </w:r>
      <w:r>
        <w:fldChar w:fldCharType="separate"/>
      </w:r>
      <w:r>
        <w:rPr>
          <w:rFonts w:ascii="仿宋" w:eastAsia="仿宋" w:cs="Times New Roman" w:hint="eastAsia"/>
          <w:bCs/>
          <w:sz w:val="28"/>
          <w:szCs w:val="28"/>
        </w:rPr>
        <w:t>三、</w:t>
      </w:r>
      <w:r>
        <w:rPr>
          <w:rFonts w:ascii="仿宋" w:eastAsia="仿宋" w:hint="eastAsia"/>
          <w:sz w:val="28"/>
          <w:szCs w:val="28"/>
        </w:rPr>
        <w:t>支</w:t>
      </w:r>
      <w:r>
        <w:rPr>
          <w:rFonts w:ascii="仿宋" w:eastAsia="仿宋" w:cs="Times New Roman" w:hint="eastAsia"/>
          <w:bCs/>
          <w:sz w:val="28"/>
          <w:szCs w:val="28"/>
        </w:rPr>
        <w:t>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_Toc15396605 \h </w:instrText>
      </w:r>
      <w:r>
        <w:rPr>
          <w:rFonts w:ascii="仿宋" w:eastAsia="仿宋"/>
          <w:sz w:val="28"/>
          <w:szCs w:val="28"/>
        </w:rPr>
        <w:fldChar w:fldCharType="separate"/>
      </w:r>
      <w:r>
        <w:rPr>
          <w:rFonts w:ascii="仿宋" w:eastAsia="仿宋"/>
          <w:sz w:val="28"/>
          <w:szCs w:val="28"/>
        </w:rPr>
        <w:t>8</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"_Toc15396606" </w:instrText>
      </w:r>
      <w:r>
        <w:fldChar w:fldCharType="separate"/>
      </w:r>
      <w:r>
        <w:rPr>
          <w:rFonts w:ascii="仿宋" w:eastAsia="仿宋" w:hint="eastAsia"/>
          <w:sz w:val="28"/>
          <w:szCs w:val="28"/>
        </w:rPr>
        <w:t>四、财</w:t>
      </w:r>
      <w:r>
        <w:rPr>
          <w:rFonts w:ascii="仿宋" w:eastAsia="仿宋" w:cs="Times New Roman" w:hint="eastAsia"/>
          <w:bCs/>
          <w:sz w:val="28"/>
          <w:szCs w:val="28"/>
        </w:rPr>
        <w:t>政拨款收入支出决算总体情况说明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_Toc15396606 \h </w:instrText>
      </w:r>
      <w:r>
        <w:rPr>
          <w:rFonts w:ascii="仿宋" w:eastAsia="仿宋"/>
          <w:sz w:val="28"/>
          <w:szCs w:val="28"/>
        </w:rPr>
        <w:fldChar w:fldCharType="separate"/>
      </w:r>
      <w:r>
        <w:rPr>
          <w:rFonts w:ascii="仿宋" w:eastAsia="仿宋"/>
          <w:sz w:val="28"/>
          <w:szCs w:val="28"/>
        </w:rPr>
        <w:t>8</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"_Toc15396607" </w:instrText>
      </w:r>
      <w:r>
        <w:fldChar w:fldCharType="separate"/>
      </w:r>
      <w:r>
        <w:rPr>
          <w:rFonts w:ascii="仿宋" w:eastAsia="仿宋" w:hint="eastAsia"/>
          <w:sz w:val="28"/>
          <w:szCs w:val="28"/>
        </w:rPr>
        <w:t>五、一</w:t>
      </w:r>
      <w:r>
        <w:rPr>
          <w:rFonts w:ascii="仿宋" w:eastAsia="仿宋" w:cs="Times New Roman" w:hint="eastAsia"/>
          <w:bCs/>
          <w:sz w:val="28"/>
          <w:szCs w:val="28"/>
        </w:rPr>
        <w:t>般公共预算财政拨款支出决算情况说明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_Toc15396607 \h </w:instrText>
      </w:r>
      <w:r>
        <w:rPr>
          <w:rFonts w:ascii="仿宋" w:eastAsia="仿宋"/>
          <w:sz w:val="28"/>
          <w:szCs w:val="28"/>
        </w:rPr>
        <w:fldChar w:fldCharType="separate"/>
      </w:r>
      <w:r>
        <w:rPr>
          <w:rFonts w:ascii="仿宋" w:eastAsia="仿宋"/>
          <w:sz w:val="28"/>
          <w:szCs w:val="28"/>
        </w:rPr>
        <w:t>8</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"_Toc15396608" </w:instrText>
      </w:r>
      <w:r>
        <w:fldChar w:fldCharType="separate"/>
      </w:r>
      <w:r>
        <w:rPr>
          <w:rFonts w:ascii="仿宋" w:eastAsia="仿宋" w:hint="eastAsia"/>
          <w:sz w:val="28"/>
          <w:szCs w:val="28"/>
        </w:rPr>
        <w:t>六、一</w:t>
      </w:r>
      <w:r>
        <w:rPr>
          <w:rFonts w:ascii="仿宋" w:eastAsia="仿宋" w:cs="Times New Roman" w:hint="eastAsia"/>
          <w:bCs/>
          <w:sz w:val="28"/>
          <w:szCs w:val="28"/>
        </w:rPr>
        <w:t>般公共预算财政拨款基本支出决算情况说明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_Toc15396608 \h </w:instrText>
      </w:r>
      <w:r>
        <w:rPr>
          <w:rFonts w:ascii="仿宋" w:eastAsia="仿宋"/>
          <w:sz w:val="28"/>
          <w:szCs w:val="28"/>
        </w:rPr>
        <w:fldChar w:fldCharType="separate"/>
      </w:r>
      <w:r>
        <w:rPr>
          <w:rFonts w:ascii="仿宋" w:eastAsia="仿宋"/>
          <w:sz w:val="28"/>
          <w:szCs w:val="28"/>
        </w:rPr>
        <w:t>12</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"_Toc15396609" </w:instrText>
      </w:r>
      <w:r>
        <w:fldChar w:fldCharType="separate"/>
      </w:r>
      <w:r>
        <w:rPr>
          <w:rFonts w:ascii="仿宋" w:eastAsia="仿宋" w:hint="eastAsia"/>
          <w:sz w:val="28"/>
          <w:szCs w:val="28"/>
        </w:rPr>
        <w:t>七、</w:t>
      </w:r>
      <w:r>
        <w:rPr>
          <w:rFonts w:ascii="仿宋" w:eastAsia="仿宋"/>
          <w:sz w:val="28"/>
          <w:szCs w:val="28"/>
        </w:rPr>
        <w:t>“</w:t>
      </w:r>
      <w:r>
        <w:rPr>
          <w:rFonts w:ascii="仿宋" w:eastAsia="仿宋" w:cs="Times New Roman" w:hint="eastAsia"/>
          <w:bCs/>
          <w:sz w:val="28"/>
          <w:szCs w:val="28"/>
        </w:rPr>
        <w:t>三公”经费财政拨款支出决算情况说明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_Toc15396609 \h </w:instrText>
      </w:r>
      <w:r>
        <w:rPr>
          <w:rFonts w:ascii="仿宋" w:eastAsia="仿宋"/>
          <w:sz w:val="28"/>
          <w:szCs w:val="28"/>
        </w:rPr>
        <w:fldChar w:fldCharType="separate"/>
      </w:r>
      <w:r>
        <w:rPr>
          <w:rFonts w:ascii="仿宋" w:eastAsia="仿宋"/>
          <w:sz w:val="28"/>
          <w:szCs w:val="28"/>
        </w:rPr>
        <w:t>13</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"_Toc15396610" </w:instrText>
      </w:r>
      <w:r>
        <w:fldChar w:fldCharType="separate"/>
      </w:r>
      <w:r>
        <w:rPr>
          <w:rFonts w:ascii="仿宋" w:eastAsia="仿宋" w:hint="eastAsia"/>
          <w:sz w:val="28"/>
          <w:szCs w:val="28"/>
        </w:rPr>
        <w:t>八、</w:t>
      </w:r>
      <w:r>
        <w:rPr>
          <w:rFonts w:ascii="仿宋" w:eastAsia="仿宋" w:cs="Times New Roman" w:hint="eastAsia"/>
          <w:bCs/>
          <w:sz w:val="28"/>
          <w:szCs w:val="28"/>
        </w:rPr>
        <w:t>政府性基金预算支出决算情况说明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_Toc15396610 \h </w:instrText>
      </w:r>
      <w:r>
        <w:rPr>
          <w:rFonts w:ascii="仿宋" w:eastAsia="仿宋"/>
          <w:sz w:val="28"/>
          <w:szCs w:val="28"/>
        </w:rPr>
        <w:fldChar w:fldCharType="separate"/>
      </w:r>
      <w:r>
        <w:rPr>
          <w:rFonts w:ascii="仿宋" w:eastAsia="仿宋"/>
          <w:sz w:val="28"/>
          <w:szCs w:val="28"/>
        </w:rPr>
        <w:t>15</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"_Toc15396611" </w:instrText>
      </w:r>
      <w:r>
        <w:fldChar w:fldCharType="separate"/>
      </w:r>
      <w:r>
        <w:rPr>
          <w:rFonts w:ascii="仿宋" w:eastAsia="仿宋" w:cs="Times New Roman" w:hint="eastAsia"/>
          <w:bCs/>
          <w:sz w:val="28"/>
          <w:szCs w:val="28"/>
        </w:rPr>
        <w:t>九、</w:t>
      </w:r>
      <w:r>
        <w:rPr>
          <w:rFonts w:ascii="仿宋" w:eastAsia="仿宋" w:hint="eastAsia"/>
          <w:sz w:val="28"/>
          <w:szCs w:val="28"/>
        </w:rPr>
        <w:t xml:space="preserve"> 国</w:t>
      </w:r>
      <w:r>
        <w:rPr>
          <w:rFonts w:ascii="仿宋" w:eastAsia="仿宋" w:cs="Times New Roman" w:hint="eastAsia"/>
          <w:bCs/>
          <w:sz w:val="28"/>
          <w:szCs w:val="28"/>
        </w:rPr>
        <w:t>有资本经营预算支出决算情况说明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_Toc15396611 \h </w:instrText>
      </w:r>
      <w:r>
        <w:rPr>
          <w:rFonts w:ascii="仿宋" w:eastAsia="仿宋"/>
          <w:sz w:val="28"/>
          <w:szCs w:val="28"/>
        </w:rPr>
        <w:fldChar w:fldCharType="separate"/>
      </w:r>
      <w:r>
        <w:rPr>
          <w:rFonts w:ascii="仿宋" w:eastAsia="仿宋"/>
          <w:sz w:val="28"/>
          <w:szCs w:val="28"/>
        </w:rPr>
        <w:t>15</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pPr>
      <w:r>
        <w:fldChar w:fldCharType="begin"/>
      </w:r>
      <w:r>
        <w:instrText xml:space="preserve"> HYPERLINK \l "_Toc15396611" </w:instrText>
      </w:r>
      <w:r>
        <w:fldChar w:fldCharType="separate"/>
      </w:r>
      <w:r>
        <w:rPr>
          <w:rFonts w:ascii="仿宋" w:eastAsia="仿宋" w:cs="Times New Roman" w:hint="eastAsia"/>
          <w:bCs/>
          <w:sz w:val="28"/>
          <w:szCs w:val="28"/>
        </w:rPr>
        <w:t>十、</w:t>
      </w:r>
      <w:r>
        <w:rPr>
          <w:rFonts w:ascii="仿宋" w:eastAsia="仿宋" w:hint="eastAsia"/>
          <w:sz w:val="28"/>
          <w:szCs w:val="28"/>
        </w:rPr>
        <w:t>预算绩效</w:t>
      </w:r>
      <w:r>
        <w:rPr>
          <w:rFonts w:ascii="仿宋" w:eastAsia="仿宋" w:cs="Times New Roman" w:hint="eastAsia"/>
          <w:bCs/>
          <w:sz w:val="28"/>
          <w:szCs w:val="28"/>
        </w:rPr>
        <w:t>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_Toc15396611 \h </w:instrText>
      </w:r>
      <w:r>
        <w:rPr>
          <w:rFonts w:ascii="仿宋" w:eastAsia="仿宋"/>
          <w:sz w:val="28"/>
          <w:szCs w:val="28"/>
        </w:rPr>
        <w:fldChar w:fldCharType="separate"/>
      </w:r>
      <w:r>
        <w:rPr>
          <w:rFonts w:ascii="仿宋" w:eastAsia="仿宋"/>
          <w:sz w:val="28"/>
          <w:szCs w:val="28"/>
        </w:rPr>
        <w:t>15</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"_Toc15396612" </w:instrText>
      </w:r>
      <w:r>
        <w:fldChar w:fldCharType="separate"/>
      </w:r>
      <w:r>
        <w:rPr>
          <w:rFonts w:ascii="仿宋" w:eastAsia="仿宋" w:hint="eastAsia"/>
          <w:sz w:val="28"/>
          <w:szCs w:val="28"/>
        </w:rPr>
        <w:t>十</w:t>
      </w:r>
      <w:r>
        <w:rPr>
          <w:rFonts w:ascii="仿宋" w:eastAsia="仿宋" w:cs="Times New Roman" w:hint="eastAsia"/>
          <w:bCs/>
          <w:sz w:val="28"/>
          <w:szCs w:val="28"/>
        </w:rPr>
        <w:t>一、其他重要事项的情况说明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_Toc15396612 \h </w:instrText>
      </w:r>
      <w:r>
        <w:rPr>
          <w:rFonts w:ascii="仿宋" w:eastAsia="仿宋"/>
          <w:sz w:val="28"/>
          <w:szCs w:val="28"/>
        </w:rPr>
        <w:fldChar w:fldCharType="separate"/>
      </w:r>
      <w:r>
        <w:rPr>
          <w:rFonts w:ascii="仿宋" w:eastAsia="仿宋" w:hint="eastAsia"/>
          <w:sz w:val="28"/>
          <w:szCs w:val="28"/>
          <w:lang w:val="en-US" w:eastAsia="zh-CN"/>
        </w:rPr>
        <w:t>2</w:t>
      </w:r>
      <w:r>
        <w:rPr>
          <w:rFonts w:ascii="仿宋" w:eastAsia="仿宋"/>
          <w:sz w:val="28"/>
          <w:szCs w:val="28"/>
        </w:rPr>
        <w:t>5</w:t>
      </w:r>
      <w:r>
        <w:rPr>
          <w:rFonts w:ascii="仿宋" w:eastAsia="仿宋"/>
          <w:sz w:val="28"/>
          <w:szCs w:val="28"/>
        </w:rPr>
        <w:fldChar w:fldCharType="end"/>
      </w:r>
      <w:r>
        <w:rPr>
          <w:rFonts w:ascii="仿宋" w:eastAsia="仿宋"/>
          <w:sz w:val="28"/>
          <w:szCs w:val="28"/>
        </w:rPr>
        <w:fldChar w:fldCharType="end"/>
      </w:r>
    </w:p>
    <w:p>
      <w:pPr>
        <w:pStyle w:val="20"/>
        <w:tabs>
          <w:tab w:val="right" w:leader="dot" w:pos="8296"/>
        </w:tabs>
        <w:rPr>
          <w:rFonts w:eastAsia="仿宋" w:cs="Arial" w:hint="eastAsia"/>
          <w:lang w:eastAsia="zh-CN"/>
        </w:rPr>
      </w:pPr>
      <w:r>
        <w:fldChar w:fldCharType="begin"/>
      </w:r>
      <w:r>
        <w:instrText xml:space="preserve"> HYPERLINK \l "_Toc15396613" </w:instrText>
      </w:r>
      <w:r>
        <w:fldChar w:fldCharType="separate"/>
      </w:r>
      <w:r>
        <w:rPr>
          <w:rFonts w:hint="eastAsia"/>
          <w:bCs/>
          <w:kern w:val="44"/>
        </w:rPr>
        <w:t>第三部分</w:t>
      </w:r>
      <w:r>
        <w:rPr>
          <w:rFonts w:hint="eastAsia"/>
        </w:rPr>
        <w:t xml:space="preserve"> 名</w:t>
      </w:r>
      <w:r>
        <w:rPr>
          <w:rFonts w:hint="eastAsia"/>
          <w:bCs/>
          <w:kern w:val="44"/>
        </w:rPr>
        <w:t>词解释</w:t>
      </w:r>
      <w:r>
        <w:tab/>
      </w:r>
      <w:r>
        <w:rPr>
          <w:rFonts w:hint="eastAsia"/>
        </w:rPr>
        <w:t>2</w:t>
      </w:r>
      <w:r>
        <w:rPr>
          <w:rFonts w:hint="eastAsia"/>
        </w:rPr>
        <w:fldChar w:fldCharType="end"/>
      </w:r>
      <w:r>
        <w:rPr>
          <w:rFonts w:hint="eastAsia"/>
          <w:lang w:val="en-US" w:eastAsia="zh-CN"/>
        </w:rPr>
        <w:t>6</w:t>
      </w:r>
    </w:p>
    <w:p>
      <w:pPr>
        <w:pStyle w:val="20"/>
        <w:tabs>
          <w:tab w:val="right" w:leader="dot" w:pos="8296"/>
        </w:tabs>
        <w:rPr>
          <w:rFonts w:eastAsia="仿宋" w:cs="Arial" w:hint="eastAsia"/>
          <w:lang w:eastAsia="zh-CN"/>
        </w:rPr>
      </w:pPr>
      <w:r>
        <w:fldChar w:fldCharType="begin"/>
      </w:r>
      <w:r>
        <w:instrText xml:space="preserve"> HYPERLINK \l "_Toc15396614" </w:instrText>
      </w:r>
      <w:r>
        <w:fldChar w:fldCharType="separate"/>
      </w:r>
      <w:r>
        <w:rPr>
          <w:rFonts w:hint="eastAsia"/>
        </w:rPr>
        <w:t>第</w:t>
      </w:r>
      <w:r>
        <w:rPr>
          <w:rFonts w:hint="eastAsia"/>
          <w:bCs/>
          <w:kern w:val="44"/>
        </w:rPr>
        <w:t>四部分附件</w:t>
      </w:r>
      <w:r>
        <w:tab/>
      </w:r>
      <w:r>
        <w:rPr>
          <w:rFonts w:hint="eastAsia"/>
        </w:rPr>
        <w:t>3</w:t>
      </w:r>
      <w:r>
        <w:rPr>
          <w:rFonts w:hint="eastAsia"/>
        </w:rPr>
        <w:fldChar w:fldCharType="end"/>
      </w:r>
      <w:r>
        <w:rPr>
          <w:rFonts w:hint="eastAsia"/>
          <w:lang w:val="en-US" w:eastAsia="zh-CN"/>
        </w:rPr>
        <w:t>1</w:t>
      </w:r>
    </w:p>
    <w:p>
      <w:pPr>
        <w:pStyle w:val="21"/>
        <w:tabs>
          <w:tab w:val="right" w:leader="dot" w:pos="8296"/>
        </w:tabs>
        <w:rPr>
          <w:rFonts w:ascii="仿宋" w:eastAsia="仿宋" w:cs="Arial" w:hint="eastAsia"/>
          <w:sz w:val="28"/>
          <w:szCs w:val="28"/>
          <w:lang w:eastAsia="zh-CN"/>
        </w:rPr>
      </w:pPr>
      <w:r>
        <w:fldChar w:fldCharType="begin"/>
      </w:r>
      <w:r>
        <w:instrText xml:space="preserve"> HYPERLINK \l "_Toc15396615" </w:instrText>
      </w:r>
      <w:r>
        <w:fldChar w:fldCharType="separate"/>
      </w:r>
      <w:r>
        <w:rPr>
          <w:rFonts w:ascii="仿宋" w:eastAsia="仿宋" w:hint="eastAsia"/>
          <w:kern w:val="44"/>
          <w:sz w:val="28"/>
          <w:szCs w:val="28"/>
        </w:rPr>
        <w:t>附件</w:t>
      </w:r>
      <w:r>
        <w:rPr>
          <w:rFonts w:ascii="仿宋" w:eastAsia="仿宋"/>
          <w:kern w:val="44"/>
          <w:sz w:val="28"/>
          <w:szCs w:val="28"/>
        </w:rPr>
        <w:t>1</w:t>
      </w:r>
      <w:r>
        <w:rPr>
          <w:rFonts w:ascii="仿宋" w:eastAsia="仿宋"/>
          <w:sz w:val="28"/>
          <w:szCs w:val="28"/>
        </w:rPr>
        <w:tab/>
      </w:r>
      <w:r>
        <w:rPr>
          <w:rFonts w:ascii="仿宋" w:eastAsia="仿宋" w:hint="eastAsia"/>
          <w:sz w:val="28"/>
          <w:szCs w:val="28"/>
        </w:rPr>
        <w:t>3</w:t>
      </w:r>
      <w:r>
        <w:rPr>
          <w:rFonts w:ascii="仿宋" w:eastAsia="仿宋" w:hint="eastAsia"/>
          <w:sz w:val="28"/>
          <w:szCs w:val="28"/>
        </w:rPr>
        <w:fldChar w:fldCharType="end"/>
      </w:r>
      <w:r>
        <w:rPr>
          <w:rFonts w:ascii="仿宋" w:eastAsia="仿宋" w:hint="eastAsia"/>
          <w:sz w:val="28"/>
          <w:szCs w:val="28"/>
          <w:lang w:val="en-US" w:eastAsia="zh-CN"/>
        </w:rPr>
        <w:t>1</w:t>
      </w:r>
    </w:p>
    <w:p>
      <w:pPr>
        <w:pStyle w:val="21"/>
        <w:tabs>
          <w:tab w:val="right" w:leader="dot" w:pos="8296"/>
        </w:tabs>
        <w:rPr>
          <w:rFonts w:ascii="仿宋" w:eastAsia="仿宋" w:cs="Arial"/>
          <w:sz w:val="28"/>
          <w:szCs w:val="28"/>
        </w:rPr>
      </w:pPr>
      <w:r>
        <w:fldChar w:fldCharType="begin"/>
      </w:r>
      <w:r>
        <w:instrText xml:space="preserve"> HYPERLINK \l "_Toc15396617" </w:instrText>
      </w:r>
      <w:r>
        <w:fldChar w:fldCharType="separate"/>
      </w:r>
      <w:r>
        <w:rPr>
          <w:rFonts w:ascii="仿宋" w:eastAsia="仿宋" w:hint="eastAsia"/>
          <w:kern w:val="44"/>
          <w:sz w:val="28"/>
          <w:szCs w:val="28"/>
        </w:rPr>
        <w:t>附件</w:t>
      </w:r>
      <w:r>
        <w:rPr>
          <w:rFonts w:ascii="仿宋" w:eastAsia="仿宋"/>
          <w:kern w:val="44"/>
          <w:sz w:val="28"/>
          <w:szCs w:val="28"/>
        </w:rPr>
        <w:t>2</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_Toc15396617 \h </w:instrText>
      </w:r>
      <w:r>
        <w:rPr>
          <w:rFonts w:ascii="仿宋" w:eastAsia="仿宋"/>
          <w:sz w:val="28"/>
          <w:szCs w:val="28"/>
        </w:rPr>
        <w:fldChar w:fldCharType="separate"/>
      </w:r>
      <w:r>
        <w:rPr>
          <w:rFonts w:ascii="仿宋" w:eastAsia="仿宋"/>
          <w:sz w:val="28"/>
          <w:szCs w:val="28"/>
        </w:rPr>
        <w:t>35</w:t>
      </w:r>
      <w:r>
        <w:rPr>
          <w:rFonts w:ascii="仿宋" w:eastAsia="仿宋"/>
          <w:sz w:val="28"/>
          <w:szCs w:val="28"/>
        </w:rPr>
        <w:fldChar w:fldCharType="end"/>
      </w:r>
      <w:r>
        <w:rPr>
          <w:rFonts w:ascii="仿宋" w:eastAsia="仿宋"/>
          <w:sz w:val="28"/>
          <w:szCs w:val="28"/>
        </w:rPr>
        <w:fldChar w:fldCharType="end"/>
      </w:r>
    </w:p>
    <w:p>
      <w:pPr>
        <w:pStyle w:val="20"/>
        <w:tabs>
          <w:tab w:val="right" w:leader="dot" w:pos="8296"/>
        </w:tabs>
        <w:rPr>
          <w:rFonts w:eastAsia="仿宋" w:cs="Arial" w:hint="eastAsia"/>
          <w:lang w:val="en-US" w:eastAsia="zh-CN"/>
        </w:rPr>
      </w:pPr>
      <w:r>
        <w:fldChar w:fldCharType="begin"/>
      </w:r>
      <w:r>
        <w:instrText xml:space="preserve"> HYPERLINK \l "_Toc15396618" </w:instrText>
      </w:r>
      <w:r>
        <w:fldChar w:fldCharType="separate"/>
      </w:r>
      <w:r>
        <w:rPr>
          <w:rFonts w:hint="eastAsia"/>
        </w:rPr>
        <w:t>第</w:t>
      </w:r>
      <w:r>
        <w:rPr>
          <w:rFonts w:hint="eastAsia"/>
          <w:bCs/>
          <w:kern w:val="44"/>
        </w:rPr>
        <w:t>五部分附表</w:t>
      </w:r>
      <w:r>
        <w:tab/>
      </w:r>
      <w:r>
        <w:rPr>
          <w:rFonts w:hint="eastAsia"/>
          <w:lang w:val="en-US" w:eastAsia="zh-CN"/>
        </w:rPr>
        <w:t>3</w:t>
      </w:r>
      <w:r>
        <w:rPr>
          <w:rFonts w:hint="eastAsia"/>
        </w:rPr>
        <w:fldChar w:fldCharType="end"/>
      </w:r>
      <w:r>
        <w:rPr>
          <w:rFonts w:hint="eastAsia"/>
          <w:lang w:val="en-US" w:eastAsia="zh-CN"/>
        </w:rPr>
        <w:t>8</w:t>
      </w:r>
    </w:p>
    <w:p>
      <w:pPr>
        <w:pStyle w:val="21"/>
        <w:tabs>
          <w:tab w:val="right" w:leader="dot" w:pos="8296"/>
        </w:tabs>
        <w:rPr>
          <w:rFonts w:ascii="仿宋" w:eastAsia="仿宋" w:cs="Arial" w:hint="eastAsia"/>
          <w:sz w:val="28"/>
          <w:szCs w:val="28"/>
          <w:lang w:val="en-US" w:eastAsia="zh-CN"/>
        </w:rPr>
      </w:pPr>
      <w:r>
        <w:rPr>
          <w:rFonts w:ascii="仿宋" w:eastAsia="仿宋" w:hint="eastAsia"/>
          <w:sz w:val="28"/>
          <w:szCs w:val="28"/>
        </w:rPr>
        <w:t>一、</w:t>
      </w:r>
      <w:r>
        <w:fldChar w:fldCharType="begin"/>
      </w:r>
      <w:r>
        <w:instrText xml:space="preserve"> HYPERLINK \l "_Toc15396619" </w:instrText>
      </w:r>
      <w:r>
        <w:fldChar w:fldCharType="separate"/>
      </w:r>
      <w:r>
        <w:rPr>
          <w:rFonts w:ascii="仿宋" w:eastAsia="仿宋" w:hint="eastAsia"/>
          <w:sz w:val="28"/>
          <w:szCs w:val="28"/>
        </w:rPr>
        <w:t>收入支出决算总表</w:t>
      </w:r>
      <w:r>
        <w:rPr>
          <w:rFonts w:ascii="仿宋" w:eastAsia="仿宋"/>
          <w:sz w:val="28"/>
          <w:szCs w:val="28"/>
        </w:rPr>
        <w:tab/>
      </w:r>
      <w:r>
        <w:rPr>
          <w:rFonts w:ascii="仿宋" w:eastAsia="仿宋" w:hint="eastAsia"/>
          <w:sz w:val="28"/>
          <w:szCs w:val="28"/>
          <w:lang w:val="en-US" w:eastAsia="zh-CN"/>
        </w:rPr>
        <w:t>3</w:t>
      </w:r>
      <w:r>
        <w:rPr>
          <w:rFonts w:ascii="仿宋" w:eastAsia="仿宋" w:hint="eastAsia"/>
          <w:sz w:val="28"/>
          <w:szCs w:val="28"/>
        </w:rPr>
        <w:fldChar w:fldCharType="end"/>
      </w:r>
      <w:r>
        <w:rPr>
          <w:rFonts w:ascii="仿宋" w:eastAsia="仿宋" w:hint="eastAsia"/>
          <w:sz w:val="28"/>
          <w:szCs w:val="28"/>
          <w:lang w:val="en-US" w:eastAsia="zh-CN"/>
        </w:rPr>
        <w:t>8</w:t>
      </w:r>
    </w:p>
    <w:p>
      <w:pPr>
        <w:pStyle w:val="21"/>
        <w:tabs>
          <w:tab w:val="right" w:leader="dot" w:pos="8296"/>
        </w:tabs>
        <w:rPr>
          <w:rFonts w:ascii="仿宋" w:eastAsia="仿宋" w:cs="Arial" w:hint="eastAsia"/>
          <w:sz w:val="28"/>
          <w:szCs w:val="28"/>
          <w:lang w:val="en-US" w:eastAsia="zh-CN"/>
        </w:rPr>
      </w:pPr>
      <w:r>
        <w:rPr>
          <w:rFonts w:ascii="仿宋" w:eastAsia="仿宋" w:hint="eastAsia"/>
          <w:sz w:val="28"/>
          <w:szCs w:val="28"/>
        </w:rPr>
        <w:t>二、</w:t>
      </w:r>
      <w:r>
        <w:fldChar w:fldCharType="begin"/>
      </w:r>
      <w:r>
        <w:instrText xml:space="preserve"> HYPERLINK \l "_Toc15396620" </w:instrText>
      </w:r>
      <w:r>
        <w:fldChar w:fldCharType="separate"/>
      </w:r>
      <w:r>
        <w:rPr>
          <w:rFonts w:ascii="仿宋" w:eastAsia="仿宋" w:hint="eastAsia"/>
          <w:sz w:val="28"/>
          <w:szCs w:val="28"/>
        </w:rPr>
        <w:t>收入总表</w:t>
      </w:r>
      <w:r>
        <w:rPr>
          <w:rFonts w:ascii="仿宋" w:eastAsia="仿宋"/>
          <w:sz w:val="28"/>
          <w:szCs w:val="28"/>
        </w:rPr>
        <w:tab/>
      </w:r>
      <w:r>
        <w:rPr>
          <w:rFonts w:ascii="仿宋" w:eastAsia="仿宋" w:hint="eastAsia"/>
          <w:sz w:val="28"/>
          <w:szCs w:val="28"/>
          <w:lang w:val="en-US" w:eastAsia="zh-CN"/>
        </w:rPr>
        <w:t>3</w:t>
      </w:r>
      <w:r>
        <w:rPr>
          <w:rFonts w:ascii="仿宋" w:eastAsia="仿宋" w:hint="eastAsia"/>
          <w:sz w:val="28"/>
          <w:szCs w:val="28"/>
        </w:rPr>
        <w:fldChar w:fldCharType="end"/>
      </w:r>
      <w:r>
        <w:rPr>
          <w:rFonts w:ascii="仿宋" w:eastAsia="仿宋" w:hint="eastAsia"/>
          <w:sz w:val="28"/>
          <w:szCs w:val="28"/>
          <w:lang w:val="en-US" w:eastAsia="zh-CN"/>
        </w:rPr>
        <w:t>8</w:t>
      </w:r>
    </w:p>
    <w:p>
      <w:pPr>
        <w:pStyle w:val="21"/>
        <w:tabs>
          <w:tab w:val="right" w:leader="dot" w:pos="8296"/>
        </w:tabs>
        <w:rPr>
          <w:rFonts w:ascii="仿宋" w:eastAsia="仿宋" w:cs="Arial" w:hint="eastAsia"/>
          <w:sz w:val="28"/>
          <w:szCs w:val="28"/>
          <w:lang w:val="en-US" w:eastAsia="zh-CN"/>
        </w:rPr>
      </w:pPr>
      <w:r>
        <w:rPr>
          <w:rFonts w:ascii="仿宋" w:eastAsia="仿宋" w:hint="eastAsia"/>
          <w:sz w:val="28"/>
          <w:szCs w:val="28"/>
        </w:rPr>
        <w:t>三、</w:t>
      </w:r>
      <w:r>
        <w:fldChar w:fldCharType="begin"/>
      </w:r>
      <w:r>
        <w:instrText xml:space="preserve"> HYPERLINK \l "_Toc15396621" </w:instrText>
      </w:r>
      <w:r>
        <w:fldChar w:fldCharType="separate"/>
      </w:r>
      <w:r>
        <w:rPr>
          <w:rFonts w:ascii="仿宋" w:eastAsia="仿宋" w:hint="eastAsia"/>
          <w:sz w:val="28"/>
          <w:szCs w:val="28"/>
        </w:rPr>
        <w:t>支出总表</w:t>
      </w:r>
      <w:r>
        <w:rPr>
          <w:rFonts w:ascii="仿宋" w:eastAsia="仿宋"/>
          <w:sz w:val="28"/>
          <w:szCs w:val="28"/>
        </w:rPr>
        <w:tab/>
      </w:r>
      <w:r>
        <w:rPr>
          <w:rFonts w:ascii="仿宋" w:eastAsia="仿宋" w:hint="eastAsia"/>
          <w:sz w:val="28"/>
          <w:szCs w:val="28"/>
          <w:lang w:val="en-US" w:eastAsia="zh-CN"/>
        </w:rPr>
        <w:t>3</w:t>
      </w:r>
      <w:r>
        <w:rPr>
          <w:rFonts w:ascii="仿宋" w:eastAsia="仿宋" w:hint="eastAsia"/>
          <w:sz w:val="28"/>
          <w:szCs w:val="28"/>
        </w:rPr>
        <w:fldChar w:fldCharType="end"/>
      </w:r>
      <w:r>
        <w:rPr>
          <w:rFonts w:ascii="仿宋" w:eastAsia="仿宋" w:hint="eastAsia"/>
          <w:sz w:val="28"/>
          <w:szCs w:val="28"/>
          <w:lang w:val="en-US" w:eastAsia="zh-CN"/>
        </w:rPr>
        <w:t>8</w:t>
      </w:r>
    </w:p>
    <w:p>
      <w:pPr>
        <w:pStyle w:val="21"/>
        <w:tabs>
          <w:tab w:val="right" w:leader="dot" w:pos="8296"/>
        </w:tabs>
        <w:rPr>
          <w:rFonts w:ascii="仿宋" w:eastAsia="仿宋" w:cs="Arial" w:hint="eastAsia"/>
          <w:sz w:val="28"/>
          <w:szCs w:val="28"/>
          <w:lang w:val="en-US" w:eastAsia="zh-CN"/>
        </w:rPr>
      </w:pPr>
      <w:r>
        <w:rPr>
          <w:rFonts w:ascii="仿宋" w:eastAsia="仿宋" w:hint="eastAsia"/>
          <w:sz w:val="28"/>
          <w:szCs w:val="28"/>
        </w:rPr>
        <w:t>四、</w:t>
      </w:r>
      <w:r>
        <w:fldChar w:fldCharType="begin"/>
      </w:r>
      <w:r>
        <w:instrText xml:space="preserve"> HYPERLINK \l "_Toc15396622" </w:instrText>
      </w:r>
      <w:r>
        <w:fldChar w:fldCharType="separate"/>
      </w:r>
      <w:r>
        <w:rPr>
          <w:rFonts w:ascii="仿宋" w:eastAsia="仿宋" w:hint="eastAsia"/>
          <w:sz w:val="28"/>
          <w:szCs w:val="28"/>
        </w:rPr>
        <w:t>财政拨款收入支出决算总表</w:t>
      </w:r>
      <w:r>
        <w:rPr>
          <w:rFonts w:ascii="仿宋" w:eastAsia="仿宋"/>
          <w:sz w:val="28"/>
          <w:szCs w:val="28"/>
        </w:rPr>
        <w:tab/>
      </w:r>
      <w:r>
        <w:rPr>
          <w:rFonts w:ascii="仿宋" w:eastAsia="仿宋" w:hint="eastAsia"/>
          <w:sz w:val="28"/>
          <w:szCs w:val="28"/>
          <w:lang w:val="en-US" w:eastAsia="zh-CN"/>
        </w:rPr>
        <w:t>3</w:t>
      </w:r>
      <w:r>
        <w:rPr>
          <w:rFonts w:ascii="仿宋" w:eastAsia="仿宋" w:hint="eastAsia"/>
          <w:sz w:val="28"/>
          <w:szCs w:val="28"/>
        </w:rPr>
        <w:fldChar w:fldCharType="end"/>
      </w:r>
      <w:r>
        <w:rPr>
          <w:rFonts w:ascii="仿宋" w:eastAsia="仿宋" w:hint="eastAsia"/>
          <w:sz w:val="28"/>
          <w:szCs w:val="28"/>
          <w:lang w:val="en-US" w:eastAsia="zh-CN"/>
        </w:rPr>
        <w:t>8</w:t>
      </w:r>
    </w:p>
    <w:p>
      <w:pPr>
        <w:pStyle w:val="21"/>
        <w:tabs>
          <w:tab w:val="right" w:leader="dot" w:pos="8296"/>
        </w:tabs>
        <w:rPr>
          <w:rFonts w:ascii="仿宋" w:eastAsia="仿宋"/>
          <w:sz w:val="28"/>
          <w:szCs w:val="28"/>
          <w:lang w:val="en-US" w:eastAsia="zh-CN"/>
        </w:rPr>
      </w:pPr>
      <w:r>
        <w:rPr>
          <w:rFonts w:ascii="仿宋" w:eastAsia="仿宋" w:hint="eastAsia"/>
          <w:sz w:val="28"/>
          <w:szCs w:val="28"/>
        </w:rPr>
        <w:t>五、</w:t>
      </w:r>
      <w:r>
        <w:fldChar w:fldCharType="begin"/>
      </w:r>
      <w:r>
        <w:instrText xml:space="preserve"> HYPERLINK \l "_Toc15396623" </w:instrText>
      </w:r>
      <w:r>
        <w:fldChar w:fldCharType="separate"/>
      </w:r>
      <w:r>
        <w:rPr>
          <w:rFonts w:ascii="仿宋" w:eastAsia="仿宋" w:hint="eastAsia"/>
          <w:sz w:val="28"/>
          <w:szCs w:val="28"/>
        </w:rPr>
        <w:t>财政拨款支出决算明细表（政府经济分类科目）</w:t>
      </w:r>
      <w:r>
        <w:rPr>
          <w:rFonts w:ascii="仿宋" w:eastAsia="仿宋"/>
          <w:sz w:val="28"/>
          <w:szCs w:val="28"/>
        </w:rPr>
        <w:tab/>
      </w:r>
      <w:r>
        <w:rPr>
          <w:rFonts w:ascii="仿宋" w:eastAsia="仿宋" w:hint="eastAsia"/>
          <w:sz w:val="28"/>
          <w:szCs w:val="28"/>
        </w:rPr>
        <w:fldChar w:fldCharType="end"/>
      </w:r>
      <w:r>
        <w:rPr>
          <w:rFonts w:ascii="仿宋" w:eastAsia="仿宋" w:hint="eastAsia"/>
          <w:sz w:val="28"/>
          <w:szCs w:val="28"/>
          <w:lang w:val="en-US" w:eastAsia="zh-CN"/>
        </w:rPr>
        <w:t>38</w:t>
      </w:r>
    </w:p>
    <w:p>
      <w:pPr>
        <w:pStyle w:val="21"/>
        <w:tabs>
          <w:tab w:val="right" w:leader="dot" w:pos="8296"/>
        </w:tabs>
        <w:rPr>
          <w:rFonts w:ascii="仿宋" w:eastAsia="仿宋" w:cs="Arial" w:hint="eastAsia"/>
          <w:sz w:val="28"/>
          <w:szCs w:val="28"/>
          <w:lang w:val="en-US" w:eastAsia="zh-CN"/>
        </w:rPr>
      </w:pPr>
      <w:r>
        <w:rPr>
          <w:rFonts w:ascii="仿宋" w:eastAsia="仿宋" w:hint="eastAsia"/>
          <w:sz w:val="28"/>
          <w:szCs w:val="28"/>
        </w:rPr>
        <w:t>六、</w:t>
      </w:r>
      <w:r>
        <w:fldChar w:fldCharType="begin"/>
      </w:r>
      <w:r>
        <w:instrText xml:space="preserve"> HYPERLINK \l "_Toc15396624" </w:instrText>
      </w:r>
      <w:r>
        <w:fldChar w:fldCharType="separate"/>
      </w:r>
      <w:r>
        <w:rPr>
          <w:rFonts w:ascii="仿宋" w:eastAsia="仿宋" w:hint="eastAsia"/>
          <w:sz w:val="28"/>
          <w:szCs w:val="28"/>
        </w:rPr>
        <w:t>一般公共预算财政拨款支出决算表</w:t>
      </w:r>
      <w:r>
        <w:rPr>
          <w:rFonts w:ascii="仿宋" w:eastAsia="仿宋"/>
          <w:sz w:val="28"/>
          <w:szCs w:val="28"/>
        </w:rPr>
        <w:tab/>
      </w:r>
      <w:r>
        <w:rPr>
          <w:rFonts w:ascii="仿宋" w:eastAsia="仿宋" w:hint="eastAsia"/>
          <w:sz w:val="28"/>
          <w:szCs w:val="28"/>
          <w:lang w:val="en-US" w:eastAsia="zh-CN"/>
        </w:rPr>
        <w:t>3</w:t>
      </w:r>
      <w:r>
        <w:rPr>
          <w:rFonts w:ascii="仿宋" w:eastAsia="仿宋" w:hint="eastAsia"/>
          <w:sz w:val="28"/>
          <w:szCs w:val="28"/>
        </w:rPr>
        <w:fldChar w:fldCharType="end"/>
      </w:r>
      <w:r>
        <w:rPr>
          <w:rFonts w:ascii="仿宋" w:eastAsia="仿宋" w:hint="eastAsia"/>
          <w:sz w:val="28"/>
          <w:szCs w:val="28"/>
          <w:lang w:val="en-US" w:eastAsia="zh-CN"/>
        </w:rPr>
        <w:t>8</w:t>
      </w:r>
    </w:p>
    <w:p>
      <w:pPr>
        <w:pStyle w:val="21"/>
        <w:tabs>
          <w:tab w:val="right" w:leader="dot" w:pos="8296"/>
        </w:tabs>
        <w:rPr>
          <w:rFonts w:ascii="仿宋" w:eastAsia="仿宋" w:cs="Arial" w:hint="eastAsia"/>
          <w:sz w:val="28"/>
          <w:szCs w:val="28"/>
          <w:lang w:val="en-US" w:eastAsia="zh-CN"/>
        </w:rPr>
      </w:pPr>
      <w:r>
        <w:rPr>
          <w:rFonts w:ascii="仿宋" w:eastAsia="仿宋" w:hint="eastAsia"/>
          <w:sz w:val="28"/>
          <w:szCs w:val="28"/>
        </w:rPr>
        <w:t>七、</w:t>
      </w:r>
      <w:r>
        <w:fldChar w:fldCharType="begin"/>
      </w:r>
      <w:r>
        <w:instrText xml:space="preserve"> HYPERLINK \l "_Toc15396625" </w:instrText>
      </w:r>
      <w:r>
        <w:fldChar w:fldCharType="separate"/>
      </w:r>
      <w:r>
        <w:rPr>
          <w:rFonts w:ascii="仿宋" w:eastAsia="仿宋" w:hint="eastAsia"/>
          <w:sz w:val="28"/>
          <w:szCs w:val="28"/>
        </w:rPr>
        <w:t>一般公共预算财政拨款支出决算明细表</w:t>
      </w:r>
      <w:r>
        <w:rPr>
          <w:rFonts w:ascii="仿宋" w:eastAsia="仿宋"/>
          <w:sz w:val="28"/>
          <w:szCs w:val="28"/>
        </w:rPr>
        <w:tab/>
      </w:r>
      <w:r>
        <w:rPr>
          <w:rFonts w:ascii="仿宋" w:eastAsia="仿宋" w:hint="eastAsia"/>
          <w:sz w:val="28"/>
          <w:szCs w:val="28"/>
          <w:lang w:val="en-US" w:eastAsia="zh-CN"/>
        </w:rPr>
        <w:t>3</w:t>
      </w:r>
      <w:r>
        <w:rPr>
          <w:rFonts w:ascii="仿宋" w:eastAsia="仿宋" w:hint="eastAsia"/>
          <w:sz w:val="28"/>
          <w:szCs w:val="28"/>
        </w:rPr>
        <w:fldChar w:fldCharType="end"/>
      </w:r>
      <w:r>
        <w:rPr>
          <w:rFonts w:ascii="仿宋" w:eastAsia="仿宋" w:hint="eastAsia"/>
          <w:sz w:val="28"/>
          <w:szCs w:val="28"/>
          <w:lang w:val="en-US" w:eastAsia="zh-CN"/>
        </w:rPr>
        <w:t>8</w:t>
      </w:r>
    </w:p>
    <w:p>
      <w:pPr>
        <w:pStyle w:val="21"/>
        <w:tabs>
          <w:tab w:val="right" w:leader="dot" w:pos="8296"/>
        </w:tabs>
        <w:rPr>
          <w:rFonts w:ascii="仿宋" w:eastAsia="仿宋" w:cs="Arial"/>
          <w:sz w:val="28"/>
          <w:szCs w:val="28"/>
          <w:lang w:val="en-US" w:eastAsia="zh-CN"/>
        </w:rPr>
      </w:pPr>
      <w:r>
        <w:rPr>
          <w:rFonts w:ascii="仿宋" w:eastAsia="仿宋" w:hint="eastAsia"/>
          <w:sz w:val="28"/>
          <w:szCs w:val="28"/>
        </w:rPr>
        <w:t>八、</w:t>
      </w:r>
      <w:r>
        <w:fldChar w:fldCharType="begin"/>
      </w:r>
      <w:r>
        <w:instrText xml:space="preserve"> HYPERLINK \l "_Toc15396626" </w:instrText>
      </w:r>
      <w:r>
        <w:fldChar w:fldCharType="separate"/>
      </w:r>
      <w:r>
        <w:rPr>
          <w:rFonts w:ascii="仿宋" w:eastAsia="仿宋" w:hint="eastAsia"/>
          <w:sz w:val="28"/>
          <w:szCs w:val="28"/>
        </w:rPr>
        <w:t>一般公共预算财政拨款基本支出决算表</w:t>
      </w:r>
      <w:r>
        <w:rPr>
          <w:rFonts w:ascii="仿宋" w:eastAsia="仿宋"/>
          <w:sz w:val="28"/>
          <w:szCs w:val="28"/>
        </w:rPr>
        <w:tab/>
      </w:r>
      <w:r>
        <w:rPr>
          <w:rFonts w:ascii="仿宋" w:eastAsia="仿宋" w:hint="eastAsia"/>
          <w:sz w:val="28"/>
          <w:szCs w:val="28"/>
        </w:rPr>
        <w:fldChar w:fldCharType="end"/>
      </w:r>
      <w:r>
        <w:rPr>
          <w:rFonts w:ascii="仿宋" w:eastAsia="仿宋" w:hint="eastAsia"/>
          <w:sz w:val="28"/>
          <w:szCs w:val="28"/>
          <w:lang w:val="en-US" w:eastAsia="zh-CN"/>
        </w:rPr>
        <w:t>38</w:t>
      </w:r>
    </w:p>
    <w:p>
      <w:pPr>
        <w:pStyle w:val="21"/>
        <w:tabs>
          <w:tab w:val="right" w:leader="dot" w:pos="8296"/>
        </w:tabs>
        <w:rPr>
          <w:rFonts w:ascii="仿宋" w:eastAsia="仿宋" w:cs="Arial"/>
          <w:sz w:val="28"/>
          <w:szCs w:val="28"/>
          <w:lang w:val="en-US" w:eastAsia="zh-CN"/>
        </w:rPr>
      </w:pPr>
      <w:r>
        <w:rPr>
          <w:rFonts w:ascii="仿宋" w:eastAsia="仿宋" w:hint="eastAsia"/>
          <w:sz w:val="28"/>
          <w:szCs w:val="28"/>
        </w:rPr>
        <w:t>九、</w:t>
      </w:r>
      <w:r>
        <w:fldChar w:fldCharType="begin"/>
      </w:r>
      <w:r>
        <w:instrText xml:space="preserve"> HYPERLINK \l "_Toc15396627" </w:instrText>
      </w:r>
      <w:r>
        <w:fldChar w:fldCharType="separate"/>
      </w:r>
      <w:r>
        <w:rPr>
          <w:rFonts w:ascii="仿宋" w:eastAsia="仿宋" w:hint="eastAsia"/>
          <w:sz w:val="28"/>
          <w:szCs w:val="28"/>
        </w:rPr>
        <w:t>一般公共预算财政拨款项目支出决算表</w:t>
      </w:r>
      <w:r>
        <w:rPr>
          <w:rFonts w:ascii="仿宋" w:eastAsia="仿宋"/>
          <w:sz w:val="28"/>
          <w:szCs w:val="28"/>
        </w:rPr>
        <w:tab/>
      </w:r>
      <w:r>
        <w:rPr>
          <w:rFonts w:ascii="仿宋" w:eastAsia="仿宋" w:hint="eastAsia"/>
          <w:sz w:val="28"/>
          <w:szCs w:val="28"/>
        </w:rPr>
        <w:fldChar w:fldCharType="end"/>
      </w:r>
      <w:r>
        <w:rPr>
          <w:rFonts w:ascii="仿宋" w:eastAsia="仿宋" w:hint="eastAsia"/>
          <w:sz w:val="28"/>
          <w:szCs w:val="28"/>
          <w:lang w:val="en-US" w:eastAsia="zh-CN"/>
        </w:rPr>
        <w:t>38</w:t>
      </w:r>
    </w:p>
    <w:p>
      <w:pPr>
        <w:pStyle w:val="21"/>
        <w:tabs>
          <w:tab w:val="right" w:leader="dot" w:pos="8296"/>
        </w:tabs>
        <w:rPr>
          <w:rFonts w:ascii="仿宋" w:eastAsia="仿宋" w:cs="Arial"/>
          <w:sz w:val="28"/>
          <w:szCs w:val="28"/>
          <w:lang w:val="en-US" w:eastAsia="zh-CN"/>
        </w:rPr>
      </w:pPr>
      <w:r>
        <w:rPr>
          <w:rFonts w:ascii="仿宋" w:eastAsia="仿宋" w:hint="eastAsia"/>
          <w:sz w:val="28"/>
          <w:szCs w:val="28"/>
        </w:rPr>
        <w:t>十、</w:t>
      </w:r>
      <w:r>
        <w:fldChar w:fldCharType="begin"/>
      </w:r>
      <w:r>
        <w:instrText xml:space="preserve"> HYPERLINK \l "_Toc15396628" </w:instrText>
      </w:r>
      <w:r>
        <w:fldChar w:fldCharType="separate"/>
      </w:r>
      <w:r>
        <w:rPr>
          <w:rFonts w:ascii="仿宋" w:eastAsia="仿宋" w:hint="eastAsia"/>
          <w:sz w:val="28"/>
          <w:szCs w:val="28"/>
        </w:rPr>
        <w:t>一般公共预算财政拨款“三公”经费支出决算表</w:t>
      </w:r>
      <w:r>
        <w:rPr>
          <w:rFonts w:ascii="仿宋" w:eastAsia="仿宋"/>
          <w:sz w:val="28"/>
          <w:szCs w:val="28"/>
        </w:rPr>
        <w:tab/>
      </w:r>
      <w:r>
        <w:rPr>
          <w:rFonts w:ascii="仿宋" w:eastAsia="仿宋" w:hint="eastAsia"/>
          <w:sz w:val="28"/>
          <w:szCs w:val="28"/>
        </w:rPr>
        <w:fldChar w:fldCharType="end"/>
      </w:r>
      <w:r>
        <w:rPr>
          <w:rFonts w:ascii="仿宋" w:eastAsia="仿宋" w:hint="eastAsia"/>
          <w:sz w:val="28"/>
          <w:szCs w:val="28"/>
          <w:lang w:val="en-US" w:eastAsia="zh-CN"/>
        </w:rPr>
        <w:t>38</w:t>
      </w:r>
    </w:p>
    <w:p>
      <w:pPr>
        <w:pStyle w:val="21"/>
        <w:tabs>
          <w:tab w:val="right" w:leader="dot" w:pos="8296"/>
        </w:tabs>
        <w:rPr>
          <w:rFonts w:ascii="仿宋" w:eastAsia="仿宋" w:cs="Arial"/>
          <w:sz w:val="28"/>
          <w:szCs w:val="28"/>
          <w:lang w:val="en-US" w:eastAsia="zh-CN"/>
        </w:rPr>
      </w:pPr>
      <w:r>
        <w:rPr>
          <w:rFonts w:ascii="仿宋" w:eastAsia="仿宋" w:hint="eastAsia"/>
          <w:sz w:val="28"/>
          <w:szCs w:val="28"/>
        </w:rPr>
        <w:t>十一、</w:t>
      </w:r>
      <w:r>
        <w:fldChar w:fldCharType="begin"/>
      </w:r>
      <w:r>
        <w:instrText xml:space="preserve"> HYPERLINK \l "_Toc15396629" </w:instrText>
      </w:r>
      <w:r>
        <w:fldChar w:fldCharType="separate"/>
      </w:r>
      <w:r>
        <w:rPr>
          <w:rFonts w:ascii="仿宋" w:eastAsia="仿宋" w:hint="eastAsia"/>
          <w:sz w:val="28"/>
          <w:szCs w:val="28"/>
        </w:rPr>
        <w:t>政府性基金预算财政拨款收入支出决算表</w:t>
      </w:r>
      <w:r>
        <w:rPr>
          <w:rFonts w:ascii="仿宋" w:eastAsia="仿宋"/>
          <w:sz w:val="28"/>
          <w:szCs w:val="28"/>
        </w:rPr>
        <w:tab/>
      </w:r>
      <w:r>
        <w:rPr>
          <w:rFonts w:ascii="仿宋" w:eastAsia="仿宋" w:hint="eastAsia"/>
          <w:sz w:val="28"/>
          <w:szCs w:val="28"/>
        </w:rPr>
        <w:fldChar w:fldCharType="end"/>
      </w:r>
      <w:r>
        <w:rPr>
          <w:rFonts w:ascii="仿宋" w:eastAsia="仿宋" w:hint="eastAsia"/>
          <w:sz w:val="28"/>
          <w:szCs w:val="28"/>
          <w:lang w:val="en-US" w:eastAsia="zh-CN"/>
        </w:rPr>
        <w:t>38</w:t>
      </w:r>
    </w:p>
    <w:p>
      <w:pPr>
        <w:pStyle w:val="21"/>
        <w:tabs>
          <w:tab w:val="right" w:leader="dot" w:pos="8296"/>
        </w:tabs>
        <w:rPr>
          <w:rFonts w:ascii="仿宋" w:eastAsia="仿宋" w:cs="Arial" w:hint="eastAsia"/>
          <w:sz w:val="28"/>
          <w:szCs w:val="28"/>
          <w:lang w:val="en-US" w:eastAsia="zh-CN"/>
        </w:rPr>
      </w:pPr>
      <w:r>
        <w:rPr>
          <w:rFonts w:ascii="仿宋" w:eastAsia="仿宋" w:hint="eastAsia"/>
          <w:sz w:val="28"/>
          <w:szCs w:val="28"/>
        </w:rPr>
        <w:t>十二、</w:t>
      </w:r>
      <w:r>
        <w:fldChar w:fldCharType="begin"/>
      </w:r>
      <w:r>
        <w:instrText xml:space="preserve"> HYPERLINK \l "_Toc15396630" </w:instrText>
      </w:r>
      <w:r>
        <w:fldChar w:fldCharType="separate"/>
      </w:r>
      <w:r>
        <w:rPr>
          <w:rFonts w:ascii="仿宋" w:eastAsia="仿宋" w:hint="eastAsia"/>
          <w:sz w:val="28"/>
          <w:szCs w:val="28"/>
        </w:rPr>
        <w:t>政府性基金预算财政拨款“三公”经费支出决算表</w:t>
      </w:r>
      <w:r>
        <w:rPr>
          <w:rFonts w:ascii="仿宋" w:eastAsia="仿宋"/>
          <w:sz w:val="28"/>
          <w:szCs w:val="28"/>
        </w:rPr>
        <w:tab/>
      </w:r>
      <w:r>
        <w:rPr>
          <w:rFonts w:ascii="仿宋" w:eastAsia="仿宋" w:hint="eastAsia"/>
          <w:sz w:val="28"/>
          <w:szCs w:val="28"/>
          <w:lang w:val="en-US" w:eastAsia="zh-CN"/>
        </w:rPr>
        <w:t>3</w:t>
      </w:r>
      <w:r>
        <w:rPr>
          <w:rFonts w:ascii="仿宋" w:eastAsia="仿宋" w:hint="eastAsia"/>
          <w:sz w:val="28"/>
          <w:szCs w:val="28"/>
        </w:rPr>
        <w:fldChar w:fldCharType="end"/>
      </w:r>
      <w:r>
        <w:rPr>
          <w:rFonts w:ascii="仿宋" w:eastAsia="仿宋" w:hint="eastAsia"/>
          <w:sz w:val="28"/>
          <w:szCs w:val="28"/>
          <w:lang w:val="en-US" w:eastAsia="zh-CN"/>
        </w:rPr>
        <w:t>8</w:t>
      </w:r>
    </w:p>
    <w:p>
      <w:pPr>
        <w:pStyle w:val="21"/>
        <w:tabs>
          <w:tab w:val="right" w:leader="dot" w:pos="8296"/>
        </w:tabs>
        <w:rPr>
          <w:rFonts w:ascii="仿宋" w:eastAsia="仿宋" w:cs="Arial"/>
          <w:sz w:val="24"/>
          <w:lang w:val="en-US" w:eastAsia="zh-CN"/>
        </w:rPr>
      </w:pPr>
      <w:r>
        <w:rPr>
          <w:rFonts w:ascii="仿宋" w:eastAsia="仿宋" w:hint="eastAsia"/>
          <w:sz w:val="28"/>
          <w:szCs w:val="28"/>
        </w:rPr>
        <w:t>十三、</w:t>
      </w:r>
      <w:r>
        <w:fldChar w:fldCharType="begin"/>
      </w:r>
      <w:r>
        <w:instrText xml:space="preserve"> HYPERLINK \l "_Toc15396631" </w:instrText>
      </w:r>
      <w:r>
        <w:fldChar w:fldCharType="separate"/>
      </w:r>
      <w:r>
        <w:rPr>
          <w:rFonts w:ascii="仿宋" w:eastAsia="仿宋" w:hint="eastAsia"/>
          <w:sz w:val="28"/>
          <w:szCs w:val="28"/>
        </w:rPr>
        <w:t>国有资本经营预算支出决算表</w:t>
      </w:r>
      <w:r>
        <w:rPr>
          <w:rFonts w:ascii="仿宋" w:eastAsia="仿宋"/>
          <w:sz w:val="28"/>
          <w:szCs w:val="28"/>
        </w:rPr>
        <w:tab/>
      </w:r>
      <w:r>
        <w:rPr>
          <w:rFonts w:ascii="仿宋" w:eastAsia="仿宋" w:hint="eastAsia"/>
          <w:sz w:val="28"/>
          <w:szCs w:val="28"/>
        </w:rPr>
        <w:fldChar w:fldCharType="end"/>
      </w:r>
      <w:r>
        <w:rPr>
          <w:rFonts w:ascii="仿宋" w:eastAsia="仿宋" w:hint="eastAsia"/>
          <w:sz w:val="28"/>
          <w:szCs w:val="28"/>
          <w:lang w:val="en-US" w:eastAsia="zh-CN"/>
        </w:rPr>
        <w:t>38</w:t>
      </w:r>
    </w:p>
    <w:p>
      <w:pPr>
        <w:widowControl/>
        <w:jc w:val="left"/>
        <w:rPr>
          <w:rFonts w:ascii="仿宋" w:eastAsia="仿宋"/>
          <w:color w:val="000000"/>
          <w:sz w:val="24"/>
        </w:rPr>
      </w:pPr>
      <w:r>
        <w:rPr>
          <w:rFonts w:ascii="仿宋" w:eastAsia="仿宋"/>
          <w:color w:val="000000"/>
          <w:sz w:val="24"/>
        </w:rPr>
        <w:fldChar w:fldCharType="end"/>
      </w:r>
    </w:p>
    <w:p>
      <w:pPr>
        <w:widowControl/>
        <w:jc w:val="left"/>
        <w:rPr>
          <w:rFonts w:ascii="黑体" w:eastAsia="黑体"/>
          <w:bCs/>
          <w:kern w:val="44"/>
          <w:sz w:val="44"/>
          <w:szCs w:val="44"/>
        </w:rPr>
      </w:pPr>
      <w:bookmarkStart w:id="12" w:name="_Toc15377196"/>
      <w:bookmarkStart w:id="13" w:name="_Toc15396599"/>
      <w:r>
        <w:rPr>
          <w:rFonts w:ascii="黑体" w:eastAsia="黑体"/>
          <w:b/>
        </w:rPr>
        <w:br w:type="page"/>
      </w:r>
    </w:p>
    <w:p>
      <w:pPr>
        <w:pStyle w:val="1"/>
        <w:jc w:val="center"/>
        <w:rPr>
          <w:rStyle w:val="1Char"/>
          <w:rFonts w:ascii="黑体" w:eastAsia="黑体"/>
          <w:b/>
          <w:bCs w:val="0"/>
        </w:rPr>
      </w:pPr>
      <w:r>
        <w:rPr>
          <w:rFonts w:ascii="黑体" w:eastAsia="黑体" w:hint="eastAsia"/>
          <w:b w:val="0"/>
        </w:rPr>
        <w:t xml:space="preserve">第一部分 </w:t>
      </w:r>
      <w:r>
        <w:rPr>
          <w:rStyle w:val="1Char"/>
          <w:rFonts w:ascii="黑体" w:eastAsia="黑体" w:hint="eastAsia"/>
          <w:b w:val="0"/>
          <w:bCs w:val="0"/>
        </w:rPr>
        <w:t>部门概况</w:t>
      </w:r>
      <w:bookmarkEnd w:id="12"/>
      <w:bookmarkEnd w:id="13"/>
    </w:p>
    <w:p>
      <w:pPr>
        <w:widowControl/>
        <w:jc w:val="left"/>
        <w:rPr>
          <w:rFonts w:ascii="黑体" w:eastAsia="黑体"/>
          <w:color w:val="000000"/>
          <w:sz w:val="32"/>
          <w:szCs w:val="32"/>
        </w:rPr>
      </w:pPr>
    </w:p>
    <w:p>
      <w:pPr>
        <w:pStyle w:val="2"/>
        <w:rPr>
          <w:rStyle w:val="2Char"/>
          <w:rFonts w:ascii="仿宋" w:eastAsia="仿宋"/>
          <w:b w:val="0"/>
          <w:bCs w:val="0"/>
        </w:rPr>
      </w:pPr>
      <w:bookmarkStart w:id="14" w:name="_Toc15377197"/>
      <w:bookmarkStart w:id="15" w:name="_Toc15396600"/>
      <w:r>
        <w:rPr>
          <w:rFonts w:ascii="黑体" w:eastAsia="黑体" w:hint="eastAsia"/>
          <w:b w:val="0"/>
          <w:color w:val="000000"/>
        </w:rPr>
        <w:t>一、基</w:t>
      </w:r>
      <w:r>
        <w:rPr>
          <w:rStyle w:val="2Char"/>
          <w:rFonts w:ascii="黑体" w:eastAsia="黑体" w:hint="eastAsia"/>
          <w:b w:val="0"/>
          <w:bCs w:val="0"/>
        </w:rPr>
        <w:t>本职能及主要工作</w:t>
      </w:r>
      <w:bookmarkEnd w:id="14"/>
      <w:bookmarkEnd w:id="15"/>
    </w:p>
    <w:p>
      <w:pPr>
        <w:pStyle w:val="15"/>
        <w:adjustRightInd w:val="0"/>
        <w:snapToGrid w:val="0"/>
        <w:spacing w:beforeLines="0" w:before="93" w:line="600" w:lineRule="exact"/>
        <w:ind w:firstLineChars="209" w:firstLine="672"/>
        <w:outlineLvl w:val="2"/>
        <w:rPr>
          <w:rFonts w:ascii="楷体" w:eastAsia="楷体" w:cs="楷体" w:hint="eastAsia"/>
          <w:bCs/>
          <w:color w:val="000000"/>
          <w:sz w:val="32"/>
          <w:szCs w:val="32"/>
        </w:rPr>
      </w:pPr>
      <w:bookmarkStart w:id="16" w:name="_Toc15377198"/>
      <w:bookmarkStart w:id="17" w:name="_Toc15378445"/>
      <w:r>
        <w:rPr>
          <w:rFonts w:ascii="楷体" w:eastAsia="楷体" w:cs="楷体" w:hint="eastAsia"/>
          <w:bCs/>
          <w:color w:val="000000"/>
          <w:sz w:val="32"/>
          <w:szCs w:val="32"/>
        </w:rPr>
        <w:t>（一）主要职能。</w:t>
      </w:r>
      <w:bookmarkEnd w:id="16"/>
      <w:bookmarkEnd w:id="17"/>
    </w:p>
    <w:p>
      <w:pPr>
        <w:spacing w:line="560" w:lineRule="exact"/>
        <w:ind w:firstLineChars="200" w:firstLine="640"/>
        <w:rPr>
          <w:rFonts w:ascii="仿宋_GB2312" w:eastAsia="仿宋_GB2312" w:cs="仿宋_GB2312"/>
          <w:bCs/>
          <w:color w:val="000000"/>
          <w:sz w:val="32"/>
          <w:szCs w:val="32"/>
        </w:rPr>
      </w:pPr>
      <w:r>
        <w:rPr>
          <w:rFonts w:ascii="仿宋_GB2312" w:eastAsia="仿宋_GB2312" w:cs="仿宋_GB2312" w:hint="eastAsia"/>
          <w:sz w:val="32"/>
          <w:szCs w:val="32"/>
        </w:rPr>
        <w:t>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洛车乡经济发展、改善人民生活、保持农村社会稳定、偿还乡乡和村级债务、搞好场乡建设和加快新农村基础设施建设工作。</w:t>
      </w:r>
    </w:p>
    <w:p>
      <w:pPr>
        <w:pStyle w:val="15"/>
        <w:adjustRightInd w:val="0"/>
        <w:snapToGrid w:val="0"/>
        <w:spacing w:beforeLines="0" w:before="93" w:line="600" w:lineRule="exact"/>
        <w:ind w:firstLineChars="209" w:firstLine="672"/>
        <w:outlineLvl w:val="2"/>
        <w:rPr>
          <w:rFonts w:ascii="楷体" w:eastAsia="楷体" w:cs="楷体" w:hint="eastAsia"/>
          <w:bCs/>
          <w:color w:val="000000"/>
          <w:sz w:val="32"/>
          <w:szCs w:val="32"/>
        </w:rPr>
      </w:pPr>
      <w:bookmarkStart w:id="18" w:name="_Toc15377199"/>
      <w:bookmarkStart w:id="19" w:name="_Toc15378446"/>
      <w:r>
        <w:rPr>
          <w:rFonts w:ascii="楷体" w:eastAsia="楷体" w:cs="楷体" w:hint="eastAsia"/>
          <w:bCs/>
          <w:color w:val="000000"/>
          <w:sz w:val="32"/>
          <w:szCs w:val="32"/>
        </w:rPr>
        <w:t>（二）2018年重点工作完成情况。</w:t>
      </w:r>
      <w:bookmarkEnd w:id="18"/>
      <w:bookmarkEnd w:id="19"/>
    </w:p>
    <w:p>
      <w:pPr>
        <w:spacing w:line="570" w:lineRule="exact"/>
        <w:ind w:firstLineChars="200" w:firstLine="640"/>
        <w:rPr>
          <w:rFonts w:ascii="仿宋_GB2312" w:eastAsia="仿宋_GB2312" w:cs="仿宋_GB2312"/>
          <w:sz w:val="32"/>
          <w:szCs w:val="32"/>
        </w:rPr>
      </w:pPr>
      <w:bookmarkStart w:id="20" w:name="_Toc15377200"/>
      <w:bookmarkStart w:id="21" w:name="_Toc15396601"/>
      <w:r>
        <w:rPr>
          <w:rFonts w:ascii="仿宋_GB2312" w:eastAsia="仿宋_GB2312" w:cs="仿宋_GB2312" w:hint="eastAsia"/>
          <w:sz w:val="32"/>
          <w:szCs w:val="32"/>
          <w:lang w:val="en-US" w:eastAsia="zh-CN"/>
        </w:rPr>
        <w:t>1、</w:t>
      </w:r>
      <w:r>
        <w:rPr>
          <w:rFonts w:ascii="仿宋_GB2312" w:eastAsia="仿宋_GB2312" w:cs="仿宋_GB2312" w:hint="eastAsia"/>
          <w:sz w:val="32"/>
          <w:szCs w:val="32"/>
        </w:rPr>
        <w:t>经济发展工作。2018年，我乡认真对照区委、区政府下达的目标任务，积极开展各项工作，主要经济指标实现了预期增速。完成地区生产总值（GDP）9251万元，较2017年同比增长9%；农民人均纯收入达11842元，较上年增长1927元，增比12%，人民幸福指数明显提升。</w:t>
      </w:r>
    </w:p>
    <w:p>
      <w:pPr>
        <w:spacing w:line="570" w:lineRule="exact"/>
        <w:ind w:firstLine="640"/>
        <w:rPr>
          <w:rFonts w:ascii="仿宋_GB2312" w:eastAsia="仿宋_GB2312" w:cs="仿宋_GB2312"/>
          <w:sz w:val="32"/>
          <w:szCs w:val="32"/>
        </w:rPr>
      </w:pPr>
      <w:r>
        <w:rPr>
          <w:rFonts w:ascii="仿宋_GB2312" w:eastAsia="仿宋_GB2312" w:cs="仿宋_GB2312" w:hint="eastAsia"/>
          <w:sz w:val="32"/>
          <w:szCs w:val="32"/>
          <w:lang w:val="en-US" w:eastAsia="zh-CN"/>
        </w:rPr>
        <w:t>2、</w:t>
      </w:r>
      <w:r>
        <w:rPr>
          <w:rFonts w:ascii="仿宋_GB2312" w:eastAsia="仿宋_GB2312" w:cs="仿宋_GB2312" w:hint="eastAsia"/>
          <w:sz w:val="32"/>
          <w:szCs w:val="32"/>
        </w:rPr>
        <w:t>国土资源管理工作。年初与各村和乡级有关部门签订了耕地保护暨国土资源管理目标责任书13份，全面加强耕地保护，严厉打击土地、矿产资源违法行为，辖区内未发生一起破坏基本农田保护区和非法占地采矿的行为；组织开展地质灾害应急演练1次，进一步加强了广大干群地灾防治的意识和能力；配合区国土局解决土地整理遗留问题1个，主动介入调解村民土地纠纷2次，切实维护了群众正当合法权益；有序推进土地“双挂钩”项目，逐步完成规划地块拆旧复垦工作，在原有基础上新增建设用地指标10亩，目前正待相关部门进行验收。</w:t>
      </w:r>
    </w:p>
    <w:p>
      <w:pPr>
        <w:spacing w:line="570" w:lineRule="exact"/>
        <w:ind w:firstLine="640"/>
        <w:rPr>
          <w:rFonts w:ascii="仿宋_GB2312" w:eastAsia="仿宋_GB2312" w:cs="仿宋_GB2312"/>
          <w:sz w:val="32"/>
          <w:szCs w:val="32"/>
        </w:rPr>
      </w:pPr>
      <w:r>
        <w:rPr>
          <w:rFonts w:ascii="仿宋_GB2312" w:eastAsia="仿宋_GB2312" w:cs="仿宋_GB2312" w:hint="eastAsia"/>
          <w:sz w:val="32"/>
          <w:szCs w:val="32"/>
          <w:lang w:val="en-US" w:eastAsia="zh-CN"/>
        </w:rPr>
        <w:t>3、</w:t>
      </w:r>
      <w:r>
        <w:rPr>
          <w:rFonts w:ascii="仿宋_GB2312" w:eastAsia="仿宋_GB2312" w:cs="仿宋_GB2312" w:hint="eastAsia"/>
          <w:sz w:val="32"/>
          <w:szCs w:val="32"/>
        </w:rPr>
        <w:t>场镇基础设施建设。按照乡脱贫“三有”标准，积极加强协调对接，在规定时间节点内有序推进了乡中心卫生院达标建设，并于10月底顺利完工投用，过程中未发生任何安全事故；加强对乡垃圾转运站的管理，定期组织人员将全乡生活垃圾运至达州佳境环保再生资源有限公司进行集中无害化处理，进一步改善了群众生活环境。</w:t>
      </w:r>
    </w:p>
    <w:p>
      <w:pPr>
        <w:spacing w:line="570" w:lineRule="exact"/>
        <w:ind w:firstLine="640"/>
        <w:rPr>
          <w:rFonts w:ascii="仿宋_GB2312" w:eastAsia="仿宋_GB2312" w:cs="仿宋_GB2312"/>
          <w:sz w:val="32"/>
          <w:szCs w:val="32"/>
        </w:rPr>
      </w:pPr>
      <w:r>
        <w:rPr>
          <w:rFonts w:ascii="仿宋_GB2312" w:eastAsia="仿宋_GB2312" w:cs="仿宋_GB2312" w:hint="eastAsia"/>
          <w:sz w:val="32"/>
          <w:szCs w:val="32"/>
          <w:lang w:val="en-US" w:eastAsia="zh-CN"/>
        </w:rPr>
        <w:t>4、</w:t>
      </w:r>
      <w:r>
        <w:rPr>
          <w:rFonts w:ascii="仿宋_GB2312" w:eastAsia="仿宋_GB2312" w:cs="仿宋_GB2312" w:hint="eastAsia"/>
          <w:sz w:val="32"/>
          <w:szCs w:val="32"/>
        </w:rPr>
        <w:t>交通建设工作。有效整合人力、物力、财力等要素，全年共新修硬化村社道路8.739公里，同时主动配合上级交通部门完成了对石桥镇至寒坡岭村岔路口、石桥镇至关山村的道路翻修硬化，全力以赴做好了渡改桥项目和省道204洛车段建设的土地占用和房屋拆迁等协调服务工作。目前，项目正在紧锣密鼓地有序施工中。</w:t>
      </w:r>
    </w:p>
    <w:p>
      <w:pPr>
        <w:spacing w:line="570" w:lineRule="exact"/>
        <w:ind w:firstLine="640"/>
        <w:rPr>
          <w:rFonts w:ascii="仿宋_GB2312" w:eastAsia="仿宋_GB2312" w:cs="仿宋_GB2312"/>
          <w:sz w:val="32"/>
          <w:szCs w:val="32"/>
        </w:rPr>
      </w:pPr>
      <w:r>
        <w:rPr>
          <w:rFonts w:ascii="仿宋_GB2312" w:eastAsia="仿宋_GB2312" w:cs="仿宋_GB2312" w:hint="eastAsia"/>
          <w:sz w:val="32"/>
          <w:szCs w:val="32"/>
          <w:lang w:val="en-US" w:eastAsia="zh-CN"/>
        </w:rPr>
        <w:t>5、</w:t>
      </w:r>
      <w:r>
        <w:rPr>
          <w:rFonts w:ascii="仿宋_GB2312" w:eastAsia="仿宋_GB2312" w:cs="仿宋_GB2312" w:hint="eastAsia"/>
          <w:sz w:val="32"/>
          <w:szCs w:val="32"/>
        </w:rPr>
        <w:t>财政管理工作。配合上级相关部门开展财政资金收入和使用检查审计，及时整改了白条入账、账目不规范等问题4个，进一步规范了财政运行；坚决执行《预算法》和《会计法》，加强对乡财力保障资金、农村公共服务运行维护资金、扶贫专项资金的管理，严控“三公经费”支出，没有发生违规使用财政资金的行为；同时，注重加强国有资产管理，如实统计、上报，未出现资产流失的现象。</w:t>
      </w:r>
    </w:p>
    <w:p>
      <w:pPr>
        <w:spacing w:line="570" w:lineRule="exact"/>
        <w:ind w:firstLine="640"/>
        <w:rPr>
          <w:rFonts w:ascii="仿宋_GB2312" w:eastAsia="仿宋_GB2312" w:cs="仿宋_GB2312"/>
          <w:sz w:val="32"/>
          <w:szCs w:val="32"/>
        </w:rPr>
      </w:pPr>
      <w:r>
        <w:rPr>
          <w:rFonts w:ascii="仿宋_GB2312" w:eastAsia="仿宋_GB2312" w:cs="仿宋_GB2312" w:hint="eastAsia"/>
          <w:sz w:val="32"/>
          <w:szCs w:val="32"/>
          <w:lang w:val="en-US" w:eastAsia="zh-CN"/>
        </w:rPr>
        <w:t>6、</w:t>
      </w:r>
      <w:r>
        <w:rPr>
          <w:rFonts w:ascii="仿宋_GB2312" w:eastAsia="仿宋_GB2312" w:cs="仿宋_GB2312" w:hint="eastAsia"/>
          <w:sz w:val="32"/>
          <w:szCs w:val="32"/>
        </w:rPr>
        <w:t>统计工作。进一步健全完善了数据统计工作机制，在组织专人进行业务工作培训的基础上，不断扩充人员力量，逐一进行了入户调查，及时完成了全国第四次经济普查工作，不断推进了基层统计规范化建设。</w:t>
      </w:r>
    </w:p>
    <w:p>
      <w:pPr>
        <w:spacing w:line="57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lang w:val="en-US" w:eastAsia="zh-CN"/>
        </w:rPr>
        <w:t>7、</w:t>
      </w:r>
      <w:r>
        <w:rPr>
          <w:rFonts w:ascii="仿宋_GB2312" w:eastAsia="仿宋_GB2312" w:cs="仿宋_GB2312" w:hint="eastAsia"/>
          <w:sz w:val="32"/>
          <w:szCs w:val="32"/>
        </w:rPr>
        <w:t>农业生产。积极调整农业产业结构，严控耕地撂荒，全年实现粮食种植面积20347亩，总产量7904吨，较去年增产12 %；动员农民稳种稳产，全乡种植“达川贡米”3600亩，种植蔬菜2207亩、油菜3881亩，且农药、化肥较去年使用量基本持平；强化组织宣传，抽调精干力量，全面完成新一轮农村产权确权登记颁证工作，覆盖率达100%。</w:t>
      </w:r>
    </w:p>
    <w:p>
      <w:pPr>
        <w:spacing w:line="570" w:lineRule="exact"/>
        <w:ind w:firstLine="640"/>
        <w:rPr>
          <w:rFonts w:ascii="仿宋_GB2312" w:eastAsia="仿宋_GB2312" w:cs="仿宋_GB2312"/>
          <w:sz w:val="32"/>
          <w:szCs w:val="32"/>
        </w:rPr>
      </w:pPr>
      <w:r>
        <w:rPr>
          <w:rFonts w:ascii="仿宋_GB2312" w:eastAsia="仿宋_GB2312" w:cs="仿宋_GB2312" w:hint="eastAsia"/>
          <w:sz w:val="32"/>
          <w:szCs w:val="32"/>
          <w:lang w:val="en-US" w:eastAsia="zh-CN"/>
        </w:rPr>
        <w:t>8、</w:t>
      </w:r>
      <w:r>
        <w:rPr>
          <w:rFonts w:ascii="仿宋_GB2312" w:eastAsia="仿宋_GB2312" w:cs="仿宋_GB2312" w:hint="eastAsia"/>
          <w:sz w:val="32"/>
          <w:szCs w:val="32"/>
        </w:rPr>
        <w:t>农田水利基本建设。一是通过争取项目和资金，全年整治维修病险塘库3口，新修水渠1700米、生产便道13.9公里、集中供水工程4个，维修蓄水池1口、对灌区清淤3.2公里，有力改善了农村农业生产生活条件；二是加大水利工程安全管理和日常维护，认真做好了汛末蓄水保水工作，未发生任何旱情；三是进一步落实“河长制”工作要求，积极发动群众参与河道、堰塘、沟渠的保洁及水质监督等行动，坚决打击各类涉水违法行为，有效保护了境内水利环境。</w:t>
      </w:r>
    </w:p>
    <w:p>
      <w:pPr>
        <w:spacing w:line="570" w:lineRule="exact"/>
        <w:ind w:firstLineChars="200" w:firstLine="640"/>
        <w:rPr>
          <w:rFonts w:ascii="仿宋_GB2312" w:eastAsia="仿宋_GB2312" w:cs="仿宋_GB2312"/>
          <w:sz w:val="32"/>
          <w:szCs w:val="32"/>
        </w:rPr>
      </w:pPr>
      <w:r>
        <w:rPr>
          <w:rFonts w:ascii="仿宋_GB2312" w:eastAsia="仿宋_GB2312" w:cs="仿宋_GB2312" w:hint="eastAsia"/>
          <w:sz w:val="32"/>
          <w:szCs w:val="32"/>
          <w:lang w:val="en-US" w:eastAsia="zh-CN"/>
        </w:rPr>
        <w:t>9、</w:t>
      </w:r>
      <w:r>
        <w:rPr>
          <w:rFonts w:ascii="仿宋_GB2312" w:eastAsia="仿宋_GB2312" w:cs="仿宋_GB2312" w:hint="eastAsia"/>
          <w:sz w:val="32"/>
          <w:szCs w:val="32"/>
        </w:rPr>
        <w:t>林业工作。</w:t>
      </w:r>
      <w:r>
        <w:rPr>
          <w:rFonts w:ascii="仿宋_GB2312" w:eastAsia="仿宋_GB2312" w:cs="仿宋_GB2312" w:hint="eastAsia"/>
          <w:bCs/>
          <w:sz w:val="32"/>
          <w:szCs w:val="32"/>
        </w:rPr>
        <w:t>一是及时成立年度森林防火工作领导小组，修订完善了森林防火应急预案，与各村及相关部门签订责任状12份，全面落实了工作责任；通过设置公益性岗位，先后配置了13名护林员，通过强化日常教育和巡查，境内全年未发生一起森林火灾；乡村两级有效联动，及时开展了松材线虫病防治工作，最大可能地降低了森林有害生物灾害影响；加强对林木、林地保护管理，严格林地用途管制，全乡未有乱砍滥伐事件和毁林、违法占用林地案件发生。</w:t>
      </w:r>
    </w:p>
    <w:p>
      <w:pPr>
        <w:spacing w:line="570" w:lineRule="exact"/>
        <w:ind w:firstLineChars="200" w:firstLine="640"/>
        <w:rPr>
          <w:rFonts w:ascii="仿宋_GB2312" w:eastAsia="仿宋_GB2312" w:cs="仿宋_GB2312"/>
          <w:sz w:val="32"/>
          <w:szCs w:val="32"/>
        </w:rPr>
      </w:pPr>
      <w:r>
        <w:rPr>
          <w:rFonts w:ascii="仿宋_GB2312" w:eastAsia="仿宋_GB2312" w:cs="仿宋_GB2312" w:hint="eastAsia"/>
          <w:sz w:val="32"/>
          <w:szCs w:val="32"/>
          <w:lang w:val="en-US" w:eastAsia="zh-CN"/>
        </w:rPr>
        <w:t>10、</w:t>
      </w:r>
      <w:r>
        <w:rPr>
          <w:rFonts w:ascii="仿宋_GB2312" w:eastAsia="仿宋_GB2312" w:cs="仿宋_GB2312" w:hint="eastAsia"/>
          <w:sz w:val="32"/>
          <w:szCs w:val="32"/>
        </w:rPr>
        <w:t>畜牧工作。2018年，我乡畜禽养殖业进一步壮大，先后成立农业专业合作社1个，培育种养大户17户，新建家庭农场1个，实现生猪年出栏620余头、家禽18000余只、牛羊400余头。同时，集中力量完成畜禽免疫和消杀任务，重大动物防疫密度高达100%，有效抗体达95%以上，全覆盖开展非洲猪瘟宣传和防治工作，境内无重大畜产品质量安全事故发生。</w:t>
      </w:r>
    </w:p>
    <w:p>
      <w:pPr>
        <w:spacing w:line="570" w:lineRule="exact"/>
        <w:ind w:firstLineChars="200" w:firstLine="640"/>
        <w:rPr>
          <w:rFonts w:ascii="仿宋_GB2312" w:eastAsia="仿宋_GB2312" w:cs="仿宋_GB2312"/>
          <w:sz w:val="32"/>
          <w:szCs w:val="32"/>
        </w:rPr>
      </w:pPr>
      <w:r>
        <w:rPr>
          <w:rFonts w:ascii="仿宋_GB2312" w:eastAsia="仿宋_GB2312" w:cs="仿宋_GB2312" w:hint="eastAsia"/>
          <w:sz w:val="32"/>
          <w:szCs w:val="32"/>
          <w:lang w:val="en-US" w:eastAsia="zh-CN"/>
        </w:rPr>
        <w:t>11、</w:t>
      </w:r>
      <w:r>
        <w:rPr>
          <w:rFonts w:ascii="仿宋_GB2312" w:eastAsia="仿宋_GB2312" w:cs="仿宋_GB2312" w:hint="eastAsia"/>
          <w:sz w:val="32"/>
          <w:szCs w:val="32"/>
        </w:rPr>
        <w:t>农村危房改造工作。多次召开会议宣传农村危房改造的相关政策，在强化业务培训的基础上，由规建办开展对危改申请户的调查摸底，严格程序审核和工程质量监管，先后组织实施了“四类人员”危房改造130户、非贫困户危房改造19户，并同步推进了农房局部维修和“两改一整治”工作，群众住居条件不断改善。</w:t>
      </w:r>
    </w:p>
    <w:p>
      <w:pPr>
        <w:spacing w:line="570" w:lineRule="exact"/>
        <w:ind w:firstLineChars="200" w:firstLine="640"/>
        <w:rPr>
          <w:rFonts w:ascii="楷体" w:eastAsia="楷体" w:cs="楷体"/>
          <w:sz w:val="32"/>
          <w:szCs w:val="32"/>
        </w:rPr>
      </w:pPr>
      <w:r>
        <w:rPr>
          <w:rFonts w:ascii="楷体" w:eastAsia="楷体" w:cs="楷体" w:hint="eastAsia"/>
          <w:sz w:val="32"/>
          <w:szCs w:val="32"/>
        </w:rPr>
        <w:t>二、机构设置</w:t>
      </w:r>
      <w:bookmarkEnd w:id="20"/>
      <w:bookmarkEnd w:id="21"/>
    </w:p>
    <w:p>
      <w:pPr>
        <w:spacing w:line="570" w:lineRule="exact"/>
        <w:ind w:firstLineChars="200" w:firstLine="640"/>
        <w:rPr>
          <w:rFonts w:ascii="仿宋_GB2312" w:eastAsia="仿宋_GB2312"/>
          <w:kern w:val="0"/>
          <w:sz w:val="32"/>
          <w:szCs w:val="32"/>
        </w:rPr>
      </w:pPr>
      <w:bookmarkStart w:id="22" w:name="_Toc15377204"/>
      <w:bookmarkStart w:id="23" w:name="_Toc15396602"/>
      <w:r>
        <w:rPr>
          <w:rFonts w:hint="eastAsia"/>
          <w:kern w:val="0"/>
          <w:sz w:val="32"/>
          <w:szCs w:val="32"/>
        </w:rPr>
        <w:t>洛车</w:t>
      </w:r>
      <w:r>
        <w:rPr>
          <w:rFonts w:ascii="仿宋_GB2312" w:eastAsia="仿宋_GB2312" w:hint="eastAsia"/>
          <w:kern w:val="0"/>
          <w:sz w:val="32"/>
          <w:szCs w:val="32"/>
        </w:rPr>
        <w:t>乡下属二级单位4个，其中行政单位1个，其他事业单位3个。</w:t>
      </w:r>
    </w:p>
    <w:p>
      <w:pPr>
        <w:spacing w:line="570" w:lineRule="exact"/>
        <w:ind w:firstLineChars="200" w:firstLine="640"/>
        <w:rPr>
          <w:rFonts w:ascii="仿宋_GB2312" w:eastAsia="仿宋_GB2312"/>
          <w:kern w:val="0"/>
          <w:sz w:val="32"/>
          <w:szCs w:val="32"/>
        </w:rPr>
      </w:pPr>
    </w:p>
    <w:p>
      <w:pPr>
        <w:spacing w:line="570" w:lineRule="exact"/>
        <w:ind w:firstLineChars="200" w:firstLine="640"/>
        <w:rPr>
          <w:rFonts w:ascii="仿宋_GB2312" w:eastAsia="仿宋_GB2312"/>
          <w:kern w:val="0"/>
          <w:sz w:val="32"/>
          <w:szCs w:val="32"/>
        </w:rPr>
      </w:pPr>
    </w:p>
    <w:p>
      <w:pPr>
        <w:spacing w:line="570" w:lineRule="exact"/>
        <w:ind w:firstLineChars="200" w:firstLine="640"/>
        <w:rPr>
          <w:rFonts w:ascii="仿宋_GB2312" w:eastAsia="仿宋_GB2312"/>
          <w:kern w:val="0"/>
          <w:sz w:val="32"/>
          <w:szCs w:val="32"/>
        </w:rPr>
      </w:pPr>
    </w:p>
    <w:p>
      <w:pPr>
        <w:pStyle w:val="2"/>
        <w:ind w:firstLineChars="200" w:firstLine="640"/>
        <w:rPr>
          <w:rStyle w:val="1Char"/>
          <w:rFonts w:ascii="黑体" w:eastAsia="黑体"/>
          <w:b w:val="0"/>
          <w:bCs w:val="0"/>
        </w:rPr>
      </w:pPr>
      <w:r>
        <w:rPr>
          <w:rFonts w:ascii="黑体" w:eastAsia="黑体" w:hint="eastAsia"/>
          <w:b w:val="0"/>
          <w:color w:val="000000"/>
        </w:rPr>
        <w:t>第二部分</w:t>
      </w:r>
      <w:r>
        <w:rPr>
          <w:rStyle w:val="1Char"/>
          <w:rFonts w:ascii="黑体" w:eastAsia="黑体" w:hint="eastAsia"/>
          <w:b w:val="0"/>
          <w:bCs w:val="0"/>
        </w:rPr>
        <w:t>2018年度部门决算情况说明</w:t>
      </w:r>
      <w:bookmarkEnd w:id="22"/>
      <w:bookmarkEnd w:id="23"/>
    </w:p>
    <w:p/>
    <w:p>
      <w:pPr>
        <w:pStyle w:val="28"/>
        <w:numPr>
          <w:ilvl w:val="0"/>
          <w:numId w:val="1"/>
        </w:numPr>
        <w:spacing w:line="600" w:lineRule="exact"/>
        <w:ind w:firstLineChars="0"/>
        <w:outlineLvl w:val="1"/>
        <w:rPr>
          <w:rStyle w:val="2Char"/>
          <w:rFonts w:ascii="黑体" w:eastAsia="黑体"/>
          <w:b w:val="0"/>
        </w:rPr>
      </w:pPr>
      <w:bookmarkStart w:id="24" w:name="_Toc15377205"/>
      <w:bookmarkStart w:id="25" w:name="_Toc15396603"/>
      <w:r>
        <w:rPr>
          <w:rFonts w:ascii="黑体" w:eastAsia="黑体" w:hint="eastAsia"/>
          <w:color w:val="000000"/>
          <w:sz w:val="32"/>
          <w:szCs w:val="32"/>
        </w:rPr>
        <w:t>收</w:t>
      </w:r>
      <w:r>
        <w:rPr>
          <w:rStyle w:val="2Char"/>
          <w:rFonts w:ascii="黑体" w:eastAsia="黑体" w:hint="eastAsia"/>
          <w:b w:val="0"/>
        </w:rPr>
        <w:t>入支出决算总体情况说明</w:t>
      </w:r>
      <w:bookmarkEnd w:id="24"/>
      <w:bookmarkEnd w:id="25"/>
    </w:p>
    <w:p>
      <w:pPr>
        <w:spacing w:line="60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2018年度收、支总计1049.19万元。与2017年相比，收、支总计各增加63.3万元，增长6.39%。主要变动原因是基础设施项目增加。</w:t>
      </w:r>
    </w:p>
    <w:p>
      <w:pPr>
        <w:pStyle w:val="28"/>
        <w:numPr>
          <w:ilvl w:val="0"/>
          <w:numId w:val="1"/>
        </w:numPr>
        <w:spacing w:line="600" w:lineRule="exact"/>
        <w:ind w:firstLineChars="0"/>
        <w:outlineLvl w:val="1"/>
        <w:rPr>
          <w:rStyle w:val="2Char"/>
          <w:rFonts w:ascii="黑体" w:eastAsia="黑体"/>
          <w:b w:val="0"/>
        </w:rPr>
      </w:pPr>
      <w:bookmarkStart w:id="26" w:name="_Toc15396604"/>
      <w:bookmarkStart w:id="27" w:name="_Toc15377206"/>
      <w:r>
        <w:rPr>
          <w:rFonts w:ascii="黑体" w:eastAsia="黑体" w:hint="eastAsia"/>
          <w:color w:val="000000"/>
          <w:sz w:val="32"/>
          <w:szCs w:val="32"/>
        </w:rPr>
        <w:t>收</w:t>
      </w:r>
      <w:r>
        <w:rPr>
          <w:rStyle w:val="2Char"/>
          <w:rFonts w:ascii="黑体" w:eastAsia="黑体" w:hint="eastAsia"/>
          <w:b w:val="0"/>
        </w:rPr>
        <w:t>入决算情况说明</w:t>
      </w:r>
      <w:bookmarkEnd w:id="26"/>
      <w:bookmarkEnd w:id="27"/>
    </w:p>
    <w:p>
      <w:pPr>
        <w:spacing w:line="600" w:lineRule="exact"/>
        <w:ind w:firstLineChars="200" w:firstLine="640"/>
        <w:outlineLvl w:val="1"/>
        <w:rPr>
          <w:rFonts w:ascii="仿宋_GB2312" w:eastAsia="仿宋_GB2312" w:cs="仿宋_GB2312"/>
          <w:color w:val="000000"/>
          <w:sz w:val="32"/>
          <w:szCs w:val="32"/>
        </w:rPr>
      </w:pPr>
      <w:r>
        <w:rPr>
          <w:rFonts w:ascii="仿宋_GB2312" w:eastAsia="仿宋_GB2312" w:cs="仿宋_GB2312" w:hint="eastAsia"/>
          <w:color w:val="000000"/>
          <w:sz w:val="32"/>
          <w:szCs w:val="32"/>
        </w:rPr>
        <w:t>2018年本年收入合计1049.19万元，其中：一般公共预算财政拨款收入1021.19万元，占97.33%；政府性基金预算财政拨款收入28万元，占2.67%；国有资本经营预算财政拨款收入0万元，占0%；事业收入0万元，占0%；经营收入0万元，占0%；附属单位上缴收入0万元，占0%；其他收入0万元，占0%。</w:t>
      </w:r>
    </w:p>
    <w:p>
      <w:pPr>
        <w:pStyle w:val="28"/>
        <w:numPr>
          <w:ilvl w:val="0"/>
          <w:numId w:val="1"/>
        </w:numPr>
        <w:spacing w:line="600" w:lineRule="exact"/>
        <w:ind w:firstLineChars="0"/>
        <w:outlineLvl w:val="1"/>
        <w:rPr>
          <w:rStyle w:val="2Char"/>
          <w:rFonts w:ascii="黑体" w:eastAsia="黑体"/>
          <w:b w:val="0"/>
        </w:rPr>
      </w:pPr>
      <w:bookmarkStart w:id="28" w:name="_Toc15396605"/>
      <w:bookmarkStart w:id="29" w:name="_Toc15377207"/>
      <w:r>
        <w:rPr>
          <w:rFonts w:ascii="黑体" w:eastAsia="黑体" w:hint="eastAsia"/>
          <w:color w:val="000000"/>
          <w:sz w:val="32"/>
          <w:szCs w:val="32"/>
        </w:rPr>
        <w:t>支</w:t>
      </w:r>
      <w:r>
        <w:rPr>
          <w:rStyle w:val="2Char"/>
          <w:rFonts w:ascii="黑体" w:eastAsia="黑体" w:hint="eastAsia"/>
          <w:b w:val="0"/>
        </w:rPr>
        <w:t>出决算情况说明</w:t>
      </w:r>
      <w:bookmarkEnd w:id="28"/>
      <w:bookmarkEnd w:id="29"/>
    </w:p>
    <w:p>
      <w:pPr>
        <w:spacing w:line="600" w:lineRule="exact"/>
        <w:ind w:firstLine="640"/>
        <w:rPr>
          <w:rFonts w:ascii="仿宋_GB2312" w:eastAsia="仿宋_GB2312" w:cs="仿宋_GB2312"/>
          <w:color w:val="000000"/>
          <w:sz w:val="32"/>
          <w:szCs w:val="32"/>
          <w:shd w:val="pct10" w:color="auto" w:fill="FFFFFF"/>
        </w:rPr>
      </w:pPr>
      <w:r>
        <w:rPr>
          <w:rFonts w:ascii="仿宋_GB2312" w:eastAsia="仿宋_GB2312" w:cs="仿宋_GB2312" w:hint="eastAsia"/>
          <w:color w:val="000000"/>
          <w:sz w:val="32"/>
          <w:szCs w:val="32"/>
        </w:rPr>
        <w:t>2018年本年支出合计1049.19万元，其中：基本支出718.84万元，占68.51%；项目支出330.35万元，占31.49%；上缴上级支出0万元，占0%；经营支出0万元，占0%；对附属单位补助支出0万元，占0%。</w:t>
      </w:r>
    </w:p>
    <w:p>
      <w:pPr>
        <w:spacing w:line="600" w:lineRule="exact"/>
        <w:ind w:firstLineChars="200" w:firstLine="640"/>
        <w:outlineLvl w:val="1"/>
        <w:rPr>
          <w:rStyle w:val="2Char"/>
          <w:rFonts w:ascii="黑体" w:eastAsia="黑体"/>
          <w:b w:val="0"/>
        </w:rPr>
      </w:pPr>
      <w:bookmarkStart w:id="30" w:name="_Toc15396606"/>
      <w:bookmarkStart w:id="31" w:name="_Toc15377208"/>
      <w:r>
        <w:rPr>
          <w:rFonts w:ascii="黑体" w:eastAsia="黑体" w:hint="eastAsia"/>
          <w:color w:val="000000"/>
          <w:sz w:val="32"/>
          <w:szCs w:val="32"/>
        </w:rPr>
        <w:t>四、财</w:t>
      </w:r>
      <w:r>
        <w:rPr>
          <w:rStyle w:val="2Char"/>
          <w:rFonts w:ascii="黑体" w:eastAsia="黑体" w:hint="eastAsia"/>
          <w:b w:val="0"/>
        </w:rPr>
        <w:t>政拨款收入支出决算总体情况说明</w:t>
      </w:r>
      <w:bookmarkEnd w:id="30"/>
      <w:bookmarkEnd w:id="31"/>
    </w:p>
    <w:p>
      <w:pPr>
        <w:spacing w:line="600" w:lineRule="exact"/>
        <w:ind w:firstLineChars="200" w:firstLine="640"/>
        <w:rPr>
          <w:rFonts w:ascii="仿宋" w:eastAsia="仿宋"/>
          <w:color w:val="000000"/>
          <w:sz w:val="32"/>
          <w:szCs w:val="32"/>
        </w:rPr>
      </w:pPr>
      <w:r>
        <w:rPr>
          <w:rFonts w:ascii="仿宋_GB2312" w:eastAsia="仿宋_GB2312" w:cs="仿宋_GB2312" w:hint="eastAsia"/>
          <w:color w:val="000000"/>
          <w:sz w:val="32"/>
          <w:szCs w:val="32"/>
        </w:rPr>
        <w:t>2018年财政拨款收、支总计1049.19万元。与2017年相比，财政拨款收、支总计各增加63.3万元，增长6.39%。主要变动原因是基础设施项目增加。</w:t>
      </w:r>
    </w:p>
    <w:p>
      <w:pPr>
        <w:spacing w:line="600" w:lineRule="exact"/>
        <w:ind w:firstLineChars="200" w:firstLine="640"/>
        <w:outlineLvl w:val="1"/>
        <w:rPr>
          <w:rStyle w:val="2Char"/>
          <w:rFonts w:ascii="黑体" w:eastAsia="黑体"/>
          <w:b w:val="0"/>
        </w:rPr>
      </w:pPr>
      <w:bookmarkStart w:id="32" w:name="_Toc15377209"/>
      <w:bookmarkStart w:id="33" w:name="_Toc15396607"/>
      <w:r>
        <w:rPr>
          <w:rFonts w:ascii="黑体" w:eastAsia="黑体" w:hint="eastAsia"/>
          <w:color w:val="000000"/>
          <w:sz w:val="32"/>
          <w:szCs w:val="32"/>
        </w:rPr>
        <w:t>五、</w:t>
      </w:r>
      <w:r>
        <w:rPr>
          <w:rFonts w:ascii="黑体" w:eastAsia="黑体" w:hint="eastAsia"/>
          <w:b/>
          <w:color w:val="000000"/>
          <w:sz w:val="32"/>
          <w:szCs w:val="32"/>
        </w:rPr>
        <w:t>一</w:t>
      </w:r>
      <w:r>
        <w:rPr>
          <w:rStyle w:val="2Char"/>
          <w:rFonts w:ascii="黑体" w:eastAsia="黑体" w:hint="eastAsia"/>
          <w:b w:val="0"/>
        </w:rPr>
        <w:t>般公共预算财政拨款支出决算情况说明</w:t>
      </w:r>
      <w:bookmarkEnd w:id="32"/>
      <w:bookmarkEnd w:id="33"/>
    </w:p>
    <w:p>
      <w:pPr>
        <w:spacing w:line="600" w:lineRule="exact"/>
        <w:ind w:firstLineChars="200" w:firstLine="640"/>
        <w:outlineLvl w:val="2"/>
        <w:rPr>
          <w:rFonts w:ascii="仿宋" w:eastAsia="仿宋"/>
          <w:b/>
          <w:color w:val="000000"/>
          <w:sz w:val="32"/>
          <w:szCs w:val="32"/>
        </w:rPr>
      </w:pPr>
      <w:bookmarkStart w:id="34" w:name="_Toc15377210"/>
      <w:r>
        <w:rPr>
          <w:rFonts w:ascii="仿宋" w:eastAsia="仿宋" w:hint="eastAsia"/>
          <w:b/>
          <w:color w:val="000000"/>
          <w:sz w:val="32"/>
          <w:szCs w:val="32"/>
        </w:rPr>
        <w:t>（一）一般公共预算财政拨款支出决算总体情况</w:t>
      </w:r>
      <w:bookmarkEnd w:id="34"/>
    </w:p>
    <w:p>
      <w:pPr>
        <w:spacing w:line="600" w:lineRule="exact"/>
        <w:ind w:firstLineChars="200" w:firstLine="640"/>
        <w:rPr>
          <w:rFonts w:ascii="仿宋" w:eastAsia="仿宋"/>
          <w:color w:val="000000"/>
          <w:sz w:val="32"/>
          <w:szCs w:val="32"/>
        </w:rPr>
      </w:pPr>
      <w:r>
        <w:rPr>
          <w:rFonts w:ascii="仿宋_GB2312" w:eastAsia="仿宋_GB2312" w:cs="仿宋_GB2312" w:hint="eastAsia"/>
          <w:color w:val="000000"/>
          <w:sz w:val="32"/>
          <w:szCs w:val="32"/>
        </w:rPr>
        <w:t>2018年一般公共预算财政拨款支出1021.19万元，占本年支出合计的97.33%。与2017年相比，一般公共预算财政拨款增加45.3万元，增长4.64%。主要变动原因是基础设施项目增加。</w:t>
      </w:r>
    </w:p>
    <w:p>
      <w:pPr>
        <w:spacing w:line="600" w:lineRule="exact"/>
        <w:ind w:firstLineChars="200" w:firstLine="640"/>
        <w:outlineLvl w:val="2"/>
        <w:rPr>
          <w:rFonts w:ascii="仿宋" w:eastAsia="仿宋"/>
          <w:b/>
          <w:color w:val="000000"/>
          <w:sz w:val="32"/>
          <w:szCs w:val="32"/>
        </w:rPr>
      </w:pPr>
      <w:bookmarkStart w:id="35" w:name="_Toc15377211"/>
      <w:r>
        <w:rPr>
          <w:rFonts w:ascii="仿宋" w:eastAsia="仿宋" w:hint="eastAsia"/>
          <w:b/>
          <w:color w:val="000000"/>
          <w:sz w:val="32"/>
          <w:szCs w:val="32"/>
        </w:rPr>
        <w:t>（二）一般公共预算财政拨款支出决算结构情况</w:t>
      </w:r>
      <w:bookmarkEnd w:id="35"/>
    </w:p>
    <w:p>
      <w:pPr>
        <w:spacing w:line="600" w:lineRule="exact"/>
        <w:ind w:firstLine="640"/>
        <w:rPr>
          <w:rFonts w:ascii="仿宋" w:eastAsia="仿宋"/>
          <w:color w:val="000000"/>
          <w:sz w:val="32"/>
          <w:szCs w:val="32"/>
        </w:rPr>
      </w:pPr>
      <w:r>
        <w:rPr>
          <w:rFonts w:ascii="仿宋_GB2312" w:eastAsia="仿宋_GB2312" w:hint="eastAsia"/>
          <w:color w:val="000000"/>
          <w:sz w:val="32"/>
          <w:szCs w:val="32"/>
        </w:rPr>
        <w:t>洛车乡政府2018年一般公共预算财政拨款支出1021.19万元，主要用于以下方面:一般公共服务支出352.78万元，占34.55%；文化体育与传媒支出30.64万元，占3%；社会保障和就业支出195.59万元，占19.15%；医疗卫生与计划生育支出38.36万元，占3.76%；城乡社区支出23.38万元,占2.29%;农林水支出311.28万元,占30.48%;其他支出50万元,占4.89%;住房保障支出19.16万元，占1.88%。</w:t>
      </w:r>
    </w:p>
    <w:p>
      <w:pPr>
        <w:spacing w:line="600" w:lineRule="exact"/>
        <w:ind w:firstLineChars="200" w:firstLine="640"/>
        <w:outlineLvl w:val="2"/>
        <w:rPr>
          <w:rFonts w:ascii="仿宋" w:eastAsia="仿宋"/>
          <w:b/>
          <w:color w:val="000000"/>
          <w:sz w:val="32"/>
          <w:szCs w:val="32"/>
        </w:rPr>
      </w:pPr>
      <w:bookmarkStart w:id="36" w:name="_Toc15377212"/>
      <w:r>
        <w:rPr>
          <w:rFonts w:ascii="仿宋" w:eastAsia="仿宋" w:hint="eastAsia"/>
          <w:b/>
          <w:color w:val="000000"/>
          <w:sz w:val="32"/>
          <w:szCs w:val="32"/>
        </w:rPr>
        <w:t>（三）一般公共预算财政拨款支出决算具体情况</w:t>
      </w:r>
      <w:bookmarkEnd w:id="36"/>
    </w:p>
    <w:p>
      <w:pPr>
        <w:spacing w:line="600" w:lineRule="exact"/>
        <w:ind w:firstLineChars="200" w:firstLine="640"/>
        <w:outlineLvl w:val="2"/>
        <w:rPr>
          <w:rFonts w:ascii="仿宋" w:eastAsia="仿宋"/>
          <w:color w:val="FF0000"/>
          <w:sz w:val="32"/>
          <w:szCs w:val="32"/>
        </w:rPr>
      </w:pPr>
      <w:bookmarkStart w:id="37" w:name="_Toc15377213"/>
      <w:bookmarkStart w:id="38" w:name="_Toc15378460"/>
      <w:bookmarkStart w:id="39" w:name="_Toc15377444"/>
      <w:r>
        <w:rPr>
          <w:rFonts w:ascii="仿宋" w:eastAsia="仿宋" w:hint="eastAsia"/>
          <w:b/>
          <w:color w:val="000000"/>
          <w:sz w:val="32"/>
          <w:szCs w:val="32"/>
        </w:rPr>
        <w:t>2018年般公共预算支出决算数为1021.19万元</w:t>
      </w:r>
      <w:r>
        <w:rPr>
          <w:rFonts w:ascii="仿宋" w:eastAsia="仿宋" w:hint="eastAsia"/>
          <w:color w:val="000000"/>
          <w:sz w:val="32"/>
          <w:szCs w:val="32"/>
        </w:rPr>
        <w:t>，</w:t>
      </w:r>
      <w:r>
        <w:rPr>
          <w:rStyle w:val="22"/>
          <w:rFonts w:ascii="仿宋" w:eastAsia="仿宋" w:hint="eastAsia"/>
          <w:bCs/>
          <w:color w:val="000000"/>
          <w:sz w:val="32"/>
          <w:szCs w:val="32"/>
        </w:rPr>
        <w:t>完成预算100</w:t>
      </w:r>
      <w:r>
        <w:rPr>
          <w:rStyle w:val="22"/>
          <w:rFonts w:ascii="仿宋" w:eastAsia="仿宋"/>
          <w:bCs/>
          <w:color w:val="000000"/>
          <w:sz w:val="32"/>
          <w:szCs w:val="32"/>
        </w:rPr>
        <w:t>%</w:t>
      </w:r>
      <w:r>
        <w:rPr>
          <w:rStyle w:val="22"/>
          <w:rFonts w:ascii="仿宋" w:eastAsia="仿宋" w:hint="eastAsia"/>
          <w:bCs/>
          <w:color w:val="000000"/>
          <w:sz w:val="32"/>
          <w:szCs w:val="32"/>
        </w:rPr>
        <w:t>。其中：</w:t>
      </w:r>
      <w:bookmarkEnd w:id="37"/>
      <w:bookmarkEnd w:id="38"/>
      <w:bookmarkEnd w:id="39"/>
    </w:p>
    <w:p>
      <w:pPr>
        <w:spacing w:line="600" w:lineRule="exact"/>
        <w:ind w:firstLineChars="200" w:firstLine="640"/>
        <w:rPr>
          <w:rStyle w:val="22"/>
          <w:rFonts w:ascii="仿宋" w:eastAsia="仿宋"/>
          <w:b w:val="0"/>
          <w:bCs/>
          <w:color w:val="000000"/>
          <w:sz w:val="32"/>
          <w:szCs w:val="32"/>
        </w:rPr>
      </w:pPr>
      <w:r>
        <w:rPr>
          <w:rStyle w:val="22"/>
          <w:rFonts w:ascii="仿宋_GB2312" w:eastAsia="仿宋_GB2312" w:hint="eastAsia"/>
          <w:color w:val="000000"/>
          <w:sz w:val="32"/>
          <w:szCs w:val="32"/>
        </w:rPr>
        <w:t>1.</w:t>
      </w:r>
      <w:r>
        <w:rPr>
          <w:rStyle w:val="22"/>
          <w:rFonts w:ascii="仿宋_GB2312" w:eastAsia="仿宋_GB2312" w:hint="eastAsia"/>
          <w:bCs/>
          <w:color w:val="000000"/>
          <w:sz w:val="32"/>
          <w:szCs w:val="32"/>
        </w:rPr>
        <w:t>一般公共服务（类）政府办公厅及相关机构事务（款）行政运行（项）</w:t>
      </w:r>
      <w:r>
        <w:rPr>
          <w:rFonts w:ascii="仿宋_GB2312" w:eastAsia="仿宋_GB2312" w:hint="eastAsia"/>
          <w:b/>
          <w:bCs/>
          <w:color w:val="000000"/>
          <w:sz w:val="32"/>
          <w:szCs w:val="32"/>
        </w:rPr>
        <w:t>234.91万元</w:t>
      </w:r>
      <w:r>
        <w:rPr>
          <w:rStyle w:val="22"/>
          <w:rFonts w:ascii="仿宋" w:eastAsia="仿宋" w:hint="eastAsia"/>
          <w:b w:val="0"/>
          <w:bCs/>
          <w:color w:val="000000"/>
          <w:sz w:val="32"/>
          <w:szCs w:val="32"/>
        </w:rPr>
        <w:t>，完成预算100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Style w:val="22"/>
          <w:rFonts w:ascii="仿宋" w:eastAsia="仿宋"/>
          <w:b w:val="0"/>
          <w:bCs/>
          <w:color w:val="000000"/>
          <w:sz w:val="32"/>
          <w:szCs w:val="32"/>
        </w:rPr>
      </w:pPr>
      <w:r>
        <w:rPr>
          <w:rFonts w:ascii="仿宋_GB2312" w:eastAsia="仿宋_GB2312" w:hint="eastAsia"/>
          <w:b/>
          <w:bCs/>
          <w:color w:val="000000"/>
          <w:sz w:val="32"/>
          <w:szCs w:val="32"/>
        </w:rPr>
        <w:t>一般公共服务（类）政府办公厅及相关机构事务（款）一般行政管理事务（项）90.69万元</w:t>
      </w:r>
      <w:r>
        <w:rPr>
          <w:rStyle w:val="22"/>
          <w:rFonts w:ascii="仿宋" w:eastAsia="仿宋" w:hint="eastAsia"/>
          <w:b w:val="0"/>
          <w:bCs/>
          <w:color w:val="000000"/>
          <w:sz w:val="32"/>
          <w:szCs w:val="32"/>
        </w:rPr>
        <w:t>，完成预算100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Fonts w:ascii="仿宋_GB2312" w:eastAsia="仿宋_GB2312"/>
          <w:b/>
          <w:bCs/>
          <w:color w:val="000000"/>
          <w:sz w:val="32"/>
          <w:szCs w:val="32"/>
        </w:rPr>
      </w:pPr>
      <w:r>
        <w:rPr>
          <w:rFonts w:ascii="仿宋_GB2312" w:eastAsia="仿宋_GB2312" w:hint="eastAsia"/>
          <w:b/>
          <w:bCs/>
          <w:color w:val="000000"/>
          <w:sz w:val="32"/>
          <w:szCs w:val="32"/>
        </w:rPr>
        <w:t>一般公共服务（类）财政事务（款）行政运行（项）24.18万元</w:t>
      </w:r>
      <w:r>
        <w:rPr>
          <w:rStyle w:val="22"/>
          <w:rFonts w:ascii="仿宋" w:eastAsia="仿宋" w:hint="eastAsia"/>
          <w:b w:val="0"/>
          <w:bCs/>
          <w:color w:val="000000"/>
          <w:sz w:val="32"/>
          <w:szCs w:val="32"/>
        </w:rPr>
        <w:t>，完成预算100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Fonts w:ascii="仿宋_GB2312" w:eastAsia="仿宋_GB2312"/>
          <w:color w:val="000000"/>
          <w:sz w:val="32"/>
          <w:szCs w:val="32"/>
        </w:rPr>
      </w:pPr>
      <w:r>
        <w:rPr>
          <w:rFonts w:ascii="仿宋_GB2312" w:eastAsia="仿宋_GB2312" w:hint="eastAsia"/>
          <w:b/>
          <w:bCs/>
          <w:color w:val="000000"/>
          <w:sz w:val="32"/>
          <w:szCs w:val="32"/>
        </w:rPr>
        <w:t>一般公共服务（类）纪检监察事务（款）其他纪检监察事务支出（项）3万元</w:t>
      </w:r>
      <w:r>
        <w:rPr>
          <w:rStyle w:val="22"/>
          <w:rFonts w:ascii="仿宋" w:eastAsia="仿宋" w:hint="eastAsia"/>
          <w:b w:val="0"/>
          <w:bCs/>
          <w:color w:val="000000"/>
          <w:sz w:val="32"/>
          <w:szCs w:val="32"/>
        </w:rPr>
        <w:t>，完成预算100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Fonts w:ascii="仿宋_GB2312" w:eastAsia="仿宋_GB2312"/>
          <w:sz w:val="32"/>
          <w:szCs w:val="32"/>
        </w:rPr>
      </w:pPr>
      <w:r>
        <w:rPr>
          <w:rFonts w:ascii="仿宋_GB2312" w:eastAsia="仿宋_GB2312" w:hint="eastAsia"/>
          <w:color w:val="000000"/>
          <w:sz w:val="32"/>
          <w:szCs w:val="32"/>
        </w:rPr>
        <w:t>2018年一般公共服务支出决算数为</w:t>
      </w:r>
      <w:r>
        <w:rPr>
          <w:rFonts w:ascii="仿宋_GB2312" w:eastAsia="仿宋_GB2312" w:hint="eastAsia"/>
          <w:sz w:val="32"/>
          <w:szCs w:val="32"/>
        </w:rPr>
        <w:t>352.78</w:t>
      </w:r>
      <w:r>
        <w:rPr>
          <w:rFonts w:ascii="仿宋_GB2312" w:eastAsia="仿宋_GB2312" w:hint="eastAsia"/>
          <w:color w:val="000000"/>
          <w:sz w:val="32"/>
          <w:szCs w:val="32"/>
        </w:rPr>
        <w:t>万元，完成预算100%，主要用于：</w:t>
      </w:r>
      <w:r>
        <w:rPr>
          <w:rFonts w:ascii="仿宋_GB2312" w:eastAsia="仿宋_GB2312" w:hint="eastAsia"/>
          <w:sz w:val="32"/>
          <w:szCs w:val="32"/>
        </w:rPr>
        <w:t>政府</w:t>
      </w:r>
      <w:r>
        <w:rPr>
          <w:rFonts w:ascii="仿宋_GB2312" w:eastAsia="仿宋_GB2312"/>
          <w:sz w:val="32"/>
          <w:szCs w:val="32"/>
        </w:rPr>
        <w:t>机关</w:t>
      </w:r>
      <w:r>
        <w:rPr>
          <w:rFonts w:ascii="仿宋_GB2312" w:eastAsia="仿宋_GB2312" w:hint="eastAsia"/>
          <w:sz w:val="32"/>
          <w:szCs w:val="32"/>
        </w:rPr>
        <w:t>（含财政所）人员经费、办公经费、党建、政协、人大、维稳、基层政权建设等支出。</w:t>
      </w:r>
    </w:p>
    <w:p>
      <w:pPr>
        <w:numPr>
          <w:ilvl w:val="0"/>
          <w:numId w:val="2"/>
        </w:numPr>
        <w:spacing w:line="600" w:lineRule="exact"/>
        <w:ind w:left="0" w:firstLineChars="200" w:firstLine="640"/>
        <w:rPr>
          <w:rFonts w:ascii="仿宋_GB2312" w:eastAsia="仿宋_GB2312"/>
          <w:color w:val="000000"/>
          <w:sz w:val="32"/>
          <w:szCs w:val="32"/>
        </w:rPr>
      </w:pPr>
      <w:r>
        <w:rPr>
          <w:rStyle w:val="22"/>
          <w:rFonts w:ascii="仿宋_GB2312" w:eastAsia="仿宋_GB2312" w:hint="eastAsia"/>
          <w:color w:val="000000"/>
          <w:sz w:val="32"/>
          <w:szCs w:val="32"/>
        </w:rPr>
        <w:t>文化体育与传媒支出（类）文化（款）其他文化支出（项）</w:t>
      </w:r>
      <w:r>
        <w:rPr>
          <w:rFonts w:ascii="仿宋_GB2312" w:eastAsia="仿宋_GB2312" w:hint="eastAsia"/>
          <w:color w:val="000000"/>
          <w:sz w:val="32"/>
          <w:szCs w:val="32"/>
        </w:rPr>
        <w:t>12.3万元</w:t>
      </w:r>
      <w:r>
        <w:rPr>
          <w:rStyle w:val="22"/>
          <w:rFonts w:ascii="仿宋" w:eastAsia="仿宋" w:hint="eastAsia"/>
          <w:b w:val="0"/>
          <w:bCs/>
          <w:color w:val="000000"/>
          <w:sz w:val="32"/>
          <w:szCs w:val="32"/>
        </w:rPr>
        <w:t>，完成预算100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r>
        <w:rPr>
          <w:rFonts w:ascii="仿宋_GB2312" w:eastAsia="仿宋_GB2312" w:hint="eastAsia"/>
          <w:color w:val="000000"/>
          <w:sz w:val="32"/>
          <w:szCs w:val="32"/>
        </w:rPr>
        <w:t>；</w:t>
      </w:r>
    </w:p>
    <w:p>
      <w:pPr>
        <w:spacing w:line="600" w:lineRule="exact"/>
        <w:ind w:firstLineChars="300" w:firstLine="960"/>
        <w:rPr>
          <w:rFonts w:ascii="仿宋_GB2312" w:eastAsia="仿宋_GB2312"/>
          <w:color w:val="000000"/>
          <w:sz w:val="32"/>
          <w:szCs w:val="32"/>
        </w:rPr>
      </w:pPr>
      <w:r>
        <w:rPr>
          <w:rFonts w:ascii="仿宋_GB2312" w:eastAsia="仿宋_GB2312" w:hint="eastAsia"/>
          <w:b/>
          <w:bCs/>
          <w:color w:val="000000"/>
          <w:sz w:val="32"/>
          <w:szCs w:val="32"/>
        </w:rPr>
        <w:t>文化体育与传媒支出（类）新闻出版社广播影视（款）广播（项）18.34万元</w:t>
      </w:r>
      <w:r>
        <w:rPr>
          <w:rStyle w:val="22"/>
          <w:rFonts w:ascii="仿宋" w:eastAsia="仿宋" w:hint="eastAsia"/>
          <w:b w:val="0"/>
          <w:bCs/>
          <w:color w:val="000000"/>
          <w:sz w:val="32"/>
          <w:szCs w:val="32"/>
        </w:rPr>
        <w:t>，完成预算100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r>
        <w:rPr>
          <w:rFonts w:ascii="仿宋_GB2312" w:eastAsia="仿宋_GB2312" w:hint="eastAsia"/>
          <w:color w:val="000000"/>
          <w:sz w:val="32"/>
          <w:szCs w:val="32"/>
        </w:rPr>
        <w:t>。</w:t>
      </w:r>
    </w:p>
    <w:p>
      <w:pPr>
        <w:spacing w:line="578"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2018年文化体育与传媒支出决算数为</w:t>
      </w:r>
      <w:r>
        <w:rPr>
          <w:rFonts w:ascii="仿宋_GB2312" w:eastAsia="仿宋_GB2312" w:hint="eastAsia"/>
          <w:sz w:val="32"/>
          <w:szCs w:val="32"/>
        </w:rPr>
        <w:t>30.64</w:t>
      </w:r>
      <w:r>
        <w:rPr>
          <w:rFonts w:ascii="仿宋_GB2312" w:eastAsia="仿宋_GB2312" w:hint="eastAsia"/>
          <w:color w:val="000000"/>
          <w:sz w:val="32"/>
          <w:szCs w:val="32"/>
        </w:rPr>
        <w:t>万元，完成预算100%，主要用于：</w:t>
      </w:r>
      <w:r>
        <w:rPr>
          <w:rFonts w:ascii="仿宋_GB2312" w:eastAsia="仿宋_GB2312" w:hint="eastAsia"/>
          <w:sz w:val="32"/>
          <w:szCs w:val="32"/>
        </w:rPr>
        <w:t>政府广播部门人员工资、办公费、农村文化建设</w:t>
      </w:r>
      <w:r>
        <w:rPr>
          <w:rFonts w:ascii="仿宋_GB2312" w:eastAsia="仿宋_GB2312" w:hint="eastAsia"/>
          <w:color w:val="000000"/>
          <w:sz w:val="32"/>
          <w:szCs w:val="32"/>
        </w:rPr>
        <w:t>。</w:t>
      </w:r>
    </w:p>
    <w:p>
      <w:pPr>
        <w:numPr>
          <w:ilvl w:val="0"/>
          <w:numId w:val="2"/>
        </w:numPr>
        <w:spacing w:line="600" w:lineRule="exact"/>
        <w:ind w:left="0" w:firstLineChars="200" w:firstLine="640"/>
        <w:rPr>
          <w:rFonts w:ascii="仿宋_GB2312" w:eastAsia="仿宋_GB2312"/>
          <w:color w:val="000000"/>
          <w:sz w:val="32"/>
          <w:szCs w:val="32"/>
        </w:rPr>
      </w:pPr>
      <w:r>
        <w:rPr>
          <w:rStyle w:val="22"/>
          <w:rFonts w:ascii="仿宋_GB2312" w:eastAsia="仿宋_GB2312" w:hint="eastAsia"/>
          <w:color w:val="000000"/>
          <w:sz w:val="32"/>
          <w:szCs w:val="32"/>
        </w:rPr>
        <w:t>社会保障和就业（类）行政事业单位离退休（款）行政事业单位基本养老保险缴费支出（项）</w:t>
      </w:r>
      <w:r>
        <w:rPr>
          <w:rFonts w:ascii="仿宋_GB2312" w:eastAsia="仿宋_GB2312" w:hint="eastAsia"/>
          <w:b/>
          <w:bCs/>
          <w:color w:val="000000"/>
          <w:sz w:val="32"/>
          <w:szCs w:val="32"/>
        </w:rPr>
        <w:t>32.91万元</w:t>
      </w:r>
      <w:r>
        <w:rPr>
          <w:rStyle w:val="22"/>
          <w:rFonts w:ascii="仿宋" w:eastAsia="仿宋" w:hint="eastAsia"/>
          <w:b w:val="0"/>
          <w:bCs/>
          <w:color w:val="000000"/>
          <w:sz w:val="32"/>
          <w:szCs w:val="32"/>
        </w:rPr>
        <w:t>，完成预算100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r>
        <w:rPr>
          <w:rFonts w:ascii="仿宋_GB2312" w:eastAsia="仿宋_GB2312" w:hint="eastAsia"/>
          <w:b/>
          <w:bCs/>
          <w:color w:val="000000"/>
          <w:sz w:val="32"/>
          <w:szCs w:val="32"/>
        </w:rPr>
        <w:t>；</w:t>
      </w:r>
    </w:p>
    <w:p>
      <w:pPr>
        <w:spacing w:line="600" w:lineRule="exact"/>
        <w:ind w:firstLineChars="200" w:firstLine="640"/>
        <w:rPr>
          <w:rFonts w:ascii="仿宋_GB2312" w:eastAsia="仿宋_GB2312"/>
          <w:b/>
          <w:bCs/>
          <w:color w:val="000000"/>
          <w:sz w:val="32"/>
          <w:szCs w:val="32"/>
        </w:rPr>
      </w:pPr>
      <w:r>
        <w:rPr>
          <w:rStyle w:val="22"/>
          <w:rFonts w:ascii="仿宋_GB2312" w:eastAsia="仿宋_GB2312" w:hint="eastAsia"/>
          <w:color w:val="000000"/>
          <w:sz w:val="32"/>
          <w:szCs w:val="32"/>
        </w:rPr>
        <w:t>社会保障和就业（类）行政事业单位离退休（款）行政事业单位职业年金缴费支出（项）2.87</w:t>
      </w:r>
      <w:r>
        <w:rPr>
          <w:rFonts w:ascii="仿宋_GB2312" w:eastAsia="仿宋_GB2312" w:hint="eastAsia"/>
          <w:b/>
          <w:bCs/>
          <w:color w:val="000000"/>
          <w:sz w:val="32"/>
          <w:szCs w:val="32"/>
        </w:rPr>
        <w:t>万元</w:t>
      </w:r>
      <w:r>
        <w:rPr>
          <w:rStyle w:val="22"/>
          <w:rFonts w:ascii="仿宋" w:eastAsia="仿宋" w:hint="eastAsia"/>
          <w:b w:val="0"/>
          <w:bCs/>
          <w:color w:val="000000"/>
          <w:sz w:val="32"/>
          <w:szCs w:val="32"/>
        </w:rPr>
        <w:t>，完成预算100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r>
        <w:rPr>
          <w:rFonts w:ascii="仿宋_GB2312" w:eastAsia="仿宋_GB2312" w:hint="eastAsia"/>
          <w:b/>
          <w:bCs/>
          <w:color w:val="000000"/>
          <w:sz w:val="32"/>
          <w:szCs w:val="32"/>
        </w:rPr>
        <w:t>；</w:t>
      </w:r>
    </w:p>
    <w:p>
      <w:pPr>
        <w:spacing w:line="600" w:lineRule="exact"/>
        <w:ind w:firstLineChars="200" w:firstLine="640"/>
        <w:rPr>
          <w:rStyle w:val="22"/>
          <w:rFonts w:ascii="仿宋" w:eastAsia="仿宋"/>
          <w:b w:val="0"/>
          <w:bCs/>
          <w:color w:val="000000"/>
          <w:sz w:val="32"/>
          <w:szCs w:val="32"/>
        </w:rPr>
      </w:pPr>
      <w:r>
        <w:rPr>
          <w:rFonts w:ascii="仿宋_GB2312" w:eastAsia="仿宋_GB2312" w:hint="eastAsia"/>
          <w:b/>
          <w:bCs/>
          <w:color w:val="000000"/>
          <w:sz w:val="32"/>
          <w:szCs w:val="32"/>
        </w:rPr>
        <w:t>社会保障和就业（类）抚恤（款）在乡复员退伍军人生活补助（项）113.45万元</w:t>
      </w:r>
      <w:r>
        <w:rPr>
          <w:rStyle w:val="22"/>
          <w:rFonts w:ascii="仿宋" w:eastAsia="仿宋" w:hint="eastAsia"/>
          <w:b w:val="0"/>
          <w:bCs/>
          <w:color w:val="000000"/>
          <w:sz w:val="32"/>
          <w:szCs w:val="32"/>
        </w:rPr>
        <w:t>，完成预算100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Fonts w:ascii="仿宋_GB2312" w:eastAsia="仿宋_GB2312"/>
          <w:b/>
          <w:bCs/>
          <w:color w:val="000000"/>
          <w:sz w:val="32"/>
          <w:szCs w:val="32"/>
        </w:rPr>
      </w:pPr>
      <w:r>
        <w:rPr>
          <w:rFonts w:ascii="仿宋_GB2312" w:eastAsia="仿宋_GB2312" w:hint="eastAsia"/>
          <w:b/>
          <w:bCs/>
          <w:color w:val="000000"/>
          <w:sz w:val="32"/>
          <w:szCs w:val="32"/>
        </w:rPr>
        <w:t>社会保障和就业（类）抚恤（款）义务兵优待金（项）6.17万元</w:t>
      </w:r>
      <w:r>
        <w:rPr>
          <w:rStyle w:val="22"/>
          <w:rFonts w:ascii="仿宋" w:eastAsia="仿宋" w:hint="eastAsia"/>
          <w:b w:val="0"/>
          <w:bCs/>
          <w:color w:val="000000"/>
          <w:sz w:val="32"/>
          <w:szCs w:val="32"/>
        </w:rPr>
        <w:t>，完成预算100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Fonts w:ascii="仿宋_GB2312" w:eastAsia="仿宋_GB2312"/>
          <w:b/>
          <w:bCs/>
          <w:color w:val="000000"/>
          <w:sz w:val="32"/>
          <w:szCs w:val="32"/>
        </w:rPr>
      </w:pPr>
      <w:r>
        <w:rPr>
          <w:rFonts w:ascii="仿宋_GB2312" w:eastAsia="仿宋_GB2312" w:hint="eastAsia"/>
          <w:b/>
          <w:bCs/>
          <w:color w:val="000000"/>
          <w:sz w:val="32"/>
          <w:szCs w:val="32"/>
        </w:rPr>
        <w:t>社会保障和就业（类）残疾人事业（款）其他残疾人事业支出（项）2.81万元</w:t>
      </w:r>
      <w:r>
        <w:rPr>
          <w:rStyle w:val="22"/>
          <w:rFonts w:ascii="仿宋" w:eastAsia="仿宋" w:hint="eastAsia"/>
          <w:b w:val="0"/>
          <w:bCs/>
          <w:color w:val="000000"/>
          <w:sz w:val="32"/>
          <w:szCs w:val="32"/>
        </w:rPr>
        <w:t>，完成预算100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Style w:val="22"/>
          <w:rFonts w:ascii="仿宋" w:eastAsia="仿宋"/>
          <w:b w:val="0"/>
          <w:bCs/>
          <w:color w:val="000000"/>
          <w:sz w:val="32"/>
          <w:szCs w:val="32"/>
        </w:rPr>
      </w:pPr>
      <w:r>
        <w:rPr>
          <w:rFonts w:ascii="仿宋_GB2312" w:eastAsia="仿宋_GB2312" w:hint="eastAsia"/>
          <w:b/>
          <w:bCs/>
          <w:color w:val="000000"/>
          <w:sz w:val="32"/>
          <w:szCs w:val="32"/>
        </w:rPr>
        <w:t>社会保障和就业（类）特困人员供养（款）农村五保供养支出（项）37.38万元</w:t>
      </w:r>
      <w:r>
        <w:rPr>
          <w:rStyle w:val="22"/>
          <w:rFonts w:ascii="仿宋" w:eastAsia="仿宋" w:hint="eastAsia"/>
          <w:b w:val="0"/>
          <w:bCs/>
          <w:color w:val="000000"/>
          <w:sz w:val="32"/>
          <w:szCs w:val="32"/>
        </w:rPr>
        <w:t>，完成预算100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2018年</w:t>
      </w:r>
      <w:r>
        <w:rPr>
          <w:rStyle w:val="22"/>
          <w:rFonts w:ascii="仿宋_GB2312" w:eastAsia="仿宋_GB2312" w:hint="eastAsia"/>
          <w:b w:val="0"/>
          <w:color w:val="000000"/>
          <w:sz w:val="32"/>
          <w:szCs w:val="32"/>
        </w:rPr>
        <w:t>社会保障和就业支出</w:t>
      </w:r>
      <w:r>
        <w:rPr>
          <w:rFonts w:ascii="仿宋_GB2312" w:eastAsia="仿宋_GB2312" w:hint="eastAsia"/>
          <w:color w:val="000000"/>
          <w:sz w:val="32"/>
          <w:szCs w:val="32"/>
        </w:rPr>
        <w:t>决算数为195.59万元，完成预算100%，主要用于：</w:t>
      </w:r>
      <w:r>
        <w:rPr>
          <w:rFonts w:ascii="仿宋_GB2312" w:eastAsia="仿宋_GB2312" w:hint="eastAsia"/>
          <w:sz w:val="32"/>
          <w:szCs w:val="32"/>
        </w:rPr>
        <w:t>政府</w:t>
      </w:r>
      <w:r>
        <w:rPr>
          <w:rFonts w:ascii="仿宋_GB2312" w:eastAsia="仿宋_GB2312"/>
          <w:sz w:val="32"/>
          <w:szCs w:val="32"/>
        </w:rPr>
        <w:t>机关</w:t>
      </w:r>
      <w:r>
        <w:rPr>
          <w:rFonts w:ascii="仿宋_GB2312" w:eastAsia="仿宋_GB2312" w:hint="eastAsia"/>
          <w:sz w:val="32"/>
          <w:szCs w:val="32"/>
        </w:rPr>
        <w:t>职工养老保险缴费、政府机关事业单位职业年金缴费支出、</w:t>
      </w:r>
      <w:r>
        <w:rPr>
          <w:rFonts w:ascii="仿宋_GB2312" w:eastAsia="仿宋_GB2312"/>
          <w:sz w:val="32"/>
          <w:szCs w:val="32"/>
        </w:rPr>
        <w:t>在乡复员</w:t>
      </w:r>
      <w:r>
        <w:rPr>
          <w:rFonts w:ascii="仿宋_GB2312" w:eastAsia="仿宋_GB2312" w:hint="eastAsia"/>
          <w:sz w:val="32"/>
          <w:szCs w:val="32"/>
        </w:rPr>
        <w:t>、</w:t>
      </w:r>
      <w:r>
        <w:rPr>
          <w:rFonts w:ascii="仿宋_GB2312" w:eastAsia="仿宋_GB2312"/>
          <w:sz w:val="32"/>
          <w:szCs w:val="32"/>
        </w:rPr>
        <w:t>退伍军人</w:t>
      </w:r>
      <w:r>
        <w:rPr>
          <w:rFonts w:ascii="仿宋_GB2312" w:eastAsia="仿宋_GB2312" w:hint="eastAsia"/>
          <w:sz w:val="32"/>
          <w:szCs w:val="32"/>
        </w:rPr>
        <w:t>、</w:t>
      </w:r>
      <w:r>
        <w:rPr>
          <w:rFonts w:ascii="仿宋_GB2312" w:eastAsia="仿宋_GB2312"/>
          <w:sz w:val="32"/>
          <w:szCs w:val="32"/>
        </w:rPr>
        <w:t>义务兵</w:t>
      </w:r>
      <w:r>
        <w:rPr>
          <w:rFonts w:ascii="仿宋_GB2312" w:eastAsia="仿宋_GB2312" w:hint="eastAsia"/>
          <w:sz w:val="32"/>
          <w:szCs w:val="32"/>
        </w:rPr>
        <w:t>生活补助、残疾人事业支出、农村五保供养人员救济费等支。</w:t>
      </w:r>
      <w:r>
        <w:rPr>
          <w:rFonts w:ascii="仿宋_GB2312" w:eastAsia="仿宋_GB2312" w:hint="eastAsia"/>
          <w:color w:val="000000"/>
          <w:sz w:val="32"/>
          <w:szCs w:val="32"/>
        </w:rPr>
        <w:br/>
        <w:t>　　</w:t>
      </w:r>
      <w:r>
        <w:rPr>
          <w:rStyle w:val="22"/>
          <w:rFonts w:ascii="仿宋_GB2312" w:eastAsia="仿宋_GB2312" w:hint="eastAsia"/>
          <w:color w:val="000000"/>
          <w:sz w:val="32"/>
          <w:szCs w:val="32"/>
        </w:rPr>
        <w:t>4.医疗卫生与计划生育（类）医疗保障（款）行政单位医疗（项）</w:t>
      </w:r>
      <w:r>
        <w:rPr>
          <w:rFonts w:ascii="仿宋_GB2312" w:eastAsia="仿宋_GB2312" w:hint="eastAsia"/>
          <w:b/>
          <w:color w:val="000000"/>
          <w:sz w:val="32"/>
          <w:szCs w:val="32"/>
        </w:rPr>
        <w:t>13.82万元</w:t>
      </w:r>
      <w:r>
        <w:rPr>
          <w:rStyle w:val="22"/>
          <w:rFonts w:ascii="仿宋" w:eastAsia="仿宋" w:hint="eastAsia"/>
          <w:b w:val="0"/>
          <w:bCs/>
          <w:color w:val="000000"/>
          <w:sz w:val="32"/>
          <w:szCs w:val="32"/>
        </w:rPr>
        <w:t>，完成预算100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Fonts w:ascii="仿宋_GB2312" w:eastAsia="仿宋_GB2312"/>
          <w:b/>
          <w:bCs/>
          <w:color w:val="000000"/>
          <w:sz w:val="32"/>
          <w:szCs w:val="32"/>
        </w:rPr>
      </w:pPr>
      <w:r>
        <w:rPr>
          <w:rFonts w:ascii="仿宋_GB2312" w:eastAsia="仿宋_GB2312" w:hint="eastAsia"/>
          <w:b/>
          <w:bCs/>
          <w:color w:val="000000"/>
          <w:sz w:val="32"/>
          <w:szCs w:val="32"/>
        </w:rPr>
        <w:t>医疗卫生与计划生育（类）计划生育事务（款）计划生育机构（项）24.54万元</w:t>
      </w:r>
      <w:r>
        <w:rPr>
          <w:rStyle w:val="22"/>
          <w:rFonts w:ascii="仿宋" w:eastAsia="仿宋" w:hint="eastAsia"/>
          <w:b w:val="0"/>
          <w:bCs/>
          <w:color w:val="000000"/>
          <w:sz w:val="32"/>
          <w:szCs w:val="32"/>
        </w:rPr>
        <w:t>，完成预算100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Fonts w:ascii="仿宋_GB2312" w:eastAsia="仿宋_GB2312"/>
          <w:sz w:val="32"/>
          <w:szCs w:val="32"/>
        </w:rPr>
      </w:pPr>
      <w:r>
        <w:rPr>
          <w:rFonts w:ascii="仿宋_GB2312" w:eastAsia="仿宋_GB2312" w:hint="eastAsia"/>
          <w:color w:val="000000"/>
          <w:sz w:val="32"/>
          <w:szCs w:val="32"/>
        </w:rPr>
        <w:t>2018年医疗卫生与计划生育支出决算数为</w:t>
      </w:r>
      <w:r>
        <w:rPr>
          <w:rFonts w:ascii="仿宋_GB2312" w:eastAsia="仿宋_GB2312" w:hint="eastAsia"/>
          <w:sz w:val="32"/>
          <w:szCs w:val="32"/>
        </w:rPr>
        <w:t>38.36</w:t>
      </w:r>
      <w:r>
        <w:rPr>
          <w:rFonts w:ascii="仿宋_GB2312" w:eastAsia="仿宋_GB2312" w:hint="eastAsia"/>
          <w:color w:val="000000"/>
          <w:sz w:val="32"/>
          <w:szCs w:val="32"/>
        </w:rPr>
        <w:t>万元，完成预算100%，主要用于：</w:t>
      </w:r>
      <w:r>
        <w:rPr>
          <w:rFonts w:ascii="仿宋_GB2312" w:eastAsia="仿宋_GB2312" w:hint="eastAsia"/>
          <w:sz w:val="32"/>
          <w:szCs w:val="32"/>
        </w:rPr>
        <w:t>机关工作人员的医疗保障、政府</w:t>
      </w:r>
      <w:r>
        <w:rPr>
          <w:rFonts w:ascii="仿宋_GB2312" w:eastAsia="仿宋_GB2312"/>
          <w:sz w:val="32"/>
          <w:szCs w:val="32"/>
        </w:rPr>
        <w:t>计划生育服务站人员工资</w:t>
      </w:r>
      <w:r>
        <w:rPr>
          <w:rFonts w:ascii="仿宋_GB2312" w:eastAsia="仿宋_GB2312" w:hint="eastAsia"/>
          <w:sz w:val="32"/>
          <w:szCs w:val="32"/>
        </w:rPr>
        <w:t>、</w:t>
      </w:r>
      <w:r>
        <w:rPr>
          <w:rFonts w:ascii="仿宋_GB2312" w:eastAsia="仿宋_GB2312"/>
          <w:sz w:val="32"/>
          <w:szCs w:val="32"/>
        </w:rPr>
        <w:t>办公费等支出</w:t>
      </w:r>
      <w:r>
        <w:rPr>
          <w:rFonts w:ascii="仿宋_GB2312" w:eastAsia="仿宋_GB2312" w:hint="eastAsia"/>
          <w:sz w:val="32"/>
          <w:szCs w:val="32"/>
        </w:rPr>
        <w:t>。</w:t>
      </w:r>
    </w:p>
    <w:p>
      <w:pPr>
        <w:spacing w:line="600" w:lineRule="exact"/>
        <w:ind w:firstLineChars="200" w:firstLine="640"/>
        <w:rPr>
          <w:rStyle w:val="22"/>
          <w:rFonts w:ascii="仿宋" w:eastAsia="仿宋"/>
          <w:b w:val="0"/>
          <w:bCs/>
          <w:color w:val="000000"/>
          <w:sz w:val="32"/>
          <w:szCs w:val="32"/>
        </w:rPr>
      </w:pPr>
      <w:r>
        <w:rPr>
          <w:rStyle w:val="22"/>
          <w:rFonts w:ascii="仿宋_GB2312" w:eastAsia="仿宋_GB2312" w:hint="eastAsia"/>
          <w:color w:val="000000"/>
          <w:sz w:val="32"/>
          <w:szCs w:val="32"/>
        </w:rPr>
        <w:t>5、城乡社区支出（类）城乡社区管理事务（款）其他城乡社区管理事务支出（项</w:t>
      </w:r>
      <w:r>
        <w:rPr>
          <w:rStyle w:val="22"/>
          <w:rFonts w:ascii="仿宋_GB2312" w:eastAsia="仿宋_GB2312" w:hint="eastAsia"/>
          <w:bCs/>
          <w:color w:val="000000"/>
          <w:sz w:val="32"/>
          <w:szCs w:val="32"/>
        </w:rPr>
        <w:t>）</w:t>
      </w:r>
      <w:r>
        <w:rPr>
          <w:rFonts w:ascii="仿宋_GB2312" w:eastAsia="仿宋_GB2312" w:hint="eastAsia"/>
          <w:b/>
          <w:bCs/>
          <w:color w:val="000000"/>
          <w:sz w:val="32"/>
          <w:szCs w:val="32"/>
        </w:rPr>
        <w:t>18.38万元</w:t>
      </w:r>
      <w:r>
        <w:rPr>
          <w:rStyle w:val="22"/>
          <w:rFonts w:ascii="仿宋" w:eastAsia="仿宋" w:hint="eastAsia"/>
          <w:b w:val="0"/>
          <w:bCs/>
          <w:color w:val="000000"/>
          <w:sz w:val="32"/>
          <w:szCs w:val="32"/>
        </w:rPr>
        <w:t>，完成预算100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Fonts w:ascii="仿宋_GB2312" w:eastAsia="仿宋_GB2312"/>
          <w:color w:val="000000"/>
          <w:sz w:val="32"/>
          <w:szCs w:val="32"/>
        </w:rPr>
      </w:pPr>
      <w:r>
        <w:rPr>
          <w:rStyle w:val="22"/>
          <w:rFonts w:ascii="仿宋_GB2312" w:eastAsia="仿宋_GB2312" w:hint="eastAsia"/>
          <w:color w:val="000000"/>
          <w:sz w:val="32"/>
          <w:szCs w:val="32"/>
        </w:rPr>
        <w:t>城乡社区支出（类）城乡社区管理事务（款）其他城乡社区支出（项</w:t>
      </w:r>
      <w:r>
        <w:rPr>
          <w:rStyle w:val="22"/>
          <w:rFonts w:ascii="仿宋_GB2312" w:eastAsia="仿宋_GB2312" w:hint="eastAsia"/>
          <w:bCs/>
          <w:color w:val="000000"/>
          <w:sz w:val="32"/>
          <w:szCs w:val="32"/>
        </w:rPr>
        <w:t>）</w:t>
      </w:r>
      <w:r>
        <w:rPr>
          <w:rFonts w:ascii="仿宋_GB2312" w:eastAsia="仿宋_GB2312" w:hint="eastAsia"/>
          <w:b/>
          <w:bCs/>
          <w:color w:val="000000"/>
          <w:sz w:val="32"/>
          <w:szCs w:val="32"/>
        </w:rPr>
        <w:t>5万元</w:t>
      </w:r>
      <w:r>
        <w:rPr>
          <w:rStyle w:val="22"/>
          <w:rFonts w:ascii="仿宋" w:eastAsia="仿宋" w:hint="eastAsia"/>
          <w:b w:val="0"/>
          <w:bCs/>
          <w:color w:val="000000"/>
          <w:sz w:val="32"/>
          <w:szCs w:val="32"/>
        </w:rPr>
        <w:t>，完成预算100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Fonts w:ascii="仿宋_GB2312" w:eastAsia="仿宋_GB2312"/>
          <w:sz w:val="32"/>
          <w:szCs w:val="32"/>
        </w:rPr>
      </w:pPr>
      <w:r>
        <w:rPr>
          <w:rFonts w:ascii="仿宋_GB2312" w:eastAsia="仿宋_GB2312" w:hint="eastAsia"/>
          <w:color w:val="000000"/>
          <w:sz w:val="32"/>
          <w:szCs w:val="32"/>
        </w:rPr>
        <w:t>2018年城乡社区支出决算数为23.38万元，完成预算100%，</w:t>
      </w:r>
      <w:r>
        <w:rPr>
          <w:rFonts w:ascii="仿宋_GB2312" w:eastAsia="仿宋_GB2312" w:hint="eastAsia"/>
          <w:sz w:val="32"/>
          <w:szCs w:val="32"/>
        </w:rPr>
        <w:t>主要用于：乡社区干部工资、办公费、</w:t>
      </w:r>
    </w:p>
    <w:p>
      <w:pPr>
        <w:spacing w:line="600" w:lineRule="exact"/>
        <w:ind w:firstLineChars="200" w:firstLine="640"/>
        <w:rPr>
          <w:rFonts w:ascii="仿宋_GB2312" w:eastAsia="仿宋_GB2312"/>
          <w:b/>
          <w:bCs/>
          <w:color w:val="000000"/>
          <w:sz w:val="32"/>
          <w:szCs w:val="32"/>
        </w:rPr>
      </w:pPr>
      <w:r>
        <w:rPr>
          <w:rStyle w:val="22"/>
          <w:rFonts w:ascii="仿宋_GB2312" w:eastAsia="仿宋_GB2312" w:hint="eastAsia"/>
          <w:bCs/>
          <w:color w:val="000000"/>
          <w:sz w:val="32"/>
          <w:szCs w:val="32"/>
        </w:rPr>
        <w:t>6、农林水支出（类）农业（款）事务运行（项）</w:t>
      </w:r>
      <w:r>
        <w:rPr>
          <w:rFonts w:ascii="仿宋_GB2312" w:eastAsia="仿宋_GB2312" w:hint="eastAsia"/>
          <w:b/>
          <w:bCs/>
          <w:color w:val="000000"/>
          <w:sz w:val="32"/>
          <w:szCs w:val="32"/>
        </w:rPr>
        <w:t>28.24万元</w:t>
      </w:r>
      <w:r>
        <w:rPr>
          <w:rStyle w:val="22"/>
          <w:rFonts w:ascii="仿宋" w:eastAsia="仿宋" w:hint="eastAsia"/>
          <w:b w:val="0"/>
          <w:bCs/>
          <w:color w:val="000000"/>
          <w:sz w:val="32"/>
          <w:szCs w:val="32"/>
        </w:rPr>
        <w:t>，完成预算100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300" w:firstLine="960"/>
        <w:rPr>
          <w:rFonts w:ascii="仿宋_GB2312" w:eastAsia="仿宋_GB2312"/>
          <w:b/>
          <w:bCs/>
          <w:color w:val="000000"/>
          <w:sz w:val="32"/>
          <w:szCs w:val="32"/>
        </w:rPr>
      </w:pPr>
      <w:r>
        <w:rPr>
          <w:rFonts w:ascii="仿宋_GB2312" w:eastAsia="仿宋_GB2312" w:hint="eastAsia"/>
          <w:b/>
          <w:bCs/>
          <w:color w:val="000000"/>
          <w:sz w:val="32"/>
          <w:szCs w:val="32"/>
        </w:rPr>
        <w:t>农林水支出（类）农业（款）农村道路建设（项）65万元；</w:t>
      </w:r>
    </w:p>
    <w:p>
      <w:pPr>
        <w:spacing w:line="600" w:lineRule="exact"/>
        <w:ind w:firstLineChars="200" w:firstLine="640"/>
        <w:rPr>
          <w:rFonts w:ascii="仿宋_GB2312" w:eastAsia="仿宋_GB2312"/>
          <w:b/>
          <w:bCs/>
          <w:color w:val="000000"/>
          <w:sz w:val="32"/>
          <w:szCs w:val="32"/>
        </w:rPr>
      </w:pPr>
      <w:r>
        <w:rPr>
          <w:rFonts w:ascii="仿宋_GB2312" w:eastAsia="仿宋_GB2312" w:hint="eastAsia"/>
          <w:b/>
          <w:bCs/>
          <w:color w:val="000000"/>
          <w:sz w:val="32"/>
          <w:szCs w:val="32"/>
        </w:rPr>
        <w:t>农林水支出（类）扶贫（款）其他扶贫支出（项）23.36万元</w:t>
      </w:r>
      <w:r>
        <w:rPr>
          <w:rStyle w:val="22"/>
          <w:rFonts w:ascii="仿宋" w:eastAsia="仿宋" w:hint="eastAsia"/>
          <w:b w:val="0"/>
          <w:bCs/>
          <w:color w:val="000000"/>
          <w:sz w:val="32"/>
          <w:szCs w:val="32"/>
        </w:rPr>
        <w:t>，完成预算100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Fonts w:ascii="仿宋_GB2312" w:eastAsia="仿宋_GB2312"/>
          <w:b/>
          <w:bCs/>
          <w:color w:val="000000"/>
          <w:sz w:val="32"/>
          <w:szCs w:val="32"/>
        </w:rPr>
      </w:pPr>
      <w:r>
        <w:rPr>
          <w:rFonts w:ascii="仿宋_GB2312" w:eastAsia="仿宋_GB2312" w:hint="eastAsia"/>
          <w:b/>
          <w:bCs/>
          <w:color w:val="000000"/>
          <w:sz w:val="32"/>
          <w:szCs w:val="32"/>
        </w:rPr>
        <w:t>农林水支出（类）农业综合改革（款）对村民委员会和村党支部的补助（项）194.68万元</w:t>
      </w:r>
      <w:r>
        <w:rPr>
          <w:rStyle w:val="22"/>
          <w:rFonts w:ascii="仿宋" w:eastAsia="仿宋" w:hint="eastAsia"/>
          <w:b w:val="0"/>
          <w:bCs/>
          <w:color w:val="000000"/>
          <w:sz w:val="32"/>
          <w:szCs w:val="32"/>
        </w:rPr>
        <w:t>，完成预算100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2018年农林水支出决算数311.28万元，</w:t>
      </w:r>
      <w:r>
        <w:rPr>
          <w:rFonts w:ascii="仿宋_GB2312" w:eastAsia="仿宋_GB2312" w:hint="eastAsia"/>
          <w:color w:val="000000"/>
          <w:sz w:val="32"/>
          <w:szCs w:val="32"/>
        </w:rPr>
        <w:t>完成预算100%，</w:t>
      </w:r>
      <w:r>
        <w:rPr>
          <w:rFonts w:ascii="仿宋_GB2312" w:eastAsia="仿宋_GB2312" w:hint="eastAsia"/>
          <w:sz w:val="32"/>
          <w:szCs w:val="32"/>
        </w:rPr>
        <w:t>主要用于：政府农业事业人员、村（社）干部工资、办公费，农村道路建设、农业水利设施建设、贫困村道路硬化支出。</w:t>
      </w:r>
    </w:p>
    <w:p>
      <w:pPr>
        <w:numPr>
          <w:ilvl w:val="0"/>
          <w:numId w:val="3"/>
        </w:numPr>
        <w:spacing w:line="600" w:lineRule="exact"/>
        <w:ind w:left="0" w:firstLineChars="200" w:firstLine="640"/>
        <w:rPr>
          <w:rFonts w:ascii="仿宋_GB2312" w:eastAsia="仿宋_GB2312"/>
          <w:color w:val="000000"/>
          <w:sz w:val="32"/>
          <w:szCs w:val="32"/>
        </w:rPr>
      </w:pPr>
      <w:r>
        <w:rPr>
          <w:rStyle w:val="22"/>
          <w:rFonts w:ascii="仿宋_GB2312" w:eastAsia="仿宋_GB2312" w:hint="eastAsia"/>
          <w:color w:val="000000"/>
          <w:sz w:val="32"/>
          <w:szCs w:val="32"/>
        </w:rPr>
        <w:t>住房保障支出（类）住房改革支出（款）住房公积金（项）</w:t>
      </w:r>
      <w:r>
        <w:rPr>
          <w:rFonts w:ascii="仿宋_GB2312" w:eastAsia="仿宋_GB2312" w:hint="eastAsia"/>
          <w:b/>
          <w:bCs/>
          <w:color w:val="000000"/>
          <w:sz w:val="32"/>
          <w:szCs w:val="32"/>
        </w:rPr>
        <w:t>19.16万元。</w:t>
      </w:r>
      <w:r>
        <w:rPr>
          <w:rFonts w:ascii="仿宋_GB2312" w:eastAsia="仿宋_GB2312" w:hint="eastAsia"/>
          <w:sz w:val="32"/>
          <w:szCs w:val="32"/>
        </w:rPr>
        <w:t>2018年决算数19.16万元，</w:t>
      </w:r>
      <w:r>
        <w:rPr>
          <w:rFonts w:ascii="仿宋_GB2312" w:eastAsia="仿宋_GB2312" w:hint="eastAsia"/>
          <w:color w:val="000000"/>
          <w:sz w:val="32"/>
          <w:szCs w:val="32"/>
        </w:rPr>
        <w:t>完成预算100%，</w:t>
      </w:r>
      <w:r>
        <w:rPr>
          <w:rFonts w:ascii="仿宋_GB2312" w:eastAsia="仿宋_GB2312" w:hint="eastAsia"/>
          <w:sz w:val="32"/>
          <w:szCs w:val="32"/>
        </w:rPr>
        <w:t>主要用于：上缴政府</w:t>
      </w:r>
      <w:r>
        <w:rPr>
          <w:rFonts w:ascii="仿宋_GB2312" w:eastAsia="仿宋_GB2312"/>
          <w:sz w:val="32"/>
          <w:szCs w:val="32"/>
        </w:rPr>
        <w:t>机关工作人员住房公积金支出</w:t>
      </w:r>
      <w:r>
        <w:rPr>
          <w:rFonts w:ascii="仿宋_GB2312" w:eastAsia="仿宋_GB2312" w:hint="eastAsia"/>
          <w:sz w:val="32"/>
          <w:szCs w:val="32"/>
        </w:rPr>
        <w:t>。</w:t>
      </w:r>
    </w:p>
    <w:p>
      <w:pPr>
        <w:spacing w:line="600" w:lineRule="exact"/>
        <w:ind w:firstLineChars="200" w:firstLine="640"/>
        <w:rPr>
          <w:rFonts w:ascii="仿宋" w:eastAsia="仿宋"/>
          <w:b/>
          <w:color w:val="000000"/>
          <w:sz w:val="32"/>
          <w:szCs w:val="32"/>
        </w:rPr>
      </w:pPr>
      <w:r>
        <w:rPr>
          <w:rStyle w:val="22"/>
          <w:rFonts w:ascii="仿宋" w:eastAsia="仿宋" w:hint="eastAsia"/>
          <w:bCs/>
          <w:color w:val="000000"/>
          <w:sz w:val="32"/>
          <w:szCs w:val="32"/>
        </w:rPr>
        <w:t>8、</w:t>
      </w:r>
      <w:r>
        <w:rPr>
          <w:rStyle w:val="22"/>
          <w:rFonts w:ascii="仿宋_GB2312" w:eastAsia="仿宋_GB2312" w:hint="eastAsia"/>
          <w:color w:val="000000"/>
          <w:sz w:val="32"/>
          <w:szCs w:val="32"/>
        </w:rPr>
        <w:t>其他支出（类）其他支出（款）其他支出（项）</w:t>
      </w:r>
      <w:r>
        <w:rPr>
          <w:rFonts w:ascii="仿宋_GB2312" w:eastAsia="仿宋_GB2312" w:hint="eastAsia"/>
          <w:b/>
          <w:bCs/>
          <w:color w:val="000000"/>
          <w:sz w:val="32"/>
          <w:szCs w:val="32"/>
        </w:rPr>
        <w:t>50万元。</w:t>
      </w:r>
      <w:r>
        <w:rPr>
          <w:rFonts w:ascii="仿宋_GB2312" w:eastAsia="仿宋_GB2312" w:hint="eastAsia"/>
          <w:sz w:val="32"/>
          <w:szCs w:val="32"/>
        </w:rPr>
        <w:t>2018年决算数50万元，</w:t>
      </w:r>
      <w:r>
        <w:rPr>
          <w:rFonts w:ascii="仿宋_GB2312" w:eastAsia="仿宋_GB2312" w:hint="eastAsia"/>
          <w:color w:val="000000"/>
          <w:sz w:val="32"/>
          <w:szCs w:val="32"/>
        </w:rPr>
        <w:t>完成预算100%，</w:t>
      </w:r>
      <w:r>
        <w:rPr>
          <w:rFonts w:ascii="仿宋_GB2312" w:eastAsia="仿宋_GB2312" w:hint="eastAsia"/>
          <w:sz w:val="32"/>
          <w:szCs w:val="32"/>
        </w:rPr>
        <w:t>主要用于：基础设施建设</w:t>
      </w:r>
      <w:r>
        <w:rPr>
          <w:rFonts w:ascii="仿宋_GB2312" w:eastAsia="仿宋_GB2312"/>
          <w:sz w:val="32"/>
          <w:szCs w:val="32"/>
        </w:rPr>
        <w:t>支出</w:t>
      </w:r>
      <w:r>
        <w:rPr>
          <w:rFonts w:ascii="仿宋_GB2312" w:eastAsia="仿宋_GB2312" w:hint="eastAsia"/>
          <w:sz w:val="32"/>
          <w:szCs w:val="32"/>
        </w:rPr>
        <w:t>。</w:t>
      </w:r>
    </w:p>
    <w:p>
      <w:pPr>
        <w:tabs>
          <w:tab w:val="right" w:pos="8306"/>
        </w:tabs>
        <w:spacing w:line="600" w:lineRule="exact"/>
        <w:ind w:firstLine="640"/>
        <w:outlineLvl w:val="1"/>
        <w:rPr>
          <w:rStyle w:val="2Char"/>
        </w:rPr>
      </w:pPr>
      <w:bookmarkStart w:id="40" w:name="_Toc15377214"/>
      <w:bookmarkStart w:id="41" w:name="_Toc15396608"/>
      <w:r>
        <w:rPr>
          <w:rFonts w:ascii="黑体" w:eastAsia="黑体" w:hint="eastAsia"/>
          <w:color w:val="000000"/>
          <w:sz w:val="32"/>
          <w:szCs w:val="32"/>
        </w:rPr>
        <w:t>六</w:t>
      </w:r>
      <w:r>
        <w:rPr>
          <w:rFonts w:ascii="黑体" w:eastAsia="黑体" w:hint="eastAsia"/>
          <w:b/>
          <w:color w:val="000000"/>
          <w:sz w:val="32"/>
          <w:szCs w:val="32"/>
        </w:rPr>
        <w:t>、一</w:t>
      </w:r>
      <w:r>
        <w:rPr>
          <w:rStyle w:val="2Char"/>
          <w:rFonts w:ascii="黑体" w:eastAsia="黑体" w:hint="eastAsia"/>
          <w:b w:val="0"/>
        </w:rPr>
        <w:t>般公共预算财政拨款基本支出决算情况说明</w:t>
      </w:r>
      <w:bookmarkEnd w:id="40"/>
      <w:bookmarkEnd w:id="41"/>
      <w:r>
        <w:rPr>
          <w:rStyle w:val="2Char"/>
          <w:rFonts w:ascii="黑体" w:eastAsia="黑体"/>
          <w:b w:val="0"/>
        </w:rPr>
        <w:tab/>
      </w:r>
    </w:p>
    <w:p>
      <w:pPr>
        <w:spacing w:line="600" w:lineRule="exact"/>
        <w:ind w:firstLine="645"/>
        <w:rPr>
          <w:rFonts w:ascii="仿宋_GB2312" w:eastAsia="仿宋_GB2312" w:cs="仿宋_GB2312"/>
          <w:color w:val="000000"/>
          <w:sz w:val="32"/>
          <w:szCs w:val="32"/>
        </w:rPr>
      </w:pPr>
      <w:r>
        <w:rPr>
          <w:rFonts w:ascii="仿宋_GB2312" w:eastAsia="仿宋_GB2312" w:cs="仿宋_GB2312" w:hint="eastAsia"/>
          <w:sz w:val="32"/>
          <w:szCs w:val="32"/>
        </w:rPr>
        <w:t>2018年一般公共预算财政拨款基本支出718.83万元，</w:t>
      </w:r>
      <w:r>
        <w:rPr>
          <w:rFonts w:ascii="仿宋_GB2312" w:eastAsia="仿宋_GB2312" w:cs="仿宋_GB2312" w:hint="eastAsia"/>
          <w:color w:val="000000"/>
          <w:sz w:val="32"/>
          <w:szCs w:val="32"/>
        </w:rPr>
        <w:t>其中：</w:t>
      </w:r>
    </w:p>
    <w:p>
      <w:pPr>
        <w:spacing w:line="600" w:lineRule="exact"/>
        <w:ind w:firstLine="645"/>
        <w:rPr>
          <w:rFonts w:ascii="仿宋" w:eastAsia="仿宋"/>
          <w:color w:val="000000"/>
          <w:sz w:val="32"/>
          <w:szCs w:val="32"/>
        </w:rPr>
      </w:pPr>
      <w:r>
        <w:rPr>
          <w:rFonts w:ascii="仿宋_GB2312" w:eastAsia="仿宋_GB2312" w:cs="仿宋_GB2312" w:hint="eastAsia"/>
          <w:color w:val="000000"/>
          <w:sz w:val="32"/>
          <w:szCs w:val="32"/>
        </w:rPr>
        <w:t>人员经费594.33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br/>
        <w:t>　　公用经费124.50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Char"/>
          <w:rFonts w:ascii="黑体" w:eastAsia="黑体"/>
          <w:b w:val="0"/>
        </w:rPr>
      </w:pPr>
      <w:bookmarkStart w:id="42" w:name="_Toc15377215"/>
      <w:bookmarkStart w:id="43" w:name="_Toc15396609"/>
      <w:r>
        <w:rPr>
          <w:rFonts w:ascii="黑体" w:eastAsia="黑体" w:hint="eastAsia"/>
          <w:color w:val="000000"/>
          <w:sz w:val="32"/>
          <w:szCs w:val="32"/>
        </w:rPr>
        <w:t>七、</w:t>
      </w:r>
      <w:r>
        <w:rPr>
          <w:rStyle w:val="2Char"/>
          <w:rFonts w:ascii="黑体" w:eastAsia="黑体" w:hint="eastAsia"/>
        </w:rPr>
        <w:t>“</w:t>
      </w:r>
      <w:r>
        <w:rPr>
          <w:rStyle w:val="2Char"/>
          <w:rFonts w:ascii="黑体" w:eastAsia="黑体" w:hint="eastAsia"/>
          <w:b w:val="0"/>
        </w:rPr>
        <w:t>三公”经费财政拨款支出决算情况说明</w:t>
      </w:r>
      <w:bookmarkEnd w:id="42"/>
      <w:bookmarkEnd w:id="43"/>
    </w:p>
    <w:p>
      <w:pPr>
        <w:spacing w:line="600" w:lineRule="exact"/>
        <w:ind w:firstLine="640"/>
        <w:outlineLvl w:val="2"/>
        <w:rPr>
          <w:rFonts w:ascii="仿宋" w:eastAsia="仿宋"/>
          <w:b/>
          <w:color w:val="000000"/>
          <w:sz w:val="32"/>
          <w:szCs w:val="32"/>
        </w:rPr>
      </w:pPr>
      <w:bookmarkStart w:id="44" w:name="_Toc15377216"/>
      <w:r>
        <w:rPr>
          <w:rFonts w:ascii="仿宋" w:eastAsia="仿宋" w:hint="eastAsia"/>
          <w:b/>
          <w:color w:val="000000"/>
          <w:sz w:val="32"/>
          <w:szCs w:val="32"/>
        </w:rPr>
        <w:t>（一）“三公”经费财政拨款支出决算总体情况说明</w:t>
      </w:r>
      <w:bookmarkEnd w:id="44"/>
    </w:p>
    <w:p>
      <w:pPr>
        <w:spacing w:line="600" w:lineRule="exact"/>
        <w:ind w:firstLine="640"/>
        <w:rPr>
          <w:rFonts w:ascii="仿宋_GB2312" w:eastAsia="仿宋_GB2312" w:cs="仿宋_GB2312"/>
          <w:color w:val="000000"/>
          <w:sz w:val="32"/>
          <w:szCs w:val="32"/>
        </w:rPr>
      </w:pPr>
      <w:r>
        <w:rPr>
          <w:rFonts w:ascii="仿宋_GB2312" w:eastAsia="仿宋_GB2312" w:cs="仿宋_GB2312" w:hint="eastAsia"/>
          <w:color w:val="000000"/>
          <w:sz w:val="32"/>
          <w:szCs w:val="32"/>
        </w:rPr>
        <w:t>2018年“三公”经费财政拨款支出决算为4.37万元，完成预算100%，决算数与预算数持平。</w:t>
      </w:r>
    </w:p>
    <w:p>
      <w:pPr>
        <w:spacing w:line="600" w:lineRule="exact"/>
        <w:ind w:firstLineChars="200" w:firstLine="640"/>
        <w:outlineLvl w:val="2"/>
        <w:rPr>
          <w:rFonts w:ascii="仿宋" w:eastAsia="仿宋"/>
          <w:b/>
          <w:color w:val="000000"/>
          <w:sz w:val="32"/>
          <w:szCs w:val="32"/>
        </w:rPr>
      </w:pPr>
      <w:bookmarkStart w:id="45" w:name="_Toc15377217"/>
      <w:r>
        <w:rPr>
          <w:rFonts w:ascii="仿宋" w:eastAsia="仿宋" w:hint="eastAsia"/>
          <w:b/>
          <w:color w:val="000000"/>
          <w:sz w:val="32"/>
          <w:szCs w:val="32"/>
        </w:rPr>
        <w:t>（二）“三公”经费财政拨款支出决算具体情况说明</w:t>
      </w:r>
      <w:bookmarkEnd w:id="45"/>
    </w:p>
    <w:p>
      <w:pPr>
        <w:spacing w:line="600" w:lineRule="exact"/>
        <w:ind w:firstLine="640"/>
        <w:rPr>
          <w:rFonts w:ascii="仿宋_GB2312" w:eastAsia="仿宋_GB2312" w:cs="仿宋_GB2312"/>
          <w:color w:val="000000"/>
          <w:sz w:val="32"/>
          <w:szCs w:val="32"/>
        </w:rPr>
      </w:pPr>
      <w:r>
        <w:rPr>
          <w:rFonts w:ascii="仿宋_GB2312" w:eastAsia="仿宋_GB2312" w:cs="仿宋_GB2312" w:hint="eastAsia"/>
          <w:color w:val="000000"/>
          <w:sz w:val="32"/>
          <w:szCs w:val="32"/>
        </w:rPr>
        <w:t>2018年“三公”经费财政拨款支出决算中，因公出国（境）费支出决算0万元，占0%；公务用车购置及运行维护费支出决算0万元，占0%；公务接待费支出决算4.37万元，占100%。具体情况如下：</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0万元，</w:t>
      </w:r>
      <w:r>
        <w:rPr>
          <w:rStyle w:val="22"/>
          <w:rFonts w:ascii="仿宋" w:eastAsia="仿宋" w:hint="eastAsia"/>
          <w:b w:val="0"/>
          <w:bCs/>
          <w:color w:val="000000"/>
          <w:sz w:val="32"/>
          <w:szCs w:val="32"/>
        </w:rPr>
        <w:t>完成预算0</w:t>
      </w:r>
      <w:r>
        <w:rPr>
          <w:rStyle w:val="22"/>
          <w:rFonts w:ascii="仿宋" w:eastAsia="仿宋"/>
          <w:b w:val="0"/>
          <w:bCs/>
          <w:color w:val="000000"/>
          <w:sz w:val="32"/>
          <w:szCs w:val="32"/>
        </w:rPr>
        <w:t>%</w:t>
      </w:r>
      <w:r>
        <w:rPr>
          <w:rStyle w:val="22"/>
          <w:rFonts w:ascii="仿宋" w:eastAsia="仿宋" w:hint="eastAsia"/>
          <w:b w:val="0"/>
          <w:bCs/>
          <w:color w:val="000000"/>
          <w:sz w:val="32"/>
          <w:szCs w:val="32"/>
        </w:rPr>
        <w:t>。</w:t>
      </w:r>
      <w:r>
        <w:rPr>
          <w:rFonts w:ascii="仿宋_GB2312" w:eastAsia="仿宋_GB2312" w:hint="eastAsia"/>
          <w:color w:val="000000"/>
          <w:sz w:val="32"/>
          <w:szCs w:val="32"/>
        </w:rPr>
        <w:t>全年安排因公出国（境）团组0次，出国（境）0人。因公出国（境）支出决算比</w:t>
      </w:r>
      <w:r>
        <w:rPr>
          <w:rFonts w:ascii="仿宋_GB2312" w:eastAsia="仿宋_GB2312"/>
          <w:color w:val="000000"/>
          <w:sz w:val="32"/>
          <w:szCs w:val="32"/>
        </w:rPr>
        <w:t>201</w:t>
      </w:r>
      <w:r>
        <w:rPr>
          <w:rFonts w:ascii="仿宋_GB2312" w:eastAsia="仿宋_GB2312" w:hint="eastAsia"/>
          <w:color w:val="000000"/>
          <w:sz w:val="32"/>
          <w:szCs w:val="32"/>
        </w:rPr>
        <w:t>7年增加</w:t>
      </w:r>
      <w:r>
        <w:rPr>
          <w:rFonts w:ascii="仿宋_GB2312" w:eastAsia="仿宋_GB2312"/>
          <w:color w:val="000000"/>
          <w:sz w:val="32"/>
          <w:szCs w:val="32"/>
        </w:rPr>
        <w:t>/</w:t>
      </w:r>
      <w:r>
        <w:rPr>
          <w:rFonts w:ascii="仿宋_GB2312" w:eastAsia="仿宋_GB2312" w:hint="eastAsia"/>
          <w:color w:val="000000"/>
          <w:sz w:val="32"/>
          <w:szCs w:val="32"/>
        </w:rPr>
        <w:t>减少0万元，增长</w:t>
      </w:r>
      <w:r>
        <w:rPr>
          <w:rFonts w:ascii="仿宋_GB2312" w:eastAsia="仿宋_GB2312"/>
          <w:color w:val="000000"/>
          <w:sz w:val="32"/>
          <w:szCs w:val="32"/>
        </w:rPr>
        <w:t>/</w:t>
      </w:r>
      <w:r>
        <w:rPr>
          <w:rFonts w:ascii="仿宋_GB2312" w:eastAsia="仿宋_GB2312" w:hint="eastAsia"/>
          <w:color w:val="000000"/>
          <w:sz w:val="32"/>
          <w:szCs w:val="32"/>
        </w:rPr>
        <w:t>下降0</w:t>
      </w:r>
      <w:r>
        <w:rPr>
          <w:rFonts w:ascii="仿宋_GB2312" w:eastAsia="仿宋_GB2312"/>
          <w:color w:val="000000"/>
          <w:sz w:val="32"/>
          <w:szCs w:val="32"/>
        </w:rPr>
        <w:t>%</w:t>
      </w:r>
      <w:r>
        <w:rPr>
          <w:rFonts w:ascii="仿宋_GB2312" w:eastAsia="仿宋_GB2312" w:hint="eastAsia"/>
          <w:color w:val="000000"/>
          <w:sz w:val="32"/>
          <w:szCs w:val="32"/>
        </w:rPr>
        <w:t>。主要原因是无因公出国（境）。</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0万元,</w:t>
      </w:r>
      <w:r>
        <w:rPr>
          <w:rStyle w:val="22"/>
          <w:rFonts w:ascii="仿宋" w:eastAsia="仿宋" w:hint="eastAsia"/>
          <w:b w:val="0"/>
          <w:bCs/>
          <w:color w:val="000000"/>
          <w:sz w:val="32"/>
          <w:szCs w:val="32"/>
        </w:rPr>
        <w:t>完成预算0</w:t>
      </w:r>
      <w:r>
        <w:rPr>
          <w:rStyle w:val="22"/>
          <w:rFonts w:ascii="仿宋" w:eastAsia="仿宋"/>
          <w:b w:val="0"/>
          <w:bCs/>
          <w:color w:val="000000"/>
          <w:sz w:val="32"/>
          <w:szCs w:val="32"/>
        </w:rPr>
        <w:t>%</w:t>
      </w:r>
      <w:r>
        <w:rPr>
          <w:rStyle w:val="22"/>
          <w:rFonts w:ascii="仿宋" w:eastAsia="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7年增加</w:t>
      </w:r>
      <w:r>
        <w:rPr>
          <w:rFonts w:ascii="仿宋_GB2312" w:eastAsia="仿宋_GB2312"/>
          <w:color w:val="000000"/>
          <w:sz w:val="32"/>
          <w:szCs w:val="32"/>
        </w:rPr>
        <w:t>/</w:t>
      </w:r>
      <w:r>
        <w:rPr>
          <w:rFonts w:ascii="仿宋_GB2312" w:eastAsia="仿宋_GB2312" w:hint="eastAsia"/>
          <w:color w:val="000000"/>
          <w:sz w:val="32"/>
          <w:szCs w:val="32"/>
        </w:rPr>
        <w:t>减少0万元，增长</w:t>
      </w:r>
      <w:r>
        <w:rPr>
          <w:rFonts w:ascii="仿宋_GB2312" w:eastAsia="仿宋_GB2312"/>
          <w:color w:val="000000"/>
          <w:sz w:val="32"/>
          <w:szCs w:val="32"/>
        </w:rPr>
        <w:t>/</w:t>
      </w:r>
      <w:r>
        <w:rPr>
          <w:rFonts w:ascii="仿宋_GB2312" w:eastAsia="仿宋_GB2312" w:hint="eastAsia"/>
          <w:color w:val="000000"/>
          <w:sz w:val="32"/>
          <w:szCs w:val="32"/>
        </w:rPr>
        <w:t>下降0</w:t>
      </w:r>
      <w:r>
        <w:rPr>
          <w:rFonts w:ascii="仿宋_GB2312" w:eastAsia="仿宋_GB2312"/>
          <w:color w:val="000000"/>
          <w:sz w:val="32"/>
          <w:szCs w:val="32"/>
        </w:rPr>
        <w:t>%</w:t>
      </w:r>
      <w:r>
        <w:rPr>
          <w:rFonts w:ascii="仿宋_GB2312" w:eastAsia="仿宋_GB2312" w:hint="eastAsia"/>
          <w:color w:val="000000"/>
          <w:sz w:val="32"/>
          <w:szCs w:val="32"/>
        </w:rPr>
        <w:t>。主要原因是无公务用车购置及运行维护费支出。</w:t>
      </w:r>
    </w:p>
    <w:p>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0万元。全年按规定更新购置公务用车0辆，其中：轿车0辆、金额0万元，越野车0辆、金额0万元，载客汽车0辆、金额0万元。截至</w:t>
      </w:r>
      <w:r>
        <w:rPr>
          <w:rFonts w:ascii="仿宋_GB2312" w:eastAsia="仿宋_GB2312"/>
          <w:color w:val="000000"/>
          <w:sz w:val="32"/>
          <w:szCs w:val="32"/>
        </w:rPr>
        <w:t>201</w:t>
      </w:r>
      <w:r>
        <w:rPr>
          <w:rFonts w:ascii="仿宋_GB2312" w:eastAsia="仿宋_GB2312" w:hint="eastAsia"/>
          <w:color w:val="000000"/>
          <w:sz w:val="32"/>
          <w:szCs w:val="32"/>
        </w:rPr>
        <w:t>8年</w:t>
      </w:r>
      <w:r>
        <w:rPr>
          <w:rFonts w:ascii="仿宋_GB2312" w:eastAsia="仿宋_GB2312"/>
          <w:color w:val="000000"/>
          <w:sz w:val="32"/>
          <w:szCs w:val="32"/>
        </w:rPr>
        <w:t>12</w:t>
      </w:r>
      <w:r>
        <w:rPr>
          <w:rFonts w:ascii="仿宋_GB2312" w:eastAsia="仿宋_GB2312" w:hint="eastAsia"/>
          <w:color w:val="000000"/>
          <w:sz w:val="32"/>
          <w:szCs w:val="32"/>
        </w:rPr>
        <w:t>月底，单位共有公务用车0辆，其中：轿车0辆、越野车0辆、载客汽车0辆。</w:t>
      </w:r>
    </w:p>
    <w:p>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0万元。</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4.37万元，</w:t>
      </w:r>
      <w:r>
        <w:rPr>
          <w:rStyle w:val="22"/>
          <w:rFonts w:ascii="仿宋" w:eastAsia="仿宋" w:hint="eastAsia"/>
          <w:b w:val="0"/>
          <w:bCs/>
          <w:color w:val="000000"/>
          <w:sz w:val="32"/>
          <w:szCs w:val="32"/>
        </w:rPr>
        <w:t>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7年增加</w:t>
      </w:r>
      <w:r>
        <w:rPr>
          <w:rFonts w:ascii="仿宋_GB2312" w:eastAsia="仿宋_GB2312"/>
          <w:color w:val="000000"/>
          <w:sz w:val="32"/>
          <w:szCs w:val="32"/>
        </w:rPr>
        <w:t>/</w:t>
      </w:r>
      <w:r>
        <w:rPr>
          <w:rFonts w:ascii="仿宋_GB2312" w:eastAsia="仿宋_GB2312" w:hint="eastAsia"/>
          <w:color w:val="000000"/>
          <w:sz w:val="32"/>
          <w:szCs w:val="32"/>
        </w:rPr>
        <w:t>减少0.08万元，下降1.8</w:t>
      </w:r>
      <w:r>
        <w:rPr>
          <w:rFonts w:ascii="仿宋_GB2312" w:eastAsia="仿宋_GB2312"/>
          <w:color w:val="000000"/>
          <w:sz w:val="32"/>
          <w:szCs w:val="32"/>
        </w:rPr>
        <w:t>%</w:t>
      </w:r>
      <w:r>
        <w:rPr>
          <w:rFonts w:ascii="仿宋_GB2312" w:eastAsia="仿宋_GB2312" w:hint="eastAsia"/>
          <w:color w:val="000000"/>
          <w:sz w:val="32"/>
          <w:szCs w:val="32"/>
        </w:rPr>
        <w:t>。主要原因是接待次数减少。</w:t>
      </w:r>
    </w:p>
    <w:p>
      <w:pPr>
        <w:spacing w:line="600" w:lineRule="exact"/>
        <w:ind w:firstLine="640"/>
        <w:rPr>
          <w:rFonts w:ascii="黑体" w:eastAsia="黑体"/>
          <w:color w:val="000000"/>
          <w:sz w:val="32"/>
          <w:szCs w:val="32"/>
        </w:rPr>
      </w:pPr>
      <w:r>
        <w:rPr>
          <w:rFonts w:ascii="仿宋_GB2312" w:eastAsia="仿宋_GB2312" w:hint="eastAsia"/>
          <w:color w:val="000000"/>
          <w:sz w:val="32"/>
          <w:szCs w:val="32"/>
        </w:rPr>
        <w:t>主要用于执行公务、开展业务活动开支的交通费、住宿费、用餐费等。国内公务接待78批次，521人次（不包括陪同人员），共计支出4.37万元，具体内容包括：工作检查、乡外产业学习、接待上访人员、以及乡内工作检查。其中：</w:t>
      </w:r>
      <w:r>
        <w:rPr>
          <w:rFonts w:ascii="仿宋_GB2312" w:eastAsia="仿宋_GB2312" w:cs="仿宋_GB2312" w:hint="eastAsia"/>
          <w:bCs/>
          <w:color w:val="000000"/>
          <w:sz w:val="32"/>
          <w:szCs w:val="32"/>
        </w:rPr>
        <w:t>无外事接待支出。</w:t>
      </w:r>
      <w:bookmarkStart w:id="46" w:name="_Toc15377218"/>
      <w:bookmarkStart w:id="47" w:name="_Toc15396610"/>
    </w:p>
    <w:p>
      <w:pPr>
        <w:spacing w:line="600" w:lineRule="exact"/>
        <w:ind w:firstLine="640"/>
        <w:outlineLvl w:val="1"/>
        <w:rPr>
          <w:rStyle w:val="2Char"/>
          <w:rFonts w:ascii="黑体" w:eastAsia="黑体"/>
        </w:rPr>
      </w:pPr>
      <w:r>
        <w:rPr>
          <w:rFonts w:ascii="黑体" w:eastAsia="黑体" w:hint="eastAsia"/>
          <w:color w:val="000000"/>
          <w:sz w:val="32"/>
          <w:szCs w:val="32"/>
        </w:rPr>
        <w:t>八、</w:t>
      </w:r>
      <w:r>
        <w:rPr>
          <w:rStyle w:val="2Char"/>
          <w:rFonts w:ascii="黑体" w:eastAsia="黑体" w:hint="eastAsia"/>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8年政府性基金预算拨款支出28万元。</w:t>
      </w:r>
    </w:p>
    <w:p>
      <w:pPr>
        <w:numPr>
          <w:ilvl w:val="0"/>
          <w:numId w:val="4"/>
        </w:numPr>
        <w:spacing w:line="600" w:lineRule="exact"/>
        <w:ind w:left="0" w:firstLine="640"/>
        <w:outlineLvl w:val="1"/>
        <w:rPr>
          <w:rStyle w:val="2Char"/>
          <w:rFonts w:ascii="黑体" w:eastAsia="黑体"/>
          <w:b w:val="0"/>
        </w:rPr>
      </w:pPr>
      <w:bookmarkStart w:id="48" w:name="_Toc15396611"/>
      <w:bookmarkStart w:id="49" w:name="_Toc15377219"/>
      <w:r>
        <w:rPr>
          <w:rStyle w:val="2Char"/>
          <w:rFonts w:ascii="黑体" w:eastAsia="黑体" w:hint="eastAsia"/>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8年国有资本经营预算拨款支出0万元。</w:t>
      </w:r>
    </w:p>
    <w:p>
      <w:pPr>
        <w:pStyle w:val="28"/>
        <w:numPr>
          <w:ilvl w:val="0"/>
          <w:numId w:val="5"/>
        </w:numPr>
        <w:spacing w:line="580" w:lineRule="exact"/>
        <w:ind w:firstLineChars="0"/>
        <w:rPr>
          <w:rStyle w:val="2Char"/>
          <w:rFonts w:ascii="黑体" w:eastAsia="黑体"/>
          <w:b w:val="0"/>
        </w:rPr>
      </w:pPr>
      <w:bookmarkStart w:id="50" w:name="_Toc15396612"/>
      <w:bookmarkStart w:id="51" w:name="_Toc15377221"/>
      <w:r>
        <w:rPr>
          <w:rStyle w:val="2Char"/>
          <w:rFonts w:ascii="黑体" w:eastAsia="黑体" w:hint="eastAsia"/>
          <w:b w:val="0"/>
        </w:rPr>
        <w:t>预算绩效情况说明</w:t>
      </w:r>
    </w:p>
    <w:p>
      <w:pPr>
        <w:numPr>
          <w:ilvl w:val="0"/>
          <w:numId w:val="6"/>
        </w:numPr>
        <w:spacing w:line="580" w:lineRule="exact"/>
        <w:ind w:left="0" w:firstLineChars="200" w:firstLine="640"/>
        <w:rPr>
          <w:rFonts w:ascii="仿宋" w:eastAsia="仿宋" w:cs="楷体_GB2312"/>
          <w:b/>
          <w:bCs/>
          <w:sz w:val="32"/>
          <w:szCs w:val="32"/>
        </w:rPr>
      </w:pPr>
      <w:r>
        <w:rPr>
          <w:rFonts w:ascii="仿宋" w:eastAsia="仿宋" w:cs="楷体_GB2312" w:hint="eastAsia"/>
          <w:b/>
          <w:bCs/>
          <w:sz w:val="32"/>
          <w:szCs w:val="32"/>
        </w:rPr>
        <w:t>预算绩效管理工作开展情况。</w:t>
      </w:r>
    </w:p>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根据预算绩效管理要求，本部门（单位）在年初预算编制阶段，组织对预算项目开展了预算事前绩效评估，对1个项目编制了绩效目标，预算执行过程中，选取1个项目开展绩效监控，年终执行完毕后，对1个项目开展了绩效目标完成情况梳理填报。</w:t>
      </w:r>
    </w:p>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本部门按要求对2018年部门整体支出开展绩效自评，从评价情况来看自评结果得分100分，但也存在一些问题：一是项目进度缓慢，归档不及时。二是对项目工程及时跟进，确保项目工程完成，下一步改进措施：一是加快项目进度，二是及时对项目资料进行归档。</w:t>
      </w:r>
    </w:p>
    <w:p>
      <w:pPr>
        <w:spacing w:line="580" w:lineRule="exact"/>
        <w:ind w:firstLineChars="200" w:firstLine="640"/>
        <w:rPr>
          <w:rFonts w:ascii="仿宋_GB2312" w:eastAsia="仿宋_GB2312" w:cs="仿宋_GB2312"/>
          <w:sz w:val="32"/>
          <w:szCs w:val="32"/>
        </w:rPr>
      </w:pPr>
      <w:r>
        <w:rPr>
          <w:rFonts w:ascii="仿宋" w:eastAsia="仿宋" w:cs="楷体_GB2312" w:hint="eastAsia"/>
          <w:b/>
          <w:bCs/>
          <w:sz w:val="32"/>
          <w:szCs w:val="32"/>
        </w:rPr>
        <w:t>（二）项目绩效目标完成情况。</w:t>
      </w:r>
      <w:r>
        <w:rPr>
          <w:rFonts w:ascii="楷体_GB2312" w:eastAsia="楷体_GB2312" w:cs="楷体_GB2312" w:hint="eastAsia"/>
          <w:b/>
          <w:bCs/>
          <w:sz w:val="32"/>
          <w:szCs w:val="32"/>
        </w:rPr>
        <w:br/>
      </w:r>
      <w:r>
        <w:rPr>
          <w:rFonts w:ascii="仿宋_GB2312" w:eastAsia="仿宋_GB2312" w:cs="仿宋_GB2312" w:hint="eastAsia"/>
          <w:sz w:val="32"/>
          <w:szCs w:val="32"/>
        </w:rPr>
        <w:t>本部门在2018年度部门决算中反映财力保障等5个项目绩效目标实际完成情况：</w:t>
      </w:r>
    </w:p>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财力保障化债项目绩效目标完成情况综述。项目全年预算数0.3万元，执行数为0.3万元，完成预算的100%。通过项目实施，解决好与信用社的债务关系。发现的主要问题：一是管理上还不够积极主动，不能够很好参与其中。下一步改进措施：一是在管理工作中积极主动，提高管理水平能力，做到人人参与其管理中去。</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noWrap/>
            <w:tcMar>
              <w:top w:w="15" w:type="dxa"/>
              <w:left w:w="15" w:type="dxa"/>
              <w:right w:w="15" w:type="dxa"/>
            </w:tcMar>
            <w:vAlign w:val="center"/>
          </w:tcPr>
          <w:p>
            <w:pPr>
              <w:pStyle w:val="28"/>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项目支出绩效目标完成情况表（1）</w:t>
            </w:r>
            <w:r>
              <w:rPr>
                <w:rFonts w:ascii="宋体" w:cs="宋体" w:hint="eastAsia"/>
                <w:b/>
                <w:bCs/>
                <w:color w:val="000000"/>
                <w:kern w:val="0"/>
                <w:sz w:val="36"/>
                <w:szCs w:val="36"/>
              </w:rPr>
              <w:br/>
            </w:r>
            <w:r>
              <w:rPr>
                <w:rFonts w:ascii="宋体" w:cs="宋体" w:hint="eastAsia"/>
                <w:color w:val="000000"/>
                <w:kern w:val="0"/>
                <w:sz w:val="36"/>
                <w:szCs w:val="36"/>
              </w:rPr>
              <w:t>(2018年度)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洛车乡2018年度财力保障化债项目</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达州市达川区洛车乡人民政府</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0.3万元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0.3万元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0.3万元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0.3万元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jc w:val="center"/>
              <w:rPr>
                <w:rFonts w:ascii="宋体" w:cs="宋体"/>
                <w:color w:val="000000"/>
                <w:sz w:val="24"/>
              </w:rPr>
            </w:pPr>
            <w:r>
              <w:rPr>
                <w:rFonts w:ascii="宋体" w:cs="宋体" w:hint="eastAsia"/>
                <w:color w:val="000000"/>
                <w:sz w:val="24"/>
              </w:rPr>
              <w:t>0</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分年逐批化解建设欠款，巩固基层组织建设</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w:t>
            </w:r>
          </w:p>
        </w:tc>
      </w:tr>
      <w:tr>
        <w:trPr>
          <w:trHeight w:val="1042"/>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53"/>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减少债务</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减少信用社债务情况0.3万元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已完成债务化解0.3万元</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帐务处理</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做到公平、透明，不得出现新的债务</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已完成相关任务</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目标任务完成率达100%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完成率</w:t>
            </w:r>
            <w:r>
              <w:rPr>
                <w:rFonts w:ascii="Arial" w:cs="Arial" w:hAnsi="Arial"/>
                <w:color w:val="000000"/>
                <w:sz w:val="24"/>
              </w:rPr>
              <w:t>≥</w:t>
            </w:r>
            <w:r>
              <w:rPr>
                <w:rFonts w:ascii="宋体" w:cs="宋体" w:hint="eastAsia"/>
                <w:color w:val="000000"/>
                <w:sz w:val="24"/>
              </w:rPr>
              <w:t>100%</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解决存在债务</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促进社会和谐发展</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解决实际债务提高经济。</w:t>
            </w:r>
          </w:p>
        </w:tc>
      </w:tr>
      <w:tr>
        <w:trPr>
          <w:trHeight w:val="103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化解矛盾</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及时处理相关债务，调和基层政权和债权人的关系，提升社会满意度</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已完成相关债务，达到目标</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生态效益指标意</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坚持绿色环保</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保障环境，不能以牺牲环境为代价</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后期经济发展</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持续提供经济发展动力</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Arial" w:cs="Arial" w:hAnsi="Arial" w:hint="eastAsia"/>
                <w:color w:val="000000"/>
                <w:sz w:val="24"/>
              </w:rPr>
              <w:t>促进了当地经济发展</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村民满意</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满意度</w:t>
            </w:r>
            <w:r>
              <w:rPr>
                <w:rFonts w:ascii="Arial" w:cs="Arial" w:hAnsi="Arial"/>
                <w:color w:val="000000"/>
                <w:sz w:val="24"/>
              </w:rPr>
              <w:t>≥</w:t>
            </w:r>
            <w:r>
              <w:rPr>
                <w:rFonts w:asci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已达到满意度</w:t>
            </w:r>
            <w:r>
              <w:rPr>
                <w:rFonts w:ascii="Arial" w:cs="Arial" w:hAnsi="Arial"/>
                <w:color w:val="000000"/>
                <w:sz w:val="24"/>
              </w:rPr>
              <w:t>≥</w:t>
            </w:r>
            <w:r>
              <w:rPr>
                <w:rFonts w:ascii="宋体" w:cs="宋体" w:hint="eastAsia"/>
                <w:color w:val="000000"/>
                <w:sz w:val="24"/>
              </w:rPr>
              <w:t>95%</w:t>
            </w:r>
          </w:p>
        </w:tc>
      </w:tr>
    </w:tbl>
    <w:p>
      <w:pPr>
        <w:spacing w:line="580" w:lineRule="exact"/>
        <w:ind w:firstLineChars="200" w:firstLine="640"/>
        <w:rPr>
          <w:rFonts w:ascii="仿宋_GB2312" w:eastAsia="仿宋_GB2312" w:cs="仿宋_GB2312"/>
          <w:sz w:val="32"/>
          <w:szCs w:val="32"/>
        </w:rPr>
      </w:pPr>
    </w:p>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财力保障环境综合治理项目绩效目标完成情况综述。项目全年预算数27.51万元，执行数为27.51万元，完成预算的100%。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其中，创造一个美丽和谐的环境。</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noWrap/>
            <w:tcMar>
              <w:top w:w="15" w:type="dxa"/>
              <w:left w:w="15" w:type="dxa"/>
              <w:right w:w="15" w:type="dxa"/>
            </w:tcMar>
            <w:vAlign w:val="center"/>
          </w:tcPr>
          <w:p>
            <w:pPr>
              <w:pStyle w:val="28"/>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项目支出绩效目标完成情况表（2）</w:t>
            </w:r>
            <w:r>
              <w:rPr>
                <w:rFonts w:ascii="宋体" w:cs="宋体" w:hint="eastAsia"/>
                <w:b/>
                <w:bCs/>
                <w:color w:val="000000"/>
                <w:kern w:val="0"/>
                <w:sz w:val="36"/>
                <w:szCs w:val="36"/>
              </w:rPr>
              <w:br/>
            </w:r>
            <w:r>
              <w:rPr>
                <w:rFonts w:ascii="宋体" w:cs="宋体" w:hint="eastAsia"/>
                <w:color w:val="000000"/>
                <w:kern w:val="0"/>
                <w:sz w:val="36"/>
                <w:szCs w:val="36"/>
              </w:rPr>
              <w:t>(2018年度)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洛车乡2018年度财力保障环境综合治理项目</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达州市达川区洛车乡人民政府</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27.51万元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27.51万元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27.51万元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27.51万元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jc w:val="center"/>
              <w:rPr>
                <w:rFonts w:ascii="宋体" w:cs="宋体"/>
                <w:color w:val="000000"/>
                <w:sz w:val="24"/>
              </w:rPr>
            </w:pPr>
            <w:r>
              <w:rPr>
                <w:rFonts w:ascii="宋体" w:cs="宋体" w:hint="eastAsia"/>
                <w:color w:val="000000"/>
                <w:sz w:val="24"/>
              </w:rPr>
              <w:t>0</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cs="宋体"/>
                <w:color w:val="000000"/>
                <w:sz w:val="24"/>
              </w:rPr>
            </w:pPr>
            <w:r>
              <w:rPr>
                <w:rFonts w:ascii="宋体" w:cs="宋体" w:hint="eastAsia"/>
                <w:color w:val="000000"/>
                <w:sz w:val="24"/>
              </w:rPr>
              <w:t>推进环保节能治理，建立健全农村生活垃圾处理长效机制，深入开展环境污染和面源污染治理。</w:t>
              <w:tab/>
              <w:tab/>
              <w:tab/>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w:t>
            </w:r>
          </w:p>
        </w:tc>
      </w:tr>
      <w:tr>
        <w:trPr>
          <w:trHeight w:val="1042"/>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53"/>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保洁工作、环境治理宣传活动</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落实社区保洁员2名，各村保洁员1名、宣传标语不低于24幅，会议每月一次</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已完成落实社区保洁员2名，各村保洁员1名、宣传标语不低于24幅，会议每月一次</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卫生保洁、垃圾清运、车辆停放</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做到场镇和村主要交通路干净，无污水，无垃圾。天天有人清扫做到垃圾日清，及时将垃圾运往佳境环保做无害化处理。</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已完成做到场镇和村主要交通路干净，无污水，无垃圾。天天有人清扫做到垃圾日清，及时将垃圾运往佳境环保做无害化处理。</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目标任务完成率达100%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完成率</w:t>
            </w:r>
            <w:r>
              <w:rPr>
                <w:rFonts w:ascii="Arial" w:cs="Arial" w:hAnsi="Arial"/>
                <w:color w:val="000000"/>
                <w:sz w:val="24"/>
              </w:rPr>
              <w:t>≥</w:t>
            </w:r>
            <w:r>
              <w:rPr>
                <w:rFonts w:ascii="宋体" w:cs="宋体" w:hint="eastAsia"/>
                <w:color w:val="000000"/>
                <w:sz w:val="24"/>
              </w:rPr>
              <w:t>100%</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垃圾处置费用、保洁员工资、垃圾清运车费</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严格按相关要求报账、严格按相关要求报账、严格按相关要求报账</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严格按相关要求报账、严格按相关要求报账、严格按相关要求报账</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投资环境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为外来投资商创建一个干净、整治的投资环境，提升洛车招商引资能力。</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w:t>
            </w:r>
          </w:p>
        </w:tc>
      </w:tr>
      <w:tr>
        <w:trPr>
          <w:trHeight w:val="103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环境卫生整治</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改善人居环境，提升群众幸福生活指数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改善了群众的人居环境，提升了幸福生活 指数。</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生态效益指标意</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坚持绿色环保</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垃圾日清，迅速处置</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做到了垃圾日清，垃圾池周清。</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政策导向</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长期保障工作平稳进行</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Arial" w:cs="Arial" w:hAnsi="Arial" w:hint="eastAsia"/>
                <w:color w:val="000000"/>
                <w:sz w:val="24"/>
              </w:rPr>
              <w:t>促进了全乡环境整治的发展</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社会满意</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社会满意度</w:t>
            </w:r>
            <w:r>
              <w:rPr>
                <w:rFonts w:ascii="Arial" w:cs="Arial" w:hAnsi="Arial"/>
                <w:color w:val="000000"/>
                <w:sz w:val="24"/>
              </w:rPr>
              <w:t>≥</w:t>
            </w:r>
            <w:r>
              <w:rPr>
                <w:rFonts w:asci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已达到满意度</w:t>
            </w:r>
            <w:r>
              <w:rPr>
                <w:rFonts w:ascii="Arial" w:cs="Arial" w:hAnsi="Arial"/>
                <w:color w:val="000000"/>
                <w:sz w:val="24"/>
              </w:rPr>
              <w:t>≥</w:t>
            </w:r>
            <w:r>
              <w:rPr>
                <w:rFonts w:ascii="宋体" w:cs="宋体" w:hint="eastAsia"/>
                <w:color w:val="000000"/>
                <w:sz w:val="24"/>
              </w:rPr>
              <w:t>95%</w:t>
            </w:r>
          </w:p>
        </w:tc>
      </w:tr>
    </w:tbl>
    <w:p>
      <w:pPr>
        <w:spacing w:line="580" w:lineRule="exact"/>
        <w:rPr>
          <w:rFonts w:ascii="仿宋_GB2312" w:eastAsia="仿宋_GB2312" w:cs="仿宋_GB2312"/>
          <w:sz w:val="32"/>
          <w:szCs w:val="32"/>
        </w:rPr>
      </w:pPr>
    </w:p>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3、财力保障项促进发展项目绩效目标完成情况综述。项目全年预算数6.7万元，执行数为6.7万元，完成预算的100%。通过项目实施，巩固产业发展，让百姓参与其中，促进产业发展，让百姓得实惠，提高人均收入。发现的主要问题：一是在管理中还不是很到位，二是产业发展资金投入较少。下一步改进措施：提高人人参与到管理中来，切实抓好责任管理。</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noWrap/>
            <w:tcMar>
              <w:top w:w="15" w:type="dxa"/>
              <w:left w:w="15" w:type="dxa"/>
              <w:right w:w="15" w:type="dxa"/>
            </w:tcMar>
            <w:vAlign w:val="center"/>
          </w:tcPr>
          <w:p>
            <w:pPr>
              <w:pStyle w:val="28"/>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项目支出绩效目标完成情况表（3）</w:t>
            </w:r>
            <w:r>
              <w:rPr>
                <w:rFonts w:ascii="宋体" w:cs="宋体" w:hint="eastAsia"/>
                <w:b/>
                <w:bCs/>
                <w:color w:val="000000"/>
                <w:kern w:val="0"/>
                <w:sz w:val="36"/>
                <w:szCs w:val="36"/>
              </w:rPr>
              <w:br/>
            </w:r>
            <w:r>
              <w:rPr>
                <w:rFonts w:ascii="宋体" w:cs="宋体" w:hint="eastAsia"/>
                <w:color w:val="000000"/>
                <w:kern w:val="0"/>
                <w:sz w:val="36"/>
                <w:szCs w:val="36"/>
              </w:rPr>
              <w:t>(2018年度)</w:t>
            </w:r>
          </w:p>
        </w:tc>
      </w:tr>
      <w:tr>
        <w:trPr>
          <w:trHeight w:val="90"/>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洛车乡2018年度财力保障促发展项目</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达州市达川区洛车乡人民政府</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6.7万元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6.7万元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6.7万元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6.7万元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jc w:val="center"/>
              <w:rPr>
                <w:rFonts w:ascii="宋体" w:cs="宋体"/>
                <w:color w:val="000000"/>
                <w:sz w:val="24"/>
              </w:rPr>
            </w:pPr>
            <w:r>
              <w:rPr>
                <w:rFonts w:ascii="宋体" w:cs="宋体" w:hint="eastAsia"/>
                <w:color w:val="000000"/>
                <w:sz w:val="24"/>
              </w:rPr>
              <w:t>0</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864"/>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cs="宋体"/>
                <w:color w:val="000000"/>
                <w:sz w:val="24"/>
              </w:rPr>
            </w:pPr>
            <w:r>
              <w:rPr>
                <w:rFonts w:ascii="宋体" w:cs="宋体" w:hint="eastAsia"/>
                <w:color w:val="000000"/>
                <w:sz w:val="24"/>
              </w:rPr>
              <w:t>加大村级基础设施建设投入，改善农村基础设施状况，修建水利、道路，增强农村经济发展实力</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w:t>
            </w:r>
          </w:p>
        </w:tc>
      </w:tr>
      <w:tr>
        <w:trPr>
          <w:trHeight w:val="822"/>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53"/>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方便群众出行</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解决530余人出行</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已完成涉及645人的出行问题</w:t>
            </w:r>
          </w:p>
        </w:tc>
      </w:tr>
      <w:tr>
        <w:trPr>
          <w:trHeight w:val="110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工程标准</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cs="宋体"/>
                <w:color w:val="000000"/>
                <w:sz w:val="24"/>
              </w:rPr>
            </w:pPr>
            <w:r>
              <w:rPr>
                <w:rFonts w:ascii="宋体" w:cs="宋体" w:hint="eastAsia"/>
                <w:color w:val="000000"/>
                <w:sz w:val="24"/>
              </w:rPr>
              <w:t>严格按照工程标准执行，以监理单位验收质量为准</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已完成相关任务</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目标任务完成率达100%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完成率</w:t>
            </w:r>
            <w:r>
              <w:rPr>
                <w:rFonts w:ascii="Arial" w:cs="Arial" w:hAnsi="Arial"/>
                <w:color w:val="000000"/>
                <w:sz w:val="24"/>
              </w:rPr>
              <w:t>≥</w:t>
            </w:r>
            <w:r>
              <w:rPr>
                <w:rFonts w:ascii="宋体" w:cs="宋体" w:hint="eastAsia"/>
                <w:color w:val="000000"/>
                <w:sz w:val="24"/>
              </w:rPr>
              <w:t>100%</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材料采购、人工费用、其他费用</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严格预算，最后以审计价为准、以当地人工费用标准为准、严格预算，最后以审计价为准</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严格预算，最后以审计价为准、以当地人工费用标准为准、严格预算，最后以审计价为准</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为经济发展提供基础</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提升运输能力，联通产业发展圈，提高运输迅速，节约运输成本，引起产业规模扩大，增加就业人员的工资水平，提高经济发展。</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提升运输能力，联通产业发展圈，提高运输迅速，节约运输成本，引起产业规模扩大，增加就业人员的工资水平，提高经济发展。</w:t>
            </w:r>
          </w:p>
        </w:tc>
      </w:tr>
      <w:tr>
        <w:trPr>
          <w:trHeight w:val="103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改善出行</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方便群众出行，农产品物资运输更加方便快捷，提升物流速度，为社会提供安全便捷的运输条件。</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方便群众出行，农产品物资运输更加方便快捷，提升物流速度，为社会提供安全便捷的运输条件。</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生态效益指标意</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坚持绿色环保</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道路建设规划合理，不能以牺牲环保为代价。</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后期经济发展</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将持续为该村提供经济发展动力</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Arial" w:cs="Arial" w:hAnsi="Arial" w:hint="eastAsia"/>
                <w:color w:val="000000"/>
                <w:sz w:val="24"/>
              </w:rPr>
              <w:t>促进了当地经济发展</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村民满意</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满意度</w:t>
            </w:r>
            <w:r>
              <w:rPr>
                <w:rFonts w:ascii="Arial" w:cs="Arial" w:hAnsi="Arial"/>
                <w:color w:val="000000"/>
                <w:sz w:val="24"/>
              </w:rPr>
              <w:t>≥</w:t>
            </w:r>
            <w:r>
              <w:rPr>
                <w:rFonts w:asci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已达到满意度</w:t>
            </w:r>
            <w:r>
              <w:rPr>
                <w:rFonts w:ascii="Arial" w:cs="Arial" w:hAnsi="Arial"/>
                <w:color w:val="000000"/>
                <w:sz w:val="24"/>
              </w:rPr>
              <w:t>≥</w:t>
            </w:r>
            <w:r>
              <w:rPr>
                <w:rFonts w:ascii="宋体" w:cs="宋体" w:hint="eastAsia"/>
                <w:color w:val="000000"/>
                <w:sz w:val="24"/>
              </w:rPr>
              <w:t>95%</w:t>
            </w:r>
          </w:p>
        </w:tc>
      </w:tr>
    </w:tbl>
    <w:p>
      <w:pPr>
        <w:spacing w:line="580" w:lineRule="exact"/>
        <w:ind w:left="640"/>
        <w:rPr>
          <w:rFonts w:ascii="仿宋_GB2312" w:eastAsia="仿宋_GB2312" w:cs="仿宋_GB2312"/>
          <w:sz w:val="32"/>
          <w:szCs w:val="32"/>
        </w:rPr>
      </w:pPr>
    </w:p>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4、财力保障项安全生产监管项目绩效目标完成情况综述。项目全年预算数6.21万元，执行数为6.21万元，完成预算的100%。通过项目实施，巩固保障辖区安全，为辖区营造良好的生活投资安全氛围。发现的主要问题：一是在管理中还不是很到位，二是投入力度较大，具体人员较少。下一步改进措施：提高人人参与到管理中来，切实抓好责任管理。</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noWrap/>
            <w:tcMar>
              <w:top w:w="15" w:type="dxa"/>
              <w:left w:w="15" w:type="dxa"/>
              <w:right w:w="15" w:type="dxa"/>
            </w:tcMar>
            <w:vAlign w:val="center"/>
          </w:tcPr>
          <w:p>
            <w:pPr>
              <w:pStyle w:val="28"/>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项目支出绩效目标完成情况表（4）</w:t>
            </w:r>
            <w:r>
              <w:rPr>
                <w:rFonts w:ascii="宋体" w:cs="宋体" w:hint="eastAsia"/>
                <w:b/>
                <w:bCs/>
                <w:color w:val="000000"/>
                <w:kern w:val="0"/>
                <w:sz w:val="36"/>
                <w:szCs w:val="36"/>
              </w:rPr>
              <w:br/>
            </w:r>
            <w:r>
              <w:rPr>
                <w:rFonts w:ascii="宋体" w:cs="宋体" w:hint="eastAsia"/>
                <w:color w:val="000000"/>
                <w:kern w:val="0"/>
                <w:sz w:val="36"/>
                <w:szCs w:val="36"/>
              </w:rPr>
              <w:t>(2018年度)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财力保障-保运行-安全生产监管经费</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达州市达川区洛车乡人民政府</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6.21万元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6.21万元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6.21万元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6.21万元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jc w:val="center"/>
              <w:rPr>
                <w:rFonts w:ascii="宋体" w:cs="宋体"/>
                <w:color w:val="000000"/>
                <w:sz w:val="24"/>
              </w:rPr>
            </w:pPr>
            <w:r>
              <w:rPr>
                <w:rFonts w:ascii="宋体" w:cs="宋体" w:hint="eastAsia"/>
                <w:color w:val="000000"/>
                <w:sz w:val="24"/>
              </w:rPr>
              <w:t>0</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cs="宋体"/>
                <w:color w:val="000000"/>
                <w:sz w:val="24"/>
              </w:rPr>
            </w:pPr>
            <w:r>
              <w:rPr>
                <w:rFonts w:ascii="宋体" w:cs="宋体" w:hint="eastAsia"/>
                <w:color w:val="000000"/>
                <w:sz w:val="24"/>
              </w:rPr>
              <w:t>防范遏制生产安全事故为重点，切实落实企业主体责任、部门监管责任、党委政府领导责任，狠抓改革创新、依法治理、基础建设、专项整治和安全宣传教育，落实隐患排查治理体系、风险预防控制体系和社会共治体系建设等工作。</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w:t>
            </w:r>
          </w:p>
        </w:tc>
      </w:tr>
      <w:tr>
        <w:trPr>
          <w:trHeight w:val="1042"/>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53"/>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学习宣传教育活动、开展打非治违和专项整治、专项排查，重点领域整治</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12次以上、6次以上、每月1次</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已完成排查12次以上、已完成宣传教育活动6次以上、对重点领域每月1次排查。</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责任落实、加大宣传、狠抓整治</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明确党委政府领导责任、镇安监所监管责任、各村社区、企业主体责任体系、每月召开一次安全专项会议、每月排查一次安全隐患，对隐患进行定人定责定时整改</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已完成责任体系、每月召开一次安全专项会议、每月排查一次安全隐患，对隐患进行定人定责定时整改</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目标任务完成率达100%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完成率</w:t>
            </w:r>
            <w:r>
              <w:rPr>
                <w:rFonts w:ascii="Arial" w:cs="Arial" w:hAnsi="Arial"/>
                <w:color w:val="000000"/>
                <w:sz w:val="24"/>
              </w:rPr>
              <w:t>≥</w:t>
            </w:r>
            <w:r>
              <w:rPr>
                <w:rFonts w:ascii="宋体" w:cs="宋体" w:hint="eastAsia"/>
                <w:color w:val="000000"/>
                <w:sz w:val="24"/>
              </w:rPr>
              <w:t>100%</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差旅费标准、会议培训会标准、宣传费用标准</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遵守达州市达川区差旅费有关标准、遵守达州市达川区会议费有关标准、遵守达州市达川区政府采购有关标准</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遵守达州市达川区差旅费有关标准、遵守达州市达川区会议费有关标准、遵守达州市达川区政府采购有关标准</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安全零事故，为经济保驾护航</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以安全生产为主要目标，防范各类事故发生，减少各类经济成本，确保经济稳步发展。</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完成安全生产为主要目标，防范各类事故发生，减少各类经济成本，确保经济稳步发展。</w:t>
            </w:r>
          </w:p>
        </w:tc>
      </w:tr>
      <w:tr>
        <w:trPr>
          <w:trHeight w:val="103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有效防范和遏制各项事故发生</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及时处理相关债务，调和基层政权和债权人的关系，提升社会满意度</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为企业、群众提供一个安全的生产生活环境，保障人民群众生活财产安全</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生态效益指标意</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坚持绿色环保</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不得破坏生态和损害环境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政策导向</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长期保障工作平稳进行</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Arial" w:cs="Arial" w:hAnsi="Arial" w:hint="eastAsia"/>
                <w:color w:val="000000"/>
                <w:sz w:val="24"/>
              </w:rPr>
              <w:t>长期保障工作平稳进行展</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村民满意</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满意度</w:t>
            </w:r>
            <w:r>
              <w:rPr>
                <w:rFonts w:ascii="Arial" w:cs="Arial" w:hAnsi="Arial"/>
                <w:color w:val="000000"/>
                <w:sz w:val="24"/>
              </w:rPr>
              <w:t>≥</w:t>
            </w:r>
            <w:r>
              <w:rPr>
                <w:rFonts w:asci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已达到满意度</w:t>
            </w:r>
            <w:r>
              <w:rPr>
                <w:rFonts w:ascii="Arial" w:cs="Arial" w:hAnsi="Arial"/>
                <w:color w:val="000000"/>
                <w:sz w:val="24"/>
              </w:rPr>
              <w:t>≥</w:t>
            </w:r>
            <w:r>
              <w:rPr>
                <w:rFonts w:ascii="宋体" w:cs="宋体" w:hint="eastAsia"/>
                <w:color w:val="000000"/>
                <w:sz w:val="24"/>
              </w:rPr>
              <w:t>95%</w:t>
            </w:r>
          </w:p>
        </w:tc>
      </w:tr>
    </w:tbl>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5、财力保障信访、维稳、扫黄、除黑、禁毒资金项目绩效目标完成情况综述。项目全年预算数3万元，执行数为3万元，完成预算的100%。通过项目实施，维护了辖区信访、维稳等工作开展，解决了群众合理诉求，打击黄、赌、毒，扫清黑恶势力，为人民群众塑造一个安定、和谐、稳定的社会环境。发现的主要问题：一是在管理中还不是很到位，二是投入力度较大，具体人员较少。下一步改进措施：提高人人参与到管理中来，切实抓好责任管理。</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noWrap/>
            <w:tcMar>
              <w:top w:w="15" w:type="dxa"/>
              <w:left w:w="15" w:type="dxa"/>
              <w:right w:w="15" w:type="dxa"/>
            </w:tcMar>
            <w:vAlign w:val="center"/>
          </w:tcPr>
          <w:p>
            <w:pPr>
              <w:pStyle w:val="28"/>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项目支出绩效目标完成情况表（5）</w:t>
            </w:r>
            <w:r>
              <w:rPr>
                <w:rFonts w:ascii="宋体" w:cs="宋体" w:hint="eastAsia"/>
                <w:b/>
                <w:bCs/>
                <w:color w:val="000000"/>
                <w:kern w:val="0"/>
                <w:sz w:val="36"/>
                <w:szCs w:val="36"/>
              </w:rPr>
              <w:br/>
            </w:r>
            <w:r>
              <w:rPr>
                <w:rFonts w:ascii="宋体" w:cs="宋体" w:hint="eastAsia"/>
                <w:color w:val="000000"/>
                <w:kern w:val="0"/>
                <w:sz w:val="36"/>
                <w:szCs w:val="36"/>
              </w:rPr>
              <w:t>(2018年度)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洛车乡2018年度信访、维稳、扫黄、除黑、禁毒资金项目</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达州市达川区洛车乡人民政府</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3万元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3万元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3万元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3万元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jc w:val="center"/>
              <w:rPr>
                <w:rFonts w:ascii="宋体" w:cs="宋体"/>
                <w:color w:val="000000"/>
                <w:sz w:val="24"/>
              </w:rPr>
            </w:pPr>
            <w:r>
              <w:rPr>
                <w:rFonts w:ascii="宋体" w:cs="宋体" w:hint="eastAsia"/>
                <w:color w:val="000000"/>
                <w:sz w:val="24"/>
              </w:rPr>
              <w:t>0</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解决群众合理诉求，，打击黄、赌、毒，扫清黑恶势力，为人民群众塑造一个安定、和谐、稳定的社会环境</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w:t>
            </w:r>
          </w:p>
        </w:tc>
      </w:tr>
      <w:tr>
        <w:trPr>
          <w:trHeight w:val="1042"/>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53"/>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开展教育宣传活动、组织专项行动</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12次、3次</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已完成全年开展了宣传活动12次，组织专项行动3次。</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合理诉求、扫黑除恶</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及时处理，上报，将矛盾化解在萌芽状态。及时上报线索，配合民警开展工作</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已完成相关任务</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年度目标任务完成率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目标任务完成率达100%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完成率</w:t>
            </w:r>
            <w:r>
              <w:rPr>
                <w:rFonts w:ascii="Arial" w:cs="Arial" w:hAnsi="Arial"/>
                <w:color w:val="000000"/>
                <w:sz w:val="24"/>
              </w:rPr>
              <w:t>≥</w:t>
            </w:r>
            <w:r>
              <w:rPr>
                <w:rFonts w:ascii="宋体" w:cs="宋体" w:hint="eastAsia"/>
                <w:color w:val="000000"/>
                <w:sz w:val="24"/>
              </w:rPr>
              <w:t>100%</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差旅费标准、会议培训会标准、会议培训会标准</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遵守达州市达川区差旅费有关标准、遵守达州市达川区会议费有关标准、遵守达州市达川区政府采购有关标准</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遵守达州市达川区差旅费有关标准、遵守达州市达川区会议费有关标准、遵守达州市达川区政府采购有关标准</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经济投资环境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保护投资人的利益不受损害。确保社会平安、稳定。</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保护投资人的利益不受损害。确保社会平安、稳定。</w:t>
            </w:r>
          </w:p>
        </w:tc>
      </w:tr>
      <w:tr>
        <w:trPr>
          <w:trHeight w:val="103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营造良好社会风气</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合理信访，及时处置，扫黑除恶，综合治理，塑造了公平、正义、平安、和谐的社会。</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合理信访，及时处置，扫黑除恶，综合治理，塑造了公平、正义、平安、和谐的社会。</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生态效益指标意</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坚持绿色环保</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保障环境，不能以牺牲环境为代价</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w:t>
            </w:r>
          </w:p>
        </w:tc>
      </w:tr>
      <w:tr>
        <w:trPr>
          <w:trHeight w:val="114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项目效益指标</w:t>
            </w:r>
            <w:r>
              <w:rPr>
                <w:rFonts w:ascii="宋体" w:cs="宋体" w:hint="eastAsia"/>
                <w:color w:val="000000"/>
                <w:sz w:val="24"/>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政策导向</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长期保障工作平稳进行</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Arial" w:cs="Arial" w:hAnsi="Arial" w:hint="eastAsia"/>
                <w:color w:val="000000"/>
                <w:sz w:val="24"/>
              </w:rPr>
              <w:t>已保障工作平稳进行</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村民满意</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extAlignment w:val="center"/>
              <w:rPr>
                <w:rFonts w:ascii="宋体" w:cs="宋体"/>
                <w:color w:val="000000"/>
                <w:sz w:val="24"/>
              </w:rPr>
            </w:pPr>
            <w:r>
              <w:rPr>
                <w:rFonts w:ascii="宋体" w:cs="宋体" w:hint="eastAsia"/>
                <w:color w:val="000000"/>
                <w:sz w:val="24"/>
              </w:rPr>
              <w:t xml:space="preserve">       满意度</w:t>
            </w:r>
            <w:r>
              <w:rPr>
                <w:rFonts w:ascii="Arial" w:cs="Arial" w:hAnsi="Arial"/>
                <w:color w:val="000000"/>
                <w:sz w:val="24"/>
              </w:rPr>
              <w:t>≥</w:t>
            </w:r>
            <w:r>
              <w:rPr>
                <w:rFonts w:asci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已达到满意度</w:t>
            </w:r>
            <w:r>
              <w:rPr>
                <w:rFonts w:ascii="Arial" w:cs="Arial" w:hAnsi="Arial"/>
                <w:color w:val="000000"/>
                <w:sz w:val="24"/>
              </w:rPr>
              <w:t>≥</w:t>
            </w:r>
            <w:r>
              <w:rPr>
                <w:rFonts w:ascii="宋体" w:cs="宋体" w:hint="eastAsia"/>
                <w:color w:val="000000"/>
                <w:sz w:val="24"/>
              </w:rPr>
              <w:t>95%</w:t>
            </w:r>
          </w:p>
        </w:tc>
      </w:tr>
    </w:tbl>
    <w:p>
      <w:pPr>
        <w:spacing w:line="580" w:lineRule="exact"/>
        <w:ind w:firstLineChars="200" w:firstLine="640"/>
        <w:rPr>
          <w:rFonts w:ascii="仿宋" w:eastAsia="仿宋" w:cs="仿宋_GB2312"/>
          <w:sz w:val="32"/>
          <w:szCs w:val="32"/>
        </w:rPr>
      </w:pPr>
      <w:r>
        <w:rPr>
          <w:rFonts w:ascii="仿宋" w:eastAsia="仿宋" w:cs="楷体_GB2312" w:hint="eastAsia"/>
          <w:b/>
          <w:bCs/>
          <w:sz w:val="32"/>
          <w:szCs w:val="32"/>
        </w:rPr>
        <w:t>（三）部门开展绩效评价结果。</w:t>
      </w:r>
    </w:p>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本部门按要求对2018年部门整体支出绩效评价情况开展自评，《达川区洛车乡部门2018年部门整体支出绩效评价报告》见附件。</w:t>
      </w:r>
    </w:p>
    <w:p>
      <w:pPr>
        <w:spacing w:line="600" w:lineRule="exact"/>
        <w:ind w:firstLineChars="250" w:firstLine="800"/>
        <w:outlineLvl w:val="1"/>
        <w:rPr>
          <w:rFonts w:ascii="黑体" w:eastAsia="黑体"/>
          <w:color w:val="000000"/>
          <w:sz w:val="32"/>
          <w:szCs w:val="32"/>
        </w:rPr>
      </w:pPr>
      <w:r>
        <w:rPr>
          <w:rFonts w:ascii="仿宋_GB2312" w:eastAsia="仿宋_GB2312" w:cs="仿宋_GB2312" w:hint="eastAsia"/>
          <w:sz w:val="32"/>
          <w:szCs w:val="32"/>
        </w:rPr>
        <w:t>本部门自行组织对财力保障项目开展了绩效评价，《洛车乡2018项目年绩效评价报告》见附件。</w:t>
      </w:r>
    </w:p>
    <w:p>
      <w:pPr>
        <w:spacing w:line="600" w:lineRule="exact"/>
        <w:ind w:firstLineChars="250" w:firstLine="800"/>
        <w:outlineLvl w:val="1"/>
        <w:rPr>
          <w:rStyle w:val="2Char"/>
          <w:rFonts w:ascii="黑体" w:eastAsia="黑体"/>
        </w:rPr>
      </w:pPr>
      <w:r>
        <w:rPr>
          <w:rFonts w:ascii="黑体" w:eastAsia="黑体" w:hint="eastAsia"/>
          <w:color w:val="000000"/>
          <w:sz w:val="32"/>
          <w:szCs w:val="32"/>
        </w:rPr>
        <w:t>十</w:t>
      </w:r>
      <w:r>
        <w:rPr>
          <w:rStyle w:val="2Char"/>
          <w:rFonts w:ascii="黑体" w:eastAsia="黑体" w:hint="eastAsia"/>
        </w:rPr>
        <w:t>一、</w:t>
      </w:r>
      <w:r>
        <w:rPr>
          <w:rStyle w:val="2Char"/>
          <w:rFonts w:ascii="黑体" w:eastAsia="黑体" w:hint="eastAsia"/>
          <w:b w:val="0"/>
        </w:rPr>
        <w:t>其他重要事项的情况说明</w:t>
      </w:r>
      <w:bookmarkEnd w:id="50"/>
      <w:bookmarkEnd w:id="51"/>
    </w:p>
    <w:p>
      <w:pPr>
        <w:spacing w:line="600" w:lineRule="exact"/>
        <w:ind w:firstLineChars="200" w:firstLine="640"/>
        <w:outlineLvl w:val="2"/>
        <w:rPr>
          <w:rFonts w:ascii="仿宋" w:eastAsia="仿宋"/>
          <w:color w:val="000000"/>
          <w:sz w:val="32"/>
          <w:szCs w:val="32"/>
        </w:rPr>
      </w:pPr>
      <w:bookmarkStart w:id="52" w:name="_Toc15377222"/>
      <w:r>
        <w:rPr>
          <w:rFonts w:ascii="仿宋" w:eastAsia="仿宋" w:hint="eastAsia"/>
          <w:b/>
          <w:color w:val="000000"/>
          <w:sz w:val="32"/>
          <w:szCs w:val="32"/>
        </w:rPr>
        <w:t>（一）机关运行经费支出情况</w:t>
      </w:r>
      <w:bookmarkEnd w:id="52"/>
    </w:p>
    <w:p>
      <w:pPr>
        <w:spacing w:line="600" w:lineRule="exact"/>
        <w:ind w:firstLineChars="200" w:firstLine="640"/>
        <w:rPr>
          <w:rFonts w:ascii="仿宋_GB2312" w:eastAsia="仿宋_GB2312"/>
          <w:sz w:val="32"/>
          <w:szCs w:val="32"/>
        </w:rPr>
      </w:pPr>
      <w:r>
        <w:rPr>
          <w:rFonts w:ascii="仿宋_GB2312" w:eastAsia="仿宋_GB2312" w:hint="eastAsia"/>
          <w:color w:val="000000"/>
          <w:sz w:val="32"/>
          <w:szCs w:val="32"/>
          <w:lang w:eastAsia="zh-CN"/>
        </w:rPr>
        <w:t>2018年，洛车乡人民政府</w:t>
      </w:r>
      <w:r>
        <w:rPr>
          <w:rFonts w:ascii="仿宋_GB2312" w:eastAsia="仿宋_GB2312" w:hint="eastAsia"/>
          <w:color w:val="000000"/>
          <w:sz w:val="32"/>
          <w:szCs w:val="32"/>
        </w:rPr>
        <w:t>机关运行经费支出</w:t>
      </w:r>
      <w:r>
        <w:rPr>
          <w:rFonts w:ascii="仿宋_GB2312" w:eastAsia="仿宋_GB2312" w:hint="eastAsia"/>
          <w:color w:val="000000"/>
          <w:sz w:val="32"/>
          <w:szCs w:val="32"/>
          <w:lang w:val="en-US" w:eastAsia="zh-CN"/>
        </w:rPr>
        <w:t>124.50</w:t>
      </w:r>
      <w:r>
        <w:rPr>
          <w:rFonts w:ascii="仿宋_GB2312" w:eastAsia="仿宋_GB2312" w:hint="eastAsia"/>
          <w:color w:val="000000"/>
          <w:sz w:val="32"/>
          <w:szCs w:val="32"/>
        </w:rPr>
        <w:t>万元，比</w:t>
      </w:r>
      <w:r>
        <w:rPr>
          <w:rFonts w:ascii="仿宋_GB2312" w:eastAsia="仿宋_GB2312"/>
          <w:color w:val="000000"/>
          <w:sz w:val="32"/>
          <w:szCs w:val="32"/>
        </w:rPr>
        <w:t>201</w:t>
      </w:r>
      <w:r>
        <w:rPr>
          <w:rFonts w:ascii="仿宋_GB2312" w:eastAsia="仿宋_GB2312" w:hint="eastAsia"/>
          <w:color w:val="000000"/>
          <w:sz w:val="32"/>
          <w:szCs w:val="32"/>
        </w:rPr>
        <w:t>7年减少</w:t>
      </w:r>
      <w:r>
        <w:rPr>
          <w:rFonts w:ascii="仿宋_GB2312" w:eastAsia="仿宋_GB2312" w:hint="eastAsia"/>
          <w:color w:val="000000"/>
          <w:sz w:val="32"/>
          <w:szCs w:val="32"/>
          <w:lang w:val="en-US" w:eastAsia="zh-CN"/>
        </w:rPr>
        <w:t>6.44</w:t>
      </w:r>
      <w:r>
        <w:rPr>
          <w:rFonts w:ascii="仿宋_GB2312" w:eastAsia="仿宋_GB2312" w:hint="eastAsia"/>
          <w:color w:val="000000"/>
          <w:sz w:val="32"/>
          <w:szCs w:val="32"/>
        </w:rPr>
        <w:t>万元，下降</w:t>
      </w:r>
      <w:r>
        <w:rPr>
          <w:rFonts w:ascii="仿宋_GB2312" w:eastAsia="仿宋_GB2312" w:hint="eastAsia"/>
          <w:color w:val="000000"/>
          <w:sz w:val="32"/>
          <w:szCs w:val="32"/>
          <w:lang w:val="en-US" w:eastAsia="zh-CN"/>
        </w:rPr>
        <w:t>4.92</w:t>
      </w:r>
      <w:r>
        <w:rPr>
          <w:rFonts w:ascii="仿宋_GB2312" w:eastAsia="仿宋_GB2312"/>
          <w:color w:val="000000"/>
          <w:sz w:val="32"/>
          <w:szCs w:val="32"/>
        </w:rPr>
        <w:t>%</w:t>
      </w:r>
      <w:r>
        <w:rPr>
          <w:rFonts w:ascii="仿宋_GB2312" w:eastAsia="仿宋_GB2312" w:hint="eastAsia"/>
          <w:color w:val="000000"/>
          <w:sz w:val="32"/>
          <w:szCs w:val="32"/>
        </w:rPr>
        <w:t>。主要原因是</w:t>
      </w:r>
      <w:r>
        <w:rPr>
          <w:rFonts w:ascii="仿宋_GB2312" w:eastAsia="仿宋_GB2312" w:hint="eastAsia"/>
          <w:color w:val="000000"/>
          <w:sz w:val="32"/>
          <w:szCs w:val="32"/>
          <w:lang w:eastAsia="zh-CN"/>
        </w:rPr>
        <w:t>加大了机关运行的管理，严格节约开支。</w:t>
      </w:r>
    </w:p>
    <w:p>
      <w:pPr>
        <w:autoSpaceDE w:val="0"/>
        <w:autoSpaceDN w:val="0"/>
        <w:adjustRightInd w:val="0"/>
        <w:spacing w:line="600" w:lineRule="exact"/>
        <w:ind w:firstLineChars="200" w:firstLine="640"/>
        <w:jc w:val="left"/>
        <w:outlineLvl w:val="2"/>
        <w:rPr>
          <w:rFonts w:ascii="仿宋" w:eastAsia="仿宋"/>
          <w:b/>
          <w:color w:val="000000"/>
          <w:sz w:val="32"/>
          <w:szCs w:val="32"/>
        </w:rPr>
      </w:pPr>
      <w:bookmarkStart w:id="53" w:name="_Toc15377223"/>
      <w:r>
        <w:rPr>
          <w:rFonts w:ascii="仿宋" w:eastAsia="仿宋" w:hint="eastAsia"/>
          <w:b/>
          <w:color w:val="000000"/>
          <w:sz w:val="32"/>
          <w:szCs w:val="32"/>
        </w:rPr>
        <w:t>（二）政府采购支出情况</w:t>
      </w:r>
      <w:bookmarkEnd w:id="53"/>
    </w:p>
    <w:p>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洛车乡政府采购支出总额1.58万元，其中：政府采购货物支出1.58万元、政府采购工程支出0万元、政府采购服务支出0万元。主要用于购买多功能打印机。授予中小企业合同金额1.58万元，占政府采购支出总额的100</w:t>
      </w:r>
      <w:r>
        <w:rPr>
          <w:rFonts w:ascii="仿宋_GB2312" w:eastAsia="仿宋_GB2312"/>
          <w:color w:val="000000"/>
          <w:sz w:val="32"/>
          <w:szCs w:val="32"/>
        </w:rPr>
        <w:t>%</w:t>
      </w:r>
      <w:r>
        <w:rPr>
          <w:rFonts w:ascii="仿宋_GB2312" w:eastAsia="仿宋_GB2312" w:hint="eastAsia"/>
          <w:color w:val="000000"/>
          <w:sz w:val="32"/>
          <w:szCs w:val="32"/>
        </w:rPr>
        <w:t>，其中：授予小微企业合同金额1.58万元，占政府采购支出总额的100</w:t>
      </w:r>
      <w:r>
        <w:rPr>
          <w:rFonts w:ascii="仿宋_GB2312" w:eastAsia="仿宋_GB2312"/>
          <w:color w:val="000000"/>
          <w:sz w:val="32"/>
          <w:szCs w:val="32"/>
        </w:rPr>
        <w:t>%</w:t>
      </w:r>
      <w:r>
        <w:rPr>
          <w:rFonts w:ascii="仿宋_GB2312" w:eastAsia="仿宋_GB2312" w:hint="eastAsia"/>
          <w:color w:val="000000"/>
          <w:sz w:val="32"/>
          <w:szCs w:val="32"/>
        </w:rPr>
        <w:t>。</w:t>
      </w:r>
    </w:p>
    <w:p>
      <w:pPr>
        <w:autoSpaceDE w:val="0"/>
        <w:autoSpaceDN w:val="0"/>
        <w:adjustRightInd w:val="0"/>
        <w:spacing w:line="600" w:lineRule="exact"/>
        <w:ind w:firstLineChars="200" w:firstLine="640"/>
        <w:jc w:val="left"/>
        <w:outlineLvl w:val="2"/>
        <w:rPr>
          <w:rFonts w:ascii="仿宋" w:eastAsia="仿宋"/>
          <w:b/>
          <w:color w:val="000000"/>
          <w:sz w:val="32"/>
          <w:szCs w:val="32"/>
        </w:rPr>
      </w:pPr>
      <w:bookmarkStart w:id="54" w:name="_Toc15377224"/>
      <w:r>
        <w:rPr>
          <w:rFonts w:ascii="仿宋" w:eastAsia="仿宋" w:hint="eastAsia"/>
          <w:b/>
          <w:color w:val="000000"/>
          <w:sz w:val="32"/>
          <w:szCs w:val="32"/>
        </w:rPr>
        <w:t>（三）国有资产占有使用情况</w:t>
      </w:r>
      <w:bookmarkEnd w:id="54"/>
    </w:p>
    <w:p>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8年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日，洛车乡政府共有车辆0辆，其中：部级领导干部用车0辆、一般公务用车0辆、一般执法执勤用车0辆、特种专业技术用车0辆、其他用车0辆，单价</w:t>
      </w:r>
      <w:r>
        <w:rPr>
          <w:rFonts w:ascii="仿宋_GB2312" w:eastAsia="仿宋_GB2312"/>
          <w:color w:val="000000"/>
          <w:sz w:val="32"/>
          <w:szCs w:val="32"/>
        </w:rPr>
        <w:t>50</w:t>
      </w:r>
      <w:r>
        <w:rPr>
          <w:rFonts w:ascii="仿宋_GB2312" w:eastAsia="仿宋_GB2312" w:hint="eastAsia"/>
          <w:color w:val="000000"/>
          <w:sz w:val="32"/>
          <w:szCs w:val="32"/>
        </w:rPr>
        <w:t>万元以上通用设备0台（套），单价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万元以上专用设备0台（套）。</w:t>
      </w:r>
    </w:p>
    <w:p>
      <w:pPr>
        <w:spacing w:line="600" w:lineRule="atLeast"/>
        <w:ind w:firstLineChars="200" w:firstLine="64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spacing w:line="600" w:lineRule="exact"/>
        <w:jc w:val="center"/>
        <w:outlineLvl w:val="0"/>
        <w:rPr>
          <w:rFonts w:ascii="宋体"/>
          <w:b/>
          <w:color w:val="000000"/>
          <w:sz w:val="44"/>
          <w:szCs w:val="44"/>
        </w:rPr>
      </w:pPr>
      <w:bookmarkStart w:id="55" w:name="_Toc15396614"/>
      <w:bookmarkStart w:id="56" w:name="_Toc15377226"/>
      <w:r>
        <w:rPr>
          <w:rFonts w:ascii="黑体" w:eastAsia="黑体" w:hint="eastAsia"/>
          <w:b/>
          <w:color w:val="000000"/>
          <w:sz w:val="44"/>
          <w:szCs w:val="44"/>
        </w:rPr>
        <w:t>第三部分名</w:t>
      </w:r>
      <w:r>
        <w:rPr>
          <w:rStyle w:val="1Char"/>
          <w:rFonts w:ascii="黑体" w:eastAsia="黑体" w:hint="eastAsia"/>
          <w:b w:val="0"/>
        </w:rPr>
        <w:t>词解释</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1、财政拨款收入：指区级财政当年拨付的资金。</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2、一般公共服务（类）政府办公厅（室）及相关机构事务（款）行政运行（项）：反映行政单位（包括实行公务员管理的事业单位）的基本支出。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3、 一般公共服务支出（类）政府办公厅（室）及相关机构事务（款）一般行政管理事务（项）：反应行政单位行政管理事物方面的支出。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4、一般公共服务（类）财政事务（款）行政运行（项）：反映财政方面的支出。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5、一般公共服务支出（类）纪检监察事务（款）其他纪检监察事务支出（项）：反应本单位纪检监察相关事物支出。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6、文化体育与传媒支出（类）文化（款）群众文化（项）：反映群众文化方面的支出，包括基层文化馆（站）、群众艺术馆支出等。</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 xml:space="preserve">7、文化体育与传媒支出（类）新闻出版广播影视（款）广播（项）：反映广播系统职工工资及影视方面的支出。 </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8、社会保障和就业支出（类）行政事业单位离退休（款）  机关事业单位基本养老保险缴费支出★（项）：反映机关事业单位基本养老保险缴费。</w:t>
      </w:r>
    </w:p>
    <w:p>
      <w:pPr>
        <w:spacing w:line="600" w:lineRule="exact"/>
        <w:ind w:firstLineChars="200" w:firstLine="640"/>
        <w:rPr>
          <w:rStyle w:val="22"/>
          <w:rFonts w:ascii="仿宋" w:eastAsia="仿宋"/>
          <w:b w:val="0"/>
          <w:bCs/>
          <w:color w:val="000000"/>
          <w:sz w:val="32"/>
          <w:szCs w:val="32"/>
        </w:rPr>
      </w:pPr>
      <w:r>
        <w:rPr>
          <w:rFonts w:ascii="仿宋_GB2312" w:eastAsia="仿宋_GB2312" w:hint="eastAsia"/>
          <w:sz w:val="32"/>
          <w:szCs w:val="32"/>
        </w:rPr>
        <w:t>9、社会保障和就业支出（类）行政事业单位离退休（款）机关事业单位职业年金缴费支出★（项）：反应机关事业</w:t>
      </w:r>
      <w:r>
        <w:rPr>
          <w:rStyle w:val="22"/>
          <w:rFonts w:ascii="仿宋" w:eastAsia="仿宋" w:hint="eastAsia"/>
          <w:b w:val="0"/>
          <w:bCs/>
          <w:color w:val="000000"/>
          <w:sz w:val="32"/>
          <w:szCs w:val="32"/>
        </w:rPr>
        <w:t>单位职业年金单位部分缴费情况。</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10社会保障和就业支出（类）抚恤（款）死亡抚恤（项）反应机关事业单位职工死亡抚恤金安葬费等情况。</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11、社会保障和就业支出（类）抚恤（款）在乡复员、退伍军人生活补助（项）：反映复员、退伍军人领取的生活补助等方面的支出。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12、社会保障和就业支出（类）残疾人事业（款）其他残疾人事业支出（项）：主要反应残疾人专职委员相关工资福利费开支。</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 xml:space="preserve">13、社会保障和就业支出（类）抚恤（款）义务兵优待（项）：反映义务兵优待方面的支出。 </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14、社会保障和就业支出（类）特困人员救助供养★（款）农村特困人员救助供养支出★（项）：反映用于城乡五保人员的生活补助支出。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15、医疗卫生与计划生育支出（类）计划生育事务（款）计划生育机构（项）：反映卫生和计划生育部门所属计划生育机构的支出。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16、医疗卫生与计划生育支出（类）行政事业单位医疗（款）行政单位医疗（项）：反映财政部门集中安排的行政单位基本医疗保险缴费经费，未参加医疗保险的行政单位的公费医疗经费，按国家规定享受离休人员、红军老战士待遇的人员的医疗经费。</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17、医疗卫生与计划生育支出（类）行政事业单位医疗（款）事业单位医疗（项）：反映财政部门集中安排的事业单位的公费医疗经费，按国家规定享受离休人员待遇的医疗经费。</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18、医疗卫生与计划生育支出（类）行政事业单位医疗（款）公务员医疗补助★（项）：主要反映本单位公务员医疗补助缴费的情况。</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19、医疗卫生与计划生育支出（类）计划生育事务（款）其他计划生育事物支出（项）：反应计划生育机构事业单位部门等发生的支出。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20、城乡社区支出（类）城乡社区环境卫生（款）  城乡社区环境卫生（项）：主要反映本单位辖区城乡社区环境整治等费用支出。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21、城乡社区支出（类）国有土地使用权出让收入及对应专项债务收入安排的支出（款）其他国有土地使用权出让收入安排的支出（项）：反映一事一议等安排与社区建设发展的其他支出。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22、城乡社区支出（类）其他城乡社区支出（款）其他城乡社区支出（项）：反应城乡社区其他方面支出。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23、农林水支出（类）农业（款）事业运行（项）：反映用于农业事业单位基本支出，事业单位设施、系统运行与资产维护等方面的支出。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24、农林水支出（类）农业（款）农村道路建设（项）：反映对农村道路建设的补助支出。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25、农林水支出（类）扶贫（款）其他扶贫支出（项）：反映用于农村脱贫攻坚中的支出。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26、农林水支出（类）农业综合开发（款）产业化经营（项）：支出决算为10万元，主要反映农村产业发展的补助支出。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27、农林水支出（类）农村综合改革（款）对村级一事一议的补助（项）：反映农村对村级一事一议财政奖补情况的支出。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28、农林水支出（类）农村综合改革（款）对村民委员会和村支部的补助（项）：反映各级财政对村民委员会和村党支部的补助支出。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29、住房保障支出（类）住房改革支出（款）  住房公积金（项）：反映用于本乡职工住房公积金缴存等支出。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30、其他支出（类）彩票公益金及对应专项债务收入安排的支出（款）用于体育事业的彩票公益金支出（项）：反映用于本乡维修维护支出。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31、结余分配：指事业单位按规定提取的职工福利基金、事业基金和缴纳的所得税，以及建设单位按规定应交回的基本建设竣工项目结余资金。</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32、年末结转和结余：指本年度或以前年度预算安排、因客观条件发生变化无法按原计划实施，需延迟到以后年度按有关规定继续使用的资金。</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33、基本支出：指为保障机构正常运转、完成日常工作任务而发生的人员支出和公用支出。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 xml:space="preserve">34、项目支出：指在基本支出之外为完成特定行政任务和事业发展目标所发生的支出。 </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35、经营支出：指事业单位在专业业务活动及其辅助活动之外开展非独立核算经营活动发生的支出。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36、“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ind w:firstLineChars="200" w:firstLine="640"/>
        <w:jc w:val="left"/>
        <w:outlineLvl w:val="0"/>
        <w:rPr>
          <w:rFonts w:ascii="仿宋_GB2312" w:eastAsia="仿宋_GB2312"/>
          <w:sz w:val="32"/>
          <w:szCs w:val="32"/>
        </w:rPr>
      </w:pPr>
      <w:r>
        <w:rPr>
          <w:rFonts w:ascii="仿宋_GB2312" w:eastAsia="仿宋_GB2312" w:hint="eastAsia"/>
          <w:sz w:val="32"/>
          <w:szCs w:val="32"/>
        </w:rPr>
        <w:t>37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黑体" w:eastAsia="黑体"/>
          <w:color w:val="000000"/>
          <w:sz w:val="44"/>
          <w:szCs w:val="44"/>
        </w:rPr>
      </w:pPr>
    </w:p>
    <w:p>
      <w:pPr>
        <w:spacing w:line="600" w:lineRule="exact"/>
        <w:jc w:val="both"/>
        <w:outlineLvl w:val="0"/>
        <w:rPr>
          <w:rFonts w:ascii="黑体" w:eastAsia="黑体"/>
          <w:color w:val="000000"/>
          <w:sz w:val="44"/>
          <w:szCs w:val="44"/>
        </w:rPr>
      </w:pPr>
      <w:bookmarkStart w:id="57" w:name="_Toc15396618"/>
      <w:bookmarkEnd w:id="55"/>
    </w:p>
    <w:p>
      <w:pPr>
        <w:spacing w:line="600" w:lineRule="exact"/>
        <w:jc w:val="both"/>
        <w:outlineLvl w:val="0"/>
        <w:rPr>
          <w:rFonts w:ascii="黑体" w:eastAsia="黑体"/>
          <w:color w:val="000000"/>
          <w:sz w:val="44"/>
          <w:szCs w:val="44"/>
        </w:rPr>
      </w:pPr>
    </w:p>
    <w:p>
      <w:pPr>
        <w:spacing w:line="600" w:lineRule="exact"/>
        <w:ind w:firstLineChars="200" w:firstLine="880"/>
        <w:jc w:val="center"/>
        <w:outlineLvl w:val="0"/>
        <w:rPr>
          <w:rStyle w:val="1Char"/>
        </w:rPr>
      </w:pPr>
      <w:r>
        <w:rPr>
          <w:rFonts w:ascii="黑体" w:eastAsia="黑体" w:hint="eastAsia"/>
          <w:color w:val="000000"/>
          <w:sz w:val="44"/>
          <w:szCs w:val="44"/>
        </w:rPr>
        <w:t>第</w:t>
      </w:r>
      <w:r>
        <w:rPr>
          <w:rStyle w:val="1Char"/>
          <w:rFonts w:ascii="黑体" w:eastAsia="黑体" w:hint="eastAsia"/>
          <w:b w:val="0"/>
        </w:rPr>
        <w:t>四部分 附件</w:t>
      </w:r>
    </w:p>
    <w:p>
      <w:pPr>
        <w:pStyle w:val="2"/>
        <w:rPr>
          <w:rStyle w:val="1Char"/>
          <w:rFonts w:ascii="仿宋" w:eastAsia="仿宋"/>
          <w:b w:val="0"/>
          <w:bCs w:val="0"/>
          <w:sz w:val="32"/>
          <w:szCs w:val="32"/>
        </w:rPr>
      </w:pPr>
      <w:bookmarkStart w:id="58" w:name="_Toc15396615"/>
      <w:r>
        <w:rPr>
          <w:rStyle w:val="1Char"/>
          <w:rFonts w:ascii="仿宋" w:eastAsia="仿宋" w:hint="eastAsia"/>
          <w:b w:val="0"/>
          <w:bCs w:val="0"/>
          <w:sz w:val="32"/>
          <w:szCs w:val="32"/>
        </w:rPr>
        <w:t>附件1</w:t>
      </w:r>
      <w:bookmarkEnd w:id="58"/>
    </w:p>
    <w:p>
      <w:pPr>
        <w:spacing w:line="600" w:lineRule="exact"/>
        <w:jc w:val="center"/>
        <w:outlineLvl w:val="0"/>
        <w:rPr>
          <w:rFonts w:ascii="黑体" w:eastAsia="黑体" w:cs="方正小标宋简体"/>
          <w:sz w:val="36"/>
          <w:szCs w:val="36"/>
        </w:rPr>
      </w:pPr>
      <w:bookmarkStart w:id="59" w:name="_Toc15396616"/>
      <w:r>
        <w:rPr>
          <w:rFonts w:ascii="黑体" w:eastAsia="黑体" w:cs="方正小标宋简体" w:hint="eastAsia"/>
          <w:sz w:val="36"/>
          <w:szCs w:val="36"/>
        </w:rPr>
        <w:t>洛车乡部门2018年部门整体支出绩效评价报告</w:t>
      </w:r>
      <w:bookmarkEnd w:id="59"/>
    </w:p>
    <w:p>
      <w:pPr>
        <w:spacing w:line="580" w:lineRule="exact"/>
        <w:ind w:firstLineChars="200" w:firstLine="640"/>
        <w:rPr>
          <w:rFonts w:ascii="黑体" w:eastAsia="黑体" w:cs="黑体"/>
          <w:sz w:val="32"/>
          <w:szCs w:val="32"/>
        </w:rPr>
      </w:pPr>
    </w:p>
    <w:p>
      <w:pPr>
        <w:spacing w:line="580" w:lineRule="exact"/>
        <w:ind w:firstLineChars="200" w:firstLine="640"/>
        <w:rPr>
          <w:rFonts w:ascii="黑体" w:eastAsia="黑体" w:cs="黑体"/>
          <w:sz w:val="32"/>
          <w:szCs w:val="32"/>
        </w:rPr>
      </w:pPr>
      <w:r>
        <w:rPr>
          <w:rFonts w:ascii="黑体" w:eastAsia="黑体" w:cs="黑体" w:hint="eastAsia"/>
          <w:sz w:val="32"/>
          <w:szCs w:val="32"/>
        </w:rPr>
        <w:t>一、部门（单位）概况</w:t>
      </w:r>
    </w:p>
    <w:p>
      <w:pPr>
        <w:spacing w:line="580" w:lineRule="exact"/>
        <w:ind w:firstLineChars="200" w:firstLine="640"/>
        <w:rPr>
          <w:rFonts w:ascii="仿宋_GB2312" w:eastAsia="仿宋_GB2312" w:cs="仿宋_GB2312"/>
          <w:color w:val="0000FF"/>
          <w:sz w:val="32"/>
          <w:szCs w:val="32"/>
        </w:rPr>
      </w:pPr>
      <w:r>
        <w:rPr>
          <w:rFonts w:ascii="仿宋_GB2312" w:eastAsia="仿宋_GB2312" w:cs="仿宋_GB2312" w:hint="eastAsia"/>
          <w:sz w:val="32"/>
          <w:szCs w:val="32"/>
        </w:rPr>
        <w:t>洛车乡政府位于达川区西部，幅面积30.2平方公里，总人口10838人（其中农业人口10510人），辖9个村、95个社、1个居民委员会。洛车乡水田6027亩，旱地3340亩，林地17000亩。农业经济主要以种植、养殖业为主。</w:t>
      </w:r>
    </w:p>
    <w:p>
      <w:pPr>
        <w:spacing w:line="580" w:lineRule="exact"/>
        <w:ind w:firstLineChars="200" w:firstLine="640"/>
        <w:rPr>
          <w:rFonts w:ascii="楷体" w:eastAsia="楷体" w:cs="楷体"/>
          <w:sz w:val="32"/>
          <w:szCs w:val="32"/>
        </w:rPr>
      </w:pPr>
      <w:r>
        <w:rPr>
          <w:rFonts w:ascii="楷体" w:eastAsia="楷体" w:cs="楷体" w:hint="eastAsia"/>
          <w:sz w:val="32"/>
          <w:szCs w:val="32"/>
        </w:rPr>
        <w:t>（一）机构组成。</w:t>
      </w:r>
    </w:p>
    <w:p>
      <w:pPr>
        <w:pStyle w:val="15"/>
        <w:adjustRightInd w:val="0"/>
        <w:snapToGrid w:val="0"/>
        <w:spacing w:beforeLines="0" w:before="93" w:line="578" w:lineRule="exact"/>
        <w:ind w:firstLineChars="209" w:firstLine="672"/>
        <w:rPr>
          <w:rFonts w:ascii="仿宋" w:eastAsia="仿宋" w:cs="仿宋_GB2312"/>
          <w:sz w:val="32"/>
          <w:szCs w:val="32"/>
        </w:rPr>
      </w:pPr>
      <w:r>
        <w:rPr>
          <w:rFonts w:hint="eastAsia"/>
          <w:sz w:val="32"/>
          <w:szCs w:val="32"/>
        </w:rPr>
        <w:t>洛车乡下属二级单位4个，其中行政单位1个，其他事业单位3个。</w:t>
      </w:r>
    </w:p>
    <w:p>
      <w:pPr>
        <w:spacing w:line="580" w:lineRule="exact"/>
        <w:ind w:firstLineChars="200" w:firstLine="640"/>
        <w:rPr>
          <w:rFonts w:ascii="楷体" w:eastAsia="楷体" w:cs="楷体"/>
          <w:sz w:val="32"/>
          <w:szCs w:val="32"/>
        </w:rPr>
      </w:pPr>
      <w:r>
        <w:rPr>
          <w:rFonts w:ascii="楷体" w:eastAsia="楷体" w:cs="楷体" w:hint="eastAsia"/>
          <w:sz w:val="32"/>
          <w:szCs w:val="32"/>
        </w:rPr>
        <w:t>（二）机构职能。</w:t>
      </w:r>
    </w:p>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洛车乡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洛车乡经济发展、改善人民生活、保持农村社会稳定、偿还乡镇和村级债务、搞好场镇建设和加快新农村基础设施建设工作。</w:t>
      </w:r>
    </w:p>
    <w:p>
      <w:pPr>
        <w:spacing w:line="580" w:lineRule="exact"/>
        <w:ind w:leftChars="200" w:left="420"/>
        <w:rPr>
          <w:rFonts w:ascii="楷体" w:eastAsia="楷体" w:cs="楷体"/>
          <w:sz w:val="32"/>
          <w:szCs w:val="32"/>
        </w:rPr>
      </w:pPr>
      <w:r>
        <w:rPr>
          <w:rFonts w:ascii="楷体" w:eastAsia="楷体" w:cs="楷体" w:hint="eastAsia"/>
          <w:sz w:val="32"/>
          <w:szCs w:val="32"/>
        </w:rPr>
        <w:t>（三）人员概况。</w:t>
      </w:r>
    </w:p>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洛车乡编制人数30人，其中行政编制16人(含工勤1人)，事业编制14人；2018年末实有人数29人，其中公共预算财政拨款人数16人，公共预算财政补助开支人数13人。</w:t>
      </w:r>
    </w:p>
    <w:p>
      <w:pPr>
        <w:spacing w:line="580" w:lineRule="exact"/>
        <w:ind w:firstLineChars="200" w:firstLine="640"/>
        <w:rPr>
          <w:rFonts w:ascii="黑体" w:eastAsia="黑体" w:cs="黑体"/>
          <w:sz w:val="32"/>
          <w:szCs w:val="32"/>
        </w:rPr>
      </w:pPr>
      <w:r>
        <w:rPr>
          <w:rFonts w:ascii="黑体" w:eastAsia="黑体" w:cs="黑体"/>
          <w:sz w:val="32"/>
          <w:szCs w:val="32"/>
        </w:rPr>
        <w:t>二、部门财政资金收支情况</w:t>
      </w:r>
    </w:p>
    <w:p>
      <w:pPr>
        <w:spacing w:line="580" w:lineRule="exact"/>
        <w:ind w:firstLineChars="200" w:firstLine="640"/>
        <w:rPr>
          <w:rFonts w:ascii="楷体" w:eastAsia="楷体" w:cs="楷体"/>
          <w:sz w:val="32"/>
          <w:szCs w:val="32"/>
        </w:rPr>
      </w:pPr>
      <w:r>
        <w:rPr>
          <w:rFonts w:ascii="楷体" w:eastAsia="楷体" w:cs="楷体" w:hint="eastAsia"/>
          <w:sz w:val="32"/>
          <w:szCs w:val="32"/>
        </w:rPr>
        <w:t>（一）部门财政资金收入情况。</w:t>
      </w:r>
    </w:p>
    <w:p>
      <w:pPr>
        <w:spacing w:line="600" w:lineRule="exact"/>
        <w:ind w:firstLineChars="200" w:firstLine="640"/>
        <w:outlineLvl w:val="1"/>
        <w:rPr>
          <w:rFonts w:ascii="仿宋_GB2312" w:eastAsia="仿宋_GB2312" w:cs="仿宋_GB2312"/>
          <w:color w:val="000000"/>
          <w:sz w:val="32"/>
          <w:szCs w:val="32"/>
        </w:rPr>
      </w:pPr>
      <w:r>
        <w:rPr>
          <w:rFonts w:ascii="仿宋_GB2312" w:eastAsia="仿宋_GB2312" w:cs="仿宋_GB2312" w:hint="eastAsia"/>
          <w:color w:val="000000"/>
          <w:sz w:val="32"/>
          <w:szCs w:val="32"/>
        </w:rPr>
        <w:t>2018年本年收入合计1049.19万元，其中：一般公共预算财政拨款收入1021.19万元，占97.33%；政府性基金预算财政拨款收入28万元，占2.67%；国有资本经营预算财政拨款收入0万元，占0%；事业收入0万元，占0%；经营收入0万元，占0%；附属单位上缴收入0万元，占0%；其他收入0万元，占0%。</w:t>
      </w:r>
    </w:p>
    <w:p>
      <w:pPr>
        <w:spacing w:line="580" w:lineRule="exact"/>
        <w:ind w:leftChars="200" w:left="420"/>
        <w:rPr>
          <w:rFonts w:ascii="楷体" w:eastAsia="楷体" w:cs="楷体"/>
          <w:sz w:val="32"/>
          <w:szCs w:val="32"/>
        </w:rPr>
      </w:pPr>
      <w:r>
        <w:rPr>
          <w:rFonts w:ascii="楷体" w:eastAsia="楷体" w:cs="楷体" w:hint="eastAsia"/>
          <w:sz w:val="32"/>
          <w:szCs w:val="32"/>
        </w:rPr>
        <w:t>（二）部门财政资金支出情况。</w:t>
      </w:r>
    </w:p>
    <w:p>
      <w:pPr>
        <w:spacing w:line="600" w:lineRule="exact"/>
        <w:ind w:firstLine="640"/>
        <w:rPr>
          <w:rFonts w:ascii="仿宋_GB2312" w:eastAsia="仿宋_GB2312" w:cs="仿宋_GB2312"/>
          <w:color w:val="000000"/>
          <w:sz w:val="32"/>
          <w:szCs w:val="32"/>
          <w:shd w:val="pct10" w:color="auto" w:fill="FFFFFF"/>
        </w:rPr>
      </w:pPr>
      <w:r>
        <w:rPr>
          <w:rFonts w:ascii="仿宋_GB2312" w:eastAsia="仿宋_GB2312" w:cs="仿宋_GB2312" w:hint="eastAsia"/>
          <w:color w:val="000000"/>
          <w:sz w:val="32"/>
          <w:szCs w:val="32"/>
        </w:rPr>
        <w:t>2018年本年支出合计1049.19万元，其中：基本支出718.84万元，占68.51%；项目支出330.35万元，占31.49%；上缴上级支出0万元，占0%；经营支出0万元，占0%；对附属单位补助支出0万元，占0%。</w:t>
      </w:r>
    </w:p>
    <w:p>
      <w:pPr>
        <w:numPr>
          <w:ilvl w:val="0"/>
          <w:numId w:val="1"/>
        </w:numPr>
        <w:spacing w:line="580" w:lineRule="exact"/>
        <w:rPr>
          <w:rFonts w:ascii="黑体" w:eastAsia="黑体" w:cs="黑体"/>
          <w:sz w:val="32"/>
          <w:szCs w:val="32"/>
        </w:rPr>
      </w:pPr>
      <w:r>
        <w:rPr>
          <w:rFonts w:ascii="黑体" w:eastAsia="黑体" w:cs="黑体"/>
          <w:sz w:val="32"/>
          <w:szCs w:val="32"/>
        </w:rPr>
        <w:t>部门整体预算绩效管理情况</w:t>
      </w:r>
    </w:p>
    <w:p>
      <w:pPr>
        <w:spacing w:line="580" w:lineRule="exact"/>
        <w:ind w:left="640"/>
        <w:rPr>
          <w:rFonts w:ascii="楷体" w:eastAsia="楷体" w:cs="楷体"/>
          <w:sz w:val="32"/>
          <w:szCs w:val="32"/>
        </w:rPr>
      </w:pPr>
      <w:r>
        <w:rPr>
          <w:rFonts w:ascii="楷体" w:eastAsia="楷体" w:cs="楷体" w:hint="eastAsia"/>
          <w:sz w:val="32"/>
          <w:szCs w:val="32"/>
        </w:rPr>
        <w:t>（一）部门预算管理。</w:t>
      </w:r>
    </w:p>
    <w:p>
      <w:pPr>
        <w:spacing w:line="580" w:lineRule="exact"/>
        <w:ind w:firstLineChars="200" w:firstLine="640"/>
        <w:rPr>
          <w:rFonts w:ascii="仿宋" w:eastAsia="仿宋" w:cs="仿宋_GB2312"/>
          <w:sz w:val="32"/>
          <w:szCs w:val="32"/>
        </w:rPr>
      </w:pPr>
      <w:r>
        <w:rPr>
          <w:rFonts w:ascii="仿宋_GB2312" w:eastAsia="仿宋_GB2312" w:cs="仿宋_GB2312" w:hint="eastAsia"/>
          <w:sz w:val="32"/>
          <w:szCs w:val="32"/>
        </w:rPr>
        <w:t>包括部门绩效目标制定、目标完成、预算编制准确、支出控制、预算动态调整、执行进度、预算完成情况和违规记录等情况。</w:t>
      </w:r>
    </w:p>
    <w:p>
      <w:pPr>
        <w:spacing w:line="580" w:lineRule="exact"/>
        <w:ind w:firstLineChars="200" w:firstLine="640"/>
        <w:rPr>
          <w:rFonts w:ascii="楷体" w:eastAsia="楷体" w:cs="楷体"/>
          <w:sz w:val="32"/>
          <w:szCs w:val="32"/>
        </w:rPr>
      </w:pPr>
      <w:r>
        <w:rPr>
          <w:rFonts w:ascii="楷体" w:eastAsia="楷体" w:cs="楷体" w:hint="eastAsia"/>
          <w:sz w:val="32"/>
          <w:szCs w:val="32"/>
        </w:rPr>
        <w:t>（二）专项预算管理。</w:t>
      </w:r>
    </w:p>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包括专项预算项目程序严密、规划合理、结果符合、分配科学、分配及时、专项预算绩效目标完成、实施绩效、违规记录等情况。</w:t>
      </w:r>
    </w:p>
    <w:p>
      <w:pPr>
        <w:spacing w:line="580" w:lineRule="exact"/>
        <w:ind w:firstLineChars="200" w:firstLine="640"/>
        <w:rPr>
          <w:rFonts w:ascii="楷体" w:eastAsia="楷体" w:cs="楷体"/>
          <w:sz w:val="32"/>
          <w:szCs w:val="32"/>
        </w:rPr>
      </w:pPr>
      <w:r>
        <w:rPr>
          <w:rFonts w:ascii="楷体" w:eastAsia="楷体" w:cs="楷体" w:hint="eastAsia"/>
          <w:sz w:val="32"/>
          <w:szCs w:val="32"/>
        </w:rPr>
        <w:t>（三）结果应用情况。</w:t>
      </w:r>
    </w:p>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包括部门自评质量、绩效目标公开和自评公开、评价结果整改和应用结果反馈等情况。</w:t>
      </w:r>
    </w:p>
    <w:p>
      <w:pPr>
        <w:spacing w:line="580" w:lineRule="exact"/>
        <w:ind w:firstLineChars="200" w:firstLine="640"/>
        <w:rPr>
          <w:rFonts w:ascii="黑体" w:eastAsia="黑体" w:cs="黑体"/>
          <w:sz w:val="32"/>
          <w:szCs w:val="32"/>
        </w:rPr>
      </w:pPr>
      <w:r>
        <w:rPr>
          <w:rFonts w:ascii="黑体" w:eastAsia="黑体" w:cs="黑体"/>
          <w:sz w:val="32"/>
          <w:szCs w:val="32"/>
        </w:rPr>
        <w:t>四、评价结论及建议</w:t>
      </w:r>
    </w:p>
    <w:p>
      <w:pPr>
        <w:spacing w:line="580" w:lineRule="exact"/>
        <w:ind w:firstLineChars="200" w:firstLine="640"/>
        <w:rPr>
          <w:rFonts w:ascii="楷体" w:eastAsia="楷体" w:cs="楷体"/>
          <w:sz w:val="32"/>
          <w:szCs w:val="32"/>
        </w:rPr>
      </w:pPr>
      <w:r>
        <w:rPr>
          <w:rFonts w:ascii="楷体" w:eastAsia="楷体" w:cs="楷体" w:hint="eastAsia"/>
          <w:sz w:val="32"/>
          <w:szCs w:val="32"/>
        </w:rPr>
        <w:t>（一）评价结论。</w:t>
      </w:r>
    </w:p>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总体看，我单位预算编制及执行决算较为准确，支出管理较为规范，财务管理制度较完善，部门整体绩效较好。部门支出绩效自评得分为100分。</w:t>
      </w:r>
    </w:p>
    <w:p>
      <w:pPr>
        <w:numPr>
          <w:ilvl w:val="0"/>
          <w:numId w:val="7"/>
        </w:numPr>
        <w:spacing w:line="580" w:lineRule="exact"/>
        <w:ind w:left="0" w:firstLineChars="200" w:firstLine="640"/>
        <w:rPr>
          <w:rFonts w:ascii="楷体" w:eastAsia="楷体" w:cs="楷体"/>
          <w:sz w:val="32"/>
          <w:szCs w:val="32"/>
        </w:rPr>
      </w:pPr>
      <w:r>
        <w:rPr>
          <w:rFonts w:ascii="楷体" w:eastAsia="楷体" w:cs="楷体" w:hint="eastAsia"/>
          <w:sz w:val="32"/>
          <w:szCs w:val="32"/>
        </w:rPr>
        <w:t>存在问题。</w:t>
      </w:r>
    </w:p>
    <w:p>
      <w:pPr>
        <w:spacing w:line="578"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1、政府采购方面。政府采购方面存在等的思想，不能及时与上级沟通。</w:t>
      </w:r>
    </w:p>
    <w:p>
      <w:pPr>
        <w:spacing w:line="578"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2、资产管理方面。在平时工作中对资产管理的知识学习不够，经验不足。</w:t>
      </w:r>
    </w:p>
    <w:p>
      <w:pPr>
        <w:spacing w:line="578"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3、财务管理及会计核算方面。在工学矛盾处理不够好，就导致做账不够及时。</w:t>
      </w:r>
    </w:p>
    <w:p>
      <w:pPr>
        <w:spacing w:line="578" w:lineRule="exact"/>
        <w:ind w:firstLineChars="200" w:firstLine="640"/>
        <w:rPr>
          <w:rFonts w:ascii="仿宋" w:eastAsia="仿宋" w:cs="仿宋"/>
          <w:sz w:val="32"/>
          <w:szCs w:val="32"/>
        </w:rPr>
      </w:pPr>
      <w:r>
        <w:rPr>
          <w:rFonts w:ascii="仿宋_GB2312" w:eastAsia="仿宋_GB2312" w:cs="仿宋_GB2312" w:hint="eastAsia"/>
          <w:sz w:val="32"/>
          <w:szCs w:val="32"/>
        </w:rPr>
        <w:t>4、人员管理方面。在平时工作中对人员管理还不是很严格，存在时紧时松的现象。</w:t>
      </w:r>
    </w:p>
    <w:p>
      <w:pPr>
        <w:spacing w:line="580" w:lineRule="exact"/>
        <w:ind w:firstLineChars="200" w:firstLine="640"/>
        <w:rPr>
          <w:rFonts w:ascii="楷体" w:eastAsia="楷体" w:cs="楷体"/>
          <w:sz w:val="32"/>
          <w:szCs w:val="32"/>
        </w:rPr>
      </w:pPr>
      <w:r>
        <w:rPr>
          <w:rFonts w:ascii="楷体" w:eastAsia="楷体" w:cs="楷体" w:hint="eastAsia"/>
          <w:sz w:val="32"/>
          <w:szCs w:val="32"/>
        </w:rPr>
        <w:t>（三）改进建议。</w:t>
      </w:r>
    </w:p>
    <w:p>
      <w:pPr>
        <w:spacing w:line="578"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1、提高预算编制质量。严格按照年初的预算编制，落实好资金的分配，及时报送相关资料。</w:t>
      </w:r>
    </w:p>
    <w:p>
      <w:pPr>
        <w:spacing w:line="578"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2、严格执行政府采购。严格按照行政采购计划，采购程序进行采购。</w:t>
      </w:r>
    </w:p>
    <w:p>
      <w:pPr>
        <w:spacing w:line="578"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3、加强资产管理。加强资产管理的知识学习，严格遵守资产管理制度进行管理，并制定专人负责管理。</w:t>
      </w:r>
    </w:p>
    <w:p>
      <w:pPr>
        <w:spacing w:line="578"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4、强化资金财务管理。一是按月编制“银行存款余额调节表”，使单位账面余额与银行对账单余额调节相符。二是严把资金支付审核关，严格检查入账发票的准确性，核实原始凭证的完整性。</w:t>
      </w:r>
    </w:p>
    <w:p>
      <w:pPr>
        <w:spacing w:line="578"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5、人员管理。严格加强人员管理，坚持上下班制度，不迟到早退，遵守人员管理制度。</w:t>
      </w:r>
    </w:p>
    <w:p>
      <w:pPr>
        <w:spacing w:line="580" w:lineRule="exact"/>
        <w:rPr>
          <w:rFonts w:ascii="仿宋_GB2312" w:eastAsia="仿宋_GB2312" w:cs="仿宋_GB2312"/>
          <w:sz w:val="32"/>
          <w:szCs w:val="32"/>
        </w:rPr>
      </w:pPr>
    </w:p>
    <w:p>
      <w:pPr>
        <w:widowControl/>
        <w:jc w:val="left"/>
        <w:rPr>
          <w:rFonts w:ascii="仿宋_GB2312" w:eastAsia="仿宋_GB2312" w:cs="仿宋_GB2312"/>
          <w:sz w:val="32"/>
          <w:szCs w:val="32"/>
        </w:rPr>
      </w:pPr>
      <w:r>
        <w:rPr>
          <w:rFonts w:ascii="仿宋_GB2312" w:eastAsia="仿宋_GB2312" w:cs="仿宋_GB2312"/>
          <w:sz w:val="32"/>
          <w:szCs w:val="32"/>
        </w:rPr>
        <w:br w:type="page"/>
      </w:r>
    </w:p>
    <w:p>
      <w:pPr>
        <w:pStyle w:val="2"/>
        <w:rPr>
          <w:rStyle w:val="1Char"/>
          <w:rFonts w:ascii="仿宋" w:eastAsia="仿宋"/>
          <w:b w:val="0"/>
          <w:bCs w:val="0"/>
          <w:sz w:val="32"/>
          <w:szCs w:val="32"/>
        </w:rPr>
      </w:pPr>
      <w:bookmarkStart w:id="60" w:name="_Toc15396617"/>
      <w:r>
        <w:rPr>
          <w:rStyle w:val="1Char"/>
          <w:rFonts w:ascii="仿宋" w:eastAsia="仿宋" w:hint="eastAsia"/>
          <w:b w:val="0"/>
          <w:bCs w:val="0"/>
          <w:sz w:val="32"/>
          <w:szCs w:val="32"/>
        </w:rPr>
        <w:t>附件2</w:t>
      </w:r>
      <w:bookmarkEnd w:id="60"/>
    </w:p>
    <w:p>
      <w:pPr>
        <w:spacing w:line="580" w:lineRule="exact"/>
        <w:jc w:val="center"/>
        <w:rPr>
          <w:rFonts w:ascii="黑体" w:eastAsia="黑体" w:cs="方正小标宋简体"/>
          <w:sz w:val="44"/>
          <w:szCs w:val="44"/>
        </w:rPr>
      </w:pPr>
      <w:r>
        <w:rPr>
          <w:rFonts w:ascii="黑体" w:eastAsia="黑体" w:cs="方正小标宋简体" w:hint="eastAsia"/>
          <w:sz w:val="44"/>
          <w:szCs w:val="44"/>
        </w:rPr>
        <w:t>2018年达州市达川区洛车乡项目支出绩效评价报告</w:t>
      </w:r>
    </w:p>
    <w:p>
      <w:pPr>
        <w:spacing w:line="580" w:lineRule="exact"/>
        <w:ind w:firstLineChars="200" w:firstLine="640"/>
        <w:rPr>
          <w:rFonts w:ascii="仿宋_GB2312" w:eastAsia="仿宋_GB2312" w:cs="仿宋_GB2312"/>
          <w:sz w:val="32"/>
          <w:szCs w:val="32"/>
        </w:rPr>
      </w:pPr>
    </w:p>
    <w:p>
      <w:pPr>
        <w:spacing w:line="580" w:lineRule="exact"/>
        <w:ind w:firstLineChars="200" w:firstLine="640"/>
        <w:rPr>
          <w:rFonts w:ascii="黑体" w:eastAsia="黑体" w:cs="黑体"/>
          <w:sz w:val="32"/>
          <w:szCs w:val="32"/>
        </w:rPr>
      </w:pPr>
      <w:r>
        <w:rPr>
          <w:rFonts w:ascii="黑体" w:eastAsia="黑体" w:cs="黑体" w:hint="eastAsia"/>
          <w:sz w:val="32"/>
          <w:szCs w:val="32"/>
        </w:rPr>
        <w:t>一、评价工作开展及项目情况</w:t>
      </w:r>
    </w:p>
    <w:p>
      <w:pPr>
        <w:spacing w:line="580" w:lineRule="exact"/>
        <w:ind w:firstLineChars="200" w:firstLine="640"/>
        <w:rPr>
          <w:rFonts w:ascii="仿宋" w:eastAsia="仿宋" w:cs="仿宋_GB2312"/>
          <w:color w:val="0000FF"/>
          <w:sz w:val="32"/>
          <w:szCs w:val="32"/>
        </w:rPr>
      </w:pPr>
      <w:r>
        <w:rPr>
          <w:rFonts w:ascii="仿宋_GB2312" w:eastAsia="仿宋_GB2312" w:cs="仿宋_GB2312" w:hint="eastAsia"/>
          <w:sz w:val="32"/>
          <w:szCs w:val="32"/>
        </w:rPr>
        <w:t>达川区洛车乡2018年项目资金330.35万元，其中：保运行资金81.5万元，用于政府日常工作正常运转；促发展资金6.7万元，化债资金0.3万元，用于解决历年欠款；解困资金6万元，解决洛车乡的一些困难户的救济；信访维稳资金3万元，用于全乡安全、信访、维稳。</w:t>
      </w:r>
    </w:p>
    <w:p>
      <w:pPr>
        <w:spacing w:line="580" w:lineRule="exact"/>
        <w:ind w:firstLineChars="200" w:firstLine="640"/>
        <w:rPr>
          <w:rFonts w:ascii="黑体" w:eastAsia="黑体" w:cs="黑体"/>
          <w:sz w:val="32"/>
          <w:szCs w:val="32"/>
        </w:rPr>
      </w:pPr>
      <w:r>
        <w:rPr>
          <w:rFonts w:ascii="黑体" w:eastAsia="黑体" w:cs="黑体" w:hint="eastAsia"/>
          <w:sz w:val="32"/>
          <w:szCs w:val="32"/>
        </w:rPr>
        <w:t>二、评价结论及绩效分析</w:t>
      </w:r>
    </w:p>
    <w:p>
      <w:pPr>
        <w:spacing w:line="580" w:lineRule="exact"/>
        <w:ind w:firstLineChars="200" w:firstLine="640"/>
        <w:rPr>
          <w:rFonts w:ascii="楷体" w:eastAsia="楷体" w:cs="楷体"/>
          <w:sz w:val="32"/>
          <w:szCs w:val="32"/>
        </w:rPr>
      </w:pPr>
      <w:r>
        <w:rPr>
          <w:rFonts w:ascii="楷体" w:eastAsia="楷体" w:cs="楷体" w:hint="eastAsia"/>
          <w:sz w:val="32"/>
          <w:szCs w:val="32"/>
        </w:rPr>
        <w:t>（一）评价结论</w:t>
      </w:r>
    </w:p>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确保政府日常工作正常运转；进一步解决历年欠款债务，确保社会和谐，维护社会稳定；农村基础设施环境建设得到加强，改善农村生产生活条件，提高村民幸福生活指数，促进农村社会事业的发展和乡风文明水平的提高。</w:t>
      </w:r>
    </w:p>
    <w:p>
      <w:pPr>
        <w:spacing w:line="580" w:lineRule="exact"/>
        <w:ind w:firstLineChars="200" w:firstLine="640"/>
        <w:rPr>
          <w:rFonts w:ascii="楷体" w:eastAsia="楷体" w:cs="楷体"/>
          <w:sz w:val="32"/>
          <w:szCs w:val="32"/>
        </w:rPr>
      </w:pPr>
      <w:r>
        <w:rPr>
          <w:rFonts w:ascii="楷体" w:eastAsia="楷体" w:cs="楷体" w:hint="eastAsia"/>
          <w:sz w:val="32"/>
          <w:szCs w:val="32"/>
        </w:rPr>
        <w:t>（二）绩效分析</w:t>
      </w:r>
    </w:p>
    <w:p>
      <w:pPr>
        <w:spacing w:line="580" w:lineRule="exact"/>
        <w:ind w:firstLineChars="200" w:firstLine="640"/>
        <w:rPr>
          <w:rFonts w:ascii="仿宋" w:eastAsia="仿宋" w:cs="仿宋_GB2312"/>
          <w:sz w:val="32"/>
          <w:szCs w:val="32"/>
        </w:rPr>
      </w:pPr>
      <w:r>
        <w:rPr>
          <w:rFonts w:ascii="仿宋" w:eastAsia="仿宋" w:cs="仿宋_GB2312"/>
          <w:sz w:val="32"/>
          <w:szCs w:val="32"/>
        </w:rPr>
        <w:t>1、项目决策</w:t>
      </w:r>
    </w:p>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2018年</w:t>
      </w:r>
      <w:r>
        <w:rPr>
          <w:rFonts w:ascii="仿宋_GB2312" w:eastAsia="仿宋_GB2312" w:cs="仿宋_GB2312" w:hint="eastAsia"/>
          <w:sz w:val="32"/>
          <w:szCs w:val="32"/>
          <w:lang w:val="zh-CN"/>
        </w:rPr>
        <w:t>项目申报严格按照上级要求明确绩效目标，控制成本，提高项目发挥作用，严格按照项目的程序进行申报，严格按照批复项目的内容，符合资金管理办法等相关规定</w:t>
      </w:r>
      <w:r>
        <w:rPr>
          <w:rFonts w:ascii="仿宋_GB2312" w:eastAsia="仿宋_GB2312" w:cs="仿宋_GB2312" w:hint="eastAsia"/>
          <w:sz w:val="32"/>
          <w:szCs w:val="32"/>
        </w:rPr>
        <w:t>使用</w:t>
      </w:r>
      <w:r>
        <w:rPr>
          <w:rFonts w:ascii="仿宋_GB2312" w:eastAsia="仿宋_GB2312" w:cs="仿宋_GB2312" w:hint="eastAsia"/>
          <w:sz w:val="32"/>
          <w:szCs w:val="32"/>
          <w:lang w:val="zh-CN"/>
        </w:rPr>
        <w:t>。</w:t>
      </w:r>
    </w:p>
    <w:p>
      <w:pPr>
        <w:spacing w:line="580" w:lineRule="exact"/>
        <w:ind w:firstLineChars="200" w:firstLine="640"/>
        <w:rPr>
          <w:rFonts w:ascii="仿宋" w:eastAsia="仿宋" w:cs="仿宋_GB2312"/>
          <w:sz w:val="32"/>
          <w:szCs w:val="32"/>
        </w:rPr>
      </w:pPr>
      <w:r>
        <w:rPr>
          <w:rFonts w:ascii="仿宋" w:eastAsia="仿宋" w:cs="仿宋_GB2312"/>
          <w:sz w:val="32"/>
          <w:szCs w:val="32"/>
        </w:rPr>
        <w:t>2、项目管理</w:t>
      </w:r>
    </w:p>
    <w:p>
      <w:pPr>
        <w:spacing w:line="578" w:lineRule="exact"/>
        <w:ind w:firstLineChars="200" w:firstLine="640"/>
        <w:rPr>
          <w:rFonts w:ascii="仿宋" w:eastAsia="仿宋" w:cs="仿宋_GB2312"/>
          <w:sz w:val="32"/>
          <w:szCs w:val="32"/>
        </w:rPr>
      </w:pPr>
      <w:r>
        <w:rPr>
          <w:rFonts w:ascii="仿宋_GB2312" w:eastAsia="仿宋_GB2312" w:cs="仿宋_GB2312" w:hint="eastAsia"/>
          <w:sz w:val="32"/>
          <w:szCs w:val="32"/>
          <w:lang w:val="zh-CN"/>
        </w:rPr>
        <w:t>项目资金申报相符性项目申报内容与具体实施内容相符，且申报目标合理可行。资金分配科学合理，资金使用严格按照财务管理制度，严格财经制度管理办法约束。</w:t>
      </w:r>
    </w:p>
    <w:p>
      <w:pPr>
        <w:spacing w:line="580" w:lineRule="exact"/>
        <w:ind w:firstLineChars="200" w:firstLine="640"/>
        <w:rPr>
          <w:rFonts w:ascii="仿宋" w:eastAsia="仿宋" w:cs="仿宋_GB2312"/>
          <w:sz w:val="32"/>
          <w:szCs w:val="32"/>
        </w:rPr>
      </w:pPr>
      <w:r>
        <w:rPr>
          <w:rFonts w:ascii="仿宋" w:eastAsia="仿宋" w:cs="仿宋_GB2312"/>
          <w:sz w:val="32"/>
          <w:szCs w:val="32"/>
        </w:rPr>
        <w:t>3、项目绩效</w:t>
      </w:r>
    </w:p>
    <w:p>
      <w:pPr>
        <w:spacing w:line="578" w:lineRule="exact"/>
        <w:ind w:firstLineChars="200" w:firstLine="640"/>
        <w:rPr>
          <w:rFonts w:ascii="仿宋_GB2312" w:eastAsia="仿宋_GB2312" w:cs="仿宋_GB2312"/>
          <w:sz w:val="32"/>
          <w:szCs w:val="32"/>
          <w:lang w:val="zh-CN"/>
        </w:rPr>
      </w:pPr>
      <w:r>
        <w:rPr>
          <w:rFonts w:ascii="仿宋_GB2312" w:eastAsia="仿宋_GB2312" w:cs="仿宋_GB2312" w:hint="eastAsia"/>
          <w:sz w:val="32"/>
          <w:szCs w:val="32"/>
          <w:lang w:val="zh-CN"/>
        </w:rPr>
        <w:t>通过洛车乡全体工作人员的努力下，各项工作圆满完成，</w:t>
      </w:r>
      <w:r>
        <w:rPr>
          <w:rFonts w:ascii="仿宋_GB2312" w:eastAsia="仿宋_GB2312" w:cs="仿宋_GB2312" w:hint="eastAsia"/>
          <w:sz w:val="32"/>
          <w:szCs w:val="32"/>
        </w:rPr>
        <w:t>化解了以前的一些</w:t>
      </w:r>
      <w:r>
        <w:rPr>
          <w:rFonts w:ascii="仿宋_GB2312" w:eastAsia="仿宋_GB2312" w:cs="仿宋_GB2312" w:hint="eastAsia"/>
          <w:sz w:val="32"/>
          <w:szCs w:val="32"/>
          <w:lang w:val="zh-CN"/>
        </w:rPr>
        <w:t>债务，促进洛车乡脱贫攻坚中的产业发展，解决了洛车乡的一些困难户的救济，解决了上访人员的一些实际困难，</w:t>
      </w:r>
      <w:r>
        <w:rPr>
          <w:rFonts w:ascii="仿宋_GB2312" w:eastAsia="仿宋_GB2312" w:cs="仿宋_GB2312" w:hint="eastAsia"/>
          <w:sz w:val="32"/>
          <w:szCs w:val="32"/>
        </w:rPr>
        <w:t>确保了政府日常工作正常运转、社会和谐，维护了社会稳定。</w:t>
      </w:r>
      <w:r>
        <w:rPr>
          <w:rFonts w:ascii="仿宋_GB2312" w:eastAsia="仿宋_GB2312" w:cs="仿宋_GB2312" w:hint="eastAsia"/>
          <w:sz w:val="32"/>
          <w:szCs w:val="32"/>
          <w:lang w:val="zh-CN"/>
        </w:rPr>
        <w:t>充分调动了民主参与，民主管理，民主管理的积极性。</w:t>
      </w:r>
    </w:p>
    <w:p>
      <w:pPr>
        <w:spacing w:line="580" w:lineRule="exact"/>
        <w:ind w:firstLineChars="200" w:firstLine="640"/>
        <w:rPr>
          <w:rFonts w:ascii="黑体" w:eastAsia="黑体" w:cs="黑体"/>
          <w:sz w:val="32"/>
          <w:szCs w:val="32"/>
        </w:rPr>
      </w:pPr>
      <w:r>
        <w:rPr>
          <w:rFonts w:ascii="黑体" w:eastAsia="黑体" w:cs="黑体" w:hint="eastAsia"/>
          <w:sz w:val="32"/>
          <w:szCs w:val="32"/>
        </w:rPr>
        <w:t>三、存在主要问题</w:t>
      </w:r>
    </w:p>
    <w:p>
      <w:pPr>
        <w:spacing w:line="578" w:lineRule="exact"/>
        <w:ind w:firstLineChars="200" w:firstLine="640"/>
        <w:rPr>
          <w:rFonts w:ascii="仿宋_GB2312" w:eastAsia="仿宋_GB2312" w:cs="仿宋_GB2312"/>
          <w:sz w:val="32"/>
          <w:szCs w:val="32"/>
          <w:lang w:val="zh-CN"/>
        </w:rPr>
      </w:pPr>
      <w:r>
        <w:rPr>
          <w:rFonts w:ascii="仿宋_GB2312" w:eastAsia="仿宋_GB2312" w:cs="仿宋_GB2312" w:hint="eastAsia"/>
          <w:sz w:val="32"/>
          <w:szCs w:val="32"/>
        </w:rPr>
        <w:t>1、</w:t>
      </w:r>
      <w:r>
        <w:rPr>
          <w:rFonts w:ascii="仿宋_GB2312" w:eastAsia="仿宋_GB2312" w:cs="仿宋_GB2312" w:hint="eastAsia"/>
          <w:sz w:val="32"/>
          <w:szCs w:val="32"/>
          <w:lang w:val="zh-CN"/>
        </w:rPr>
        <w:t>财政项目自评报告对于本单位来说是刚开展的一项工作，缺乏经验，资金管理制度没有完整的建立起来。</w:t>
      </w:r>
    </w:p>
    <w:p>
      <w:pPr>
        <w:spacing w:line="578" w:lineRule="exact"/>
        <w:ind w:firstLineChars="200" w:firstLine="640"/>
        <w:rPr>
          <w:rFonts w:ascii="仿宋_GB2312" w:eastAsia="仿宋_GB2312" w:cs="仿宋_GB2312"/>
          <w:sz w:val="32"/>
          <w:szCs w:val="32"/>
          <w:lang w:val="zh-CN"/>
        </w:rPr>
      </w:pPr>
      <w:r>
        <w:rPr>
          <w:rFonts w:ascii="仿宋_GB2312" w:eastAsia="仿宋_GB2312" w:cs="仿宋_GB2312" w:hint="eastAsia"/>
          <w:sz w:val="32"/>
          <w:szCs w:val="32"/>
        </w:rPr>
        <w:t>2、</w:t>
      </w:r>
      <w:r>
        <w:rPr>
          <w:rFonts w:ascii="仿宋_GB2312" w:eastAsia="仿宋_GB2312" w:cs="仿宋_GB2312" w:hint="eastAsia"/>
          <w:sz w:val="32"/>
          <w:szCs w:val="32"/>
          <w:lang w:val="zh-CN"/>
        </w:rPr>
        <w:t>历年存在欠款的现象，主要是历年的一些债务较多，乡党委政府无力偿还，也没其他的收入，只有等财政拨款收入才能去偿还，有一些等靠思想，积极主动性还不够。</w:t>
      </w:r>
    </w:p>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3、在脱贫攻坚产业发展方面上，引进来，走出去的思想不够，缺乏一些产业技术扶持，不能够很好的去真正了解一些种植、养殖技术，缺乏专业性的指导。</w:t>
      </w:r>
    </w:p>
    <w:p>
      <w:pPr>
        <w:spacing w:line="580" w:lineRule="exact"/>
        <w:ind w:firstLineChars="200" w:firstLine="640"/>
        <w:rPr>
          <w:rFonts w:ascii="黑体" w:eastAsia="黑体" w:cs="黑体"/>
          <w:sz w:val="32"/>
          <w:szCs w:val="32"/>
        </w:rPr>
      </w:pPr>
      <w:r>
        <w:rPr>
          <w:rFonts w:ascii="黑体" w:eastAsia="黑体" w:cs="黑体" w:hint="eastAsia"/>
          <w:sz w:val="32"/>
          <w:szCs w:val="32"/>
        </w:rPr>
        <w:t>四、相关措施建议</w:t>
      </w:r>
    </w:p>
    <w:p>
      <w:pPr>
        <w:spacing w:line="578"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1、乡党委政府积极主动多向上级部门领导汇报，结合乡的一些现实的情况与部门领导做好沟通汇报，力争早日解决好历年的欠款。</w:t>
      </w:r>
    </w:p>
    <w:p>
      <w:pPr>
        <w:spacing w:line="578"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2、加强我乡的一些技术人员的学习，多向一些产业发展的较好的乡镇组织参观学习，做到引进来，走出去的思想，打破以前的一些陈旧的思想，切实把我乡的产业提高一个新台阶。</w:t>
      </w: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Style w:val="1Char"/>
          <w:rFonts w:ascii="黑体" w:eastAsia="黑体"/>
          <w:b w:val="0"/>
        </w:rPr>
      </w:pPr>
      <w:r>
        <w:rPr>
          <w:rFonts w:ascii="黑体" w:eastAsia="黑体" w:hint="eastAsia"/>
          <w:color w:val="000000"/>
          <w:sz w:val="44"/>
          <w:szCs w:val="44"/>
        </w:rPr>
        <w:t>第</w:t>
      </w:r>
      <w:r>
        <w:rPr>
          <w:rStyle w:val="1Char"/>
          <w:rFonts w:ascii="黑体" w:eastAsia="黑体" w:hint="eastAsia"/>
          <w:b w:val="0"/>
        </w:rPr>
        <w:t>五部分 附表</w:t>
      </w:r>
      <w:bookmarkEnd w:id="56"/>
      <w:bookmarkEnd w:id="57"/>
    </w:p>
    <w:p>
      <w:pPr>
        <w:spacing w:line="600" w:lineRule="exact"/>
        <w:jc w:val="center"/>
        <w:outlineLvl w:val="0"/>
        <w:rPr>
          <w:rFonts w:ascii="仿宋" w:eastAsia="仿宋"/>
          <w:b/>
          <w:color w:val="000000"/>
          <w:sz w:val="44"/>
          <w:szCs w:val="44"/>
        </w:rPr>
      </w:pPr>
    </w:p>
    <w:p>
      <w:pPr>
        <w:pStyle w:val="2"/>
        <w:rPr>
          <w:rFonts w:ascii="仿宋" w:eastAsia="仿宋"/>
          <w:color w:val="000000"/>
        </w:rPr>
      </w:pPr>
      <w:bookmarkStart w:id="61" w:name="_Toc15396619"/>
      <w:r>
        <w:rPr>
          <w:rFonts w:ascii="仿宋" w:eastAsia="仿宋" w:hint="eastAsia"/>
          <w:b w:val="0"/>
          <w:color w:val="000000"/>
        </w:rPr>
        <w:t>一、收</w:t>
      </w:r>
      <w:r>
        <w:rPr>
          <w:rStyle w:val="2Char"/>
          <w:rFonts w:ascii="仿宋" w:eastAsia="仿宋" w:hint="eastAsia"/>
          <w:b w:val="0"/>
          <w:bCs w:val="0"/>
        </w:rPr>
        <w:t>入支出决算总表</w:t>
      </w:r>
      <w:bookmarkEnd w:id="61"/>
    </w:p>
    <w:p>
      <w:pPr>
        <w:pStyle w:val="2"/>
        <w:rPr>
          <w:rFonts w:ascii="仿宋" w:eastAsia="仿宋"/>
          <w:color w:val="000000"/>
        </w:rPr>
      </w:pPr>
      <w:bookmarkStart w:id="62" w:name="_Toc15396620"/>
      <w:r>
        <w:rPr>
          <w:rFonts w:ascii="仿宋" w:eastAsia="仿宋" w:hint="eastAsia"/>
          <w:b w:val="0"/>
          <w:color w:val="000000"/>
        </w:rPr>
        <w:t>二、收</w:t>
      </w:r>
      <w:r>
        <w:rPr>
          <w:rStyle w:val="2Char"/>
          <w:rFonts w:ascii="仿宋" w:eastAsia="仿宋" w:hint="eastAsia"/>
          <w:b w:val="0"/>
          <w:bCs w:val="0"/>
        </w:rPr>
        <w:t>入总表</w:t>
      </w:r>
      <w:bookmarkEnd w:id="62"/>
    </w:p>
    <w:p>
      <w:pPr>
        <w:pStyle w:val="2"/>
        <w:rPr>
          <w:rFonts w:ascii="仿宋" w:eastAsia="仿宋"/>
          <w:color w:val="000000"/>
        </w:rPr>
      </w:pPr>
      <w:bookmarkStart w:id="63" w:name="_Toc15396621"/>
      <w:r>
        <w:rPr>
          <w:rStyle w:val="2Char"/>
          <w:rFonts w:ascii="仿宋" w:eastAsia="仿宋" w:hint="eastAsia"/>
          <w:b w:val="0"/>
          <w:bCs w:val="0"/>
        </w:rPr>
        <w:t>三、</w:t>
      </w:r>
      <w:r>
        <w:rPr>
          <w:rFonts w:ascii="仿宋" w:eastAsia="仿宋" w:hint="eastAsia"/>
          <w:b w:val="0"/>
          <w:color w:val="000000"/>
        </w:rPr>
        <w:t>支</w:t>
      </w:r>
      <w:r>
        <w:rPr>
          <w:rStyle w:val="2Char"/>
          <w:rFonts w:ascii="仿宋" w:eastAsia="仿宋" w:hint="eastAsia"/>
          <w:b w:val="0"/>
          <w:bCs w:val="0"/>
        </w:rPr>
        <w:t>出总表</w:t>
      </w:r>
      <w:bookmarkEnd w:id="63"/>
    </w:p>
    <w:p>
      <w:pPr>
        <w:pStyle w:val="2"/>
        <w:rPr>
          <w:rFonts w:ascii="仿宋" w:eastAsia="仿宋"/>
          <w:b w:val="0"/>
          <w:color w:val="000000"/>
        </w:rPr>
      </w:pPr>
      <w:bookmarkStart w:id="64" w:name="_Toc15396622"/>
      <w:r>
        <w:rPr>
          <w:rStyle w:val="2Char"/>
          <w:rFonts w:ascii="仿宋" w:eastAsia="仿宋" w:hint="eastAsia"/>
          <w:b w:val="0"/>
          <w:bCs w:val="0"/>
        </w:rPr>
        <w:t>四、</w:t>
      </w:r>
      <w:r>
        <w:rPr>
          <w:rFonts w:ascii="仿宋" w:eastAsia="仿宋" w:hint="eastAsia"/>
          <w:b w:val="0"/>
          <w:color w:val="000000"/>
        </w:rPr>
        <w:t>财</w:t>
      </w:r>
      <w:r>
        <w:rPr>
          <w:rStyle w:val="2Char"/>
          <w:rFonts w:ascii="仿宋" w:eastAsia="仿宋" w:hint="eastAsia"/>
          <w:b w:val="0"/>
          <w:bCs w:val="0"/>
        </w:rPr>
        <w:t>政拨款收入支出决算总表</w:t>
      </w:r>
      <w:bookmarkEnd w:id="64"/>
    </w:p>
    <w:p>
      <w:pPr>
        <w:pStyle w:val="2"/>
        <w:rPr>
          <w:rFonts w:ascii="仿宋" w:eastAsia="仿宋"/>
          <w:color w:val="000000"/>
        </w:rPr>
      </w:pPr>
      <w:bookmarkStart w:id="65" w:name="_Toc15396623"/>
      <w:r>
        <w:rPr>
          <w:rStyle w:val="2Char"/>
          <w:rFonts w:ascii="仿宋" w:eastAsia="仿宋" w:hint="eastAsia"/>
          <w:b w:val="0"/>
          <w:bCs w:val="0"/>
        </w:rPr>
        <w:t>五、</w:t>
      </w:r>
      <w:r>
        <w:rPr>
          <w:rFonts w:ascii="仿宋" w:eastAsia="仿宋" w:hint="eastAsia"/>
          <w:b w:val="0"/>
          <w:color w:val="000000"/>
        </w:rPr>
        <w:t>财</w:t>
      </w:r>
      <w:r>
        <w:rPr>
          <w:rStyle w:val="2Char"/>
          <w:rFonts w:ascii="仿宋" w:eastAsia="仿宋" w:hint="eastAsia"/>
          <w:b w:val="0"/>
          <w:bCs w:val="0"/>
        </w:rPr>
        <w:t>政拨款支出决算明细表（政府经济分类科目）</w:t>
      </w:r>
      <w:bookmarkEnd w:id="65"/>
    </w:p>
    <w:p>
      <w:pPr>
        <w:pStyle w:val="2"/>
        <w:rPr>
          <w:rFonts w:ascii="仿宋" w:eastAsia="仿宋"/>
          <w:color w:val="000000"/>
        </w:rPr>
      </w:pPr>
      <w:bookmarkStart w:id="66" w:name="_Toc15396624"/>
      <w:r>
        <w:rPr>
          <w:rStyle w:val="2Char"/>
          <w:rFonts w:ascii="仿宋" w:eastAsia="仿宋" w:hint="eastAsia"/>
          <w:b w:val="0"/>
          <w:bCs w:val="0"/>
        </w:rPr>
        <w:t>六、</w:t>
      </w:r>
      <w:r>
        <w:rPr>
          <w:rFonts w:ascii="仿宋" w:eastAsia="仿宋" w:hint="eastAsia"/>
          <w:b w:val="0"/>
          <w:color w:val="000000"/>
        </w:rPr>
        <w:t>一</w:t>
      </w:r>
      <w:r>
        <w:rPr>
          <w:rStyle w:val="2Char"/>
          <w:rFonts w:ascii="仿宋" w:eastAsia="仿宋" w:hint="eastAsia"/>
          <w:b w:val="0"/>
          <w:bCs w:val="0"/>
        </w:rPr>
        <w:t>般公共预算财政拨款支出决算表</w:t>
      </w:r>
      <w:bookmarkEnd w:id="66"/>
    </w:p>
    <w:p>
      <w:pPr>
        <w:pStyle w:val="2"/>
        <w:rPr>
          <w:rFonts w:ascii="仿宋" w:eastAsia="仿宋"/>
          <w:color w:val="000000"/>
        </w:rPr>
      </w:pPr>
      <w:bookmarkStart w:id="67" w:name="_Toc15396625"/>
      <w:r>
        <w:rPr>
          <w:rStyle w:val="2Char"/>
          <w:rFonts w:ascii="仿宋" w:eastAsia="仿宋" w:hint="eastAsia"/>
          <w:b w:val="0"/>
          <w:bCs w:val="0"/>
        </w:rPr>
        <w:t>七、</w:t>
      </w:r>
      <w:r>
        <w:rPr>
          <w:rFonts w:ascii="仿宋" w:eastAsia="仿宋" w:hint="eastAsia"/>
          <w:b w:val="0"/>
          <w:color w:val="000000"/>
        </w:rPr>
        <w:t>一</w:t>
      </w:r>
      <w:r>
        <w:rPr>
          <w:rStyle w:val="2Char"/>
          <w:rFonts w:ascii="仿宋" w:eastAsia="仿宋" w:hint="eastAsia"/>
          <w:b w:val="0"/>
          <w:bCs w:val="0"/>
        </w:rPr>
        <w:t>般公共预算财政拨款支出决算明细表</w:t>
      </w:r>
      <w:bookmarkEnd w:id="67"/>
    </w:p>
    <w:p>
      <w:pPr>
        <w:pStyle w:val="2"/>
        <w:rPr>
          <w:rFonts w:ascii="仿宋" w:eastAsia="仿宋"/>
          <w:color w:val="000000"/>
        </w:rPr>
      </w:pPr>
      <w:bookmarkStart w:id="68" w:name="_Toc15396626"/>
      <w:r>
        <w:rPr>
          <w:rStyle w:val="2Char"/>
          <w:rFonts w:ascii="仿宋" w:eastAsia="仿宋" w:hint="eastAsia"/>
          <w:b w:val="0"/>
          <w:bCs w:val="0"/>
        </w:rPr>
        <w:t>八、</w:t>
      </w:r>
      <w:r>
        <w:rPr>
          <w:rFonts w:ascii="仿宋" w:eastAsia="仿宋" w:hint="eastAsia"/>
          <w:b w:val="0"/>
          <w:color w:val="000000"/>
        </w:rPr>
        <w:t>一</w:t>
      </w:r>
      <w:r>
        <w:rPr>
          <w:rStyle w:val="2Char"/>
          <w:rFonts w:ascii="仿宋" w:eastAsia="仿宋" w:hint="eastAsia"/>
          <w:b w:val="0"/>
          <w:bCs w:val="0"/>
        </w:rPr>
        <w:t>般公共预算财政拨款基本支出决算表</w:t>
      </w:r>
      <w:bookmarkEnd w:id="68"/>
    </w:p>
    <w:p>
      <w:pPr>
        <w:pStyle w:val="2"/>
        <w:rPr>
          <w:rFonts w:ascii="仿宋" w:eastAsia="仿宋"/>
          <w:color w:val="000000"/>
        </w:rPr>
      </w:pPr>
      <w:bookmarkStart w:id="69" w:name="_Toc15396627"/>
      <w:r>
        <w:rPr>
          <w:rStyle w:val="2Char"/>
          <w:rFonts w:ascii="仿宋" w:eastAsia="仿宋" w:hint="eastAsia"/>
          <w:b w:val="0"/>
          <w:bCs w:val="0"/>
        </w:rPr>
        <w:t>九、</w:t>
      </w:r>
      <w:r>
        <w:rPr>
          <w:rFonts w:ascii="仿宋" w:eastAsia="仿宋" w:hint="eastAsia"/>
          <w:b w:val="0"/>
          <w:color w:val="000000"/>
        </w:rPr>
        <w:t>一</w:t>
      </w:r>
      <w:r>
        <w:rPr>
          <w:rStyle w:val="2Char"/>
          <w:rFonts w:ascii="仿宋" w:eastAsia="仿宋" w:hint="eastAsia"/>
          <w:b w:val="0"/>
          <w:bCs w:val="0"/>
        </w:rPr>
        <w:t>般公共预算财政拨款项目支出决算表</w:t>
      </w:r>
      <w:bookmarkEnd w:id="69"/>
    </w:p>
    <w:p>
      <w:pPr>
        <w:pStyle w:val="2"/>
        <w:rPr>
          <w:rFonts w:ascii="仿宋" w:eastAsia="仿宋"/>
          <w:color w:val="000000"/>
        </w:rPr>
      </w:pPr>
      <w:bookmarkStart w:id="70" w:name="_Toc15396628"/>
      <w:r>
        <w:rPr>
          <w:rStyle w:val="2Char"/>
          <w:rFonts w:ascii="仿宋" w:eastAsia="仿宋" w:hint="eastAsia"/>
          <w:b w:val="0"/>
          <w:bCs w:val="0"/>
        </w:rPr>
        <w:t>十、</w:t>
      </w:r>
      <w:r>
        <w:rPr>
          <w:rFonts w:ascii="仿宋" w:eastAsia="仿宋" w:hint="eastAsia"/>
          <w:b w:val="0"/>
          <w:color w:val="000000"/>
        </w:rPr>
        <w:t>一</w:t>
      </w:r>
      <w:r>
        <w:rPr>
          <w:rStyle w:val="2Char"/>
          <w:rFonts w:ascii="仿宋" w:eastAsia="仿宋" w:hint="eastAsia"/>
          <w:b w:val="0"/>
          <w:bCs w:val="0"/>
        </w:rPr>
        <w:t>般公共预算财政拨款“三公”经费支出决算表</w:t>
      </w:r>
      <w:bookmarkEnd w:id="70"/>
    </w:p>
    <w:p>
      <w:pPr>
        <w:pStyle w:val="2"/>
        <w:rPr>
          <w:rFonts w:ascii="仿宋" w:eastAsia="仿宋"/>
          <w:color w:val="000000"/>
        </w:rPr>
      </w:pPr>
      <w:bookmarkStart w:id="71" w:name="_Toc15396629"/>
      <w:r>
        <w:rPr>
          <w:rStyle w:val="2Char"/>
          <w:rFonts w:ascii="仿宋" w:eastAsia="仿宋" w:hint="eastAsia"/>
          <w:b w:val="0"/>
          <w:bCs w:val="0"/>
        </w:rPr>
        <w:t>十一、</w:t>
      </w:r>
      <w:r>
        <w:rPr>
          <w:rFonts w:ascii="仿宋" w:eastAsia="仿宋" w:hint="eastAsia"/>
          <w:b w:val="0"/>
          <w:color w:val="000000"/>
        </w:rPr>
        <w:t>政</w:t>
      </w:r>
      <w:r>
        <w:rPr>
          <w:rStyle w:val="2Char"/>
          <w:rFonts w:ascii="仿宋" w:eastAsia="仿宋" w:hint="eastAsia"/>
          <w:b w:val="0"/>
          <w:bCs w:val="0"/>
        </w:rPr>
        <w:t>府性基金预算财政拨款收入支出决算表</w:t>
      </w:r>
      <w:bookmarkEnd w:id="71"/>
    </w:p>
    <w:p>
      <w:pPr>
        <w:pStyle w:val="2"/>
        <w:rPr>
          <w:rFonts w:ascii="仿宋" w:eastAsia="仿宋"/>
          <w:color w:val="000000"/>
        </w:rPr>
      </w:pPr>
      <w:bookmarkStart w:id="72" w:name="_Toc15396630"/>
      <w:r>
        <w:rPr>
          <w:rStyle w:val="2Char"/>
          <w:rFonts w:ascii="仿宋" w:eastAsia="仿宋" w:hint="eastAsia"/>
          <w:b w:val="0"/>
          <w:bCs w:val="0"/>
        </w:rPr>
        <w:t>十二、</w:t>
      </w:r>
      <w:r>
        <w:rPr>
          <w:rFonts w:ascii="仿宋" w:eastAsia="仿宋" w:hint="eastAsia"/>
          <w:b w:val="0"/>
          <w:color w:val="000000"/>
        </w:rPr>
        <w:t>政</w:t>
      </w:r>
      <w:r>
        <w:rPr>
          <w:rStyle w:val="2Char"/>
          <w:rFonts w:ascii="仿宋" w:eastAsia="仿宋" w:hint="eastAsia"/>
          <w:b w:val="0"/>
          <w:bCs w:val="0"/>
        </w:rPr>
        <w:t>府性基金预算财政拨款“三公”经费支出决算表</w:t>
      </w:r>
      <w:bookmarkEnd w:id="72"/>
    </w:p>
    <w:p>
      <w:pPr>
        <w:pStyle w:val="2"/>
        <w:rPr>
          <w:rFonts w:ascii="仿宋" w:eastAsia="仿宋"/>
          <w:color w:val="000000"/>
        </w:rPr>
      </w:pPr>
      <w:bookmarkStart w:id="73" w:name="_Toc15396631"/>
      <w:r>
        <w:rPr>
          <w:rStyle w:val="2Char"/>
          <w:rFonts w:ascii="仿宋" w:eastAsia="仿宋" w:hint="eastAsia"/>
          <w:b w:val="0"/>
          <w:bCs w:val="0"/>
        </w:rPr>
        <w:t>十三、</w:t>
      </w:r>
      <w:r>
        <w:rPr>
          <w:rFonts w:ascii="仿宋" w:eastAsia="仿宋" w:hint="eastAsia"/>
          <w:b w:val="0"/>
          <w:color w:val="000000"/>
        </w:rPr>
        <w:t>国</w:t>
      </w:r>
      <w:r>
        <w:rPr>
          <w:rStyle w:val="2Char"/>
          <w:rFonts w:ascii="仿宋" w:eastAsia="仿宋" w:hint="eastAsia"/>
          <w:b w:val="0"/>
          <w:bCs w:val="0"/>
        </w:rPr>
        <w:t>有资本经营预算支出决算表</w:t>
      </w:r>
      <w:bookmarkEnd w:id="73"/>
    </w:p>
    <w:sectPr>
      <w:headerReference w:type="default" r:id="rId2"/>
      <w:footerReference w:type="default" r:id="rId3"/>
      <w:pgSz w:w="11906" w:h="16838"/>
      <w:pgMar w:top="1440" w:right="1800" w:bottom="1440" w:left="1800"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黑体"/>
    <w:panose1 w:val="02010601030101010101"/>
    <w:charset w:val="86"/>
    <w:family w:val="auto"/>
    <w:pitch w:val="variable"/>
    <w:sig w:usb0="00000000" w:usb1="00000000" w:usb2="00000010" w:usb3="00000000" w:csb0="00040000" w:csb1="00000000"/>
  </w:font>
  <w:font w:name="黑体">
    <w:altName w:val="方正黑体_GBK"/>
    <w:panose1 w:val="02010609060101010101"/>
    <w:charset w:val="86"/>
    <w:family w:val="auto"/>
    <w:pitch w:val="variable"/>
    <w:sig w:usb0="800002BF" w:usb1="38CF7CFA" w:usb2="00000016" w:usb3="00000000" w:csb0="00040001" w:csb1="00000000"/>
  </w:font>
  <w:font w:name="Arial">
    <w:altName w:val="DejaVu Sans"/>
    <w:panose1 w:val="020B0604020202020204"/>
    <w:charset w:val="01"/>
    <w:family w:val="swiss"/>
    <w:pitch w:val="variable"/>
    <w:sig w:usb0="E0002AFF" w:usb1="C0007843" w:usb2="00000009" w:usb3="00000000" w:csb0="400001FF" w:csb1="FFFF0000"/>
  </w:font>
  <w:font w:name="仿宋">
    <w:altName w:val="仿宋_GB2312"/>
    <w:panose1 w:val="02010609060101010101"/>
    <w:charset w:val="86"/>
    <w:family w:val="modern"/>
    <w:pitch w:val="variable"/>
    <w:sig w:usb0="800002BF" w:usb1="38CF7CFA" w:usb2="00000016" w:usb3="00000000" w:csb0="00040001" w:csb1="00000000"/>
  </w:font>
  <w:font w:name="Times New Roman">
    <w:altName w:val="DejaVu Sans"/>
    <w:panose1 w:val="02020603050405020304"/>
    <w:charset w:val="00"/>
    <w:family w:val="roman"/>
    <w:pitch w:val="variable"/>
    <w:sig w:usb0="20007A87" w:usb1="80000000" w:usb2="00000008" w:usb3="00000000" w:csb0="000001FF" w:csb1="00000000"/>
  </w:font>
  <w:font w:name="楷体">
    <w:altName w:val="永中楷体"/>
    <w:panose1 w:val="02010609060101010101"/>
    <w:charset w:val="86"/>
    <w:family w:val="modern"/>
    <w:pitch w:val="variable"/>
    <w:sig w:usb0="800002BF" w:usb1="38CF7CFA" w:usb2="00000016" w:usb3="00000000" w:csb0="00040001" w:csb1="00000000"/>
  </w:font>
  <w:font w:name="仿宋_GB2312">
    <w:altName w:val="仿宋"/>
    <w:panose1 w:val="02010609030101010101"/>
    <w:charset w:val="86"/>
    <w:family w:val="modern"/>
    <w:pitch w:val="variable"/>
    <w:sig w:usb0="00000000" w:usb1="00000000" w:usb2="00000000" w:usb3="00000000" w:csb0="00040000" w:csb1="00000000"/>
  </w:font>
  <w:font w:name="楷体_GB2312">
    <w:altName w:val="永中楷体"/>
    <w:panose1 w:val="02010609030101010101"/>
    <w:charset w:val="86"/>
    <w:family w:val="auto"/>
    <w:pitch w:val="variable"/>
    <w:sig w:usb0="00000000" w:usb1="00000000" w:usb2="00000000" w:usb3="00000000" w:csb0="00040000" w:csb1="00000000"/>
  </w:font>
  <w:font w:name="宋体">
    <w:altName w:val="方正书宋_GBK"/>
    <w:panose1 w:val="02010600030101010101"/>
    <w:charset w:val="86"/>
    <w:family w:val="auto"/>
    <w:pitch w:val="variable"/>
    <w:sig w:usb0="00000003" w:usb1="288F0000" w:usb2="00000006" w:usb3="00000000" w:csb0="00040001" w:csb1="00000000"/>
  </w:font>
  <w:font w:name="Cambria">
    <w:altName w:val="DejaVu Sans"/>
    <w:panose1 w:val="02040503050406030204"/>
    <w:charset w:val="00"/>
    <w:family w:val="roman"/>
    <w:pitch w:val="variable"/>
    <w:sig w:usb0="E00002FF" w:usb1="400004FF" w:usb2="00000000" w:usb3="00000000" w:csb0="2000019F" w:csb1="00000000"/>
  </w:font>
  <w:font w:name="Calibri">
    <w:altName w:val="DejaVu Sans"/>
    <w:panose1 w:val="020F0502020204030204"/>
    <w:charset w:val="00"/>
    <w:family w:val="swiss"/>
    <w:pitch w:val="variable"/>
    <w:sig w:usb0="E00002FF" w:usb1="4000ACFF" w:usb2="00000001"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1905038956"/>
    </w:sdtPr>
    <w:sdtContent>
      <w:p>
        <w:pPr>
          <w:pStyle w:val="18"/>
          <w:tabs>
            <w:tab w:val="center" w:pos="4153"/>
            <w:tab w:val="right" w:pos="8306"/>
          </w:tabs>
          <w:jc w:val="center"/>
        </w:pPr>
        <w:r>
          <w:fldChar w:fldCharType="begin"/>
        </w:r>
        <w:r>
          <w:instrText>PAGE   \* MERGEFORMAT</w:instrText>
        </w:r>
        <w:r>
          <w:fldChar w:fldCharType="separate"/>
        </w:r>
        <w:r>
          <w:rPr>
            <w:lang w:val="zh-CN"/>
          </w:rPr>
          <w:t>19</w:t>
        </w:r>
        <w:r>
          <w:fldChar w:fldCharType="end"/>
        </w:r>
      </w:p>
    </w:sdtContent>
  </w:sdt>
  <w:p>
    <w:pPr>
      <w:pStyle w:val="18"/>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1272550B"/>
    <w:multiLevelType w:val="multilevel"/>
    <w:tmpl w:val="1272550B"/>
    <w:lvl w:ilvl="0">
      <w:start w:val="1"/>
      <w:numFmt w:val="japaneseCounting"/>
      <w:lvlRestart w:val="0"/>
      <w:lvlText w:val="%1、"/>
      <w:lvlJc w:val="left"/>
      <w:pPr>
        <w:tabs>
          <w:tab w:val="num" w:pos="0"/>
        </w:tabs>
        <w:ind w:left="1360" w:hanging="720"/>
      </w:pPr>
      <w:rPr>
        <w:rFonts w:hint="default"/>
        <w:b w:val="0"/>
      </w:rPr>
    </w:lvl>
    <w:lvl w:ilvl="1">
      <w:start w:val="1"/>
      <w:numFmt w:val="lowerLetter"/>
      <w:lvlText w:val="%2)"/>
      <w:lvlJc w:val="left"/>
      <w:pPr>
        <w:tabs>
          <w:tab w:val="num" w:pos="0"/>
        </w:tabs>
        <w:ind w:left="1480" w:hanging="420"/>
      </w:pPr>
    </w:lvl>
    <w:lvl w:ilvl="2">
      <w:start w:val="1"/>
      <w:numFmt w:val="lowerRoman"/>
      <w:lvlText w:val="%3."/>
      <w:lvlJc w:val="right"/>
      <w:pPr>
        <w:tabs>
          <w:tab w:val="num" w:pos="0"/>
        </w:tabs>
        <w:ind w:left="1900" w:hanging="420"/>
      </w:pPr>
    </w:lvl>
    <w:lvl w:ilvl="3">
      <w:start w:val="1"/>
      <w:numFmt w:val="decimal"/>
      <w:lvlText w:val="%4."/>
      <w:lvlJc w:val="left"/>
      <w:pPr>
        <w:tabs>
          <w:tab w:val="num" w:pos="0"/>
        </w:tabs>
        <w:ind w:left="2320" w:hanging="420"/>
      </w:pPr>
    </w:lvl>
    <w:lvl w:ilvl="4">
      <w:start w:val="1"/>
      <w:numFmt w:val="lowerLetter"/>
      <w:lvlText w:val="%5)"/>
      <w:lvlJc w:val="left"/>
      <w:pPr>
        <w:tabs>
          <w:tab w:val="num" w:pos="0"/>
        </w:tabs>
        <w:ind w:left="2740" w:hanging="420"/>
      </w:pPr>
    </w:lvl>
    <w:lvl w:ilvl="5">
      <w:start w:val="1"/>
      <w:numFmt w:val="lowerRoman"/>
      <w:lvlText w:val="%6."/>
      <w:lvlJc w:val="right"/>
      <w:pPr>
        <w:tabs>
          <w:tab w:val="num" w:pos="0"/>
        </w:tabs>
        <w:ind w:left="3160" w:hanging="420"/>
      </w:pPr>
    </w:lvl>
    <w:lvl w:ilvl="6">
      <w:start w:val="1"/>
      <w:numFmt w:val="decimal"/>
      <w:lvlText w:val="%7."/>
      <w:lvlJc w:val="left"/>
      <w:pPr>
        <w:tabs>
          <w:tab w:val="num" w:pos="0"/>
        </w:tabs>
        <w:ind w:left="3580" w:hanging="420"/>
      </w:pPr>
    </w:lvl>
    <w:lvl w:ilvl="7">
      <w:start w:val="1"/>
      <w:numFmt w:val="lowerLetter"/>
      <w:lvlText w:val="%8)"/>
      <w:lvlJc w:val="left"/>
      <w:pPr>
        <w:tabs>
          <w:tab w:val="num" w:pos="0"/>
        </w:tabs>
        <w:ind w:left="4000" w:hanging="420"/>
      </w:pPr>
    </w:lvl>
    <w:lvl w:ilvl="8">
      <w:start w:val="1"/>
      <w:numFmt w:val="lowerRoman"/>
      <w:lvlText w:val="%9."/>
      <w:lvlJc w:val="right"/>
      <w:pPr>
        <w:tabs>
          <w:tab w:val="num" w:pos="0"/>
        </w:tabs>
        <w:ind w:left="4420" w:hanging="420"/>
      </w:pPr>
    </w:lvl>
  </w:abstractNum>
  <w:abstractNum w:abstractNumId="1">
    <w:nsid w:val="59B88691"/>
    <w:multiLevelType w:val="singleLevel"/>
    <w:tmpl w:val="59B88691"/>
    <w:lvl w:ilvl="0">
      <w:start w:val="2"/>
      <w:numFmt w:val="decimal"/>
      <w:lvlRestart w:val="0"/>
      <w:suff w:val="nothing"/>
      <w:lvlText w:val="%1."/>
      <w:lvlJc w:val="left"/>
      <w:pPr>
        <w:tabs>
          <w:tab w:val="num" w:pos="0"/>
        </w:tabs>
        <w:ind w:left="0" w:hanging="0"/>
      </w:pPr>
    </w:lvl>
  </w:abstractNum>
  <w:abstractNum w:abstractNumId="2">
    <w:nsid w:val="59B88A17"/>
    <w:multiLevelType w:val="singleLevel"/>
    <w:tmpl w:val="59B88A17"/>
    <w:lvl w:ilvl="0">
      <w:start w:val="7"/>
      <w:numFmt w:val="decimal"/>
      <w:lvlRestart w:val="0"/>
      <w:suff w:val="nothing"/>
      <w:lvlText w:val="%1、"/>
      <w:lvlJc w:val="left"/>
      <w:pPr>
        <w:tabs>
          <w:tab w:val="num" w:pos="0"/>
        </w:tabs>
        <w:ind w:left="0" w:hanging="0"/>
      </w:pPr>
    </w:lvl>
  </w:abstractNum>
  <w:abstractNum w:abstractNumId="3">
    <w:nsid w:val="CF652CEC"/>
    <w:multiLevelType w:val="singleLevel"/>
    <w:tmpl w:val="CF652CEC"/>
    <w:lvl w:ilvl="0">
      <w:start w:val="9"/>
      <w:numFmt w:val="chineseCounting"/>
      <w:lvlRestart w:val="0"/>
      <w:suff w:val="nothing"/>
      <w:lvlText w:val="%1、"/>
      <w:lvlJc w:val="left"/>
      <w:pPr>
        <w:tabs>
          <w:tab w:val="num" w:pos="0"/>
        </w:tabs>
        <w:ind w:left="0" w:hanging="0"/>
      </w:pPr>
      <w:rPr>
        <w:rFonts w:hint="eastAsia"/>
      </w:rPr>
    </w:lvl>
  </w:abstractNum>
  <w:abstractNum w:abstractNumId="4">
    <w:nsid w:val="17F426B7"/>
    <w:multiLevelType w:val="multilevel"/>
    <w:tmpl w:val="17F426B7"/>
    <w:lvl w:ilvl="0">
      <w:start w:val="10"/>
      <w:numFmt w:val="japaneseCounting"/>
      <w:lvlRestart w:val="0"/>
      <w:lvlText w:val="%1、"/>
      <w:lvlJc w:val="left"/>
      <w:pPr>
        <w:tabs>
          <w:tab w:val="num" w:pos="0"/>
        </w:tabs>
        <w:ind w:left="1429" w:hanging="720"/>
      </w:pPr>
      <w:rPr>
        <w:rFonts w:hint="default"/>
      </w:rPr>
    </w:lvl>
    <w:lvl w:ilvl="1">
      <w:start w:val="1"/>
      <w:numFmt w:val="lowerLetter"/>
      <w:lvlText w:val="%2)"/>
      <w:lvlJc w:val="left"/>
      <w:pPr>
        <w:tabs>
          <w:tab w:val="num" w:pos="0"/>
        </w:tabs>
        <w:ind w:left="1549" w:hanging="420"/>
      </w:pPr>
    </w:lvl>
    <w:lvl w:ilvl="2">
      <w:start w:val="1"/>
      <w:numFmt w:val="lowerRoman"/>
      <w:lvlText w:val="%3."/>
      <w:lvlJc w:val="right"/>
      <w:pPr>
        <w:tabs>
          <w:tab w:val="num" w:pos="0"/>
        </w:tabs>
        <w:ind w:left="1969" w:hanging="420"/>
      </w:pPr>
    </w:lvl>
    <w:lvl w:ilvl="3">
      <w:start w:val="1"/>
      <w:numFmt w:val="decimal"/>
      <w:lvlText w:val="%4."/>
      <w:lvlJc w:val="left"/>
      <w:pPr>
        <w:tabs>
          <w:tab w:val="num" w:pos="0"/>
        </w:tabs>
        <w:ind w:left="2389" w:hanging="420"/>
      </w:pPr>
    </w:lvl>
    <w:lvl w:ilvl="4">
      <w:start w:val="1"/>
      <w:numFmt w:val="lowerLetter"/>
      <w:lvlText w:val="%5)"/>
      <w:lvlJc w:val="left"/>
      <w:pPr>
        <w:tabs>
          <w:tab w:val="num" w:pos="0"/>
        </w:tabs>
        <w:ind w:left="2809" w:hanging="420"/>
      </w:pPr>
    </w:lvl>
    <w:lvl w:ilvl="5">
      <w:start w:val="1"/>
      <w:numFmt w:val="lowerRoman"/>
      <w:lvlText w:val="%6."/>
      <w:lvlJc w:val="right"/>
      <w:pPr>
        <w:tabs>
          <w:tab w:val="num" w:pos="0"/>
        </w:tabs>
        <w:ind w:left="3229" w:hanging="420"/>
      </w:pPr>
    </w:lvl>
    <w:lvl w:ilvl="6">
      <w:start w:val="1"/>
      <w:numFmt w:val="decimal"/>
      <w:lvlText w:val="%7."/>
      <w:lvlJc w:val="left"/>
      <w:pPr>
        <w:tabs>
          <w:tab w:val="num" w:pos="0"/>
        </w:tabs>
        <w:ind w:left="3649" w:hanging="420"/>
      </w:pPr>
    </w:lvl>
    <w:lvl w:ilvl="7">
      <w:start w:val="1"/>
      <w:numFmt w:val="lowerLetter"/>
      <w:lvlText w:val="%8)"/>
      <w:lvlJc w:val="left"/>
      <w:pPr>
        <w:tabs>
          <w:tab w:val="num" w:pos="0"/>
        </w:tabs>
        <w:ind w:left="4069" w:hanging="420"/>
      </w:pPr>
    </w:lvl>
    <w:lvl w:ilvl="8">
      <w:start w:val="1"/>
      <w:numFmt w:val="lowerRoman"/>
      <w:lvlText w:val="%9."/>
      <w:lvlJc w:val="right"/>
      <w:pPr>
        <w:tabs>
          <w:tab w:val="num" w:pos="0"/>
        </w:tabs>
        <w:ind w:left="4489" w:hanging="420"/>
      </w:pPr>
    </w:lvl>
  </w:abstractNum>
  <w:abstractNum w:abstractNumId="5">
    <w:nsid w:val="EC0BEF30"/>
    <w:multiLevelType w:val="singleLevel"/>
    <w:tmpl w:val="EC0BEF30"/>
    <w:lvl w:ilvl="0">
      <w:start w:val="1"/>
      <w:numFmt w:val="chineseCounting"/>
      <w:lvlRestart w:val="0"/>
      <w:suff w:val="nothing"/>
      <w:lvlText w:val="（%1）"/>
      <w:lvlJc w:val="left"/>
      <w:pPr>
        <w:tabs>
          <w:tab w:val="num" w:pos="0"/>
        </w:tabs>
        <w:ind w:left="0" w:hanging="0"/>
      </w:pPr>
      <w:rPr>
        <w:rFonts w:ascii="楷体_GB2312" w:hAnsi="楷体_GB2312" w:eastAsia="楷体_GB2312" w:cs="楷体_GB2312" w:hint="eastAsia"/>
        <w:b/>
        <w:bCs/>
        <w:sz w:val="32"/>
        <w:szCs w:val="32"/>
      </w:rPr>
    </w:lvl>
  </w:abstractNum>
  <w:abstractNum w:abstractNumId="6">
    <w:nsid w:val="0633A94B"/>
    <w:multiLevelType w:val="singleLevel"/>
    <w:tmpl w:val="0633A94B"/>
    <w:lvl w:ilvl="0">
      <w:start w:val="2"/>
      <w:numFmt w:val="chineseCounting"/>
      <w:lvlRestart w:val="0"/>
      <w:suff w:val="nothing"/>
      <w:lvlText w:val="（%1）"/>
      <w:lvlJc w:val="left"/>
      <w:pPr>
        <w:tabs>
          <w:tab w:val="num" w:pos="0"/>
        </w:tabs>
        <w:ind w:left="0" w:hanging="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eastAsia="宋体" w:cs="Times New Roman" w:hAnsi="Cambria"/>
      <w:b/>
      <w:bCs/>
      <w:sz w:val="32"/>
      <w:szCs w:val="32"/>
    </w:rPr>
  </w:style>
  <w:style w:type="character" w:customStyle="1" w:styleId="2Char">
    <w:name w:val="heading 2 Char"/>
    <w:basedOn w:val="10"/>
    <w:link w:val="2"/>
    <w:rPr>
      <w:rFonts w:ascii="Cambria" w:eastAsia="宋体" w:cs="Times New Roman"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pPr>
      <w:spacing w:beforeLines="30" w:before="30"/>
    </w:pPr>
    <w:rPr>
      <w:rFonts w:ascii="仿宋_GB2312" w:eastAsia="仿宋_GB2312"/>
      <w:kern w:val="0"/>
      <w:sz w:val="30"/>
    </w:rPr>
  </w:style>
  <w:style w:type="paragraph" w:styleId="16">
    <w:name w:val="toc 3"/>
    <w:basedOn w:val="0"/>
    <w:next w:val="0"/>
    <w:pPr>
      <w:tabs>
        <w:tab w:val="right" w:leader="dot" w:pos="8296"/>
      </w:tabs>
      <w:ind w:leftChars="400" w:left="400"/>
    </w:p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rFonts w:ascii="Calibri" w:hAnsi="Calibri"/>
      <w:kern w:val="0"/>
      <w:sz w:val="18"/>
      <w:szCs w:val="18"/>
    </w:rPr>
  </w:style>
  <w:style w:type="paragraph" w:styleId="19">
    <w:name w:val="header"/>
    <w:basedOn w:val="0"/>
    <w:pPr>
      <w:pBdr>
        <w:bottom w:val="single" w:sz="6" w:space="1" w:color="auto"/>
      </w:pBdr>
      <w:tabs>
        <w:tab w:val="center" w:pos="4153"/>
        <w:tab w:val="right" w:pos="8306"/>
      </w:tabs>
      <w:snapToGrid w:val="0"/>
      <w:jc w:val="center"/>
    </w:pPr>
    <w:rPr>
      <w:rFonts w:ascii="Calibri" w:hAnsi="Calibri"/>
      <w:kern w:val="0"/>
      <w:sz w:val="18"/>
      <w:szCs w:val="18"/>
    </w:rPr>
  </w:style>
  <w:style w:type="paragraph" w:styleId="20">
    <w:name w:val="toc 1"/>
    <w:basedOn w:val="0"/>
    <w:next w:val="0"/>
    <w:pPr>
      <w:tabs>
        <w:tab w:val="right" w:leader="dot" w:pos="8296"/>
      </w:tabs>
      <w:spacing w:before="93"/>
      <w:jc w:val="center"/>
    </w:pPr>
    <w:rPr>
      <w:rFonts w:ascii="仿宋" w:eastAsia="仿宋"/>
      <w:sz w:val="28"/>
      <w:szCs w:val="28"/>
    </w:rPr>
  </w:style>
  <w:style w:type="paragraph" w:styleId="21">
    <w:name w:val="toc 2"/>
    <w:basedOn w:val="0"/>
    <w:next w:val="0"/>
    <w:pPr>
      <w:tabs>
        <w:tab w:val="right" w:leader="dot" w:pos="8296"/>
      </w:tabs>
      <w:ind w:leftChars="200" w:left="200"/>
    </w:pPr>
  </w:style>
  <w:style w:type="character" w:styleId="22">
    <w:name w:val="Strong"/>
    <w:basedOn w:val="10"/>
    <w:rPr>
      <w:b/>
    </w:rPr>
  </w:style>
  <w:style w:type="character" w:styleId="23">
    <w:name w:val="Hyperlink"/>
    <w:basedOn w:val="10"/>
    <w:rPr>
      <w:color w:val="0000FF"/>
      <w:u w:val="single"/>
    </w:rPr>
  </w:style>
  <w:style w:type="character" w:customStyle="1" w:styleId="24">
    <w:name w:val="Header Char"/>
    <w:basedOn w:val="10"/>
    <w:rPr>
      <w:rFonts w:ascii="Times New Roman" w:hAnsi="Times New Roman"/>
      <w:sz w:val="18"/>
      <w:szCs w:val="18"/>
    </w:rPr>
  </w:style>
  <w:style w:type="character" w:customStyle="1" w:styleId="25">
    <w:name w:val="Footer Char"/>
    <w:basedOn w:val="10"/>
    <w:rPr>
      <w:rFonts w:ascii="Times New Roman" w:hAnsi="Times New Roman"/>
      <w:sz w:val="18"/>
      <w:szCs w:val="18"/>
    </w:rPr>
  </w:style>
  <w:style w:type="character" w:customStyle="1" w:styleId="26">
    <w:name w:val="Body Text Char"/>
    <w:basedOn w:val="10"/>
    <w:rPr>
      <w:rFonts w:ascii="Times New Roman" w:hAnsi="Times New Roman"/>
      <w:szCs w:val="24"/>
    </w:rPr>
  </w:style>
  <w:style w:type="paragraph" w:customStyle="1" w:styleId="27">
    <w:name w:val="Default"/>
    <w:pPr>
      <w:widowControl w:val="0"/>
      <w:autoSpaceDE w:val="0"/>
      <w:autoSpaceDN w:val="0"/>
      <w:adjustRightInd w:val="0"/>
    </w:pPr>
    <w:rPr>
      <w:rFonts w:ascii="仿宋" w:eastAsia="仿宋" w:cs="仿宋"/>
      <w:color w:val="000000"/>
      <w:sz w:val="24"/>
      <w:szCs w:val="24"/>
      <w:lang w:val="en-US" w:eastAsia="zh-CN" w:bidi="ar-SA"/>
    </w:rPr>
  </w:style>
  <w:style w:type="paragraph" w:styleId="28">
    <w:name w:val="List Paragraph"/>
    <w:basedOn w:val="0"/>
    <w:pPr>
      <w:ind w:firstLineChars="200" w:firstLine="200"/>
    </w:pPr>
  </w:style>
  <w:style w:type="paragraph" w:customStyle="1" w:styleId="29">
    <w:name w:val="TOC 标题1"/>
    <w:basedOn w:val="1"/>
    <w:next w:val="0"/>
    <w:pPr>
      <w:keepNext/>
      <w:keepLines/>
      <w:widowControl/>
      <w:spacing w:before="480" w:after="0" w:line="276" w:lineRule="auto"/>
      <w:jc w:val="left"/>
      <w:outlineLvl w:val="9"/>
    </w:pPr>
    <w:rPr>
      <w:rFonts w:ascii="Cambria" w:eastAsia="宋体" w:cs="Times New Roman" w:hAnsi="Cambria"/>
      <w:color w:val="366091"/>
      <w:kern w:val="0"/>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6</TotalTime>
  <Application>Yozo_Office27021597764231179</Application>
  <Pages>1</Pages>
  <Words>0</Words>
  <Characters>0</Characters>
  <Lines>1</Lines>
  <Paragraphs>0</Paragraphs>
  <CharactersWithSpaces>0</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张彬茜</dc:creator>
  <cp:lastModifiedBy>user</cp:lastModifiedBy>
  <cp:revision>20</cp:revision>
  <cp:lastPrinted>2019-09-18T08:23:57Z</cp:lastPrinted>
  <dcterms:created xsi:type="dcterms:W3CDTF">2019-08-01T01:14:00Z</dcterms:created>
  <dcterms:modified xsi:type="dcterms:W3CDTF">2021-12-09T03:21:38Z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2052-11.1.0.8976</vt:lpwstr>
  </property>
</Properties>
</file>