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77425"/>
      <w:bookmarkStart w:id="2" w:name="_Toc15396597"/>
      <w:bookmarkStart w:id="3" w:name="_Toc15377193"/>
      <w:bookmarkStart w:id="4" w:name="_Toc15378441"/>
      <w:bookmarkStart w:id="5" w:name="_Toc15396475"/>
      <w:r>
        <w:rPr>
          <w:rFonts w:ascii="黑体" w:hAnsi="黑体" w:eastAsia="黑体"/>
          <w:color w:val="000000"/>
          <w:sz w:val="72"/>
          <w:szCs w:val="72"/>
        </w:rPr>
        <w:t>201</w:t>
      </w:r>
      <w:r>
        <w:rPr>
          <w:rFonts w:hint="eastAsia" w:ascii="黑体" w:hAnsi="黑体" w:eastAsia="黑体"/>
          <w:color w:val="000000"/>
          <w:sz w:val="72"/>
          <w:szCs w:val="72"/>
        </w:rPr>
        <w:t>8</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ascii="方正小标宋简体" w:hAnsi="宋体" w:eastAsia="方正小标宋简体"/>
          <w:color w:val="000000"/>
          <w:sz w:val="72"/>
          <w:szCs w:val="72"/>
        </w:rPr>
      </w:pPr>
      <w:bookmarkStart w:id="6" w:name="_Toc15396598"/>
      <w:bookmarkStart w:id="7" w:name="_Toc15378442"/>
      <w:bookmarkStart w:id="8" w:name="_Toc15377426"/>
      <w:bookmarkStart w:id="9" w:name="_Toc15377194"/>
      <w:bookmarkStart w:id="10" w:name="_Toc15396476"/>
      <w:r>
        <w:rPr>
          <w:rFonts w:hint="eastAsia" w:ascii="方正小标宋简体" w:hAnsi="宋体" w:eastAsia="方正小标宋简体"/>
          <w:color w:val="000000"/>
          <w:sz w:val="72"/>
          <w:szCs w:val="72"/>
        </w:rPr>
        <w:t>四川省</w:t>
      </w:r>
      <w:bookmarkEnd w:id="0"/>
      <w:bookmarkStart w:id="11" w:name="_Toc15306268"/>
      <w:r>
        <w:rPr>
          <w:rFonts w:hint="eastAsia" w:ascii="方正小标宋简体" w:hAnsi="宋体" w:eastAsia="方正小标宋简体"/>
          <w:color w:val="000000"/>
          <w:sz w:val="72"/>
          <w:szCs w:val="72"/>
          <w:lang w:eastAsia="zh-CN"/>
        </w:rPr>
        <w:t>达州市达川区安全监督管理局</w:t>
      </w:r>
      <w:r>
        <w:rPr>
          <w:rFonts w:hint="eastAsia" w:ascii="方正小标宋简体" w:hAnsi="宋体" w:eastAsia="方正小标宋简体"/>
          <w:color w:val="000000"/>
          <w:sz w:val="72"/>
          <w:szCs w:val="72"/>
        </w:rPr>
        <w:t>部门决算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r>
        <w:rPr>
          <w:rFonts w:ascii="黑体" w:hAnsi="黑体" w:eastAsia="黑体"/>
          <w:color w:val="000000"/>
          <w:sz w:val="48"/>
          <w:szCs w:val="48"/>
        </w:rPr>
        <w:fldChar w:fldCharType="begin"/>
      </w:r>
      <w:r>
        <w:rPr>
          <w:rFonts w:ascii="黑体" w:hAnsi="黑体" w:eastAsia="黑体"/>
          <w:color w:val="000000"/>
          <w:sz w:val="48"/>
          <w:szCs w:val="48"/>
        </w:rPr>
        <w:instrText xml:space="preserve"> TOC \o "1-2" \h \z \u </w:instrText>
      </w:r>
      <w:r>
        <w:rPr>
          <w:rFonts w:ascii="黑体" w:hAnsi="黑体" w:eastAsia="黑体"/>
          <w:color w:val="000000"/>
          <w:sz w:val="48"/>
          <w:szCs w:val="48"/>
        </w:rPr>
        <w:fldChar w:fldCharType="separate"/>
      </w:r>
    </w:p>
    <w:p>
      <w:pPr>
        <w:pStyle w:val="10"/>
      </w:pPr>
      <w:r>
        <w:rPr>
          <w:rFonts w:hint="eastAsia"/>
        </w:rPr>
        <w:t>公开时间：2019年8月29日</w:t>
      </w:r>
    </w:p>
    <w:p/>
    <w:p>
      <w:pPr>
        <w:pStyle w:val="10"/>
        <w:rPr>
          <w:rFonts w:cstheme="minorBidi"/>
        </w:rPr>
      </w:pPr>
      <w:r>
        <w:fldChar w:fldCharType="begin"/>
      </w:r>
      <w:r>
        <w:instrText xml:space="preserve"> HYPERLINK \l "_Toc15396599" </w:instrText>
      </w:r>
      <w:r>
        <w:fldChar w:fldCharType="separate"/>
      </w:r>
      <w:r>
        <w:rPr>
          <w:rStyle w:val="16"/>
          <w:rFonts w:hint="eastAsia"/>
        </w:rPr>
        <w:t>第一部分</w:t>
      </w:r>
      <w:r>
        <w:rPr>
          <w:rStyle w:val="16"/>
        </w:rPr>
        <w:t xml:space="preserve"> </w:t>
      </w:r>
      <w:r>
        <w:rPr>
          <w:rStyle w:val="16"/>
          <w:rFonts w:hint="eastAsia"/>
        </w:rPr>
        <w:t>部门概况</w:t>
      </w:r>
      <w:r>
        <w:tab/>
      </w:r>
      <w:r>
        <w:rPr>
          <w:rFonts w:hint="eastAsia"/>
        </w:rPr>
        <w:t>4</w:t>
      </w:r>
      <w:r>
        <w:rPr>
          <w:rFonts w:hint="eastAsia"/>
        </w:rPr>
        <w:fldChar w:fldCharType="end"/>
      </w:r>
    </w:p>
    <w:p>
      <w:pPr>
        <w:pStyle w:val="11"/>
        <w:rPr>
          <w:rFonts w:ascii="仿宋" w:hAnsi="仿宋" w:eastAsia="仿宋" w:cstheme="minorBidi"/>
          <w:sz w:val="28"/>
          <w:szCs w:val="28"/>
        </w:rPr>
      </w:pPr>
      <w:r>
        <w:fldChar w:fldCharType="begin"/>
      </w:r>
      <w:r>
        <w:instrText xml:space="preserve"> HYPERLINK \l "_Toc15396600" </w:instrText>
      </w:r>
      <w:r>
        <w:fldChar w:fldCharType="separate"/>
      </w:r>
      <w:r>
        <w:rPr>
          <w:rStyle w:val="16"/>
          <w:rFonts w:hint="eastAsia" w:ascii="仿宋" w:hAnsi="仿宋" w:eastAsia="仿宋"/>
          <w:sz w:val="28"/>
          <w:szCs w:val="28"/>
        </w:rPr>
        <w:t>一、基本职能及主要工作</w:t>
      </w:r>
      <w:r>
        <w:rPr>
          <w:rFonts w:ascii="仿宋" w:hAnsi="仿宋" w:eastAsia="仿宋"/>
          <w:sz w:val="28"/>
          <w:szCs w:val="28"/>
        </w:rPr>
        <w:tab/>
      </w:r>
      <w:r>
        <w:rPr>
          <w:rFonts w:hint="eastAsia" w:ascii="仿宋" w:hAnsi="仿宋" w:eastAsia="仿宋"/>
          <w:sz w:val="28"/>
          <w:szCs w:val="28"/>
        </w:rPr>
        <w:t>4</w:t>
      </w:r>
      <w:r>
        <w:rPr>
          <w:rFonts w:hint="eastAsia"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"_Toc15396601" </w:instrText>
      </w:r>
      <w:r>
        <w:fldChar w:fldCharType="separate"/>
      </w:r>
      <w:r>
        <w:rPr>
          <w:rStyle w:val="16"/>
          <w:rFonts w:hint="eastAsia" w:ascii="仿宋" w:hAnsi="仿宋" w:eastAsia="仿宋"/>
          <w:sz w:val="28"/>
          <w:szCs w:val="28"/>
        </w:rPr>
        <w:t>二、机构设置</w:t>
      </w:r>
      <w:r>
        <w:rPr>
          <w:rFonts w:ascii="仿宋" w:hAnsi="仿宋" w:eastAsia="仿宋"/>
          <w:sz w:val="28"/>
          <w:szCs w:val="28"/>
        </w:rPr>
        <w:tab/>
      </w:r>
      <w:r>
        <w:rPr>
          <w:rFonts w:ascii="仿宋" w:hAnsi="仿宋" w:eastAsia="仿宋"/>
          <w:sz w:val="28"/>
          <w:szCs w:val="28"/>
        </w:rPr>
        <w:fldChar w:fldCharType="begin"/>
      </w:r>
      <w:r>
        <w:rPr>
          <w:rFonts w:ascii="仿宋" w:hAnsi="仿宋" w:eastAsia="仿宋"/>
          <w:sz w:val="28"/>
          <w:szCs w:val="28"/>
        </w:rPr>
        <w:instrText xml:space="preserve"> PAGEREF _Toc15396601 \h </w:instrText>
      </w:r>
      <w:r>
        <w:rPr>
          <w:rFonts w:ascii="仿宋" w:hAnsi="仿宋" w:eastAsia="仿宋"/>
          <w:sz w:val="28"/>
          <w:szCs w:val="28"/>
        </w:rPr>
        <w:fldChar w:fldCharType="separate"/>
      </w:r>
      <w:r>
        <w:rPr>
          <w:rFonts w:ascii="仿宋" w:hAnsi="仿宋" w:eastAsia="仿宋"/>
          <w:sz w:val="28"/>
          <w:szCs w:val="28"/>
        </w:rPr>
        <w:t>4</w:t>
      </w:r>
      <w:r>
        <w:rPr>
          <w:rFonts w:ascii="仿宋" w:hAnsi="仿宋" w:eastAsia="仿宋"/>
          <w:sz w:val="28"/>
          <w:szCs w:val="28"/>
        </w:rPr>
        <w:fldChar w:fldCharType="end"/>
      </w:r>
      <w:r>
        <w:rPr>
          <w:rFonts w:ascii="仿宋" w:hAnsi="仿宋" w:eastAsia="仿宋"/>
          <w:sz w:val="28"/>
          <w:szCs w:val="28"/>
        </w:rPr>
        <w:fldChar w:fldCharType="end"/>
      </w:r>
    </w:p>
    <w:p>
      <w:pPr>
        <w:pStyle w:val="10"/>
      </w:pPr>
      <w:r>
        <w:fldChar w:fldCharType="begin"/>
      </w:r>
      <w:r>
        <w:instrText xml:space="preserve"> HYPERLINK \l "_Toc15396602" </w:instrText>
      </w:r>
      <w:r>
        <w:fldChar w:fldCharType="separate"/>
      </w:r>
      <w:r>
        <w:rPr>
          <w:rStyle w:val="16"/>
          <w:rFonts w:hint="eastAsia"/>
        </w:rPr>
        <w:t>第二部分</w:t>
      </w:r>
      <w:r>
        <w:rPr>
          <w:rStyle w:val="16"/>
        </w:rPr>
        <w:t xml:space="preserve"> 2018</w:t>
      </w:r>
      <w:r>
        <w:rPr>
          <w:rStyle w:val="16"/>
          <w:rFonts w:hint="eastAsia"/>
        </w:rPr>
        <w:t>年度部门决算情况说明</w:t>
      </w:r>
      <w:r>
        <w:tab/>
      </w:r>
      <w:r>
        <w:rPr>
          <w:rFonts w:hint="eastAsia"/>
          <w:lang w:val="en-US" w:eastAsia="zh-CN"/>
        </w:rPr>
        <w:t>9</w:t>
      </w:r>
      <w:r>
        <w:fldChar w:fldCharType="end"/>
      </w:r>
    </w:p>
    <w:p>
      <w:pPr>
        <w:pStyle w:val="11"/>
        <w:rPr>
          <w:rFonts w:ascii="仿宋" w:hAnsi="仿宋" w:eastAsia="仿宋" w:cstheme="minorBidi"/>
          <w:sz w:val="28"/>
          <w:szCs w:val="28"/>
        </w:rPr>
      </w:pPr>
      <w:r>
        <w:fldChar w:fldCharType="begin"/>
      </w:r>
      <w:r>
        <w:instrText xml:space="preserve"> HYPERLINK \l "_Toc15396603" </w:instrText>
      </w:r>
      <w:r>
        <w:fldChar w:fldCharType="separate"/>
      </w:r>
      <w:r>
        <w:rPr>
          <w:rStyle w:val="16"/>
          <w:rFonts w:hint="eastAsia" w:ascii="仿宋" w:hAnsi="仿宋" w:eastAsia="仿宋" w:cstheme="majorBidi"/>
          <w:bCs/>
          <w:sz w:val="28"/>
          <w:szCs w:val="28"/>
        </w:rPr>
        <w:t>一、</w:t>
      </w:r>
      <w:r>
        <w:rPr>
          <w:rStyle w:val="16"/>
          <w:rFonts w:hint="eastAsia" w:ascii="仿宋" w:hAnsi="仿宋" w:eastAsia="仿宋"/>
          <w:sz w:val="28"/>
          <w:szCs w:val="28"/>
        </w:rPr>
        <w:t>收</w:t>
      </w:r>
      <w:r>
        <w:rPr>
          <w:rStyle w:val="16"/>
          <w:rFonts w:hint="eastAsia" w:ascii="仿宋" w:hAnsi="仿宋" w:eastAsia="仿宋" w:cstheme="majorBidi"/>
          <w:bCs/>
          <w:sz w:val="28"/>
          <w:szCs w:val="28"/>
        </w:rPr>
        <w:t>入支出决算总体情况说明</w:t>
      </w:r>
      <w:r>
        <w:rPr>
          <w:rFonts w:ascii="仿宋" w:hAnsi="仿宋" w:eastAsia="仿宋"/>
          <w:sz w:val="28"/>
          <w:szCs w:val="28"/>
        </w:rPr>
        <w:tab/>
      </w:r>
      <w:r>
        <w:rPr>
          <w:rFonts w:hint="eastAsia" w:ascii="仿宋" w:hAnsi="仿宋" w:eastAsia="仿宋"/>
          <w:sz w:val="28"/>
          <w:szCs w:val="28"/>
          <w:lang w:val="en-US" w:eastAsia="zh-CN"/>
        </w:rPr>
        <w:t>9</w:t>
      </w:r>
      <w:r>
        <w:rPr>
          <w:rFonts w:ascii="仿宋" w:hAnsi="仿宋" w:eastAsia="仿宋"/>
          <w:sz w:val="28"/>
          <w:szCs w:val="28"/>
        </w:rPr>
        <w:fldChar w:fldCharType="end"/>
      </w:r>
    </w:p>
    <w:p>
      <w:pPr>
        <w:pStyle w:val="11"/>
        <w:rPr>
          <w:rFonts w:ascii="仿宋" w:hAnsi="仿宋" w:eastAsia="仿宋" w:cstheme="minorBidi"/>
          <w:sz w:val="28"/>
          <w:szCs w:val="28"/>
        </w:rPr>
      </w:pPr>
      <w:r>
        <w:fldChar w:fldCharType="begin"/>
      </w:r>
      <w:r>
        <w:instrText xml:space="preserve"> HYPERLINK \l "_Toc15396604" </w:instrText>
      </w:r>
      <w:r>
        <w:fldChar w:fldCharType="separate"/>
      </w:r>
      <w:r>
        <w:rPr>
          <w:rStyle w:val="16"/>
          <w:rFonts w:hint="eastAsia" w:ascii="仿宋" w:hAnsi="仿宋" w:eastAsia="仿宋" w:cstheme="majorBidi"/>
          <w:bCs/>
          <w:sz w:val="28"/>
          <w:szCs w:val="28"/>
        </w:rPr>
        <w:t>二、</w:t>
      </w:r>
      <w:r>
        <w:rPr>
          <w:rStyle w:val="16"/>
          <w:rFonts w:hint="eastAsia" w:ascii="仿宋" w:hAnsi="仿宋" w:eastAsia="仿宋"/>
          <w:sz w:val="28"/>
          <w:szCs w:val="28"/>
        </w:rPr>
        <w:t>收</w:t>
      </w:r>
      <w:r>
        <w:rPr>
          <w:rStyle w:val="16"/>
          <w:rFonts w:hint="eastAsia" w:ascii="仿宋" w:hAnsi="仿宋" w:eastAsia="仿宋" w:cstheme="majorBidi"/>
          <w:bCs/>
          <w:sz w:val="28"/>
          <w:szCs w:val="28"/>
        </w:rPr>
        <w:t>入决算情况说明</w:t>
      </w:r>
      <w:r>
        <w:rPr>
          <w:rFonts w:ascii="仿宋" w:hAnsi="仿宋" w:eastAsia="仿宋"/>
          <w:sz w:val="28"/>
          <w:szCs w:val="28"/>
        </w:rPr>
        <w:tab/>
      </w:r>
      <w:r>
        <w:rPr>
          <w:rFonts w:hint="eastAsia" w:ascii="仿宋" w:hAnsi="仿宋" w:eastAsia="仿宋"/>
          <w:sz w:val="28"/>
          <w:szCs w:val="28"/>
          <w:lang w:val="en-US" w:eastAsia="zh-CN"/>
        </w:rPr>
        <w:t>9</w:t>
      </w:r>
      <w:r>
        <w:rPr>
          <w:rFonts w:ascii="仿宋" w:hAnsi="仿宋" w:eastAsia="仿宋"/>
          <w:sz w:val="28"/>
          <w:szCs w:val="28"/>
        </w:rPr>
        <w:fldChar w:fldCharType="end"/>
      </w:r>
    </w:p>
    <w:p>
      <w:pPr>
        <w:pStyle w:val="11"/>
        <w:rPr>
          <w:rFonts w:hint="eastAsia" w:ascii="仿宋" w:hAnsi="仿宋" w:eastAsia="仿宋" w:cstheme="minorBidi"/>
          <w:sz w:val="28"/>
          <w:szCs w:val="28"/>
          <w:lang w:val="en-US" w:eastAsia="zh-CN"/>
        </w:rPr>
      </w:pPr>
      <w:r>
        <w:fldChar w:fldCharType="begin"/>
      </w:r>
      <w:r>
        <w:instrText xml:space="preserve"> HYPERLINK \l "_Toc15396605" </w:instrText>
      </w:r>
      <w:r>
        <w:fldChar w:fldCharType="separate"/>
      </w:r>
      <w:r>
        <w:rPr>
          <w:rStyle w:val="16"/>
          <w:rFonts w:hint="eastAsia" w:ascii="仿宋" w:hAnsi="仿宋" w:eastAsia="仿宋" w:cstheme="majorBidi"/>
          <w:bCs/>
          <w:sz w:val="28"/>
          <w:szCs w:val="28"/>
        </w:rPr>
        <w:t>三、</w:t>
      </w:r>
      <w:r>
        <w:rPr>
          <w:rStyle w:val="16"/>
          <w:rFonts w:hint="eastAsia" w:ascii="仿宋" w:hAnsi="仿宋" w:eastAsia="仿宋"/>
          <w:sz w:val="28"/>
          <w:szCs w:val="28"/>
        </w:rPr>
        <w:t>支</w:t>
      </w:r>
      <w:r>
        <w:rPr>
          <w:rStyle w:val="16"/>
          <w:rFonts w:hint="eastAsia" w:ascii="仿宋" w:hAnsi="仿宋" w:eastAsia="仿宋" w:cstheme="majorBidi"/>
          <w:bCs/>
          <w:sz w:val="28"/>
          <w:szCs w:val="28"/>
        </w:rPr>
        <w:t>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fldChar w:fldCharType="begin"/>
      </w:r>
      <w:r>
        <w:instrText xml:space="preserve"> HYPERLINK \l "_Toc15396606"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1</w:t>
      </w:r>
    </w:p>
    <w:p>
      <w:pPr>
        <w:pStyle w:val="11"/>
        <w:rPr>
          <w:rFonts w:hint="eastAsia" w:ascii="仿宋" w:hAnsi="仿宋" w:eastAsia="仿宋" w:cstheme="minorBidi"/>
          <w:sz w:val="28"/>
          <w:szCs w:val="28"/>
          <w:lang w:val="en-US" w:eastAsia="zh-CN"/>
        </w:rPr>
      </w:pPr>
      <w:r>
        <w:fldChar w:fldCharType="begin"/>
      </w:r>
      <w:r>
        <w:instrText xml:space="preserve"> HYPERLINK \l "_Toc15396607" </w:instrText>
      </w:r>
      <w:r>
        <w:fldChar w:fldCharType="separate"/>
      </w:r>
      <w:r>
        <w:rPr>
          <w:rStyle w:val="16"/>
          <w:rFonts w:hint="eastAsia" w:ascii="仿宋" w:hAnsi="仿宋" w:eastAsia="仿宋"/>
          <w:sz w:val="28"/>
          <w:szCs w:val="28"/>
        </w:rPr>
        <w:t>五、一</w:t>
      </w:r>
      <w:r>
        <w:rPr>
          <w:rStyle w:val="16"/>
          <w:rFonts w:hint="eastAsia" w:ascii="仿宋" w:hAnsi="仿宋" w:eastAsia="仿宋" w:cstheme="majorBidi"/>
          <w:bCs/>
          <w:sz w:val="28"/>
          <w:szCs w:val="28"/>
        </w:rPr>
        <w:t>般公共预算财政拨款支出决算情况说明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2</w:t>
      </w:r>
    </w:p>
    <w:p>
      <w:pPr>
        <w:pStyle w:val="11"/>
        <w:rPr>
          <w:rFonts w:hint="eastAsia" w:ascii="仿宋" w:hAnsi="仿宋" w:eastAsia="仿宋" w:cstheme="minorBidi"/>
          <w:sz w:val="28"/>
          <w:szCs w:val="28"/>
          <w:lang w:val="en-US" w:eastAsia="zh-CN"/>
        </w:rPr>
      </w:pPr>
      <w:r>
        <w:fldChar w:fldCharType="begin"/>
      </w:r>
      <w:r>
        <w:instrText xml:space="preserve"> HYPERLINK \l "_Toc15396608" </w:instrText>
      </w:r>
      <w:r>
        <w:fldChar w:fldCharType="separate"/>
      </w:r>
      <w:r>
        <w:rPr>
          <w:rStyle w:val="16"/>
          <w:rFonts w:hint="eastAsia" w:ascii="仿宋" w:hAnsi="仿宋" w:eastAsia="仿宋"/>
          <w:sz w:val="28"/>
          <w:szCs w:val="28"/>
        </w:rPr>
        <w:t>六、一</w:t>
      </w:r>
      <w:r>
        <w:rPr>
          <w:rStyle w:val="16"/>
          <w:rFonts w:hint="eastAsia" w:ascii="仿宋" w:hAnsi="仿宋" w:eastAsia="仿宋" w:cstheme="majorBidi"/>
          <w:bCs/>
          <w:sz w:val="28"/>
          <w:szCs w:val="28"/>
        </w:rPr>
        <w:t>般公共预算财政拨款基本支出决算情况说明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4</w:t>
      </w:r>
    </w:p>
    <w:p>
      <w:pPr>
        <w:pStyle w:val="11"/>
        <w:rPr>
          <w:rFonts w:hint="eastAsia" w:ascii="仿宋" w:hAnsi="仿宋" w:eastAsia="仿宋" w:cstheme="minorBidi"/>
          <w:sz w:val="28"/>
          <w:szCs w:val="28"/>
          <w:lang w:val="en-US" w:eastAsia="zh-CN"/>
        </w:rPr>
      </w:pPr>
      <w:r>
        <w:fldChar w:fldCharType="begin"/>
      </w:r>
      <w:r>
        <w:instrText xml:space="preserve"> HYPERLINK \l "_Toc15396609" </w:instrText>
      </w:r>
      <w:r>
        <w:fldChar w:fldCharType="separate"/>
      </w:r>
      <w:r>
        <w:rPr>
          <w:rStyle w:val="16"/>
          <w:rFonts w:hint="eastAsia" w:ascii="仿宋" w:hAnsi="仿宋" w:eastAsia="仿宋"/>
          <w:sz w:val="28"/>
          <w:szCs w:val="28"/>
        </w:rPr>
        <w:t>七、</w:t>
      </w:r>
      <w:r>
        <w:rPr>
          <w:rStyle w:val="16"/>
          <w:rFonts w:ascii="仿宋" w:hAnsi="仿宋" w:eastAsia="仿宋"/>
          <w:sz w:val="28"/>
          <w:szCs w:val="28"/>
        </w:rPr>
        <w:t>“</w:t>
      </w:r>
      <w:r>
        <w:rPr>
          <w:rStyle w:val="16"/>
          <w:rFonts w:hint="eastAsia" w:ascii="仿宋" w:hAnsi="仿宋" w:eastAsia="仿宋" w:cstheme="majorBidi"/>
          <w:bCs/>
          <w:sz w:val="28"/>
          <w:szCs w:val="28"/>
        </w:rPr>
        <w:t>三公”经费财政拨款支出决算情况说明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4</w:t>
      </w:r>
    </w:p>
    <w:p>
      <w:pPr>
        <w:pStyle w:val="11"/>
        <w:rPr>
          <w:rFonts w:hint="eastAsia" w:ascii="仿宋" w:hAnsi="仿宋" w:eastAsia="仿宋" w:cstheme="minorBidi"/>
          <w:sz w:val="28"/>
          <w:szCs w:val="28"/>
          <w:lang w:val="en-US" w:eastAsia="zh-CN"/>
        </w:rPr>
      </w:pPr>
      <w:r>
        <w:fldChar w:fldCharType="begin"/>
      </w:r>
      <w:r>
        <w:instrText xml:space="preserve"> HYPERLINK \l "_Toc15396610"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5</w:t>
      </w:r>
    </w:p>
    <w:p>
      <w:pPr>
        <w:pStyle w:val="11"/>
        <w:rPr>
          <w:rFonts w:hint="eastAsia" w:ascii="仿宋" w:hAnsi="仿宋" w:eastAsia="仿宋" w:cstheme="minorBidi"/>
          <w:sz w:val="28"/>
          <w:szCs w:val="28"/>
          <w:lang w:val="en-US" w:eastAsia="zh-CN"/>
        </w:rPr>
      </w:pPr>
      <w:r>
        <w:fldChar w:fldCharType="begin"/>
      </w:r>
      <w:r>
        <w:instrText xml:space="preserve"> HYPERLINK \l "_Toc15396611" </w:instrText>
      </w:r>
      <w:r>
        <w:fldChar w:fldCharType="separate"/>
      </w:r>
      <w:r>
        <w:rPr>
          <w:rStyle w:val="16"/>
          <w:rFonts w:hint="eastAsia" w:ascii="仿宋" w:hAnsi="仿宋" w:eastAsia="仿宋" w:cstheme="majorBidi"/>
          <w:bCs/>
          <w:sz w:val="28"/>
          <w:szCs w:val="28"/>
        </w:rPr>
        <w:t>九、</w:t>
      </w:r>
      <w:r>
        <w:rPr>
          <w:rStyle w:val="16"/>
          <w:rFonts w:hint="eastAsia" w:ascii="仿宋" w:hAnsi="仿宋" w:eastAsia="仿宋"/>
          <w:sz w:val="28"/>
          <w:szCs w:val="28"/>
        </w:rPr>
        <w:t xml:space="preserve"> 国</w:t>
      </w:r>
      <w:r>
        <w:rPr>
          <w:rStyle w:val="16"/>
          <w:rFonts w:hint="eastAsia" w:ascii="仿宋" w:hAnsi="仿宋" w:eastAsia="仿宋" w:cstheme="majorBidi"/>
          <w:bCs/>
          <w:sz w:val="28"/>
          <w:szCs w:val="28"/>
        </w:rPr>
        <w:t>有资本经营预算支出决算情况说明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6</w:t>
      </w:r>
    </w:p>
    <w:p>
      <w:pPr>
        <w:pStyle w:val="11"/>
      </w:pPr>
      <w:r>
        <w:fldChar w:fldCharType="begin"/>
      </w:r>
      <w:r>
        <w:instrText xml:space="preserve"> HYPERLINK \l "_Toc15396612" </w:instrText>
      </w:r>
      <w:r>
        <w:fldChar w:fldCharType="separate"/>
      </w:r>
      <w:r>
        <w:rPr>
          <w:rStyle w:val="16"/>
          <w:rFonts w:hint="eastAsia" w:ascii="仿宋" w:hAnsi="仿宋" w:eastAsia="仿宋"/>
          <w:sz w:val="28"/>
          <w:szCs w:val="28"/>
        </w:rPr>
        <w:t>十</w:t>
      </w:r>
      <w:r>
        <w:rPr>
          <w:rStyle w:val="16"/>
          <w:rFonts w:hint="eastAsia" w:ascii="仿宋" w:hAnsi="仿宋" w:eastAsia="仿宋" w:cstheme="majorBidi"/>
          <w:bCs/>
          <w:sz w:val="28"/>
          <w:szCs w:val="28"/>
        </w:rPr>
        <w:t>、</w:t>
      </w:r>
      <w:r>
        <w:rPr>
          <w:rStyle w:val="16"/>
          <w:rFonts w:hint="eastAsia" w:ascii="仿宋" w:hAnsi="仿宋" w:eastAsia="仿宋" w:cstheme="majorBidi"/>
          <w:bCs/>
          <w:sz w:val="28"/>
          <w:szCs w:val="28"/>
          <w:lang w:eastAsia="zh-CN"/>
        </w:rPr>
        <w:t>预算绩效情况说明</w:t>
      </w:r>
      <w:r>
        <w:rPr>
          <w:rStyle w:val="16"/>
          <w:rFonts w:hint="eastAsia" w:ascii="仿宋" w:hAnsi="仿宋" w:eastAsia="仿宋" w:cstheme="majorBidi"/>
          <w:bCs/>
          <w:sz w:val="28"/>
          <w:szCs w:val="28"/>
          <w:lang w:val="en-US" w:eastAsia="zh-CN"/>
        </w:rPr>
        <w:t xml:space="preserve"> </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6</w:t>
      </w:r>
    </w:p>
    <w:p>
      <w:pPr>
        <w:pStyle w:val="11"/>
        <w:rPr>
          <w:rFonts w:hint="eastAsia" w:ascii="仿宋" w:hAnsi="仿宋" w:eastAsia="仿宋" w:cstheme="minorBidi"/>
          <w:sz w:val="28"/>
          <w:szCs w:val="28"/>
          <w:lang w:val="en-US" w:eastAsia="zh-CN"/>
        </w:rPr>
      </w:pPr>
      <w:r>
        <w:fldChar w:fldCharType="begin"/>
      </w:r>
      <w:r>
        <w:instrText xml:space="preserve"> HYPERLINK \l "_Toc15396612" </w:instrText>
      </w:r>
      <w:r>
        <w:fldChar w:fldCharType="separate"/>
      </w:r>
      <w:r>
        <w:rPr>
          <w:rStyle w:val="16"/>
          <w:rFonts w:hint="eastAsia" w:ascii="仿宋" w:hAnsi="仿宋" w:eastAsia="仿宋"/>
          <w:sz w:val="28"/>
          <w:szCs w:val="28"/>
        </w:rPr>
        <w:t>十</w:t>
      </w:r>
      <w:r>
        <w:rPr>
          <w:rStyle w:val="16"/>
          <w:rFonts w:hint="eastAsia" w:ascii="仿宋" w:hAnsi="仿宋" w:eastAsia="仿宋" w:cstheme="majorBidi"/>
          <w:bCs/>
          <w:sz w:val="28"/>
          <w:szCs w:val="28"/>
        </w:rPr>
        <w:t>一、其他重要事项的情况说明</w:t>
      </w:r>
      <w:r>
        <w:rPr>
          <w:rFonts w:ascii="仿宋" w:hAnsi="仿宋" w:eastAsia="仿宋"/>
          <w:sz w:val="28"/>
          <w:szCs w:val="28"/>
        </w:rPr>
        <w:tab/>
      </w:r>
      <w:r>
        <w:rPr>
          <w:rFonts w:hint="eastAsia" w:ascii="仿宋" w:hAnsi="仿宋" w:eastAsia="仿宋"/>
          <w:sz w:val="28"/>
          <w:szCs w:val="28"/>
          <w:lang w:val="en-US" w:eastAsia="zh-CN"/>
        </w:rPr>
        <w:t>1</w:t>
      </w:r>
      <w:r>
        <w:rPr>
          <w:rFonts w:ascii="仿宋" w:hAnsi="仿宋" w:eastAsia="仿宋"/>
          <w:sz w:val="28"/>
          <w:szCs w:val="28"/>
        </w:rPr>
        <w:fldChar w:fldCharType="end"/>
      </w:r>
      <w:r>
        <w:rPr>
          <w:rFonts w:hint="eastAsia" w:ascii="仿宋" w:hAnsi="仿宋" w:eastAsia="仿宋"/>
          <w:sz w:val="28"/>
          <w:szCs w:val="28"/>
          <w:lang w:val="en-US" w:eastAsia="zh-CN"/>
        </w:rPr>
        <w:t>8</w:t>
      </w:r>
    </w:p>
    <w:p>
      <w:pPr>
        <w:pStyle w:val="10"/>
        <w:rPr>
          <w:rFonts w:hint="eastAsia" w:eastAsia="仿宋" w:cstheme="minorBidi"/>
          <w:lang w:val="en-US" w:eastAsia="zh-CN"/>
        </w:rPr>
      </w:pPr>
      <w:r>
        <w:fldChar w:fldCharType="begin"/>
      </w:r>
      <w:r>
        <w:instrText xml:space="preserve"> HYPERLINK \l "_Toc15396613" </w:instrText>
      </w:r>
      <w:r>
        <w:fldChar w:fldCharType="separate"/>
      </w:r>
      <w:r>
        <w:rPr>
          <w:rStyle w:val="16"/>
          <w:rFonts w:hint="eastAsia"/>
          <w:bCs/>
          <w:kern w:val="44"/>
        </w:rPr>
        <w:t>第三部分</w:t>
      </w:r>
      <w:r>
        <w:rPr>
          <w:rStyle w:val="16"/>
          <w:rFonts w:hint="eastAsia"/>
        </w:rPr>
        <w:t xml:space="preserve"> 名</w:t>
      </w:r>
      <w:r>
        <w:rPr>
          <w:rStyle w:val="16"/>
          <w:rFonts w:hint="eastAsia"/>
          <w:bCs/>
          <w:kern w:val="44"/>
        </w:rPr>
        <w:t>词解释</w:t>
      </w:r>
      <w:r>
        <w:tab/>
      </w:r>
      <w:r>
        <w:rPr>
          <w:rFonts w:hint="eastAsia"/>
          <w:lang w:val="en-US" w:eastAsia="zh-CN"/>
        </w:rPr>
        <w:t>1</w:t>
      </w:r>
      <w:r>
        <w:fldChar w:fldCharType="end"/>
      </w:r>
      <w:r>
        <w:rPr>
          <w:rFonts w:hint="eastAsia"/>
          <w:lang w:val="en-US" w:eastAsia="zh-CN"/>
        </w:rPr>
        <w:t>9</w:t>
      </w:r>
    </w:p>
    <w:p>
      <w:pPr>
        <w:pStyle w:val="10"/>
        <w:rPr>
          <w:rFonts w:hint="eastAsia" w:eastAsia="仿宋" w:cstheme="minorBidi"/>
          <w:lang w:val="en-US" w:eastAsia="zh-CN"/>
        </w:rPr>
      </w:pPr>
      <w:r>
        <w:fldChar w:fldCharType="begin"/>
      </w:r>
      <w:r>
        <w:instrText xml:space="preserve"> HYPERLINK \l "_Toc15396614" </w:instrText>
      </w:r>
      <w:r>
        <w:fldChar w:fldCharType="separate"/>
      </w:r>
      <w:r>
        <w:rPr>
          <w:rStyle w:val="16"/>
          <w:rFonts w:hint="eastAsia"/>
        </w:rPr>
        <w:t>第</w:t>
      </w:r>
      <w:r>
        <w:rPr>
          <w:rStyle w:val="16"/>
          <w:rFonts w:hint="eastAsia"/>
          <w:bCs/>
          <w:kern w:val="44"/>
        </w:rPr>
        <w:t>四部分</w:t>
      </w:r>
      <w:r>
        <w:rPr>
          <w:rStyle w:val="16"/>
          <w:bCs/>
          <w:kern w:val="44"/>
        </w:rPr>
        <w:t xml:space="preserve"> </w:t>
      </w:r>
      <w:r>
        <w:rPr>
          <w:rStyle w:val="16"/>
          <w:rFonts w:hint="eastAsia"/>
          <w:bCs/>
          <w:kern w:val="44"/>
        </w:rPr>
        <w:t>附件</w:t>
      </w:r>
      <w:r>
        <w:tab/>
      </w:r>
      <w:r>
        <w:rPr>
          <w:rFonts w:hint="eastAsia"/>
          <w:lang w:val="en-US" w:eastAsia="zh-CN"/>
        </w:rPr>
        <w:t>2</w:t>
      </w:r>
      <w:r>
        <w:fldChar w:fldCharType="end"/>
      </w:r>
      <w:r>
        <w:rPr>
          <w:rFonts w:hint="eastAsia"/>
          <w:lang w:val="en-US" w:eastAsia="zh-CN"/>
        </w:rPr>
        <w:t>1</w:t>
      </w:r>
    </w:p>
    <w:p>
      <w:pPr>
        <w:pStyle w:val="11"/>
        <w:rPr>
          <w:rFonts w:hint="eastAsia" w:ascii="仿宋" w:hAnsi="仿宋" w:eastAsia="仿宋" w:cstheme="minorBidi"/>
          <w:sz w:val="28"/>
          <w:szCs w:val="28"/>
          <w:lang w:val="en-US" w:eastAsia="zh-CN"/>
        </w:rPr>
      </w:pPr>
      <w:r>
        <w:fldChar w:fldCharType="begin"/>
      </w:r>
      <w:r>
        <w:instrText xml:space="preserve"> HYPERLINK \l "_Toc15396615" </w:instrText>
      </w:r>
      <w:r>
        <w:fldChar w:fldCharType="separate"/>
      </w:r>
      <w:r>
        <w:rPr>
          <w:rStyle w:val="16"/>
          <w:rFonts w:hint="eastAsia" w:ascii="仿宋" w:hAnsi="仿宋" w:eastAsia="仿宋"/>
          <w:kern w:val="44"/>
          <w:sz w:val="28"/>
          <w:szCs w:val="28"/>
        </w:rPr>
        <w:t>附件</w:t>
      </w:r>
      <w:r>
        <w:rPr>
          <w:rStyle w:val="16"/>
          <w:rFonts w:ascii="仿宋" w:hAnsi="仿宋" w:eastAsia="仿宋"/>
          <w:kern w:val="44"/>
          <w:sz w:val="28"/>
          <w:szCs w:val="28"/>
        </w:rPr>
        <w:t>1</w:t>
      </w:r>
      <w:r>
        <w:rPr>
          <w:rFonts w:ascii="仿宋" w:hAnsi="仿宋" w:eastAsia="仿宋"/>
          <w:sz w:val="28"/>
          <w:szCs w:val="28"/>
        </w:rPr>
        <w:tab/>
      </w:r>
      <w:r>
        <w:rPr>
          <w:rFonts w:hint="eastAsia" w:ascii="仿宋" w:hAnsi="仿宋" w:eastAsia="仿宋"/>
          <w:sz w:val="28"/>
          <w:szCs w:val="28"/>
          <w:lang w:val="en-US" w:eastAsia="zh-CN"/>
        </w:rPr>
        <w:t>2</w:t>
      </w:r>
      <w:r>
        <w:rPr>
          <w:rFonts w:ascii="仿宋" w:hAnsi="仿宋" w:eastAsia="仿宋"/>
          <w:sz w:val="28"/>
          <w:szCs w:val="28"/>
        </w:rPr>
        <w:fldChar w:fldCharType="end"/>
      </w:r>
      <w:r>
        <w:rPr>
          <w:rFonts w:hint="eastAsia" w:ascii="仿宋" w:hAnsi="仿宋" w:eastAsia="仿宋"/>
          <w:sz w:val="28"/>
          <w:szCs w:val="28"/>
          <w:lang w:val="en-US" w:eastAsia="zh-CN"/>
        </w:rPr>
        <w:t>1</w:t>
      </w:r>
    </w:p>
    <w:p>
      <w:pPr>
        <w:pStyle w:val="11"/>
        <w:rPr>
          <w:rFonts w:hint="eastAsia" w:ascii="仿宋" w:hAnsi="仿宋" w:eastAsia="仿宋" w:cstheme="minorBidi"/>
          <w:sz w:val="28"/>
          <w:szCs w:val="28"/>
          <w:lang w:val="en-US" w:eastAsia="zh-CN"/>
        </w:rPr>
      </w:pPr>
      <w:r>
        <w:fldChar w:fldCharType="begin"/>
      </w:r>
      <w:r>
        <w:instrText xml:space="preserve"> HYPERLINK \l "_Toc15396617" </w:instrText>
      </w:r>
      <w:r>
        <w:fldChar w:fldCharType="separate"/>
      </w:r>
      <w:r>
        <w:rPr>
          <w:rStyle w:val="16"/>
          <w:rFonts w:hint="eastAsia" w:ascii="仿宋" w:hAnsi="仿宋" w:eastAsia="仿宋"/>
          <w:kern w:val="44"/>
          <w:sz w:val="28"/>
          <w:szCs w:val="28"/>
        </w:rPr>
        <w:t>附件</w:t>
      </w:r>
      <w:r>
        <w:rPr>
          <w:rStyle w:val="16"/>
          <w:rFonts w:ascii="仿宋" w:hAnsi="仿宋" w:eastAsia="仿宋"/>
          <w:kern w:val="44"/>
          <w:sz w:val="28"/>
          <w:szCs w:val="28"/>
        </w:rPr>
        <w:t>2</w:t>
      </w:r>
      <w:r>
        <w:rPr>
          <w:rFonts w:ascii="仿宋" w:hAnsi="仿宋" w:eastAsia="仿宋"/>
          <w:sz w:val="28"/>
          <w:szCs w:val="28"/>
        </w:rPr>
        <w:tab/>
      </w:r>
      <w:r>
        <w:rPr>
          <w:rFonts w:hint="eastAsia" w:ascii="仿宋" w:hAnsi="仿宋" w:eastAsia="仿宋"/>
          <w:sz w:val="28"/>
          <w:szCs w:val="28"/>
          <w:lang w:val="en-US" w:eastAsia="zh-CN"/>
        </w:rPr>
        <w:t>2</w:t>
      </w:r>
      <w:r>
        <w:rPr>
          <w:rFonts w:ascii="仿宋" w:hAnsi="仿宋" w:eastAsia="仿宋"/>
          <w:sz w:val="28"/>
          <w:szCs w:val="28"/>
        </w:rPr>
        <w:fldChar w:fldCharType="end"/>
      </w:r>
      <w:r>
        <w:rPr>
          <w:rFonts w:hint="eastAsia" w:ascii="仿宋" w:hAnsi="仿宋" w:eastAsia="仿宋"/>
          <w:sz w:val="28"/>
          <w:szCs w:val="28"/>
          <w:lang w:val="en-US" w:eastAsia="zh-CN"/>
        </w:rPr>
        <w:t>1</w:t>
      </w:r>
    </w:p>
    <w:p>
      <w:pPr>
        <w:pStyle w:val="10"/>
        <w:rPr>
          <w:rFonts w:hint="eastAsia" w:eastAsia="仿宋" w:cstheme="minorBidi"/>
          <w:lang w:val="en-US" w:eastAsia="zh-CN"/>
        </w:rPr>
      </w:pPr>
      <w:r>
        <w:fldChar w:fldCharType="begin"/>
      </w:r>
      <w:r>
        <w:instrText xml:space="preserve"> HYPERLINK \l "_Toc15396618" </w:instrText>
      </w:r>
      <w:r>
        <w:fldChar w:fldCharType="separate"/>
      </w:r>
      <w:r>
        <w:rPr>
          <w:rStyle w:val="16"/>
          <w:rFonts w:hint="eastAsia"/>
        </w:rPr>
        <w:t>第</w:t>
      </w:r>
      <w:r>
        <w:rPr>
          <w:rStyle w:val="16"/>
          <w:rFonts w:hint="eastAsia"/>
          <w:bCs/>
          <w:kern w:val="44"/>
        </w:rPr>
        <w:t>五部分</w:t>
      </w:r>
      <w:r>
        <w:rPr>
          <w:rStyle w:val="16"/>
          <w:bCs/>
          <w:kern w:val="44"/>
        </w:rPr>
        <w:t xml:space="preserve"> </w:t>
      </w:r>
      <w:r>
        <w:rPr>
          <w:rStyle w:val="16"/>
          <w:rFonts w:hint="eastAsia"/>
          <w:bCs/>
          <w:kern w:val="44"/>
        </w:rPr>
        <w:t>附表</w:t>
      </w:r>
      <w:r>
        <w:tab/>
      </w:r>
      <w:r>
        <w:fldChar w:fldCharType="begin"/>
      </w:r>
      <w:r>
        <w:instrText xml:space="preserve"> PAGEREF _Toc15396618 \h </w:instrText>
      </w:r>
      <w:r>
        <w:fldChar w:fldCharType="separate"/>
      </w:r>
      <w:r>
        <w:rPr>
          <w:rFonts w:hint="eastAsia"/>
          <w:lang w:val="en-US" w:eastAsia="zh-CN"/>
        </w:rPr>
        <w:t>3</w:t>
      </w:r>
      <w:r>
        <w:fldChar w:fldCharType="end"/>
      </w:r>
      <w:r>
        <w:fldChar w:fldCharType="end"/>
      </w:r>
      <w:r>
        <w:rPr>
          <w:rFonts w:hint="eastAsia"/>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一、</w:t>
      </w:r>
      <w:r>
        <w:fldChar w:fldCharType="begin"/>
      </w:r>
      <w:r>
        <w:instrText xml:space="preserve"> HYPERLINK \l "_Toc15396619" </w:instrText>
      </w:r>
      <w:r>
        <w:fldChar w:fldCharType="separate"/>
      </w:r>
      <w:r>
        <w:rPr>
          <w:rStyle w:val="16"/>
          <w:rFonts w:hint="eastAsia" w:ascii="仿宋" w:hAnsi="仿宋" w:eastAsia="仿宋"/>
          <w:sz w:val="28"/>
          <w:szCs w:val="28"/>
        </w:rPr>
        <w:t>收入支出决算总表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二、</w:t>
      </w:r>
      <w:r>
        <w:fldChar w:fldCharType="begin"/>
      </w:r>
      <w:r>
        <w:instrText xml:space="preserve"> HYPERLINK \l "_Toc15396620" </w:instrText>
      </w:r>
      <w:r>
        <w:fldChar w:fldCharType="separate"/>
      </w:r>
      <w:r>
        <w:rPr>
          <w:rStyle w:val="16"/>
          <w:rFonts w:hint="eastAsia" w:ascii="仿宋" w:hAnsi="仿宋" w:eastAsia="仿宋"/>
          <w:sz w:val="28"/>
          <w:szCs w:val="28"/>
        </w:rPr>
        <w:t>收入总表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三、</w:t>
      </w:r>
      <w:r>
        <w:fldChar w:fldCharType="begin"/>
      </w:r>
      <w:r>
        <w:instrText xml:space="preserve"> HYPERLINK \l "_Toc15396621" </w:instrText>
      </w:r>
      <w:r>
        <w:fldChar w:fldCharType="separate"/>
      </w:r>
      <w:r>
        <w:rPr>
          <w:rStyle w:val="16"/>
          <w:rFonts w:hint="eastAsia" w:ascii="仿宋" w:hAnsi="仿宋" w:eastAsia="仿宋"/>
          <w:sz w:val="28"/>
          <w:szCs w:val="28"/>
        </w:rPr>
        <w:t>支出总表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四、</w:t>
      </w:r>
      <w:r>
        <w:fldChar w:fldCharType="begin"/>
      </w:r>
      <w:r>
        <w:instrText xml:space="preserve"> HYPERLINK \l "_Toc15396622" </w:instrText>
      </w:r>
      <w:r>
        <w:fldChar w:fldCharType="separate"/>
      </w:r>
      <w:r>
        <w:rPr>
          <w:rStyle w:val="16"/>
          <w:rFonts w:hint="eastAsia" w:ascii="仿宋" w:hAnsi="仿宋" w:eastAsia="仿宋"/>
          <w:sz w:val="28"/>
          <w:szCs w:val="28"/>
        </w:rPr>
        <w:t>财政拨款收入支出决算总表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sz w:val="28"/>
          <w:szCs w:val="28"/>
          <w:lang w:val="en-US" w:eastAsia="zh-CN"/>
        </w:rPr>
      </w:pPr>
      <w:r>
        <w:rPr>
          <w:rFonts w:hint="eastAsia" w:ascii="仿宋" w:hAnsi="仿宋" w:eastAsia="仿宋"/>
          <w:sz w:val="28"/>
          <w:szCs w:val="28"/>
        </w:rPr>
        <w:t>五、</w:t>
      </w:r>
      <w:r>
        <w:fldChar w:fldCharType="begin"/>
      </w:r>
      <w:r>
        <w:instrText xml:space="preserve"> HYPERLINK \l "_Toc15396623" </w:instrText>
      </w:r>
      <w:r>
        <w:fldChar w:fldCharType="separate"/>
      </w:r>
      <w:r>
        <w:rPr>
          <w:rFonts w:hint="eastAsia" w:ascii="仿宋" w:hAnsi="仿宋" w:eastAsia="仿宋"/>
          <w:sz w:val="28"/>
          <w:szCs w:val="28"/>
        </w:rPr>
        <w:t>财政拨款支出决算明细表（政府经济分类科目）</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六、</w:t>
      </w:r>
      <w:r>
        <w:fldChar w:fldCharType="begin"/>
      </w:r>
      <w:r>
        <w:instrText xml:space="preserve"> HYPERLINK \l "_Toc15396624" </w:instrText>
      </w:r>
      <w:r>
        <w:fldChar w:fldCharType="separate"/>
      </w:r>
      <w:r>
        <w:rPr>
          <w:rStyle w:val="16"/>
          <w:rFonts w:hint="eastAsia" w:ascii="仿宋" w:hAnsi="仿宋" w:eastAsia="仿宋"/>
          <w:sz w:val="28"/>
          <w:szCs w:val="28"/>
        </w:rPr>
        <w:t>一般公共预算财政拨款支出决算表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七、</w:t>
      </w:r>
      <w:r>
        <w:fldChar w:fldCharType="begin"/>
      </w:r>
      <w:r>
        <w:instrText xml:space="preserve"> HYPERLINK \l "_Toc15396625" </w:instrText>
      </w:r>
      <w:r>
        <w:fldChar w:fldCharType="separate"/>
      </w:r>
      <w:r>
        <w:rPr>
          <w:rStyle w:val="16"/>
          <w:rFonts w:hint="eastAsia" w:ascii="仿宋" w:hAnsi="仿宋" w:eastAsia="仿宋"/>
          <w:sz w:val="28"/>
          <w:szCs w:val="28"/>
        </w:rPr>
        <w:t>一般公共预算财政拨款支出决算明细表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八、</w:t>
      </w:r>
      <w:r>
        <w:fldChar w:fldCharType="begin"/>
      </w:r>
      <w:r>
        <w:instrText xml:space="preserve"> HYPERLINK \l "_Toc15396626" </w:instrText>
      </w:r>
      <w:r>
        <w:fldChar w:fldCharType="separate"/>
      </w:r>
      <w:r>
        <w:rPr>
          <w:rStyle w:val="16"/>
          <w:rFonts w:hint="eastAsia" w:ascii="仿宋" w:hAnsi="仿宋" w:eastAsia="仿宋"/>
          <w:sz w:val="28"/>
          <w:szCs w:val="28"/>
        </w:rPr>
        <w:t>一般公共预算财政拨款基本支出决算表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default" w:ascii="仿宋" w:hAnsi="仿宋" w:eastAsia="仿宋" w:cstheme="minorBidi"/>
          <w:sz w:val="28"/>
          <w:szCs w:val="28"/>
          <w:lang w:val="en-US" w:eastAsia="zh-CN"/>
        </w:rPr>
      </w:pPr>
      <w:r>
        <w:rPr>
          <w:rFonts w:hint="eastAsia" w:ascii="仿宋" w:hAnsi="仿宋" w:eastAsia="仿宋"/>
          <w:sz w:val="28"/>
          <w:szCs w:val="28"/>
        </w:rPr>
        <w:t>九、</w:t>
      </w:r>
      <w:r>
        <w:fldChar w:fldCharType="begin"/>
      </w:r>
      <w:r>
        <w:instrText xml:space="preserve"> HYPERLINK \l "_Toc15396627" </w:instrText>
      </w:r>
      <w:r>
        <w:fldChar w:fldCharType="separate"/>
      </w:r>
      <w:r>
        <w:rPr>
          <w:rStyle w:val="16"/>
          <w:rFonts w:hint="eastAsia" w:ascii="仿宋" w:hAnsi="仿宋" w:eastAsia="仿宋"/>
          <w:sz w:val="28"/>
          <w:szCs w:val="28"/>
        </w:rPr>
        <w:t>一般公共预算财政拨款项目支出决算表</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30</w:t>
      </w:r>
    </w:p>
    <w:p>
      <w:pPr>
        <w:pStyle w:val="11"/>
        <w:rPr>
          <w:rFonts w:hint="default" w:ascii="仿宋" w:hAnsi="仿宋" w:eastAsia="仿宋" w:cstheme="minorBidi"/>
          <w:sz w:val="28"/>
          <w:szCs w:val="28"/>
          <w:lang w:val="en-US" w:eastAsia="zh-CN"/>
        </w:rPr>
      </w:pPr>
      <w:r>
        <w:rPr>
          <w:rFonts w:hint="eastAsia" w:ascii="仿宋" w:hAnsi="仿宋" w:eastAsia="仿宋"/>
          <w:sz w:val="28"/>
          <w:szCs w:val="28"/>
        </w:rPr>
        <w:t>十、</w:t>
      </w:r>
      <w:r>
        <w:fldChar w:fldCharType="begin"/>
      </w:r>
      <w:r>
        <w:instrText xml:space="preserve"> HYPERLINK \l "_Toc15396628" </w:instrText>
      </w:r>
      <w:r>
        <w:fldChar w:fldCharType="separate"/>
      </w:r>
      <w:r>
        <w:rPr>
          <w:rStyle w:val="16"/>
          <w:rFonts w:hint="eastAsia" w:ascii="仿宋" w:hAnsi="仿宋" w:eastAsia="仿宋"/>
          <w:sz w:val="28"/>
          <w:szCs w:val="28"/>
        </w:rPr>
        <w:t>一般公共预算财政拨款“三公”经费支出决算表</w:t>
      </w:r>
      <w:r>
        <w:rPr>
          <w:rFonts w:ascii="仿宋" w:hAnsi="仿宋" w:eastAsia="仿宋"/>
          <w:sz w:val="28"/>
          <w:szCs w:val="28"/>
        </w:rPr>
        <w:tab/>
      </w:r>
      <w:r>
        <w:rPr>
          <w:rFonts w:ascii="仿宋" w:hAnsi="仿宋" w:eastAsia="仿宋"/>
          <w:sz w:val="28"/>
          <w:szCs w:val="28"/>
        </w:rPr>
        <w:fldChar w:fldCharType="end"/>
      </w:r>
      <w:r>
        <w:rPr>
          <w:rFonts w:hint="eastAsia" w:ascii="仿宋" w:hAnsi="仿宋" w:eastAsia="仿宋"/>
          <w:sz w:val="28"/>
          <w:szCs w:val="28"/>
          <w:lang w:val="en-US" w:eastAsia="zh-CN"/>
        </w:rPr>
        <w:t>30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十一、</w:t>
      </w:r>
      <w:r>
        <w:fldChar w:fldCharType="begin"/>
      </w:r>
      <w:r>
        <w:instrText xml:space="preserve"> HYPERLINK \l "_Toc15396629" </w:instrText>
      </w:r>
      <w:r>
        <w:fldChar w:fldCharType="separate"/>
      </w:r>
      <w:r>
        <w:rPr>
          <w:rStyle w:val="16"/>
          <w:rFonts w:hint="eastAsia" w:ascii="仿宋" w:hAnsi="仿宋" w:eastAsia="仿宋"/>
          <w:sz w:val="28"/>
          <w:szCs w:val="28"/>
        </w:rPr>
        <w:t>政府性基金预算财政拨款收入支出决算表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8"/>
          <w:szCs w:val="28"/>
          <w:lang w:val="en-US" w:eastAsia="zh-CN"/>
        </w:rPr>
      </w:pPr>
      <w:r>
        <w:rPr>
          <w:rFonts w:hint="eastAsia" w:ascii="仿宋" w:hAnsi="仿宋" w:eastAsia="仿宋"/>
          <w:sz w:val="28"/>
          <w:szCs w:val="28"/>
        </w:rPr>
        <w:t>十二、</w:t>
      </w:r>
      <w:r>
        <w:fldChar w:fldCharType="begin"/>
      </w:r>
      <w:r>
        <w:instrText xml:space="preserve"> HYPERLINK \l "_Toc15396630" </w:instrText>
      </w:r>
      <w:r>
        <w:fldChar w:fldCharType="separate"/>
      </w:r>
      <w:r>
        <w:rPr>
          <w:rStyle w:val="16"/>
          <w:rFonts w:hint="eastAsia" w:ascii="仿宋" w:hAnsi="仿宋" w:eastAsia="仿宋"/>
          <w:sz w:val="28"/>
          <w:szCs w:val="28"/>
        </w:rPr>
        <w:t>政府性基金预算财政拨款“三公”经费支出决算表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pStyle w:val="11"/>
        <w:rPr>
          <w:rFonts w:hint="eastAsia" w:ascii="仿宋" w:hAnsi="仿宋" w:eastAsia="仿宋" w:cstheme="minorBidi"/>
          <w:sz w:val="24"/>
          <w:lang w:val="en-US" w:eastAsia="zh-CN"/>
        </w:rPr>
      </w:pPr>
      <w:r>
        <w:rPr>
          <w:rFonts w:hint="eastAsia" w:ascii="仿宋" w:hAnsi="仿宋" w:eastAsia="仿宋"/>
          <w:sz w:val="28"/>
          <w:szCs w:val="28"/>
        </w:rPr>
        <w:t>十三、</w:t>
      </w:r>
      <w:r>
        <w:fldChar w:fldCharType="begin"/>
      </w:r>
      <w:r>
        <w:instrText xml:space="preserve"> HYPERLINK \l "_Toc15396631" </w:instrText>
      </w:r>
      <w:r>
        <w:fldChar w:fldCharType="separate"/>
      </w:r>
      <w:r>
        <w:rPr>
          <w:rStyle w:val="16"/>
          <w:rFonts w:hint="eastAsia" w:ascii="仿宋" w:hAnsi="仿宋" w:eastAsia="仿宋"/>
          <w:sz w:val="28"/>
          <w:szCs w:val="28"/>
        </w:rPr>
        <w:t>国有资本经营预算支出决算表</w:t>
      </w:r>
      <w:r>
        <w:rPr>
          <w:rFonts w:ascii="仿宋" w:hAnsi="仿宋" w:eastAsia="仿宋"/>
          <w:sz w:val="28"/>
          <w:szCs w:val="28"/>
        </w:rPr>
        <w:tab/>
      </w:r>
      <w:r>
        <w:rPr>
          <w:rFonts w:hint="eastAsia" w:ascii="仿宋" w:hAnsi="仿宋" w:eastAsia="仿宋"/>
          <w:sz w:val="28"/>
          <w:szCs w:val="28"/>
          <w:lang w:val="en-US" w:eastAsia="zh-CN"/>
        </w:rPr>
        <w:t>3</w:t>
      </w:r>
      <w:r>
        <w:rPr>
          <w:rFonts w:ascii="仿宋" w:hAnsi="仿宋" w:eastAsia="仿宋"/>
          <w:sz w:val="28"/>
          <w:szCs w:val="28"/>
        </w:rPr>
        <w:fldChar w:fldCharType="end"/>
      </w:r>
      <w:r>
        <w:rPr>
          <w:rFonts w:hint="eastAsia" w:ascii="仿宋" w:hAnsi="仿宋" w:eastAsia="仿宋"/>
          <w:sz w:val="28"/>
          <w:szCs w:val="28"/>
          <w:lang w:val="en-US" w:eastAsia="zh-CN"/>
        </w:rPr>
        <w:t>0</w:t>
      </w:r>
    </w:p>
    <w:p>
      <w:pPr>
        <w:widowControl/>
        <w:jc w:val="left"/>
        <w:rPr>
          <w:rFonts w:ascii="仿宋" w:hAnsi="仿宋" w:eastAsia="仿宋"/>
          <w:color w:val="000000"/>
          <w:sz w:val="24"/>
        </w:rPr>
      </w:pPr>
      <w:r>
        <w:rPr>
          <w:rFonts w:ascii="仿宋" w:hAnsi="仿宋" w:eastAsia="仿宋"/>
          <w:color w:val="000000"/>
          <w:sz w:val="24"/>
        </w:rPr>
        <w:fldChar w:fldCharType="end"/>
      </w:r>
    </w:p>
    <w:p>
      <w:pPr>
        <w:widowControl/>
        <w:jc w:val="left"/>
        <w:rPr>
          <w:rFonts w:ascii="黑体" w:hAnsi="黑体" w:eastAsia="黑体"/>
          <w:bCs/>
          <w:kern w:val="44"/>
          <w:sz w:val="44"/>
          <w:szCs w:val="44"/>
        </w:rPr>
      </w:pPr>
      <w:bookmarkStart w:id="12" w:name="_Toc15377196"/>
      <w:bookmarkStart w:id="13" w:name="_Toc15396599"/>
      <w:r>
        <w:rPr>
          <w:rFonts w:ascii="黑体" w:hAnsi="黑体" w:eastAsia="黑体"/>
          <w:b/>
        </w:rPr>
        <w:br w:type="page"/>
      </w:r>
    </w:p>
    <w:p>
      <w:pPr>
        <w:pStyle w:val="2"/>
        <w:jc w:val="center"/>
        <w:rPr>
          <w:rStyle w:val="25"/>
          <w:rFonts w:ascii="黑体" w:hAnsi="黑体" w:eastAsia="黑体"/>
          <w:b/>
          <w:bCs w:val="0"/>
        </w:rPr>
      </w:pPr>
      <w:r>
        <w:rPr>
          <w:rFonts w:hint="eastAsia" w:ascii="黑体" w:hAnsi="黑体" w:eastAsia="黑体"/>
          <w:b w:val="0"/>
        </w:rPr>
        <w:t xml:space="preserve">第一部分 </w:t>
      </w:r>
      <w:r>
        <w:rPr>
          <w:rStyle w:val="25"/>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3"/>
        <w:numPr>
          <w:ilvl w:val="0"/>
          <w:numId w:val="1"/>
        </w:numPr>
        <w:rPr>
          <w:rStyle w:val="26"/>
          <w:rFonts w:hint="eastAsia" w:ascii="黑体" w:hAnsi="黑体" w:eastAsia="黑体"/>
          <w:b w:val="0"/>
          <w:bCs w:val="0"/>
        </w:rPr>
      </w:pPr>
      <w:bookmarkStart w:id="14" w:name="_Toc15377197"/>
      <w:bookmarkStart w:id="15" w:name="_Toc15396600"/>
      <w:r>
        <w:rPr>
          <w:rFonts w:hint="eastAsia" w:ascii="黑体" w:hAnsi="黑体" w:eastAsia="黑体"/>
          <w:b w:val="0"/>
          <w:color w:val="000000"/>
        </w:rPr>
        <w:t>基</w:t>
      </w:r>
      <w:r>
        <w:rPr>
          <w:rStyle w:val="26"/>
          <w:rFonts w:hint="eastAsia" w:ascii="黑体" w:hAnsi="黑体" w:eastAsia="黑体"/>
          <w:b w:val="0"/>
          <w:bCs w:val="0"/>
        </w:rPr>
        <w:t>本职能及主要工作</w:t>
      </w:r>
      <w:bookmarkEnd w:id="14"/>
      <w:bookmarkEnd w:id="15"/>
    </w:p>
    <w:p>
      <w:pPr>
        <w:numPr>
          <w:ilvl w:val="0"/>
          <w:numId w:val="0"/>
        </w:numPr>
        <w:rPr>
          <w:rFonts w:hint="default" w:eastAsia="宋体"/>
          <w:lang w:val="en-US" w:eastAsia="zh-CN"/>
        </w:rPr>
      </w:pPr>
      <w:r>
        <w:rPr>
          <w:rFonts w:hint="eastAsia"/>
          <w:lang w:val="en-US" w:eastAsia="zh-CN"/>
        </w:rPr>
        <w:t xml:space="preserve">     </w:t>
      </w:r>
      <w:r>
        <w:rPr>
          <w:rFonts w:hint="eastAsia" w:ascii="仿宋" w:hAnsi="仿宋" w:eastAsia="仿宋"/>
          <w:bCs/>
          <w:color w:val="000000"/>
          <w:sz w:val="32"/>
          <w:szCs w:val="32"/>
        </w:rPr>
        <w:t>（一）主要职能。</w:t>
      </w:r>
    </w:p>
    <w:p>
      <w:pPr>
        <w:widowControl/>
        <w:spacing w:line="315" w:lineRule="atLeast"/>
        <w:ind w:firstLine="480"/>
        <w:rPr>
          <w:rFonts w:hint="eastAsia" w:ascii="Calibri" w:hAnsi="Calibri" w:eastAsia="仿宋_GB2312"/>
          <w:sz w:val="30"/>
          <w:szCs w:val="30"/>
        </w:rPr>
      </w:pPr>
      <w:bookmarkStart w:id="16" w:name="_Toc15377199"/>
      <w:bookmarkStart w:id="17" w:name="_Toc15378446"/>
      <w:r>
        <w:rPr>
          <w:rFonts w:hint="eastAsia" w:ascii="Calibri" w:hAnsi="Calibri" w:eastAsia="仿宋_GB2312"/>
          <w:sz w:val="30"/>
          <w:szCs w:val="30"/>
        </w:rPr>
        <w:t>达州市达川区安全生产监督管理局</w:t>
      </w:r>
      <w:r>
        <w:rPr>
          <w:rFonts w:hint="eastAsia" w:ascii="仿宋_GB2312" w:hAnsi="Calibri" w:eastAsia="仿宋_GB2312"/>
          <w:sz w:val="30"/>
          <w:szCs w:val="30"/>
          <w:lang w:eastAsia="zh-CN"/>
        </w:rPr>
        <w:t>基本职能</w:t>
      </w:r>
      <w:r>
        <w:rPr>
          <w:rFonts w:hint="eastAsia" w:ascii="仿宋_GB2312" w:hAnsi="Calibri" w:eastAsia="仿宋_GB2312"/>
          <w:sz w:val="30"/>
          <w:szCs w:val="30"/>
        </w:rPr>
        <w:t>：</w:t>
      </w:r>
      <w:r>
        <w:rPr>
          <w:rFonts w:hint="eastAsia" w:ascii="仿宋_GB2312" w:hAnsi="宋体" w:eastAsia="仿宋_GB2312"/>
          <w:color w:val="000000"/>
          <w:kern w:val="0"/>
          <w:sz w:val="32"/>
          <w:szCs w:val="32"/>
        </w:rPr>
        <w:t>承担区安全生产委员会办公室的工作。研究提出安全生产重要措施的建议；监督检查、指导协调区级有关部门和乡镇人民政府的安全生产工作；组织全区安全生产大检查和专项督查；参与研究有关部门在产业政策、资金投入、科技发展等工作中涉及安全生产的相关工作；承办区安全生产委员会召开的会议和重要活动，督促检查区安全生产委员会会议决定事项的贯彻落实情况；组织全区安全生产年度目标的制定、分解和考核。负责综合监督管理全区安全生产工作。组织起草安全生产方面的规范性文件，并组织实施。负责职责范围内非煤矿矿山企业和危险化学品、烟花爆竹生产（批发）企业安全生产（经营）许可证办理材料的初审上报和管理工作。（4）负责烟花爆竹零售经营许可证的颁发工作。负责第三类非药品类易制毒化学品经营的备案证明颁发工作。依法行使安全生产综合监督管理职权，按照分级、属地原则，指导、协调和监督有关部门安全生产监督管理工作，对乡镇安全生产监督管理部门进行业务指导，制定全区安全生产发展规划；定期分析和预测全区安全生产形势，研究、协调和解决安全生产中的重大问题。负责组织区政府安全生产大检查和专项督查，根据区政府授权，依法组织事故调查处理和办理结案工作，并监督事故查处的落实情况；负责发布全区安全生产信息，综合管理全区生产安全伤亡事故调度统计上报工作；组织、指挥和协调安全生产应急救援工作。负责危险化学品安全生产监督管理工作。具体负责：危险化学品生产、经营、运输、储存企业设立及其新建、改建、扩建的安全审查工作；危险化学品的登记工作；危险化学品从业人员上岗培训和上岗证发放工作；危险化学品事故应急救援的组织和协调工作；上述事项的监督检查工作。负责烟花爆竹安全生产监督管理工作。监督检查烟花爆竹生产经营单位贯彻执行安全生产法律法规情况；组织查处不具备安全生产基本条件的烟花爆竹生产经营单位；组织查处烟花爆竹生产安全事故。组织实施对工矿商贸生产经营单位安全生产条件和有关设备（特种设备除外）进行检测检验、安全评价、安全培训、安全咨询等社会中介组织的资质审查监督工作。负责监督管理工矿商贸生产经营单位安全生产工作，依法监督工矿商贸生产经营单位贯彻执行安全生产法律、法规情况及其安全生产条件和有关设备（特种设备除外）、材料、劳动防护用品的安全生产管理工作，依法查处不具备安全生产条件的工矿商贸生产经营单位。组织、指导全区安全生产宣传教育工作，负责安全生产监督管理人员的安全培训、考核工作，依法组织、指导并监督特种作业人员（特种设备作业人员除外）的考核工作和工矿商贸生产经营单位主要经营管理者、安全生产管理人员的安全资格考核工作；监督检查工矿商贸生产经营单位安全培训工作。承担工矿商贸作业场所（煤矿作业场所除外）职业卫生监督检查职责，组织查处职业危害事故和有关违法行为；负责职业卫生安全许可证的申报工作。负责依法监督检查职责范围内新建、改建、扩建工程项目的安全设施与主体工程同时设计、同时施工、同时投产使用情况；监督检查重大危险源监控、重大事故隐患的整改工作。承办区政府交办的其他事项。</w:t>
      </w:r>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8年重点工作完成情况。</w:t>
      </w:r>
      <w:bookmarkEnd w:id="16"/>
      <w:bookmarkEnd w:id="17"/>
    </w:p>
    <w:p>
      <w:pPr>
        <w:adjustRightInd w:val="0"/>
        <w:snapToGrid w:val="0"/>
        <w:spacing w:line="578" w:lineRule="exact"/>
        <w:ind w:firstLine="600" w:firstLineChars="200"/>
        <w:rPr>
          <w:rFonts w:hint="eastAsia" w:ascii="仿宋" w:hAnsi="仿宋" w:eastAsia="仿宋" w:cs="仿宋"/>
          <w:snapToGrid w:val="0"/>
          <w:sz w:val="32"/>
          <w:szCs w:val="32"/>
        </w:rPr>
      </w:pPr>
      <w:r>
        <w:rPr>
          <w:rFonts w:hint="eastAsia" w:ascii="仿宋_GB2312" w:eastAsia="仿宋_GB2312"/>
          <w:sz w:val="30"/>
          <w:szCs w:val="30"/>
          <w:lang w:val="en-US" w:eastAsia="zh-CN"/>
        </w:rPr>
        <w:t>2018年</w:t>
      </w:r>
      <w:r>
        <w:rPr>
          <w:rFonts w:hint="eastAsia" w:ascii="仿宋" w:hAnsi="仿宋" w:eastAsia="仿宋" w:cs="仿宋"/>
          <w:snapToGrid w:val="0"/>
          <w:sz w:val="32"/>
          <w:szCs w:val="32"/>
        </w:rPr>
        <w:t>，全区安全生产机制不断完善，措施不断细化，总体来说，安全生产工作存在以下亮点：</w:t>
      </w:r>
    </w:p>
    <w:p>
      <w:pPr>
        <w:widowControl/>
        <w:spacing w:line="578"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一是安全生产领域改革发展稳步推进。制定了《中共达州市达川区委  达州市达川区人民政府关于推进安全生产领域改革发展的实施意见》。《实施意见》紧密结合我区实际，围绕解决安全生产体制机制发展等深层次问题，提出了加强和改进安全生产工作的一系列重大举措和任务要求，是今后一个时期指导全区安全生产工作和安全生产领域改革发展的综合性、指导性、纲领性文件。目前，《实施意见》涉及的27项重点改革任务正稳步推进。</w:t>
      </w:r>
      <w:r>
        <w:rPr>
          <w:rFonts w:hint="eastAsia" w:ascii="仿宋" w:hAnsi="仿宋" w:eastAsia="仿宋" w:cs="仿宋"/>
          <w:kern w:val="0"/>
          <w:sz w:val="32"/>
          <w:szCs w:val="32"/>
        </w:rPr>
        <w:br w:type="textWrapping"/>
      </w:r>
      <w:r>
        <w:rPr>
          <w:rFonts w:hint="eastAsia" w:ascii="仿宋" w:hAnsi="仿宋" w:eastAsia="仿宋" w:cs="仿宋"/>
          <w:kern w:val="0"/>
          <w:sz w:val="32"/>
          <w:szCs w:val="32"/>
        </w:rPr>
        <w:t xml:space="preserve">    二是创新体制机制建设，夯实安全监管基础。出台一系列安全“新政”，印发《达州市达川区安全生产巡查工作制度》、《达州市达川区安全生产第三方评估检查办法（试行）》、《达州市达川区党政领导干部安全生产责任制实施细则》等文件，有力促进安全生产工作责任落实和齐抓共管格局的形成。</w:t>
      </w:r>
    </w:p>
    <w:p>
      <w:pPr>
        <w:adjustRightInd w:val="0"/>
        <w:snapToGrid w:val="0"/>
        <w:spacing w:line="578" w:lineRule="exact"/>
        <w:ind w:firstLine="640" w:firstLineChars="200"/>
        <w:rPr>
          <w:rFonts w:hint="eastAsia" w:ascii="仿宋" w:hAnsi="仿宋" w:eastAsia="仿宋" w:cs="仿宋"/>
          <w:snapToGrid w:val="0"/>
          <w:sz w:val="32"/>
          <w:szCs w:val="32"/>
        </w:rPr>
      </w:pPr>
      <w:r>
        <w:rPr>
          <w:rFonts w:hint="eastAsia" w:ascii="仿宋" w:hAnsi="仿宋" w:eastAsia="仿宋" w:cs="仿宋"/>
          <w:snapToGrid w:val="0"/>
          <w:sz w:val="32"/>
          <w:szCs w:val="32"/>
        </w:rPr>
        <w:t>三是提高创新驱动能力，助推安全长效发展。一是完善“互联网+” 安全监管模式，一体化平台有序运行，安全生产网上动态无缝监管。二是推动基层执法队伍建设，引进安监工作人员3名，充实安监执法力量。</w:t>
      </w:r>
    </w:p>
    <w:p>
      <w:pPr>
        <w:adjustRightInd w:val="0"/>
        <w:snapToGrid w:val="0"/>
        <w:spacing w:line="578" w:lineRule="exact"/>
        <w:ind w:firstLine="640" w:firstLineChars="200"/>
        <w:rPr>
          <w:rFonts w:hint="eastAsia" w:ascii="仿宋" w:hAnsi="仿宋" w:eastAsia="仿宋" w:cs="仿宋"/>
          <w:snapToGrid w:val="0"/>
          <w:sz w:val="32"/>
          <w:szCs w:val="32"/>
        </w:rPr>
      </w:pPr>
      <w:r>
        <w:rPr>
          <w:rFonts w:hint="eastAsia" w:ascii="仿宋" w:hAnsi="仿宋" w:eastAsia="仿宋" w:cs="仿宋"/>
          <w:snapToGrid w:val="0"/>
          <w:sz w:val="32"/>
          <w:szCs w:val="32"/>
        </w:rPr>
        <w:t>四是“五个常态化”建设，实现安全生产常态化监管。为促进安全监管工作由突击抓向常态抓转变，切实解决新常态下安全生产工作出现的新问题，我区建立实施安全生产“五个常态化”工作机制，即坚持思想重视常态化，隐患排查治理常态化，责任落实常态化，应急演练常态化，逗硬奖惩常态化。</w:t>
      </w:r>
    </w:p>
    <w:p>
      <w:pPr>
        <w:pStyle w:val="30"/>
        <w:adjustRightInd w:val="0"/>
        <w:snapToGrid w:val="0"/>
        <w:spacing w:line="578" w:lineRule="exact"/>
        <w:ind w:firstLine="640"/>
        <w:rPr>
          <w:rFonts w:hint="eastAsia" w:ascii="仿宋" w:hAnsi="仿宋" w:eastAsia="仿宋" w:cs="仿宋"/>
          <w:szCs w:val="32"/>
        </w:rPr>
      </w:pPr>
      <w:r>
        <w:rPr>
          <w:rFonts w:hint="eastAsia" w:ascii="仿宋" w:hAnsi="仿宋" w:eastAsia="仿宋" w:cs="仿宋"/>
          <w:kern w:val="0"/>
          <w:szCs w:val="32"/>
        </w:rPr>
        <w:t>五是严管重罚</w:t>
      </w:r>
      <w:r>
        <w:rPr>
          <w:rFonts w:hint="eastAsia" w:ascii="仿宋" w:hAnsi="仿宋" w:eastAsia="仿宋" w:cs="仿宋"/>
          <w:szCs w:val="32"/>
        </w:rPr>
        <w:t>，堵塞安全漏洞</w:t>
      </w:r>
      <w:r>
        <w:rPr>
          <w:rFonts w:hint="eastAsia" w:ascii="仿宋" w:hAnsi="仿宋" w:eastAsia="仿宋" w:cs="仿宋"/>
          <w:b/>
          <w:szCs w:val="32"/>
        </w:rPr>
        <w:t>。</w:t>
      </w:r>
      <w:r>
        <w:rPr>
          <w:rFonts w:hint="eastAsia" w:ascii="仿宋" w:hAnsi="仿宋" w:eastAsia="仿宋" w:cs="仿宋"/>
          <w:szCs w:val="32"/>
        </w:rPr>
        <w:t>2018年，我区持续开展安全生产大检查工作，定期通报情况。据统计，今年我区共排查出各类隐患1271项，其中一般事故隐患1270项，重大安全隐患1项，到期应整改隐患1260条，对所查出隐患均逐项列出明细表，逐条落实整改责任。目前，已完成整改1201项，到期整改率为95.3%，对尚未完成整改的隐患已逐项明确整改责任。今年以来，我局针对企业立案32起，共处罚罚款36.7万元。</w:t>
      </w:r>
    </w:p>
    <w:p>
      <w:pPr>
        <w:pStyle w:val="30"/>
        <w:adjustRightInd w:val="0"/>
        <w:snapToGrid w:val="0"/>
        <w:spacing w:line="578" w:lineRule="exact"/>
        <w:ind w:firstLine="640"/>
        <w:rPr>
          <w:rFonts w:hint="eastAsia" w:ascii="仿宋" w:hAnsi="仿宋" w:eastAsia="仿宋"/>
          <w:bCs/>
          <w:color w:val="000000"/>
          <w:sz w:val="32"/>
          <w:szCs w:val="32"/>
        </w:rPr>
      </w:pPr>
      <w:r>
        <w:rPr>
          <w:rFonts w:hint="eastAsia" w:ascii="仿宋" w:hAnsi="仿宋" w:eastAsia="仿宋" w:cs="仿宋"/>
          <w:szCs w:val="32"/>
        </w:rPr>
        <w:t>六是</w:t>
      </w:r>
      <w:r>
        <w:rPr>
          <w:rFonts w:hint="eastAsia" w:ascii="仿宋" w:hAnsi="仿宋" w:eastAsia="仿宋" w:cs="仿宋"/>
          <w:kern w:val="0"/>
          <w:szCs w:val="32"/>
        </w:rPr>
        <w:t>深化安全宣传教育，安全文化渐入人心。在主流媒体开设安全生产宣传专栏，持续开展“安全生产月”、“安康杯”、“文明劝导行动”和安全生产“三进三出”等活动，“关注安全、关爱生命”的社会氛围不断形成。圆满完成民生工程，建设1个体验中心、建设1个安全社区，不断提升群众“获得感”、“幸福感”、“安全感”。</w:t>
      </w:r>
    </w:p>
    <w:p>
      <w:pPr>
        <w:pStyle w:val="3"/>
        <w:ind w:firstLine="640" w:firstLineChars="200"/>
        <w:rPr>
          <w:rStyle w:val="26"/>
          <w:b w:val="0"/>
          <w:bCs w:val="0"/>
        </w:rPr>
      </w:pPr>
      <w:bookmarkStart w:id="18" w:name="_Toc15396601"/>
      <w:bookmarkStart w:id="19" w:name="_Toc15377200"/>
      <w:r>
        <w:rPr>
          <w:rFonts w:hint="eastAsia" w:ascii="黑体" w:eastAsia="黑体"/>
          <w:b w:val="0"/>
          <w:color w:val="000000"/>
        </w:rPr>
        <w:t>二、</w:t>
      </w:r>
      <w:r>
        <w:rPr>
          <w:rFonts w:hint="eastAsia" w:ascii="黑体" w:hAnsi="黑体" w:eastAsia="黑体"/>
          <w:b w:val="0"/>
          <w:color w:val="000000"/>
        </w:rPr>
        <w:t>机</w:t>
      </w:r>
      <w:r>
        <w:rPr>
          <w:rStyle w:val="26"/>
          <w:rFonts w:hint="eastAsia" w:ascii="黑体" w:hAnsi="黑体" w:eastAsia="黑体"/>
          <w:b w:val="0"/>
          <w:bCs w:val="0"/>
        </w:rPr>
        <w:t>构设置</w:t>
      </w:r>
      <w:bookmarkEnd w:id="18"/>
      <w:bookmarkEnd w:id="19"/>
    </w:p>
    <w:p>
      <w:pPr>
        <w:keepNext w:val="0"/>
        <w:keepLines w:val="0"/>
        <w:pageBreakBefore w:val="0"/>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 w:hAnsi="仿宋" w:eastAsia="仿宋" w:cs="仿宋"/>
          <w:i w:val="0"/>
          <w:caps w:val="0"/>
          <w:color w:val="323232"/>
          <w:spacing w:val="0"/>
          <w:sz w:val="32"/>
          <w:szCs w:val="32"/>
          <w:shd w:val="clear" w:fill="FFFFFF"/>
        </w:rPr>
        <w:t>达川区安监局行政单位1个，</w:t>
      </w:r>
      <w:r>
        <w:rPr>
          <w:rFonts w:hint="eastAsia" w:ascii="仿宋" w:hAnsi="仿宋" w:eastAsia="仿宋" w:cs="仿宋"/>
          <w:i w:val="0"/>
          <w:caps w:val="0"/>
          <w:color w:val="323232"/>
          <w:spacing w:val="0"/>
          <w:sz w:val="32"/>
          <w:szCs w:val="32"/>
          <w:shd w:val="clear" w:fill="FFFFFF"/>
          <w:lang w:eastAsia="zh-CN"/>
        </w:rPr>
        <w:t>下属</w:t>
      </w:r>
      <w:r>
        <w:rPr>
          <w:rFonts w:hint="eastAsia" w:ascii="仿宋" w:hAnsi="仿宋" w:eastAsia="仿宋" w:cs="仿宋"/>
          <w:i w:val="0"/>
          <w:caps w:val="0"/>
          <w:color w:val="323232"/>
          <w:spacing w:val="0"/>
          <w:sz w:val="32"/>
          <w:szCs w:val="32"/>
          <w:shd w:val="clear" w:fill="FFFFFF"/>
        </w:rPr>
        <w:t>参照公务员法管理的事业单位1个，</w:t>
      </w:r>
      <w:r>
        <w:rPr>
          <w:rFonts w:hint="eastAsia" w:ascii="仿宋_GB2312" w:hAnsi="仿宋_GB2312" w:eastAsia="仿宋_GB2312" w:cs="仿宋_GB2312"/>
          <w:sz w:val="32"/>
          <w:szCs w:val="32"/>
        </w:rPr>
        <w:t>其他事业单位</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（职业安全健康监督管理中心、安全体验中心、应急救援中心与预警监测中心，其中应急救援中心、预警监测中心两块牌子一套班子）。</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i w:val="0"/>
          <w:caps w:val="0"/>
          <w:color w:val="323232"/>
          <w:spacing w:val="0"/>
          <w:sz w:val="32"/>
          <w:szCs w:val="32"/>
        </w:rPr>
      </w:pPr>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2"/>
        <w:ind w:right="440"/>
        <w:jc w:val="right"/>
        <w:rPr>
          <w:rStyle w:val="25"/>
          <w:rFonts w:ascii="黑体" w:hAnsi="黑体" w:eastAsia="黑体"/>
          <w:b w:val="0"/>
          <w:bCs w:val="0"/>
        </w:rPr>
      </w:pPr>
      <w:bookmarkStart w:id="20" w:name="_Toc15377204"/>
      <w:bookmarkStart w:id="21" w:name="_Toc15396602"/>
      <w:r>
        <w:rPr>
          <w:rFonts w:hint="eastAsia" w:ascii="黑体" w:hAnsi="黑体" w:eastAsia="黑体"/>
          <w:b w:val="0"/>
          <w:color w:val="000000"/>
        </w:rPr>
        <w:t>第二部分</w:t>
      </w:r>
      <w:r>
        <w:rPr>
          <w:rFonts w:hint="eastAsia" w:ascii="黑体" w:hAnsi="黑体" w:eastAsia="黑体"/>
          <w:color w:val="000000"/>
        </w:rPr>
        <w:t xml:space="preserve"> </w:t>
      </w:r>
      <w:r>
        <w:rPr>
          <w:rStyle w:val="25"/>
          <w:rFonts w:hint="eastAsia" w:ascii="黑体" w:hAnsi="黑体" w:eastAsia="黑体"/>
          <w:b w:val="0"/>
          <w:bCs w:val="0"/>
        </w:rPr>
        <w:t>2018年度部门决算情况说明</w:t>
      </w:r>
      <w:bookmarkEnd w:id="20"/>
      <w:bookmarkEnd w:id="21"/>
    </w:p>
    <w:p/>
    <w:p>
      <w:pPr>
        <w:pStyle w:val="24"/>
        <w:numPr>
          <w:ilvl w:val="0"/>
          <w:numId w:val="2"/>
        </w:numPr>
        <w:spacing w:line="600" w:lineRule="exact"/>
        <w:ind w:firstLineChars="0"/>
        <w:outlineLvl w:val="1"/>
        <w:rPr>
          <w:rStyle w:val="26"/>
          <w:rFonts w:ascii="黑体" w:hAnsi="黑体" w:eastAsia="黑体"/>
          <w:b w:val="0"/>
        </w:rPr>
      </w:pPr>
      <w:bookmarkStart w:id="22" w:name="_Toc15396603"/>
      <w:bookmarkStart w:id="23" w:name="_Toc15377205"/>
      <w:r>
        <w:rPr>
          <w:rFonts w:hint="eastAsia" w:ascii="黑体" w:hAnsi="黑体" w:eastAsia="黑体"/>
          <w:color w:val="000000"/>
          <w:sz w:val="32"/>
          <w:szCs w:val="32"/>
        </w:rPr>
        <w:t>收</w:t>
      </w:r>
      <w:r>
        <w:rPr>
          <w:rStyle w:val="26"/>
          <w:rFonts w:hint="eastAsia" w:ascii="黑体" w:hAnsi="黑体" w:eastAsia="黑体"/>
          <w:b w:val="0"/>
        </w:rPr>
        <w:t>入支出决算总体情况说明</w:t>
      </w:r>
      <w:bookmarkEnd w:id="22"/>
      <w:bookmarkEnd w:id="23"/>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i w:val="0"/>
          <w:caps w:val="0"/>
          <w:color w:val="323232"/>
          <w:spacing w:val="0"/>
          <w:sz w:val="32"/>
          <w:szCs w:val="32"/>
          <w:lang w:eastAsia="zh-CN"/>
        </w:rPr>
      </w:pPr>
      <w:bookmarkStart w:id="24" w:name="_Toc15377206"/>
      <w:bookmarkStart w:id="25" w:name="_Toc15396604"/>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w:t>
      </w:r>
      <w:r>
        <w:rPr>
          <w:rFonts w:hint="eastAsia" w:ascii="仿宋" w:hAnsi="仿宋" w:eastAsia="仿宋" w:cs="仿宋"/>
          <w:i w:val="0"/>
          <w:caps w:val="0"/>
          <w:color w:val="323232"/>
          <w:spacing w:val="0"/>
          <w:sz w:val="32"/>
          <w:szCs w:val="32"/>
          <w:shd w:val="clear" w:fill="FFFFFF"/>
          <w:lang w:eastAsia="zh-CN"/>
        </w:rPr>
        <w:t>区安监</w:t>
      </w:r>
      <w:r>
        <w:rPr>
          <w:rFonts w:hint="eastAsia" w:ascii="仿宋" w:hAnsi="仿宋" w:eastAsia="仿宋" w:cs="仿宋"/>
          <w:i w:val="0"/>
          <w:caps w:val="0"/>
          <w:color w:val="323232"/>
          <w:spacing w:val="0"/>
          <w:sz w:val="32"/>
          <w:szCs w:val="32"/>
          <w:shd w:val="clear" w:fill="FFFFFF"/>
        </w:rPr>
        <w:t>局收入</w:t>
      </w:r>
      <w:r>
        <w:rPr>
          <w:rFonts w:hint="eastAsia" w:ascii="仿宋" w:hAnsi="仿宋" w:eastAsia="仿宋" w:cs="仿宋"/>
          <w:i w:val="0"/>
          <w:caps w:val="0"/>
          <w:color w:val="323232"/>
          <w:spacing w:val="0"/>
          <w:sz w:val="32"/>
          <w:szCs w:val="32"/>
          <w:shd w:val="clear" w:fill="FFFFFF"/>
          <w:lang w:eastAsia="zh-CN"/>
        </w:rPr>
        <w:t>总计</w:t>
      </w:r>
      <w:r>
        <w:rPr>
          <w:rFonts w:hint="eastAsia" w:ascii="仿宋" w:hAnsi="仿宋" w:eastAsia="仿宋" w:cs="仿宋"/>
          <w:i w:val="0"/>
          <w:caps w:val="0"/>
          <w:color w:val="323232"/>
          <w:spacing w:val="0"/>
          <w:sz w:val="32"/>
          <w:szCs w:val="32"/>
          <w:shd w:val="clear" w:fill="FFFFFF"/>
          <w:lang w:val="en-US" w:eastAsia="zh-CN"/>
        </w:rPr>
        <w:t>841.85</w:t>
      </w:r>
      <w:r>
        <w:rPr>
          <w:rFonts w:hint="eastAsia" w:ascii="仿宋" w:hAnsi="仿宋" w:eastAsia="仿宋" w:cs="仿宋"/>
          <w:i w:val="0"/>
          <w:caps w:val="0"/>
          <w:color w:val="323232"/>
          <w:spacing w:val="0"/>
          <w:sz w:val="32"/>
          <w:szCs w:val="32"/>
          <w:shd w:val="clear" w:fill="FFFFFF"/>
        </w:rPr>
        <w:t>万元，其中：一般公共预算财政拨款收入</w:t>
      </w:r>
      <w:r>
        <w:rPr>
          <w:rFonts w:hint="eastAsia" w:ascii="仿宋" w:hAnsi="仿宋" w:eastAsia="仿宋" w:cs="仿宋"/>
          <w:i w:val="0"/>
          <w:caps w:val="0"/>
          <w:color w:val="323232"/>
          <w:spacing w:val="0"/>
          <w:sz w:val="32"/>
          <w:szCs w:val="32"/>
          <w:shd w:val="clear" w:fill="FFFFFF"/>
          <w:lang w:val="en-US" w:eastAsia="zh-CN"/>
        </w:rPr>
        <w:t>841.85</w:t>
      </w:r>
      <w:r>
        <w:rPr>
          <w:rFonts w:hint="eastAsia" w:ascii="仿宋" w:hAnsi="仿宋" w:eastAsia="仿宋" w:cs="仿宋"/>
          <w:i w:val="0"/>
          <w:caps w:val="0"/>
          <w:color w:val="323232"/>
          <w:spacing w:val="0"/>
          <w:sz w:val="32"/>
          <w:szCs w:val="32"/>
          <w:shd w:val="clear" w:fill="FFFFFF"/>
        </w:rPr>
        <w:t>万元，占100%。与201</w:t>
      </w:r>
      <w:r>
        <w:rPr>
          <w:rFonts w:hint="eastAsia" w:ascii="仿宋" w:hAnsi="仿宋" w:eastAsia="仿宋" w:cs="仿宋"/>
          <w:i w:val="0"/>
          <w:caps w:val="0"/>
          <w:color w:val="323232"/>
          <w:spacing w:val="0"/>
          <w:sz w:val="32"/>
          <w:szCs w:val="32"/>
          <w:shd w:val="clear" w:fill="FFFFFF"/>
          <w:lang w:val="en-US" w:eastAsia="zh-CN"/>
        </w:rPr>
        <w:t>7</w:t>
      </w:r>
      <w:r>
        <w:rPr>
          <w:rFonts w:hint="eastAsia" w:ascii="仿宋" w:hAnsi="仿宋" w:eastAsia="仿宋" w:cs="仿宋"/>
          <w:i w:val="0"/>
          <w:caps w:val="0"/>
          <w:color w:val="323232"/>
          <w:spacing w:val="0"/>
          <w:sz w:val="32"/>
          <w:szCs w:val="32"/>
          <w:shd w:val="clear" w:fill="FFFFFF"/>
        </w:rPr>
        <w:t>年相比，财政拨款收入</w:t>
      </w:r>
      <w:r>
        <w:rPr>
          <w:rFonts w:hint="eastAsia" w:ascii="仿宋" w:hAnsi="仿宋" w:eastAsia="仿宋" w:cs="仿宋"/>
          <w:i w:val="0"/>
          <w:caps w:val="0"/>
          <w:color w:val="323232"/>
          <w:spacing w:val="0"/>
          <w:sz w:val="32"/>
          <w:szCs w:val="32"/>
          <w:shd w:val="clear" w:fill="FFFFFF"/>
          <w:lang w:eastAsia="zh-CN"/>
        </w:rPr>
        <w:t>增加</w:t>
      </w:r>
      <w:r>
        <w:rPr>
          <w:rFonts w:hint="eastAsia" w:ascii="仿宋" w:hAnsi="仿宋" w:eastAsia="仿宋" w:cs="仿宋"/>
          <w:i w:val="0"/>
          <w:caps w:val="0"/>
          <w:color w:val="323232"/>
          <w:spacing w:val="0"/>
          <w:sz w:val="32"/>
          <w:szCs w:val="32"/>
          <w:shd w:val="clear" w:fill="FFFFFF"/>
          <w:lang w:val="en-US" w:eastAsia="zh-CN"/>
        </w:rPr>
        <w:t>31.33</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增加</w:t>
      </w:r>
      <w:r>
        <w:rPr>
          <w:rFonts w:hint="eastAsia" w:ascii="仿宋" w:hAnsi="仿宋" w:eastAsia="仿宋" w:cs="仿宋"/>
          <w:i w:val="0"/>
          <w:caps w:val="0"/>
          <w:color w:val="323232"/>
          <w:spacing w:val="0"/>
          <w:sz w:val="32"/>
          <w:szCs w:val="32"/>
          <w:shd w:val="clear" w:fill="FFFFFF"/>
          <w:lang w:val="en-US" w:eastAsia="zh-CN"/>
        </w:rPr>
        <w:t>3.87</w:t>
      </w:r>
      <w:r>
        <w:rPr>
          <w:rFonts w:hint="eastAsia" w:ascii="仿宋" w:hAnsi="仿宋" w:eastAsia="仿宋" w:cs="仿宋"/>
          <w:i w:val="0"/>
          <w:caps w:val="0"/>
          <w:color w:val="323232"/>
          <w:spacing w:val="0"/>
          <w:sz w:val="32"/>
          <w:szCs w:val="32"/>
          <w:shd w:val="clear" w:fill="FFFFFF"/>
        </w:rPr>
        <w:t>%，主要原因</w:t>
      </w:r>
      <w:r>
        <w:rPr>
          <w:rFonts w:hint="eastAsia" w:ascii="仿宋" w:hAnsi="仿宋" w:eastAsia="仿宋" w:cs="仿宋"/>
          <w:i w:val="0"/>
          <w:caps w:val="0"/>
          <w:color w:val="323232"/>
          <w:spacing w:val="0"/>
          <w:sz w:val="32"/>
          <w:szCs w:val="32"/>
          <w:shd w:val="clear" w:fill="FFFFFF"/>
          <w:lang w:eastAsia="zh-CN"/>
        </w:rPr>
        <w:t>是人员新增及项目支出有所增加。</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i w:val="0"/>
          <w:caps w:val="0"/>
          <w:color w:val="323232"/>
          <w:spacing w:val="0"/>
          <w:sz w:val="32"/>
          <w:szCs w:val="32"/>
          <w:shd w:val="clear" w:fill="FFFFFF"/>
          <w:lang w:eastAsia="zh-CN"/>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w:t>
      </w:r>
      <w:r>
        <w:rPr>
          <w:rFonts w:hint="eastAsia" w:ascii="仿宋" w:hAnsi="仿宋" w:eastAsia="仿宋" w:cs="仿宋"/>
          <w:i w:val="0"/>
          <w:caps w:val="0"/>
          <w:color w:val="323232"/>
          <w:spacing w:val="0"/>
          <w:sz w:val="32"/>
          <w:szCs w:val="32"/>
          <w:shd w:val="clear" w:fill="FFFFFF"/>
          <w:lang w:eastAsia="zh-CN"/>
        </w:rPr>
        <w:t>区安监</w:t>
      </w:r>
      <w:r>
        <w:rPr>
          <w:rFonts w:hint="eastAsia" w:ascii="仿宋" w:hAnsi="仿宋" w:eastAsia="仿宋" w:cs="仿宋"/>
          <w:i w:val="0"/>
          <w:caps w:val="0"/>
          <w:color w:val="323232"/>
          <w:spacing w:val="0"/>
          <w:sz w:val="32"/>
          <w:szCs w:val="32"/>
          <w:shd w:val="clear" w:fill="FFFFFF"/>
        </w:rPr>
        <w:t>局本年度支出合计</w:t>
      </w:r>
      <w:r>
        <w:rPr>
          <w:rFonts w:hint="eastAsia" w:ascii="仿宋" w:hAnsi="仿宋" w:eastAsia="仿宋" w:cs="仿宋"/>
          <w:i w:val="0"/>
          <w:caps w:val="0"/>
          <w:color w:val="323232"/>
          <w:spacing w:val="0"/>
          <w:sz w:val="32"/>
          <w:szCs w:val="32"/>
          <w:shd w:val="clear" w:fill="FFFFFF"/>
          <w:lang w:val="en-US" w:eastAsia="zh-CN"/>
        </w:rPr>
        <w:t>832.29</w:t>
      </w:r>
      <w:r>
        <w:rPr>
          <w:rFonts w:hint="eastAsia" w:ascii="仿宋" w:hAnsi="仿宋" w:eastAsia="仿宋" w:cs="仿宋"/>
          <w:i w:val="0"/>
          <w:caps w:val="0"/>
          <w:color w:val="323232"/>
          <w:spacing w:val="0"/>
          <w:sz w:val="32"/>
          <w:szCs w:val="32"/>
          <w:shd w:val="clear" w:fill="FFFFFF"/>
        </w:rPr>
        <w:t>万元，与201</w:t>
      </w:r>
      <w:r>
        <w:rPr>
          <w:rFonts w:hint="eastAsia" w:ascii="仿宋" w:hAnsi="仿宋" w:eastAsia="仿宋" w:cs="仿宋"/>
          <w:i w:val="0"/>
          <w:caps w:val="0"/>
          <w:color w:val="323232"/>
          <w:spacing w:val="0"/>
          <w:sz w:val="32"/>
          <w:szCs w:val="32"/>
          <w:shd w:val="clear" w:fill="FFFFFF"/>
          <w:lang w:val="en-US" w:eastAsia="zh-CN"/>
        </w:rPr>
        <w:t>7</w:t>
      </w:r>
      <w:r>
        <w:rPr>
          <w:rFonts w:hint="eastAsia" w:ascii="仿宋" w:hAnsi="仿宋" w:eastAsia="仿宋" w:cs="仿宋"/>
          <w:i w:val="0"/>
          <w:caps w:val="0"/>
          <w:color w:val="323232"/>
          <w:spacing w:val="0"/>
          <w:sz w:val="32"/>
          <w:szCs w:val="32"/>
          <w:shd w:val="clear" w:fill="FFFFFF"/>
        </w:rPr>
        <w:t>年相比：支出</w:t>
      </w:r>
      <w:r>
        <w:rPr>
          <w:rFonts w:hint="eastAsia" w:ascii="仿宋" w:hAnsi="仿宋" w:eastAsia="仿宋" w:cs="仿宋"/>
          <w:i w:val="0"/>
          <w:caps w:val="0"/>
          <w:color w:val="323232"/>
          <w:spacing w:val="0"/>
          <w:sz w:val="32"/>
          <w:szCs w:val="32"/>
          <w:shd w:val="clear" w:fill="FFFFFF"/>
          <w:lang w:eastAsia="zh-CN"/>
        </w:rPr>
        <w:t>增加</w:t>
      </w:r>
      <w:r>
        <w:rPr>
          <w:rFonts w:hint="eastAsia" w:ascii="仿宋" w:hAnsi="仿宋" w:eastAsia="仿宋" w:cs="仿宋"/>
          <w:i w:val="0"/>
          <w:caps w:val="0"/>
          <w:color w:val="323232"/>
          <w:spacing w:val="0"/>
          <w:sz w:val="32"/>
          <w:szCs w:val="32"/>
          <w:shd w:val="clear" w:fill="FFFFFF"/>
        </w:rPr>
        <w:t>了4</w:t>
      </w:r>
      <w:r>
        <w:rPr>
          <w:rFonts w:hint="eastAsia" w:ascii="仿宋" w:hAnsi="仿宋" w:eastAsia="仿宋" w:cs="仿宋"/>
          <w:i w:val="0"/>
          <w:caps w:val="0"/>
          <w:color w:val="323232"/>
          <w:spacing w:val="0"/>
          <w:sz w:val="32"/>
          <w:szCs w:val="32"/>
          <w:shd w:val="clear" w:fill="FFFFFF"/>
          <w:lang w:val="en-US" w:eastAsia="zh-CN"/>
        </w:rPr>
        <w:t>2.43</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增加</w:t>
      </w:r>
      <w:r>
        <w:rPr>
          <w:rFonts w:hint="eastAsia" w:ascii="仿宋" w:hAnsi="仿宋" w:eastAsia="仿宋" w:cs="仿宋"/>
          <w:i w:val="0"/>
          <w:caps w:val="0"/>
          <w:color w:val="323232"/>
          <w:spacing w:val="0"/>
          <w:sz w:val="32"/>
          <w:szCs w:val="32"/>
          <w:shd w:val="clear" w:fill="FFFFFF"/>
          <w:lang w:val="en-US" w:eastAsia="zh-CN"/>
        </w:rPr>
        <w:t>5.37</w:t>
      </w:r>
      <w:r>
        <w:rPr>
          <w:rFonts w:hint="eastAsia" w:ascii="仿宋" w:hAnsi="仿宋" w:eastAsia="仿宋" w:cs="仿宋"/>
          <w:i w:val="0"/>
          <w:caps w:val="0"/>
          <w:color w:val="323232"/>
          <w:spacing w:val="0"/>
          <w:sz w:val="32"/>
          <w:szCs w:val="32"/>
          <w:shd w:val="clear" w:fill="FFFFFF"/>
        </w:rPr>
        <w:t>%，主要原因</w:t>
      </w:r>
      <w:r>
        <w:rPr>
          <w:rFonts w:hint="eastAsia" w:ascii="仿宋" w:hAnsi="仿宋" w:eastAsia="仿宋" w:cs="仿宋"/>
          <w:i w:val="0"/>
          <w:caps w:val="0"/>
          <w:color w:val="323232"/>
          <w:spacing w:val="0"/>
          <w:sz w:val="32"/>
          <w:szCs w:val="32"/>
          <w:shd w:val="clear" w:fill="FFFFFF"/>
          <w:lang w:eastAsia="zh-CN"/>
        </w:rPr>
        <w:t>是人员新增及项目支出有所增加。</w:t>
      </w:r>
    </w:p>
    <w:p>
      <w:pPr>
        <w:spacing w:line="600" w:lineRule="exact"/>
        <w:rPr>
          <w:rFonts w:hint="eastAsia" w:ascii="仿宋" w:hAnsi="仿宋" w:eastAsia="仿宋"/>
          <w:color w:val="000000"/>
          <w:sz w:val="32"/>
          <w:szCs w:val="32"/>
        </w:rPr>
      </w:pPr>
      <w:r>
        <w:rPr>
          <w:rFonts w:hint="eastAsia" w:eastAsiaTheme="minorEastAsia"/>
          <w:lang w:eastAsia="zh-CN"/>
        </w:rPr>
        <w:drawing>
          <wp:anchor distT="0" distB="0" distL="114300" distR="114300" simplePos="0" relativeHeight="251660288" behindDoc="0" locked="0" layoutInCell="1" allowOverlap="1">
            <wp:simplePos x="0" y="0"/>
            <wp:positionH relativeFrom="column">
              <wp:posOffset>775970</wp:posOffset>
            </wp:positionH>
            <wp:positionV relativeFrom="paragraph">
              <wp:posOffset>99060</wp:posOffset>
            </wp:positionV>
            <wp:extent cx="3575050" cy="2619375"/>
            <wp:effectExtent l="4445" t="4445" r="20955" b="508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1</w:t>
      </w:r>
      <w:r>
        <w:rPr>
          <w:rFonts w:hint="eastAsia" w:ascii="仿宋" w:hAnsi="仿宋" w:eastAsia="仿宋"/>
          <w:color w:val="000000"/>
          <w:sz w:val="32"/>
          <w:szCs w:val="32"/>
        </w:rPr>
        <w:t>：收、支决算总计变动情况图）（柱状图）</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i w:val="0"/>
          <w:caps w:val="0"/>
          <w:color w:val="323232"/>
          <w:spacing w:val="0"/>
          <w:sz w:val="32"/>
          <w:szCs w:val="32"/>
          <w:shd w:val="clear" w:fill="FFFFFF"/>
          <w:lang w:eastAsia="zh-CN"/>
        </w:rPr>
      </w:pPr>
    </w:p>
    <w:p>
      <w:pPr>
        <w:pStyle w:val="24"/>
        <w:numPr>
          <w:ilvl w:val="0"/>
          <w:numId w:val="2"/>
        </w:numPr>
        <w:spacing w:line="600" w:lineRule="exact"/>
        <w:ind w:firstLineChars="0"/>
        <w:outlineLvl w:val="1"/>
        <w:rPr>
          <w:rStyle w:val="26"/>
          <w:rFonts w:ascii="黑体" w:hAnsi="黑体" w:eastAsia="黑体"/>
          <w:b w:val="0"/>
        </w:rPr>
      </w:pPr>
      <w:r>
        <w:rPr>
          <w:rFonts w:hint="eastAsia" w:ascii="黑体" w:hAnsi="黑体" w:eastAsia="黑体"/>
          <w:color w:val="000000"/>
          <w:sz w:val="32"/>
          <w:szCs w:val="32"/>
        </w:rPr>
        <w:t>收</w:t>
      </w:r>
      <w:r>
        <w:rPr>
          <w:rStyle w:val="26"/>
          <w:rFonts w:hint="eastAsia" w:ascii="黑体" w:hAnsi="黑体" w:eastAsia="黑体"/>
          <w:b w:val="0"/>
        </w:rPr>
        <w:t>入决算情况说明</w:t>
      </w:r>
      <w:bookmarkEnd w:id="24"/>
      <w:bookmarkEnd w:id="25"/>
    </w:p>
    <w:p>
      <w:pPr>
        <w:spacing w:line="600" w:lineRule="exact"/>
        <w:ind w:firstLine="640" w:firstLineChars="200"/>
        <w:outlineLvl w:val="1"/>
        <w:rPr>
          <w:rFonts w:hint="eastAsia"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8年本年收入合计</w:t>
      </w:r>
      <w:r>
        <w:rPr>
          <w:rFonts w:hint="eastAsia" w:ascii="仿宋" w:hAnsi="仿宋" w:eastAsia="仿宋"/>
          <w:color w:val="000000"/>
          <w:sz w:val="32"/>
          <w:szCs w:val="32"/>
          <w:lang w:val="en-US" w:eastAsia="zh-CN"/>
        </w:rPr>
        <w:t>841.85</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841.85</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eastAsia="zh-CN"/>
        </w:rPr>
        <w:t>无</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eastAsia="zh-CN"/>
        </w:rPr>
        <w:t>无</w:t>
      </w:r>
      <w:r>
        <w:rPr>
          <w:rFonts w:hint="eastAsia" w:ascii="仿宋" w:hAnsi="仿宋" w:eastAsia="仿宋"/>
          <w:color w:val="000000"/>
          <w:sz w:val="32"/>
          <w:szCs w:val="32"/>
        </w:rPr>
        <w:t>国有资本经营预算财政拨款收入；</w:t>
      </w:r>
      <w:r>
        <w:rPr>
          <w:rFonts w:hint="eastAsia" w:ascii="仿宋" w:hAnsi="仿宋" w:eastAsia="仿宋"/>
          <w:color w:val="000000"/>
          <w:sz w:val="32"/>
          <w:szCs w:val="32"/>
          <w:lang w:eastAsia="zh-CN"/>
        </w:rPr>
        <w:t>无</w:t>
      </w:r>
      <w:r>
        <w:rPr>
          <w:rFonts w:hint="eastAsia" w:ascii="仿宋" w:hAnsi="仿宋" w:eastAsia="仿宋"/>
          <w:color w:val="000000"/>
          <w:sz w:val="32"/>
          <w:szCs w:val="32"/>
        </w:rPr>
        <w:t>事业收入；</w:t>
      </w:r>
      <w:r>
        <w:rPr>
          <w:rFonts w:hint="eastAsia" w:ascii="仿宋" w:hAnsi="仿宋" w:eastAsia="仿宋"/>
          <w:color w:val="000000"/>
          <w:sz w:val="32"/>
          <w:szCs w:val="32"/>
          <w:lang w:eastAsia="zh-CN"/>
        </w:rPr>
        <w:t>无</w:t>
      </w:r>
      <w:r>
        <w:rPr>
          <w:rFonts w:hint="eastAsia" w:ascii="仿宋" w:hAnsi="仿宋" w:eastAsia="仿宋"/>
          <w:color w:val="000000"/>
          <w:sz w:val="32"/>
          <w:szCs w:val="32"/>
        </w:rPr>
        <w:t>经营收入；</w:t>
      </w:r>
      <w:r>
        <w:rPr>
          <w:rFonts w:hint="eastAsia" w:ascii="仿宋" w:hAnsi="仿宋" w:eastAsia="仿宋"/>
          <w:color w:val="000000"/>
          <w:sz w:val="32"/>
          <w:szCs w:val="32"/>
          <w:lang w:eastAsia="zh-CN"/>
        </w:rPr>
        <w:t>无</w:t>
      </w:r>
      <w:r>
        <w:rPr>
          <w:rFonts w:hint="eastAsia" w:ascii="仿宋" w:hAnsi="仿宋" w:eastAsia="仿宋"/>
          <w:color w:val="000000"/>
          <w:sz w:val="32"/>
          <w:szCs w:val="32"/>
        </w:rPr>
        <w:t>附属单位上缴收入；</w:t>
      </w:r>
      <w:r>
        <w:rPr>
          <w:rFonts w:hint="eastAsia" w:ascii="仿宋" w:hAnsi="仿宋" w:eastAsia="仿宋"/>
          <w:color w:val="000000"/>
          <w:sz w:val="32"/>
          <w:szCs w:val="32"/>
          <w:lang w:eastAsia="zh-CN"/>
        </w:rPr>
        <w:t>无</w:t>
      </w:r>
      <w:r>
        <w:rPr>
          <w:rFonts w:hint="eastAsia" w:ascii="仿宋" w:hAnsi="仿宋" w:eastAsia="仿宋"/>
          <w:color w:val="000000"/>
          <w:sz w:val="32"/>
          <w:szCs w:val="32"/>
        </w:rPr>
        <w:t>其他收入。</w:t>
      </w:r>
    </w:p>
    <w:p>
      <w:pPr>
        <w:spacing w:line="600" w:lineRule="exact"/>
        <w:ind w:firstLine="420" w:firstLineChars="200"/>
        <w:outlineLvl w:val="1"/>
        <w:rPr>
          <w:rFonts w:hint="eastAsia" w:ascii="仿宋" w:hAnsi="仿宋" w:eastAsia="仿宋"/>
          <w:color w:val="000000"/>
          <w:sz w:val="32"/>
          <w:szCs w:val="32"/>
          <w:lang w:eastAsia="zh-CN"/>
        </w:rPr>
      </w:pPr>
      <w:r>
        <w:rPr>
          <w:rFonts w:hint="eastAsia" w:eastAsiaTheme="minorEastAsia"/>
          <w:lang w:eastAsia="zh-CN"/>
        </w:rPr>
        <w:drawing>
          <wp:anchor distT="0" distB="0" distL="114300" distR="114300" simplePos="0" relativeHeight="251661312" behindDoc="0" locked="0" layoutInCell="1" allowOverlap="1">
            <wp:simplePos x="0" y="0"/>
            <wp:positionH relativeFrom="column">
              <wp:posOffset>1247775</wp:posOffset>
            </wp:positionH>
            <wp:positionV relativeFrom="paragraph">
              <wp:posOffset>133350</wp:posOffset>
            </wp:positionV>
            <wp:extent cx="2918460" cy="2428240"/>
            <wp:effectExtent l="4445" t="4445" r="10795" b="571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ind w:firstLine="640" w:firstLineChars="200"/>
        <w:outlineLvl w:val="1"/>
        <w:rPr>
          <w:rFonts w:hint="eastAsia" w:ascii="仿宋" w:hAnsi="仿宋" w:eastAsia="仿宋"/>
          <w:color w:val="000000"/>
          <w:sz w:val="32"/>
          <w:szCs w:val="32"/>
        </w:rPr>
      </w:pPr>
    </w:p>
    <w:p>
      <w:pPr>
        <w:spacing w:line="600" w:lineRule="exact"/>
        <w:jc w:val="center"/>
        <w:rPr>
          <w:rFonts w:hint="eastAsia" w:ascii="仿宋" w:hAnsi="仿宋" w:eastAsia="仿宋"/>
          <w:color w:val="000000"/>
          <w:sz w:val="32"/>
          <w:szCs w:val="32"/>
        </w:rPr>
      </w:pPr>
    </w:p>
    <w:p>
      <w:pPr>
        <w:spacing w:line="600" w:lineRule="exact"/>
        <w:jc w:val="center"/>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p>
    <w:p>
      <w:pPr>
        <w:spacing w:line="600" w:lineRule="exact"/>
        <w:ind w:firstLine="640" w:firstLineChars="200"/>
        <w:outlineLvl w:val="1"/>
        <w:rPr>
          <w:rFonts w:hint="eastAsia" w:ascii="仿宋" w:hAnsi="仿宋" w:eastAsia="仿宋"/>
          <w:color w:val="000000"/>
          <w:sz w:val="32"/>
          <w:szCs w:val="32"/>
        </w:rPr>
      </w:pPr>
    </w:p>
    <w:p>
      <w:pPr>
        <w:pStyle w:val="24"/>
        <w:numPr>
          <w:ilvl w:val="0"/>
          <w:numId w:val="2"/>
        </w:numPr>
        <w:spacing w:line="600" w:lineRule="exact"/>
        <w:ind w:firstLineChars="0"/>
        <w:outlineLvl w:val="1"/>
        <w:rPr>
          <w:rStyle w:val="26"/>
          <w:rFonts w:ascii="黑体" w:hAnsi="黑体" w:eastAsia="黑体"/>
          <w:b w:val="0"/>
        </w:rPr>
      </w:pPr>
      <w:bookmarkStart w:id="26" w:name="_Toc15396605"/>
      <w:bookmarkStart w:id="27" w:name="_Toc15377207"/>
      <w:r>
        <w:rPr>
          <w:rFonts w:hint="eastAsia" w:ascii="黑体" w:hAnsi="黑体" w:eastAsia="黑体"/>
          <w:color w:val="000000"/>
          <w:sz w:val="32"/>
          <w:szCs w:val="32"/>
        </w:rPr>
        <w:t>支</w:t>
      </w:r>
      <w:r>
        <w:rPr>
          <w:rStyle w:val="26"/>
          <w:rFonts w:hint="eastAsia" w:ascii="黑体" w:hAnsi="黑体" w:eastAsia="黑体"/>
          <w:b w:val="0"/>
        </w:rPr>
        <w:t>出决算情况说明</w:t>
      </w:r>
      <w:bookmarkEnd w:id="26"/>
      <w:bookmarkEnd w:id="27"/>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eastAsia" w:ascii="仿宋" w:hAnsi="仿宋" w:eastAsia="仿宋" w:cs="仿宋"/>
          <w:i w:val="0"/>
          <w:caps w:val="0"/>
          <w:color w:val="323232"/>
          <w:spacing w:val="0"/>
          <w:sz w:val="32"/>
          <w:szCs w:val="32"/>
          <w:shd w:val="clear" w:fill="FFFFFF"/>
        </w:rPr>
      </w:pPr>
      <w:r>
        <w:rPr>
          <w:rFonts w:ascii="仿宋" w:hAnsi="仿宋" w:eastAsia="仿宋"/>
          <w:color w:val="000000"/>
          <w:sz w:val="32"/>
          <w:szCs w:val="32"/>
        </w:rPr>
        <w:t>201</w:t>
      </w:r>
      <w:r>
        <w:rPr>
          <w:rFonts w:hint="eastAsia" w:ascii="仿宋" w:hAnsi="仿宋" w:eastAsia="仿宋"/>
          <w:color w:val="000000"/>
          <w:sz w:val="32"/>
          <w:szCs w:val="32"/>
        </w:rPr>
        <w:t>8年本年支出合计</w:t>
      </w:r>
      <w:r>
        <w:rPr>
          <w:rFonts w:hint="eastAsia" w:ascii="仿宋" w:hAnsi="仿宋" w:eastAsia="仿宋"/>
          <w:color w:val="000000"/>
          <w:sz w:val="32"/>
          <w:szCs w:val="32"/>
          <w:lang w:val="en-US" w:eastAsia="zh-CN"/>
        </w:rPr>
        <w:t>832.29</w:t>
      </w:r>
      <w:r>
        <w:rPr>
          <w:rFonts w:hint="eastAsia" w:ascii="仿宋" w:hAnsi="仿宋" w:eastAsia="仿宋"/>
          <w:color w:val="000000"/>
          <w:sz w:val="32"/>
          <w:szCs w:val="32"/>
        </w:rPr>
        <w:t>万元，其中：</w:t>
      </w:r>
      <w:r>
        <w:rPr>
          <w:rFonts w:hint="eastAsia" w:ascii="仿宋" w:hAnsi="仿宋" w:eastAsia="仿宋" w:cs="仿宋"/>
          <w:i w:val="0"/>
          <w:caps w:val="0"/>
          <w:color w:val="323232"/>
          <w:spacing w:val="0"/>
          <w:sz w:val="32"/>
          <w:szCs w:val="32"/>
          <w:shd w:val="clear" w:fill="FFFFFF"/>
        </w:rPr>
        <w:t>基本支出5</w:t>
      </w:r>
      <w:r>
        <w:rPr>
          <w:rFonts w:hint="eastAsia" w:ascii="仿宋" w:hAnsi="仿宋" w:eastAsia="仿宋" w:cs="仿宋"/>
          <w:i w:val="0"/>
          <w:caps w:val="0"/>
          <w:color w:val="323232"/>
          <w:spacing w:val="0"/>
          <w:sz w:val="32"/>
          <w:szCs w:val="32"/>
          <w:shd w:val="clear" w:fill="FFFFFF"/>
          <w:lang w:val="en-US" w:eastAsia="zh-CN"/>
        </w:rPr>
        <w:t>24.13</w:t>
      </w:r>
      <w:r>
        <w:rPr>
          <w:rFonts w:hint="eastAsia" w:ascii="仿宋" w:hAnsi="仿宋" w:eastAsia="仿宋" w:cs="仿宋"/>
          <w:i w:val="0"/>
          <w:caps w:val="0"/>
          <w:color w:val="323232"/>
          <w:spacing w:val="0"/>
          <w:sz w:val="32"/>
          <w:szCs w:val="32"/>
          <w:shd w:val="clear" w:fill="FFFFFF"/>
        </w:rPr>
        <w:t>万元，占</w:t>
      </w:r>
      <w:r>
        <w:rPr>
          <w:rFonts w:hint="eastAsia" w:ascii="仿宋" w:hAnsi="仿宋" w:eastAsia="仿宋" w:cs="仿宋"/>
          <w:i w:val="0"/>
          <w:caps w:val="0"/>
          <w:color w:val="323232"/>
          <w:spacing w:val="0"/>
          <w:sz w:val="32"/>
          <w:szCs w:val="32"/>
          <w:shd w:val="clear" w:fill="FFFFFF"/>
          <w:lang w:val="en-US" w:eastAsia="zh-CN"/>
        </w:rPr>
        <w:t>62.97</w:t>
      </w:r>
      <w:r>
        <w:rPr>
          <w:rFonts w:hint="eastAsia" w:ascii="仿宋" w:hAnsi="仿宋" w:eastAsia="仿宋" w:cs="仿宋"/>
          <w:i w:val="0"/>
          <w:caps w:val="0"/>
          <w:color w:val="323232"/>
          <w:spacing w:val="0"/>
          <w:sz w:val="32"/>
          <w:szCs w:val="32"/>
          <w:shd w:val="clear" w:fill="FFFFFF"/>
        </w:rPr>
        <w:t>%；项目支出</w:t>
      </w:r>
      <w:r>
        <w:rPr>
          <w:rFonts w:hint="eastAsia" w:ascii="仿宋" w:hAnsi="仿宋" w:eastAsia="仿宋" w:cs="仿宋"/>
          <w:i w:val="0"/>
          <w:caps w:val="0"/>
          <w:color w:val="323232"/>
          <w:spacing w:val="0"/>
          <w:sz w:val="32"/>
          <w:szCs w:val="32"/>
          <w:shd w:val="clear" w:fill="FFFFFF"/>
          <w:lang w:val="en-US" w:eastAsia="zh-CN"/>
        </w:rPr>
        <w:t>308.16</w:t>
      </w:r>
      <w:r>
        <w:rPr>
          <w:rFonts w:hint="eastAsia" w:ascii="仿宋" w:hAnsi="仿宋" w:eastAsia="仿宋" w:cs="仿宋"/>
          <w:i w:val="0"/>
          <w:caps w:val="0"/>
          <w:color w:val="323232"/>
          <w:spacing w:val="0"/>
          <w:sz w:val="32"/>
          <w:szCs w:val="32"/>
          <w:shd w:val="clear" w:fill="FFFFFF"/>
        </w:rPr>
        <w:t>万元，占</w:t>
      </w:r>
      <w:r>
        <w:rPr>
          <w:rFonts w:hint="eastAsia" w:ascii="仿宋" w:hAnsi="仿宋" w:eastAsia="仿宋" w:cs="仿宋"/>
          <w:i w:val="0"/>
          <w:caps w:val="0"/>
          <w:color w:val="323232"/>
          <w:spacing w:val="0"/>
          <w:sz w:val="32"/>
          <w:szCs w:val="32"/>
          <w:shd w:val="clear" w:fill="FFFFFF"/>
          <w:lang w:val="en-US" w:eastAsia="zh-CN"/>
        </w:rPr>
        <w:t>37.03</w:t>
      </w:r>
      <w:r>
        <w:rPr>
          <w:rFonts w:hint="eastAsia" w:ascii="仿宋" w:hAnsi="仿宋" w:eastAsia="仿宋" w:cs="仿宋"/>
          <w:i w:val="0"/>
          <w:caps w:val="0"/>
          <w:color w:val="323232"/>
          <w:spacing w:val="0"/>
          <w:sz w:val="32"/>
          <w:szCs w:val="32"/>
          <w:shd w:val="clear" w:fill="FFFFFF"/>
        </w:rPr>
        <w:t>%。</w:t>
      </w: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jc w:val="both"/>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420" w:firstLineChars="200"/>
        <w:jc w:val="center"/>
        <w:rPr>
          <w:rFonts w:hint="eastAsia" w:ascii="仿宋" w:hAnsi="仿宋" w:eastAsia="仿宋"/>
          <w:color w:val="000000"/>
          <w:sz w:val="32"/>
          <w:szCs w:val="32"/>
        </w:rPr>
      </w:pPr>
      <w:r>
        <w:rPr>
          <w:rFonts w:hint="eastAsia"/>
          <w:lang w:val="en-US" w:eastAsia="zh-CN"/>
        </w:rPr>
        <w:drawing>
          <wp:anchor distT="0" distB="0" distL="114935" distR="114935" simplePos="0" relativeHeight="251659264" behindDoc="0" locked="0" layoutInCell="1" allowOverlap="1">
            <wp:simplePos x="0" y="0"/>
            <wp:positionH relativeFrom="column">
              <wp:posOffset>604520</wp:posOffset>
            </wp:positionH>
            <wp:positionV relativeFrom="paragraph">
              <wp:posOffset>71120</wp:posOffset>
            </wp:positionV>
            <wp:extent cx="3587115" cy="2677795"/>
            <wp:effectExtent l="4445" t="4445" r="8890" b="2286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ind w:firstLine="640" w:firstLineChars="200"/>
        <w:jc w:val="center"/>
        <w:rPr>
          <w:rFonts w:hint="eastAsia" w:ascii="仿宋" w:hAnsi="仿宋" w:eastAsia="仿宋"/>
          <w:color w:val="000000"/>
          <w:sz w:val="32"/>
          <w:szCs w:val="32"/>
        </w:rPr>
      </w:pPr>
    </w:p>
    <w:p>
      <w:pPr>
        <w:spacing w:line="600" w:lineRule="exact"/>
        <w:jc w:val="both"/>
        <w:rPr>
          <w:rFonts w:hint="eastAsia" w:ascii="仿宋" w:hAnsi="仿宋" w:eastAsia="仿宋"/>
          <w:color w:val="000000"/>
          <w:sz w:val="32"/>
          <w:szCs w:val="32"/>
        </w:rPr>
      </w:pPr>
    </w:p>
    <w:p>
      <w:pPr>
        <w:spacing w:line="600" w:lineRule="exact"/>
        <w:jc w:val="both"/>
        <w:rPr>
          <w:rFonts w:hint="eastAsia" w:ascii="仿宋" w:hAnsi="仿宋" w:eastAsia="仿宋"/>
          <w:color w:val="000000"/>
          <w:sz w:val="32"/>
          <w:szCs w:val="32"/>
        </w:rPr>
      </w:pPr>
    </w:p>
    <w:p>
      <w:pPr>
        <w:spacing w:line="600" w:lineRule="exact"/>
        <w:ind w:firstLine="640" w:firstLineChars="200"/>
        <w:jc w:val="center"/>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仿宋" w:hAnsi="仿宋" w:eastAsia="仿宋" w:cs="仿宋"/>
          <w:i w:val="0"/>
          <w:caps w:val="0"/>
          <w:color w:val="323232"/>
          <w:spacing w:val="0"/>
          <w:sz w:val="32"/>
          <w:szCs w:val="32"/>
          <w:shd w:val="clear" w:fill="FFFFFF"/>
        </w:rPr>
      </w:pPr>
    </w:p>
    <w:p>
      <w:pPr>
        <w:spacing w:line="600" w:lineRule="exact"/>
        <w:ind w:firstLine="640" w:firstLineChars="200"/>
        <w:outlineLvl w:val="1"/>
        <w:rPr>
          <w:rStyle w:val="26"/>
          <w:rFonts w:ascii="黑体" w:hAnsi="黑体" w:eastAsia="黑体"/>
          <w:b w:val="0"/>
        </w:rPr>
      </w:pPr>
      <w:bookmarkStart w:id="28" w:name="_Toc15377208"/>
      <w:bookmarkStart w:id="29" w:name="_Toc15396606"/>
      <w:r>
        <w:rPr>
          <w:rFonts w:hint="eastAsia" w:ascii="黑体" w:hAnsi="黑体" w:eastAsia="黑体"/>
          <w:color w:val="000000"/>
          <w:sz w:val="32"/>
          <w:szCs w:val="32"/>
        </w:rPr>
        <w:t>四、财</w:t>
      </w:r>
      <w:r>
        <w:rPr>
          <w:rStyle w:val="26"/>
          <w:rFonts w:hint="eastAsia" w:ascii="黑体" w:hAnsi="黑体" w:eastAsia="黑体"/>
          <w:b w:val="0"/>
        </w:rPr>
        <w:t>政拨款收入支出决算总体情况说明</w:t>
      </w:r>
      <w:bookmarkEnd w:id="28"/>
      <w:bookmarkEnd w:id="29"/>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uto"/>
        <w:ind w:right="0" w:firstLine="640" w:firstLineChars="200"/>
        <w:jc w:val="left"/>
        <w:textAlignment w:val="auto"/>
        <w:rPr>
          <w:rFonts w:hint="eastAsia" w:ascii="仿宋" w:hAnsi="仿宋" w:eastAsia="仿宋" w:cs="仿宋"/>
          <w:i w:val="0"/>
          <w:caps w:val="0"/>
          <w:color w:val="323232"/>
          <w:spacing w:val="0"/>
          <w:sz w:val="32"/>
          <w:szCs w:val="32"/>
          <w:shd w:val="clear" w:fill="FFFFFF"/>
          <w:lang w:eastAsia="zh-CN"/>
        </w:rPr>
      </w:pPr>
      <w:r>
        <w:rPr>
          <w:rFonts w:ascii="仿宋" w:hAnsi="仿宋" w:eastAsia="仿宋"/>
          <w:color w:val="000000"/>
          <w:sz w:val="32"/>
          <w:szCs w:val="32"/>
        </w:rPr>
        <w:t>201</w:t>
      </w:r>
      <w:r>
        <w:rPr>
          <w:rFonts w:hint="eastAsia" w:ascii="仿宋" w:hAnsi="仿宋" w:eastAsia="仿宋"/>
          <w:color w:val="000000"/>
          <w:sz w:val="32"/>
          <w:szCs w:val="32"/>
        </w:rPr>
        <w:t>8年财政拨款收</w:t>
      </w:r>
      <w:r>
        <w:rPr>
          <w:rFonts w:hint="eastAsia" w:ascii="仿宋" w:hAnsi="仿宋" w:eastAsia="仿宋"/>
          <w:color w:val="000000"/>
          <w:sz w:val="32"/>
          <w:szCs w:val="32"/>
          <w:lang w:eastAsia="zh-CN"/>
        </w:rPr>
        <w:t>入总计</w:t>
      </w:r>
      <w:r>
        <w:rPr>
          <w:rFonts w:hint="eastAsia" w:ascii="仿宋" w:hAnsi="仿宋" w:eastAsia="仿宋"/>
          <w:color w:val="000000"/>
          <w:sz w:val="32"/>
          <w:szCs w:val="32"/>
          <w:lang w:val="en-US" w:eastAsia="zh-CN"/>
        </w:rPr>
        <w:t xml:space="preserve"> 841.85万元</w:t>
      </w:r>
      <w:r>
        <w:rPr>
          <w:rFonts w:hint="eastAsia" w:ascii="仿宋" w:hAnsi="仿宋" w:eastAsia="仿宋"/>
          <w:color w:val="000000"/>
          <w:sz w:val="32"/>
          <w:szCs w:val="32"/>
        </w:rPr>
        <w:t>、支</w:t>
      </w:r>
      <w:r>
        <w:rPr>
          <w:rFonts w:hint="eastAsia" w:ascii="仿宋" w:hAnsi="仿宋" w:eastAsia="仿宋"/>
          <w:color w:val="000000"/>
          <w:sz w:val="32"/>
          <w:szCs w:val="32"/>
          <w:lang w:eastAsia="zh-CN"/>
        </w:rPr>
        <w:t>出</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832.29</w:t>
      </w:r>
      <w:r>
        <w:rPr>
          <w:rFonts w:hint="eastAsia" w:ascii="仿宋" w:hAnsi="仿宋" w:eastAsia="仿宋"/>
          <w:color w:val="000000"/>
          <w:sz w:val="32"/>
          <w:szCs w:val="32"/>
        </w:rPr>
        <w:t>万元。与</w:t>
      </w:r>
      <w:r>
        <w:rPr>
          <w:rFonts w:ascii="仿宋" w:hAnsi="仿宋" w:eastAsia="仿宋"/>
          <w:color w:val="000000"/>
          <w:sz w:val="32"/>
          <w:szCs w:val="32"/>
        </w:rPr>
        <w:t>201</w:t>
      </w:r>
      <w:r>
        <w:rPr>
          <w:rFonts w:hint="eastAsia" w:ascii="仿宋" w:hAnsi="仿宋" w:eastAsia="仿宋"/>
          <w:color w:val="000000"/>
          <w:sz w:val="32"/>
          <w:szCs w:val="32"/>
        </w:rPr>
        <w:t>7年相比，财政拨款收</w:t>
      </w:r>
      <w:r>
        <w:rPr>
          <w:rFonts w:hint="eastAsia" w:ascii="仿宋" w:hAnsi="仿宋" w:eastAsia="仿宋"/>
          <w:color w:val="000000"/>
          <w:sz w:val="32"/>
          <w:szCs w:val="32"/>
          <w:lang w:eastAsia="zh-CN"/>
        </w:rPr>
        <w:t>入增加</w:t>
      </w:r>
      <w:r>
        <w:rPr>
          <w:rFonts w:hint="eastAsia" w:ascii="仿宋" w:hAnsi="仿宋" w:eastAsia="仿宋"/>
          <w:color w:val="000000"/>
          <w:sz w:val="32"/>
          <w:szCs w:val="32"/>
          <w:lang w:val="en-US" w:eastAsia="zh-CN"/>
        </w:rPr>
        <w:t>31.33万元，增长3.87%；</w:t>
      </w:r>
      <w:r>
        <w:rPr>
          <w:rFonts w:hint="eastAsia" w:ascii="仿宋" w:hAnsi="仿宋" w:eastAsia="仿宋"/>
          <w:color w:val="000000"/>
          <w:sz w:val="32"/>
          <w:szCs w:val="32"/>
        </w:rPr>
        <w:t>支</w:t>
      </w:r>
      <w:r>
        <w:rPr>
          <w:rFonts w:hint="eastAsia" w:ascii="仿宋" w:hAnsi="仿宋" w:eastAsia="仿宋"/>
          <w:color w:val="000000"/>
          <w:sz w:val="32"/>
          <w:szCs w:val="32"/>
          <w:lang w:eastAsia="zh-CN"/>
        </w:rPr>
        <w:t>出</w:t>
      </w:r>
      <w:r>
        <w:rPr>
          <w:rFonts w:hint="eastAsia" w:ascii="仿宋" w:hAnsi="仿宋" w:eastAsia="仿宋"/>
          <w:color w:val="000000"/>
          <w:sz w:val="32"/>
          <w:szCs w:val="32"/>
        </w:rPr>
        <w:t>总计</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42.43</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5.37</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s="仿宋"/>
          <w:i w:val="0"/>
          <w:caps w:val="0"/>
          <w:color w:val="323232"/>
          <w:spacing w:val="0"/>
          <w:sz w:val="32"/>
          <w:szCs w:val="32"/>
          <w:shd w:val="clear" w:fill="FFFFFF"/>
        </w:rPr>
        <w:t>主要原因</w:t>
      </w:r>
      <w:r>
        <w:rPr>
          <w:rFonts w:hint="eastAsia" w:ascii="仿宋" w:hAnsi="仿宋" w:eastAsia="仿宋" w:cs="仿宋"/>
          <w:i w:val="0"/>
          <w:caps w:val="0"/>
          <w:color w:val="323232"/>
          <w:spacing w:val="0"/>
          <w:sz w:val="32"/>
          <w:szCs w:val="32"/>
          <w:shd w:val="clear" w:fill="FFFFFF"/>
          <w:lang w:eastAsia="zh-CN"/>
        </w:rPr>
        <w:t>是人员新增及项目支出有所增加。</w:t>
      </w:r>
      <w:r>
        <w:rPr>
          <w:rFonts w:hint="eastAsia" w:ascii="仿宋" w:hAnsi="仿宋" w:eastAsia="仿宋" w:cs="仿宋"/>
          <w:i w:val="0"/>
          <w:caps w:val="0"/>
          <w:color w:val="323232"/>
          <w:spacing w:val="0"/>
          <w:sz w:val="32"/>
          <w:szCs w:val="32"/>
          <w:shd w:val="clear" w:fill="FFFFFF"/>
          <w:lang w:val="en-US" w:eastAsia="zh-CN"/>
        </w:rPr>
        <w:t xml:space="preserve">                                                                     </w:t>
      </w:r>
    </w:p>
    <w:p>
      <w:pPr>
        <w:spacing w:line="600" w:lineRule="exact"/>
        <w:ind w:firstLine="420" w:firstLineChars="200"/>
        <w:rPr>
          <w:rFonts w:hint="eastAsia" w:ascii="仿宋" w:hAnsi="仿宋" w:eastAsia="仿宋"/>
          <w:color w:val="000000"/>
          <w:sz w:val="32"/>
          <w:szCs w:val="32"/>
        </w:rPr>
      </w:pPr>
      <w:r>
        <w:rPr>
          <w:rFonts w:hint="eastAsia"/>
          <w:lang w:val="en-US" w:eastAsia="zh-CN"/>
        </w:rPr>
        <w:drawing>
          <wp:anchor distT="0" distB="0" distL="114300" distR="114300" simplePos="0" relativeHeight="251663360" behindDoc="1" locked="0" layoutInCell="1" allowOverlap="1">
            <wp:simplePos x="0" y="0"/>
            <wp:positionH relativeFrom="column">
              <wp:posOffset>1000125</wp:posOffset>
            </wp:positionH>
            <wp:positionV relativeFrom="paragraph">
              <wp:posOffset>36195</wp:posOffset>
            </wp:positionV>
            <wp:extent cx="3242310" cy="2267585"/>
            <wp:effectExtent l="4445" t="4445" r="10795" b="13970"/>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cs="仿宋"/>
          <w:i w:val="0"/>
          <w:caps w:val="0"/>
          <w:color w:val="323232"/>
          <w:spacing w:val="0"/>
          <w:sz w:val="32"/>
          <w:szCs w:val="32"/>
          <w:shd w:val="clear" w:fill="FFFFFF"/>
          <w:lang w:eastAsia="zh-CN"/>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spacing w:line="600" w:lineRule="exact"/>
        <w:ind w:firstLine="640" w:firstLineChars="200"/>
        <w:outlineLvl w:val="1"/>
        <w:rPr>
          <w:rFonts w:hint="eastAsia" w:ascii="黑体" w:hAnsi="黑体" w:eastAsia="黑体"/>
          <w:color w:val="000000"/>
          <w:sz w:val="32"/>
          <w:szCs w:val="32"/>
        </w:rPr>
      </w:pPr>
      <w:bookmarkStart w:id="30" w:name="_Toc15377209"/>
      <w:bookmarkStart w:id="31" w:name="_Toc15396607"/>
    </w:p>
    <w:p>
      <w:pPr>
        <w:spacing w:line="600" w:lineRule="exact"/>
        <w:ind w:firstLine="640" w:firstLineChars="200"/>
        <w:outlineLvl w:val="1"/>
        <w:rPr>
          <w:rStyle w:val="26"/>
          <w:rFonts w:ascii="黑体" w:hAnsi="黑体" w:eastAsia="黑体"/>
          <w:b w:val="0"/>
        </w:rPr>
      </w:pPr>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6"/>
          <w:rFonts w:hint="eastAsia" w:ascii="黑体" w:hAnsi="黑体" w:eastAsia="黑体"/>
          <w:b w:val="0"/>
        </w:rPr>
        <w:t>般公共预算财政拨款支出决算情况说明</w:t>
      </w:r>
      <w:bookmarkEnd w:id="30"/>
      <w:bookmarkEnd w:id="31"/>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（一）一般公共预算财政拨款支出决算总体情况</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shd w:val="clear" w:fill="FFFFFF"/>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年度一般公共预算财政拨款支出</w:t>
      </w:r>
      <w:r>
        <w:rPr>
          <w:rFonts w:hint="eastAsia" w:ascii="仿宋" w:hAnsi="仿宋" w:eastAsia="仿宋" w:cs="仿宋"/>
          <w:i w:val="0"/>
          <w:caps w:val="0"/>
          <w:color w:val="323232"/>
          <w:spacing w:val="0"/>
          <w:sz w:val="32"/>
          <w:szCs w:val="32"/>
          <w:shd w:val="clear" w:fill="FFFFFF"/>
          <w:lang w:val="en-US" w:eastAsia="zh-CN"/>
        </w:rPr>
        <w:t>832.29</w:t>
      </w:r>
      <w:r>
        <w:rPr>
          <w:rFonts w:hint="eastAsia" w:ascii="仿宋" w:hAnsi="仿宋" w:eastAsia="仿宋" w:cs="仿宋"/>
          <w:i w:val="0"/>
          <w:caps w:val="0"/>
          <w:color w:val="323232"/>
          <w:spacing w:val="0"/>
          <w:sz w:val="32"/>
          <w:szCs w:val="32"/>
          <w:shd w:val="clear" w:fill="FFFFFF"/>
        </w:rPr>
        <w:t>万元，占本年支出合计的100%。与201</w:t>
      </w:r>
      <w:r>
        <w:rPr>
          <w:rFonts w:hint="eastAsia" w:ascii="仿宋" w:hAnsi="仿宋" w:eastAsia="仿宋" w:cs="仿宋"/>
          <w:i w:val="0"/>
          <w:caps w:val="0"/>
          <w:color w:val="323232"/>
          <w:spacing w:val="0"/>
          <w:sz w:val="32"/>
          <w:szCs w:val="32"/>
          <w:shd w:val="clear" w:fill="FFFFFF"/>
          <w:lang w:val="en-US" w:eastAsia="zh-CN"/>
        </w:rPr>
        <w:t>7</w:t>
      </w:r>
      <w:r>
        <w:rPr>
          <w:rFonts w:hint="eastAsia" w:ascii="仿宋" w:hAnsi="仿宋" w:eastAsia="仿宋" w:cs="仿宋"/>
          <w:i w:val="0"/>
          <w:caps w:val="0"/>
          <w:color w:val="323232"/>
          <w:spacing w:val="0"/>
          <w:sz w:val="32"/>
          <w:szCs w:val="32"/>
          <w:shd w:val="clear" w:fill="FFFFFF"/>
        </w:rPr>
        <w:t>年相比，一般公共预算财政拨款</w:t>
      </w:r>
      <w:r>
        <w:rPr>
          <w:rFonts w:hint="eastAsia" w:ascii="仿宋" w:hAnsi="仿宋" w:eastAsia="仿宋" w:cs="仿宋"/>
          <w:i w:val="0"/>
          <w:caps w:val="0"/>
          <w:color w:val="323232"/>
          <w:spacing w:val="0"/>
          <w:sz w:val="32"/>
          <w:szCs w:val="32"/>
          <w:shd w:val="clear" w:fill="FFFFFF"/>
          <w:lang w:eastAsia="zh-CN"/>
        </w:rPr>
        <w:t>增加</w:t>
      </w:r>
      <w:r>
        <w:rPr>
          <w:rFonts w:hint="eastAsia" w:ascii="仿宋" w:hAnsi="仿宋" w:eastAsia="仿宋" w:cs="仿宋"/>
          <w:i w:val="0"/>
          <w:caps w:val="0"/>
          <w:color w:val="323232"/>
          <w:spacing w:val="0"/>
          <w:sz w:val="32"/>
          <w:szCs w:val="32"/>
          <w:shd w:val="clear" w:fill="FFFFFF"/>
          <w:lang w:val="en-US" w:eastAsia="zh-CN"/>
        </w:rPr>
        <w:t>42.43</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增长</w:t>
      </w:r>
      <w:r>
        <w:rPr>
          <w:rFonts w:hint="eastAsia" w:ascii="仿宋" w:hAnsi="仿宋" w:eastAsia="仿宋" w:cs="仿宋"/>
          <w:i w:val="0"/>
          <w:caps w:val="0"/>
          <w:color w:val="323232"/>
          <w:spacing w:val="0"/>
          <w:sz w:val="32"/>
          <w:szCs w:val="32"/>
          <w:shd w:val="clear" w:fill="FFFFFF"/>
          <w:lang w:val="en-US" w:eastAsia="zh-CN"/>
        </w:rPr>
        <w:t>5.37</w:t>
      </w:r>
      <w:r>
        <w:rPr>
          <w:rFonts w:hint="eastAsia" w:ascii="仿宋" w:hAnsi="仿宋" w:eastAsia="仿宋" w:cs="仿宋"/>
          <w:i w:val="0"/>
          <w:caps w:val="0"/>
          <w:color w:val="323232"/>
          <w:spacing w:val="0"/>
          <w:sz w:val="32"/>
          <w:szCs w:val="32"/>
          <w:shd w:val="clear" w:fill="FFFFFF"/>
        </w:rPr>
        <w:t> %。</w:t>
      </w:r>
    </w:p>
    <w:p>
      <w:pPr>
        <w:spacing w:line="600" w:lineRule="exact"/>
        <w:ind w:firstLine="420" w:firstLineChars="200"/>
        <w:rPr>
          <w:rFonts w:hint="eastAsia" w:ascii="仿宋" w:hAnsi="仿宋" w:eastAsia="仿宋"/>
          <w:color w:val="000000"/>
          <w:sz w:val="32"/>
          <w:szCs w:val="32"/>
        </w:rPr>
      </w:pPr>
      <w:r>
        <w:rPr>
          <w:rFonts w:hint="eastAsia"/>
          <w:lang w:val="en-US" w:eastAsia="zh-CN"/>
        </w:rPr>
        <w:drawing>
          <wp:anchor distT="0" distB="0" distL="114300" distR="114300" simplePos="0" relativeHeight="251662336" behindDoc="0" locked="0" layoutInCell="1" allowOverlap="1">
            <wp:simplePos x="0" y="0"/>
            <wp:positionH relativeFrom="column">
              <wp:posOffset>652145</wp:posOffset>
            </wp:positionH>
            <wp:positionV relativeFrom="paragraph">
              <wp:posOffset>179705</wp:posOffset>
            </wp:positionV>
            <wp:extent cx="3795395" cy="2810510"/>
            <wp:effectExtent l="4445" t="4445" r="10160" b="23495"/>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576" w:firstLineChars="200"/>
        <w:rPr>
          <w:rFonts w:ascii="仿宋" w:hAnsi="仿宋" w:eastAsia="仿宋"/>
          <w:color w:val="000000"/>
          <w:w w:val="90"/>
          <w:sz w:val="32"/>
          <w:szCs w:val="32"/>
        </w:rPr>
      </w:pPr>
      <w:r>
        <w:rPr>
          <w:rFonts w:hint="eastAsia" w:ascii="仿宋" w:hAnsi="仿宋" w:eastAsia="仿宋"/>
          <w:color w:val="000000"/>
          <w:w w:val="90"/>
          <w:sz w:val="32"/>
          <w:szCs w:val="32"/>
        </w:rPr>
        <w:t>（图</w:t>
      </w:r>
      <w:r>
        <w:rPr>
          <w:rFonts w:ascii="仿宋" w:hAnsi="仿宋" w:eastAsia="仿宋"/>
          <w:color w:val="000000"/>
          <w:w w:val="90"/>
          <w:sz w:val="32"/>
          <w:szCs w:val="32"/>
        </w:rPr>
        <w:t>5</w:t>
      </w:r>
      <w:r>
        <w:rPr>
          <w:rFonts w:hint="eastAsia" w:ascii="仿宋" w:hAnsi="仿宋" w:eastAsia="仿宋"/>
          <w:color w:val="000000"/>
          <w:w w:val="90"/>
          <w:sz w:val="32"/>
          <w:szCs w:val="32"/>
        </w:rPr>
        <w:t>：一般公共预算财政拨款支出决算变动情况）（柱状图）</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w w:val="90"/>
          <w:sz w:val="32"/>
          <w:szCs w:val="32"/>
          <w:shd w:val="clear" w:fill="FFFFFF"/>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（二）一般公共预算财政拨款支出决算结构情况</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shd w:val="clear" w:fill="FFFFFF"/>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年一般公共预算财政拨款支出</w:t>
      </w:r>
      <w:r>
        <w:rPr>
          <w:rFonts w:hint="eastAsia" w:ascii="仿宋" w:hAnsi="仿宋" w:eastAsia="仿宋" w:cs="仿宋"/>
          <w:i w:val="0"/>
          <w:caps w:val="0"/>
          <w:color w:val="323232"/>
          <w:spacing w:val="0"/>
          <w:sz w:val="32"/>
          <w:szCs w:val="32"/>
          <w:shd w:val="clear" w:fill="FFFFFF"/>
          <w:lang w:val="en-US" w:eastAsia="zh-CN"/>
        </w:rPr>
        <w:t>832.29</w:t>
      </w:r>
      <w:r>
        <w:rPr>
          <w:rFonts w:hint="eastAsia" w:ascii="仿宋" w:hAnsi="仿宋" w:eastAsia="仿宋" w:cs="仿宋"/>
          <w:i w:val="0"/>
          <w:caps w:val="0"/>
          <w:color w:val="323232"/>
          <w:spacing w:val="0"/>
          <w:sz w:val="32"/>
          <w:szCs w:val="32"/>
          <w:shd w:val="clear" w:fill="FFFFFF"/>
        </w:rPr>
        <w:t>万元，主要用于以下方面:社会保障和就业支出4</w:t>
      </w:r>
      <w:r>
        <w:rPr>
          <w:rFonts w:hint="eastAsia" w:ascii="仿宋" w:hAnsi="仿宋" w:eastAsia="仿宋" w:cs="仿宋"/>
          <w:i w:val="0"/>
          <w:caps w:val="0"/>
          <w:color w:val="323232"/>
          <w:spacing w:val="0"/>
          <w:sz w:val="32"/>
          <w:szCs w:val="32"/>
          <w:shd w:val="clear" w:fill="FFFFFF"/>
          <w:lang w:val="en-US" w:eastAsia="zh-CN"/>
        </w:rPr>
        <w:t>3</w:t>
      </w:r>
      <w:r>
        <w:rPr>
          <w:rFonts w:hint="eastAsia" w:ascii="仿宋" w:hAnsi="仿宋" w:eastAsia="仿宋" w:cs="仿宋"/>
          <w:i w:val="0"/>
          <w:caps w:val="0"/>
          <w:color w:val="323232"/>
          <w:spacing w:val="0"/>
          <w:sz w:val="32"/>
          <w:szCs w:val="32"/>
          <w:shd w:val="clear" w:fill="FFFFFF"/>
        </w:rPr>
        <w:t>.</w:t>
      </w:r>
      <w:r>
        <w:rPr>
          <w:rFonts w:hint="eastAsia" w:ascii="仿宋" w:hAnsi="仿宋" w:eastAsia="仿宋" w:cs="仿宋"/>
          <w:i w:val="0"/>
          <w:caps w:val="0"/>
          <w:color w:val="323232"/>
          <w:spacing w:val="0"/>
          <w:sz w:val="32"/>
          <w:szCs w:val="32"/>
          <w:shd w:val="clear" w:fill="FFFFFF"/>
          <w:lang w:val="en-US" w:eastAsia="zh-CN"/>
        </w:rPr>
        <w:t>80</w:t>
      </w:r>
      <w:r>
        <w:rPr>
          <w:rFonts w:hint="eastAsia" w:ascii="仿宋" w:hAnsi="仿宋" w:eastAsia="仿宋" w:cs="仿宋"/>
          <w:i w:val="0"/>
          <w:caps w:val="0"/>
          <w:color w:val="323232"/>
          <w:spacing w:val="0"/>
          <w:sz w:val="32"/>
          <w:szCs w:val="32"/>
          <w:shd w:val="clear" w:fill="FFFFFF"/>
        </w:rPr>
        <w:t>万元，占</w:t>
      </w:r>
      <w:r>
        <w:rPr>
          <w:rFonts w:hint="eastAsia" w:ascii="仿宋" w:hAnsi="仿宋" w:eastAsia="仿宋" w:cs="仿宋"/>
          <w:i w:val="0"/>
          <w:caps w:val="0"/>
          <w:color w:val="323232"/>
          <w:spacing w:val="0"/>
          <w:sz w:val="32"/>
          <w:szCs w:val="32"/>
          <w:shd w:val="clear" w:fill="FFFFFF"/>
          <w:lang w:val="en-US" w:eastAsia="zh-CN"/>
        </w:rPr>
        <w:t>5.26</w:t>
      </w:r>
      <w:r>
        <w:rPr>
          <w:rFonts w:hint="eastAsia" w:ascii="仿宋" w:hAnsi="仿宋" w:eastAsia="仿宋" w:cs="仿宋"/>
          <w:i w:val="0"/>
          <w:caps w:val="0"/>
          <w:color w:val="323232"/>
          <w:spacing w:val="0"/>
          <w:sz w:val="32"/>
          <w:szCs w:val="32"/>
          <w:shd w:val="clear" w:fill="FFFFFF"/>
        </w:rPr>
        <w:t>%；医疗卫生支出22</w:t>
      </w:r>
      <w:r>
        <w:rPr>
          <w:rFonts w:hint="eastAsia" w:ascii="仿宋" w:hAnsi="仿宋" w:eastAsia="仿宋" w:cs="仿宋"/>
          <w:i w:val="0"/>
          <w:caps w:val="0"/>
          <w:color w:val="323232"/>
          <w:spacing w:val="0"/>
          <w:sz w:val="32"/>
          <w:szCs w:val="32"/>
          <w:shd w:val="clear" w:fill="FFFFFF"/>
          <w:lang w:val="en-US" w:eastAsia="zh-CN"/>
        </w:rPr>
        <w:t>.45</w:t>
      </w:r>
      <w:r>
        <w:rPr>
          <w:rFonts w:hint="eastAsia" w:ascii="仿宋" w:hAnsi="仿宋" w:eastAsia="仿宋" w:cs="仿宋"/>
          <w:i w:val="0"/>
          <w:caps w:val="0"/>
          <w:color w:val="323232"/>
          <w:spacing w:val="0"/>
          <w:sz w:val="32"/>
          <w:szCs w:val="32"/>
          <w:shd w:val="clear" w:fill="FFFFFF"/>
        </w:rPr>
        <w:t>万元，占</w:t>
      </w:r>
      <w:r>
        <w:rPr>
          <w:rFonts w:hint="eastAsia" w:ascii="仿宋" w:hAnsi="仿宋" w:eastAsia="仿宋" w:cs="仿宋"/>
          <w:i w:val="0"/>
          <w:caps w:val="0"/>
          <w:color w:val="323232"/>
          <w:spacing w:val="0"/>
          <w:sz w:val="32"/>
          <w:szCs w:val="32"/>
          <w:shd w:val="clear" w:fill="FFFFFF"/>
          <w:lang w:val="en-US" w:eastAsia="zh-CN"/>
        </w:rPr>
        <w:t>2.70</w:t>
      </w:r>
      <w:r>
        <w:rPr>
          <w:rFonts w:hint="eastAsia" w:ascii="仿宋" w:hAnsi="仿宋" w:eastAsia="仿宋" w:cs="仿宋"/>
          <w:i w:val="0"/>
          <w:caps w:val="0"/>
          <w:color w:val="323232"/>
          <w:spacing w:val="0"/>
          <w:sz w:val="32"/>
          <w:szCs w:val="32"/>
          <w:shd w:val="clear" w:fill="FFFFFF"/>
        </w:rPr>
        <w:t>%；资源勘探信息支出</w:t>
      </w:r>
      <w:r>
        <w:rPr>
          <w:rFonts w:hint="eastAsia" w:ascii="仿宋" w:hAnsi="仿宋" w:eastAsia="仿宋" w:cs="仿宋"/>
          <w:i w:val="0"/>
          <w:caps w:val="0"/>
          <w:color w:val="323232"/>
          <w:spacing w:val="0"/>
          <w:sz w:val="32"/>
          <w:szCs w:val="32"/>
          <w:shd w:val="clear" w:fill="FFFFFF"/>
          <w:lang w:val="en-US" w:eastAsia="zh-CN"/>
        </w:rPr>
        <w:t>726.56</w:t>
      </w:r>
      <w:r>
        <w:rPr>
          <w:rFonts w:hint="eastAsia" w:ascii="仿宋" w:hAnsi="仿宋" w:eastAsia="仿宋" w:cs="仿宋"/>
          <w:i w:val="0"/>
          <w:caps w:val="0"/>
          <w:color w:val="323232"/>
          <w:spacing w:val="0"/>
          <w:sz w:val="32"/>
          <w:szCs w:val="32"/>
          <w:shd w:val="clear" w:fill="FFFFFF"/>
        </w:rPr>
        <w:t>万元，占86.89%，住房保障支出</w:t>
      </w:r>
      <w:r>
        <w:rPr>
          <w:rFonts w:hint="eastAsia" w:ascii="仿宋" w:hAnsi="仿宋" w:eastAsia="仿宋" w:cs="仿宋"/>
          <w:i w:val="0"/>
          <w:caps w:val="0"/>
          <w:color w:val="323232"/>
          <w:spacing w:val="0"/>
          <w:sz w:val="32"/>
          <w:szCs w:val="32"/>
          <w:shd w:val="clear" w:fill="FFFFFF"/>
          <w:lang w:val="en-US" w:eastAsia="zh-CN"/>
        </w:rPr>
        <w:t>39.48</w:t>
      </w:r>
      <w:r>
        <w:rPr>
          <w:rFonts w:hint="eastAsia" w:ascii="仿宋" w:hAnsi="仿宋" w:eastAsia="仿宋" w:cs="仿宋"/>
          <w:i w:val="0"/>
          <w:caps w:val="0"/>
          <w:color w:val="323232"/>
          <w:spacing w:val="0"/>
          <w:sz w:val="32"/>
          <w:szCs w:val="32"/>
          <w:shd w:val="clear" w:fill="FFFFFF"/>
        </w:rPr>
        <w:t>万元，占</w:t>
      </w:r>
      <w:r>
        <w:rPr>
          <w:rFonts w:hint="eastAsia" w:ascii="仿宋" w:hAnsi="仿宋" w:eastAsia="仿宋" w:cs="仿宋"/>
          <w:i w:val="0"/>
          <w:caps w:val="0"/>
          <w:color w:val="323232"/>
          <w:spacing w:val="0"/>
          <w:sz w:val="32"/>
          <w:szCs w:val="32"/>
          <w:shd w:val="clear" w:fill="FFFFFF"/>
          <w:lang w:val="en-US" w:eastAsia="zh-CN"/>
        </w:rPr>
        <w:t>4.74</w:t>
      </w:r>
      <w:r>
        <w:rPr>
          <w:rFonts w:hint="eastAsia" w:ascii="仿宋" w:hAnsi="仿宋" w:eastAsia="仿宋" w:cs="仿宋"/>
          <w:i w:val="0"/>
          <w:caps w:val="0"/>
          <w:color w:val="323232"/>
          <w:spacing w:val="0"/>
          <w:sz w:val="32"/>
          <w:szCs w:val="32"/>
          <w:shd w:val="clear" w:fill="FFFFFF"/>
        </w:rPr>
        <w:t>%。</w:t>
      </w:r>
    </w:p>
    <w:p>
      <w:pPr>
        <w:spacing w:line="600" w:lineRule="exact"/>
        <w:ind w:firstLine="640" w:firstLineChars="200"/>
        <w:rPr>
          <w:rFonts w:hint="eastAsia" w:ascii="仿宋" w:hAnsi="仿宋" w:eastAsia="仿宋"/>
          <w:color w:val="000000"/>
          <w:sz w:val="32"/>
          <w:szCs w:val="32"/>
          <w:lang w:eastAsia="zh-CN"/>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3360" behindDoc="0" locked="0" layoutInCell="1" allowOverlap="1">
            <wp:simplePos x="0" y="0"/>
            <wp:positionH relativeFrom="column">
              <wp:posOffset>590550</wp:posOffset>
            </wp:positionH>
            <wp:positionV relativeFrom="paragraph">
              <wp:posOffset>82550</wp:posOffset>
            </wp:positionV>
            <wp:extent cx="3862705" cy="2733675"/>
            <wp:effectExtent l="4445" t="4445" r="19050" b="508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ind w:firstLine="576" w:firstLineChars="200"/>
        <w:rPr>
          <w:rFonts w:hint="eastAsia" w:ascii="仿宋" w:hAnsi="仿宋" w:eastAsia="仿宋"/>
          <w:color w:val="000000"/>
          <w:w w:val="90"/>
          <w:sz w:val="32"/>
          <w:szCs w:val="32"/>
        </w:rPr>
      </w:pPr>
    </w:p>
    <w:p>
      <w:pPr>
        <w:spacing w:line="600" w:lineRule="exact"/>
        <w:ind w:firstLine="576" w:firstLineChars="200"/>
        <w:rPr>
          <w:rFonts w:hint="eastAsia" w:ascii="仿宋" w:hAnsi="仿宋" w:eastAsia="仿宋"/>
          <w:color w:val="000000"/>
          <w:w w:val="90"/>
          <w:sz w:val="32"/>
          <w:szCs w:val="32"/>
        </w:rPr>
      </w:pPr>
    </w:p>
    <w:p>
      <w:pPr>
        <w:spacing w:line="600" w:lineRule="exact"/>
        <w:rPr>
          <w:rFonts w:hint="eastAsia" w:ascii="仿宋" w:hAnsi="仿宋" w:eastAsia="仿宋"/>
          <w:color w:val="000000"/>
          <w:w w:val="90"/>
          <w:sz w:val="32"/>
          <w:szCs w:val="32"/>
        </w:rPr>
      </w:pPr>
    </w:p>
    <w:p>
      <w:pPr>
        <w:spacing w:line="600" w:lineRule="exact"/>
        <w:ind w:firstLine="576" w:firstLineChars="200"/>
        <w:rPr>
          <w:rFonts w:hint="eastAsia" w:ascii="仿宋" w:hAnsi="仿宋" w:eastAsia="仿宋" w:cs="仿宋"/>
          <w:i w:val="0"/>
          <w:caps w:val="0"/>
          <w:color w:val="323232"/>
          <w:spacing w:val="0"/>
          <w:sz w:val="32"/>
          <w:szCs w:val="32"/>
          <w:shd w:val="clear" w:fill="FFFFFF"/>
        </w:rPr>
      </w:pPr>
      <w:r>
        <w:rPr>
          <w:rFonts w:hint="eastAsia" w:ascii="仿宋" w:hAnsi="仿宋" w:eastAsia="仿宋"/>
          <w:color w:val="000000"/>
          <w:w w:val="90"/>
          <w:sz w:val="32"/>
          <w:szCs w:val="32"/>
        </w:rPr>
        <w:t>（图</w:t>
      </w:r>
      <w:r>
        <w:rPr>
          <w:rFonts w:ascii="仿宋" w:hAnsi="仿宋" w:eastAsia="仿宋"/>
          <w:color w:val="000000"/>
          <w:w w:val="90"/>
          <w:sz w:val="32"/>
          <w:szCs w:val="32"/>
        </w:rPr>
        <w:t>6</w:t>
      </w:r>
      <w:r>
        <w:rPr>
          <w:rFonts w:hint="eastAsia" w:ascii="仿宋" w:hAnsi="仿宋" w:eastAsia="仿宋"/>
          <w:color w:val="000000"/>
          <w:w w:val="90"/>
          <w:sz w:val="32"/>
          <w:szCs w:val="32"/>
        </w:rPr>
        <w:t>：一般公共预算财政拨款支出决算结构）（饼状图）</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（三）一般公共预算财政拨款支出决算具体情况</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1、资源勘探信息—安全生产监管—行政运行：支出决算数为</w:t>
      </w:r>
      <w:r>
        <w:rPr>
          <w:rFonts w:hint="eastAsia" w:ascii="仿宋" w:hAnsi="仿宋" w:eastAsia="仿宋" w:cs="仿宋"/>
          <w:i w:val="0"/>
          <w:caps w:val="0"/>
          <w:color w:val="323232"/>
          <w:spacing w:val="0"/>
          <w:sz w:val="32"/>
          <w:szCs w:val="32"/>
          <w:shd w:val="clear" w:fill="FFFFFF"/>
          <w:lang w:val="en-US" w:eastAsia="zh-CN"/>
        </w:rPr>
        <w:t>418.40</w:t>
      </w:r>
      <w:r>
        <w:rPr>
          <w:rFonts w:hint="eastAsia" w:ascii="仿宋" w:hAnsi="仿宋" w:eastAsia="仿宋" w:cs="仿宋"/>
          <w:i w:val="0"/>
          <w:caps w:val="0"/>
          <w:color w:val="323232"/>
          <w:spacing w:val="0"/>
          <w:sz w:val="32"/>
          <w:szCs w:val="32"/>
          <w:shd w:val="clear" w:fill="FFFFFF"/>
        </w:rPr>
        <w:t>万元，完成预算100%。</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  资源勘探信息—安全生产监管—一般事务管理:支出决算数为</w:t>
      </w:r>
      <w:r>
        <w:rPr>
          <w:rFonts w:hint="eastAsia" w:ascii="仿宋" w:hAnsi="仿宋" w:eastAsia="仿宋" w:cs="仿宋"/>
          <w:i w:val="0"/>
          <w:caps w:val="0"/>
          <w:color w:val="323232"/>
          <w:spacing w:val="0"/>
          <w:sz w:val="32"/>
          <w:szCs w:val="32"/>
          <w:shd w:val="clear" w:fill="FFFFFF"/>
          <w:lang w:val="en-US" w:eastAsia="zh-CN"/>
        </w:rPr>
        <w:t>308.16</w:t>
      </w:r>
      <w:r>
        <w:rPr>
          <w:rFonts w:hint="eastAsia" w:ascii="仿宋" w:hAnsi="仿宋" w:eastAsia="仿宋" w:cs="仿宋"/>
          <w:i w:val="0"/>
          <w:caps w:val="0"/>
          <w:color w:val="323232"/>
          <w:spacing w:val="0"/>
          <w:sz w:val="32"/>
          <w:szCs w:val="32"/>
          <w:shd w:val="clear" w:fill="FFFFFF"/>
        </w:rPr>
        <w:t>万元，完成预算80%，决算数小于预算数的原因安全监管工作经费当年未实施完成，结转到次年实施。</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2、社会保障和就业—行政事业单位离退休—机关事业单位基本养老缴费支出:支出决算数为</w:t>
      </w:r>
      <w:r>
        <w:rPr>
          <w:rFonts w:hint="eastAsia" w:ascii="仿宋" w:hAnsi="仿宋" w:eastAsia="仿宋" w:cs="仿宋"/>
          <w:i w:val="0"/>
          <w:caps w:val="0"/>
          <w:color w:val="323232"/>
          <w:spacing w:val="0"/>
          <w:sz w:val="32"/>
          <w:szCs w:val="32"/>
          <w:shd w:val="clear" w:fill="FFFFFF"/>
          <w:lang w:val="en-US" w:eastAsia="zh-CN"/>
        </w:rPr>
        <w:t>43.42</w:t>
      </w:r>
      <w:r>
        <w:rPr>
          <w:rFonts w:hint="eastAsia" w:ascii="仿宋" w:hAnsi="仿宋" w:eastAsia="仿宋" w:cs="仿宋"/>
          <w:i w:val="0"/>
          <w:caps w:val="0"/>
          <w:color w:val="323232"/>
          <w:spacing w:val="0"/>
          <w:sz w:val="32"/>
          <w:szCs w:val="32"/>
          <w:shd w:val="clear" w:fill="FFFFFF"/>
        </w:rPr>
        <w:t>万元，完成预算100%。</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社会保障和就业—行政事业单位离退休—机关事业单位</w:t>
      </w:r>
      <w:r>
        <w:rPr>
          <w:rFonts w:hint="eastAsia" w:ascii="仿宋" w:hAnsi="仿宋" w:eastAsia="仿宋" w:cs="仿宋"/>
          <w:i w:val="0"/>
          <w:caps w:val="0"/>
          <w:color w:val="323232"/>
          <w:spacing w:val="0"/>
          <w:sz w:val="32"/>
          <w:szCs w:val="32"/>
          <w:shd w:val="clear" w:fill="FFFFFF"/>
          <w:lang w:eastAsia="zh-CN"/>
        </w:rPr>
        <w:t>职业年金</w:t>
      </w:r>
      <w:r>
        <w:rPr>
          <w:rFonts w:hint="eastAsia" w:ascii="仿宋" w:hAnsi="仿宋" w:eastAsia="仿宋" w:cs="仿宋"/>
          <w:i w:val="0"/>
          <w:caps w:val="0"/>
          <w:color w:val="323232"/>
          <w:spacing w:val="0"/>
          <w:sz w:val="32"/>
          <w:szCs w:val="32"/>
          <w:shd w:val="clear" w:fill="FFFFFF"/>
        </w:rPr>
        <w:t>缴费支出:支出决算数为</w:t>
      </w:r>
      <w:r>
        <w:rPr>
          <w:rFonts w:hint="eastAsia" w:ascii="仿宋" w:hAnsi="仿宋" w:eastAsia="仿宋" w:cs="仿宋"/>
          <w:i w:val="0"/>
          <w:caps w:val="0"/>
          <w:color w:val="323232"/>
          <w:spacing w:val="0"/>
          <w:sz w:val="32"/>
          <w:szCs w:val="32"/>
          <w:shd w:val="clear" w:fill="FFFFFF"/>
          <w:lang w:val="en-US" w:eastAsia="zh-CN"/>
        </w:rPr>
        <w:t>0.38</w:t>
      </w:r>
      <w:r>
        <w:rPr>
          <w:rFonts w:hint="eastAsia" w:ascii="仿宋" w:hAnsi="仿宋" w:eastAsia="仿宋" w:cs="仿宋"/>
          <w:i w:val="0"/>
          <w:caps w:val="0"/>
          <w:color w:val="323232"/>
          <w:spacing w:val="0"/>
          <w:sz w:val="32"/>
          <w:szCs w:val="32"/>
          <w:shd w:val="clear" w:fill="FFFFFF"/>
        </w:rPr>
        <w:t>万元，完成预算100%。</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3.医疗卫生与计划生育—医疗保障—行政单位医疗:支出决算数为</w:t>
      </w:r>
      <w:r>
        <w:rPr>
          <w:rFonts w:hint="eastAsia" w:ascii="仿宋" w:hAnsi="仿宋" w:eastAsia="仿宋" w:cs="仿宋"/>
          <w:i w:val="0"/>
          <w:caps w:val="0"/>
          <w:color w:val="323232"/>
          <w:spacing w:val="0"/>
          <w:sz w:val="32"/>
          <w:szCs w:val="32"/>
          <w:shd w:val="clear" w:fill="FFFFFF"/>
          <w:lang w:val="en-US" w:eastAsia="zh-CN"/>
        </w:rPr>
        <w:t>22.45</w:t>
      </w:r>
      <w:r>
        <w:rPr>
          <w:rFonts w:hint="eastAsia" w:ascii="仿宋" w:hAnsi="仿宋" w:eastAsia="仿宋" w:cs="仿宋"/>
          <w:i w:val="0"/>
          <w:caps w:val="0"/>
          <w:color w:val="323232"/>
          <w:spacing w:val="0"/>
          <w:sz w:val="32"/>
          <w:szCs w:val="32"/>
          <w:shd w:val="clear" w:fill="FFFFFF"/>
        </w:rPr>
        <w:t>万元，完成预算100%。</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仿宋" w:hAnsi="仿宋" w:eastAsia="仿宋"/>
          <w:b/>
          <w:color w:val="000000"/>
          <w:sz w:val="32"/>
          <w:szCs w:val="32"/>
        </w:rPr>
      </w:pPr>
      <w:r>
        <w:rPr>
          <w:rFonts w:hint="eastAsia" w:ascii="仿宋" w:hAnsi="仿宋" w:eastAsia="仿宋" w:cs="仿宋"/>
          <w:i w:val="0"/>
          <w:caps w:val="0"/>
          <w:color w:val="323232"/>
          <w:spacing w:val="0"/>
          <w:sz w:val="32"/>
          <w:szCs w:val="32"/>
          <w:shd w:val="clear" w:fill="FFFFFF"/>
        </w:rPr>
        <w:t>4.住房保障—住房改革支出—住房公积金：支出决算数为3</w:t>
      </w:r>
      <w:r>
        <w:rPr>
          <w:rFonts w:hint="eastAsia" w:ascii="仿宋" w:hAnsi="仿宋" w:eastAsia="仿宋" w:cs="仿宋"/>
          <w:i w:val="0"/>
          <w:caps w:val="0"/>
          <w:color w:val="323232"/>
          <w:spacing w:val="0"/>
          <w:sz w:val="32"/>
          <w:szCs w:val="32"/>
          <w:shd w:val="clear" w:fill="FFFFFF"/>
          <w:lang w:val="en-US" w:eastAsia="zh-CN"/>
        </w:rPr>
        <w:t>9.48</w:t>
      </w:r>
      <w:r>
        <w:rPr>
          <w:rFonts w:hint="eastAsia" w:ascii="仿宋" w:hAnsi="仿宋" w:eastAsia="仿宋" w:cs="仿宋"/>
          <w:i w:val="0"/>
          <w:caps w:val="0"/>
          <w:color w:val="323232"/>
          <w:spacing w:val="0"/>
          <w:sz w:val="32"/>
          <w:szCs w:val="32"/>
          <w:shd w:val="clear" w:fill="FFFFFF"/>
        </w:rPr>
        <w:t>万元，完成预算100%。</w:t>
      </w:r>
    </w:p>
    <w:p>
      <w:pPr>
        <w:tabs>
          <w:tab w:val="right" w:pos="8306"/>
        </w:tabs>
        <w:spacing w:line="600" w:lineRule="exact"/>
        <w:ind w:firstLine="640"/>
        <w:outlineLvl w:val="1"/>
        <w:rPr>
          <w:rStyle w:val="26"/>
        </w:rPr>
      </w:pPr>
      <w:bookmarkStart w:id="32" w:name="_Toc15377214"/>
      <w:bookmarkStart w:id="33"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6"/>
          <w:rFonts w:hint="eastAsia" w:ascii="黑体" w:hAnsi="黑体" w:eastAsia="黑体"/>
          <w:b w:val="0"/>
        </w:rPr>
        <w:t>般公共预算财政拨款基本支出决算情况说明</w:t>
      </w:r>
      <w:bookmarkEnd w:id="32"/>
      <w:bookmarkEnd w:id="33"/>
      <w:r>
        <w:rPr>
          <w:rStyle w:val="26"/>
          <w:rFonts w:ascii="黑体" w:hAnsi="黑体" w:eastAsia="黑体"/>
          <w:b w:val="0"/>
        </w:rPr>
        <w:tab/>
      </w:r>
    </w:p>
    <w:p>
      <w:pPr>
        <w:spacing w:line="600" w:lineRule="exact"/>
        <w:ind w:firstLine="645"/>
        <w:rPr>
          <w:rFonts w:hint="eastAsia" w:ascii="微软雅黑" w:hAnsi="微软雅黑" w:eastAsia="微软雅黑" w:cs="微软雅黑"/>
          <w:i w:val="0"/>
          <w:caps w:val="0"/>
          <w:color w:val="323232"/>
          <w:spacing w:val="0"/>
          <w:sz w:val="24"/>
          <w:szCs w:val="24"/>
        </w:rPr>
      </w:pPr>
      <w:r>
        <w:rPr>
          <w:rFonts w:ascii="仿宋" w:hAnsi="仿宋" w:eastAsia="仿宋"/>
          <w:color w:val="000000"/>
          <w:sz w:val="32"/>
          <w:szCs w:val="32"/>
        </w:rPr>
        <w:t>201</w:t>
      </w:r>
      <w:r>
        <w:rPr>
          <w:rFonts w:hint="eastAsia" w:ascii="仿宋" w:hAnsi="仿宋" w:eastAsia="仿宋"/>
          <w:color w:val="000000"/>
          <w:sz w:val="32"/>
          <w:szCs w:val="32"/>
        </w:rPr>
        <w:t>8年一般公共预算财政拨款基本支出</w:t>
      </w:r>
      <w:r>
        <w:rPr>
          <w:rFonts w:hint="eastAsia" w:ascii="仿宋" w:hAnsi="仿宋" w:eastAsia="仿宋"/>
          <w:color w:val="000000"/>
          <w:sz w:val="32"/>
          <w:szCs w:val="32"/>
          <w:lang w:val="en-US" w:eastAsia="zh-CN"/>
        </w:rPr>
        <w:t>524.13</w:t>
      </w:r>
      <w:r>
        <w:rPr>
          <w:rFonts w:hint="eastAsia" w:ascii="仿宋" w:hAnsi="仿宋" w:eastAsia="仿宋"/>
          <w:color w:val="000000"/>
          <w:sz w:val="32"/>
          <w:szCs w:val="32"/>
        </w:rPr>
        <w:t>万元，其中：</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仿宋" w:hAnsi="仿宋" w:eastAsia="仿宋"/>
          <w:b/>
          <w:color w:val="FF0000"/>
          <w:sz w:val="32"/>
          <w:szCs w:val="32"/>
        </w:rPr>
      </w:pPr>
      <w:r>
        <w:rPr>
          <w:rFonts w:hint="eastAsia" w:ascii="仿宋" w:hAnsi="仿宋" w:eastAsia="仿宋" w:cs="仿宋"/>
          <w:i w:val="0"/>
          <w:caps w:val="0"/>
          <w:color w:val="323232"/>
          <w:spacing w:val="0"/>
          <w:sz w:val="32"/>
          <w:szCs w:val="32"/>
          <w:shd w:val="clear" w:fill="FFFFFF"/>
        </w:rPr>
        <w:t>人员经费46</w:t>
      </w:r>
      <w:r>
        <w:rPr>
          <w:rFonts w:hint="eastAsia" w:ascii="仿宋" w:hAnsi="仿宋" w:eastAsia="仿宋" w:cs="仿宋"/>
          <w:i w:val="0"/>
          <w:caps w:val="0"/>
          <w:color w:val="323232"/>
          <w:spacing w:val="0"/>
          <w:sz w:val="32"/>
          <w:szCs w:val="32"/>
          <w:shd w:val="clear" w:fill="FFFFFF"/>
          <w:lang w:val="en-US" w:eastAsia="zh-CN"/>
        </w:rPr>
        <w:t>8.57</w:t>
      </w:r>
      <w:r>
        <w:rPr>
          <w:rFonts w:hint="eastAsia" w:ascii="仿宋" w:hAnsi="仿宋" w:eastAsia="仿宋" w:cs="仿宋"/>
          <w:i w:val="0"/>
          <w:caps w:val="0"/>
          <w:color w:val="323232"/>
          <w:spacing w:val="0"/>
          <w:sz w:val="32"/>
          <w:szCs w:val="32"/>
          <w:shd w:val="clear" w:fill="FFFFFF"/>
        </w:rPr>
        <w:t>万元，主要包括：基本工资</w:t>
      </w:r>
      <w:r>
        <w:rPr>
          <w:rFonts w:hint="eastAsia" w:ascii="仿宋" w:hAnsi="仿宋" w:eastAsia="仿宋" w:cs="仿宋"/>
          <w:i w:val="0"/>
          <w:caps w:val="0"/>
          <w:color w:val="323232"/>
          <w:spacing w:val="0"/>
          <w:sz w:val="32"/>
          <w:szCs w:val="32"/>
          <w:shd w:val="clear" w:fill="FFFFFF"/>
          <w:lang w:val="en-US" w:eastAsia="zh-CN"/>
        </w:rPr>
        <w:t>132.52</w:t>
      </w:r>
      <w:r>
        <w:rPr>
          <w:rFonts w:hint="eastAsia" w:ascii="仿宋" w:hAnsi="仿宋" w:eastAsia="仿宋" w:cs="仿宋"/>
          <w:i w:val="0"/>
          <w:caps w:val="0"/>
          <w:color w:val="323232"/>
          <w:spacing w:val="0"/>
          <w:sz w:val="32"/>
          <w:szCs w:val="32"/>
          <w:shd w:val="clear" w:fill="FFFFFF"/>
        </w:rPr>
        <w:t>万元、津贴补贴</w:t>
      </w:r>
      <w:r>
        <w:rPr>
          <w:rFonts w:hint="eastAsia" w:ascii="仿宋" w:hAnsi="仿宋" w:eastAsia="仿宋" w:cs="仿宋"/>
          <w:i w:val="0"/>
          <w:caps w:val="0"/>
          <w:color w:val="323232"/>
          <w:spacing w:val="0"/>
          <w:sz w:val="32"/>
          <w:szCs w:val="32"/>
          <w:shd w:val="clear" w:fill="FFFFFF"/>
          <w:lang w:val="en-US" w:eastAsia="zh-CN"/>
        </w:rPr>
        <w:t>120.64</w:t>
      </w:r>
      <w:r>
        <w:rPr>
          <w:rFonts w:hint="eastAsia" w:ascii="仿宋" w:hAnsi="仿宋" w:eastAsia="仿宋" w:cs="仿宋"/>
          <w:i w:val="0"/>
          <w:caps w:val="0"/>
          <w:color w:val="323232"/>
          <w:spacing w:val="0"/>
          <w:sz w:val="32"/>
          <w:szCs w:val="32"/>
          <w:shd w:val="clear" w:fill="FFFFFF"/>
        </w:rPr>
        <w:t>万元、奖金</w:t>
      </w:r>
      <w:r>
        <w:rPr>
          <w:rFonts w:hint="eastAsia" w:ascii="仿宋" w:hAnsi="仿宋" w:eastAsia="仿宋" w:cs="仿宋"/>
          <w:i w:val="0"/>
          <w:caps w:val="0"/>
          <w:color w:val="323232"/>
          <w:spacing w:val="0"/>
          <w:sz w:val="32"/>
          <w:szCs w:val="32"/>
          <w:shd w:val="clear" w:fill="FFFFFF"/>
          <w:lang w:val="en-US" w:eastAsia="zh-CN"/>
        </w:rPr>
        <w:t>73.20</w:t>
      </w:r>
      <w:r>
        <w:rPr>
          <w:rFonts w:hint="eastAsia" w:ascii="仿宋" w:hAnsi="仿宋" w:eastAsia="仿宋" w:cs="仿宋"/>
          <w:i w:val="0"/>
          <w:caps w:val="0"/>
          <w:color w:val="323232"/>
          <w:spacing w:val="0"/>
          <w:sz w:val="32"/>
          <w:szCs w:val="32"/>
          <w:shd w:val="clear" w:fill="FFFFFF"/>
        </w:rPr>
        <w:t>万元、伙食补助费</w:t>
      </w:r>
      <w:r>
        <w:rPr>
          <w:rFonts w:hint="eastAsia" w:ascii="仿宋" w:hAnsi="仿宋" w:eastAsia="仿宋" w:cs="仿宋"/>
          <w:i w:val="0"/>
          <w:caps w:val="0"/>
          <w:color w:val="323232"/>
          <w:spacing w:val="0"/>
          <w:sz w:val="32"/>
          <w:szCs w:val="32"/>
          <w:shd w:val="clear" w:fill="FFFFFF"/>
          <w:lang w:val="en-US" w:eastAsia="zh-CN"/>
        </w:rPr>
        <w:t>13.56</w:t>
      </w:r>
      <w:r>
        <w:rPr>
          <w:rFonts w:hint="eastAsia" w:ascii="仿宋" w:hAnsi="仿宋" w:eastAsia="仿宋" w:cs="仿宋"/>
          <w:i w:val="0"/>
          <w:caps w:val="0"/>
          <w:color w:val="323232"/>
          <w:spacing w:val="0"/>
          <w:sz w:val="32"/>
          <w:szCs w:val="32"/>
          <w:shd w:val="clear" w:fill="FFFFFF"/>
        </w:rPr>
        <w:t>万元、机关事业单位基本养老保险缴费</w:t>
      </w:r>
      <w:r>
        <w:rPr>
          <w:rFonts w:hint="eastAsia" w:ascii="仿宋" w:hAnsi="仿宋" w:eastAsia="仿宋" w:cs="仿宋"/>
          <w:i w:val="0"/>
          <w:caps w:val="0"/>
          <w:color w:val="323232"/>
          <w:spacing w:val="0"/>
          <w:sz w:val="32"/>
          <w:szCs w:val="32"/>
          <w:shd w:val="clear" w:fill="FFFFFF"/>
          <w:lang w:val="en-US" w:eastAsia="zh-CN"/>
        </w:rPr>
        <w:t>43.42</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职业年金缴费</w:t>
      </w:r>
      <w:r>
        <w:rPr>
          <w:rFonts w:hint="eastAsia" w:ascii="仿宋" w:hAnsi="仿宋" w:eastAsia="仿宋" w:cs="仿宋"/>
          <w:i w:val="0"/>
          <w:caps w:val="0"/>
          <w:color w:val="323232"/>
          <w:spacing w:val="0"/>
          <w:sz w:val="32"/>
          <w:szCs w:val="32"/>
          <w:shd w:val="clear" w:fill="FFFFFF"/>
          <w:lang w:val="en-US" w:eastAsia="zh-CN"/>
        </w:rPr>
        <w:t>0.38</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职工基本医疗保险</w:t>
      </w:r>
      <w:r>
        <w:rPr>
          <w:rFonts w:hint="eastAsia" w:ascii="仿宋" w:hAnsi="仿宋" w:eastAsia="仿宋" w:cs="仿宋"/>
          <w:i w:val="0"/>
          <w:caps w:val="0"/>
          <w:color w:val="323232"/>
          <w:spacing w:val="0"/>
          <w:sz w:val="32"/>
          <w:szCs w:val="32"/>
          <w:shd w:val="clear" w:fill="FFFFFF"/>
        </w:rPr>
        <w:t>缴费22</w:t>
      </w:r>
      <w:r>
        <w:rPr>
          <w:rFonts w:hint="eastAsia" w:ascii="仿宋" w:hAnsi="仿宋" w:eastAsia="仿宋" w:cs="仿宋"/>
          <w:i w:val="0"/>
          <w:caps w:val="0"/>
          <w:color w:val="323232"/>
          <w:spacing w:val="0"/>
          <w:sz w:val="32"/>
          <w:szCs w:val="32"/>
          <w:shd w:val="clear" w:fill="FFFFFF"/>
          <w:lang w:val="en-US" w:eastAsia="zh-CN"/>
        </w:rPr>
        <w:t>.45</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其他社会保障缴费</w:t>
      </w:r>
      <w:r>
        <w:rPr>
          <w:rFonts w:hint="eastAsia" w:ascii="仿宋" w:hAnsi="仿宋" w:eastAsia="仿宋" w:cs="仿宋"/>
          <w:i w:val="0"/>
          <w:caps w:val="0"/>
          <w:color w:val="323232"/>
          <w:spacing w:val="0"/>
          <w:sz w:val="32"/>
          <w:szCs w:val="32"/>
          <w:shd w:val="clear" w:fill="FFFFFF"/>
          <w:lang w:val="en-US" w:eastAsia="zh-CN"/>
        </w:rPr>
        <w:t>2.89万元、</w:t>
      </w:r>
      <w:r>
        <w:rPr>
          <w:rFonts w:hint="eastAsia" w:ascii="仿宋" w:hAnsi="仿宋" w:eastAsia="仿宋" w:cs="仿宋"/>
          <w:i w:val="0"/>
          <w:caps w:val="0"/>
          <w:color w:val="323232"/>
          <w:spacing w:val="0"/>
          <w:sz w:val="32"/>
          <w:szCs w:val="32"/>
          <w:shd w:val="clear" w:fill="FFFFFF"/>
        </w:rPr>
        <w:t>住房公积金</w:t>
      </w:r>
      <w:r>
        <w:rPr>
          <w:rFonts w:hint="eastAsia" w:ascii="仿宋" w:hAnsi="仿宋" w:eastAsia="仿宋" w:cs="仿宋"/>
          <w:i w:val="0"/>
          <w:caps w:val="0"/>
          <w:color w:val="323232"/>
          <w:spacing w:val="0"/>
          <w:sz w:val="32"/>
          <w:szCs w:val="32"/>
          <w:shd w:val="clear" w:fill="FFFFFF"/>
          <w:lang w:val="en-US" w:eastAsia="zh-CN"/>
        </w:rPr>
        <w:t>39.48</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医疗费</w:t>
      </w:r>
      <w:r>
        <w:rPr>
          <w:rFonts w:hint="eastAsia" w:ascii="仿宋" w:hAnsi="仿宋" w:eastAsia="仿宋" w:cs="仿宋"/>
          <w:i w:val="0"/>
          <w:caps w:val="0"/>
          <w:color w:val="323232"/>
          <w:spacing w:val="0"/>
          <w:sz w:val="32"/>
          <w:szCs w:val="32"/>
          <w:shd w:val="clear" w:fill="FFFFFF"/>
          <w:lang w:val="en-US" w:eastAsia="zh-CN"/>
        </w:rPr>
        <w:t>5.40万元 、</w:t>
      </w:r>
      <w:r>
        <w:rPr>
          <w:rFonts w:hint="eastAsia" w:ascii="仿宋" w:hAnsi="仿宋" w:eastAsia="仿宋" w:cs="仿宋"/>
          <w:i w:val="0"/>
          <w:caps w:val="0"/>
          <w:color w:val="323232"/>
          <w:spacing w:val="0"/>
          <w:sz w:val="32"/>
          <w:szCs w:val="32"/>
          <w:shd w:val="clear" w:fill="FFFFFF"/>
        </w:rPr>
        <w:t>其他工资福利支出9.</w:t>
      </w:r>
      <w:r>
        <w:rPr>
          <w:rFonts w:hint="eastAsia" w:ascii="仿宋" w:hAnsi="仿宋" w:eastAsia="仿宋" w:cs="仿宋"/>
          <w:i w:val="0"/>
          <w:caps w:val="0"/>
          <w:color w:val="323232"/>
          <w:spacing w:val="0"/>
          <w:sz w:val="32"/>
          <w:szCs w:val="32"/>
          <w:shd w:val="clear" w:fill="FFFFFF"/>
          <w:lang w:val="en-US" w:eastAsia="zh-CN"/>
        </w:rPr>
        <w:t>81</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生活补助</w:t>
      </w:r>
      <w:r>
        <w:rPr>
          <w:rFonts w:hint="eastAsia" w:ascii="仿宋" w:hAnsi="仿宋" w:eastAsia="仿宋" w:cs="仿宋"/>
          <w:i w:val="0"/>
          <w:caps w:val="0"/>
          <w:color w:val="323232"/>
          <w:spacing w:val="0"/>
          <w:sz w:val="32"/>
          <w:szCs w:val="32"/>
          <w:shd w:val="clear" w:fill="FFFFFF"/>
          <w:lang w:val="en-US" w:eastAsia="zh-CN"/>
        </w:rPr>
        <w:t>4.35万元、</w:t>
      </w:r>
      <w:r>
        <w:rPr>
          <w:rFonts w:hint="eastAsia" w:ascii="仿宋" w:hAnsi="仿宋" w:eastAsia="仿宋" w:cs="仿宋"/>
          <w:i w:val="0"/>
          <w:caps w:val="0"/>
          <w:color w:val="323232"/>
          <w:spacing w:val="0"/>
          <w:sz w:val="32"/>
          <w:szCs w:val="32"/>
          <w:shd w:val="clear" w:fill="FFFFFF"/>
        </w:rPr>
        <w:t>其他对个人和家庭的补助支出</w:t>
      </w:r>
      <w:r>
        <w:rPr>
          <w:rFonts w:hint="eastAsia" w:ascii="仿宋" w:hAnsi="仿宋" w:eastAsia="仿宋" w:cs="仿宋"/>
          <w:i w:val="0"/>
          <w:caps w:val="0"/>
          <w:color w:val="323232"/>
          <w:spacing w:val="0"/>
          <w:sz w:val="32"/>
          <w:szCs w:val="32"/>
          <w:shd w:val="clear" w:fill="FFFFFF"/>
          <w:lang w:val="en-US" w:eastAsia="zh-CN"/>
        </w:rPr>
        <w:t>0.49</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rPr>
        <w:br w:type="textWrapping"/>
      </w:r>
      <w:r>
        <w:rPr>
          <w:rFonts w:hint="eastAsia" w:ascii="仿宋" w:hAnsi="仿宋" w:eastAsia="仿宋" w:cs="仿宋"/>
          <w:i w:val="0"/>
          <w:caps w:val="0"/>
          <w:color w:val="323232"/>
          <w:spacing w:val="0"/>
          <w:sz w:val="32"/>
          <w:szCs w:val="32"/>
          <w:shd w:val="clear" w:fill="FFFFFF"/>
        </w:rPr>
        <w:t>　　公用经费5</w:t>
      </w:r>
      <w:r>
        <w:rPr>
          <w:rFonts w:hint="eastAsia" w:ascii="仿宋" w:hAnsi="仿宋" w:eastAsia="仿宋" w:cs="仿宋"/>
          <w:i w:val="0"/>
          <w:caps w:val="0"/>
          <w:color w:val="323232"/>
          <w:spacing w:val="0"/>
          <w:sz w:val="32"/>
          <w:szCs w:val="32"/>
          <w:shd w:val="clear" w:fill="FFFFFF"/>
          <w:lang w:val="en-US" w:eastAsia="zh-CN"/>
        </w:rPr>
        <w:t>5.56</w:t>
      </w:r>
      <w:r>
        <w:rPr>
          <w:rFonts w:hint="eastAsia" w:ascii="仿宋" w:hAnsi="仿宋" w:eastAsia="仿宋" w:cs="仿宋"/>
          <w:i w:val="0"/>
          <w:caps w:val="0"/>
          <w:color w:val="323232"/>
          <w:spacing w:val="0"/>
          <w:sz w:val="32"/>
          <w:szCs w:val="32"/>
          <w:shd w:val="clear" w:fill="FFFFFF"/>
        </w:rPr>
        <w:t>万元，主要包括：办公费</w:t>
      </w:r>
      <w:r>
        <w:rPr>
          <w:rFonts w:hint="eastAsia" w:ascii="仿宋" w:hAnsi="仿宋" w:eastAsia="仿宋" w:cs="仿宋"/>
          <w:i w:val="0"/>
          <w:caps w:val="0"/>
          <w:color w:val="323232"/>
          <w:spacing w:val="0"/>
          <w:sz w:val="32"/>
          <w:szCs w:val="32"/>
          <w:shd w:val="clear" w:fill="FFFFFF"/>
          <w:lang w:val="en-US" w:eastAsia="zh-CN"/>
        </w:rPr>
        <w:t>13.23</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印刷</w:t>
      </w:r>
      <w:r>
        <w:rPr>
          <w:rFonts w:hint="eastAsia" w:ascii="仿宋" w:hAnsi="仿宋" w:eastAsia="仿宋" w:cs="仿宋"/>
          <w:i w:val="0"/>
          <w:caps w:val="0"/>
          <w:color w:val="323232"/>
          <w:spacing w:val="0"/>
          <w:sz w:val="32"/>
          <w:szCs w:val="32"/>
          <w:shd w:val="clear" w:fill="FFFFFF"/>
        </w:rPr>
        <w:t>费0</w:t>
      </w:r>
      <w:r>
        <w:rPr>
          <w:rFonts w:hint="eastAsia" w:ascii="仿宋" w:hAnsi="仿宋" w:eastAsia="仿宋" w:cs="仿宋"/>
          <w:i w:val="0"/>
          <w:caps w:val="0"/>
          <w:color w:val="323232"/>
          <w:spacing w:val="0"/>
          <w:sz w:val="32"/>
          <w:szCs w:val="32"/>
          <w:shd w:val="clear" w:fill="FFFFFF"/>
          <w:lang w:val="en-US" w:eastAsia="zh-CN"/>
        </w:rPr>
        <w:t>.29</w:t>
      </w:r>
      <w:r>
        <w:rPr>
          <w:rFonts w:hint="eastAsia" w:ascii="仿宋" w:hAnsi="仿宋" w:eastAsia="仿宋" w:cs="仿宋"/>
          <w:i w:val="0"/>
          <w:caps w:val="0"/>
          <w:color w:val="323232"/>
          <w:spacing w:val="0"/>
          <w:sz w:val="32"/>
          <w:szCs w:val="32"/>
          <w:shd w:val="clear" w:fill="FFFFFF"/>
        </w:rPr>
        <w:t>万元、</w:t>
      </w:r>
      <w:r>
        <w:rPr>
          <w:rFonts w:hint="eastAsia" w:ascii="仿宋" w:hAnsi="仿宋" w:eastAsia="仿宋" w:cs="仿宋"/>
          <w:i w:val="0"/>
          <w:caps w:val="0"/>
          <w:color w:val="323232"/>
          <w:spacing w:val="0"/>
          <w:sz w:val="32"/>
          <w:szCs w:val="32"/>
          <w:shd w:val="clear" w:fill="FFFFFF"/>
          <w:lang w:eastAsia="zh-CN"/>
        </w:rPr>
        <w:t>手续费</w:t>
      </w:r>
      <w:r>
        <w:rPr>
          <w:rFonts w:hint="eastAsia" w:ascii="仿宋" w:hAnsi="仿宋" w:eastAsia="仿宋" w:cs="仿宋"/>
          <w:i w:val="0"/>
          <w:caps w:val="0"/>
          <w:color w:val="323232"/>
          <w:spacing w:val="0"/>
          <w:sz w:val="32"/>
          <w:szCs w:val="32"/>
          <w:shd w:val="clear" w:fill="FFFFFF"/>
          <w:lang w:val="en-US" w:eastAsia="zh-CN"/>
        </w:rPr>
        <w:t>0.04万元、</w:t>
      </w:r>
      <w:r>
        <w:rPr>
          <w:rFonts w:hint="eastAsia" w:ascii="仿宋" w:hAnsi="仿宋" w:eastAsia="仿宋" w:cs="仿宋"/>
          <w:i w:val="0"/>
          <w:caps w:val="0"/>
          <w:color w:val="323232"/>
          <w:spacing w:val="0"/>
          <w:sz w:val="32"/>
          <w:szCs w:val="32"/>
          <w:shd w:val="clear" w:fill="FFFFFF"/>
        </w:rPr>
        <w:t>水费0</w:t>
      </w:r>
      <w:r>
        <w:rPr>
          <w:rFonts w:hint="eastAsia" w:ascii="仿宋" w:hAnsi="仿宋" w:eastAsia="仿宋" w:cs="仿宋"/>
          <w:i w:val="0"/>
          <w:caps w:val="0"/>
          <w:color w:val="323232"/>
          <w:spacing w:val="0"/>
          <w:sz w:val="32"/>
          <w:szCs w:val="32"/>
          <w:shd w:val="clear" w:fill="FFFFFF"/>
          <w:lang w:val="en-US" w:eastAsia="zh-CN"/>
        </w:rPr>
        <w:t>.33</w:t>
      </w:r>
      <w:r>
        <w:rPr>
          <w:rFonts w:hint="eastAsia" w:ascii="仿宋" w:hAnsi="仿宋" w:eastAsia="仿宋" w:cs="仿宋"/>
          <w:i w:val="0"/>
          <w:caps w:val="0"/>
          <w:color w:val="323232"/>
          <w:spacing w:val="0"/>
          <w:sz w:val="32"/>
          <w:szCs w:val="32"/>
          <w:shd w:val="clear" w:fill="FFFFFF"/>
        </w:rPr>
        <w:t>万元、电费0.</w:t>
      </w:r>
      <w:r>
        <w:rPr>
          <w:rFonts w:hint="eastAsia" w:ascii="仿宋" w:hAnsi="仿宋" w:eastAsia="仿宋" w:cs="仿宋"/>
          <w:i w:val="0"/>
          <w:caps w:val="0"/>
          <w:color w:val="323232"/>
          <w:spacing w:val="0"/>
          <w:sz w:val="32"/>
          <w:szCs w:val="32"/>
          <w:shd w:val="clear" w:fill="FFFFFF"/>
          <w:lang w:val="en-US" w:eastAsia="zh-CN"/>
        </w:rPr>
        <w:t>97</w:t>
      </w:r>
      <w:r>
        <w:rPr>
          <w:rFonts w:hint="eastAsia" w:ascii="仿宋" w:hAnsi="仿宋" w:eastAsia="仿宋" w:cs="仿宋"/>
          <w:i w:val="0"/>
          <w:caps w:val="0"/>
          <w:color w:val="323232"/>
          <w:spacing w:val="0"/>
          <w:sz w:val="32"/>
          <w:szCs w:val="32"/>
          <w:shd w:val="clear" w:fill="FFFFFF"/>
        </w:rPr>
        <w:t>万元、邮电费0.</w:t>
      </w:r>
      <w:r>
        <w:rPr>
          <w:rFonts w:hint="eastAsia" w:ascii="仿宋" w:hAnsi="仿宋" w:eastAsia="仿宋" w:cs="仿宋"/>
          <w:i w:val="0"/>
          <w:caps w:val="0"/>
          <w:color w:val="323232"/>
          <w:spacing w:val="0"/>
          <w:sz w:val="32"/>
          <w:szCs w:val="32"/>
          <w:shd w:val="clear" w:fill="FFFFFF"/>
          <w:lang w:val="en-US" w:eastAsia="zh-CN"/>
        </w:rPr>
        <w:t>0</w:t>
      </w:r>
      <w:r>
        <w:rPr>
          <w:rFonts w:hint="eastAsia" w:ascii="仿宋" w:hAnsi="仿宋" w:eastAsia="仿宋" w:cs="仿宋"/>
          <w:i w:val="0"/>
          <w:caps w:val="0"/>
          <w:color w:val="323232"/>
          <w:spacing w:val="0"/>
          <w:sz w:val="32"/>
          <w:szCs w:val="32"/>
          <w:shd w:val="clear" w:fill="FFFFFF"/>
        </w:rPr>
        <w:t>4万元、公务接待费1.</w:t>
      </w:r>
      <w:r>
        <w:rPr>
          <w:rFonts w:hint="eastAsia" w:ascii="仿宋" w:hAnsi="仿宋" w:eastAsia="仿宋" w:cs="仿宋"/>
          <w:i w:val="0"/>
          <w:caps w:val="0"/>
          <w:color w:val="323232"/>
          <w:spacing w:val="0"/>
          <w:sz w:val="32"/>
          <w:szCs w:val="32"/>
          <w:shd w:val="clear" w:fill="FFFFFF"/>
          <w:lang w:val="en-US" w:eastAsia="zh-CN"/>
        </w:rPr>
        <w:t>17</w:t>
      </w:r>
      <w:r>
        <w:rPr>
          <w:rFonts w:hint="eastAsia" w:ascii="仿宋" w:hAnsi="仿宋" w:eastAsia="仿宋" w:cs="仿宋"/>
          <w:i w:val="0"/>
          <w:caps w:val="0"/>
          <w:color w:val="323232"/>
          <w:spacing w:val="0"/>
          <w:sz w:val="32"/>
          <w:szCs w:val="32"/>
          <w:shd w:val="clear" w:fill="FFFFFF"/>
        </w:rPr>
        <w:t>万元、劳务费0.</w:t>
      </w:r>
      <w:r>
        <w:rPr>
          <w:rFonts w:hint="eastAsia" w:ascii="仿宋" w:hAnsi="仿宋" w:eastAsia="仿宋" w:cs="仿宋"/>
          <w:i w:val="0"/>
          <w:caps w:val="0"/>
          <w:color w:val="323232"/>
          <w:spacing w:val="0"/>
          <w:sz w:val="32"/>
          <w:szCs w:val="32"/>
          <w:shd w:val="clear" w:fill="FFFFFF"/>
          <w:lang w:val="en-US" w:eastAsia="zh-CN"/>
        </w:rPr>
        <w:t>60</w:t>
      </w:r>
      <w:r>
        <w:rPr>
          <w:rFonts w:hint="eastAsia" w:ascii="仿宋" w:hAnsi="仿宋" w:eastAsia="仿宋" w:cs="仿宋"/>
          <w:i w:val="0"/>
          <w:caps w:val="0"/>
          <w:color w:val="323232"/>
          <w:spacing w:val="0"/>
          <w:sz w:val="32"/>
          <w:szCs w:val="32"/>
          <w:shd w:val="clear" w:fill="FFFFFF"/>
        </w:rPr>
        <w:t>万元、工会经费</w:t>
      </w:r>
      <w:r>
        <w:rPr>
          <w:rFonts w:hint="eastAsia" w:ascii="仿宋" w:hAnsi="仿宋" w:eastAsia="仿宋" w:cs="仿宋"/>
          <w:i w:val="0"/>
          <w:caps w:val="0"/>
          <w:color w:val="323232"/>
          <w:spacing w:val="0"/>
          <w:sz w:val="32"/>
          <w:szCs w:val="32"/>
          <w:shd w:val="clear" w:fill="FFFFFF"/>
          <w:lang w:val="en-US" w:eastAsia="zh-CN"/>
        </w:rPr>
        <w:t>11</w:t>
      </w:r>
      <w:r>
        <w:rPr>
          <w:rFonts w:hint="eastAsia" w:ascii="仿宋" w:hAnsi="仿宋" w:eastAsia="仿宋" w:cs="仿宋"/>
          <w:i w:val="0"/>
          <w:caps w:val="0"/>
          <w:color w:val="323232"/>
          <w:spacing w:val="0"/>
          <w:sz w:val="32"/>
          <w:szCs w:val="32"/>
          <w:shd w:val="clear" w:fill="FFFFFF"/>
        </w:rPr>
        <w:t>万元、其他交通费</w:t>
      </w:r>
      <w:r>
        <w:rPr>
          <w:rFonts w:hint="eastAsia" w:ascii="仿宋" w:hAnsi="仿宋" w:eastAsia="仿宋" w:cs="仿宋"/>
          <w:i w:val="0"/>
          <w:caps w:val="0"/>
          <w:color w:val="323232"/>
          <w:spacing w:val="0"/>
          <w:sz w:val="32"/>
          <w:szCs w:val="32"/>
          <w:shd w:val="clear" w:fill="FFFFFF"/>
          <w:lang w:val="en-US" w:eastAsia="zh-CN"/>
        </w:rPr>
        <w:t>21.62</w:t>
      </w:r>
      <w:r>
        <w:rPr>
          <w:rFonts w:hint="eastAsia" w:ascii="仿宋" w:hAnsi="仿宋" w:eastAsia="仿宋" w:cs="仿宋"/>
          <w:i w:val="0"/>
          <w:caps w:val="0"/>
          <w:color w:val="323232"/>
          <w:spacing w:val="0"/>
          <w:sz w:val="32"/>
          <w:szCs w:val="32"/>
          <w:shd w:val="clear" w:fill="FFFFFF"/>
        </w:rPr>
        <w:t>万元、其他商品和服务支出</w:t>
      </w:r>
      <w:r>
        <w:rPr>
          <w:rFonts w:hint="eastAsia" w:ascii="仿宋" w:hAnsi="仿宋" w:eastAsia="仿宋" w:cs="仿宋"/>
          <w:i w:val="0"/>
          <w:caps w:val="0"/>
          <w:color w:val="323232"/>
          <w:spacing w:val="0"/>
          <w:sz w:val="32"/>
          <w:szCs w:val="32"/>
          <w:shd w:val="clear" w:fill="FFFFFF"/>
          <w:lang w:val="en-US" w:eastAsia="zh-CN"/>
        </w:rPr>
        <w:t>6.28</w:t>
      </w:r>
      <w:r>
        <w:rPr>
          <w:rFonts w:hint="eastAsia" w:ascii="仿宋" w:hAnsi="仿宋" w:eastAsia="仿宋" w:cs="仿宋"/>
          <w:i w:val="0"/>
          <w:caps w:val="0"/>
          <w:color w:val="323232"/>
          <w:spacing w:val="0"/>
          <w:sz w:val="32"/>
          <w:szCs w:val="32"/>
          <w:shd w:val="clear" w:fill="FFFFFF"/>
        </w:rPr>
        <w:t>万元。</w:t>
      </w:r>
    </w:p>
    <w:p>
      <w:pPr>
        <w:spacing w:line="600" w:lineRule="exact"/>
        <w:ind w:firstLine="640"/>
        <w:outlineLvl w:val="1"/>
        <w:rPr>
          <w:rStyle w:val="26"/>
          <w:rFonts w:ascii="黑体" w:hAnsi="黑体" w:eastAsia="黑体"/>
          <w:b w:val="0"/>
        </w:rPr>
      </w:pPr>
      <w:bookmarkStart w:id="34" w:name="_Toc15377215"/>
      <w:bookmarkStart w:id="35" w:name="_Toc15396609"/>
      <w:r>
        <w:rPr>
          <w:rFonts w:hint="eastAsia" w:ascii="黑体" w:eastAsia="黑体"/>
          <w:color w:val="000000"/>
          <w:sz w:val="32"/>
          <w:szCs w:val="32"/>
        </w:rPr>
        <w:t>七、</w:t>
      </w:r>
      <w:r>
        <w:rPr>
          <w:rStyle w:val="26"/>
          <w:rFonts w:hint="eastAsia" w:ascii="黑体" w:hAnsi="黑体" w:eastAsia="黑体"/>
        </w:rPr>
        <w:t>“</w:t>
      </w:r>
      <w:r>
        <w:rPr>
          <w:rStyle w:val="26"/>
          <w:rFonts w:hint="eastAsia" w:ascii="黑体" w:hAnsi="黑体" w:eastAsia="黑体"/>
          <w:b w:val="0"/>
        </w:rPr>
        <w:t>三公”经费财政拨款支出决算情况说明</w:t>
      </w:r>
      <w:bookmarkEnd w:id="34"/>
      <w:bookmarkEnd w:id="35"/>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bookmarkStart w:id="36" w:name="_Toc15377218"/>
      <w:bookmarkStart w:id="37" w:name="_Toc15396610"/>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年度“三公”经费财政拨款支出决算为1.</w:t>
      </w:r>
      <w:r>
        <w:rPr>
          <w:rFonts w:hint="eastAsia" w:ascii="仿宋" w:hAnsi="仿宋" w:eastAsia="仿宋" w:cs="仿宋"/>
          <w:i w:val="0"/>
          <w:caps w:val="0"/>
          <w:color w:val="323232"/>
          <w:spacing w:val="0"/>
          <w:sz w:val="32"/>
          <w:szCs w:val="32"/>
          <w:shd w:val="clear" w:fill="FFFFFF"/>
          <w:lang w:val="en-US" w:eastAsia="zh-CN"/>
        </w:rPr>
        <w:t>17</w:t>
      </w:r>
      <w:r>
        <w:rPr>
          <w:rFonts w:hint="eastAsia" w:ascii="仿宋" w:hAnsi="仿宋" w:eastAsia="仿宋" w:cs="仿宋"/>
          <w:i w:val="0"/>
          <w:caps w:val="0"/>
          <w:color w:val="323232"/>
          <w:spacing w:val="0"/>
          <w:sz w:val="32"/>
          <w:szCs w:val="32"/>
          <w:shd w:val="clear" w:fill="FFFFFF"/>
        </w:rPr>
        <w:t>万元，主要用于公务接待。完成预算</w:t>
      </w:r>
      <w:r>
        <w:rPr>
          <w:rFonts w:hint="eastAsia" w:ascii="仿宋" w:hAnsi="仿宋" w:eastAsia="仿宋" w:cs="仿宋"/>
          <w:i w:val="0"/>
          <w:caps w:val="0"/>
          <w:color w:val="323232"/>
          <w:spacing w:val="0"/>
          <w:sz w:val="32"/>
          <w:szCs w:val="32"/>
          <w:shd w:val="clear" w:fill="FFFFFF"/>
          <w:lang w:val="en-US" w:eastAsia="zh-CN"/>
        </w:rPr>
        <w:t>49.2</w:t>
      </w:r>
      <w:r>
        <w:rPr>
          <w:rFonts w:hint="eastAsia" w:ascii="仿宋" w:hAnsi="仿宋" w:eastAsia="仿宋" w:cs="仿宋"/>
          <w:i w:val="0"/>
          <w:caps w:val="0"/>
          <w:color w:val="323232"/>
          <w:spacing w:val="0"/>
          <w:sz w:val="32"/>
          <w:szCs w:val="32"/>
          <w:shd w:val="clear" w:fill="FFFFFF"/>
        </w:rPr>
        <w:t>%，决算数小于预算数的主要原因是我单位严格遵守中央八项规定，厉行节约，反对浪费，严格接待审批制度，大力压缩公务接待费用，规范接待用餐，简化接待礼仪，控制公务接待经费开支。</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（二）“三公”经费财政拨款支出决算具体情况说明</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shd w:val="clear" w:fill="FFFFFF"/>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年度“三公”经费财政拨款支出决算中，无因公出国（境）费支出；无公务用车购置及运行维护费支出；公务接待费支出决算</w:t>
      </w:r>
      <w:r>
        <w:rPr>
          <w:rFonts w:hint="eastAsia" w:ascii="仿宋" w:hAnsi="仿宋" w:eastAsia="仿宋" w:cs="仿宋"/>
          <w:i w:val="0"/>
          <w:caps w:val="0"/>
          <w:color w:val="323232"/>
          <w:spacing w:val="0"/>
          <w:sz w:val="32"/>
          <w:szCs w:val="32"/>
          <w:shd w:val="clear" w:fill="FFFFFF"/>
          <w:lang w:val="en-US" w:eastAsia="zh-CN"/>
        </w:rPr>
        <w:t>1.17</w:t>
      </w:r>
      <w:r>
        <w:rPr>
          <w:rFonts w:hint="eastAsia" w:ascii="仿宋" w:hAnsi="仿宋" w:eastAsia="仿宋" w:cs="仿宋"/>
          <w:i w:val="0"/>
          <w:caps w:val="0"/>
          <w:color w:val="323232"/>
          <w:spacing w:val="0"/>
          <w:sz w:val="32"/>
          <w:szCs w:val="32"/>
          <w:shd w:val="clear" w:fill="FFFFFF"/>
        </w:rPr>
        <w:t>万元，占100%。具体情况如下：</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因公出国（境）经费支出0万元。全年安排因公出国（境）团组0次，出国（境）0人。</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caps w:val="0"/>
          <w:color w:val="323232"/>
          <w:spacing w:val="0"/>
          <w:sz w:val="24"/>
          <w:szCs w:val="24"/>
          <w:shd w:val="clear" w:fill="FFFFFF"/>
        </w:rPr>
      </w:pPr>
      <w:r>
        <w:rPr>
          <w:rFonts w:hint="eastAsia" w:ascii="仿宋" w:hAnsi="仿宋" w:eastAsia="仿宋" w:cs="仿宋"/>
          <w:i w:val="0"/>
          <w:caps w:val="0"/>
          <w:color w:val="323232"/>
          <w:spacing w:val="0"/>
          <w:sz w:val="32"/>
          <w:szCs w:val="32"/>
          <w:shd w:val="clear" w:fill="FFFFFF"/>
        </w:rPr>
        <w:t>公务用车购置及运行维护费支出0万元。其中：公务用车购置支出0万元。</w:t>
      </w:r>
      <w:r>
        <w:rPr>
          <w:rFonts w:hint="eastAsia" w:ascii="仿宋" w:hAnsi="仿宋" w:eastAsia="仿宋" w:cs="仿宋"/>
          <w:i w:val="0"/>
          <w:caps w:val="0"/>
          <w:color w:val="323232"/>
          <w:spacing w:val="0"/>
          <w:sz w:val="32"/>
          <w:szCs w:val="32"/>
          <w:shd w:val="clear" w:fill="FFFFFF"/>
          <w:lang w:eastAsia="zh-CN"/>
        </w:rPr>
        <w:t>由于我单位无公务用车，故</w:t>
      </w:r>
      <w:r>
        <w:rPr>
          <w:rFonts w:hint="eastAsia" w:ascii="仿宋" w:hAnsi="仿宋" w:eastAsia="仿宋" w:cs="仿宋"/>
          <w:i w:val="0"/>
          <w:caps w:val="0"/>
          <w:color w:val="323232"/>
          <w:spacing w:val="0"/>
          <w:sz w:val="32"/>
          <w:szCs w:val="32"/>
          <w:shd w:val="clear" w:fill="FFFFFF"/>
        </w:rPr>
        <w:t>公务用车运行维护费支出0万元。</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公务接待费支出1.</w:t>
      </w:r>
      <w:r>
        <w:rPr>
          <w:rFonts w:hint="eastAsia" w:ascii="仿宋" w:hAnsi="仿宋" w:eastAsia="仿宋" w:cs="仿宋"/>
          <w:i w:val="0"/>
          <w:caps w:val="0"/>
          <w:color w:val="323232"/>
          <w:spacing w:val="0"/>
          <w:sz w:val="32"/>
          <w:szCs w:val="32"/>
          <w:shd w:val="clear" w:fill="FFFFFF"/>
          <w:lang w:val="en-US" w:eastAsia="zh-CN"/>
        </w:rPr>
        <w:t>17</w:t>
      </w:r>
      <w:r>
        <w:rPr>
          <w:rFonts w:hint="eastAsia" w:ascii="仿宋" w:hAnsi="仿宋" w:eastAsia="仿宋" w:cs="仿宋"/>
          <w:i w:val="0"/>
          <w:caps w:val="0"/>
          <w:color w:val="323232"/>
          <w:spacing w:val="0"/>
          <w:sz w:val="32"/>
          <w:szCs w:val="32"/>
          <w:shd w:val="clear" w:fill="FFFFFF"/>
        </w:rPr>
        <w:t>万元。主要用于执行公务、开展业务活动开支的交通费、住宿费、用餐费等。国内公务接待</w:t>
      </w:r>
      <w:r>
        <w:rPr>
          <w:rFonts w:hint="eastAsia" w:ascii="仿宋" w:hAnsi="仿宋" w:eastAsia="仿宋" w:cs="仿宋"/>
          <w:i w:val="0"/>
          <w:caps w:val="0"/>
          <w:color w:val="323232"/>
          <w:spacing w:val="0"/>
          <w:sz w:val="32"/>
          <w:szCs w:val="32"/>
          <w:shd w:val="clear" w:fill="FFFFFF"/>
          <w:lang w:val="en-US" w:eastAsia="zh-CN"/>
        </w:rPr>
        <w:t>12</w:t>
      </w:r>
      <w:r>
        <w:rPr>
          <w:rFonts w:hint="eastAsia" w:ascii="仿宋" w:hAnsi="仿宋" w:eastAsia="仿宋" w:cs="仿宋"/>
          <w:i w:val="0"/>
          <w:caps w:val="0"/>
          <w:color w:val="323232"/>
          <w:spacing w:val="0"/>
          <w:sz w:val="32"/>
          <w:szCs w:val="32"/>
          <w:shd w:val="clear" w:fill="FFFFFF"/>
        </w:rPr>
        <w:t>批次，15</w:t>
      </w:r>
      <w:r>
        <w:rPr>
          <w:rFonts w:hint="eastAsia" w:ascii="仿宋" w:hAnsi="仿宋" w:eastAsia="仿宋" w:cs="仿宋"/>
          <w:i w:val="0"/>
          <w:caps w:val="0"/>
          <w:color w:val="323232"/>
          <w:spacing w:val="0"/>
          <w:sz w:val="32"/>
          <w:szCs w:val="32"/>
          <w:shd w:val="clear" w:fill="FFFFFF"/>
          <w:lang w:val="en-US" w:eastAsia="zh-CN"/>
        </w:rPr>
        <w:t>6</w:t>
      </w:r>
      <w:r>
        <w:rPr>
          <w:rFonts w:hint="eastAsia" w:ascii="仿宋" w:hAnsi="仿宋" w:eastAsia="仿宋" w:cs="仿宋"/>
          <w:i w:val="0"/>
          <w:caps w:val="0"/>
          <w:color w:val="323232"/>
          <w:spacing w:val="0"/>
          <w:sz w:val="32"/>
          <w:szCs w:val="32"/>
          <w:shd w:val="clear" w:fill="FFFFFF"/>
        </w:rPr>
        <w:t>人次（不包括陪同人员），共计支出1.</w:t>
      </w:r>
      <w:r>
        <w:rPr>
          <w:rFonts w:hint="eastAsia" w:ascii="仿宋" w:hAnsi="仿宋" w:eastAsia="仿宋" w:cs="仿宋"/>
          <w:i w:val="0"/>
          <w:caps w:val="0"/>
          <w:color w:val="323232"/>
          <w:spacing w:val="0"/>
          <w:sz w:val="32"/>
          <w:szCs w:val="32"/>
          <w:shd w:val="clear" w:fill="FFFFFF"/>
          <w:lang w:val="en-US" w:eastAsia="zh-CN"/>
        </w:rPr>
        <w:t>17</w:t>
      </w:r>
      <w:r>
        <w:rPr>
          <w:rFonts w:hint="eastAsia" w:ascii="仿宋" w:hAnsi="仿宋" w:eastAsia="仿宋" w:cs="仿宋"/>
          <w:i w:val="0"/>
          <w:caps w:val="0"/>
          <w:color w:val="323232"/>
          <w:spacing w:val="0"/>
          <w:sz w:val="32"/>
          <w:szCs w:val="32"/>
          <w:shd w:val="clear" w:fill="FFFFFF"/>
        </w:rPr>
        <w:t>万元，具体内容包括：</w:t>
      </w:r>
      <w:r>
        <w:rPr>
          <w:rFonts w:hint="eastAsia" w:ascii="仿宋" w:hAnsi="仿宋" w:eastAsia="仿宋" w:cs="仿宋"/>
          <w:i w:val="0"/>
          <w:caps w:val="0"/>
          <w:color w:val="323232"/>
          <w:spacing w:val="0"/>
          <w:sz w:val="32"/>
          <w:szCs w:val="32"/>
          <w:shd w:val="clear" w:fill="FFFFFF"/>
          <w:lang w:eastAsia="zh-CN"/>
        </w:rPr>
        <w:t>省、市</w:t>
      </w:r>
      <w:r>
        <w:rPr>
          <w:rFonts w:hint="eastAsia" w:ascii="仿宋" w:hAnsi="仿宋" w:eastAsia="仿宋" w:cs="仿宋"/>
          <w:i w:val="0"/>
          <w:caps w:val="0"/>
          <w:color w:val="323232"/>
          <w:spacing w:val="0"/>
          <w:sz w:val="32"/>
          <w:szCs w:val="32"/>
          <w:shd w:val="clear" w:fill="FFFFFF"/>
        </w:rPr>
        <w:t>上级</w:t>
      </w:r>
      <w:r>
        <w:rPr>
          <w:rFonts w:hint="eastAsia" w:ascii="仿宋" w:hAnsi="仿宋" w:eastAsia="仿宋" w:cs="仿宋"/>
          <w:i w:val="0"/>
          <w:caps w:val="0"/>
          <w:color w:val="323232"/>
          <w:spacing w:val="0"/>
          <w:sz w:val="32"/>
          <w:szCs w:val="32"/>
          <w:shd w:val="clear" w:fill="FFFFFF"/>
          <w:lang w:eastAsia="zh-CN"/>
        </w:rPr>
        <w:t>部门</w:t>
      </w:r>
      <w:r>
        <w:rPr>
          <w:rFonts w:hint="eastAsia" w:ascii="仿宋" w:hAnsi="仿宋" w:eastAsia="仿宋" w:cs="仿宋"/>
          <w:i w:val="0"/>
          <w:caps w:val="0"/>
          <w:color w:val="323232"/>
          <w:spacing w:val="0"/>
          <w:sz w:val="32"/>
          <w:szCs w:val="32"/>
          <w:shd w:val="clear" w:fill="FFFFFF"/>
        </w:rPr>
        <w:t>到我区指导和调研</w:t>
      </w:r>
      <w:r>
        <w:rPr>
          <w:rFonts w:hint="eastAsia" w:ascii="仿宋" w:hAnsi="仿宋" w:eastAsia="仿宋" w:cs="仿宋"/>
          <w:i w:val="0"/>
          <w:caps w:val="0"/>
          <w:color w:val="323232"/>
          <w:spacing w:val="0"/>
          <w:sz w:val="32"/>
          <w:szCs w:val="32"/>
          <w:shd w:val="clear" w:fill="FFFFFF"/>
          <w:lang w:eastAsia="zh-CN"/>
        </w:rPr>
        <w:t>安全</w:t>
      </w:r>
      <w:r>
        <w:rPr>
          <w:rFonts w:hint="eastAsia" w:ascii="仿宋" w:hAnsi="仿宋" w:eastAsia="仿宋" w:cs="仿宋"/>
          <w:i w:val="0"/>
          <w:caps w:val="0"/>
          <w:color w:val="323232"/>
          <w:spacing w:val="0"/>
          <w:sz w:val="32"/>
          <w:szCs w:val="32"/>
          <w:shd w:val="clear" w:fill="FFFFFF"/>
        </w:rPr>
        <w:t>工作用餐</w:t>
      </w:r>
      <w:r>
        <w:rPr>
          <w:rFonts w:hint="eastAsia" w:ascii="仿宋" w:hAnsi="仿宋" w:eastAsia="仿宋" w:cs="仿宋"/>
          <w:i w:val="0"/>
          <w:caps w:val="0"/>
          <w:color w:val="323232"/>
          <w:spacing w:val="0"/>
          <w:sz w:val="32"/>
          <w:szCs w:val="32"/>
          <w:shd w:val="clear" w:fill="FFFFFF"/>
          <w:lang w:eastAsia="zh-CN"/>
        </w:rPr>
        <w:t>等</w:t>
      </w:r>
      <w:r>
        <w:rPr>
          <w:rFonts w:hint="eastAsia" w:ascii="仿宋" w:hAnsi="仿宋" w:eastAsia="仿宋" w:cs="仿宋"/>
          <w:i w:val="0"/>
          <w:caps w:val="0"/>
          <w:color w:val="323232"/>
          <w:spacing w:val="0"/>
          <w:sz w:val="32"/>
          <w:szCs w:val="32"/>
          <w:shd w:val="clear" w:fill="FFFFFF"/>
        </w:rPr>
        <w:t>。</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公务接待费支出决算比201</w:t>
      </w:r>
      <w:r>
        <w:rPr>
          <w:rFonts w:hint="eastAsia" w:ascii="仿宋" w:hAnsi="仿宋" w:eastAsia="仿宋" w:cs="仿宋"/>
          <w:i w:val="0"/>
          <w:caps w:val="0"/>
          <w:color w:val="323232"/>
          <w:spacing w:val="0"/>
          <w:sz w:val="32"/>
          <w:szCs w:val="32"/>
          <w:shd w:val="clear" w:fill="FFFFFF"/>
          <w:lang w:val="en-US" w:eastAsia="zh-CN"/>
        </w:rPr>
        <w:t>7</w:t>
      </w:r>
      <w:r>
        <w:rPr>
          <w:rFonts w:hint="eastAsia" w:ascii="仿宋" w:hAnsi="仿宋" w:eastAsia="仿宋" w:cs="仿宋"/>
          <w:i w:val="0"/>
          <w:caps w:val="0"/>
          <w:color w:val="323232"/>
          <w:spacing w:val="0"/>
          <w:sz w:val="32"/>
          <w:szCs w:val="32"/>
          <w:shd w:val="clear" w:fill="FFFFFF"/>
        </w:rPr>
        <w:t>年减少0.06万元，下降4.88%。主要原因是严格执行《四川省机关事务管理局公务接待管理和接待费使用管理规定的通知》，严控公务接待标准。</w:t>
      </w:r>
    </w:p>
    <w:p>
      <w:pPr>
        <w:spacing w:line="600" w:lineRule="exact"/>
        <w:ind w:firstLine="640"/>
        <w:outlineLvl w:val="1"/>
        <w:rPr>
          <w:rStyle w:val="26"/>
          <w:rFonts w:ascii="黑体" w:hAnsi="黑体" w:eastAsia="黑体"/>
        </w:rPr>
      </w:pPr>
      <w:r>
        <w:rPr>
          <w:rFonts w:hint="eastAsia" w:ascii="黑体" w:eastAsia="黑体"/>
          <w:color w:val="000000"/>
          <w:sz w:val="32"/>
          <w:szCs w:val="32"/>
        </w:rPr>
        <w:t>八、</w:t>
      </w:r>
      <w:r>
        <w:rPr>
          <w:rStyle w:val="26"/>
          <w:rFonts w:hint="eastAsia" w:ascii="黑体" w:hAnsi="黑体" w:eastAsia="黑体"/>
          <w:b w:val="0"/>
        </w:rPr>
        <w:t>政府性基金预算支出决算情况说明</w:t>
      </w:r>
      <w:bookmarkEnd w:id="36"/>
      <w:bookmarkEnd w:id="3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8年政府性基金预算拨款支出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numPr>
          <w:ilvl w:val="0"/>
          <w:numId w:val="3"/>
        </w:numPr>
        <w:spacing w:line="600" w:lineRule="exact"/>
        <w:ind w:firstLine="640"/>
        <w:outlineLvl w:val="1"/>
        <w:rPr>
          <w:rStyle w:val="26"/>
          <w:rFonts w:ascii="黑体" w:hAnsi="黑体" w:eastAsia="黑体"/>
          <w:b w:val="0"/>
        </w:rPr>
      </w:pPr>
      <w:bookmarkStart w:id="38" w:name="_Toc15377219"/>
      <w:bookmarkStart w:id="39" w:name="_Toc15396611"/>
      <w:r>
        <w:rPr>
          <w:rStyle w:val="26"/>
          <w:rFonts w:hint="eastAsia" w:ascii="黑体" w:hAnsi="黑体" w:eastAsia="黑体"/>
          <w:b w:val="0"/>
        </w:rPr>
        <w:t>国有资本经营预算支出决算情况说明</w:t>
      </w:r>
      <w:bookmarkEnd w:id="38"/>
      <w:bookmarkEnd w:id="39"/>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8年国有资本经营预算拨款支出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24"/>
        <w:numPr>
          <w:ilvl w:val="0"/>
          <w:numId w:val="4"/>
        </w:numPr>
        <w:spacing w:line="580" w:lineRule="exact"/>
        <w:ind w:firstLineChars="0"/>
        <w:rPr>
          <w:rStyle w:val="26"/>
          <w:rFonts w:ascii="黑体" w:hAnsi="黑体" w:eastAsia="黑体"/>
          <w:b w:val="0"/>
        </w:rPr>
      </w:pPr>
      <w:r>
        <w:rPr>
          <w:rStyle w:val="26"/>
          <w:rFonts w:hint="eastAsia" w:ascii="黑体" w:hAnsi="黑体" w:eastAsia="黑体"/>
          <w:b w:val="0"/>
        </w:rPr>
        <w:t>预算绩效情况说明</w:t>
      </w:r>
    </w:p>
    <w:p>
      <w:pPr>
        <w:numPr>
          <w:ilvl w:val="0"/>
          <w:numId w:val="5"/>
        </w:numPr>
        <w:spacing w:line="580" w:lineRule="exact"/>
        <w:ind w:firstLine="643" w:firstLineChars="200"/>
        <w:rPr>
          <w:rFonts w:ascii="仿宋" w:hAnsi="仿宋" w:eastAsia="仿宋" w:cs="楷体_GB2312"/>
          <w:b/>
          <w:bCs/>
          <w:sz w:val="32"/>
          <w:szCs w:val="32"/>
        </w:rPr>
      </w:pPr>
      <w:r>
        <w:rPr>
          <w:rFonts w:hint="eastAsia" w:ascii="仿宋" w:hAnsi="仿宋" w:eastAsia="仿宋" w:cs="楷体_GB2312"/>
          <w:b/>
          <w:bCs/>
          <w:sz w:val="32"/>
          <w:szCs w:val="32"/>
        </w:rPr>
        <w:t>预算绩效管理工作开展情况。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w:t>
      </w:r>
      <w:r>
        <w:rPr>
          <w:rFonts w:hint="eastAsia" w:ascii="仿宋" w:hAnsi="仿宋" w:eastAsia="仿宋" w:cs="仿宋"/>
          <w:sz w:val="32"/>
          <w:szCs w:val="32"/>
        </w:rPr>
        <w:t>对</w:t>
      </w:r>
      <w:r>
        <w:rPr>
          <w:rFonts w:hint="eastAsia" w:ascii="仿宋" w:hAnsi="仿宋" w:eastAsia="仿宋" w:cs="仿宋"/>
          <w:color w:val="000000"/>
          <w:sz w:val="32"/>
          <w:szCs w:val="32"/>
          <w:lang w:eastAsia="zh-CN"/>
        </w:rPr>
        <w:t>翠屏街道办安全社区建设专项经费</w:t>
      </w:r>
      <w:r>
        <w:rPr>
          <w:rFonts w:hint="eastAsia" w:ascii="仿宋" w:hAnsi="仿宋" w:eastAsia="仿宋" w:cs="仿宋"/>
          <w:sz w:val="32"/>
          <w:szCs w:val="32"/>
        </w:rPr>
        <w:t>项目开展了预算事前绩效评估，对</w:t>
      </w:r>
      <w:r>
        <w:rPr>
          <w:rFonts w:hint="eastAsia" w:ascii="仿宋" w:hAnsi="仿宋" w:eastAsia="仿宋" w:cs="仿宋"/>
          <w:color w:val="000000"/>
          <w:sz w:val="32"/>
          <w:szCs w:val="32"/>
          <w:lang w:eastAsia="zh-CN"/>
        </w:rPr>
        <w:t>翠屏街道办安全社区建设专项经费</w:t>
      </w:r>
      <w:r>
        <w:rPr>
          <w:rFonts w:hint="eastAsia" w:ascii="仿宋" w:hAnsi="仿宋" w:eastAsia="仿宋" w:cs="仿宋"/>
          <w:sz w:val="32"/>
          <w:szCs w:val="32"/>
        </w:rPr>
        <w:t>个项目编制了绩效目标，预算执行过程中，选取</w:t>
      </w:r>
      <w:r>
        <w:rPr>
          <w:rFonts w:hint="eastAsia" w:ascii="仿宋" w:hAnsi="仿宋" w:eastAsia="仿宋" w:cs="仿宋"/>
          <w:sz w:val="32"/>
          <w:szCs w:val="32"/>
          <w:lang w:val="en-US" w:eastAsia="zh-CN"/>
        </w:rPr>
        <w:t>1</w:t>
      </w:r>
      <w:r>
        <w:rPr>
          <w:rFonts w:hint="eastAsia" w:ascii="仿宋" w:hAnsi="仿宋" w:eastAsia="仿宋" w:cs="仿宋"/>
          <w:sz w:val="32"/>
          <w:szCs w:val="32"/>
        </w:rPr>
        <w:t>个项目开展绩效监控，年终执行完毕后，对</w:t>
      </w:r>
      <w:r>
        <w:rPr>
          <w:rFonts w:hint="eastAsia" w:ascii="仿宋" w:hAnsi="仿宋" w:eastAsia="仿宋" w:cs="仿宋"/>
          <w:sz w:val="32"/>
          <w:szCs w:val="32"/>
          <w:lang w:val="en-US" w:eastAsia="zh-CN"/>
        </w:rPr>
        <w:t>1</w:t>
      </w:r>
      <w:r>
        <w:rPr>
          <w:rFonts w:hint="eastAsia" w:ascii="仿宋" w:hAnsi="仿宋" w:eastAsia="仿宋" w:cs="仿宋"/>
          <w:sz w:val="32"/>
          <w:szCs w:val="32"/>
        </w:rPr>
        <w:t>个项目开展了绩效目标完成情况梳理填</w:t>
      </w:r>
      <w:r>
        <w:rPr>
          <w:rFonts w:hint="eastAsia" w:ascii="仿宋_GB2312" w:hAnsi="仿宋_GB2312" w:eastAsia="仿宋_GB2312" w:cs="仿宋_GB2312"/>
          <w:sz w:val="32"/>
          <w:szCs w:val="32"/>
        </w:rPr>
        <w:t>报。</w:t>
      </w:r>
    </w:p>
    <w:p>
      <w:pPr>
        <w:keepNext w:val="0"/>
        <w:keepLines w:val="0"/>
        <w:pageBreakBefore w:val="0"/>
        <w:widowControl w:val="0"/>
        <w:kinsoku/>
        <w:wordWrap/>
        <w:overflowPunct/>
        <w:topLinePunct w:val="0"/>
        <w:autoSpaceDE/>
        <w:autoSpaceDN/>
        <w:bidi w:val="0"/>
        <w:adjustRightInd/>
        <w:snapToGrid/>
        <w:spacing w:line="578" w:lineRule="atLeas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本单位</w:t>
      </w:r>
      <w:r>
        <w:rPr>
          <w:rFonts w:hint="default" w:ascii="Times New Roman" w:hAnsi="Times New Roman" w:eastAsia="仿宋_GB2312" w:cs="Times New Roman"/>
          <w:color w:val="auto"/>
          <w:sz w:val="32"/>
          <w:szCs w:val="32"/>
        </w:rPr>
        <w:t>按要求对2018年部门整体支出开展绩效自评，从评价情况来看我单位预算编制及执行决算较为准确，支出管理较为规范，财务管理制度较完善，部门整体绩效较好。</w:t>
      </w:r>
    </w:p>
    <w:p>
      <w:pPr>
        <w:keepNext w:val="0"/>
        <w:keepLines w:val="0"/>
        <w:pageBreakBefore w:val="0"/>
        <w:widowControl w:val="0"/>
        <w:kinsoku/>
        <w:wordWrap/>
        <w:overflowPunct/>
        <w:topLinePunct w:val="0"/>
        <w:autoSpaceDE/>
        <w:autoSpaceDN/>
        <w:bidi w:val="0"/>
        <w:adjustRightInd/>
        <w:snapToGrid/>
        <w:spacing w:line="578" w:lineRule="atLeast"/>
        <w:ind w:firstLine="640" w:firstLineChars="200"/>
        <w:textAlignment w:val="auto"/>
        <w:rPr>
          <w:rFonts w:hint="default" w:ascii="Times New Roman" w:hAnsi="Times New Roman" w:eastAsia="仿宋_GB2312" w:cs="Times New Roman"/>
          <w:color w:val="auto"/>
          <w:sz w:val="32"/>
          <w:szCs w:val="32"/>
        </w:rPr>
      </w:pPr>
    </w:p>
    <w:tbl>
      <w:tblPr>
        <w:tblStyle w:val="13"/>
        <w:tblpPr w:leftFromText="180" w:rightFromText="180" w:vertAnchor="text" w:horzAnchor="page" w:tblpXSpec="center" w:tblpY="423"/>
        <w:tblOverlap w:val="never"/>
        <w:tblW w:w="11620" w:type="dxa"/>
        <w:tblInd w:w="0" w:type="dxa"/>
        <w:tblLayout w:type="fixed"/>
        <w:tblCellMar>
          <w:top w:w="0" w:type="dxa"/>
          <w:left w:w="0" w:type="dxa"/>
          <w:bottom w:w="0" w:type="dxa"/>
          <w:right w:w="0" w:type="dxa"/>
        </w:tblCellMar>
      </w:tblPr>
      <w:tblGrid>
        <w:gridCol w:w="390"/>
        <w:gridCol w:w="1367"/>
        <w:gridCol w:w="1025"/>
        <w:gridCol w:w="2392"/>
        <w:gridCol w:w="2394"/>
        <w:gridCol w:w="2392"/>
        <w:gridCol w:w="1660"/>
      </w:tblGrid>
      <w:tr>
        <w:tblPrEx>
          <w:tblCellMar>
            <w:top w:w="0" w:type="dxa"/>
            <w:left w:w="0" w:type="dxa"/>
            <w:bottom w:w="0" w:type="dxa"/>
            <w:right w:w="0" w:type="dxa"/>
          </w:tblCellMar>
        </w:tblPrEx>
        <w:trPr>
          <w:gridAfter w:val="1"/>
          <w:wAfter w:w="1660" w:type="dxa"/>
          <w:trHeight w:val="1034" w:hRule="atLeast"/>
        </w:trPr>
        <w:tc>
          <w:tcPr>
            <w:tcW w:w="9960" w:type="dxa"/>
            <w:gridSpan w:val="6"/>
            <w:tcMar>
              <w:top w:w="15" w:type="dxa"/>
              <w:left w:w="15" w:type="dxa"/>
              <w:bottom w:w="0" w:type="dxa"/>
              <w:right w:w="15" w:type="dxa"/>
            </w:tcMar>
            <w:vAlign w:val="center"/>
          </w:tcPr>
          <w:p>
            <w:pPr>
              <w:pStyle w:val="24"/>
              <w:widowControl/>
              <w:ind w:left="4173" w:leftChars="1310" w:hanging="1422" w:hangingChars="395"/>
              <w:textAlignment w:val="center"/>
              <w:rPr>
                <w:rFonts w:ascii="宋体" w:hAnsi="宋体" w:cs="宋体"/>
                <w:color w:val="000000"/>
                <w:sz w:val="36"/>
                <w:szCs w:val="36"/>
              </w:rPr>
            </w:pPr>
            <w:r>
              <w:rPr>
                <w:rFonts w:hint="eastAsia" w:ascii="黑体" w:hAnsi="黑体" w:eastAsia="黑体" w:cs="宋体"/>
                <w:bCs/>
                <w:color w:val="000000"/>
                <w:kern w:val="0"/>
                <w:sz w:val="36"/>
                <w:szCs w:val="36"/>
                <w:lang w:bidi="ar"/>
              </w:rPr>
              <w:t>项目支出绩效目标完成情况表</w:t>
            </w:r>
            <w:r>
              <w:rPr>
                <w:rFonts w:hint="eastAsia" w:ascii="宋体" w:hAnsi="宋体" w:cs="宋体"/>
                <w:b/>
                <w:bCs/>
                <w:color w:val="000000"/>
                <w:kern w:val="0"/>
                <w:sz w:val="36"/>
                <w:szCs w:val="36"/>
                <w:lang w:bidi="ar"/>
              </w:rPr>
              <w:br w:type="textWrapping"/>
            </w:r>
            <w:r>
              <w:rPr>
                <w:rFonts w:hint="eastAsia" w:ascii="宋体" w:hAnsi="宋体" w:cs="宋体"/>
                <w:color w:val="000000"/>
                <w:kern w:val="0"/>
                <w:sz w:val="36"/>
                <w:szCs w:val="36"/>
                <w:lang w:bidi="ar"/>
              </w:rPr>
              <w:t>(2018 年度)</w:t>
            </w:r>
          </w:p>
        </w:tc>
      </w:tr>
      <w:tr>
        <w:tblPrEx>
          <w:tblCellMar>
            <w:top w:w="0" w:type="dxa"/>
            <w:left w:w="0" w:type="dxa"/>
            <w:bottom w:w="0" w:type="dxa"/>
            <w:right w:w="0" w:type="dxa"/>
          </w:tblCellMar>
        </w:tblPrEx>
        <w:trPr>
          <w:gridAfter w:val="1"/>
          <w:wAfter w:w="1660" w:type="dxa"/>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翠屏街道办安全社区建设专项经费</w:t>
            </w:r>
          </w:p>
        </w:tc>
      </w:tr>
      <w:tr>
        <w:tblPrEx>
          <w:tblCellMar>
            <w:top w:w="0" w:type="dxa"/>
            <w:left w:w="0" w:type="dxa"/>
            <w:bottom w:w="0" w:type="dxa"/>
            <w:right w:w="0" w:type="dxa"/>
          </w:tblCellMar>
        </w:tblPrEx>
        <w:trPr>
          <w:gridAfter w:val="1"/>
          <w:wAfter w:w="1660" w:type="dxa"/>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达川区安监局</w:t>
            </w:r>
          </w:p>
        </w:tc>
      </w:tr>
      <w:tr>
        <w:tblPrEx>
          <w:tblCellMar>
            <w:top w:w="0" w:type="dxa"/>
            <w:left w:w="0" w:type="dxa"/>
            <w:bottom w:w="0" w:type="dxa"/>
            <w:right w:w="0" w:type="dxa"/>
          </w:tblCellMar>
        </w:tblPrEx>
        <w:trPr>
          <w:gridAfter w:val="1"/>
          <w:wAfter w:w="1660" w:type="dxa"/>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30万元</w:t>
            </w:r>
          </w:p>
        </w:tc>
      </w:tr>
      <w:tr>
        <w:tblPrEx>
          <w:tblCellMar>
            <w:top w:w="0" w:type="dxa"/>
            <w:left w:w="0" w:type="dxa"/>
            <w:bottom w:w="0" w:type="dxa"/>
            <w:right w:w="0" w:type="dxa"/>
          </w:tblCellMar>
        </w:tblPrEx>
        <w:trPr>
          <w:gridAfter w:val="1"/>
          <w:wAfter w:w="1660" w:type="dxa"/>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30万元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lang w:val="en-US" w:eastAsia="zh-CN"/>
              </w:rPr>
              <w:t>30万元</w:t>
            </w:r>
          </w:p>
        </w:tc>
      </w:tr>
      <w:tr>
        <w:tblPrEx>
          <w:tblCellMar>
            <w:top w:w="0" w:type="dxa"/>
            <w:left w:w="0" w:type="dxa"/>
            <w:bottom w:w="0" w:type="dxa"/>
            <w:right w:w="0" w:type="dxa"/>
          </w:tblCellMar>
        </w:tblPrEx>
        <w:trPr>
          <w:gridAfter w:val="1"/>
          <w:wAfter w:w="1660" w:type="dxa"/>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gridAfter w:val="1"/>
          <w:wAfter w:w="1660" w:type="dxa"/>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gridAfter w:val="1"/>
          <w:wAfter w:w="1660" w:type="dxa"/>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ind w:firstLine="240" w:firstLineChars="100"/>
              <w:jc w:val="both"/>
              <w:textAlignment w:val="center"/>
              <w:rPr>
                <w:rFonts w:hint="default" w:ascii="宋体" w:hAnsi="宋体" w:eastAsia="宋体" w:cs="宋体"/>
                <w:color w:val="000000"/>
                <w:sz w:val="24"/>
                <w:lang w:val="en-US" w:eastAsia="zh-CN"/>
              </w:rPr>
            </w:pPr>
            <w:r>
              <w:rPr>
                <w:rFonts w:hint="eastAsia" w:ascii="宋体" w:hAnsi="宋体" w:cs="宋体"/>
                <w:color w:val="000000"/>
                <w:sz w:val="24"/>
                <w:lang w:eastAsia="zh-CN"/>
              </w:rPr>
              <w:t>翠屏街道办对社区党群服务</w:t>
            </w:r>
            <w:r>
              <w:rPr>
                <w:rFonts w:hint="eastAsia" w:ascii="宋体" w:hAnsi="宋体" w:cs="宋体"/>
                <w:color w:val="000000"/>
                <w:sz w:val="24"/>
                <w:lang w:val="en-US" w:eastAsia="zh-CN"/>
              </w:rPr>
              <w:t>中心周边安全环境进行升级改造。</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 xml:space="preserve">  </w:t>
            </w:r>
            <w:r>
              <w:rPr>
                <w:rFonts w:hint="eastAsia" w:ascii="宋体" w:hAnsi="宋体" w:cs="宋体"/>
                <w:color w:val="000000"/>
                <w:sz w:val="24"/>
                <w:lang w:eastAsia="zh-CN"/>
              </w:rPr>
              <w:t>该项工作已经完成，并通过四川省安全社区建设现场评定。</w:t>
            </w:r>
          </w:p>
        </w:tc>
      </w:tr>
      <w:tr>
        <w:tblPrEx>
          <w:tblCellMar>
            <w:top w:w="0" w:type="dxa"/>
            <w:left w:w="0" w:type="dxa"/>
            <w:bottom w:w="0" w:type="dxa"/>
            <w:right w:w="0" w:type="dxa"/>
          </w:tblCellMar>
        </w:tblPrEx>
        <w:trPr>
          <w:gridAfter w:val="1"/>
          <w:wAfter w:w="1660" w:type="dxa"/>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实际完成指标值(包含数字及文字描述)</w:t>
            </w:r>
          </w:p>
        </w:tc>
      </w:tr>
      <w:tr>
        <w:tblPrEx>
          <w:tblCellMar>
            <w:top w:w="0" w:type="dxa"/>
            <w:left w:w="0" w:type="dxa"/>
            <w:bottom w:w="0" w:type="dxa"/>
            <w:right w:w="0" w:type="dxa"/>
          </w:tblCellMar>
        </w:tblPrEx>
        <w:trPr>
          <w:gridAfter w:val="1"/>
          <w:wAfter w:w="1660" w:type="dxa"/>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Cs w:val="21"/>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Cs w:val="21"/>
              </w:rPr>
              <w:t>数量</w:t>
            </w:r>
            <w:r>
              <w:rPr>
                <w:rFonts w:ascii="宋体" w:hAnsi="宋体" w:cs="宋体"/>
                <w:color w:val="000000"/>
                <w:szCs w:val="21"/>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交通安全主面</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cs="宋体"/>
                <w:color w:val="000000"/>
                <w:szCs w:val="21"/>
                <w:lang w:eastAsia="zh-CN"/>
              </w:rPr>
              <w:t>安装电子眼，维修护栏等</w:t>
            </w:r>
            <w:r>
              <w:rPr>
                <w:rFonts w:ascii="宋体" w:cs="宋体"/>
                <w:color w:val="000000"/>
                <w:szCs w:val="21"/>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宋体" w:cs="宋体"/>
                <w:color w:val="000000"/>
                <w:sz w:val="24"/>
                <w:lang w:val="en-US" w:eastAsia="zh-CN"/>
              </w:rPr>
            </w:pPr>
            <w:r>
              <w:rPr>
                <w:rFonts w:hint="eastAsia" w:ascii="宋体" w:cs="宋体"/>
                <w:color w:val="000000"/>
                <w:szCs w:val="21"/>
                <w:lang w:eastAsia="zh-CN"/>
              </w:rPr>
              <w:t>安装电子眼</w:t>
            </w:r>
            <w:r>
              <w:rPr>
                <w:rFonts w:hint="eastAsia" w:ascii="宋体" w:cs="宋体"/>
                <w:color w:val="000000"/>
                <w:szCs w:val="21"/>
                <w:lang w:val="en-US" w:eastAsia="zh-CN"/>
              </w:rPr>
              <w:t>10处，维修护栏</w:t>
            </w:r>
            <w:bookmarkStart w:id="63" w:name="_GoBack"/>
            <w:bookmarkEnd w:id="63"/>
            <w:r>
              <w:rPr>
                <w:rFonts w:hint="eastAsia" w:ascii="宋体" w:cs="宋体"/>
                <w:color w:val="000000"/>
                <w:szCs w:val="21"/>
                <w:lang w:val="en-US" w:eastAsia="zh-CN"/>
              </w:rPr>
              <w:t>500米，新增道路中央隔离栏800余米</w:t>
            </w:r>
          </w:p>
        </w:tc>
      </w:tr>
      <w:tr>
        <w:tblPrEx>
          <w:tblCellMar>
            <w:top w:w="0" w:type="dxa"/>
            <w:left w:w="0" w:type="dxa"/>
            <w:bottom w:w="0" w:type="dxa"/>
            <w:right w:w="0" w:type="dxa"/>
          </w:tblCellMar>
        </w:tblPrEx>
        <w:trPr>
          <w:gridAfter w:val="1"/>
          <w:wAfter w:w="1660" w:type="dxa"/>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Cs w:val="21"/>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Cs w:val="21"/>
              </w:rPr>
              <w:t>数量</w:t>
            </w:r>
            <w:r>
              <w:rPr>
                <w:rFonts w:ascii="宋体" w:hAnsi="宋体" w:cs="宋体"/>
                <w:color w:val="000000"/>
                <w:szCs w:val="21"/>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4"/>
                <w:lang w:eastAsia="zh-CN"/>
              </w:rPr>
            </w:pPr>
            <w:r>
              <w:rPr>
                <w:rFonts w:hint="eastAsia" w:ascii="宋体" w:hAnsi="宋体" w:cs="宋体"/>
                <w:color w:val="000000"/>
                <w:szCs w:val="21"/>
                <w:lang w:eastAsia="zh-CN"/>
              </w:rPr>
              <w:t>消防安全方面</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cs="宋体"/>
                <w:color w:val="000000"/>
                <w:sz w:val="24"/>
                <w:lang w:val="en-US"/>
              </w:rPr>
            </w:pPr>
            <w:r>
              <w:rPr>
                <w:rFonts w:hint="eastAsia" w:ascii="宋体" w:hAnsi="宋体" w:cs="宋体"/>
                <w:color w:val="000000"/>
                <w:szCs w:val="21"/>
                <w:lang w:eastAsia="zh-CN"/>
              </w:rPr>
              <w:t>建设成社区微型消防站，购置消防设施设备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cs="宋体"/>
                <w:color w:val="000000"/>
                <w:sz w:val="24"/>
                <w:lang w:val="en-US"/>
              </w:rPr>
            </w:pPr>
            <w:r>
              <w:rPr>
                <w:rFonts w:hint="eastAsia" w:ascii="宋体" w:hAnsi="宋体" w:cs="宋体"/>
                <w:color w:val="000000"/>
                <w:szCs w:val="21"/>
                <w:lang w:eastAsia="zh-CN"/>
              </w:rPr>
              <w:t>建设成社区微型消防站</w:t>
            </w:r>
            <w:r>
              <w:rPr>
                <w:rFonts w:hint="eastAsia" w:ascii="宋体" w:hAnsi="宋体" w:cs="宋体"/>
                <w:color w:val="000000"/>
                <w:szCs w:val="21"/>
                <w:lang w:val="en-US" w:eastAsia="zh-CN"/>
              </w:rPr>
              <w:t>10个</w:t>
            </w:r>
            <w:r>
              <w:rPr>
                <w:rFonts w:hint="eastAsia" w:ascii="宋体" w:hAnsi="宋体" w:cs="宋体"/>
                <w:color w:val="000000"/>
                <w:szCs w:val="21"/>
                <w:lang w:eastAsia="zh-CN"/>
              </w:rPr>
              <w:t>，购置消防设施设备</w:t>
            </w:r>
            <w:r>
              <w:rPr>
                <w:rFonts w:hint="eastAsia" w:ascii="宋体" w:hAnsi="宋体" w:cs="宋体"/>
                <w:color w:val="000000"/>
                <w:szCs w:val="21"/>
                <w:lang w:val="en-US" w:eastAsia="zh-CN"/>
              </w:rPr>
              <w:t>120余套</w:t>
            </w:r>
          </w:p>
        </w:tc>
      </w:tr>
      <w:tr>
        <w:tblPrEx>
          <w:tblCellMar>
            <w:top w:w="0" w:type="dxa"/>
            <w:left w:w="0" w:type="dxa"/>
            <w:bottom w:w="0" w:type="dxa"/>
            <w:right w:w="0" w:type="dxa"/>
          </w:tblCellMar>
        </w:tblPrEx>
        <w:trPr>
          <w:gridAfter w:val="1"/>
          <w:wAfter w:w="1660" w:type="dxa"/>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Cs w:val="21"/>
              </w:rPr>
              <w:t>数量</w:t>
            </w:r>
            <w:r>
              <w:rPr>
                <w:rFonts w:ascii="宋体" w:hAnsi="宋体" w:cs="宋体"/>
                <w:color w:val="000000"/>
                <w:szCs w:val="21"/>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Cs w:val="21"/>
                <w:lang w:eastAsia="zh-CN"/>
              </w:rPr>
              <w:t>居家安全方面</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eastAsia="zh-CN"/>
              </w:rPr>
              <w:t>安装体育健身设施等</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eastAsia="zh-CN"/>
              </w:rPr>
              <w:t>安装体育健身设施</w:t>
            </w:r>
            <w:r>
              <w:rPr>
                <w:rFonts w:hint="eastAsia" w:ascii="宋体" w:hAnsi="宋体" w:cs="宋体"/>
                <w:color w:val="000000"/>
                <w:szCs w:val="21"/>
                <w:lang w:val="en-US" w:eastAsia="zh-CN"/>
              </w:rPr>
              <w:t>45套，并对老人广场舞活动场所进行规范</w:t>
            </w:r>
          </w:p>
        </w:tc>
      </w:tr>
      <w:tr>
        <w:tblPrEx>
          <w:tblCellMar>
            <w:top w:w="0" w:type="dxa"/>
            <w:left w:w="0" w:type="dxa"/>
            <w:bottom w:w="0" w:type="dxa"/>
            <w:right w:w="0" w:type="dxa"/>
          </w:tblCellMar>
        </w:tblPrEx>
        <w:trPr>
          <w:gridAfter w:val="1"/>
          <w:wAfter w:w="1660" w:type="dxa"/>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Cs w:val="21"/>
              </w:rPr>
              <w:t>项目效益指标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Cs w:val="21"/>
              </w:rPr>
              <w:t>社</w:t>
            </w:r>
            <w:r>
              <w:rPr>
                <w:rFonts w:ascii="宋体" w:hAnsi="宋体" w:cs="宋体"/>
                <w:color w:val="000000"/>
                <w:szCs w:val="21"/>
              </w:rPr>
              <w:t>会效益</w:t>
            </w:r>
            <w:r>
              <w:rPr>
                <w:rFonts w:hint="eastAsia" w:ascii="宋体" w:hAnsi="宋体" w:cs="宋体"/>
                <w:color w:val="000000"/>
                <w:szCs w:val="21"/>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left"/>
              <w:textAlignment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eastAsia="zh-CN"/>
              </w:rPr>
              <w:t>通过宣传，让安全社区建设工作深入人心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组建治安巡逻、老年人志愿服务，关爱留守儿童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1"/>
                <w:szCs w:val="21"/>
              </w:rPr>
            </w:pPr>
            <w:r>
              <w:rPr>
                <w:rFonts w:hint="eastAsia" w:ascii="宋体" w:hAnsi="宋体" w:cs="宋体"/>
                <w:color w:val="000000"/>
                <w:sz w:val="21"/>
                <w:szCs w:val="21"/>
                <w:lang w:eastAsia="zh-CN"/>
              </w:rPr>
              <w:t>组建治安巡逻、老年人志愿服务，关爱留守儿童</w:t>
            </w: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项目效益</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Cs w:val="21"/>
              </w:rPr>
              <w:t>可持续影响指标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社区安全工作进一步提升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cs="宋体"/>
                <w:color w:val="000000"/>
                <w:sz w:val="21"/>
                <w:szCs w:val="21"/>
              </w:rPr>
            </w:pPr>
            <w:r>
              <w:rPr>
                <w:rFonts w:hint="eastAsia" w:ascii="宋体" w:hAnsi="宋体" w:cs="宋体"/>
                <w:color w:val="000000"/>
                <w:sz w:val="21"/>
                <w:szCs w:val="21"/>
                <w:lang w:eastAsia="zh-CN"/>
              </w:rPr>
              <w:t>社区安全工作进一步提升，形成“翠屏是我家，安全靠大家”意识</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hint="eastAsia" w:ascii="宋体" w:cs="宋体"/>
                <w:color w:val="000000"/>
                <w:sz w:val="21"/>
                <w:szCs w:val="21"/>
              </w:rPr>
            </w:pPr>
            <w:r>
              <w:rPr>
                <w:rFonts w:hint="eastAsia" w:ascii="宋体" w:hAnsi="宋体" w:cs="宋体"/>
                <w:color w:val="000000"/>
                <w:sz w:val="21"/>
                <w:szCs w:val="21"/>
                <w:lang w:eastAsia="zh-CN"/>
              </w:rPr>
              <w:t>社区安全工作进一步提升，形成“翠屏是我家，安全靠大家”意识</w:t>
            </w:r>
          </w:p>
        </w:tc>
        <w:tc>
          <w:tcPr>
            <w:tcW w:w="1660" w:type="dxa"/>
            <w:vAlign w:val="center"/>
          </w:tcPr>
          <w:p>
            <w:pPr>
              <w:widowControl/>
              <w:jc w:val="center"/>
              <w:textAlignment w:val="center"/>
            </w:pPr>
          </w:p>
        </w:tc>
      </w:tr>
      <w:tr>
        <w:tblPrEx>
          <w:tblCellMar>
            <w:top w:w="0" w:type="dxa"/>
            <w:left w:w="0" w:type="dxa"/>
            <w:bottom w:w="0" w:type="dxa"/>
            <w:right w:w="0" w:type="dxa"/>
          </w:tblCellMar>
        </w:tblPrEx>
        <w:trPr>
          <w:gridAfter w:val="1"/>
          <w:wAfter w:w="1660" w:type="dxa"/>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Cs w:val="21"/>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Cs w:val="21"/>
              </w:rPr>
              <w:t>满意</w:t>
            </w:r>
            <w:r>
              <w:rPr>
                <w:rFonts w:ascii="宋体" w:hAnsi="宋体" w:cs="宋体"/>
                <w:color w:val="000000"/>
                <w:szCs w:val="21"/>
              </w:rPr>
              <w:t>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Cs w:val="21"/>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cs="宋体"/>
                <w:color w:val="000000"/>
                <w:szCs w:val="21"/>
              </w:rPr>
              <w:t>&gt;96%</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hAnsi="宋体" w:cs="宋体"/>
                <w:color w:val="000000"/>
                <w:sz w:val="24"/>
              </w:rPr>
            </w:pPr>
            <w:r>
              <w:rPr>
                <w:rFonts w:hint="eastAsia" w:ascii="宋体" w:cs="宋体"/>
                <w:color w:val="000000"/>
                <w:szCs w:val="21"/>
              </w:rPr>
              <w:t>&gt;96%</w:t>
            </w:r>
          </w:p>
        </w:tc>
      </w:tr>
    </w:tbl>
    <w:p>
      <w:pPr>
        <w:rPr>
          <w:rFonts w:ascii="Calibri" w:hAnsi="Calibri"/>
        </w:rPr>
      </w:pPr>
    </w:p>
    <w:p>
      <w:pPr>
        <w:spacing w:line="580" w:lineRule="exact"/>
        <w:rPr>
          <w:rFonts w:ascii="仿宋_GB2312" w:hAnsi="仿宋_GB2312" w:eastAsia="仿宋_GB2312" w:cs="仿宋_GB2312"/>
          <w:sz w:val="32"/>
          <w:szCs w:val="32"/>
        </w:rPr>
      </w:pPr>
    </w:p>
    <w:p>
      <w:pPr>
        <w:numPr>
          <w:ilvl w:val="0"/>
          <w:numId w:val="5"/>
        </w:numPr>
        <w:spacing w:line="580" w:lineRule="exact"/>
        <w:ind w:firstLine="643" w:firstLineChars="200"/>
        <w:rPr>
          <w:rFonts w:ascii="仿宋" w:hAnsi="仿宋" w:eastAsia="仿宋" w:cs="仿宋_GB2312"/>
          <w:sz w:val="32"/>
          <w:szCs w:val="32"/>
        </w:rPr>
      </w:pPr>
      <w:r>
        <w:rPr>
          <w:rFonts w:hint="eastAsia" w:ascii="仿宋" w:hAnsi="仿宋" w:eastAsia="仿宋" w:cs="楷体_GB2312"/>
          <w:b/>
          <w:bCs/>
          <w:sz w:val="32"/>
          <w:szCs w:val="32"/>
        </w:rPr>
        <w:t>部门开展绩效评价结果。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本部门按要求对2018年部门整体支出绩效评价情况开展自评，《</w:t>
      </w:r>
      <w:r>
        <w:rPr>
          <w:rFonts w:hint="eastAsia" w:ascii="仿宋_GB2312" w:hAnsi="仿宋_GB2312" w:eastAsia="仿宋_GB2312" w:cs="仿宋_GB2312"/>
          <w:sz w:val="32"/>
          <w:szCs w:val="32"/>
          <w:lang w:eastAsia="zh-CN"/>
        </w:rPr>
        <w:t>达川区安监局</w:t>
      </w:r>
      <w:r>
        <w:rPr>
          <w:rFonts w:hint="eastAsia" w:ascii="仿宋_GB2312" w:hAnsi="仿宋_GB2312" w:eastAsia="仿宋_GB2312" w:cs="仿宋_GB2312"/>
          <w:sz w:val="32"/>
          <w:szCs w:val="32"/>
        </w:rPr>
        <w:t>2018年部门整体支出绩效评价报告》见附件。</w:t>
      </w:r>
    </w:p>
    <w:p>
      <w:pPr>
        <w:spacing w:line="580" w:lineRule="exact"/>
        <w:ind w:firstLine="640" w:firstLineChars="200"/>
        <w:rPr>
          <w:rFonts w:hint="eastAsia" w:ascii="仿宋_GB2312" w:hAnsi="仿宋_GB2312" w:eastAsia="仿宋_GB2312" w:cs="仿宋_GB2312"/>
          <w:sz w:val="32"/>
          <w:szCs w:val="32"/>
        </w:rPr>
      </w:pPr>
    </w:p>
    <w:p>
      <w:pPr>
        <w:spacing w:line="600" w:lineRule="exact"/>
        <w:ind w:firstLine="800" w:firstLineChars="250"/>
        <w:outlineLvl w:val="1"/>
        <w:rPr>
          <w:rStyle w:val="26"/>
          <w:rFonts w:ascii="黑体" w:hAnsi="黑体" w:eastAsia="黑体"/>
        </w:rPr>
      </w:pPr>
      <w:bookmarkStart w:id="40" w:name="_Toc15396612"/>
      <w:bookmarkStart w:id="41" w:name="_Toc15377221"/>
      <w:r>
        <w:rPr>
          <w:rFonts w:hint="eastAsia" w:ascii="黑体" w:hAnsi="黑体" w:eastAsia="黑体"/>
          <w:color w:val="000000"/>
          <w:sz w:val="32"/>
          <w:szCs w:val="32"/>
        </w:rPr>
        <w:t>十</w:t>
      </w:r>
      <w:r>
        <w:rPr>
          <w:rStyle w:val="26"/>
          <w:rFonts w:hint="eastAsia" w:ascii="黑体" w:hAnsi="黑体" w:eastAsia="黑体"/>
        </w:rPr>
        <w:t>一、</w:t>
      </w:r>
      <w:r>
        <w:rPr>
          <w:rStyle w:val="26"/>
          <w:rFonts w:hint="eastAsia" w:ascii="黑体" w:hAnsi="黑体" w:eastAsia="黑体"/>
          <w:b w:val="0"/>
        </w:rPr>
        <w:t>其他重要事项的情况说明</w:t>
      </w:r>
      <w:bookmarkEnd w:id="40"/>
      <w:bookmarkEnd w:id="41"/>
    </w:p>
    <w:p>
      <w:pPr>
        <w:spacing w:line="600" w:lineRule="exact"/>
        <w:ind w:firstLine="643" w:firstLineChars="200"/>
        <w:outlineLvl w:val="2"/>
        <w:rPr>
          <w:rFonts w:ascii="仿宋" w:hAnsi="仿宋" w:eastAsia="仿宋"/>
          <w:color w:val="000000"/>
          <w:sz w:val="32"/>
          <w:szCs w:val="32"/>
        </w:rPr>
      </w:pPr>
      <w:bookmarkStart w:id="42" w:name="_Toc15377222"/>
      <w:r>
        <w:rPr>
          <w:rFonts w:hint="eastAsia" w:ascii="仿宋" w:hAnsi="仿宋" w:eastAsia="仿宋"/>
          <w:b/>
          <w:color w:val="000000"/>
          <w:sz w:val="32"/>
          <w:szCs w:val="32"/>
        </w:rPr>
        <w:t>（一）机关运行经费支出情况</w:t>
      </w:r>
      <w:bookmarkEnd w:id="42"/>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年度，达川区安监局机关运行经费支出</w:t>
      </w:r>
      <w:r>
        <w:rPr>
          <w:rFonts w:hint="eastAsia" w:ascii="仿宋" w:hAnsi="仿宋" w:eastAsia="仿宋" w:cs="仿宋"/>
          <w:i w:val="0"/>
          <w:caps w:val="0"/>
          <w:color w:val="323232"/>
          <w:spacing w:val="0"/>
          <w:sz w:val="32"/>
          <w:szCs w:val="32"/>
          <w:shd w:val="clear" w:fill="FFFFFF"/>
          <w:lang w:val="en-US" w:eastAsia="zh-CN"/>
        </w:rPr>
        <w:t>55.56</w:t>
      </w:r>
      <w:r>
        <w:rPr>
          <w:rFonts w:hint="eastAsia" w:ascii="仿宋" w:hAnsi="仿宋" w:eastAsia="仿宋" w:cs="仿宋"/>
          <w:i w:val="0"/>
          <w:caps w:val="0"/>
          <w:color w:val="323232"/>
          <w:spacing w:val="0"/>
          <w:sz w:val="32"/>
          <w:szCs w:val="32"/>
          <w:shd w:val="clear" w:fill="FFFFFF"/>
        </w:rPr>
        <w:t>万元，比201</w:t>
      </w:r>
      <w:r>
        <w:rPr>
          <w:rFonts w:hint="eastAsia" w:ascii="仿宋" w:hAnsi="仿宋" w:eastAsia="仿宋" w:cs="仿宋"/>
          <w:i w:val="0"/>
          <w:caps w:val="0"/>
          <w:color w:val="323232"/>
          <w:spacing w:val="0"/>
          <w:sz w:val="32"/>
          <w:szCs w:val="32"/>
          <w:shd w:val="clear" w:fill="FFFFFF"/>
          <w:lang w:val="en-US" w:eastAsia="zh-CN"/>
        </w:rPr>
        <w:t>7</w:t>
      </w:r>
      <w:r>
        <w:rPr>
          <w:rFonts w:hint="eastAsia" w:ascii="仿宋" w:hAnsi="仿宋" w:eastAsia="仿宋" w:cs="仿宋"/>
          <w:i w:val="0"/>
          <w:caps w:val="0"/>
          <w:color w:val="323232"/>
          <w:spacing w:val="0"/>
          <w:sz w:val="32"/>
          <w:szCs w:val="32"/>
          <w:shd w:val="clear" w:fill="FFFFFF"/>
        </w:rPr>
        <w:t>年增加</w:t>
      </w:r>
      <w:r>
        <w:rPr>
          <w:rFonts w:hint="eastAsia" w:ascii="仿宋" w:hAnsi="仿宋" w:eastAsia="仿宋" w:cs="仿宋"/>
          <w:i w:val="0"/>
          <w:caps w:val="0"/>
          <w:color w:val="323232"/>
          <w:spacing w:val="0"/>
          <w:sz w:val="32"/>
          <w:szCs w:val="32"/>
          <w:shd w:val="clear" w:fill="FFFFFF"/>
          <w:lang w:val="en-US" w:eastAsia="zh-CN"/>
        </w:rPr>
        <w:t>2.17</w:t>
      </w:r>
      <w:r>
        <w:rPr>
          <w:rFonts w:hint="eastAsia" w:ascii="仿宋" w:hAnsi="仿宋" w:eastAsia="仿宋" w:cs="仿宋"/>
          <w:i w:val="0"/>
          <w:caps w:val="0"/>
          <w:color w:val="323232"/>
          <w:spacing w:val="0"/>
          <w:sz w:val="32"/>
          <w:szCs w:val="32"/>
          <w:shd w:val="clear" w:fill="FFFFFF"/>
        </w:rPr>
        <w:t>万元，增长</w:t>
      </w:r>
      <w:r>
        <w:rPr>
          <w:rFonts w:hint="eastAsia" w:ascii="仿宋" w:hAnsi="仿宋" w:eastAsia="仿宋" w:cs="仿宋"/>
          <w:i w:val="0"/>
          <w:caps w:val="0"/>
          <w:color w:val="323232"/>
          <w:spacing w:val="0"/>
          <w:sz w:val="32"/>
          <w:szCs w:val="32"/>
          <w:shd w:val="clear" w:fill="FFFFFF"/>
          <w:lang w:val="en-US" w:eastAsia="zh-CN"/>
        </w:rPr>
        <w:t>4.06</w:t>
      </w:r>
      <w:r>
        <w:rPr>
          <w:rFonts w:hint="eastAsia" w:ascii="仿宋" w:hAnsi="仿宋" w:eastAsia="仿宋" w:cs="仿宋"/>
          <w:i w:val="0"/>
          <w:caps w:val="0"/>
          <w:color w:val="323232"/>
          <w:spacing w:val="0"/>
          <w:sz w:val="32"/>
          <w:szCs w:val="32"/>
          <w:shd w:val="clear" w:fill="FFFFFF"/>
        </w:rPr>
        <w:t>%</w:t>
      </w:r>
      <w:r>
        <w:rPr>
          <w:rFonts w:hint="eastAsia" w:ascii="仿宋" w:hAnsi="仿宋" w:eastAsia="仿宋" w:cs="仿宋"/>
          <w:i w:val="0"/>
          <w:caps w:val="0"/>
          <w:color w:val="323232"/>
          <w:spacing w:val="0"/>
          <w:sz w:val="32"/>
          <w:szCs w:val="32"/>
          <w:shd w:val="clear" w:fill="FFFFFF"/>
          <w:lang w:eastAsia="zh-CN"/>
        </w:rPr>
        <w:t>，主要原因是人员增加，相应的办公经费有所增加</w:t>
      </w:r>
      <w:r>
        <w:rPr>
          <w:rFonts w:hint="eastAsia" w:ascii="仿宋" w:hAnsi="仿宋" w:eastAsia="仿宋" w:cs="仿宋"/>
          <w:i w:val="0"/>
          <w:caps w:val="0"/>
          <w:color w:val="323232"/>
          <w:spacing w:val="0"/>
          <w:sz w:val="32"/>
          <w:szCs w:val="32"/>
          <w:shd w:val="clear" w:fill="FFFFFF"/>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43" w:name="_Toc15377223"/>
      <w:r>
        <w:rPr>
          <w:rFonts w:hint="eastAsia" w:ascii="仿宋" w:hAnsi="仿宋" w:eastAsia="仿宋"/>
          <w:b/>
          <w:color w:val="000000"/>
          <w:sz w:val="32"/>
          <w:szCs w:val="32"/>
        </w:rPr>
        <w:t>（二）政府采购支出情况</w:t>
      </w:r>
      <w:bookmarkEnd w:id="43"/>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default" w:ascii="仿宋" w:hAnsi="仿宋" w:eastAsia="仿宋" w:cs="仿宋"/>
          <w:i w:val="0"/>
          <w:caps w:val="0"/>
          <w:color w:val="323232"/>
          <w:spacing w:val="0"/>
          <w:sz w:val="32"/>
          <w:szCs w:val="32"/>
          <w:lang w:val="en-US" w:eastAsia="zh-CN"/>
        </w:rPr>
      </w:pPr>
      <w:r>
        <w:rPr>
          <w:rFonts w:hint="eastAsia" w:ascii="仿宋" w:hAnsi="仿宋" w:eastAsia="仿宋" w:cs="仿宋"/>
          <w:i w:val="0"/>
          <w:caps w:val="0"/>
          <w:color w:val="323232"/>
          <w:spacing w:val="0"/>
          <w:sz w:val="32"/>
          <w:szCs w:val="32"/>
          <w:shd w:val="clear" w:fill="FFFFFF"/>
        </w:rPr>
        <w:t>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年度，达川区安监局政府采购支出总额</w:t>
      </w:r>
      <w:r>
        <w:rPr>
          <w:rFonts w:hint="eastAsia" w:ascii="仿宋" w:hAnsi="仿宋" w:eastAsia="仿宋" w:cs="仿宋"/>
          <w:i w:val="0"/>
          <w:caps w:val="0"/>
          <w:color w:val="323232"/>
          <w:spacing w:val="0"/>
          <w:sz w:val="32"/>
          <w:szCs w:val="32"/>
          <w:shd w:val="clear" w:fill="FFFFFF"/>
          <w:lang w:val="en-US" w:eastAsia="zh-CN"/>
        </w:rPr>
        <w:t>9.31</w:t>
      </w:r>
      <w:r>
        <w:rPr>
          <w:rFonts w:hint="eastAsia" w:ascii="仿宋" w:hAnsi="仿宋" w:eastAsia="仿宋" w:cs="仿宋"/>
          <w:i w:val="0"/>
          <w:caps w:val="0"/>
          <w:color w:val="323232"/>
          <w:spacing w:val="0"/>
          <w:sz w:val="32"/>
          <w:szCs w:val="32"/>
          <w:shd w:val="clear" w:fill="FFFFFF"/>
        </w:rPr>
        <w:t>万元，其中：政府采购货物支出</w:t>
      </w:r>
      <w:r>
        <w:rPr>
          <w:rFonts w:hint="eastAsia" w:ascii="仿宋" w:hAnsi="仿宋" w:eastAsia="仿宋" w:cs="仿宋"/>
          <w:i w:val="0"/>
          <w:caps w:val="0"/>
          <w:color w:val="323232"/>
          <w:spacing w:val="0"/>
          <w:sz w:val="32"/>
          <w:szCs w:val="32"/>
          <w:shd w:val="clear" w:fill="FFFFFF"/>
          <w:lang w:val="en-US" w:eastAsia="zh-CN"/>
        </w:rPr>
        <w:t>9.31</w:t>
      </w:r>
      <w:r>
        <w:rPr>
          <w:rFonts w:hint="eastAsia" w:ascii="仿宋" w:hAnsi="仿宋" w:eastAsia="仿宋" w:cs="仿宋"/>
          <w:i w:val="0"/>
          <w:caps w:val="0"/>
          <w:color w:val="323232"/>
          <w:spacing w:val="0"/>
          <w:sz w:val="32"/>
          <w:szCs w:val="32"/>
          <w:shd w:val="clear" w:fill="FFFFFF"/>
        </w:rPr>
        <w:t>万，主要用于</w:t>
      </w:r>
      <w:r>
        <w:rPr>
          <w:rFonts w:hint="eastAsia" w:ascii="仿宋" w:hAnsi="仿宋" w:eastAsia="仿宋" w:cs="仿宋"/>
          <w:i w:val="0"/>
          <w:caps w:val="0"/>
          <w:color w:val="323232"/>
          <w:spacing w:val="0"/>
          <w:sz w:val="32"/>
          <w:szCs w:val="32"/>
          <w:shd w:val="clear" w:fill="FFFFFF"/>
          <w:lang w:eastAsia="zh-CN"/>
        </w:rPr>
        <w:t>安全体验中心设备款。</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44" w:name="_Toc15377224"/>
      <w:r>
        <w:rPr>
          <w:rFonts w:hint="eastAsia" w:ascii="仿宋" w:hAnsi="仿宋" w:eastAsia="仿宋"/>
          <w:b/>
          <w:color w:val="000000"/>
          <w:sz w:val="32"/>
          <w:szCs w:val="32"/>
        </w:rPr>
        <w:t>（三）国有资产占有使用情况</w:t>
      </w:r>
      <w:bookmarkEnd w:id="44"/>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因公车改革截至201</w:t>
      </w:r>
      <w:r>
        <w:rPr>
          <w:rFonts w:hint="eastAsia" w:ascii="仿宋" w:hAnsi="仿宋" w:eastAsia="仿宋" w:cs="仿宋"/>
          <w:i w:val="0"/>
          <w:caps w:val="0"/>
          <w:color w:val="323232"/>
          <w:spacing w:val="0"/>
          <w:sz w:val="32"/>
          <w:szCs w:val="32"/>
          <w:shd w:val="clear" w:fill="FFFFFF"/>
          <w:lang w:val="en-US" w:eastAsia="zh-CN"/>
        </w:rPr>
        <w:t>8</w:t>
      </w:r>
      <w:r>
        <w:rPr>
          <w:rFonts w:hint="eastAsia" w:ascii="仿宋" w:hAnsi="仿宋" w:eastAsia="仿宋" w:cs="仿宋"/>
          <w:i w:val="0"/>
          <w:caps w:val="0"/>
          <w:color w:val="323232"/>
          <w:spacing w:val="0"/>
          <w:sz w:val="32"/>
          <w:szCs w:val="32"/>
          <w:shd w:val="clear" w:fill="FFFFFF"/>
        </w:rPr>
        <w:t>年12月31日，达川区安监局无公务车辆。</w:t>
      </w:r>
    </w:p>
    <w:p>
      <w:pPr>
        <w:spacing w:line="600" w:lineRule="atLeast"/>
        <w:ind w:firstLine="643" w:firstLineChars="200"/>
        <w:rPr>
          <w:rFonts w:ascii="仿宋_GB2312" w:eastAsia="仿宋_GB2312"/>
          <w:b/>
          <w:color w:val="000000"/>
          <w:sz w:val="32"/>
          <w:szCs w:val="32"/>
        </w:rPr>
      </w:pP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6"/>
        </w:numPr>
        <w:spacing w:line="600" w:lineRule="exact"/>
        <w:ind w:firstLine="663" w:firstLineChars="150"/>
        <w:jc w:val="center"/>
        <w:outlineLvl w:val="0"/>
        <w:rPr>
          <w:rStyle w:val="25"/>
          <w:rFonts w:ascii="黑体" w:hAnsi="黑体" w:eastAsia="黑体"/>
          <w:b w:val="0"/>
        </w:rPr>
      </w:pPr>
      <w:bookmarkStart w:id="45" w:name="_Toc15396613"/>
      <w:bookmarkStart w:id="46" w:name="_Toc15377225"/>
      <w:r>
        <w:rPr>
          <w:rFonts w:hint="eastAsia" w:ascii="黑体" w:hAnsi="黑体" w:eastAsia="黑体"/>
          <w:b/>
          <w:color w:val="000000"/>
          <w:sz w:val="44"/>
          <w:szCs w:val="44"/>
        </w:rPr>
        <w:t>名</w:t>
      </w:r>
      <w:r>
        <w:rPr>
          <w:rStyle w:val="25"/>
          <w:rFonts w:hint="eastAsia" w:ascii="黑体" w:hAnsi="黑体" w:eastAsia="黑体"/>
          <w:b w:val="0"/>
        </w:rPr>
        <w:t>词解释</w:t>
      </w:r>
      <w:bookmarkEnd w:id="45"/>
      <w:bookmarkEnd w:id="46"/>
    </w:p>
    <w:p>
      <w:pPr>
        <w:spacing w:line="600" w:lineRule="exact"/>
        <w:jc w:val="left"/>
        <w:rPr>
          <w:rFonts w:ascii="宋体"/>
          <w:b/>
          <w:color w:val="000000"/>
          <w:sz w:val="44"/>
          <w:szCs w:val="44"/>
        </w:rPr>
      </w:pP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bookmarkStart w:id="47" w:name="_Toc15377226"/>
      <w:r>
        <w:rPr>
          <w:rFonts w:hint="eastAsia" w:ascii="仿宋" w:hAnsi="仿宋" w:eastAsia="仿宋" w:cs="仿宋"/>
          <w:i w:val="0"/>
          <w:caps w:val="0"/>
          <w:color w:val="323232"/>
          <w:spacing w:val="0"/>
          <w:sz w:val="32"/>
          <w:szCs w:val="32"/>
          <w:shd w:val="clear" w:fill="FFFFFF"/>
        </w:rPr>
        <w:t>1.财政拨款收入：指区级财政当年拨付的资金。</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2.年初结转和结余：指以前年度尚未完成、结转到本年按有关规定继续使用的资金。</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lang w:val="en-US" w:eastAsia="zh-CN"/>
        </w:rPr>
        <w:t>3</w:t>
      </w:r>
      <w:r>
        <w:rPr>
          <w:rFonts w:hint="eastAsia" w:ascii="仿宋" w:hAnsi="仿宋" w:eastAsia="仿宋" w:cs="仿宋"/>
          <w:i w:val="0"/>
          <w:caps w:val="0"/>
          <w:color w:val="323232"/>
          <w:spacing w:val="0"/>
          <w:sz w:val="32"/>
          <w:szCs w:val="32"/>
          <w:shd w:val="clear" w:fill="FFFFFF"/>
        </w:rPr>
        <w:t>.资源勘探信息等支出—安全生产监管—行政运行：指反映达川区安全生产监督管理局的机关行政基本支出（包括基本工资、津补贴、机关运行基支出等）。</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资源勘探信息等支出—安全生产监管—一般行政管理事务：指达川区安全生产监督管理局机关项目专项资金支出类。</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4.社会保障和就业（类）行政事业单位离退休（款）机关事业单位基本养老保险缴费支出（项）：反映机关事业单位实施养老保险制度由单位缴纳的基本养老保险缴费支出；抚恤（款）死亡抚恤（项）：反映按规定用于烈士和牺牲、病故人员家属的一次性和定期抚恤金以及丧葬补助费。　</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5.医疗卫生与计划生育（类）医疗保障（款）事业医疗（项）: 反映财政部门集中安排的事业单位基本医疗保险缴费经费，未参加医疗保险的事业单位的公费医疗经费，按国家规定享受离休人员待遇的医疗经费。</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6.住房保障支出（类）住房改革支出（款）住房公积金（项）：反映行政事业单位按人力资源和社会保障部、财政部规定的基本工资和津贴补贴以及规定比例为职工缴纳的住房公积金。</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7.年末结转和结余：指本年度或以前年度预算安排、因客观条件发生变化无法按原计划实施，需延迟到以后年度按有关规定继续使用的资金。</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8.基本支出：指为保障机构正常运转、完成日常工作任务而发生的人员支出和公用支出。</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9.项目支出：指在基本支出之外为完成特定行政任务和事业发展目标所发生的支出。</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仿宋" w:hAnsi="仿宋" w:eastAsia="仿宋" w:cs="仿宋"/>
          <w:i w:val="0"/>
          <w:caps w:val="0"/>
          <w:color w:val="323232"/>
          <w:spacing w:val="0"/>
          <w:sz w:val="32"/>
          <w:szCs w:val="32"/>
        </w:rPr>
      </w:pPr>
      <w:r>
        <w:rPr>
          <w:rFonts w:hint="eastAsia" w:ascii="仿宋" w:hAnsi="仿宋" w:eastAsia="仿宋" w:cs="仿宋"/>
          <w:i w:val="0"/>
          <w:caps w:val="0"/>
          <w:color w:val="323232"/>
          <w:spacing w:val="0"/>
          <w:sz w:val="32"/>
          <w:szCs w:val="32"/>
          <w:shd w:val="clear" w:fill="FFFFFF"/>
        </w:rPr>
        <w:t>10.“三公”经费：纳入区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600" w:lineRule="exact"/>
        <w:jc w:val="center"/>
        <w:outlineLvl w:val="0"/>
        <w:rPr>
          <w:rStyle w:val="25"/>
          <w:rFonts w:ascii="黑体" w:hAnsi="黑体" w:eastAsia="黑体"/>
          <w:b w:val="0"/>
        </w:rPr>
      </w:pPr>
      <w:r>
        <w:rPr>
          <w:rFonts w:ascii="宋体"/>
          <w:b/>
          <w:color w:val="000000"/>
          <w:sz w:val="44"/>
          <w:szCs w:val="44"/>
        </w:rPr>
        <w:br w:type="page"/>
      </w:r>
      <w:bookmarkStart w:id="48" w:name="_Toc15396614"/>
      <w:r>
        <w:rPr>
          <w:rFonts w:hint="eastAsia" w:ascii="黑体" w:hAnsi="黑体" w:eastAsia="黑体"/>
          <w:color w:val="000000"/>
          <w:sz w:val="44"/>
          <w:szCs w:val="44"/>
        </w:rPr>
        <w:t>第</w:t>
      </w:r>
      <w:r>
        <w:rPr>
          <w:rStyle w:val="25"/>
          <w:rFonts w:hint="eastAsia" w:ascii="黑体" w:hAnsi="黑体" w:eastAsia="黑体"/>
          <w:b w:val="0"/>
        </w:rPr>
        <w:t>四部分 附件</w:t>
      </w:r>
      <w:bookmarkEnd w:id="48"/>
    </w:p>
    <w:p>
      <w:pPr>
        <w:spacing w:line="600" w:lineRule="exact"/>
        <w:jc w:val="center"/>
        <w:outlineLvl w:val="0"/>
        <w:rPr>
          <w:rStyle w:val="25"/>
        </w:rPr>
      </w:pPr>
    </w:p>
    <w:p>
      <w:pPr>
        <w:spacing w:line="578" w:lineRule="exact"/>
        <w:jc w:val="center"/>
        <w:rPr>
          <w:rFonts w:eastAsia="方正小标宋简体"/>
          <w:b/>
          <w:sz w:val="44"/>
          <w:szCs w:val="44"/>
        </w:rPr>
      </w:pPr>
      <w:r>
        <w:rPr>
          <w:rFonts w:eastAsia="方正小标宋简体"/>
          <w:b/>
          <w:sz w:val="44"/>
          <w:szCs w:val="44"/>
        </w:rPr>
        <w:t>达州市达川区</w:t>
      </w:r>
      <w:r>
        <w:rPr>
          <w:rFonts w:hint="eastAsia" w:eastAsia="方正小标宋简体"/>
          <w:b/>
          <w:sz w:val="44"/>
          <w:szCs w:val="44"/>
          <w:lang w:eastAsia="zh-CN"/>
        </w:rPr>
        <w:t>安全生产监督管理局</w:t>
      </w:r>
    </w:p>
    <w:p>
      <w:pPr>
        <w:spacing w:line="578" w:lineRule="exact"/>
        <w:jc w:val="center"/>
        <w:rPr>
          <w:rFonts w:eastAsia="方正小标宋简体"/>
          <w:b/>
          <w:sz w:val="44"/>
          <w:szCs w:val="44"/>
        </w:rPr>
      </w:pPr>
      <w:r>
        <w:rPr>
          <w:rFonts w:eastAsia="方正小标宋简体"/>
          <w:b/>
          <w:sz w:val="44"/>
          <w:szCs w:val="44"/>
        </w:rPr>
        <w:t>关于201</w:t>
      </w:r>
      <w:r>
        <w:rPr>
          <w:rFonts w:hint="eastAsia" w:eastAsia="方正小标宋简体"/>
          <w:b/>
          <w:sz w:val="44"/>
          <w:szCs w:val="44"/>
          <w:lang w:val="en-US" w:eastAsia="zh-CN"/>
        </w:rPr>
        <w:t>8</w:t>
      </w:r>
      <w:r>
        <w:rPr>
          <w:rFonts w:eastAsia="方正小标宋简体"/>
          <w:b/>
          <w:sz w:val="44"/>
          <w:szCs w:val="44"/>
        </w:rPr>
        <w:t>年度部门整体支出绩效自评报告</w:t>
      </w:r>
    </w:p>
    <w:p>
      <w:pPr>
        <w:spacing w:line="578" w:lineRule="exact"/>
        <w:ind w:firstLine="800" w:firstLineChars="250"/>
        <w:rPr>
          <w:rFonts w:eastAsia="黑体"/>
          <w:sz w:val="32"/>
          <w:szCs w:val="32"/>
        </w:rPr>
      </w:pPr>
    </w:p>
    <w:p>
      <w:pPr>
        <w:spacing w:line="578" w:lineRule="exact"/>
        <w:ind w:firstLine="800" w:firstLineChars="250"/>
        <w:rPr>
          <w:rFonts w:eastAsia="方正黑体_GBK"/>
          <w:sz w:val="32"/>
          <w:szCs w:val="32"/>
        </w:rPr>
      </w:pPr>
      <w:r>
        <w:rPr>
          <w:rFonts w:eastAsia="方正黑体_GBK"/>
          <w:sz w:val="32"/>
          <w:szCs w:val="32"/>
        </w:rPr>
        <w:t>一、部门（单位）概况</w:t>
      </w:r>
    </w:p>
    <w:p>
      <w:pPr>
        <w:spacing w:line="578" w:lineRule="exact"/>
        <w:ind w:firstLine="627" w:firstLineChars="196"/>
        <w:rPr>
          <w:rFonts w:eastAsia="方正楷体_GBK"/>
          <w:sz w:val="32"/>
          <w:szCs w:val="32"/>
        </w:rPr>
      </w:pPr>
      <w:r>
        <w:rPr>
          <w:rFonts w:eastAsia="方正楷体_GBK"/>
          <w:sz w:val="32"/>
          <w:szCs w:val="32"/>
        </w:rPr>
        <w:t>（一）机构组成。</w:t>
      </w:r>
    </w:p>
    <w:p>
      <w:pPr>
        <w:keepNext w:val="0"/>
        <w:keepLines w:val="0"/>
        <w:pageBreakBefore w:val="0"/>
        <w:kinsoku/>
        <w:wordWrap/>
        <w:overflowPunct/>
        <w:topLinePunct w:val="0"/>
        <w:autoSpaceDE/>
        <w:autoSpaceDN/>
        <w:bidi w:val="0"/>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达川区安监局行政单位1个，</w:t>
      </w:r>
      <w:r>
        <w:rPr>
          <w:rFonts w:hint="eastAsia" w:ascii="仿宋_GB2312" w:hAnsi="仿宋_GB2312" w:eastAsia="仿宋_GB2312" w:cs="仿宋_GB2312"/>
          <w:sz w:val="32"/>
          <w:szCs w:val="32"/>
          <w:lang w:eastAsia="zh-CN"/>
        </w:rPr>
        <w:t>内设六股一室，下设</w:t>
      </w:r>
      <w:r>
        <w:rPr>
          <w:rFonts w:hint="eastAsia" w:ascii="仿宋_GB2312" w:hAnsi="仿宋_GB2312" w:eastAsia="仿宋_GB2312" w:cs="仿宋_GB2312"/>
          <w:sz w:val="32"/>
          <w:szCs w:val="32"/>
        </w:rPr>
        <w:t>参照公务员法管理的事业单位</w:t>
      </w:r>
      <w:r>
        <w:rPr>
          <w:rFonts w:hint="eastAsia" w:ascii="仿宋_GB2312" w:hAnsi="仿宋_GB2312" w:eastAsia="仿宋_GB2312" w:cs="仿宋_GB2312"/>
          <w:bCs/>
          <w:sz w:val="32"/>
          <w:szCs w:val="32"/>
        </w:rPr>
        <w:t>1</w:t>
      </w:r>
      <w:r>
        <w:rPr>
          <w:rFonts w:hint="eastAsia" w:ascii="仿宋_GB2312" w:hAnsi="仿宋_GB2312" w:eastAsia="仿宋_GB2312" w:cs="仿宋_GB2312"/>
          <w:sz w:val="32"/>
          <w:szCs w:val="32"/>
        </w:rPr>
        <w:t>个，其他事业单位</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（职业安全健康监督管理中心、安全体验中心、应急救援中心与预警监测中心，其中应急救援中心、预警监测中心两块牌子一套班子）。</w:t>
      </w:r>
    </w:p>
    <w:p>
      <w:pPr>
        <w:spacing w:line="578" w:lineRule="exact"/>
        <w:ind w:firstLine="627" w:firstLineChars="196"/>
        <w:rPr>
          <w:rFonts w:eastAsia="方正楷体_GBK"/>
          <w:sz w:val="32"/>
          <w:szCs w:val="32"/>
        </w:rPr>
      </w:pPr>
      <w:r>
        <w:rPr>
          <w:rFonts w:eastAsia="方正楷体_GBK"/>
          <w:sz w:val="32"/>
          <w:szCs w:val="32"/>
        </w:rPr>
        <w:t>（二）机构职能。</w:t>
      </w:r>
    </w:p>
    <w:p>
      <w:pPr>
        <w:keepNext w:val="0"/>
        <w:keepLines w:val="0"/>
        <w:pageBreakBefore w:val="0"/>
        <w:widowControl/>
        <w:kinsoku/>
        <w:wordWrap/>
        <w:overflowPunct/>
        <w:topLinePunct w:val="0"/>
        <w:autoSpaceDE/>
        <w:autoSpaceDN/>
        <w:bidi w:val="0"/>
        <w:adjustRightInd w:val="0"/>
        <w:snapToGrid w:val="0"/>
        <w:spacing w:line="560" w:lineRule="exact"/>
        <w:ind w:left="0" w:leftChars="0" w:right="0" w:rightChars="0" w:firstLine="56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承担区安全生产委员会办公室的工作。具体职责是：研究提出安全生产重要措施的建议；监督检查、指导协调区级有关部门和乡镇人民政府的安全生产工作；组织全区安全生产大检查和专项督查；参与研究有关部门在产业政策、资金投入、科技发展等工作中涉及安全生产的相关工作；承办区安全生产委员会召开的会议和重要活动，督促检查区安全生产委员会会议决定事项的贯彻落实情况；组织全区安全生产年度目标的制定、分解和考核。（2）负责综合监督管理全区安全生产工作。组织起草安全生产方面的规范性文件，并组织实施。（3）负责职责范围内非煤矿矿山企业和危险化学品、烟花爆竹生产（批发）企业安全生产（经营）许可证办理材料的初审上报和管理工作。（4）负责烟花爆竹零售经营许可证的颁发工作。（5）负责第三类非药品类易制毒化学品经营的备案证明颁发工作。（6）依法行使安全生产综合监督管理职权，按照分级、属地原则，指导、协调和监督有关部门安全生产监督管理工作，对乡镇安全生产监督管理部门进行业务指导，制定全区安全生产发展规划；定期分析和预测全区安全生产形势，研究、协调和解决安全生产中的重大问题。（7）负责组织区政府安全生产大检查和专项督查，根据区政府授权，依法组织事故调查处理和办理结案工作，并监督事故查处的落实情况；负责发布全区安全生产信息，综合管理全区生产安全伤亡事故调度统计上报工作；组织、指挥和协调安全生产应急救援工作。（8）负责危险化学品安全生产监督管理工作。具体负责：危险化学品生产、经营、运输、储存企业设立及其新建、改建、扩建的安全审查工作；危险化学品的登记工作；危险化学品从业人员上岗培训和上岗证发放工作；危险化学品事故应急救援的组织和协调工作；上述事项的监督检查工作。（9）负责烟花爆竹安全生产监督管理工作。监督检查烟花爆竹生产经营单位贯彻执行安全生产法律法规情况；组织查处不具备安全生产基本条件的烟花爆竹生产经营单位；组织查处烟花爆竹生产安全事故。（10）组织实施对工矿商贸生产经营单位安全生产条件和有关设备（特种设备除外）进行检测检验、安全评价、安全培训、安全咨询等社会中介组织的资质审查监督工作。（11）负责监督管理工矿商贸生产经营单位安全生产工作，依法监督工矿商贸生产经营单位贯彻执行安全生产法律、法规情况及其安全生产条件和有关设备（特种设备除外）、材料、劳动防护用品的安全生产管理工作，依法查处不具备安全生产条件的工矿商贸生产经营单位。（12）组织、指导全区安全生产宣传教育工作，负责安全生产监督管理人员的安全培训、考核工作，依法组织、指导并监督特种作业人员（特种设备作业人员除外）的考核工作和工矿商贸生产经营单位主要经营管理者、安全生产管理人员的安全资格考核工作；监督检查工矿商贸生产经营单位安全培训工作。（13）承担工矿商贸作业场所（煤矿作业场所除外）职业卫生监督检查职责，组织查处职业危害事故和有关违法行为；负责职业卫生安全许可证的申报工作。（14）负责依法监督检查职责范围内新建、改建、扩建工程项目的安全设施与主体工程同时设计、同时施工、同时投产使用情况；监督检查重大危险源监控、重大事故隐患的整改工作。（15）承办区政府交办的其他事项。</w:t>
      </w:r>
    </w:p>
    <w:p>
      <w:pPr>
        <w:spacing w:line="578" w:lineRule="exact"/>
        <w:ind w:firstLine="627" w:firstLineChars="196"/>
        <w:rPr>
          <w:rFonts w:eastAsia="方正楷体_GBK"/>
          <w:sz w:val="32"/>
          <w:szCs w:val="32"/>
        </w:rPr>
      </w:pPr>
      <w:r>
        <w:rPr>
          <w:rFonts w:eastAsia="方正楷体_GBK"/>
          <w:sz w:val="32"/>
          <w:szCs w:val="32"/>
        </w:rPr>
        <w:t>（三）人员概况。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eastAsia="方正黑体_GBK"/>
          <w:sz w:val="32"/>
          <w:szCs w:val="32"/>
          <w:lang w:val="en-US" w:eastAsia="zh-CN"/>
        </w:rPr>
      </w:pPr>
      <w:r>
        <w:rPr>
          <w:rFonts w:hint="eastAsia" w:ascii="仿宋" w:hAnsi="仿宋" w:eastAsia="仿宋" w:cs="仿宋"/>
          <w:sz w:val="32"/>
          <w:szCs w:val="32"/>
          <w:lang w:val="en-US" w:eastAsia="zh-CN"/>
        </w:rPr>
        <w:t>2018年我局编制人数43人（行政编20人；参公11人，事业编12人），年末实有在职人员38人。</w:t>
      </w:r>
    </w:p>
    <w:p>
      <w:pPr>
        <w:spacing w:line="580" w:lineRule="exact"/>
        <w:ind w:firstLine="640" w:firstLineChars="200"/>
        <w:rPr>
          <w:rFonts w:eastAsia="方正黑体_GBK"/>
          <w:sz w:val="32"/>
          <w:szCs w:val="32"/>
        </w:rPr>
      </w:pPr>
      <w:r>
        <w:rPr>
          <w:rFonts w:eastAsia="方正黑体_GBK"/>
          <w:sz w:val="32"/>
          <w:szCs w:val="32"/>
        </w:rPr>
        <w:t>二、</w:t>
      </w:r>
      <w:r>
        <w:rPr>
          <w:rFonts w:ascii="黑体" w:hAnsi="黑体" w:eastAsia="黑体" w:cs="黑体"/>
          <w:sz w:val="32"/>
          <w:szCs w:val="32"/>
        </w:rPr>
        <w:t>部门财政资金收支情况</w:t>
      </w:r>
    </w:p>
    <w:p>
      <w:pPr>
        <w:spacing w:line="578" w:lineRule="exact"/>
        <w:ind w:firstLine="627"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（一）部门财政资金收入情况</w:t>
      </w:r>
    </w:p>
    <w:p>
      <w:pPr>
        <w:spacing w:line="578" w:lineRule="exact"/>
        <w:ind w:firstLine="627" w:firstLineChars="196"/>
        <w:rPr>
          <w:rFonts w:eastAsia="方正楷体_GBK"/>
          <w:sz w:val="32"/>
          <w:szCs w:val="32"/>
        </w:rPr>
      </w:pP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我局</w:t>
      </w:r>
      <w:r>
        <w:rPr>
          <w:rFonts w:hint="eastAsia" w:ascii="仿宋_GB2312" w:hAnsi="仿宋_GB2312" w:eastAsia="仿宋_GB2312" w:cs="仿宋_GB2312"/>
          <w:color w:val="000000"/>
          <w:sz w:val="32"/>
          <w:szCs w:val="32"/>
        </w:rPr>
        <w:t>本年收入合计</w:t>
      </w:r>
      <w:r>
        <w:rPr>
          <w:rFonts w:hint="eastAsia" w:ascii="仿宋_GB2312" w:hAnsi="仿宋_GB2312" w:eastAsia="仿宋_GB2312" w:cs="仿宋_GB2312"/>
          <w:color w:val="000000"/>
          <w:sz w:val="32"/>
          <w:szCs w:val="32"/>
          <w:lang w:val="en-US" w:eastAsia="zh-CN"/>
        </w:rPr>
        <w:t>841.85</w:t>
      </w:r>
      <w:r>
        <w:rPr>
          <w:rFonts w:hint="eastAsia" w:ascii="仿宋_GB2312" w:hAnsi="仿宋_GB2312" w:eastAsia="仿宋_GB2312" w:cs="仿宋_GB2312"/>
          <w:color w:val="000000"/>
          <w:sz w:val="32"/>
          <w:szCs w:val="32"/>
        </w:rPr>
        <w:t>万元，其中：</w:t>
      </w:r>
      <w:r>
        <w:rPr>
          <w:rFonts w:hint="eastAsia" w:ascii="仿宋_GB2312" w:hAnsi="仿宋_GB2312" w:eastAsia="仿宋_GB2312" w:cs="仿宋_GB2312"/>
          <w:color w:val="000000"/>
          <w:sz w:val="32"/>
          <w:szCs w:val="32"/>
          <w:shd w:val="clear" w:color="auto" w:fill="auto"/>
        </w:rPr>
        <w:t>一般公共预算财政拨款收入</w:t>
      </w:r>
      <w:r>
        <w:rPr>
          <w:rFonts w:hint="eastAsia" w:ascii="仿宋_GB2312" w:hAnsi="仿宋_GB2312" w:eastAsia="仿宋_GB2312" w:cs="仿宋_GB2312"/>
          <w:color w:val="000000"/>
          <w:sz w:val="32"/>
          <w:szCs w:val="32"/>
          <w:shd w:val="clear" w:color="auto" w:fill="auto"/>
          <w:lang w:val="en-US" w:eastAsia="zh-CN"/>
        </w:rPr>
        <w:t>841.85</w:t>
      </w:r>
      <w:r>
        <w:rPr>
          <w:rFonts w:hint="eastAsia" w:ascii="仿宋_GB2312" w:hAnsi="仿宋_GB2312" w:eastAsia="仿宋_GB2312" w:cs="仿宋_GB2312"/>
          <w:color w:val="000000"/>
          <w:sz w:val="32"/>
          <w:szCs w:val="32"/>
          <w:shd w:val="clear" w:color="auto" w:fill="auto"/>
        </w:rPr>
        <w:t>万元</w:t>
      </w:r>
      <w:r>
        <w:rPr>
          <w:rFonts w:hint="eastAsia" w:ascii="仿宋_GB2312" w:hAnsi="仿宋_GB2312" w:eastAsia="仿宋_GB2312" w:cs="仿宋_GB2312"/>
          <w:color w:val="000000"/>
          <w:sz w:val="32"/>
          <w:szCs w:val="32"/>
          <w:shd w:val="clear" w:color="auto" w:fill="auto"/>
          <w:lang w:eastAsia="zh-CN"/>
        </w:rPr>
        <w:t>。</w:t>
      </w:r>
    </w:p>
    <w:p>
      <w:pPr>
        <w:spacing w:line="578" w:lineRule="exact"/>
        <w:ind w:firstLine="627" w:firstLineChars="196"/>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（二）部门财政资金支出情况</w:t>
      </w:r>
    </w:p>
    <w:p>
      <w:pPr>
        <w:spacing w:line="578" w:lineRule="exact"/>
        <w:ind w:firstLine="627" w:firstLineChars="196"/>
        <w:rPr>
          <w:rFonts w:eastAsia="方正仿宋_GBK"/>
          <w:bCs/>
          <w:sz w:val="32"/>
          <w:szCs w:val="32"/>
        </w:rPr>
      </w:pPr>
      <w:r>
        <w:rPr>
          <w:rFonts w:hint="eastAsia" w:ascii="仿宋" w:hAnsi="仿宋" w:eastAsia="仿宋" w:cs="仿宋"/>
          <w:bCs/>
          <w:sz w:val="32"/>
          <w:szCs w:val="32"/>
        </w:rPr>
        <w:t>201</w:t>
      </w:r>
      <w:r>
        <w:rPr>
          <w:rFonts w:hint="eastAsia" w:ascii="仿宋" w:hAnsi="仿宋" w:eastAsia="仿宋" w:cs="仿宋"/>
          <w:bCs/>
          <w:sz w:val="32"/>
          <w:szCs w:val="32"/>
          <w:lang w:val="en-US" w:eastAsia="zh-CN"/>
        </w:rPr>
        <w:t>8</w:t>
      </w:r>
      <w:r>
        <w:rPr>
          <w:rFonts w:hint="eastAsia" w:ascii="仿宋" w:hAnsi="仿宋" w:eastAsia="仿宋" w:cs="仿宋"/>
          <w:bCs/>
          <w:sz w:val="32"/>
          <w:szCs w:val="32"/>
        </w:rPr>
        <w:t>年达州市达川区</w:t>
      </w:r>
      <w:r>
        <w:rPr>
          <w:rFonts w:hint="eastAsia" w:ascii="仿宋" w:hAnsi="仿宋" w:eastAsia="仿宋" w:cs="仿宋"/>
          <w:bCs/>
          <w:sz w:val="32"/>
          <w:szCs w:val="32"/>
          <w:lang w:eastAsia="zh-CN"/>
        </w:rPr>
        <w:t>安全生产监督管理局</w:t>
      </w:r>
      <w:r>
        <w:rPr>
          <w:rFonts w:hint="eastAsia" w:ascii="仿宋" w:hAnsi="仿宋" w:eastAsia="仿宋" w:cs="仿宋"/>
          <w:bCs/>
          <w:sz w:val="32"/>
          <w:szCs w:val="32"/>
        </w:rPr>
        <w:t>本年支出</w:t>
      </w:r>
      <w:r>
        <w:rPr>
          <w:rFonts w:hint="eastAsia" w:ascii="仿宋" w:hAnsi="仿宋" w:eastAsia="仿宋" w:cs="仿宋"/>
          <w:bCs/>
          <w:sz w:val="32"/>
          <w:szCs w:val="32"/>
          <w:lang w:val="en-US" w:eastAsia="zh-CN"/>
        </w:rPr>
        <w:t>832.29</w:t>
      </w:r>
      <w:r>
        <w:rPr>
          <w:rFonts w:hint="eastAsia" w:ascii="仿宋" w:hAnsi="仿宋" w:eastAsia="仿宋" w:cs="仿宋"/>
          <w:bCs/>
          <w:sz w:val="32"/>
          <w:szCs w:val="32"/>
        </w:rPr>
        <w:t>万元，其中：基本支出</w:t>
      </w:r>
      <w:r>
        <w:rPr>
          <w:rFonts w:hint="eastAsia" w:ascii="仿宋" w:hAnsi="仿宋" w:eastAsia="仿宋" w:cs="仿宋"/>
          <w:bCs/>
          <w:sz w:val="32"/>
          <w:szCs w:val="32"/>
          <w:lang w:val="en-US" w:eastAsia="zh-CN"/>
        </w:rPr>
        <w:t>524.13</w:t>
      </w:r>
      <w:r>
        <w:rPr>
          <w:rFonts w:hint="eastAsia" w:ascii="仿宋" w:hAnsi="仿宋" w:eastAsia="仿宋" w:cs="仿宋"/>
          <w:bCs/>
          <w:sz w:val="32"/>
          <w:szCs w:val="32"/>
        </w:rPr>
        <w:t>万元（人员经费</w:t>
      </w:r>
      <w:r>
        <w:rPr>
          <w:rFonts w:hint="eastAsia" w:ascii="仿宋" w:hAnsi="仿宋" w:eastAsia="仿宋" w:cs="仿宋"/>
          <w:color w:val="000000"/>
          <w:sz w:val="32"/>
          <w:szCs w:val="32"/>
          <w:lang w:val="en-US" w:eastAsia="zh-CN"/>
        </w:rPr>
        <w:t>468.57</w:t>
      </w:r>
      <w:r>
        <w:rPr>
          <w:rFonts w:hint="eastAsia" w:ascii="仿宋" w:hAnsi="仿宋" w:eastAsia="仿宋" w:cs="仿宋"/>
          <w:bCs/>
          <w:sz w:val="32"/>
          <w:szCs w:val="32"/>
        </w:rPr>
        <w:t>万元和日常公用经费</w:t>
      </w:r>
      <w:r>
        <w:rPr>
          <w:rFonts w:hint="eastAsia" w:ascii="仿宋" w:hAnsi="仿宋" w:eastAsia="仿宋" w:cs="仿宋"/>
          <w:color w:val="000000"/>
          <w:sz w:val="32"/>
          <w:szCs w:val="32"/>
          <w:lang w:val="en-US" w:eastAsia="zh-CN"/>
        </w:rPr>
        <w:t>55.56</w:t>
      </w:r>
      <w:r>
        <w:rPr>
          <w:rFonts w:hint="eastAsia" w:ascii="仿宋" w:hAnsi="仿宋" w:eastAsia="仿宋" w:cs="仿宋"/>
          <w:bCs/>
          <w:sz w:val="32"/>
          <w:szCs w:val="32"/>
        </w:rPr>
        <w:t>万元），项目支出</w:t>
      </w:r>
      <w:r>
        <w:rPr>
          <w:rFonts w:hint="eastAsia" w:ascii="仿宋" w:hAnsi="仿宋" w:eastAsia="仿宋" w:cs="仿宋"/>
          <w:bCs/>
          <w:sz w:val="32"/>
          <w:szCs w:val="32"/>
          <w:lang w:val="en-US" w:eastAsia="zh-CN"/>
        </w:rPr>
        <w:t>308.16</w:t>
      </w:r>
      <w:r>
        <w:rPr>
          <w:rFonts w:hint="eastAsia" w:ascii="仿宋" w:hAnsi="仿宋" w:eastAsia="仿宋" w:cs="仿宋"/>
          <w:bCs/>
          <w:sz w:val="32"/>
          <w:szCs w:val="32"/>
        </w:rPr>
        <w:t>万元</w:t>
      </w:r>
      <w:r>
        <w:rPr>
          <w:rFonts w:eastAsia="方正仿宋_GBK"/>
          <w:bCs/>
          <w:sz w:val="32"/>
          <w:szCs w:val="32"/>
        </w:rPr>
        <w:t>。</w:t>
      </w:r>
    </w:p>
    <w:p>
      <w:pPr>
        <w:spacing w:line="580" w:lineRule="exact"/>
        <w:ind w:firstLine="640" w:firstLineChars="200"/>
        <w:rPr>
          <w:rFonts w:ascii="黑体" w:hAnsi="黑体" w:eastAsia="黑体" w:cs="黑体"/>
          <w:sz w:val="32"/>
          <w:szCs w:val="32"/>
        </w:rPr>
      </w:pPr>
      <w:r>
        <w:rPr>
          <w:rFonts w:ascii="黑体" w:hAnsi="黑体" w:eastAsia="黑体" w:cs="黑体"/>
          <w:sz w:val="32"/>
          <w:szCs w:val="32"/>
        </w:rPr>
        <w:t>三、部门整体预算绩效管理情况（根据适用指标体系进行调整）</w:t>
      </w:r>
    </w:p>
    <w:p>
      <w:pPr>
        <w:keepNext w:val="0"/>
        <w:keepLines w:val="0"/>
        <w:pageBreakBefore w:val="0"/>
        <w:widowControl w:val="0"/>
        <w:kinsoku/>
        <w:wordWrap/>
        <w:overflowPunct/>
        <w:topLinePunct w:val="0"/>
        <w:bidi w:val="0"/>
        <w:spacing w:line="578" w:lineRule="exact"/>
        <w:ind w:firstLine="628" w:firstLineChars="196"/>
        <w:outlineLvl w:val="9"/>
        <w:rPr>
          <w:rFonts w:eastAsia="方正仿宋_GBK"/>
          <w:b/>
          <w:color w:val="auto"/>
          <w:sz w:val="32"/>
          <w:szCs w:val="32"/>
        </w:rPr>
      </w:pPr>
      <w:r>
        <w:rPr>
          <w:rFonts w:hint="eastAsia" w:ascii="华文楷体" w:hAnsi="华文楷体" w:eastAsia="华文楷体" w:cs="华文楷体"/>
          <w:b/>
          <w:bCs/>
          <w:color w:val="auto"/>
          <w:sz w:val="32"/>
          <w:szCs w:val="32"/>
        </w:rPr>
        <w:t>（一）</w:t>
      </w:r>
      <w:r>
        <w:rPr>
          <w:rFonts w:hint="eastAsia" w:ascii="华文楷体" w:hAnsi="华文楷体" w:eastAsia="华文楷体" w:cs="华文楷体"/>
          <w:b/>
          <w:bCs/>
          <w:color w:val="auto"/>
          <w:sz w:val="32"/>
          <w:szCs w:val="32"/>
          <w:lang w:val="en-US" w:eastAsia="zh-CN"/>
        </w:rPr>
        <w:t>部门预算管理</w:t>
      </w:r>
      <w:r>
        <w:rPr>
          <w:rFonts w:hint="eastAsia" w:ascii="华文楷体" w:hAnsi="华文楷体" w:eastAsia="华文楷体" w:cs="华文楷体"/>
          <w:b/>
          <w:bCs/>
          <w:color w:val="auto"/>
          <w:sz w:val="32"/>
          <w:szCs w:val="32"/>
        </w:rPr>
        <w:t>情况。</w:t>
      </w:r>
      <w:r>
        <w:rPr>
          <w:rFonts w:eastAsia="方正仿宋_GBK"/>
          <w:b/>
          <w:color w:val="auto"/>
          <w:sz w:val="32"/>
          <w:szCs w:val="32"/>
        </w:rPr>
        <w:tab/>
      </w:r>
    </w:p>
    <w:p>
      <w:pPr>
        <w:keepNext w:val="0"/>
        <w:keepLines w:val="0"/>
        <w:pageBreakBefore w:val="0"/>
        <w:widowControl w:val="0"/>
        <w:kinsoku/>
        <w:wordWrap/>
        <w:overflowPunct/>
        <w:topLinePunct w:val="0"/>
        <w:bidi w:val="0"/>
        <w:spacing w:line="578" w:lineRule="exact"/>
        <w:ind w:firstLine="641" w:firstLineChars="200"/>
        <w:outlineLvl w:val="9"/>
        <w:rPr>
          <w:rFonts w:eastAsia="方正仿宋_GBK"/>
          <w:color w:val="auto"/>
          <w:sz w:val="32"/>
          <w:szCs w:val="32"/>
        </w:rPr>
      </w:pPr>
      <w:r>
        <w:rPr>
          <w:rFonts w:hint="eastAsia" w:ascii="华文楷体" w:hAnsi="华文楷体" w:eastAsia="华文楷体" w:cs="华文楷体"/>
          <w:b/>
          <w:bCs/>
          <w:color w:val="auto"/>
          <w:sz w:val="32"/>
          <w:szCs w:val="32"/>
        </w:rPr>
        <w:t>1</w:t>
      </w:r>
      <w:r>
        <w:rPr>
          <w:rFonts w:hint="eastAsia" w:ascii="华文楷体" w:hAnsi="华文楷体" w:eastAsia="华文楷体" w:cs="华文楷体"/>
          <w:b/>
          <w:bCs/>
          <w:color w:val="auto"/>
          <w:sz w:val="32"/>
          <w:szCs w:val="32"/>
          <w:lang w:val="en-US" w:eastAsia="zh-CN"/>
        </w:rPr>
        <w:t>.</w:t>
      </w:r>
      <w:r>
        <w:rPr>
          <w:rFonts w:hint="eastAsia" w:ascii="华文楷体" w:hAnsi="华文楷体" w:eastAsia="华文楷体" w:cs="华文楷体"/>
          <w:b/>
          <w:bCs/>
          <w:color w:val="auto"/>
          <w:sz w:val="32"/>
          <w:szCs w:val="32"/>
        </w:rPr>
        <w:t>报送时效。</w:t>
      </w:r>
      <w:r>
        <w:rPr>
          <w:rFonts w:hint="eastAsia" w:ascii="仿宋_GB2312" w:hAnsi="仿宋_GB2312" w:eastAsia="仿宋_GB2312" w:cs="仿宋_GB2312"/>
          <w:color w:val="auto"/>
          <w:sz w:val="32"/>
          <w:szCs w:val="32"/>
          <w:lang w:eastAsia="zh-CN"/>
        </w:rPr>
        <w:t>按照部门预算编制通知及有关要求，按照完成基础库，项目库报送工作。</w:t>
      </w:r>
    </w:p>
    <w:p>
      <w:pPr>
        <w:keepNext w:val="0"/>
        <w:keepLines w:val="0"/>
        <w:pageBreakBefore w:val="0"/>
        <w:widowControl w:val="0"/>
        <w:kinsoku/>
        <w:wordWrap/>
        <w:overflowPunct/>
        <w:topLinePunct w:val="0"/>
        <w:bidi w:val="0"/>
        <w:spacing w:line="578" w:lineRule="exact"/>
        <w:ind w:firstLine="641" w:firstLineChars="200"/>
        <w:jc w:val="both"/>
        <w:outlineLvl w:val="9"/>
        <w:rPr>
          <w:rFonts w:eastAsia="方正仿宋_GBK"/>
          <w:color w:val="auto"/>
          <w:sz w:val="32"/>
          <w:szCs w:val="32"/>
        </w:rPr>
      </w:pPr>
      <w:r>
        <w:rPr>
          <w:rFonts w:hint="eastAsia" w:ascii="华文楷体" w:hAnsi="华文楷体" w:eastAsia="华文楷体" w:cs="华文楷体"/>
          <w:b/>
          <w:bCs/>
          <w:color w:val="auto"/>
          <w:sz w:val="32"/>
          <w:szCs w:val="32"/>
        </w:rPr>
        <w:t>2</w:t>
      </w:r>
      <w:r>
        <w:rPr>
          <w:rFonts w:hint="eastAsia" w:ascii="华文楷体" w:hAnsi="华文楷体" w:eastAsia="华文楷体" w:cs="华文楷体"/>
          <w:b/>
          <w:bCs/>
          <w:color w:val="auto"/>
          <w:sz w:val="32"/>
          <w:szCs w:val="32"/>
          <w:lang w:val="en-US" w:eastAsia="zh-CN"/>
        </w:rPr>
        <w:t>.</w:t>
      </w:r>
      <w:r>
        <w:rPr>
          <w:rFonts w:hint="eastAsia" w:ascii="华文楷体" w:hAnsi="华文楷体" w:eastAsia="华文楷体" w:cs="华文楷体"/>
          <w:b/>
          <w:bCs/>
          <w:color w:val="auto"/>
          <w:sz w:val="32"/>
          <w:szCs w:val="32"/>
        </w:rPr>
        <w:t>编制质量。</w:t>
      </w:r>
      <w:r>
        <w:rPr>
          <w:rFonts w:hint="eastAsia" w:ascii="仿宋_GB2312" w:eastAsia="仿宋_GB2312"/>
          <w:snapToGrid w:val="0"/>
          <w:color w:val="auto"/>
          <w:sz w:val="32"/>
          <w:szCs w:val="32"/>
        </w:rPr>
        <w:t>针对综合财政预算的管理，我部严格部门预算编制，提高预算编制的质量。为了遵循政府预算统一性、完整性、年度性、可靠性、公开性和分类性原则，保证预算编制的科学、合理、规范、准确、完整、效益。</w:t>
      </w:r>
    </w:p>
    <w:p>
      <w:pPr>
        <w:keepNext w:val="0"/>
        <w:keepLines w:val="0"/>
        <w:pageBreakBefore w:val="0"/>
        <w:widowControl w:val="0"/>
        <w:kinsoku/>
        <w:wordWrap/>
        <w:overflowPunct/>
        <w:topLinePunct w:val="0"/>
        <w:bidi w:val="0"/>
        <w:spacing w:line="578" w:lineRule="exact"/>
        <w:ind w:firstLine="641" w:firstLineChars="200"/>
        <w:outlineLvl w:val="9"/>
        <w:rPr>
          <w:rFonts w:hint="eastAsia" w:ascii="仿宋_GB2312" w:hAnsi="仿宋_GB2312" w:eastAsia="仿宋_GB2312" w:cs="仿宋_GB2312"/>
          <w:color w:val="auto"/>
          <w:sz w:val="32"/>
          <w:szCs w:val="32"/>
          <w:lang w:eastAsia="zh-CN"/>
        </w:rPr>
      </w:pPr>
      <w:r>
        <w:rPr>
          <w:rFonts w:hint="eastAsia" w:ascii="华文楷体" w:hAnsi="华文楷体" w:eastAsia="华文楷体" w:cs="华文楷体"/>
          <w:b/>
          <w:bCs/>
          <w:color w:val="auto"/>
          <w:sz w:val="32"/>
          <w:szCs w:val="32"/>
        </w:rPr>
        <w:t>3</w:t>
      </w:r>
      <w:r>
        <w:rPr>
          <w:rFonts w:hint="eastAsia" w:ascii="华文楷体" w:hAnsi="华文楷体" w:eastAsia="华文楷体" w:cs="华文楷体"/>
          <w:b/>
          <w:bCs/>
          <w:color w:val="auto"/>
          <w:sz w:val="32"/>
          <w:szCs w:val="32"/>
          <w:lang w:val="en-US" w:eastAsia="zh-CN"/>
        </w:rPr>
        <w:t>.</w:t>
      </w:r>
      <w:r>
        <w:rPr>
          <w:rFonts w:hint="eastAsia" w:ascii="华文楷体" w:hAnsi="华文楷体" w:eastAsia="华文楷体" w:cs="华文楷体"/>
          <w:b/>
          <w:bCs/>
          <w:color w:val="auto"/>
          <w:sz w:val="32"/>
          <w:szCs w:val="32"/>
        </w:rPr>
        <w:t>目标明确。</w:t>
      </w:r>
      <w:r>
        <w:rPr>
          <w:rFonts w:hint="eastAsia" w:ascii="仿宋_GB2312" w:hAnsi="仿宋_GB2312" w:eastAsia="仿宋_GB2312" w:cs="仿宋_GB2312"/>
          <w:color w:val="auto"/>
          <w:sz w:val="32"/>
          <w:szCs w:val="32"/>
          <w:lang w:eastAsia="zh-CN"/>
        </w:rPr>
        <w:t>部门全年整体工作目标编制完整、合理。</w:t>
      </w:r>
    </w:p>
    <w:p>
      <w:pPr>
        <w:keepNext w:val="0"/>
        <w:keepLines w:val="0"/>
        <w:pageBreakBefore w:val="0"/>
        <w:widowControl w:val="0"/>
        <w:kinsoku/>
        <w:wordWrap/>
        <w:overflowPunct/>
        <w:topLinePunct w:val="0"/>
        <w:bidi w:val="0"/>
        <w:spacing w:line="578" w:lineRule="exact"/>
        <w:ind w:firstLine="641" w:firstLineChars="200"/>
        <w:outlineLvl w:val="9"/>
        <w:rPr>
          <w:rFonts w:hint="eastAsia" w:ascii="仿宋_GB2312" w:hAnsi="仿宋_GB2312" w:eastAsia="仿宋_GB2312" w:cs="仿宋_GB2312"/>
          <w:color w:val="auto"/>
          <w:sz w:val="32"/>
          <w:szCs w:val="32"/>
          <w:lang w:eastAsia="zh-CN"/>
        </w:rPr>
      </w:pPr>
      <w:r>
        <w:rPr>
          <w:rFonts w:hint="eastAsia" w:ascii="华文楷体" w:hAnsi="华文楷体" w:eastAsia="华文楷体" w:cs="华文楷体"/>
          <w:b/>
          <w:bCs/>
          <w:color w:val="auto"/>
          <w:sz w:val="32"/>
          <w:szCs w:val="32"/>
          <w:lang w:val="en-US" w:eastAsia="zh-CN"/>
        </w:rPr>
        <w:t>4.</w:t>
      </w:r>
      <w:r>
        <w:rPr>
          <w:rFonts w:hint="eastAsia" w:ascii="华文楷体" w:hAnsi="华文楷体" w:eastAsia="华文楷体" w:cs="华文楷体"/>
          <w:b/>
          <w:bCs/>
          <w:color w:val="auto"/>
          <w:sz w:val="32"/>
          <w:szCs w:val="32"/>
        </w:rPr>
        <w:t>部门预算执行进度情况。</w:t>
      </w:r>
      <w:r>
        <w:rPr>
          <w:rFonts w:hint="default" w:ascii="Times New Roman" w:hAnsi="Times New Roman" w:eastAsia="仿宋_GB2312" w:cs="Times New Roman"/>
          <w:color w:val="auto"/>
          <w:sz w:val="32"/>
          <w:szCs w:val="32"/>
          <w:lang w:eastAsia="zh-CN"/>
        </w:rPr>
        <w:t>部门预算执行进度</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w:t>
      </w:r>
    </w:p>
    <w:p>
      <w:pPr>
        <w:keepNext w:val="0"/>
        <w:keepLines w:val="0"/>
        <w:pageBreakBefore w:val="0"/>
        <w:widowControl w:val="0"/>
        <w:kinsoku/>
        <w:wordWrap/>
        <w:overflowPunct/>
        <w:topLinePunct w:val="0"/>
        <w:bidi w:val="0"/>
        <w:spacing w:line="578" w:lineRule="exact"/>
        <w:ind w:firstLine="628" w:firstLineChars="196"/>
        <w:outlineLvl w:val="9"/>
        <w:rPr>
          <w:rFonts w:eastAsia="方正仿宋_GBK"/>
          <w:b/>
          <w:color w:val="auto"/>
          <w:sz w:val="32"/>
          <w:szCs w:val="32"/>
        </w:rPr>
      </w:pPr>
      <w:r>
        <w:rPr>
          <w:rFonts w:hint="eastAsia" w:ascii="华文楷体" w:hAnsi="华文楷体" w:eastAsia="华文楷体" w:cs="华文楷体"/>
          <w:b/>
          <w:bCs/>
          <w:color w:val="auto"/>
          <w:sz w:val="32"/>
          <w:szCs w:val="32"/>
        </w:rPr>
        <w:t>（二）</w:t>
      </w:r>
      <w:r>
        <w:rPr>
          <w:rFonts w:hint="eastAsia" w:ascii="华文楷体" w:hAnsi="华文楷体" w:eastAsia="华文楷体" w:cs="华文楷体"/>
          <w:b/>
          <w:bCs/>
          <w:color w:val="auto"/>
          <w:sz w:val="32"/>
          <w:szCs w:val="32"/>
          <w:lang w:val="en-US" w:eastAsia="zh-CN"/>
        </w:rPr>
        <w:t>专项预算</w:t>
      </w:r>
      <w:r>
        <w:rPr>
          <w:rFonts w:hint="eastAsia" w:ascii="华文楷体" w:hAnsi="华文楷体" w:eastAsia="华文楷体" w:cs="华文楷体"/>
          <w:b/>
          <w:bCs/>
          <w:color w:val="auto"/>
          <w:sz w:val="32"/>
          <w:szCs w:val="32"/>
        </w:rPr>
        <w:t>管理情况。</w:t>
      </w:r>
      <w:r>
        <w:rPr>
          <w:rFonts w:eastAsia="方正仿宋_GBK"/>
          <w:b/>
          <w:color w:val="auto"/>
          <w:sz w:val="32"/>
          <w:szCs w:val="32"/>
        </w:rPr>
        <w:tab/>
      </w:r>
    </w:p>
    <w:p>
      <w:pPr>
        <w:spacing w:line="580" w:lineRule="exact"/>
        <w:ind w:firstLine="640" w:firstLineChars="200"/>
        <w:rPr>
          <w:rFonts w:hint="eastAsia" w:ascii="仿宋" w:hAnsi="仿宋" w:eastAsia="仿宋" w:cs="仿宋_GB2312"/>
          <w:color w:val="auto"/>
          <w:sz w:val="32"/>
          <w:szCs w:val="32"/>
          <w:lang w:val="en-US" w:eastAsia="zh-CN"/>
        </w:rPr>
      </w:pPr>
      <w:r>
        <w:rPr>
          <w:rFonts w:hint="eastAsia" w:ascii="仿宋_GB2312" w:hAnsi="仿宋_GB2312" w:eastAsia="仿宋_GB2312" w:cs="仿宋_GB2312"/>
          <w:color w:val="auto"/>
          <w:sz w:val="32"/>
          <w:szCs w:val="32"/>
        </w:rPr>
        <w:t>专项预算项目程序严密、规划合理、结果符合、分配科学、分配及时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项目实施绩效较好。</w:t>
      </w:r>
    </w:p>
    <w:p>
      <w:pPr>
        <w:spacing w:line="580" w:lineRule="exact"/>
        <w:ind w:firstLine="641" w:firstLineChars="200"/>
        <w:rPr>
          <w:rFonts w:hint="eastAsia" w:ascii="华文楷体" w:hAnsi="华文楷体" w:eastAsia="华文楷体" w:cs="华文楷体"/>
          <w:b/>
          <w:bCs/>
          <w:color w:val="auto"/>
          <w:sz w:val="32"/>
          <w:szCs w:val="32"/>
        </w:rPr>
      </w:pPr>
      <w:r>
        <w:rPr>
          <w:rFonts w:hint="eastAsia" w:ascii="华文楷体" w:hAnsi="华文楷体" w:eastAsia="华文楷体" w:cs="华文楷体"/>
          <w:b/>
          <w:bCs/>
          <w:color w:val="auto"/>
          <w:sz w:val="32"/>
          <w:szCs w:val="32"/>
        </w:rPr>
        <w:t>（三）结果应用情况。</w:t>
      </w:r>
    </w:p>
    <w:p>
      <w:pPr>
        <w:spacing w:line="580" w:lineRule="exact"/>
        <w:ind w:firstLine="640" w:firstLineChars="200"/>
        <w:rPr>
          <w:rFonts w:hint="default" w:ascii="仿宋" w:hAnsi="仿宋" w:eastAsia="仿宋" w:cs="仿宋_GB2312"/>
          <w:color w:val="auto"/>
          <w:sz w:val="32"/>
          <w:szCs w:val="32"/>
          <w:lang w:val="en-US" w:eastAsia="zh-CN"/>
        </w:rPr>
      </w:pPr>
      <w:r>
        <w:rPr>
          <w:rFonts w:hint="eastAsia" w:ascii="仿宋" w:hAnsi="仿宋" w:eastAsia="仿宋" w:cs="仿宋"/>
          <w:color w:val="auto"/>
          <w:sz w:val="32"/>
          <w:szCs w:val="32"/>
        </w:rPr>
        <w:t>我单位预算编制及执行决算较为准确，支出管理较为规范，财务管理制度较完善，部门整体绩效较好。</w:t>
      </w:r>
    </w:p>
    <w:p>
      <w:pPr>
        <w:spacing w:line="580" w:lineRule="exact"/>
        <w:ind w:firstLine="640" w:firstLineChars="200"/>
        <w:rPr>
          <w:rFonts w:ascii="黑体" w:hAnsi="黑体" w:eastAsia="黑体" w:cs="黑体"/>
          <w:color w:val="auto"/>
          <w:sz w:val="32"/>
          <w:szCs w:val="32"/>
        </w:rPr>
      </w:pPr>
      <w:r>
        <w:rPr>
          <w:rFonts w:ascii="黑体" w:hAnsi="黑体" w:eastAsia="黑体" w:cs="黑体"/>
          <w:color w:val="auto"/>
          <w:sz w:val="32"/>
          <w:szCs w:val="32"/>
        </w:rPr>
        <w:t>四、评价结论及建议</w:t>
      </w:r>
    </w:p>
    <w:p>
      <w:pPr>
        <w:keepNext w:val="0"/>
        <w:keepLines w:val="0"/>
        <w:pageBreakBefore w:val="0"/>
        <w:widowControl w:val="0"/>
        <w:kinsoku/>
        <w:wordWrap/>
        <w:overflowPunct/>
        <w:topLinePunct w:val="0"/>
        <w:bidi w:val="0"/>
        <w:spacing w:line="578" w:lineRule="exact"/>
        <w:ind w:firstLine="628" w:firstLineChars="196"/>
        <w:outlineLvl w:val="9"/>
        <w:rPr>
          <w:rFonts w:hint="eastAsia" w:ascii="华文楷体" w:hAnsi="华文楷体" w:eastAsia="华文楷体" w:cs="华文楷体"/>
          <w:b/>
          <w:bCs/>
          <w:color w:val="auto"/>
          <w:sz w:val="32"/>
          <w:szCs w:val="32"/>
        </w:rPr>
      </w:pPr>
      <w:r>
        <w:rPr>
          <w:rFonts w:hint="eastAsia" w:ascii="华文楷体" w:hAnsi="华文楷体" w:eastAsia="华文楷体" w:cs="华文楷体"/>
          <w:b/>
          <w:bCs/>
          <w:color w:val="auto"/>
          <w:sz w:val="32"/>
          <w:szCs w:val="32"/>
        </w:rPr>
        <w:t>（一）评价结论。</w:t>
      </w:r>
    </w:p>
    <w:p>
      <w:pPr>
        <w:keepNext w:val="0"/>
        <w:keepLines w:val="0"/>
        <w:pageBreakBefore w:val="0"/>
        <w:widowControl w:val="0"/>
        <w:kinsoku/>
        <w:wordWrap/>
        <w:overflowPunct/>
        <w:topLinePunct w:val="0"/>
        <w:bidi w:val="0"/>
        <w:spacing w:line="578" w:lineRule="exact"/>
        <w:ind w:firstLine="640" w:firstLineChars="200"/>
        <w:outlineLvl w:val="9"/>
        <w:rPr>
          <w:rFonts w:hint="eastAsia" w:ascii="仿宋" w:hAnsi="仿宋" w:eastAsia="仿宋" w:cs="仿宋"/>
          <w:color w:val="auto"/>
          <w:sz w:val="32"/>
          <w:szCs w:val="32"/>
        </w:rPr>
      </w:pPr>
      <w:r>
        <w:rPr>
          <w:rFonts w:hint="eastAsia" w:ascii="仿宋" w:hAnsi="仿宋" w:eastAsia="仿宋" w:cs="仿宋"/>
          <w:color w:val="auto"/>
          <w:sz w:val="32"/>
          <w:szCs w:val="32"/>
        </w:rPr>
        <w:t>总体看，我单位预算编制及执行决算较为准确，支出管理较为规范，财务管理制度较完善，部门整体绩效较好。</w:t>
      </w:r>
    </w:p>
    <w:p>
      <w:pPr>
        <w:keepNext w:val="0"/>
        <w:keepLines w:val="0"/>
        <w:pageBreakBefore w:val="0"/>
        <w:widowControl w:val="0"/>
        <w:kinsoku/>
        <w:wordWrap/>
        <w:overflowPunct/>
        <w:topLinePunct w:val="0"/>
        <w:bidi w:val="0"/>
        <w:spacing w:line="578" w:lineRule="exact"/>
        <w:ind w:firstLine="628" w:firstLineChars="196"/>
        <w:outlineLvl w:val="9"/>
        <w:rPr>
          <w:rFonts w:hint="eastAsia" w:ascii="华文楷体" w:hAnsi="华文楷体" w:eastAsia="华文楷体" w:cs="华文楷体"/>
          <w:b/>
          <w:bCs/>
          <w:color w:val="auto"/>
          <w:sz w:val="32"/>
          <w:szCs w:val="32"/>
        </w:rPr>
      </w:pPr>
      <w:r>
        <w:rPr>
          <w:rFonts w:hint="eastAsia" w:ascii="华文楷体" w:hAnsi="华文楷体" w:eastAsia="华文楷体" w:cs="华文楷体"/>
          <w:b/>
          <w:bCs/>
          <w:color w:val="auto"/>
          <w:sz w:val="32"/>
          <w:szCs w:val="32"/>
        </w:rPr>
        <w:t>（二）存在问题。</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预算编制方面</w:t>
      </w:r>
      <w:r>
        <w:rPr>
          <w:rFonts w:hint="default" w:ascii="Times New Roman" w:hAnsi="Times New Roman" w:eastAsia="仿宋_GB2312" w:cs="Times New Roman"/>
          <w:color w:val="auto"/>
          <w:sz w:val="32"/>
          <w:szCs w:val="32"/>
          <w:lang w:eastAsia="zh-CN"/>
        </w:rPr>
        <w:t>，不存在问题，但预算批复存在缺口，经费不足。</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政府采购方面</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不存在问题。</w:t>
      </w:r>
      <w:r>
        <w:rPr>
          <w:rFonts w:hint="default" w:ascii="Times New Roman" w:hAnsi="Times New Roman" w:eastAsia="仿宋_GB2312" w:cs="Times New Roman"/>
          <w:color w:val="auto"/>
          <w:sz w:val="32"/>
          <w:szCs w:val="32"/>
        </w:rPr>
        <w:t xml:space="preserve">                                                                                                                                                                                                                                                                                                                                                                                                                                                                                                                                                                                                                                                                                                                                                                                                                                                                                                                                                                                                                                                                                                                                                                                                                                                                                                                                                                                                                                                                                                                                                                                                                                                                                                                                                                                                                                                                                                                                                                                                                                                                                                                                                                                                                                                                                                                                                                                                                                                                                                                                                                                                                                                                                                                                                                                                                                                                                                                                                                                                                                                                                                                                                                                                                                                                                                                                                                                                                                                                                                                                                                                                                                                                                                                                                                                                                                                                                                                                                                                                                                                                                                                                                                                                                </w:t>
      </w:r>
      <w:r>
        <w:rPr>
          <w:rFonts w:hint="default" w:ascii="Times New Roman" w:hAnsi="Times New Roman" w:eastAsia="仿宋_GB2312" w:cs="Times New Roman"/>
          <w:color w:val="auto"/>
          <w:sz w:val="32"/>
          <w:szCs w:val="32"/>
        </w:rPr>
        <w:t xml:space="preserve">                                                                                                                                                                                                                                                                                                                                                                                                                                                                                                                                                                                                                                                                                                                                                                                                                                                                                                                                                                                                                                                                                                                                                                                                                                                                                                                                                                                                                                                                                                                                                                                                                                                                                                                                                                                                                                                                                                                                                                                                                                                                                                                                                                                                                                                                                                                                                                                                                                                                                                                                                                                                                                                                                                                                                                                                                                                                                                                                                                                                                                                                                                                                                                                                                                                                                                                                                                                                                                                                                                                                                                                                                                                                                                                                                                                                                                                                                                                                                                              </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3</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资产管理方面</w:t>
      </w:r>
      <w:r>
        <w:rPr>
          <w:rFonts w:hint="default" w:ascii="Times New Roman" w:hAnsi="Times New Roman" w:eastAsia="仿宋_GB2312" w:cs="Times New Roman"/>
          <w:color w:val="auto"/>
          <w:sz w:val="32"/>
          <w:szCs w:val="32"/>
          <w:lang w:val="en-US" w:eastAsia="zh-CN"/>
        </w:rPr>
        <w:t>不存在问题。</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4</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财务管理及会计核算方面</w:t>
      </w:r>
      <w:r>
        <w:rPr>
          <w:rFonts w:hint="default" w:ascii="Times New Roman" w:hAnsi="Times New Roman" w:eastAsia="仿宋_GB2312" w:cs="Times New Roman"/>
          <w:color w:val="auto"/>
          <w:sz w:val="32"/>
          <w:szCs w:val="32"/>
          <w:lang w:val="en-US" w:eastAsia="zh-CN"/>
        </w:rPr>
        <w:t>不存在问题。</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5</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人员管理方面</w:t>
      </w:r>
      <w:r>
        <w:rPr>
          <w:rFonts w:hint="default" w:ascii="Times New Roman" w:hAnsi="Times New Roman" w:eastAsia="仿宋_GB2312" w:cs="Times New Roman"/>
          <w:color w:val="auto"/>
          <w:sz w:val="32"/>
          <w:szCs w:val="32"/>
          <w:lang w:val="en-US" w:eastAsia="zh-CN"/>
        </w:rPr>
        <w:t>不存在问题。</w:t>
      </w:r>
    </w:p>
    <w:p>
      <w:pPr>
        <w:keepNext w:val="0"/>
        <w:keepLines w:val="0"/>
        <w:pageBreakBefore w:val="0"/>
        <w:widowControl w:val="0"/>
        <w:kinsoku/>
        <w:wordWrap/>
        <w:overflowPunct/>
        <w:topLinePunct w:val="0"/>
        <w:bidi w:val="0"/>
        <w:spacing w:line="578" w:lineRule="exact"/>
        <w:ind w:firstLine="628" w:firstLineChars="196"/>
        <w:outlineLvl w:val="9"/>
        <w:rPr>
          <w:rFonts w:hint="eastAsia" w:ascii="华文楷体" w:hAnsi="华文楷体" w:eastAsia="华文楷体" w:cs="华文楷体"/>
          <w:b/>
          <w:bCs/>
          <w:color w:val="auto"/>
          <w:sz w:val="32"/>
          <w:szCs w:val="32"/>
        </w:rPr>
      </w:pPr>
      <w:r>
        <w:rPr>
          <w:rFonts w:hint="eastAsia" w:ascii="华文楷体" w:hAnsi="华文楷体" w:eastAsia="华文楷体" w:cs="华文楷体"/>
          <w:b/>
          <w:bCs/>
          <w:color w:val="auto"/>
          <w:sz w:val="32"/>
          <w:szCs w:val="32"/>
        </w:rPr>
        <w:t>（三）改进措施。</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提高预算编制质量。</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严格执行政府采购。</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加强资产管理。</w:t>
      </w:r>
    </w:p>
    <w:p>
      <w:pPr>
        <w:keepNext w:val="0"/>
        <w:keepLines w:val="0"/>
        <w:pageBreakBefore w:val="0"/>
        <w:widowControl w:val="0"/>
        <w:kinsoku/>
        <w:wordWrap/>
        <w:overflowPunct/>
        <w:topLinePunct w:val="0"/>
        <w:bidi w:val="0"/>
        <w:spacing w:line="578" w:lineRule="exact"/>
        <w:ind w:firstLine="640" w:firstLineChars="200"/>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w:t>
      </w:r>
      <w:r>
        <w:rPr>
          <w:rFonts w:hint="eastAsia"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强化资金财务管理。严把资金支付审核关，严格检查入账发票的准确性，核实原始凭证的完整性。</w:t>
      </w:r>
    </w:p>
    <w:p>
      <w:pPr>
        <w:keepNext w:val="0"/>
        <w:keepLines w:val="0"/>
        <w:pageBreakBefore w:val="0"/>
        <w:widowControl w:val="0"/>
        <w:kinsoku/>
        <w:wordWrap/>
        <w:overflowPunct/>
        <w:topLinePunct w:val="0"/>
        <w:bidi w:val="0"/>
        <w:spacing w:line="578" w:lineRule="exact"/>
        <w:ind w:firstLine="640" w:firstLineChars="200"/>
        <w:jc w:val="right"/>
        <w:outlineLvl w:val="9"/>
        <w:rPr>
          <w:rFonts w:hint="default"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2019年9月16日</w:t>
      </w:r>
    </w:p>
    <w:p>
      <w:pPr>
        <w:spacing w:line="578" w:lineRule="exact"/>
        <w:jc w:val="both"/>
        <w:rPr>
          <w:rFonts w:hint="default" w:ascii="Times New Roman" w:hAnsi="Times New Roman" w:eastAsia="仿宋_GB2312" w:cs="Times New Roman"/>
          <w:color w:val="auto"/>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13"/>
        <w:tblpPr w:leftFromText="180" w:rightFromText="180" w:vertAnchor="text" w:horzAnchor="page" w:tblpX="1388" w:tblpY="667"/>
        <w:tblOverlap w:val="never"/>
        <w:tblW w:w="9420" w:type="dxa"/>
        <w:tblInd w:w="0" w:type="dxa"/>
        <w:shd w:val="clear" w:color="auto" w:fill="auto"/>
        <w:tblLayout w:type="fixed"/>
        <w:tblCellMar>
          <w:top w:w="0" w:type="dxa"/>
          <w:left w:w="0" w:type="dxa"/>
          <w:bottom w:w="0" w:type="dxa"/>
          <w:right w:w="0" w:type="dxa"/>
        </w:tblCellMar>
      </w:tblPr>
      <w:tblGrid>
        <w:gridCol w:w="675"/>
        <w:gridCol w:w="960"/>
        <w:gridCol w:w="1125"/>
        <w:gridCol w:w="2565"/>
        <w:gridCol w:w="3150"/>
        <w:gridCol w:w="945"/>
      </w:tblGrid>
      <w:tr>
        <w:tblPrEx>
          <w:shd w:val="clear" w:color="auto" w:fill="auto"/>
          <w:tblCellMar>
            <w:top w:w="0" w:type="dxa"/>
            <w:left w:w="0" w:type="dxa"/>
            <w:bottom w:w="0" w:type="dxa"/>
            <w:right w:w="0" w:type="dxa"/>
          </w:tblCellMar>
        </w:tblPrEx>
        <w:trPr>
          <w:trHeight w:val="420" w:hRule="atLeast"/>
        </w:trPr>
        <w:tc>
          <w:tcPr>
            <w:tcW w:w="67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96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125"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2565" w:type="dxa"/>
            <w:tcBorders>
              <w:top w:val="nil"/>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3150"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94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shd w:val="clear" w:color="auto" w:fill="auto"/>
          <w:tblCellMar>
            <w:top w:w="0" w:type="dxa"/>
            <w:left w:w="0" w:type="dxa"/>
            <w:bottom w:w="0" w:type="dxa"/>
            <w:right w:w="0" w:type="dxa"/>
          </w:tblCellMar>
        </w:tblPrEx>
        <w:trPr>
          <w:trHeight w:val="1200" w:hRule="atLeast"/>
        </w:trPr>
        <w:tc>
          <w:tcPr>
            <w:tcW w:w="8475"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达川区安全生产监督管理局整体支出绩效评价得分表</w:t>
            </w:r>
          </w:p>
        </w:tc>
        <w:tc>
          <w:tcPr>
            <w:tcW w:w="945" w:type="dxa"/>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shd w:val="clear" w:color="auto" w:fill="auto"/>
          <w:tblCellMar>
            <w:top w:w="0" w:type="dxa"/>
            <w:left w:w="0" w:type="dxa"/>
            <w:bottom w:w="0" w:type="dxa"/>
            <w:right w:w="0" w:type="dxa"/>
          </w:tblCellMar>
        </w:tblPrEx>
        <w:trPr>
          <w:trHeight w:val="555"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b/>
                <w:i w:val="0"/>
                <w:color w:val="000000"/>
                <w:sz w:val="20"/>
                <w:szCs w:val="20"/>
                <w:u w:val="none"/>
              </w:rPr>
            </w:pPr>
            <w:r>
              <w:rPr>
                <w:rFonts w:hint="default" w:ascii="仿宋_GB2312" w:hAnsi="宋体" w:eastAsia="仿宋_GB2312" w:cs="仿宋_GB2312"/>
                <w:b/>
                <w:i w:val="0"/>
                <w:color w:val="000000"/>
                <w:kern w:val="0"/>
                <w:sz w:val="20"/>
                <w:szCs w:val="20"/>
                <w:u w:val="none"/>
                <w:lang w:val="en-US" w:eastAsia="zh-CN" w:bidi="ar"/>
              </w:rPr>
              <w:t>一级　　　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b/>
                <w:i w:val="0"/>
                <w:color w:val="000000"/>
                <w:sz w:val="20"/>
                <w:szCs w:val="20"/>
                <w:u w:val="none"/>
              </w:rPr>
            </w:pPr>
            <w:r>
              <w:rPr>
                <w:rFonts w:hint="default" w:ascii="仿宋_GB2312" w:hAnsi="宋体" w:eastAsia="仿宋_GB2312" w:cs="仿宋_GB2312"/>
                <w:b/>
                <w:i w:val="0"/>
                <w:color w:val="000000"/>
                <w:kern w:val="0"/>
                <w:sz w:val="20"/>
                <w:szCs w:val="20"/>
                <w:u w:val="none"/>
                <w:lang w:val="en-US" w:eastAsia="zh-CN" w:bidi="ar"/>
              </w:rPr>
              <w:t>二级指标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b/>
                <w:i w:val="0"/>
                <w:color w:val="000000"/>
                <w:sz w:val="20"/>
                <w:szCs w:val="20"/>
                <w:u w:val="none"/>
              </w:rPr>
            </w:pPr>
            <w:r>
              <w:rPr>
                <w:rFonts w:hint="default" w:ascii="仿宋_GB2312" w:hAnsi="宋体" w:eastAsia="仿宋_GB2312" w:cs="仿宋_GB2312"/>
                <w:b/>
                <w:i w:val="0"/>
                <w:color w:val="000000"/>
                <w:kern w:val="0"/>
                <w:sz w:val="20"/>
                <w:szCs w:val="20"/>
                <w:u w:val="none"/>
                <w:lang w:val="en-US" w:eastAsia="zh-CN" w:bidi="ar"/>
              </w:rPr>
              <w:t>三级指标</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b/>
                <w:i w:val="0"/>
                <w:color w:val="000000"/>
                <w:sz w:val="20"/>
                <w:szCs w:val="20"/>
                <w:u w:val="none"/>
              </w:rPr>
            </w:pPr>
            <w:r>
              <w:rPr>
                <w:rFonts w:hint="default" w:ascii="仿宋_GB2312" w:hAnsi="宋体" w:eastAsia="仿宋_GB2312" w:cs="仿宋_GB2312"/>
                <w:b/>
                <w:i w:val="0"/>
                <w:color w:val="000000"/>
                <w:kern w:val="0"/>
                <w:sz w:val="20"/>
                <w:szCs w:val="20"/>
                <w:u w:val="none"/>
                <w:lang w:val="en-US" w:eastAsia="zh-CN" w:bidi="ar"/>
              </w:rPr>
              <w:t>指标解释</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b/>
                <w:i w:val="0"/>
                <w:color w:val="000000"/>
                <w:sz w:val="20"/>
                <w:szCs w:val="20"/>
                <w:u w:val="none"/>
              </w:rPr>
            </w:pPr>
            <w:r>
              <w:rPr>
                <w:rFonts w:hint="default" w:ascii="仿宋_GB2312" w:hAnsi="宋体" w:eastAsia="仿宋_GB2312" w:cs="仿宋_GB2312"/>
                <w:b/>
                <w:i w:val="0"/>
                <w:color w:val="000000"/>
                <w:kern w:val="0"/>
                <w:sz w:val="20"/>
                <w:szCs w:val="20"/>
                <w:u w:val="none"/>
                <w:lang w:val="en-US" w:eastAsia="zh-CN" w:bidi="ar"/>
              </w:rPr>
              <w:t>计分标准（备注）</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自评得分</w:t>
            </w:r>
          </w:p>
        </w:tc>
      </w:tr>
      <w:tr>
        <w:tblPrEx>
          <w:shd w:val="clear" w:color="auto" w:fill="auto"/>
          <w:tblCellMar>
            <w:top w:w="0" w:type="dxa"/>
            <w:left w:w="0" w:type="dxa"/>
            <w:bottom w:w="0" w:type="dxa"/>
            <w:right w:w="0" w:type="dxa"/>
          </w:tblCellMar>
        </w:tblPrEx>
        <w:trPr>
          <w:trHeight w:val="86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预算编制（</w:t>
            </w:r>
            <w:r>
              <w:rPr>
                <w:rStyle w:val="31"/>
                <w:rFonts w:eastAsia="仿宋_GB2312"/>
                <w:lang w:val="en-US" w:eastAsia="zh-CN" w:bidi="ar"/>
              </w:rPr>
              <w:t>16</w:t>
            </w:r>
            <w:r>
              <w:rPr>
                <w:rStyle w:val="32"/>
                <w:rFonts w:hAnsi="宋体"/>
                <w:lang w:val="en-US" w:eastAsia="zh-CN" w:bidi="ar"/>
              </w:rPr>
              <w:t>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报送时效　　（</w:t>
            </w:r>
            <w:r>
              <w:rPr>
                <w:rStyle w:val="31"/>
                <w:rFonts w:eastAsia="仿宋_GB2312"/>
                <w:lang w:val="en-US" w:eastAsia="zh-CN" w:bidi="ar"/>
              </w:rPr>
              <w:t>2</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基础信息更新　　（</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各单位是否按照部门预算编制通知和有关要求，按时完成基础库、项目库报送工作</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超过规定</w:t>
            </w:r>
            <w:r>
              <w:rPr>
                <w:rStyle w:val="31"/>
                <w:rFonts w:eastAsia="仿宋_GB2312"/>
                <w:lang w:val="en-US" w:eastAsia="zh-CN" w:bidi="ar"/>
              </w:rPr>
              <w:t>5</w:t>
            </w:r>
            <w:r>
              <w:rPr>
                <w:rStyle w:val="32"/>
                <w:rFonts w:hAnsi="宋体"/>
                <w:lang w:val="en-US" w:eastAsia="zh-CN" w:bidi="ar"/>
              </w:rPr>
              <w:t>个工作日扣</w:t>
            </w:r>
            <w:r>
              <w:rPr>
                <w:rStyle w:val="31"/>
                <w:rFonts w:eastAsia="仿宋_GB2312"/>
                <w:lang w:val="en-US" w:eastAsia="zh-CN" w:bidi="ar"/>
              </w:rPr>
              <w:t>0.5</w:t>
            </w:r>
            <w:r>
              <w:rPr>
                <w:rStyle w:val="32"/>
                <w:rFonts w:hAnsi="宋体"/>
                <w:lang w:val="en-US" w:eastAsia="zh-CN" w:bidi="ar"/>
              </w:rPr>
              <w:t>分，</w:t>
            </w:r>
            <w:r>
              <w:rPr>
                <w:rStyle w:val="31"/>
                <w:rFonts w:eastAsia="仿宋_GB2312"/>
                <w:lang w:val="en-US" w:eastAsia="zh-CN" w:bidi="ar"/>
              </w:rPr>
              <w:t>10</w:t>
            </w:r>
            <w:r>
              <w:rPr>
                <w:rStyle w:val="32"/>
                <w:rFonts w:hAnsi="宋体"/>
                <w:lang w:val="en-US" w:eastAsia="zh-CN" w:bidi="ar"/>
              </w:rPr>
              <w:t>个工作日扣</w:t>
            </w:r>
            <w:r>
              <w:rPr>
                <w:rStyle w:val="31"/>
                <w:rFonts w:eastAsia="仿宋_GB2312"/>
                <w:lang w:val="en-US" w:eastAsia="zh-CN" w:bidi="ar"/>
              </w:rPr>
              <w:t>1</w:t>
            </w:r>
            <w:r>
              <w:rPr>
                <w:rStyle w:val="32"/>
                <w:rFonts w:hAnsi="宋体"/>
                <w:lang w:val="en-US" w:eastAsia="zh-CN" w:bidi="ar"/>
              </w:rPr>
              <w:t>分，以此类推，直至扣完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144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编制质量　　（</w:t>
            </w:r>
            <w:r>
              <w:rPr>
                <w:rStyle w:val="31"/>
                <w:rFonts w:eastAsia="仿宋_GB2312"/>
                <w:lang w:val="en-US" w:eastAsia="zh-CN" w:bidi="ar"/>
              </w:rPr>
              <w:t>6</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预算编制准确　　（</w:t>
            </w:r>
            <w:r>
              <w:rPr>
                <w:rStyle w:val="31"/>
                <w:rFonts w:eastAsia="仿宋_GB2312"/>
                <w:lang w:val="en-US" w:eastAsia="zh-CN" w:bidi="ar"/>
              </w:rPr>
              <w:t>4</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考核预算项目资金性质变动情况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项目资金性质变动控制在</w:t>
            </w:r>
            <w:r>
              <w:rPr>
                <w:rStyle w:val="31"/>
                <w:rFonts w:eastAsia="仿宋_GB2312"/>
                <w:lang w:val="en-US" w:eastAsia="zh-CN" w:bidi="ar"/>
              </w:rPr>
              <w:t>1</w:t>
            </w:r>
            <w:r>
              <w:rPr>
                <w:rStyle w:val="32"/>
                <w:rFonts w:hAnsi="宋体"/>
                <w:lang w:val="en-US" w:eastAsia="zh-CN" w:bidi="ar"/>
              </w:rPr>
              <w:t>个内，得分；</w:t>
            </w:r>
            <w:r>
              <w:rPr>
                <w:rStyle w:val="31"/>
                <w:rFonts w:eastAsia="仿宋_GB2312"/>
                <w:lang w:val="en-US" w:eastAsia="zh-CN" w:bidi="ar"/>
              </w:rPr>
              <w:t>2-3</w:t>
            </w:r>
            <w:r>
              <w:rPr>
                <w:rStyle w:val="32"/>
                <w:rFonts w:hAnsi="宋体"/>
                <w:lang w:val="en-US" w:eastAsia="zh-CN" w:bidi="ar"/>
              </w:rPr>
              <w:t>个得</w:t>
            </w:r>
            <w:r>
              <w:rPr>
                <w:rStyle w:val="31"/>
                <w:rFonts w:eastAsia="仿宋_GB2312"/>
                <w:lang w:val="en-US" w:eastAsia="zh-CN" w:bidi="ar"/>
              </w:rPr>
              <w:t>1</w:t>
            </w:r>
            <w:r>
              <w:rPr>
                <w:rStyle w:val="32"/>
                <w:rFonts w:hAnsi="宋体"/>
                <w:lang w:val="en-US" w:eastAsia="zh-CN" w:bidi="ar"/>
              </w:rPr>
              <w:t>分；超过</w:t>
            </w:r>
            <w:r>
              <w:rPr>
                <w:rStyle w:val="31"/>
                <w:rFonts w:eastAsia="仿宋_GB2312"/>
                <w:lang w:val="en-US" w:eastAsia="zh-CN" w:bidi="ar"/>
              </w:rPr>
              <w:t>3</w:t>
            </w:r>
            <w:r>
              <w:rPr>
                <w:rStyle w:val="32"/>
                <w:rFonts w:hAnsi="宋体"/>
                <w:lang w:val="en-US" w:eastAsia="zh-CN" w:bidi="ar"/>
              </w:rPr>
              <w:t>个以上，不得分。（注：按照上级及区委区政府批准的项目资金性质变动如财政资金整合等情况不计入考核）</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102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部门预算审查　　（</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根据部门集体审查、区人大对预算草案审查结果进行考核</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无部门集体审查的不得分；被人大预算审查后提出并确需修改的错误，每个问题扣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目标明确　　（</w:t>
            </w:r>
            <w:r>
              <w:rPr>
                <w:rStyle w:val="31"/>
                <w:rFonts w:eastAsia="仿宋_GB2312"/>
                <w:lang w:val="en-US" w:eastAsia="zh-CN" w:bidi="ar"/>
              </w:rPr>
              <w:t>8</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部门整体目标　　（</w:t>
            </w:r>
            <w:r>
              <w:rPr>
                <w:rStyle w:val="31"/>
                <w:rFonts w:eastAsia="仿宋_GB2312"/>
                <w:lang w:val="en-US" w:eastAsia="zh-CN" w:bidi="ar"/>
              </w:rPr>
              <w:t>5</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部门全年整体工作目标编制完整、合理</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有完整、明确、合理的部门整体工作方案得分，否则不得分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82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重点项目目标　　（</w:t>
            </w:r>
            <w:r>
              <w:rPr>
                <w:rStyle w:val="31"/>
                <w:rFonts w:eastAsia="仿宋_GB2312"/>
                <w:lang w:val="en-US" w:eastAsia="zh-CN" w:bidi="ar"/>
              </w:rPr>
              <w:t>3</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重大项目实施方案明确、量化、可操作</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有完整、明确、合理的重点项目工作方案得分，否则不得分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1410" w:hRule="atLeast"/>
        </w:trPr>
        <w:tc>
          <w:tcPr>
            <w:tcW w:w="67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预算执行（</w:t>
            </w:r>
            <w:r>
              <w:rPr>
                <w:rStyle w:val="31"/>
                <w:rFonts w:eastAsia="仿宋_GB2312"/>
                <w:lang w:val="en-US" w:eastAsia="zh-CN" w:bidi="ar"/>
              </w:rPr>
              <w:t>24</w:t>
            </w:r>
            <w:r>
              <w:rPr>
                <w:rStyle w:val="32"/>
                <w:rFonts w:hAnsi="宋体"/>
                <w:lang w:val="en-US" w:eastAsia="zh-CN" w:bidi="ar"/>
              </w:rPr>
              <w:t>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资金调度　　（</w:t>
            </w:r>
            <w:r>
              <w:rPr>
                <w:rStyle w:val="31"/>
                <w:rFonts w:eastAsia="仿宋_GB2312"/>
                <w:lang w:val="en-US" w:eastAsia="zh-CN" w:bidi="ar"/>
              </w:rPr>
              <w:t>5</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支付进度控制率</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用以反映和考核部门（单位）预算执行的及时性和均衡性程度。</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支付进度率</w:t>
            </w:r>
            <w:r>
              <w:rPr>
                <w:rStyle w:val="31"/>
                <w:rFonts w:eastAsia="仿宋_GB2312"/>
                <w:lang w:val="en-US" w:eastAsia="zh-CN" w:bidi="ar"/>
              </w:rPr>
              <w:t>=</w:t>
            </w:r>
            <w:r>
              <w:rPr>
                <w:rStyle w:val="32"/>
                <w:rFonts w:hAnsi="宋体"/>
                <w:lang w:val="en-US" w:eastAsia="zh-CN" w:bidi="ar"/>
              </w:rPr>
              <w:t>（部门支付进度</w:t>
            </w:r>
            <w:r>
              <w:rPr>
                <w:rStyle w:val="31"/>
                <w:rFonts w:eastAsia="仿宋_GB2312"/>
                <w:lang w:val="en-US" w:eastAsia="zh-CN" w:bidi="ar"/>
              </w:rPr>
              <w:t>/</w:t>
            </w:r>
            <w:r>
              <w:rPr>
                <w:rStyle w:val="32"/>
                <w:rFonts w:hAnsi="宋体"/>
                <w:lang w:val="en-US" w:eastAsia="zh-CN" w:bidi="ar"/>
              </w:rPr>
              <w:t>区级平均支付进度）</w:t>
            </w:r>
            <w:r>
              <w:rPr>
                <w:rStyle w:val="31"/>
                <w:rFonts w:eastAsia="仿宋_GB2312"/>
                <w:lang w:val="en-US" w:eastAsia="zh-CN" w:bidi="ar"/>
              </w:rPr>
              <w:t>×100%</w:t>
            </w:r>
            <w:r>
              <w:rPr>
                <w:rStyle w:val="32"/>
                <w:rFonts w:hAnsi="宋体"/>
                <w:lang w:val="en-US" w:eastAsia="zh-CN" w:bidi="ar"/>
              </w:rPr>
              <w:t>，支付进度率控制在</w:t>
            </w:r>
            <w:r>
              <w:rPr>
                <w:rStyle w:val="31"/>
                <w:rFonts w:eastAsia="仿宋_GB2312"/>
                <w:lang w:val="en-US" w:eastAsia="zh-CN" w:bidi="ar"/>
              </w:rPr>
              <w:t>90%—110%</w:t>
            </w:r>
            <w:r>
              <w:rPr>
                <w:rStyle w:val="32"/>
                <w:rFonts w:hAnsi="宋体"/>
                <w:lang w:val="en-US" w:eastAsia="zh-CN" w:bidi="ar"/>
              </w:rPr>
              <w:t>间。</w:t>
            </w:r>
            <w:r>
              <w:rPr>
                <w:rStyle w:val="32"/>
                <w:rFonts w:hAnsi="宋体"/>
                <w:lang w:val="en-US" w:eastAsia="zh-CN" w:bidi="ar"/>
              </w:rPr>
              <w:br w:type="textWrapping"/>
            </w:r>
            <w:r>
              <w:rPr>
                <w:rStyle w:val="32"/>
                <w:rFonts w:hAnsi="宋体"/>
                <w:lang w:val="en-US" w:eastAsia="zh-CN" w:bidi="ar"/>
              </w:rPr>
              <w:t>部门支付进度：部门（单位）在某一时点的支出预算执行总数与年度支出预算数的比率。</w:t>
            </w:r>
            <w:r>
              <w:rPr>
                <w:rStyle w:val="32"/>
                <w:rFonts w:hAnsi="宋体"/>
                <w:lang w:val="en-US" w:eastAsia="zh-CN" w:bidi="ar"/>
              </w:rPr>
              <w:br w:type="textWrapping"/>
            </w:r>
            <w:r>
              <w:rPr>
                <w:rStyle w:val="32"/>
                <w:rFonts w:hAnsi="宋体"/>
                <w:lang w:val="en-US" w:eastAsia="zh-CN" w:bidi="ar"/>
              </w:rPr>
              <w:t>区级平均支付进度：在某时点上，本级财政的支付进度率，以序时进度代替。</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1152"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财政预算执行（</w:t>
            </w:r>
            <w:r>
              <w:rPr>
                <w:rStyle w:val="31"/>
                <w:rFonts w:eastAsia="仿宋_GB2312"/>
                <w:lang w:val="en-US" w:eastAsia="zh-CN" w:bidi="ar"/>
              </w:rPr>
              <w:t>5</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预算完成率</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部门（单位）本年度预算执行数与预算数的比率，用以反映和考核部门（单位）预算完成程度。</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预算完成率</w:t>
            </w:r>
            <w:r>
              <w:rPr>
                <w:rStyle w:val="31"/>
                <w:rFonts w:eastAsia="仿宋_GB2312"/>
                <w:lang w:val="en-US" w:eastAsia="zh-CN" w:bidi="ar"/>
              </w:rPr>
              <w:t>=</w:t>
            </w:r>
            <w:r>
              <w:rPr>
                <w:rStyle w:val="32"/>
                <w:rFonts w:hAnsi="宋体"/>
                <w:lang w:val="en-US" w:eastAsia="zh-CN" w:bidi="ar"/>
              </w:rPr>
              <w:t>（预算执行数</w:t>
            </w:r>
            <w:r>
              <w:rPr>
                <w:rStyle w:val="31"/>
                <w:rFonts w:eastAsia="仿宋_GB2312"/>
                <w:lang w:val="en-US" w:eastAsia="zh-CN" w:bidi="ar"/>
              </w:rPr>
              <w:t>/</w:t>
            </w:r>
            <w:r>
              <w:rPr>
                <w:rStyle w:val="32"/>
                <w:rFonts w:hAnsi="宋体"/>
                <w:lang w:val="en-US" w:eastAsia="zh-CN" w:bidi="ar"/>
              </w:rPr>
              <w:t>预算数）</w:t>
            </w:r>
            <w:r>
              <w:rPr>
                <w:rStyle w:val="31"/>
                <w:rFonts w:eastAsia="仿宋_GB2312"/>
                <w:lang w:val="en-US" w:eastAsia="zh-CN" w:bidi="ar"/>
              </w:rPr>
              <w:t>×100%</w:t>
            </w:r>
            <w:r>
              <w:rPr>
                <w:rStyle w:val="32"/>
                <w:rFonts w:hAnsi="宋体"/>
                <w:lang w:val="en-US" w:eastAsia="zh-CN" w:bidi="ar"/>
              </w:rPr>
              <w:t>。</w:t>
            </w:r>
            <w:r>
              <w:rPr>
                <w:rStyle w:val="32"/>
                <w:rFonts w:hAnsi="宋体"/>
                <w:lang w:val="en-US" w:eastAsia="zh-CN" w:bidi="ar"/>
              </w:rPr>
              <w:br w:type="textWrapping"/>
            </w:r>
            <w:r>
              <w:rPr>
                <w:rStyle w:val="32"/>
                <w:rFonts w:hAnsi="宋体"/>
                <w:lang w:val="en-US" w:eastAsia="zh-CN" w:bidi="ar"/>
              </w:rPr>
              <w:t>预算执行数：部门（单位）本年度实际完成的预算数，扣除结余数。</w:t>
            </w:r>
            <w:r>
              <w:rPr>
                <w:rStyle w:val="32"/>
                <w:rFonts w:hAnsi="宋体"/>
                <w:lang w:val="en-US" w:eastAsia="zh-CN" w:bidi="ar"/>
              </w:rPr>
              <w:br w:type="textWrapping"/>
            </w:r>
            <w:r>
              <w:rPr>
                <w:rStyle w:val="32"/>
                <w:rFonts w:hAnsi="宋体"/>
                <w:lang w:val="en-US" w:eastAsia="zh-CN" w:bidi="ar"/>
              </w:rPr>
              <w:t>预算数：财政部门批复的本年度部门（单位）预算数，含财政追加。</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1152"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预算刚性　　（</w:t>
            </w:r>
            <w:r>
              <w:rPr>
                <w:rStyle w:val="31"/>
                <w:rFonts w:eastAsia="仿宋_GB2312"/>
                <w:lang w:val="en-US" w:eastAsia="zh-CN" w:bidi="ar"/>
              </w:rPr>
              <w:t>4</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预算调整率　　（</w:t>
            </w:r>
            <w:r>
              <w:rPr>
                <w:rStyle w:val="31"/>
                <w:rFonts w:eastAsia="仿宋_GB2312"/>
                <w:lang w:val="en-US" w:eastAsia="zh-CN" w:bidi="ar"/>
              </w:rPr>
              <w:t>4</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部门（单位）本年度预算调整数与预算数的比率，用以反映和考核部门（单位）预算的调整程度。</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预算调整率</w:t>
            </w:r>
            <w:r>
              <w:rPr>
                <w:rStyle w:val="31"/>
                <w:rFonts w:eastAsia="仿宋_GB2312"/>
                <w:lang w:val="en-US" w:eastAsia="zh-CN" w:bidi="ar"/>
              </w:rPr>
              <w:t>=</w:t>
            </w:r>
            <w:r>
              <w:rPr>
                <w:rStyle w:val="32"/>
                <w:rFonts w:hAnsi="宋体"/>
                <w:lang w:val="en-US" w:eastAsia="zh-CN" w:bidi="ar"/>
              </w:rPr>
              <w:t>（预算调整数</w:t>
            </w:r>
            <w:r>
              <w:rPr>
                <w:rStyle w:val="31"/>
                <w:rFonts w:eastAsia="仿宋_GB2312"/>
                <w:lang w:val="en-US" w:eastAsia="zh-CN" w:bidi="ar"/>
              </w:rPr>
              <w:t>/</w:t>
            </w:r>
            <w:r>
              <w:rPr>
                <w:rStyle w:val="32"/>
                <w:rFonts w:hAnsi="宋体"/>
                <w:lang w:val="en-US" w:eastAsia="zh-CN" w:bidi="ar"/>
              </w:rPr>
              <w:t>预算数）</w:t>
            </w:r>
            <w:r>
              <w:rPr>
                <w:rStyle w:val="31"/>
                <w:rFonts w:eastAsia="仿宋_GB2312"/>
                <w:lang w:val="en-US" w:eastAsia="zh-CN" w:bidi="ar"/>
              </w:rPr>
              <w:t>×100%</w:t>
            </w:r>
            <w:r>
              <w:rPr>
                <w:rStyle w:val="32"/>
                <w:rFonts w:hAnsi="宋体"/>
                <w:lang w:val="en-US" w:eastAsia="zh-CN" w:bidi="ar"/>
              </w:rPr>
              <w:t>，控制在</w:t>
            </w:r>
            <w:r>
              <w:rPr>
                <w:rStyle w:val="31"/>
                <w:rFonts w:eastAsia="仿宋_GB2312"/>
                <w:lang w:val="en-US" w:eastAsia="zh-CN" w:bidi="ar"/>
              </w:rPr>
              <w:t>20%</w:t>
            </w:r>
            <w:r>
              <w:rPr>
                <w:rStyle w:val="32"/>
                <w:rFonts w:hAnsi="宋体"/>
                <w:lang w:val="en-US" w:eastAsia="zh-CN" w:bidi="ar"/>
              </w:rPr>
              <w:t>以内。</w:t>
            </w:r>
            <w:r>
              <w:rPr>
                <w:rStyle w:val="32"/>
                <w:rFonts w:hAnsi="宋体"/>
                <w:lang w:val="en-US" w:eastAsia="zh-CN" w:bidi="ar"/>
              </w:rPr>
              <w:br w:type="textWrapping"/>
            </w:r>
            <w:r>
              <w:rPr>
                <w:rStyle w:val="32"/>
                <w:rFonts w:hAnsi="宋体"/>
                <w:lang w:val="en-US" w:eastAsia="zh-CN" w:bidi="ar"/>
              </w:rPr>
              <w:t>预算调整数：部门（单位）在本年度内涉及预算的追加、追减或结构调整的资金总和（因落实国家政策、发生不可抗力、上级部门或本级党委政府临时交办而产生的调整除外）。</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579"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行政成本（</w:t>
            </w:r>
            <w:r>
              <w:rPr>
                <w:rStyle w:val="31"/>
                <w:rFonts w:eastAsia="仿宋_GB2312"/>
                <w:lang w:val="en-US" w:eastAsia="zh-CN" w:bidi="ar"/>
              </w:rPr>
              <w:t>10</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人编比率（</w:t>
            </w:r>
            <w:r>
              <w:rPr>
                <w:rStyle w:val="31"/>
                <w:rFonts w:eastAsia="仿宋_GB2312"/>
                <w:lang w:val="en-US" w:eastAsia="zh-CN" w:bidi="ar"/>
              </w:rPr>
              <w:t>3</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反映部门人力资源控制情况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人编比率</w:t>
            </w:r>
            <w:r>
              <w:rPr>
                <w:rStyle w:val="31"/>
                <w:rFonts w:eastAsia="仿宋_GB2312"/>
                <w:lang w:val="en-US" w:eastAsia="zh-CN" w:bidi="ar"/>
              </w:rPr>
              <w:t>=</w:t>
            </w:r>
            <w:r>
              <w:rPr>
                <w:rStyle w:val="32"/>
                <w:rFonts w:hAnsi="宋体"/>
                <w:lang w:val="en-US" w:eastAsia="zh-CN" w:bidi="ar"/>
              </w:rPr>
              <w:t>实际员工</w:t>
            </w:r>
            <w:r>
              <w:rPr>
                <w:rStyle w:val="31"/>
                <w:rFonts w:eastAsia="仿宋_GB2312"/>
                <w:lang w:val="en-US" w:eastAsia="zh-CN" w:bidi="ar"/>
              </w:rPr>
              <w:t>/</w:t>
            </w:r>
            <w:r>
              <w:rPr>
                <w:rStyle w:val="32"/>
                <w:rFonts w:hAnsi="宋体"/>
                <w:lang w:val="en-US" w:eastAsia="zh-CN" w:bidi="ar"/>
              </w:rPr>
              <w:t>部门编制数</w:t>
            </w:r>
            <w:r>
              <w:rPr>
                <w:rStyle w:val="31"/>
                <w:rFonts w:eastAsia="仿宋_GB2312"/>
                <w:lang w:val="en-US" w:eastAsia="zh-CN" w:bidi="ar"/>
              </w:rPr>
              <w:t>*100%</w:t>
            </w:r>
            <w:r>
              <w:rPr>
                <w:rStyle w:val="32"/>
                <w:rFonts w:hAnsi="宋体"/>
                <w:lang w:val="en-US" w:eastAsia="zh-CN" w:bidi="ar"/>
              </w:rPr>
              <w:t>，不得超过</w:t>
            </w:r>
            <w:r>
              <w:rPr>
                <w:rStyle w:val="31"/>
                <w:rFonts w:eastAsia="仿宋_GB2312"/>
                <w:lang w:val="en-US" w:eastAsia="zh-CN" w:bidi="ar"/>
              </w:rPr>
              <w:t>100%</w:t>
            </w:r>
            <w:r>
              <w:rPr>
                <w:rStyle w:val="32"/>
                <w:rFonts w:hAnsi="宋体"/>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579"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一般性支出增长率（</w:t>
            </w:r>
            <w:r>
              <w:rPr>
                <w:rStyle w:val="31"/>
                <w:rFonts w:eastAsia="仿宋_GB2312"/>
                <w:lang w:val="en-US" w:eastAsia="zh-CN" w:bidi="ar"/>
              </w:rPr>
              <w:t>3</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反映执行财政非生产性支出预算控制</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w:t>
            </w:r>
            <w:r>
              <w:rPr>
                <w:rStyle w:val="31"/>
                <w:rFonts w:eastAsia="仿宋_GB2312"/>
                <w:lang w:val="en-US" w:eastAsia="zh-CN" w:bidi="ar"/>
              </w:rPr>
              <w:t>“</w:t>
            </w:r>
            <w:r>
              <w:rPr>
                <w:rStyle w:val="32"/>
                <w:rFonts w:hAnsi="宋体"/>
                <w:lang w:val="en-US" w:eastAsia="zh-CN" w:bidi="ar"/>
              </w:rPr>
              <w:t>一般性支出</w:t>
            </w:r>
            <w:r>
              <w:rPr>
                <w:rStyle w:val="31"/>
                <w:rFonts w:eastAsia="仿宋_GB2312"/>
                <w:lang w:val="en-US" w:eastAsia="zh-CN" w:bidi="ar"/>
              </w:rPr>
              <w:t>”</w:t>
            </w:r>
            <w:r>
              <w:rPr>
                <w:rStyle w:val="32"/>
                <w:rFonts w:hAnsi="宋体"/>
                <w:lang w:val="en-US" w:eastAsia="zh-CN" w:bidi="ar"/>
              </w:rPr>
              <w:t>严格按财政管理规定执行，未完成控制要求不得分。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579"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人均公用经费率（</w:t>
            </w:r>
            <w:r>
              <w:rPr>
                <w:rStyle w:val="31"/>
                <w:rFonts w:eastAsia="仿宋_GB2312"/>
                <w:lang w:val="en-US" w:eastAsia="zh-CN" w:bidi="ar"/>
              </w:rPr>
              <w:t>4</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反映部门财政资源耗费控制情况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人均公用经费率</w:t>
            </w:r>
            <w:r>
              <w:rPr>
                <w:rStyle w:val="31"/>
                <w:rFonts w:eastAsia="仿宋_GB2312"/>
                <w:lang w:val="en-US" w:eastAsia="zh-CN" w:bidi="ar"/>
              </w:rPr>
              <w:t>=</w:t>
            </w:r>
            <w:r>
              <w:rPr>
                <w:rStyle w:val="32"/>
                <w:rFonts w:hAnsi="宋体"/>
                <w:lang w:val="en-US" w:eastAsia="zh-CN" w:bidi="ar"/>
              </w:rPr>
              <w:t>部门年度公用经费总额</w:t>
            </w:r>
            <w:r>
              <w:rPr>
                <w:rStyle w:val="31"/>
                <w:rFonts w:eastAsia="仿宋_GB2312"/>
                <w:lang w:val="en-US" w:eastAsia="zh-CN" w:bidi="ar"/>
              </w:rPr>
              <w:t>÷</w:t>
            </w:r>
            <w:r>
              <w:rPr>
                <w:rStyle w:val="32"/>
                <w:rFonts w:hAnsi="宋体"/>
                <w:lang w:val="en-US" w:eastAsia="zh-CN" w:bidi="ar"/>
              </w:rPr>
              <w:t>编制内员工数</w:t>
            </w:r>
            <w:r>
              <w:rPr>
                <w:rStyle w:val="31"/>
                <w:rFonts w:eastAsia="仿宋_GB2312"/>
                <w:lang w:val="en-US" w:eastAsia="zh-CN" w:bidi="ar"/>
              </w:rPr>
              <w:t>÷</w:t>
            </w:r>
            <w:r>
              <w:rPr>
                <w:rStyle w:val="32"/>
                <w:rFonts w:hAnsi="宋体"/>
                <w:lang w:val="en-US" w:eastAsia="zh-CN" w:bidi="ar"/>
              </w:rPr>
              <w:t>区级人均公用经费</w:t>
            </w:r>
            <w:r>
              <w:rPr>
                <w:rStyle w:val="31"/>
                <w:rFonts w:eastAsia="仿宋_GB2312"/>
                <w:lang w:val="en-US" w:eastAsia="zh-CN" w:bidi="ar"/>
              </w:rPr>
              <w:t>×100%</w:t>
            </w:r>
            <w:r>
              <w:rPr>
                <w:rStyle w:val="32"/>
                <w:rFonts w:hAnsi="宋体"/>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r>
      <w:tr>
        <w:tblPrEx>
          <w:shd w:val="clear" w:color="auto" w:fill="auto"/>
          <w:tblCellMar>
            <w:top w:w="0" w:type="dxa"/>
            <w:left w:w="0" w:type="dxa"/>
            <w:bottom w:w="0" w:type="dxa"/>
            <w:right w:w="0" w:type="dxa"/>
          </w:tblCellMar>
        </w:tblPrEx>
        <w:trPr>
          <w:trHeight w:val="579"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综合管理（</w:t>
            </w:r>
            <w:r>
              <w:rPr>
                <w:rStyle w:val="31"/>
                <w:rFonts w:eastAsia="仿宋_GB2312"/>
                <w:lang w:val="en-US" w:eastAsia="zh-CN" w:bidi="ar"/>
              </w:rPr>
              <w:t>40</w:t>
            </w:r>
            <w:r>
              <w:rPr>
                <w:rStyle w:val="32"/>
                <w:rFonts w:hAnsi="宋体"/>
                <w:lang w:val="en-US" w:eastAsia="zh-CN" w:bidi="ar"/>
              </w:rPr>
              <w:t>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债务管理　（</w:t>
            </w:r>
            <w:r>
              <w:rPr>
                <w:rStyle w:val="31"/>
                <w:rFonts w:eastAsia="仿宋_GB2312"/>
                <w:lang w:val="en-US" w:eastAsia="zh-CN" w:bidi="ar"/>
              </w:rPr>
              <w:t>2</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债务还本付息（</w:t>
            </w:r>
            <w:r>
              <w:rPr>
                <w:rStyle w:val="31"/>
                <w:rFonts w:eastAsia="仿宋_GB2312"/>
                <w:lang w:val="en-US" w:eastAsia="zh-CN" w:bidi="ar"/>
              </w:rPr>
              <w:t>2</w:t>
            </w:r>
            <w:r>
              <w:rPr>
                <w:rStyle w:val="32"/>
                <w:rFonts w:hAnsi="宋体"/>
                <w:lang w:val="en-US" w:eastAsia="zh-CN" w:bidi="ar"/>
              </w:rPr>
              <w:t>）</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按规定做好政府性债务还本付息工作</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实际还本付息金额</w:t>
            </w:r>
            <w:r>
              <w:rPr>
                <w:rStyle w:val="31"/>
                <w:rFonts w:eastAsia="仿宋_GB2312"/>
                <w:lang w:val="en-US" w:eastAsia="zh-CN" w:bidi="ar"/>
              </w:rPr>
              <w:t>÷</w:t>
            </w:r>
            <w:r>
              <w:rPr>
                <w:rStyle w:val="32"/>
                <w:rFonts w:hAnsi="宋体"/>
                <w:lang w:val="en-US" w:eastAsia="zh-CN" w:bidi="ar"/>
              </w:rPr>
              <w:t>应付金额</w:t>
            </w:r>
            <w:r>
              <w:rPr>
                <w:rStyle w:val="31"/>
                <w:rFonts w:eastAsia="仿宋_GB2312"/>
                <w:lang w:val="en-US" w:eastAsia="zh-CN" w:bidi="ar"/>
              </w:rPr>
              <w:t>×</w:t>
            </w:r>
            <w:r>
              <w:rPr>
                <w:rStyle w:val="32"/>
                <w:rFonts w:hAnsi="宋体"/>
                <w:lang w:val="en-US" w:eastAsia="zh-CN" w:bidi="ar"/>
              </w:rPr>
              <w:t>指标分值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20"/>
                <w:szCs w:val="20"/>
                <w:u w:val="none"/>
              </w:rPr>
            </w:pPr>
          </w:p>
        </w:tc>
      </w:tr>
      <w:tr>
        <w:tblPrEx>
          <w:shd w:val="clear" w:color="auto" w:fill="auto"/>
          <w:tblCellMar>
            <w:top w:w="0" w:type="dxa"/>
            <w:left w:w="0" w:type="dxa"/>
            <w:bottom w:w="0" w:type="dxa"/>
            <w:right w:w="0" w:type="dxa"/>
          </w:tblCellMar>
        </w:tblPrEx>
        <w:trPr>
          <w:trHeight w:val="975"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非税收入管理情况　　（</w:t>
            </w:r>
            <w:r>
              <w:rPr>
                <w:rStyle w:val="31"/>
                <w:rFonts w:eastAsia="仿宋_GB2312"/>
                <w:lang w:val="en-US" w:eastAsia="zh-CN" w:bidi="ar"/>
              </w:rPr>
              <w:t>4</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非税收入征收情况（</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是否按照规定的项目、标准、征收方式执收非税收入，非税收入项目设立的权限和缓减免的依据，对非税收入进行缓减免</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发现有未按规定的非税收入项目、标准执收非税收入或有违反规定缓减免非税收入的，发现一次扣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57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非税收入上缴情况（</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是否及时足额将非税收入缴入财政</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发现未及时足额将非税收入缴入财政的或者截留、挪用非税收入的，发现一次扣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57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政府采购执行管理　　（</w:t>
            </w:r>
            <w:r>
              <w:rPr>
                <w:rStyle w:val="31"/>
                <w:rFonts w:eastAsia="仿宋_GB2312"/>
                <w:lang w:val="en-US" w:eastAsia="zh-CN" w:bidi="ar"/>
              </w:rPr>
              <w:t>4</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政府采购实施计划编制（</w:t>
            </w:r>
            <w:r>
              <w:rPr>
                <w:rStyle w:val="31"/>
                <w:rFonts w:eastAsia="仿宋_GB2312"/>
                <w:lang w:val="en-US" w:eastAsia="zh-CN" w:bidi="ar"/>
              </w:rPr>
              <w:t>2</w:t>
            </w:r>
            <w:r>
              <w:rPr>
                <w:rStyle w:val="32"/>
                <w:rFonts w:hAnsi="宋体"/>
                <w:lang w:val="en-US" w:eastAsia="zh-CN" w:bidi="ar"/>
              </w:rPr>
              <w:t>）</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实施计划与政府采购预算的一致性</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w:t>
            </w:r>
            <w:r>
              <w:rPr>
                <w:rStyle w:val="31"/>
                <w:rFonts w:eastAsia="仿宋_GB2312"/>
                <w:lang w:val="en-US" w:eastAsia="zh-CN" w:bidi="ar"/>
              </w:rPr>
              <w:t>1-</w:t>
            </w:r>
            <w:r>
              <w:rPr>
                <w:rStyle w:val="32"/>
                <w:rFonts w:hAnsi="宋体"/>
                <w:lang w:val="en-US" w:eastAsia="zh-CN" w:bidi="ar"/>
              </w:rPr>
              <w:t>调整或细化资金</w:t>
            </w:r>
            <w:r>
              <w:rPr>
                <w:rStyle w:val="31"/>
                <w:rFonts w:eastAsia="仿宋_GB2312"/>
                <w:lang w:val="en-US" w:eastAsia="zh-CN" w:bidi="ar"/>
              </w:rPr>
              <w:t>/</w:t>
            </w:r>
            <w:r>
              <w:rPr>
                <w:rStyle w:val="32"/>
                <w:rFonts w:hAnsi="宋体"/>
                <w:lang w:val="en-US" w:eastAsia="zh-CN" w:bidi="ar"/>
              </w:rPr>
              <w:t>政府采购预算资金）</w:t>
            </w:r>
            <w:r>
              <w:rPr>
                <w:rStyle w:val="31"/>
                <w:rFonts w:eastAsia="仿宋_GB2312"/>
                <w:lang w:val="en-US" w:eastAsia="zh-CN" w:bidi="ar"/>
              </w:rPr>
              <w:t>*</w:t>
            </w:r>
            <w:r>
              <w:rPr>
                <w:rStyle w:val="32"/>
                <w:rFonts w:hAnsi="宋体"/>
                <w:lang w:val="en-US" w:eastAsia="zh-CN" w:bidi="ar"/>
              </w:rPr>
              <w:t>分值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政府采购实施计划的执行（</w:t>
            </w:r>
            <w:r>
              <w:rPr>
                <w:rStyle w:val="31"/>
                <w:rFonts w:eastAsia="仿宋_GB2312"/>
                <w:lang w:val="en-US" w:eastAsia="zh-CN" w:bidi="ar"/>
              </w:rPr>
              <w:t>2</w:t>
            </w:r>
            <w:r>
              <w:rPr>
                <w:rStyle w:val="32"/>
                <w:rFonts w:hAnsi="宋体"/>
                <w:lang w:val="en-US" w:eastAsia="zh-CN" w:bidi="ar"/>
              </w:rPr>
              <w:t>）</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执行的实施计划与备案的实施计划的一致性</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w:t>
            </w:r>
            <w:r>
              <w:rPr>
                <w:rStyle w:val="31"/>
                <w:rFonts w:eastAsia="仿宋_GB2312"/>
                <w:lang w:val="en-US" w:eastAsia="zh-CN" w:bidi="ar"/>
              </w:rPr>
              <w:t>1-</w:t>
            </w:r>
            <w:r>
              <w:rPr>
                <w:rStyle w:val="32"/>
                <w:rFonts w:hAnsi="宋体"/>
                <w:lang w:val="en-US" w:eastAsia="zh-CN" w:bidi="ar"/>
              </w:rPr>
              <w:t>实施计划备案后的调整或细化资金</w:t>
            </w:r>
            <w:r>
              <w:rPr>
                <w:rStyle w:val="31"/>
                <w:rFonts w:eastAsia="仿宋_GB2312"/>
                <w:lang w:val="en-US" w:eastAsia="zh-CN" w:bidi="ar"/>
              </w:rPr>
              <w:t>/</w:t>
            </w:r>
            <w:r>
              <w:rPr>
                <w:rStyle w:val="32"/>
                <w:rFonts w:hAnsi="宋体"/>
                <w:lang w:val="en-US" w:eastAsia="zh-CN" w:bidi="ar"/>
              </w:rPr>
              <w:t>实施计划备案后的资金）</w:t>
            </w:r>
            <w:r>
              <w:rPr>
                <w:rStyle w:val="31"/>
                <w:rFonts w:eastAsia="仿宋_GB2312"/>
                <w:lang w:val="en-US" w:eastAsia="zh-CN" w:bidi="ar"/>
              </w:rPr>
              <w:t>*</w:t>
            </w:r>
            <w:r>
              <w:rPr>
                <w:rStyle w:val="32"/>
                <w:rFonts w:hAnsi="宋体"/>
                <w:lang w:val="en-US" w:eastAsia="zh-CN" w:bidi="ar"/>
              </w:rPr>
              <w:t>分值</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13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资产管理　　（</w:t>
            </w:r>
            <w:r>
              <w:rPr>
                <w:rStyle w:val="31"/>
                <w:rFonts w:eastAsia="仿宋_GB2312"/>
                <w:lang w:val="en-US" w:eastAsia="zh-CN" w:bidi="ar"/>
              </w:rPr>
              <w:t>6</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资产管理信息系统建设情况　　　（</w:t>
            </w:r>
            <w:r>
              <w:rPr>
                <w:rStyle w:val="31"/>
                <w:rFonts w:eastAsia="仿宋_GB2312"/>
                <w:lang w:val="en-US" w:eastAsia="zh-CN" w:bidi="ar"/>
              </w:rPr>
              <w:t>2</w:t>
            </w:r>
            <w:r>
              <w:rPr>
                <w:rStyle w:val="32"/>
                <w:rFonts w:hAnsi="宋体"/>
                <w:lang w:val="en-US" w:eastAsia="zh-CN" w:bidi="ar"/>
              </w:rPr>
              <w:t>分）</w:t>
            </w:r>
          </w:p>
        </w:tc>
        <w:tc>
          <w:tcPr>
            <w:tcW w:w="256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考核部门和单位将国有资产纳入资产信息系统管理情况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①未将所属单位国有资产纳入系统管理，每少一个单位扣</w:t>
            </w:r>
            <w:r>
              <w:rPr>
                <w:rStyle w:val="31"/>
                <w:rFonts w:eastAsia="仿宋_GB2312"/>
                <w:lang w:val="en-US" w:eastAsia="zh-CN" w:bidi="ar"/>
              </w:rPr>
              <w:t>1</w:t>
            </w:r>
            <w:r>
              <w:rPr>
                <w:rStyle w:val="32"/>
                <w:rFonts w:hAnsi="宋体"/>
                <w:lang w:val="en-US" w:eastAsia="zh-CN" w:bidi="ar"/>
              </w:rPr>
              <w:t>分。②未将资产变动情况及时录入系统，每次扣</w:t>
            </w:r>
            <w:r>
              <w:rPr>
                <w:rStyle w:val="31"/>
                <w:rFonts w:eastAsia="仿宋_GB2312"/>
                <w:lang w:val="en-US" w:eastAsia="zh-CN" w:bidi="ar"/>
              </w:rPr>
              <w:t>0.5</w:t>
            </w:r>
            <w:r>
              <w:rPr>
                <w:rStyle w:val="32"/>
                <w:rFonts w:hAnsi="宋体"/>
                <w:lang w:val="en-US" w:eastAsia="zh-CN" w:bidi="ar"/>
              </w:rPr>
              <w:t>分。③未落实人员负责管理系统，扣</w:t>
            </w:r>
            <w:r>
              <w:rPr>
                <w:rStyle w:val="31"/>
                <w:rFonts w:eastAsia="仿宋_GB2312"/>
                <w:lang w:val="en-US" w:eastAsia="zh-CN" w:bidi="ar"/>
              </w:rPr>
              <w:t>1</w:t>
            </w:r>
            <w:r>
              <w:rPr>
                <w:rStyle w:val="32"/>
                <w:rFonts w:hAnsi="宋体"/>
                <w:lang w:val="en-US" w:eastAsia="zh-CN" w:bidi="ar"/>
              </w:rPr>
              <w:t>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15"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行政事业单位资产清查开展情况（</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考核行政事业单位按要求及时、准确、全面开展资产清查工作情况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①未在规定时间内完成资产清查任务扣</w:t>
            </w:r>
            <w:r>
              <w:rPr>
                <w:rStyle w:val="31"/>
                <w:rFonts w:eastAsia="仿宋_GB2312"/>
                <w:lang w:val="en-US" w:eastAsia="zh-CN" w:bidi="ar"/>
              </w:rPr>
              <w:t>1</w:t>
            </w:r>
            <w:r>
              <w:rPr>
                <w:rStyle w:val="32"/>
                <w:rFonts w:hAnsi="宋体"/>
                <w:lang w:val="en-US" w:eastAsia="zh-CN" w:bidi="ar"/>
              </w:rPr>
              <w:t>分。②资产清查结果与财政组织复核的结果误差超过</w:t>
            </w:r>
            <w:r>
              <w:rPr>
                <w:rStyle w:val="31"/>
                <w:rFonts w:eastAsia="仿宋_GB2312"/>
                <w:lang w:val="en-US" w:eastAsia="zh-CN" w:bidi="ar"/>
              </w:rPr>
              <w:t>10%</w:t>
            </w:r>
            <w:r>
              <w:rPr>
                <w:rStyle w:val="32"/>
                <w:rFonts w:hAnsi="宋体"/>
                <w:lang w:val="en-US" w:eastAsia="zh-CN" w:bidi="ar"/>
              </w:rPr>
              <w:t>的扣</w:t>
            </w:r>
            <w:r>
              <w:rPr>
                <w:rStyle w:val="31"/>
                <w:rFonts w:eastAsia="仿宋_GB2312"/>
                <w:lang w:val="en-US" w:eastAsia="zh-CN" w:bidi="ar"/>
              </w:rPr>
              <w:t>1</w:t>
            </w:r>
            <w:r>
              <w:rPr>
                <w:rStyle w:val="32"/>
                <w:rFonts w:hAnsi="宋体"/>
                <w:lang w:val="en-US" w:eastAsia="zh-CN" w:bidi="ar"/>
              </w:rPr>
              <w:t>分。③未及时按批复的清查结果进行账务调整扣</w:t>
            </w:r>
            <w:r>
              <w:rPr>
                <w:rStyle w:val="31"/>
                <w:rFonts w:eastAsia="仿宋_GB2312"/>
                <w:lang w:val="en-US" w:eastAsia="zh-CN" w:bidi="ar"/>
              </w:rPr>
              <w:t>1</w:t>
            </w:r>
            <w:r>
              <w:rPr>
                <w:rStyle w:val="32"/>
                <w:rFonts w:hAnsi="宋体"/>
                <w:lang w:val="en-US" w:eastAsia="zh-CN" w:bidi="ar"/>
              </w:rPr>
              <w:t>分。④未及时更新资产管理信息系统，导致系统资产数据与上报财政的资产清查结果不一致扣</w:t>
            </w:r>
            <w:r>
              <w:rPr>
                <w:rStyle w:val="31"/>
                <w:rFonts w:eastAsia="仿宋_GB2312"/>
                <w:lang w:val="en-US" w:eastAsia="zh-CN" w:bidi="ar"/>
              </w:rPr>
              <w:t>1</w:t>
            </w:r>
            <w:r>
              <w:rPr>
                <w:rStyle w:val="32"/>
                <w:rFonts w:hAnsi="宋体"/>
                <w:lang w:val="en-US" w:eastAsia="zh-CN" w:bidi="ar"/>
              </w:rPr>
              <w:t>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212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行政事业单位资产报表上报情况（</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考核行政事业单位上报国有资产报表数据的真实性、准确性、全面性</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①未落实专人负责资产报表，未及时上报资产报表扣</w:t>
            </w:r>
            <w:r>
              <w:rPr>
                <w:rStyle w:val="31"/>
                <w:rFonts w:eastAsia="仿宋_GB2312"/>
                <w:lang w:val="en-US" w:eastAsia="zh-CN" w:bidi="ar"/>
              </w:rPr>
              <w:t>1</w:t>
            </w:r>
            <w:r>
              <w:rPr>
                <w:rStyle w:val="32"/>
                <w:rFonts w:hAnsi="宋体"/>
                <w:lang w:val="en-US" w:eastAsia="zh-CN" w:bidi="ar"/>
              </w:rPr>
              <w:t>分。②报表填报不规范，内容不完整，数据不真实，扣</w:t>
            </w:r>
            <w:r>
              <w:rPr>
                <w:rStyle w:val="31"/>
                <w:rFonts w:eastAsia="仿宋_GB2312"/>
                <w:lang w:val="en-US" w:eastAsia="zh-CN" w:bidi="ar"/>
              </w:rPr>
              <w:t>1</w:t>
            </w:r>
            <w:r>
              <w:rPr>
                <w:rStyle w:val="32"/>
                <w:rFonts w:hAnsi="宋体"/>
                <w:lang w:val="en-US" w:eastAsia="zh-CN" w:bidi="ar"/>
              </w:rPr>
              <w:t>分。③未提交分析报告，对资产变动情况未作分析说明，扣</w:t>
            </w:r>
            <w:r>
              <w:rPr>
                <w:rStyle w:val="31"/>
                <w:rFonts w:eastAsia="仿宋_GB2312"/>
                <w:lang w:val="en-US" w:eastAsia="zh-CN" w:bidi="ar"/>
              </w:rPr>
              <w:t>1</w:t>
            </w:r>
            <w:r>
              <w:rPr>
                <w:rStyle w:val="32"/>
                <w:rFonts w:hAnsi="宋体"/>
                <w:lang w:val="en-US" w:eastAsia="zh-CN" w:bidi="ar"/>
              </w:rPr>
              <w:t>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1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内控制度管理（</w:t>
            </w:r>
            <w:r>
              <w:rPr>
                <w:rStyle w:val="31"/>
                <w:rFonts w:eastAsia="仿宋_GB2312"/>
                <w:lang w:val="en-US" w:eastAsia="zh-CN" w:bidi="ar"/>
              </w:rPr>
              <w:t>4</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内部控制度健全完整（</w:t>
            </w:r>
            <w:r>
              <w:rPr>
                <w:rStyle w:val="31"/>
                <w:rFonts w:eastAsia="仿宋_GB2312"/>
                <w:lang w:val="en-US" w:eastAsia="zh-CN" w:bidi="ar"/>
              </w:rPr>
              <w:t>4</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考核部门内部控制制度的设置和执行情况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内部控制制度健全完整并执行良好的得分，否则不得分。在本年度内因内控制度不健全或执行不到位，造成单位出现廉政风险或发生重大责任事故的不得分。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99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信息公开　　（</w:t>
            </w:r>
            <w:r>
              <w:rPr>
                <w:rStyle w:val="31"/>
                <w:rFonts w:eastAsia="仿宋_GB2312"/>
                <w:lang w:val="en-US" w:eastAsia="zh-CN" w:bidi="ar"/>
              </w:rPr>
              <w:t>6</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预算公开（</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除涉密信息外，各部门要在财政部门批复后二十日内向社会公开本部门预算（含所有财政资金安排的</w:t>
            </w:r>
            <w:r>
              <w:rPr>
                <w:rStyle w:val="31"/>
                <w:rFonts w:eastAsia="仿宋_GB2312"/>
                <w:lang w:val="en-US" w:eastAsia="zh-CN" w:bidi="ar"/>
              </w:rPr>
              <w:t>“</w:t>
            </w:r>
            <w:r>
              <w:rPr>
                <w:rStyle w:val="32"/>
                <w:rFonts w:hAnsi="宋体"/>
                <w:lang w:val="en-US" w:eastAsia="zh-CN" w:bidi="ar"/>
              </w:rPr>
              <w:t>三公</w:t>
            </w:r>
            <w:r>
              <w:rPr>
                <w:rStyle w:val="31"/>
                <w:rFonts w:eastAsia="仿宋_GB2312"/>
                <w:lang w:val="en-US" w:eastAsia="zh-CN" w:bidi="ar"/>
              </w:rPr>
              <w:t>”</w:t>
            </w:r>
            <w:r>
              <w:rPr>
                <w:rStyle w:val="32"/>
                <w:rFonts w:hAnsi="宋体"/>
                <w:lang w:val="en-US" w:eastAsia="zh-CN" w:bidi="ar"/>
              </w:rPr>
              <w:t>经费、机关运行经费的安排、使用情况等）</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按规定公开预算，未按要求公开的，发现一处扣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102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决算公开（</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除涉密信息外，各部门要在财政部门批复二十日内向社会公开本部门决算（含所有财政资金安排的</w:t>
            </w:r>
            <w:r>
              <w:rPr>
                <w:rStyle w:val="31"/>
                <w:rFonts w:eastAsia="仿宋_GB2312"/>
                <w:lang w:val="en-US" w:eastAsia="zh-CN" w:bidi="ar"/>
              </w:rPr>
              <w:t>“</w:t>
            </w:r>
            <w:r>
              <w:rPr>
                <w:rStyle w:val="32"/>
                <w:rFonts w:hAnsi="宋体"/>
                <w:lang w:val="en-US" w:eastAsia="zh-CN" w:bidi="ar"/>
              </w:rPr>
              <w:t>三公</w:t>
            </w:r>
            <w:r>
              <w:rPr>
                <w:rStyle w:val="31"/>
                <w:rFonts w:eastAsia="仿宋_GB2312"/>
                <w:lang w:val="en-US" w:eastAsia="zh-CN" w:bidi="ar"/>
              </w:rPr>
              <w:t>”</w:t>
            </w:r>
            <w:r>
              <w:rPr>
                <w:rStyle w:val="32"/>
                <w:rFonts w:hAnsi="宋体"/>
                <w:lang w:val="en-US" w:eastAsia="zh-CN" w:bidi="ar"/>
              </w:rPr>
              <w:t>经费、机关运行经费的安排、使用情况等）</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未按要求公开的，发现一处问题</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72"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绩效信息公开　　（</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按要求公开部门整体支出绩效自评报告及其他按要求应公开的绩效信息</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未按要求公开的，发现一处问题</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39" w:hRule="atLeast"/>
        </w:trPr>
        <w:tc>
          <w:tcPr>
            <w:tcW w:w="67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综合管理（</w:t>
            </w:r>
            <w:r>
              <w:rPr>
                <w:rStyle w:val="31"/>
                <w:rFonts w:eastAsia="宋体"/>
                <w:lang w:val="en-US" w:eastAsia="zh-CN" w:bidi="ar"/>
              </w:rPr>
              <w:t>40</w:t>
            </w:r>
            <w:r>
              <w:rPr>
                <w:rStyle w:val="33"/>
                <w:lang w:val="en-US" w:eastAsia="zh-CN" w:bidi="ar"/>
              </w:rPr>
              <w:t>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绩效管理　　（</w:t>
            </w:r>
            <w:r>
              <w:rPr>
                <w:rStyle w:val="31"/>
                <w:rFonts w:eastAsia="仿宋_GB2312"/>
                <w:lang w:val="en-US" w:eastAsia="zh-CN" w:bidi="ar"/>
              </w:rPr>
              <w:t>8</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评价项目覆盖率（</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部门实施绩效评价项目数量占部门管理专项预算项目数量的比重，部门申报绩效目标项目数量的比重，用以反映和考核部门实施绩效评价项目资金覆盖情况</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评价覆盖率</w:t>
            </w:r>
            <w:r>
              <w:rPr>
                <w:rStyle w:val="31"/>
                <w:rFonts w:eastAsia="仿宋_GB2312"/>
                <w:lang w:val="en-US" w:eastAsia="zh-CN" w:bidi="ar"/>
              </w:rPr>
              <w:t>=</w:t>
            </w:r>
            <w:r>
              <w:rPr>
                <w:rStyle w:val="32"/>
                <w:rFonts w:hAnsi="宋体"/>
                <w:lang w:val="en-US" w:eastAsia="zh-CN" w:bidi="ar"/>
              </w:rPr>
              <w:t>实施绩效评价项目数量</w:t>
            </w:r>
            <w:r>
              <w:rPr>
                <w:rStyle w:val="31"/>
                <w:rFonts w:eastAsia="仿宋_GB2312"/>
                <w:lang w:val="en-US" w:eastAsia="zh-CN" w:bidi="ar"/>
              </w:rPr>
              <w:t>/</w:t>
            </w:r>
            <w:r>
              <w:rPr>
                <w:rStyle w:val="32"/>
                <w:rFonts w:hAnsi="宋体"/>
                <w:lang w:val="en-US" w:eastAsia="zh-CN" w:bidi="ar"/>
              </w:rPr>
              <w:t>部门管理专项预算项目数量</w:t>
            </w:r>
            <w:r>
              <w:rPr>
                <w:rStyle w:val="31"/>
                <w:rFonts w:eastAsia="仿宋_GB2312"/>
                <w:lang w:val="en-US" w:eastAsia="zh-CN" w:bidi="ar"/>
              </w:rPr>
              <w:t>×100%</w:t>
            </w:r>
            <w:r>
              <w:rPr>
                <w:rStyle w:val="32"/>
                <w:rFonts w:hAnsi="宋体"/>
                <w:lang w:val="en-US" w:eastAsia="zh-CN" w:bidi="ar"/>
              </w:rPr>
              <w:t>，大于</w:t>
            </w:r>
            <w:r>
              <w:rPr>
                <w:rStyle w:val="31"/>
                <w:rFonts w:eastAsia="仿宋_GB2312"/>
                <w:lang w:val="en-US" w:eastAsia="zh-CN" w:bidi="ar"/>
              </w:rPr>
              <w:t>50%</w:t>
            </w:r>
            <w:r>
              <w:rPr>
                <w:rStyle w:val="32"/>
                <w:rFonts w:hAnsi="宋体"/>
                <w:lang w:val="en-US" w:eastAsia="zh-CN" w:bidi="ar"/>
              </w:rPr>
              <w:t>，得满分。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评价层次（</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部门（单位）是否对下级预算单位开展整体绩效评价</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实施评价下级预算单位的得分，否则不得分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r>
      <w:tr>
        <w:tblPrEx>
          <w:shd w:val="clear" w:color="auto" w:fill="auto"/>
          <w:tblCellMar>
            <w:top w:w="0" w:type="dxa"/>
            <w:left w:w="0" w:type="dxa"/>
            <w:bottom w:w="0" w:type="dxa"/>
            <w:right w:w="0" w:type="dxa"/>
          </w:tblCellMar>
        </w:tblPrEx>
        <w:trPr>
          <w:trHeight w:val="1020"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评价结果利用率（</w:t>
            </w:r>
            <w:r>
              <w:rPr>
                <w:rStyle w:val="31"/>
                <w:rFonts w:eastAsia="仿宋_GB2312"/>
                <w:lang w:val="en-US" w:eastAsia="zh-CN" w:bidi="ar"/>
              </w:rPr>
              <w:t>4</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部门是否根据绩效评价发现问题制定整改措施，并整改落实到位</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利用率</w:t>
            </w:r>
            <w:r>
              <w:rPr>
                <w:rStyle w:val="31"/>
                <w:rFonts w:eastAsia="仿宋_GB2312"/>
                <w:lang w:val="en-US" w:eastAsia="zh-CN" w:bidi="ar"/>
              </w:rPr>
              <w:t>=</w:t>
            </w:r>
            <w:r>
              <w:rPr>
                <w:rStyle w:val="32"/>
                <w:rFonts w:hAnsi="宋体"/>
                <w:lang w:val="en-US" w:eastAsia="zh-CN" w:bidi="ar"/>
              </w:rPr>
              <w:t>部门实际制定整改措施项目数量</w:t>
            </w:r>
            <w:r>
              <w:rPr>
                <w:rStyle w:val="31"/>
                <w:rFonts w:eastAsia="仿宋_GB2312"/>
                <w:lang w:val="en-US" w:eastAsia="zh-CN" w:bidi="ar"/>
              </w:rPr>
              <w:t>/</w:t>
            </w:r>
            <w:r>
              <w:rPr>
                <w:rStyle w:val="32"/>
                <w:rFonts w:hAnsi="宋体"/>
                <w:lang w:val="en-US" w:eastAsia="zh-CN" w:bidi="ar"/>
              </w:rPr>
              <w:t>应制定整改措施的项目数量</w:t>
            </w:r>
            <w:r>
              <w:rPr>
                <w:rStyle w:val="31"/>
                <w:rFonts w:eastAsia="仿宋_GB2312"/>
                <w:lang w:val="en-US" w:eastAsia="zh-CN" w:bidi="ar"/>
              </w:rPr>
              <w:t>×100%</w:t>
            </w:r>
            <w:r>
              <w:rPr>
                <w:rStyle w:val="32"/>
                <w:rFonts w:hAnsi="宋体"/>
                <w:lang w:val="en-US" w:eastAsia="zh-CN" w:bidi="ar"/>
              </w:rPr>
              <w:t>。</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shd w:val="clear" w:color="auto" w:fill="auto"/>
          <w:tblCellMar>
            <w:top w:w="0" w:type="dxa"/>
            <w:left w:w="0" w:type="dxa"/>
            <w:bottom w:w="0" w:type="dxa"/>
            <w:right w:w="0" w:type="dxa"/>
          </w:tblCellMar>
        </w:tblPrEx>
        <w:trPr>
          <w:trHeight w:val="1040"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财政监督　　（</w:t>
            </w:r>
            <w:r>
              <w:rPr>
                <w:rStyle w:val="31"/>
                <w:rFonts w:eastAsia="仿宋_GB2312"/>
                <w:lang w:val="en-US" w:eastAsia="zh-CN" w:bidi="ar"/>
              </w:rPr>
              <w:t>6</w:t>
            </w:r>
            <w:r>
              <w:rPr>
                <w:rStyle w:val="32"/>
                <w:rFonts w:hAnsi="宋体"/>
                <w:lang w:val="en-US" w:eastAsia="zh-CN" w:bidi="ar"/>
              </w:rPr>
              <w:t>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是否按要求开展自查自纠（</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根据相关自查自纠报告、报表报送时效和质量进行考核</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未在规定时间内报送自查自纠相关材料（包括：纸质和电子版）的，扣</w:t>
            </w:r>
            <w:r>
              <w:rPr>
                <w:rStyle w:val="31"/>
                <w:rFonts w:eastAsia="仿宋_GB2312"/>
                <w:lang w:val="en-US" w:eastAsia="zh-CN" w:bidi="ar"/>
              </w:rPr>
              <w:t>0.5</w:t>
            </w:r>
            <w:r>
              <w:rPr>
                <w:rStyle w:val="32"/>
                <w:rFonts w:hAnsi="宋体"/>
                <w:lang w:val="en-US" w:eastAsia="zh-CN" w:bidi="ar"/>
              </w:rPr>
              <w:t>分；报告内容不完整，扣</w:t>
            </w:r>
            <w:r>
              <w:rPr>
                <w:rStyle w:val="31"/>
                <w:rFonts w:eastAsia="仿宋_GB2312"/>
                <w:lang w:val="en-US" w:eastAsia="zh-CN" w:bidi="ar"/>
              </w:rPr>
              <w:t>1</w:t>
            </w:r>
            <w:r>
              <w:rPr>
                <w:rStyle w:val="32"/>
                <w:rFonts w:hAnsi="宋体"/>
                <w:lang w:val="en-US" w:eastAsia="zh-CN" w:bidi="ar"/>
              </w:rPr>
              <w:t>分；报表质量差（如：数据、逻辑、勾稽关系错误）等扣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shd w:val="clear" w:color="auto" w:fill="auto"/>
          <w:tblCellMar>
            <w:top w:w="0" w:type="dxa"/>
            <w:left w:w="0" w:type="dxa"/>
            <w:bottom w:w="0" w:type="dxa"/>
            <w:right w:w="0" w:type="dxa"/>
          </w:tblCellMar>
        </w:tblPrEx>
        <w:trPr>
          <w:trHeight w:val="945"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重点检查发现违规违纪问题　　　（</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根据检查组提供的工作底稿、检查报告等资料进行考核</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专项检查发现的违纪违规问题，每个问题扣</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tblCellMar>
            <w:top w:w="0" w:type="dxa"/>
            <w:left w:w="0" w:type="dxa"/>
            <w:bottom w:w="0" w:type="dxa"/>
            <w:right w:w="0" w:type="dxa"/>
          </w:tblCellMar>
        </w:tblPrEx>
        <w:trPr>
          <w:trHeight w:val="885" w:hRule="atLeast"/>
        </w:trPr>
        <w:tc>
          <w:tcPr>
            <w:tcW w:w="67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存在问题整改是否到位（</w:t>
            </w:r>
            <w:r>
              <w:rPr>
                <w:rStyle w:val="31"/>
                <w:rFonts w:eastAsia="仿宋_GB2312"/>
                <w:lang w:val="en-US" w:eastAsia="zh-CN" w:bidi="ar"/>
              </w:rPr>
              <w:t>2</w:t>
            </w:r>
            <w:r>
              <w:rPr>
                <w:rStyle w:val="32"/>
                <w:rFonts w:hAnsi="宋体"/>
                <w:lang w:val="en-US" w:eastAsia="zh-CN" w:bidi="ar"/>
              </w:rPr>
              <w:t>分）</w:t>
            </w:r>
          </w:p>
        </w:tc>
        <w:tc>
          <w:tcPr>
            <w:tcW w:w="2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根据相关整改报告、凭证依据等相关证明材料进行考核</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未在规定时间内完成整改，并提供相关证明材料的，每个问题</w:t>
            </w:r>
            <w:r>
              <w:rPr>
                <w:rStyle w:val="31"/>
                <w:rFonts w:eastAsia="仿宋_GB2312"/>
                <w:lang w:val="en-US" w:eastAsia="zh-CN" w:bidi="ar"/>
              </w:rPr>
              <w:t>0.5</w:t>
            </w:r>
            <w:r>
              <w:rPr>
                <w:rStyle w:val="32"/>
                <w:rFonts w:hAnsi="宋体"/>
                <w:lang w:val="en-US" w:eastAsia="zh-CN" w:bidi="ar"/>
              </w:rPr>
              <w:t>分，直至扣完</w:t>
            </w:r>
          </w:p>
        </w:tc>
        <w:tc>
          <w:tcPr>
            <w:tcW w:w="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tblCellMar>
            <w:top w:w="0" w:type="dxa"/>
            <w:left w:w="0" w:type="dxa"/>
            <w:bottom w:w="0" w:type="dxa"/>
            <w:right w:w="0" w:type="dxa"/>
          </w:tblCellMar>
        </w:tblPrEx>
        <w:trPr>
          <w:trHeight w:val="579"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整体效益（</w:t>
            </w:r>
            <w:r>
              <w:rPr>
                <w:rStyle w:val="31"/>
                <w:rFonts w:eastAsia="仿宋_GB2312"/>
                <w:lang w:val="en-US" w:eastAsia="zh-CN" w:bidi="ar"/>
              </w:rPr>
              <w:t>20</w:t>
            </w:r>
            <w:r>
              <w:rPr>
                <w:rStyle w:val="32"/>
                <w:rFonts w:hAnsi="宋体"/>
                <w:lang w:val="en-US" w:eastAsia="zh-CN" w:bidi="ar"/>
              </w:rPr>
              <w:t>分）</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部门整体成效（</w:t>
            </w:r>
            <w:r>
              <w:rPr>
                <w:rStyle w:val="31"/>
                <w:rFonts w:eastAsia="仿宋_GB2312"/>
                <w:lang w:val="en-US" w:eastAsia="zh-CN" w:bidi="ar"/>
              </w:rPr>
              <w:t>20</w:t>
            </w:r>
            <w:r>
              <w:rPr>
                <w:rStyle w:val="32"/>
                <w:rFonts w:hAnsi="宋体"/>
                <w:lang w:val="en-US" w:eastAsia="zh-CN" w:bidi="ar"/>
              </w:rPr>
              <w:t>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根据部门单位特点针对性设置</w:t>
            </w:r>
          </w:p>
        </w:tc>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主要考核该部门履职尽责、工作先进性、促进发展、服务对象及社会公众满意度。</w:t>
            </w:r>
          </w:p>
        </w:tc>
        <w:tc>
          <w:tcPr>
            <w:tcW w:w="31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20"/>
                <w:szCs w:val="20"/>
                <w:u w:val="none"/>
              </w:rPr>
            </w:pPr>
            <w:r>
              <w:rPr>
                <w:rFonts w:hint="default" w:ascii="仿宋_GB2312" w:hAnsi="宋体" w:eastAsia="仿宋_GB2312" w:cs="仿宋_GB2312"/>
                <w:i w:val="0"/>
                <w:color w:val="000000"/>
                <w:kern w:val="0"/>
                <w:sz w:val="20"/>
                <w:szCs w:val="20"/>
                <w:u w:val="none"/>
                <w:lang w:val="en-US" w:eastAsia="zh-CN" w:bidi="ar"/>
              </w:rPr>
              <w:t>特性指标设置不得低于</w:t>
            </w:r>
            <w:r>
              <w:rPr>
                <w:rStyle w:val="31"/>
                <w:rFonts w:eastAsia="仿宋_GB2312"/>
                <w:lang w:val="en-US" w:eastAsia="zh-CN" w:bidi="ar"/>
              </w:rPr>
              <w:t>3</w:t>
            </w:r>
            <w:r>
              <w:rPr>
                <w:rStyle w:val="32"/>
                <w:rFonts w:hAnsi="宋体"/>
                <w:lang w:val="en-US" w:eastAsia="zh-CN" w:bidi="ar"/>
              </w:rPr>
              <w:t>个。若该部门出现重大安全责任事故、财经违法乱纪现象、群体事件、重大不良社会影响等状况时，此项考核不得分。</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r>
      <w:tr>
        <w:tblPrEx>
          <w:tblCellMar>
            <w:top w:w="0" w:type="dxa"/>
            <w:left w:w="0" w:type="dxa"/>
            <w:bottom w:w="0" w:type="dxa"/>
            <w:right w:w="0" w:type="dxa"/>
          </w:tblCellMar>
        </w:tblPrEx>
        <w:trPr>
          <w:trHeight w:val="579"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31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default"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12"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0"/>
                <w:szCs w:val="20"/>
                <w:u w:val="none"/>
              </w:rPr>
            </w:pPr>
          </w:p>
        </w:tc>
        <w:tc>
          <w:tcPr>
            <w:tcW w:w="31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default" w:ascii="仿宋_GB2312" w:hAnsi="宋体" w:eastAsia="仿宋_GB2312" w:cs="仿宋_GB2312"/>
                <w:i w:val="0"/>
                <w:color w:val="000000"/>
                <w:sz w:val="20"/>
                <w:szCs w:val="20"/>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312" w:hRule="atLeast"/>
        </w:trPr>
        <w:tc>
          <w:tcPr>
            <w:tcW w:w="675" w:type="dxa"/>
            <w:tcBorders>
              <w:top w:val="nil"/>
              <w:left w:val="nil"/>
              <w:bottom w:val="nil"/>
              <w:right w:val="nil"/>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960" w:type="dxa"/>
            <w:tcBorders>
              <w:top w:val="nil"/>
              <w:left w:val="nil"/>
              <w:bottom w:val="nil"/>
              <w:right w:val="nil"/>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1125" w:type="dxa"/>
            <w:tcBorders>
              <w:top w:val="nil"/>
              <w:left w:val="nil"/>
              <w:bottom w:val="nil"/>
              <w:right w:val="nil"/>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2565" w:type="dxa"/>
            <w:tcBorders>
              <w:top w:val="nil"/>
              <w:left w:val="nil"/>
              <w:bottom w:val="nil"/>
              <w:right w:val="nil"/>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000000"/>
                <w:sz w:val="20"/>
                <w:szCs w:val="20"/>
                <w:u w:val="none"/>
              </w:rPr>
            </w:pPr>
          </w:p>
        </w:tc>
        <w:tc>
          <w:tcPr>
            <w:tcW w:w="3150" w:type="dxa"/>
            <w:tcBorders>
              <w:top w:val="nil"/>
              <w:left w:val="nil"/>
              <w:bottom w:val="nil"/>
              <w:right w:val="nil"/>
            </w:tcBorders>
            <w:shd w:val="clear" w:color="auto" w:fill="auto"/>
            <w:tcMar>
              <w:top w:w="15" w:type="dxa"/>
              <w:left w:w="15" w:type="dxa"/>
              <w:right w:w="15" w:type="dxa"/>
            </w:tcMar>
            <w:vAlign w:val="center"/>
          </w:tcPr>
          <w:p>
            <w:pPr>
              <w:jc w:val="left"/>
              <w:rPr>
                <w:rFonts w:hint="default" w:ascii="Times New Roman" w:hAnsi="Times New Roman" w:eastAsia="宋体" w:cs="Times New Roman"/>
                <w:i w:val="0"/>
                <w:color w:val="000000"/>
                <w:sz w:val="20"/>
                <w:szCs w:val="20"/>
                <w:u w:val="none"/>
              </w:rPr>
            </w:pPr>
          </w:p>
        </w:tc>
        <w:tc>
          <w:tcPr>
            <w:tcW w:w="945" w:type="dxa"/>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79" w:hRule="atLeast"/>
        </w:trPr>
        <w:tc>
          <w:tcPr>
            <w:tcW w:w="8475"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注：若某部门不存在某项评价内容或评价指标，则该评价内容或评价指标不计入该部门考核评价范围，即该部门评价总分＝不含该评价内容或指标的评价总分/（100-该评价内容或指标所占分值）*100。</w:t>
            </w:r>
          </w:p>
        </w:tc>
        <w:tc>
          <w:tcPr>
            <w:tcW w:w="94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w:t>
            </w:r>
          </w:p>
        </w:tc>
      </w:tr>
    </w:tbl>
    <w:p>
      <w:pPr>
        <w:widowControl/>
        <w:jc w:val="left"/>
        <w:rPr>
          <w:rFonts w:hint="default" w:ascii="仿宋_GB2312" w:hAnsi="仿宋_GB2312" w:eastAsia="仿宋_GB2312" w:cs="仿宋_GB2312"/>
          <w:sz w:val="32"/>
          <w:szCs w:val="32"/>
          <w:lang w:val="en-US" w:eastAsia="zh-CN"/>
        </w:rPr>
      </w:pPr>
      <w:r>
        <w:rPr>
          <w:rFonts w:ascii="仿宋_GB2312" w:hAnsi="仿宋_GB2312" w:eastAsia="仿宋_GB2312" w:cs="仿宋_GB2312"/>
          <w:sz w:val="32"/>
          <w:szCs w:val="32"/>
        </w:rPr>
        <w:br w:type="page"/>
      </w:r>
    </w:p>
    <w:p>
      <w:pPr>
        <w:spacing w:line="600" w:lineRule="exact"/>
        <w:jc w:val="center"/>
        <w:outlineLvl w:val="0"/>
        <w:rPr>
          <w:rStyle w:val="25"/>
          <w:rFonts w:ascii="黑体" w:hAnsi="黑体" w:eastAsia="黑体"/>
          <w:b w:val="0"/>
        </w:rPr>
      </w:pPr>
      <w:bookmarkStart w:id="49" w:name="_Toc15396618"/>
      <w:r>
        <w:rPr>
          <w:rFonts w:hint="eastAsia" w:ascii="黑体" w:hAnsi="黑体" w:eastAsia="黑体"/>
          <w:color w:val="000000"/>
          <w:sz w:val="44"/>
          <w:szCs w:val="44"/>
        </w:rPr>
        <w:t>第</w:t>
      </w:r>
      <w:r>
        <w:rPr>
          <w:rStyle w:val="25"/>
          <w:rFonts w:hint="eastAsia" w:ascii="黑体" w:hAnsi="黑体" w:eastAsia="黑体"/>
          <w:b w:val="0"/>
        </w:rPr>
        <w:t>五部分 附表</w:t>
      </w:r>
      <w:bookmarkEnd w:id="47"/>
      <w:bookmarkEnd w:id="49"/>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50" w:name="_Toc15396619"/>
      <w:r>
        <w:rPr>
          <w:rFonts w:hint="eastAsia" w:ascii="仿宋" w:hAnsi="仿宋" w:eastAsia="仿宋"/>
          <w:b w:val="0"/>
          <w:color w:val="000000"/>
        </w:rPr>
        <w:t>一、收</w:t>
      </w:r>
      <w:r>
        <w:rPr>
          <w:rStyle w:val="26"/>
          <w:rFonts w:hint="eastAsia" w:ascii="仿宋" w:hAnsi="仿宋" w:eastAsia="仿宋"/>
          <w:b w:val="0"/>
          <w:bCs w:val="0"/>
        </w:rPr>
        <w:t>入支出决算总表</w:t>
      </w:r>
      <w:bookmarkEnd w:id="50"/>
    </w:p>
    <w:p>
      <w:pPr>
        <w:pStyle w:val="3"/>
        <w:rPr>
          <w:rFonts w:ascii="仿宋" w:hAnsi="仿宋" w:eastAsia="仿宋"/>
          <w:color w:val="000000"/>
        </w:rPr>
      </w:pPr>
      <w:bookmarkStart w:id="51" w:name="_Toc15396620"/>
      <w:r>
        <w:rPr>
          <w:rFonts w:hint="eastAsia" w:ascii="仿宋" w:hAnsi="仿宋" w:eastAsia="仿宋"/>
          <w:b w:val="0"/>
          <w:color w:val="000000"/>
        </w:rPr>
        <w:t>二、收</w:t>
      </w:r>
      <w:r>
        <w:rPr>
          <w:rStyle w:val="26"/>
          <w:rFonts w:hint="eastAsia" w:ascii="仿宋" w:hAnsi="仿宋" w:eastAsia="仿宋"/>
          <w:b w:val="0"/>
          <w:bCs w:val="0"/>
        </w:rPr>
        <w:t>入总表</w:t>
      </w:r>
      <w:bookmarkEnd w:id="51"/>
    </w:p>
    <w:p>
      <w:pPr>
        <w:pStyle w:val="3"/>
        <w:rPr>
          <w:rFonts w:ascii="仿宋" w:hAnsi="仿宋" w:eastAsia="仿宋"/>
          <w:color w:val="000000"/>
        </w:rPr>
      </w:pPr>
      <w:bookmarkStart w:id="52" w:name="_Toc15396621"/>
      <w:r>
        <w:rPr>
          <w:rStyle w:val="26"/>
          <w:rFonts w:hint="eastAsia" w:ascii="仿宋" w:hAnsi="仿宋" w:eastAsia="仿宋"/>
          <w:b w:val="0"/>
          <w:bCs w:val="0"/>
        </w:rPr>
        <w:t>三、</w:t>
      </w:r>
      <w:r>
        <w:rPr>
          <w:rFonts w:hint="eastAsia" w:ascii="仿宋" w:hAnsi="仿宋" w:eastAsia="仿宋"/>
          <w:b w:val="0"/>
          <w:color w:val="000000"/>
        </w:rPr>
        <w:t>支</w:t>
      </w:r>
      <w:r>
        <w:rPr>
          <w:rStyle w:val="26"/>
          <w:rFonts w:hint="eastAsia" w:ascii="仿宋" w:hAnsi="仿宋" w:eastAsia="仿宋"/>
          <w:b w:val="0"/>
          <w:bCs w:val="0"/>
        </w:rPr>
        <w:t>出总表</w:t>
      </w:r>
      <w:bookmarkEnd w:id="52"/>
    </w:p>
    <w:p>
      <w:pPr>
        <w:pStyle w:val="3"/>
        <w:rPr>
          <w:rFonts w:ascii="仿宋" w:hAnsi="仿宋" w:eastAsia="仿宋"/>
          <w:b w:val="0"/>
          <w:color w:val="000000"/>
        </w:rPr>
      </w:pPr>
      <w:bookmarkStart w:id="53" w:name="_Toc15396622"/>
      <w:r>
        <w:rPr>
          <w:rStyle w:val="26"/>
          <w:rFonts w:hint="eastAsia" w:ascii="仿宋" w:hAnsi="仿宋" w:eastAsia="仿宋"/>
          <w:b w:val="0"/>
          <w:bCs w:val="0"/>
        </w:rPr>
        <w:t>四、</w:t>
      </w:r>
      <w:r>
        <w:rPr>
          <w:rFonts w:hint="eastAsia" w:ascii="仿宋" w:hAnsi="仿宋" w:eastAsia="仿宋"/>
          <w:b w:val="0"/>
          <w:color w:val="000000"/>
        </w:rPr>
        <w:t>财</w:t>
      </w:r>
      <w:r>
        <w:rPr>
          <w:rStyle w:val="26"/>
          <w:rFonts w:hint="eastAsia" w:ascii="仿宋" w:hAnsi="仿宋" w:eastAsia="仿宋"/>
          <w:b w:val="0"/>
          <w:bCs w:val="0"/>
        </w:rPr>
        <w:t>政拨款收入支出决算总表</w:t>
      </w:r>
      <w:bookmarkEnd w:id="53"/>
    </w:p>
    <w:p>
      <w:pPr>
        <w:pStyle w:val="3"/>
        <w:rPr>
          <w:rFonts w:ascii="仿宋" w:hAnsi="仿宋" w:eastAsia="仿宋"/>
          <w:color w:val="000000"/>
        </w:rPr>
      </w:pPr>
      <w:bookmarkStart w:id="54" w:name="_Toc15396623"/>
      <w:r>
        <w:rPr>
          <w:rStyle w:val="26"/>
          <w:rFonts w:hint="eastAsia" w:ascii="仿宋" w:hAnsi="仿宋" w:eastAsia="仿宋"/>
          <w:b w:val="0"/>
          <w:bCs w:val="0"/>
        </w:rPr>
        <w:t>五、</w:t>
      </w:r>
      <w:r>
        <w:rPr>
          <w:rFonts w:hint="eastAsia" w:ascii="仿宋" w:hAnsi="仿宋" w:eastAsia="仿宋"/>
          <w:b w:val="0"/>
          <w:color w:val="000000"/>
        </w:rPr>
        <w:t>财</w:t>
      </w:r>
      <w:r>
        <w:rPr>
          <w:rStyle w:val="26"/>
          <w:rFonts w:hint="eastAsia" w:ascii="仿宋" w:hAnsi="仿宋" w:eastAsia="仿宋"/>
          <w:b w:val="0"/>
          <w:bCs w:val="0"/>
        </w:rPr>
        <w:t>政拨款支出决算明细表（政府经济分类科目）</w:t>
      </w:r>
      <w:bookmarkEnd w:id="54"/>
    </w:p>
    <w:p>
      <w:pPr>
        <w:pStyle w:val="3"/>
        <w:rPr>
          <w:rFonts w:ascii="仿宋" w:hAnsi="仿宋" w:eastAsia="仿宋"/>
          <w:color w:val="000000"/>
        </w:rPr>
      </w:pPr>
      <w:bookmarkStart w:id="55" w:name="_Toc15396624"/>
      <w:r>
        <w:rPr>
          <w:rStyle w:val="26"/>
          <w:rFonts w:hint="eastAsia" w:ascii="仿宋" w:hAnsi="仿宋" w:eastAsia="仿宋"/>
          <w:b w:val="0"/>
          <w:bCs w:val="0"/>
        </w:rPr>
        <w:t>六、</w:t>
      </w:r>
      <w:r>
        <w:rPr>
          <w:rFonts w:hint="eastAsia" w:ascii="仿宋" w:hAnsi="仿宋" w:eastAsia="仿宋"/>
          <w:b w:val="0"/>
          <w:color w:val="000000"/>
        </w:rPr>
        <w:t>一</w:t>
      </w:r>
      <w:r>
        <w:rPr>
          <w:rStyle w:val="26"/>
          <w:rFonts w:hint="eastAsia" w:ascii="仿宋" w:hAnsi="仿宋" w:eastAsia="仿宋"/>
          <w:b w:val="0"/>
          <w:bCs w:val="0"/>
        </w:rPr>
        <w:t>般公共预算财政拨款支出决算表</w:t>
      </w:r>
      <w:bookmarkEnd w:id="55"/>
    </w:p>
    <w:p>
      <w:pPr>
        <w:pStyle w:val="3"/>
        <w:rPr>
          <w:rFonts w:ascii="仿宋" w:hAnsi="仿宋" w:eastAsia="仿宋"/>
          <w:color w:val="000000"/>
        </w:rPr>
      </w:pPr>
      <w:bookmarkStart w:id="56" w:name="_Toc15396625"/>
      <w:r>
        <w:rPr>
          <w:rStyle w:val="26"/>
          <w:rFonts w:hint="eastAsia" w:ascii="仿宋" w:hAnsi="仿宋" w:eastAsia="仿宋"/>
          <w:b w:val="0"/>
          <w:bCs w:val="0"/>
        </w:rPr>
        <w:t>七、</w:t>
      </w:r>
      <w:r>
        <w:rPr>
          <w:rFonts w:hint="eastAsia" w:ascii="仿宋" w:hAnsi="仿宋" w:eastAsia="仿宋"/>
          <w:b w:val="0"/>
          <w:color w:val="000000"/>
        </w:rPr>
        <w:t>一</w:t>
      </w:r>
      <w:r>
        <w:rPr>
          <w:rStyle w:val="26"/>
          <w:rFonts w:hint="eastAsia" w:ascii="仿宋" w:hAnsi="仿宋" w:eastAsia="仿宋"/>
          <w:b w:val="0"/>
          <w:bCs w:val="0"/>
        </w:rPr>
        <w:t>般公共预算财政拨款支出决算明细表</w:t>
      </w:r>
      <w:bookmarkEnd w:id="56"/>
    </w:p>
    <w:p>
      <w:pPr>
        <w:pStyle w:val="3"/>
        <w:rPr>
          <w:rFonts w:ascii="仿宋" w:hAnsi="仿宋" w:eastAsia="仿宋"/>
          <w:color w:val="000000"/>
        </w:rPr>
      </w:pPr>
      <w:bookmarkStart w:id="57" w:name="_Toc15396626"/>
      <w:r>
        <w:rPr>
          <w:rStyle w:val="26"/>
          <w:rFonts w:hint="eastAsia" w:ascii="仿宋" w:hAnsi="仿宋" w:eastAsia="仿宋"/>
          <w:b w:val="0"/>
          <w:bCs w:val="0"/>
        </w:rPr>
        <w:t>八、</w:t>
      </w:r>
      <w:r>
        <w:rPr>
          <w:rFonts w:hint="eastAsia" w:ascii="仿宋" w:hAnsi="仿宋" w:eastAsia="仿宋"/>
          <w:b w:val="0"/>
          <w:color w:val="000000"/>
        </w:rPr>
        <w:t>一</w:t>
      </w:r>
      <w:r>
        <w:rPr>
          <w:rStyle w:val="26"/>
          <w:rFonts w:hint="eastAsia" w:ascii="仿宋" w:hAnsi="仿宋" w:eastAsia="仿宋"/>
          <w:b w:val="0"/>
          <w:bCs w:val="0"/>
        </w:rPr>
        <w:t>般公共预算财政拨款基本支出决算表</w:t>
      </w:r>
      <w:bookmarkEnd w:id="57"/>
    </w:p>
    <w:p>
      <w:pPr>
        <w:pStyle w:val="3"/>
        <w:rPr>
          <w:rFonts w:ascii="仿宋" w:hAnsi="仿宋" w:eastAsia="仿宋"/>
          <w:color w:val="000000"/>
        </w:rPr>
      </w:pPr>
      <w:bookmarkStart w:id="58" w:name="_Toc15396627"/>
      <w:r>
        <w:rPr>
          <w:rStyle w:val="26"/>
          <w:rFonts w:hint="eastAsia" w:ascii="仿宋" w:hAnsi="仿宋" w:eastAsia="仿宋"/>
          <w:b w:val="0"/>
          <w:bCs w:val="0"/>
        </w:rPr>
        <w:t>九、</w:t>
      </w:r>
      <w:r>
        <w:rPr>
          <w:rFonts w:hint="eastAsia" w:ascii="仿宋" w:hAnsi="仿宋" w:eastAsia="仿宋"/>
          <w:b w:val="0"/>
          <w:color w:val="000000"/>
        </w:rPr>
        <w:t>一</w:t>
      </w:r>
      <w:r>
        <w:rPr>
          <w:rStyle w:val="26"/>
          <w:rFonts w:hint="eastAsia" w:ascii="仿宋" w:hAnsi="仿宋" w:eastAsia="仿宋"/>
          <w:b w:val="0"/>
          <w:bCs w:val="0"/>
        </w:rPr>
        <w:t>般公共预算财政拨款项目支出决算表</w:t>
      </w:r>
      <w:bookmarkEnd w:id="58"/>
    </w:p>
    <w:p>
      <w:pPr>
        <w:pStyle w:val="3"/>
        <w:rPr>
          <w:rFonts w:ascii="仿宋" w:hAnsi="仿宋" w:eastAsia="仿宋"/>
          <w:color w:val="000000"/>
        </w:rPr>
      </w:pPr>
      <w:bookmarkStart w:id="59" w:name="_Toc15396628"/>
      <w:r>
        <w:rPr>
          <w:rStyle w:val="26"/>
          <w:rFonts w:hint="eastAsia" w:ascii="仿宋" w:hAnsi="仿宋" w:eastAsia="仿宋"/>
          <w:b w:val="0"/>
          <w:bCs w:val="0"/>
        </w:rPr>
        <w:t>十、</w:t>
      </w:r>
      <w:r>
        <w:rPr>
          <w:rFonts w:hint="eastAsia" w:ascii="仿宋" w:hAnsi="仿宋" w:eastAsia="仿宋"/>
          <w:b w:val="0"/>
          <w:color w:val="000000"/>
        </w:rPr>
        <w:t>一</w:t>
      </w:r>
      <w:r>
        <w:rPr>
          <w:rStyle w:val="26"/>
          <w:rFonts w:hint="eastAsia" w:ascii="仿宋" w:hAnsi="仿宋" w:eastAsia="仿宋"/>
          <w:b w:val="0"/>
          <w:bCs w:val="0"/>
        </w:rPr>
        <w:t>般公共预算财政拨款“三公”经费支出决算表</w:t>
      </w:r>
      <w:bookmarkEnd w:id="59"/>
    </w:p>
    <w:p>
      <w:pPr>
        <w:pStyle w:val="3"/>
        <w:rPr>
          <w:rFonts w:ascii="仿宋" w:hAnsi="仿宋" w:eastAsia="仿宋"/>
          <w:color w:val="000000"/>
        </w:rPr>
      </w:pPr>
      <w:bookmarkStart w:id="60" w:name="_Toc15396629"/>
      <w:r>
        <w:rPr>
          <w:rStyle w:val="26"/>
          <w:rFonts w:hint="eastAsia" w:ascii="仿宋" w:hAnsi="仿宋" w:eastAsia="仿宋"/>
          <w:b w:val="0"/>
          <w:bCs w:val="0"/>
        </w:rPr>
        <w:t>十一、</w:t>
      </w:r>
      <w:r>
        <w:rPr>
          <w:rFonts w:hint="eastAsia" w:ascii="仿宋" w:hAnsi="仿宋" w:eastAsia="仿宋"/>
          <w:b w:val="0"/>
          <w:color w:val="000000"/>
        </w:rPr>
        <w:t>政</w:t>
      </w:r>
      <w:r>
        <w:rPr>
          <w:rStyle w:val="26"/>
          <w:rFonts w:hint="eastAsia" w:ascii="仿宋" w:hAnsi="仿宋" w:eastAsia="仿宋"/>
          <w:b w:val="0"/>
          <w:bCs w:val="0"/>
        </w:rPr>
        <w:t>府性基金预算财政拨款收入支出决算表</w:t>
      </w:r>
      <w:bookmarkEnd w:id="60"/>
    </w:p>
    <w:p>
      <w:pPr>
        <w:pStyle w:val="3"/>
        <w:rPr>
          <w:rFonts w:ascii="仿宋" w:hAnsi="仿宋" w:eastAsia="仿宋"/>
          <w:color w:val="000000"/>
        </w:rPr>
      </w:pPr>
      <w:bookmarkStart w:id="61" w:name="_Toc15396630"/>
      <w:r>
        <w:rPr>
          <w:rStyle w:val="26"/>
          <w:rFonts w:hint="eastAsia" w:ascii="仿宋" w:hAnsi="仿宋" w:eastAsia="仿宋"/>
          <w:b w:val="0"/>
          <w:bCs w:val="0"/>
        </w:rPr>
        <w:t>十二、</w:t>
      </w:r>
      <w:r>
        <w:rPr>
          <w:rFonts w:hint="eastAsia" w:ascii="仿宋" w:hAnsi="仿宋" w:eastAsia="仿宋"/>
          <w:b w:val="0"/>
          <w:color w:val="000000"/>
        </w:rPr>
        <w:t>政</w:t>
      </w:r>
      <w:r>
        <w:rPr>
          <w:rStyle w:val="26"/>
          <w:rFonts w:hint="eastAsia" w:ascii="仿宋" w:hAnsi="仿宋" w:eastAsia="仿宋"/>
          <w:b w:val="0"/>
          <w:bCs w:val="0"/>
        </w:rPr>
        <w:t>府性基金预算财政拨款“三公”经费支出决算表</w:t>
      </w:r>
      <w:bookmarkEnd w:id="61"/>
    </w:p>
    <w:p>
      <w:pPr>
        <w:pStyle w:val="3"/>
        <w:rPr>
          <w:rFonts w:ascii="仿宋" w:hAnsi="仿宋" w:eastAsia="仿宋"/>
          <w:color w:val="000000" w:themeColor="text1"/>
          <w14:textFill>
            <w14:solidFill>
              <w14:schemeClr w14:val="tx1"/>
            </w14:solidFill>
          </w14:textFill>
        </w:rPr>
      </w:pPr>
      <w:bookmarkStart w:id="62" w:name="_Toc15396631"/>
      <w:r>
        <w:rPr>
          <w:rStyle w:val="26"/>
          <w:rFonts w:hint="eastAsia" w:ascii="仿宋" w:hAnsi="仿宋" w:eastAsia="仿宋"/>
          <w:b w:val="0"/>
          <w:bCs w:val="0"/>
        </w:rPr>
        <w:t>十三、</w:t>
      </w:r>
      <w:r>
        <w:rPr>
          <w:rFonts w:hint="eastAsia" w:ascii="仿宋" w:hAnsi="仿宋" w:eastAsia="仿宋"/>
          <w:b w:val="0"/>
          <w:color w:val="000000"/>
        </w:rPr>
        <w:t>国</w:t>
      </w:r>
      <w:r>
        <w:rPr>
          <w:rStyle w:val="26"/>
          <w:rFonts w:hint="eastAsia" w:ascii="仿宋" w:hAnsi="仿宋" w:eastAsia="仿宋"/>
          <w:b w:val="0"/>
          <w:bCs w:val="0"/>
        </w:rPr>
        <w:t>有资本经营预算支出决算表</w:t>
      </w:r>
      <w:bookmarkEnd w:id="6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docPartObj>
        <w:docPartGallery w:val="autotext"/>
      </w:docPartObj>
    </w:sdtPr>
    <w:sdtContent>
      <w:p>
        <w:pPr>
          <w:pStyle w:val="8"/>
          <w:jc w:val="center"/>
        </w:pPr>
        <w:r>
          <w:fldChar w:fldCharType="begin"/>
        </w:r>
        <w:r>
          <w:instrText xml:space="preserve">PAGE   \* MERGEFORMAT</w:instrText>
        </w:r>
        <w:r>
          <w:fldChar w:fldCharType="separate"/>
        </w:r>
        <w:r>
          <w:rPr>
            <w:lang w:val="zh-CN"/>
          </w:rPr>
          <w:t>10</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EC0BEF30"/>
    <w:multiLevelType w:val="singleLevel"/>
    <w:tmpl w:val="EC0BEF30"/>
    <w:lvl w:ilvl="0" w:tentative="0">
      <w:start w:val="1"/>
      <w:numFmt w:val="chineseCounting"/>
      <w:suff w:val="nothing"/>
      <w:lvlText w:val="（%1）"/>
      <w:lvlJc w:val="left"/>
      <w:rPr>
        <w:rFonts w:hint="eastAsia" w:ascii="楷体_GB2312" w:hAnsi="楷体_GB2312" w:eastAsia="楷体_GB2312" w:cs="楷体_GB2312"/>
        <w:b/>
        <w:bCs/>
        <w:sz w:val="32"/>
        <w:szCs w:val="32"/>
      </w:rPr>
    </w:lvl>
  </w:abstractNum>
  <w:abstractNum w:abstractNumId="3">
    <w:nsid w:val="EC8CCC6D"/>
    <w:multiLevelType w:val="singleLevel"/>
    <w:tmpl w:val="EC8CCC6D"/>
    <w:lvl w:ilvl="0" w:tentative="0">
      <w:start w:val="1"/>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7F426B7"/>
    <w:multiLevelType w:val="multilevel"/>
    <w:tmpl w:val="17F426B7"/>
    <w:lvl w:ilvl="0" w:tentative="0">
      <w:start w:val="10"/>
      <w:numFmt w:val="japaneseCounting"/>
      <w:lvlText w:val="%1、"/>
      <w:lvlJc w:val="left"/>
      <w:pPr>
        <w:ind w:left="1429" w:hanging="7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6487A"/>
    <w:rsid w:val="00065F8F"/>
    <w:rsid w:val="000768F2"/>
    <w:rsid w:val="0009184B"/>
    <w:rsid w:val="0009593C"/>
    <w:rsid w:val="000B047F"/>
    <w:rsid w:val="000B5923"/>
    <w:rsid w:val="000B5A48"/>
    <w:rsid w:val="000B6FF3"/>
    <w:rsid w:val="000C3467"/>
    <w:rsid w:val="000C3CA6"/>
    <w:rsid w:val="000D1267"/>
    <w:rsid w:val="000D1D50"/>
    <w:rsid w:val="000D5782"/>
    <w:rsid w:val="000E6613"/>
    <w:rsid w:val="000E7119"/>
    <w:rsid w:val="00114E9B"/>
    <w:rsid w:val="0014729F"/>
    <w:rsid w:val="00157BAB"/>
    <w:rsid w:val="001654D1"/>
    <w:rsid w:val="0018106D"/>
    <w:rsid w:val="001877A7"/>
    <w:rsid w:val="00191536"/>
    <w:rsid w:val="00196687"/>
    <w:rsid w:val="001C0962"/>
    <w:rsid w:val="001D7531"/>
    <w:rsid w:val="001E737D"/>
    <w:rsid w:val="001F0592"/>
    <w:rsid w:val="001F7506"/>
    <w:rsid w:val="002006CD"/>
    <w:rsid w:val="00202B36"/>
    <w:rsid w:val="00204B7A"/>
    <w:rsid w:val="0021101A"/>
    <w:rsid w:val="00220536"/>
    <w:rsid w:val="00235629"/>
    <w:rsid w:val="00260C38"/>
    <w:rsid w:val="002616C0"/>
    <w:rsid w:val="002662AA"/>
    <w:rsid w:val="00280496"/>
    <w:rsid w:val="00295495"/>
    <w:rsid w:val="002B2613"/>
    <w:rsid w:val="002F1818"/>
    <w:rsid w:val="002F567B"/>
    <w:rsid w:val="003216A9"/>
    <w:rsid w:val="0037013F"/>
    <w:rsid w:val="00380C92"/>
    <w:rsid w:val="003A484F"/>
    <w:rsid w:val="003B0BE0"/>
    <w:rsid w:val="003B0C1B"/>
    <w:rsid w:val="003B688C"/>
    <w:rsid w:val="003C0291"/>
    <w:rsid w:val="003C39AE"/>
    <w:rsid w:val="003C7B60"/>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7481D"/>
    <w:rsid w:val="0058486E"/>
    <w:rsid w:val="005D1C8B"/>
    <w:rsid w:val="005D5CED"/>
    <w:rsid w:val="005F1A4C"/>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A3141"/>
    <w:rsid w:val="006A5E34"/>
    <w:rsid w:val="006B2422"/>
    <w:rsid w:val="006B2B9A"/>
    <w:rsid w:val="006C1937"/>
    <w:rsid w:val="006F020C"/>
    <w:rsid w:val="007127B7"/>
    <w:rsid w:val="007416B6"/>
    <w:rsid w:val="00746F48"/>
    <w:rsid w:val="0075404D"/>
    <w:rsid w:val="0076182A"/>
    <w:rsid w:val="00767B7E"/>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253BB"/>
    <w:rsid w:val="0083706E"/>
    <w:rsid w:val="008423A5"/>
    <w:rsid w:val="00850625"/>
    <w:rsid w:val="00853718"/>
    <w:rsid w:val="00855221"/>
    <w:rsid w:val="00860645"/>
    <w:rsid w:val="00871F71"/>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46945"/>
    <w:rsid w:val="00951248"/>
    <w:rsid w:val="0095152F"/>
    <w:rsid w:val="00954C49"/>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7AB5"/>
    <w:rsid w:val="00A91760"/>
    <w:rsid w:val="00A93B00"/>
    <w:rsid w:val="00A93C21"/>
    <w:rsid w:val="00AC3C6A"/>
    <w:rsid w:val="00AD5620"/>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4E7C"/>
    <w:rsid w:val="00D35489"/>
    <w:rsid w:val="00D51276"/>
    <w:rsid w:val="00D7035F"/>
    <w:rsid w:val="00DA65AC"/>
    <w:rsid w:val="00DB1913"/>
    <w:rsid w:val="00DC410D"/>
    <w:rsid w:val="00DC68CA"/>
    <w:rsid w:val="00DC7CBA"/>
    <w:rsid w:val="00DD73B7"/>
    <w:rsid w:val="00DF28BC"/>
    <w:rsid w:val="00DF34B9"/>
    <w:rsid w:val="00E01053"/>
    <w:rsid w:val="00E07ACF"/>
    <w:rsid w:val="00E331A1"/>
    <w:rsid w:val="00E33202"/>
    <w:rsid w:val="00E336A9"/>
    <w:rsid w:val="00E50624"/>
    <w:rsid w:val="00E568DF"/>
    <w:rsid w:val="00E64269"/>
    <w:rsid w:val="00E82267"/>
    <w:rsid w:val="00EA010F"/>
    <w:rsid w:val="00ED1B63"/>
    <w:rsid w:val="00ED3C1F"/>
    <w:rsid w:val="00ED4085"/>
    <w:rsid w:val="00ED420E"/>
    <w:rsid w:val="00EE2F57"/>
    <w:rsid w:val="00EF4C34"/>
    <w:rsid w:val="00EF77C6"/>
    <w:rsid w:val="00F05438"/>
    <w:rsid w:val="00F1361C"/>
    <w:rsid w:val="00F160C7"/>
    <w:rsid w:val="00F36D8F"/>
    <w:rsid w:val="00F417B1"/>
    <w:rsid w:val="00F602DF"/>
    <w:rsid w:val="00F81FD9"/>
    <w:rsid w:val="00F841AA"/>
    <w:rsid w:val="00FA23E8"/>
    <w:rsid w:val="00FD3CC1"/>
    <w:rsid w:val="00FF1E02"/>
    <w:rsid w:val="00FF30B4"/>
    <w:rsid w:val="0B385B4B"/>
    <w:rsid w:val="0F8E0A2D"/>
    <w:rsid w:val="10C055FF"/>
    <w:rsid w:val="12886537"/>
    <w:rsid w:val="16BB723D"/>
    <w:rsid w:val="170357BD"/>
    <w:rsid w:val="1B677C2B"/>
    <w:rsid w:val="1BE96AAB"/>
    <w:rsid w:val="204F163D"/>
    <w:rsid w:val="20F13AFE"/>
    <w:rsid w:val="23257FA3"/>
    <w:rsid w:val="238805FE"/>
    <w:rsid w:val="240371BF"/>
    <w:rsid w:val="29B6220F"/>
    <w:rsid w:val="29FD04D3"/>
    <w:rsid w:val="2AEF26BE"/>
    <w:rsid w:val="319F7F4E"/>
    <w:rsid w:val="4844676B"/>
    <w:rsid w:val="48C23428"/>
    <w:rsid w:val="49B31A3A"/>
    <w:rsid w:val="4CCA6171"/>
    <w:rsid w:val="4CFA22A0"/>
    <w:rsid w:val="4F121E8F"/>
    <w:rsid w:val="516A568B"/>
    <w:rsid w:val="5B344E1A"/>
    <w:rsid w:val="5EA55784"/>
    <w:rsid w:val="63B7583C"/>
    <w:rsid w:val="694D43AD"/>
    <w:rsid w:val="6B35243B"/>
    <w:rsid w:val="770C1FA9"/>
    <w:rsid w:val="79F005C1"/>
    <w:rsid w:val="7D03490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2"/>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0"/>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semiHidden/>
    <w:qFormat/>
    <w:uiPriority w:val="99"/>
    <w:rPr>
      <w:rFonts w:ascii="Times New Roman" w:hAnsi="Times New Roman"/>
      <w:sz w:val="18"/>
      <w:szCs w:val="18"/>
    </w:rPr>
  </w:style>
  <w:style w:type="character" w:customStyle="1" w:styleId="18">
    <w:name w:val="页眉 Char"/>
    <w:link w:val="9"/>
    <w:semiHidden/>
    <w:qFormat/>
    <w:locked/>
    <w:uiPriority w:val="99"/>
    <w:rPr>
      <w:sz w:val="18"/>
    </w:rPr>
  </w:style>
  <w:style w:type="character" w:customStyle="1" w:styleId="19">
    <w:name w:val="Footer Char"/>
    <w:basedOn w:val="14"/>
    <w:semiHidden/>
    <w:qFormat/>
    <w:uiPriority w:val="99"/>
    <w:rPr>
      <w:rFonts w:ascii="Times New Roman" w:hAnsi="Times New Roman"/>
      <w:sz w:val="18"/>
      <w:szCs w:val="18"/>
    </w:rPr>
  </w:style>
  <w:style w:type="character" w:customStyle="1" w:styleId="20">
    <w:name w:val="页脚 Char"/>
    <w:link w:val="8"/>
    <w:qFormat/>
    <w:locked/>
    <w:uiPriority w:val="99"/>
    <w:rPr>
      <w:sz w:val="18"/>
    </w:rPr>
  </w:style>
  <w:style w:type="character" w:customStyle="1" w:styleId="21">
    <w:name w:val="Body Text Char"/>
    <w:basedOn w:val="14"/>
    <w:semiHidden/>
    <w:qFormat/>
    <w:uiPriority w:val="99"/>
    <w:rPr>
      <w:rFonts w:ascii="Times New Roman" w:hAnsi="Times New Roman"/>
      <w:szCs w:val="24"/>
    </w:rPr>
  </w:style>
  <w:style w:type="character" w:customStyle="1" w:styleId="22">
    <w:name w:val="正文文本 Char"/>
    <w:link w:val="5"/>
    <w:qFormat/>
    <w:locked/>
    <w:uiPriority w:val="99"/>
    <w:rPr>
      <w:rFonts w:ascii="仿宋_GB2312" w:hAnsi="Times New Roman" w:eastAsia="仿宋_GB2312"/>
      <w:sz w:val="24"/>
    </w:rPr>
  </w:style>
  <w:style w:type="paragraph" w:customStyle="1" w:styleId="2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4">
    <w:name w:val="List Paragraph"/>
    <w:basedOn w:val="1"/>
    <w:qFormat/>
    <w:uiPriority w:val="34"/>
    <w:pPr>
      <w:ind w:firstLine="420" w:firstLineChars="200"/>
    </w:pPr>
  </w:style>
  <w:style w:type="character" w:customStyle="1" w:styleId="25">
    <w:name w:val="标题 1 Char"/>
    <w:basedOn w:val="14"/>
    <w:link w:val="2"/>
    <w:qFormat/>
    <w:uiPriority w:val="9"/>
    <w:rPr>
      <w:rFonts w:ascii="Times New Roman" w:hAnsi="Times New Roman"/>
      <w:b/>
      <w:bCs/>
      <w:kern w:val="44"/>
      <w:sz w:val="44"/>
      <w:szCs w:val="44"/>
    </w:rPr>
  </w:style>
  <w:style w:type="character" w:customStyle="1" w:styleId="26">
    <w:name w:val="标题 2 Char"/>
    <w:basedOn w:val="14"/>
    <w:link w:val="3"/>
    <w:qFormat/>
    <w:uiPriority w:val="9"/>
    <w:rPr>
      <w:rFonts w:asciiTheme="majorHAnsi" w:hAnsiTheme="majorHAnsi" w:eastAsiaTheme="majorEastAsia" w:cstheme="majorBidi"/>
      <w:b/>
      <w:bCs/>
      <w:kern w:val="2"/>
      <w:sz w:val="32"/>
      <w:szCs w:val="32"/>
    </w:rPr>
  </w:style>
  <w:style w:type="paragraph" w:customStyle="1" w:styleId="27">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4"/>
    <w:link w:val="7"/>
    <w:semiHidden/>
    <w:qFormat/>
    <w:uiPriority w:val="99"/>
    <w:rPr>
      <w:rFonts w:ascii="Times New Roman" w:hAnsi="Times New Roman"/>
      <w:kern w:val="2"/>
      <w:sz w:val="18"/>
      <w:szCs w:val="18"/>
    </w:rPr>
  </w:style>
  <w:style w:type="character" w:customStyle="1" w:styleId="29">
    <w:name w:val="标题 3 Char"/>
    <w:basedOn w:val="14"/>
    <w:link w:val="4"/>
    <w:qFormat/>
    <w:uiPriority w:val="9"/>
    <w:rPr>
      <w:rFonts w:ascii="Times New Roman" w:hAnsi="Times New Roman"/>
      <w:b/>
      <w:bCs/>
      <w:kern w:val="2"/>
      <w:sz w:val="32"/>
      <w:szCs w:val="32"/>
    </w:rPr>
  </w:style>
  <w:style w:type="paragraph" w:customStyle="1" w:styleId="30">
    <w:name w:val="公文主体"/>
    <w:basedOn w:val="1"/>
    <w:qFormat/>
    <w:uiPriority w:val="0"/>
    <w:pPr>
      <w:spacing w:line="580" w:lineRule="exact"/>
      <w:ind w:firstLine="200" w:firstLineChars="200"/>
    </w:pPr>
    <w:rPr>
      <w:rFonts w:hint="default" w:eastAsia="仿宋_GB2312"/>
      <w:sz w:val="32"/>
    </w:rPr>
  </w:style>
  <w:style w:type="character" w:customStyle="1" w:styleId="31">
    <w:name w:val="font41"/>
    <w:basedOn w:val="14"/>
    <w:qFormat/>
    <w:uiPriority w:val="0"/>
    <w:rPr>
      <w:rFonts w:hint="default" w:ascii="Times New Roman" w:hAnsi="Times New Roman" w:cs="Times New Roman"/>
      <w:color w:val="000000"/>
      <w:sz w:val="20"/>
      <w:szCs w:val="20"/>
      <w:u w:val="none"/>
    </w:rPr>
  </w:style>
  <w:style w:type="character" w:customStyle="1" w:styleId="32">
    <w:name w:val="font31"/>
    <w:basedOn w:val="14"/>
    <w:qFormat/>
    <w:uiPriority w:val="0"/>
    <w:rPr>
      <w:rFonts w:hint="default" w:ascii="仿宋_GB2312" w:eastAsia="仿宋_GB2312" w:cs="仿宋_GB2312"/>
      <w:color w:val="000000"/>
      <w:sz w:val="20"/>
      <w:szCs w:val="20"/>
      <w:u w:val="none"/>
    </w:rPr>
  </w:style>
  <w:style w:type="character" w:customStyle="1" w:styleId="33">
    <w:name w:val="font1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收入支出决算总体情况 </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solidFill>
            <a:ln>
              <a:noFill/>
            </a:ln>
            <a:effectLst/>
          </c:spPr>
          <c:invertIfNegative val="0"/>
          <c:dLbls>
            <c:delete val="1"/>
          </c:dLbls>
          <c:cat>
            <c:strRef>
              <c:f>Sheet1!$A$2:$A$3</c:f>
              <c:strCache>
                <c:ptCount val="2"/>
                <c:pt idx="0">
                  <c:v>2018年</c:v>
                </c:pt>
                <c:pt idx="1">
                  <c:v>2017年</c:v>
                </c:pt>
              </c:strCache>
            </c:strRef>
          </c:cat>
          <c:val>
            <c:numRef>
              <c:f>Sheet1!$B$2:$B$3</c:f>
              <c:numCache>
                <c:formatCode>General</c:formatCode>
                <c:ptCount val="2"/>
                <c:pt idx="0">
                  <c:v>841.85</c:v>
                </c:pt>
                <c:pt idx="1">
                  <c:v>810.52</c:v>
                </c:pt>
              </c:numCache>
            </c:numRef>
          </c:val>
        </c:ser>
        <c:ser>
          <c:idx val="1"/>
          <c:order val="1"/>
          <c:tx>
            <c:strRef>
              <c:f>Sheet1!$C$1</c:f>
              <c:strCache>
                <c:ptCount val="1"/>
                <c:pt idx="0">
                  <c:v>支出</c:v>
                </c:pt>
              </c:strCache>
            </c:strRef>
          </c:tx>
          <c:spPr>
            <a:solidFill>
              <a:schemeClr val="accent2"/>
            </a:solidFill>
            <a:ln>
              <a:noFill/>
            </a:ln>
            <a:effectLst/>
          </c:spPr>
          <c:invertIfNegative val="0"/>
          <c:dLbls>
            <c:delete val="1"/>
          </c:dLbls>
          <c:cat>
            <c:strRef>
              <c:f>Sheet1!$A$2:$A$3</c:f>
              <c:strCache>
                <c:ptCount val="2"/>
                <c:pt idx="0">
                  <c:v>2018年</c:v>
                </c:pt>
                <c:pt idx="1">
                  <c:v>2017年</c:v>
                </c:pt>
              </c:strCache>
            </c:strRef>
          </c:cat>
          <c:val>
            <c:numRef>
              <c:f>Sheet1!$C$2:$C$3</c:f>
              <c:numCache>
                <c:formatCode>General</c:formatCode>
                <c:ptCount val="2"/>
                <c:pt idx="0">
                  <c:v>832.29</c:v>
                </c:pt>
                <c:pt idx="1">
                  <c:v>798.96</c:v>
                </c:pt>
              </c:numCache>
            </c:numRef>
          </c:val>
        </c:ser>
        <c:dLbls>
          <c:showLegendKey val="0"/>
          <c:showVal val="0"/>
          <c:showCatName val="0"/>
          <c:showSerName val="0"/>
          <c:showPercent val="0"/>
          <c:showBubbleSize val="0"/>
        </c:dLbls>
        <c:gapWidth val="219"/>
        <c:overlap val="-27"/>
        <c:axId val="482975292"/>
        <c:axId val="24843999"/>
        <c:extLst>
          <c:ext xmlns:c15="http://schemas.microsoft.com/office/drawing/2012/chart" uri="{02D57815-91ED-43cb-92C2-25804820EDAC}">
            <c15:filteredBarSeries>
              <c15:ser>
                <c:idx val="2"/>
                <c:order val="2"/>
                <c:tx>
                  <c:strRef>
                    <c:extLst>
                      <c:ext uri="{02D57815-91ED-43cb-92C2-25804820EDAC}">
                        <c15:formulaRef>
                          <c15:sqref>Sheet1!#REF!</c15:sqref>
                        </c15:formulaRef>
                      </c:ext>
                    </c:extLst>
                    <c:strCache>
                      <c:ptCount val="1"/>
                      <c:pt idx="0">
                        <c:v/>
                      </c:pt>
                    </c:strCache>
                  </c:strRef>
                </c:tx>
                <c:spPr>
                  <a:solidFill>
                    <a:schemeClr val="accent3"/>
                  </a:solidFill>
                  <a:ln>
                    <a:noFill/>
                  </a:ln>
                  <a:effectLst/>
                </c:spPr>
                <c:invertIfNegative val="0"/>
                <c:dLbls>
                  <c:delete val="1"/>
                </c:dLbls>
                <c:cat>
                  <c:strRef>
                    <c:extLst>
                      <c:ext uri="{02D57815-91ED-43cb-92C2-25804820EDAC}">
                        <c15:fullRef>
                          <c15:sqref/>
                        </c15:fullRef>
                        <c15:formulaRef>
                          <c15:sqref>Sheet1!$A$2:$A$3</c15:sqref>
                        </c15:formulaRef>
                      </c:ext>
                    </c:extLst>
                    <c:strCache>
                      <c:ptCount val="2"/>
                      <c:pt idx="0">
                        <c:v>2018年</c:v>
                      </c:pt>
                      <c:pt idx="1">
                        <c:v>2017年</c:v>
                      </c:pt>
                    </c:strCache>
                  </c:strRef>
                </c:cat>
                <c:val>
                  <c:numRef>
                    <c:extLst>
                      <c:ext uri="{02D57815-91ED-43cb-92C2-25804820EDAC}">
                        <c15:formulaRef>
                          <c15:sqref>Sheet1!#REF!</c15:sqref>
                        </c15:formulaRef>
                      </c:ext>
                    </c:extLst>
                    <c:numCache>
                      <c:formatCode>General</c:formatCode>
                      <c:ptCount val="1"/>
                      <c:pt idx="0">
                        <c:v>1</c:v>
                      </c:pt>
                    </c:numCache>
                  </c:numRef>
                </c:val>
              </c15:ser>
            </c15:filteredBarSeries>
          </c:ext>
        </c:extLst>
      </c:barChart>
      <c:catAx>
        <c:axId val="48297529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843999"/>
        <c:crosses val="autoZero"/>
        <c:auto val="1"/>
        <c:lblAlgn val="ctr"/>
        <c:lblOffset val="100"/>
        <c:noMultiLvlLbl val="0"/>
      </c:catAx>
      <c:valAx>
        <c:axId val="248439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297529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c:f>
              <c:strCache>
                <c:ptCount val="1"/>
                <c:pt idx="0">
                  <c:v>一般公共预算财政拨款收入</c:v>
                </c:pt>
              </c:strCache>
            </c:strRef>
          </c:cat>
          <c:val>
            <c:numRef>
              <c:f>Sheet1!$B$2</c:f>
              <c:numCache>
                <c:formatCode>General</c:formatCode>
                <c:ptCount val="1"/>
                <c:pt idx="0">
                  <c:v>841.85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524.13</c:v>
                </c:pt>
                <c:pt idx="1">
                  <c:v>308.16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2018年</c:v>
                </c:pt>
              </c:strCache>
            </c:strRef>
          </c:tx>
          <c:spPr>
            <a:solidFill>
              <a:schemeClr val="accent1"/>
            </a:solidFill>
            <a:ln>
              <a:noFill/>
            </a:ln>
            <a:effectLst/>
          </c:spPr>
          <c:invertIfNegative val="0"/>
          <c:dLbls>
            <c:delete val="1"/>
          </c:dLbls>
          <c:cat>
            <c:strRef>
              <c:f>Sheet1!$A$2:$A$3</c:f>
              <c:strCache>
                <c:ptCount val="2"/>
                <c:pt idx="0">
                  <c:v>收入</c:v>
                </c:pt>
                <c:pt idx="1">
                  <c:v>支出</c:v>
                </c:pt>
              </c:strCache>
            </c:strRef>
          </c:cat>
          <c:val>
            <c:numRef>
              <c:f>Sheet1!$B$2:$B$3</c:f>
              <c:numCache>
                <c:formatCode>General</c:formatCode>
                <c:ptCount val="2"/>
                <c:pt idx="0">
                  <c:v>841.85</c:v>
                </c:pt>
                <c:pt idx="1">
                  <c:v>832.29</c:v>
                </c:pt>
              </c:numCache>
            </c:numRef>
          </c:val>
        </c:ser>
        <c:ser>
          <c:idx val="1"/>
          <c:order val="1"/>
          <c:tx>
            <c:strRef>
              <c:f>Sheet1!$C$1</c:f>
              <c:strCache>
                <c:ptCount val="1"/>
                <c:pt idx="0">
                  <c:v>2017年</c:v>
                </c:pt>
              </c:strCache>
            </c:strRef>
          </c:tx>
          <c:spPr>
            <a:solidFill>
              <a:schemeClr val="accent2"/>
            </a:solidFill>
            <a:ln>
              <a:noFill/>
            </a:ln>
            <a:effectLst/>
          </c:spPr>
          <c:invertIfNegative val="0"/>
          <c:dLbls>
            <c:delete val="1"/>
          </c:dLbls>
          <c:cat>
            <c:strRef>
              <c:f>Sheet1!$A$2:$A$3</c:f>
              <c:strCache>
                <c:ptCount val="2"/>
                <c:pt idx="0">
                  <c:v>收入</c:v>
                </c:pt>
                <c:pt idx="1">
                  <c:v>支出</c:v>
                </c:pt>
              </c:strCache>
            </c:strRef>
          </c:cat>
          <c:val>
            <c:numRef>
              <c:f>Sheet1!$C$2:$C$3</c:f>
              <c:numCache>
                <c:formatCode>General</c:formatCode>
                <c:ptCount val="2"/>
                <c:pt idx="0">
                  <c:v>810.52</c:v>
                </c:pt>
                <c:pt idx="1">
                  <c:v>798.96</c:v>
                </c:pt>
              </c:numCache>
            </c:numRef>
          </c:val>
        </c:ser>
        <c:dLbls>
          <c:showLegendKey val="0"/>
          <c:showVal val="0"/>
          <c:showCatName val="0"/>
          <c:showSerName val="0"/>
          <c:showPercent val="0"/>
          <c:showBubbleSize val="0"/>
        </c:dLbls>
        <c:gapWidth val="219"/>
        <c:overlap val="-27"/>
        <c:axId val="498384464"/>
        <c:axId val="626549975"/>
      </c:barChart>
      <c:catAx>
        <c:axId val="49838446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26549975"/>
        <c:crosses val="autoZero"/>
        <c:auto val="1"/>
        <c:lblAlgn val="ctr"/>
        <c:lblOffset val="100"/>
        <c:noMultiLvlLbl val="0"/>
      </c:catAx>
      <c:valAx>
        <c:axId val="6265499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838446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2018年</c:v>
                </c:pt>
              </c:strCache>
            </c:strRef>
          </c:tx>
          <c:spPr>
            <a:solidFill>
              <a:schemeClr val="accent1"/>
            </a:solidFill>
            <a:ln>
              <a:noFill/>
            </a:ln>
            <a:effectLst/>
          </c:spPr>
          <c:invertIfNegative val="0"/>
          <c:dLbls>
            <c:delete val="1"/>
          </c:dLbls>
          <c:cat>
            <c:strRef>
              <c:f>Sheet1!$A$2</c:f>
              <c:strCache>
                <c:ptCount val="1"/>
                <c:pt idx="0">
                  <c:v>支出</c:v>
                </c:pt>
              </c:strCache>
            </c:strRef>
          </c:cat>
          <c:val>
            <c:numRef>
              <c:f>Sheet1!$B$2</c:f>
              <c:numCache>
                <c:formatCode>General</c:formatCode>
                <c:ptCount val="1"/>
                <c:pt idx="0">
                  <c:v>832.29</c:v>
                </c:pt>
              </c:numCache>
            </c:numRef>
          </c:val>
        </c:ser>
        <c:ser>
          <c:idx val="1"/>
          <c:order val="1"/>
          <c:tx>
            <c:strRef>
              <c:f>Sheet1!$C$1</c:f>
              <c:strCache>
                <c:ptCount val="1"/>
                <c:pt idx="0">
                  <c:v>2017年</c:v>
                </c:pt>
              </c:strCache>
            </c:strRef>
          </c:tx>
          <c:spPr>
            <a:solidFill>
              <a:schemeClr val="accent2"/>
            </a:solidFill>
            <a:ln>
              <a:noFill/>
            </a:ln>
            <a:effectLst/>
          </c:spPr>
          <c:invertIfNegative val="0"/>
          <c:dLbls>
            <c:delete val="1"/>
          </c:dLbls>
          <c:cat>
            <c:strRef>
              <c:f>Sheet1!$A$2</c:f>
              <c:strCache>
                <c:ptCount val="1"/>
                <c:pt idx="0">
                  <c:v>支出</c:v>
                </c:pt>
              </c:strCache>
            </c:strRef>
          </c:cat>
          <c:val>
            <c:numRef>
              <c:f>Sheet1!$C$2</c:f>
              <c:numCache>
                <c:formatCode>General</c:formatCode>
                <c:ptCount val="1"/>
                <c:pt idx="0">
                  <c:v>798.96</c:v>
                </c:pt>
              </c:numCache>
            </c:numRef>
          </c:val>
        </c:ser>
        <c:dLbls>
          <c:showLegendKey val="0"/>
          <c:showVal val="0"/>
          <c:showCatName val="0"/>
          <c:showSerName val="0"/>
          <c:showPercent val="0"/>
          <c:showBubbleSize val="0"/>
        </c:dLbls>
        <c:gapWidth val="219"/>
        <c:overlap val="-27"/>
        <c:axId val="272964255"/>
        <c:axId val="926133398"/>
      </c:barChart>
      <c:catAx>
        <c:axId val="272964255"/>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26133398"/>
        <c:crosses val="autoZero"/>
        <c:auto val="1"/>
        <c:lblAlgn val="ctr"/>
        <c:lblOffset val="100"/>
        <c:noMultiLvlLbl val="0"/>
      </c:catAx>
      <c:valAx>
        <c:axId val="92613339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296425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一般公共预算财政拨款支出决算结构图</a:t>
            </a:r>
          </a:p>
        </c:rich>
      </c:tx>
      <c:layout>
        <c:manualLayout>
          <c:xMode val="edge"/>
          <c:yMode val="edge"/>
          <c:x val="0.0891080151981183"/>
          <c:y val="0.00692201199815413"/>
        </c:manualLayout>
      </c:layout>
      <c:overlay val="0"/>
      <c:spPr>
        <a:noFill/>
        <a:ln>
          <a:noFill/>
        </a:ln>
        <a:effectLst/>
      </c:spPr>
    </c:title>
    <c:autoTitleDeleted val="0"/>
    <c:plotArea>
      <c:layout/>
      <c:pieChart>
        <c:varyColors val="1"/>
        <c:ser>
          <c:idx val="0"/>
          <c:order val="0"/>
          <c:tx>
            <c:strRef>
              <c:f>Sheet1!$B$1</c:f>
              <c:strCache>
                <c:ptCount val="1"/>
                <c:pt idx="0">
                  <c:v>一般公共预算财政拨款决算支出结构图</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Sheet1!$A$2:$A$5</c:f>
              <c:strCache>
                <c:ptCount val="4"/>
                <c:pt idx="0">
                  <c:v>社会保障和就业</c:v>
                </c:pt>
                <c:pt idx="1">
                  <c:v>医疗卫生支出</c:v>
                </c:pt>
                <c:pt idx="2">
                  <c:v>资源勘探信息支出</c:v>
                </c:pt>
                <c:pt idx="3">
                  <c:v>住房保障支出</c:v>
                </c:pt>
              </c:strCache>
            </c:strRef>
          </c:cat>
          <c:val>
            <c:numRef>
              <c:f>Sheet1!$B$2:$B$5</c:f>
              <c:numCache>
                <c:formatCode>General</c:formatCode>
                <c:ptCount val="4"/>
                <c:pt idx="0">
                  <c:v>43.8</c:v>
                </c:pt>
                <c:pt idx="1">
                  <c:v>22.45</c:v>
                </c:pt>
                <c:pt idx="2">
                  <c:v>726.56</c:v>
                </c:pt>
                <c:pt idx="3">
                  <c:v>39.48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manualLayout>
          <c:xMode val="edge"/>
          <c:yMode val="edge"/>
          <c:x val="0.673473555237901"/>
          <c:y val="0.368142681426814"/>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EE963-AE7E-4F3B-BBF1-9AF15C920BB6}">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1441</Words>
  <Characters>8219</Characters>
  <Lines>68</Lines>
  <Paragraphs>19</Paragraphs>
  <TotalTime>14</TotalTime>
  <ScaleCrop>false</ScaleCrop>
  <LinksUpToDate>false</LinksUpToDate>
  <CharactersWithSpaces>9641</CharactersWithSpaces>
  <Application>WPS Office_11.1.0.11360_F1E327BC-269C-435d-A152-05C5408002CA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2019-08-01T01:14:00Z</dcterms:created>
  <dc:creator>张彬茜</dc:creator>
  <cp:lastModifiedBy>Administrator</cp:lastModifiedBy>
  <cp:lastPrinted>2019-08-01T00:48:00Z</cp:lastPrinted>
  <dcterms:modified xsi:type="dcterms:W3CDTF">2022-01-28T04:42:50Z</dcterms:modified>
  <dc:title>四川省***</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2052-11.1.0.11360</vt:lpwstr>
  </property>
  <property fmtid="{D5CDD505-2E9C-101B-9397-08002B2CF9AE}" pid="3" name="ICV">
    <vt:lpwstr>79CE690ABCA9407A8E7A8D84E124AC3A</vt:lpwstr>
  </property>
</Properties>
</file>