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8442"/>
      <w:bookmarkStart w:id="8" w:name="_Toc15396476"/>
      <w:bookmarkStart w:id="9" w:name="_Toc15306268"/>
      <w:bookmarkStart w:id="10" w:name="_Toc15377426"/>
      <w:bookmarkStart w:id="11" w:name="_Toc15377194"/>
      <w:r>
        <w:rPr>
          <w:rFonts w:hint="eastAsia" w:ascii="方正小标宋简体" w:hAnsi="宋体" w:eastAsia="方正小标宋简体"/>
          <w:color w:val="000000"/>
          <w:sz w:val="72"/>
          <w:szCs w:val="72"/>
        </w:rPr>
        <w:t>四川省达州市达川区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金檀镇卫生院部门决算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eastAsia="方正仿宋_GBK"/>
          <w:color w:val="000000"/>
          <w:sz w:val="48"/>
          <w:szCs w:val="48"/>
        </w:rPr>
      </w:pPr>
      <w:r>
        <w:rPr>
          <w:rFonts w:eastAsia="方正仿宋_GBK"/>
          <w:color w:val="000000"/>
          <w:sz w:val="48"/>
          <w:szCs w:val="48"/>
        </w:rPr>
        <w:fldChar w:fldCharType="begin"/>
      </w:r>
      <w:r>
        <w:rPr>
          <w:rFonts w:eastAsia="方正仿宋_GBK"/>
          <w:color w:val="000000"/>
          <w:sz w:val="48"/>
          <w:szCs w:val="48"/>
        </w:rPr>
        <w:instrText xml:space="preserve"> TOC \o "1-2" \h \z \u </w:instrText>
      </w:r>
      <w:r>
        <w:rPr>
          <w:rFonts w:eastAsia="方正仿宋_GBK"/>
          <w:color w:val="000000"/>
          <w:sz w:val="48"/>
          <w:szCs w:val="48"/>
        </w:rPr>
        <w:fldChar w:fldCharType="separate"/>
      </w:r>
    </w:p>
    <w:p>
      <w:pPr>
        <w:pStyle w:val="10"/>
        <w:rPr>
          <w:rFonts w:ascii="方正仿宋_GBK" w:hAnsi="方正仿宋_GBK" w:eastAsia="方正仿宋_GBK" w:cs="方正仿宋_GBK"/>
          <w:sz w:val="32"/>
          <w:szCs w:val="32"/>
        </w:rPr>
      </w:pPr>
      <w:r>
        <w:fldChar w:fldCharType="begin"/>
      </w:r>
      <w:r>
        <w:instrText xml:space="preserve"> HYPERLINK \l "_Toc15396599" </w:instrText>
      </w:r>
      <w:r>
        <w:fldChar w:fldCharType="separate"/>
      </w:r>
      <w:r>
        <w:rPr>
          <w:rStyle w:val="15"/>
          <w:rFonts w:hint="eastAsia" w:ascii="方正仿宋_GBK" w:hAnsi="方正仿宋_GBK" w:eastAsia="方正仿宋_GBK" w:cs="方正仿宋_GBK"/>
          <w:sz w:val="32"/>
          <w:szCs w:val="32"/>
        </w:rPr>
        <w:t>第一部分部门概况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"_Toc15396600" </w:instrText>
      </w:r>
      <w:r>
        <w:fldChar w:fldCharType="separate"/>
      </w:r>
      <w:r>
        <w:rPr>
          <w:rStyle w:val="15"/>
          <w:rFonts w:hint="eastAsia" w:ascii="方正仿宋_GBK" w:hAnsi="方正仿宋_GBK" w:eastAsia="方正仿宋_GBK" w:cs="方正仿宋_GBK"/>
          <w:sz w:val="32"/>
          <w:szCs w:val="32"/>
        </w:rPr>
        <w:t>一、基本职能及主要工作</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"_Toc15396601" </w:instrText>
      </w:r>
      <w:r>
        <w:fldChar w:fldCharType="separate"/>
      </w:r>
      <w:r>
        <w:rPr>
          <w:rStyle w:val="15"/>
          <w:rFonts w:hint="eastAsia" w:ascii="方正仿宋_GBK" w:hAnsi="方正仿宋_GBK" w:eastAsia="方正仿宋_GBK" w:cs="方正仿宋_GBK"/>
          <w:sz w:val="32"/>
          <w:szCs w:val="32"/>
        </w:rPr>
        <w:t>二、机构设置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p>
    <w:p>
      <w:pPr>
        <w:pStyle w:val="10"/>
        <w:rPr>
          <w:rFonts w:ascii="方正仿宋_GBK" w:hAnsi="方正仿宋_GBK" w:eastAsia="方正仿宋_GBK" w:cs="方正仿宋_GBK"/>
          <w:sz w:val="32"/>
          <w:szCs w:val="32"/>
        </w:rPr>
      </w:pPr>
      <w:r>
        <w:fldChar w:fldCharType="begin"/>
      </w:r>
      <w:r>
        <w:instrText xml:space="preserve"> HYPERLINK \l "_Toc15396602" </w:instrText>
      </w:r>
      <w:r>
        <w:fldChar w:fldCharType="separate"/>
      </w:r>
      <w:r>
        <w:rPr>
          <w:rStyle w:val="15"/>
          <w:rFonts w:hint="eastAsia" w:ascii="方正仿宋_GBK" w:hAnsi="方正仿宋_GBK" w:eastAsia="方正仿宋_GBK" w:cs="方正仿宋_GBK"/>
          <w:sz w:val="32"/>
          <w:szCs w:val="32"/>
        </w:rPr>
        <w:t>第二部分 2019年度部门决算情况说明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"_Toc15396603" </w:instrText>
      </w:r>
      <w:r>
        <w:fldChar w:fldCharType="separate"/>
      </w:r>
      <w:r>
        <w:rPr>
          <w:rStyle w:val="15"/>
          <w:rFonts w:hint="eastAsia" w:ascii="方正仿宋_GBK" w:hAnsi="方正仿宋_GBK" w:eastAsia="方正仿宋_GBK" w:cs="方正仿宋_GBK"/>
          <w:bCs/>
          <w:sz w:val="32"/>
          <w:szCs w:val="32"/>
        </w:rPr>
        <w:t>一、</w:t>
      </w:r>
      <w:r>
        <w:rPr>
          <w:rStyle w:val="15"/>
          <w:rFonts w:hint="eastAsia" w:ascii="方正仿宋_GBK" w:hAnsi="方正仿宋_GBK" w:eastAsia="方正仿宋_GBK" w:cs="方正仿宋_GBK"/>
          <w:sz w:val="32"/>
          <w:szCs w:val="32"/>
        </w:rPr>
        <w:t>收</w:t>
      </w:r>
      <w:r>
        <w:rPr>
          <w:rStyle w:val="15"/>
          <w:rFonts w:hint="eastAsia" w:ascii="方正仿宋_GBK" w:hAnsi="方正仿宋_GBK" w:eastAsia="方正仿宋_GBK" w:cs="方正仿宋_GBK"/>
          <w:bCs/>
          <w:sz w:val="32"/>
          <w:szCs w:val="32"/>
        </w:rPr>
        <w:t>入支出决算总体情况说明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"_Toc15396604" </w:instrText>
      </w:r>
      <w:r>
        <w:fldChar w:fldCharType="separate"/>
      </w:r>
      <w:r>
        <w:rPr>
          <w:rStyle w:val="15"/>
          <w:rFonts w:hint="eastAsia" w:ascii="方正仿宋_GBK" w:hAnsi="方正仿宋_GBK" w:eastAsia="方正仿宋_GBK" w:cs="方正仿宋_GBK"/>
          <w:bCs/>
          <w:sz w:val="32"/>
          <w:szCs w:val="32"/>
        </w:rPr>
        <w:t>二、</w:t>
      </w:r>
      <w:r>
        <w:rPr>
          <w:rStyle w:val="15"/>
          <w:rFonts w:hint="eastAsia" w:ascii="方正仿宋_GBK" w:hAnsi="方正仿宋_GBK" w:eastAsia="方正仿宋_GBK" w:cs="方正仿宋_GBK"/>
          <w:sz w:val="32"/>
          <w:szCs w:val="32"/>
        </w:rPr>
        <w:t>收</w:t>
      </w:r>
      <w:r>
        <w:rPr>
          <w:rStyle w:val="15"/>
          <w:rFonts w:hint="eastAsia" w:ascii="方正仿宋_GBK" w:hAnsi="方正仿宋_GBK" w:eastAsia="方正仿宋_GBK" w:cs="方正仿宋_GBK"/>
          <w:bCs/>
          <w:sz w:val="32"/>
          <w:szCs w:val="32"/>
        </w:rPr>
        <w:t>入决算情况说明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"_Toc15396605" </w:instrText>
      </w:r>
      <w:r>
        <w:fldChar w:fldCharType="separate"/>
      </w:r>
      <w:r>
        <w:rPr>
          <w:rStyle w:val="15"/>
          <w:rFonts w:hint="eastAsia" w:ascii="方正仿宋_GBK" w:hAnsi="方正仿宋_GBK" w:eastAsia="方正仿宋_GBK" w:cs="方正仿宋_GBK"/>
          <w:bCs/>
          <w:sz w:val="32"/>
          <w:szCs w:val="32"/>
        </w:rPr>
        <w:t>三、</w:t>
      </w:r>
      <w:r>
        <w:rPr>
          <w:rStyle w:val="15"/>
          <w:rFonts w:hint="eastAsia" w:ascii="方正仿宋_GBK" w:hAnsi="方正仿宋_GBK" w:eastAsia="方正仿宋_GBK" w:cs="方正仿宋_GBK"/>
          <w:sz w:val="32"/>
          <w:szCs w:val="32"/>
        </w:rPr>
        <w:t>支</w:t>
      </w:r>
      <w:r>
        <w:rPr>
          <w:rStyle w:val="15"/>
          <w:rFonts w:hint="eastAsia" w:ascii="方正仿宋_GBK" w:hAnsi="方正仿宋_GBK" w:eastAsia="方正仿宋_GBK" w:cs="方正仿宋_GBK"/>
          <w:bCs/>
          <w:sz w:val="32"/>
          <w:szCs w:val="32"/>
        </w:rPr>
        <w:t>出决算情况说明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"_Toc15396606" </w:instrText>
      </w:r>
      <w:r>
        <w:fldChar w:fldCharType="separate"/>
      </w:r>
      <w:r>
        <w:rPr>
          <w:rStyle w:val="15"/>
          <w:rFonts w:hint="eastAsia" w:ascii="方正仿宋_GBK" w:hAnsi="方正仿宋_GBK" w:eastAsia="方正仿宋_GBK" w:cs="方正仿宋_GBK"/>
          <w:sz w:val="32"/>
          <w:szCs w:val="32"/>
        </w:rPr>
        <w:t>四、财</w:t>
      </w:r>
      <w:r>
        <w:rPr>
          <w:rStyle w:val="15"/>
          <w:rFonts w:hint="eastAsia" w:ascii="方正仿宋_GBK" w:hAnsi="方正仿宋_GBK" w:eastAsia="方正仿宋_GBK" w:cs="方正仿宋_GBK"/>
          <w:bCs/>
          <w:sz w:val="32"/>
          <w:szCs w:val="32"/>
        </w:rPr>
        <w:t>政拨款收入支出决算总体情况说明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"_Toc15396607" </w:instrText>
      </w:r>
      <w:r>
        <w:fldChar w:fldCharType="separate"/>
      </w:r>
      <w:r>
        <w:rPr>
          <w:rStyle w:val="15"/>
          <w:rFonts w:hint="eastAsia" w:ascii="方正仿宋_GBK" w:hAnsi="方正仿宋_GBK" w:eastAsia="方正仿宋_GBK" w:cs="方正仿宋_GBK"/>
          <w:sz w:val="32"/>
          <w:szCs w:val="32"/>
        </w:rPr>
        <w:t>五、一</w:t>
      </w:r>
      <w:r>
        <w:rPr>
          <w:rStyle w:val="15"/>
          <w:rFonts w:hint="eastAsia" w:ascii="方正仿宋_GBK" w:hAnsi="方正仿宋_GBK" w:eastAsia="方正仿宋_GBK" w:cs="方正仿宋_GBK"/>
          <w:bCs/>
          <w:sz w:val="32"/>
          <w:szCs w:val="32"/>
        </w:rPr>
        <w:t>般公共预算财政拨款支出决算情况说明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"_Toc15396608" </w:instrText>
      </w:r>
      <w:r>
        <w:fldChar w:fldCharType="separate"/>
      </w:r>
      <w:r>
        <w:rPr>
          <w:rStyle w:val="15"/>
          <w:rFonts w:hint="eastAsia" w:ascii="方正仿宋_GBK" w:hAnsi="方正仿宋_GBK" w:eastAsia="方正仿宋_GBK" w:cs="方正仿宋_GBK"/>
          <w:sz w:val="32"/>
          <w:szCs w:val="32"/>
        </w:rPr>
        <w:t>六、一</w:t>
      </w:r>
      <w:r>
        <w:rPr>
          <w:rStyle w:val="15"/>
          <w:rFonts w:hint="eastAsia" w:ascii="方正仿宋_GBK" w:hAnsi="方正仿宋_GBK" w:eastAsia="方正仿宋_GBK" w:cs="方正仿宋_GBK"/>
          <w:bCs/>
          <w:sz w:val="32"/>
          <w:szCs w:val="32"/>
        </w:rPr>
        <w:t>般公共预算财政拨款基本支出决算情况说明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"_Toc15396609" </w:instrText>
      </w:r>
      <w:r>
        <w:fldChar w:fldCharType="separate"/>
      </w:r>
      <w:r>
        <w:rPr>
          <w:rStyle w:val="15"/>
          <w:rFonts w:hint="eastAsia" w:ascii="方正仿宋_GBK" w:hAnsi="方正仿宋_GBK" w:eastAsia="方正仿宋_GBK" w:cs="方正仿宋_GBK"/>
          <w:sz w:val="32"/>
          <w:szCs w:val="32"/>
        </w:rPr>
        <w:t>七、“</w:t>
      </w:r>
      <w:r>
        <w:rPr>
          <w:rStyle w:val="15"/>
          <w:rFonts w:hint="eastAsia" w:ascii="方正仿宋_GBK" w:hAnsi="方正仿宋_GBK" w:eastAsia="方正仿宋_GBK" w:cs="方正仿宋_GBK"/>
          <w:bCs/>
          <w:sz w:val="32"/>
          <w:szCs w:val="32"/>
        </w:rPr>
        <w:t>三公”经费财政拨款支出决算情况说明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"_Toc15396610" </w:instrText>
      </w:r>
      <w:r>
        <w:fldChar w:fldCharType="separate"/>
      </w:r>
      <w:r>
        <w:rPr>
          <w:rStyle w:val="15"/>
          <w:rFonts w:hint="eastAsia" w:ascii="方正仿宋_GBK" w:hAnsi="方正仿宋_GBK" w:eastAsia="方正仿宋_GBK" w:cs="方正仿宋_GBK"/>
          <w:sz w:val="32"/>
          <w:szCs w:val="32"/>
        </w:rPr>
        <w:t>八、</w:t>
      </w:r>
      <w:r>
        <w:rPr>
          <w:rStyle w:val="15"/>
          <w:rFonts w:hint="eastAsia" w:ascii="方正仿宋_GBK" w:hAnsi="方正仿宋_GBK" w:eastAsia="方正仿宋_GBK" w:cs="方正仿宋_GBK"/>
          <w:bCs/>
          <w:sz w:val="32"/>
          <w:szCs w:val="32"/>
        </w:rPr>
        <w:t>政府性基金预算支出决算情况说明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"_Toc15396611" </w:instrText>
      </w:r>
      <w:r>
        <w:fldChar w:fldCharType="separate"/>
      </w:r>
      <w:r>
        <w:rPr>
          <w:rStyle w:val="15"/>
          <w:rFonts w:hint="eastAsia" w:ascii="方正仿宋_GBK" w:hAnsi="方正仿宋_GBK" w:eastAsia="方正仿宋_GBK" w:cs="方正仿宋_GBK"/>
          <w:bCs/>
          <w:sz w:val="32"/>
          <w:szCs w:val="32"/>
        </w:rPr>
        <w:t>九、</w:t>
      </w:r>
      <w:r>
        <w:rPr>
          <w:rStyle w:val="15"/>
          <w:rFonts w:hint="eastAsia" w:ascii="方正仿宋_GBK" w:hAnsi="方正仿宋_GBK" w:eastAsia="方正仿宋_GBK" w:cs="方正仿宋_GBK"/>
          <w:sz w:val="32"/>
          <w:szCs w:val="32"/>
        </w:rPr>
        <w:t>国</w:t>
      </w:r>
      <w:r>
        <w:rPr>
          <w:rStyle w:val="15"/>
          <w:rFonts w:hint="eastAsia" w:ascii="方正仿宋_GBK" w:hAnsi="方正仿宋_GBK" w:eastAsia="方正仿宋_GBK" w:cs="方正仿宋_GBK"/>
          <w:bCs/>
          <w:sz w:val="32"/>
          <w:szCs w:val="32"/>
        </w:rPr>
        <w:t>有资本经营预算支出决算情况说明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"_Toc15396612" </w:instrText>
      </w:r>
      <w:r>
        <w:fldChar w:fldCharType="separate"/>
      </w:r>
      <w:r>
        <w:rPr>
          <w:rStyle w:val="15"/>
          <w:rFonts w:hint="eastAsia" w:ascii="方正仿宋_GBK" w:hAnsi="方正仿宋_GBK" w:eastAsia="方正仿宋_GBK" w:cs="方正仿宋_GBK"/>
          <w:sz w:val="32"/>
          <w:szCs w:val="32"/>
        </w:rPr>
        <w:t>十</w:t>
      </w:r>
      <w:r>
        <w:rPr>
          <w:rStyle w:val="15"/>
          <w:rFonts w:hint="eastAsia" w:ascii="方正仿宋_GBK" w:hAnsi="方正仿宋_GBK" w:eastAsia="方正仿宋_GBK" w:cs="方正仿宋_GBK"/>
          <w:bCs/>
          <w:sz w:val="32"/>
          <w:szCs w:val="32"/>
        </w:rPr>
        <w:t>一、其他重要事项的情况说明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p>
    <w:p>
      <w:pPr>
        <w:pStyle w:val="10"/>
        <w:rPr>
          <w:rFonts w:ascii="方正仿宋_GBK" w:hAnsi="方正仿宋_GBK" w:eastAsia="方正仿宋_GBK" w:cs="方正仿宋_GBK"/>
          <w:sz w:val="32"/>
          <w:szCs w:val="32"/>
        </w:rPr>
      </w:pPr>
      <w:r>
        <w:fldChar w:fldCharType="begin"/>
      </w:r>
      <w:r>
        <w:instrText xml:space="preserve"> HYPERLINK \l "_Toc15396613" </w:instrText>
      </w:r>
      <w:r>
        <w:fldChar w:fldCharType="separate"/>
      </w:r>
      <w:r>
        <w:rPr>
          <w:rStyle w:val="15"/>
          <w:rFonts w:hint="eastAsia" w:ascii="方正仿宋_GBK" w:hAnsi="方正仿宋_GBK" w:eastAsia="方正仿宋_GBK" w:cs="方正仿宋_GBK"/>
          <w:bCs/>
          <w:kern w:val="44"/>
          <w:sz w:val="32"/>
          <w:szCs w:val="32"/>
        </w:rPr>
        <w:t>第三部分</w:t>
      </w:r>
      <w:r>
        <w:rPr>
          <w:rStyle w:val="15"/>
          <w:rFonts w:hint="eastAsia" w:ascii="方正仿宋_GBK" w:hAnsi="方正仿宋_GBK" w:eastAsia="方正仿宋_GBK" w:cs="方正仿宋_GBK"/>
          <w:sz w:val="32"/>
          <w:szCs w:val="32"/>
        </w:rPr>
        <w:t>名</w:t>
      </w:r>
      <w:r>
        <w:rPr>
          <w:rStyle w:val="15"/>
          <w:rFonts w:hint="eastAsia" w:ascii="方正仿宋_GBK" w:hAnsi="方正仿宋_GBK" w:eastAsia="方正仿宋_GBK" w:cs="方正仿宋_GBK"/>
          <w:bCs/>
          <w:kern w:val="44"/>
          <w:sz w:val="32"/>
          <w:szCs w:val="32"/>
        </w:rPr>
        <w:t>词解释</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p>
    <w:p>
      <w:pPr>
        <w:pStyle w:val="10"/>
        <w:rPr>
          <w:rFonts w:ascii="方正仿宋_GBK" w:hAnsi="方正仿宋_GBK" w:eastAsia="方正仿宋_GBK" w:cs="方正仿宋_GBK"/>
          <w:sz w:val="32"/>
          <w:szCs w:val="32"/>
        </w:rPr>
      </w:pPr>
      <w:r>
        <w:fldChar w:fldCharType="begin"/>
      </w:r>
      <w:r>
        <w:instrText xml:space="preserve"> HYPERLINK \l "_Toc15396614" </w:instrText>
      </w:r>
      <w:r>
        <w:fldChar w:fldCharType="separate"/>
      </w:r>
      <w:r>
        <w:rPr>
          <w:rStyle w:val="15"/>
          <w:rFonts w:hint="eastAsia" w:ascii="方正仿宋_GBK" w:hAnsi="方正仿宋_GBK" w:eastAsia="方正仿宋_GBK" w:cs="方正仿宋_GBK"/>
          <w:sz w:val="32"/>
          <w:szCs w:val="32"/>
        </w:rPr>
        <w:t>第</w:t>
      </w:r>
      <w:r>
        <w:rPr>
          <w:rStyle w:val="15"/>
          <w:rFonts w:hint="eastAsia" w:ascii="方正仿宋_GBK" w:hAnsi="方正仿宋_GBK" w:eastAsia="方正仿宋_GBK" w:cs="方正仿宋_GBK"/>
          <w:bCs/>
          <w:kern w:val="44"/>
          <w:sz w:val="32"/>
          <w:szCs w:val="32"/>
        </w:rPr>
        <w:t>四部分附件</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15</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"_Toc15396615" </w:instrText>
      </w:r>
      <w:r>
        <w:fldChar w:fldCharType="separate"/>
      </w:r>
      <w:r>
        <w:rPr>
          <w:rStyle w:val="15"/>
          <w:rFonts w:hint="eastAsia" w:ascii="方正仿宋_GBK" w:hAnsi="方正仿宋_GBK" w:eastAsia="方正仿宋_GBK" w:cs="方正仿宋_GBK"/>
          <w:kern w:val="44"/>
          <w:sz w:val="32"/>
          <w:szCs w:val="32"/>
        </w:rPr>
        <w:t>附件1</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15</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fldChar w:fldCharType="begin"/>
      </w:r>
      <w:r>
        <w:instrText xml:space="preserve"> HYPERLINK \l "_Toc15396617" </w:instrText>
      </w:r>
      <w:r>
        <w:fldChar w:fldCharType="separate"/>
      </w:r>
      <w:r>
        <w:rPr>
          <w:rStyle w:val="15"/>
          <w:rFonts w:hint="eastAsia" w:ascii="方正仿宋_GBK" w:hAnsi="方正仿宋_GBK" w:eastAsia="方正仿宋_GBK" w:cs="方正仿宋_GBK"/>
          <w:kern w:val="44"/>
          <w:sz w:val="32"/>
          <w:szCs w:val="32"/>
        </w:rPr>
        <w:t>附件2</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16</w:t>
      </w:r>
      <w:r>
        <w:rPr>
          <w:rFonts w:hint="eastAsia" w:ascii="方正仿宋_GBK" w:hAnsi="方正仿宋_GBK" w:eastAsia="方正仿宋_GBK" w:cs="方正仿宋_GBK"/>
          <w:sz w:val="32"/>
          <w:szCs w:val="32"/>
        </w:rPr>
        <w:fldChar w:fldCharType="end"/>
      </w:r>
    </w:p>
    <w:p>
      <w:pPr>
        <w:pStyle w:val="10"/>
        <w:rPr>
          <w:rFonts w:ascii="方正仿宋_GBK" w:hAnsi="方正仿宋_GBK" w:eastAsia="方正仿宋_GBK" w:cs="方正仿宋_GBK"/>
          <w:sz w:val="32"/>
          <w:szCs w:val="32"/>
        </w:rPr>
      </w:pPr>
      <w:r>
        <w:fldChar w:fldCharType="begin"/>
      </w:r>
      <w:r>
        <w:instrText xml:space="preserve"> HYPERLINK \l "_Toc15396618" </w:instrText>
      </w:r>
      <w:r>
        <w:fldChar w:fldCharType="separate"/>
      </w:r>
      <w:r>
        <w:rPr>
          <w:rStyle w:val="15"/>
          <w:rFonts w:hint="eastAsia" w:ascii="方正仿宋_GBK" w:hAnsi="方正仿宋_GBK" w:eastAsia="方正仿宋_GBK" w:cs="方正仿宋_GBK"/>
          <w:sz w:val="32"/>
          <w:szCs w:val="32"/>
        </w:rPr>
        <w:t>第</w:t>
      </w:r>
      <w:r>
        <w:rPr>
          <w:rStyle w:val="15"/>
          <w:rFonts w:hint="eastAsia" w:ascii="方正仿宋_GBK" w:hAnsi="方正仿宋_GBK" w:eastAsia="方正仿宋_GBK" w:cs="方正仿宋_GBK"/>
          <w:bCs/>
          <w:kern w:val="44"/>
          <w:sz w:val="32"/>
          <w:szCs w:val="32"/>
        </w:rPr>
        <w:t>五部分附表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"_Toc15396619"</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收入支出决算总表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"_Toc15396620"</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收入总表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fldChar w:fldCharType="begin"/>
      </w:r>
      <w:r>
        <w:instrText xml:space="preserve"> HYPERLINK \l "_Toc15396621" </w:instrText>
      </w:r>
      <w:r>
        <w:fldChar w:fldCharType="separate"/>
      </w:r>
      <w:r>
        <w:rPr>
          <w:rStyle w:val="15"/>
          <w:rFonts w:hint="eastAsia" w:ascii="方正仿宋_GBK" w:hAnsi="方正仿宋_GBK" w:eastAsia="方正仿宋_GBK" w:cs="方正仿宋_GBK"/>
          <w:sz w:val="32"/>
          <w:szCs w:val="32"/>
        </w:rPr>
        <w:t>支出总表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"_Toc15396622"</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财政拨款收入支出决算总表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w:t>
      </w:r>
      <w:r>
        <w:fldChar w:fldCharType="begin"/>
      </w:r>
      <w:r>
        <w:instrText xml:space="preserve"> HYPERLINK \l "_Toc15396623" </w:instrText>
      </w:r>
      <w:r>
        <w:fldChar w:fldCharType="separate"/>
      </w:r>
      <w:r>
        <w:rPr>
          <w:rFonts w:hint="eastAsia" w:ascii="方正仿宋_GBK" w:hAnsi="方正仿宋_GBK" w:eastAsia="方正仿宋_GBK" w:cs="方正仿宋_GBK"/>
          <w:sz w:val="32"/>
          <w:szCs w:val="32"/>
        </w:rPr>
        <w:t>财政拨款支出决算明细表（政府经济分类科目）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"_Toc15396624"</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一般公共预算财政拨款支出决算表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w:t>
      </w:r>
      <w:r>
        <w:fldChar w:fldCharType="begin"/>
      </w:r>
      <w:r>
        <w:instrText xml:space="preserve"> HYPERLINK \l "_Toc15396625" </w:instrText>
      </w:r>
      <w:r>
        <w:fldChar w:fldCharType="separate"/>
      </w:r>
      <w:r>
        <w:rPr>
          <w:rStyle w:val="15"/>
          <w:rFonts w:hint="eastAsia" w:ascii="方正仿宋_GBK" w:hAnsi="方正仿宋_GBK" w:eastAsia="方正仿宋_GBK" w:cs="方正仿宋_GBK"/>
          <w:sz w:val="32"/>
          <w:szCs w:val="32"/>
        </w:rPr>
        <w:t>一般公共预算财政拨款支出决算明细表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"_Toc15396626"</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一般公共预算财政拨款基本支出决算表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w:t>
      </w:r>
      <w:r>
        <w:fldChar w:fldCharType="begin"/>
      </w:r>
      <w:r>
        <w:instrText xml:space="preserve"> HYPERLINK \l "_Toc15396627" </w:instrText>
      </w:r>
      <w:r>
        <w:fldChar w:fldCharType="separate"/>
      </w:r>
      <w:r>
        <w:rPr>
          <w:rStyle w:val="15"/>
          <w:rFonts w:hint="eastAsia" w:ascii="方正仿宋_GBK" w:hAnsi="方正仿宋_GBK" w:eastAsia="方正仿宋_GBK" w:cs="方正仿宋_GBK"/>
          <w:sz w:val="32"/>
          <w:szCs w:val="32"/>
        </w:rPr>
        <w:t>一般公共预算财政拨款项目支出决算表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"_Toc15396628"</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一般公共预算财政拨款“三公”经费支出决算表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w:t>
      </w:r>
      <w:r>
        <w:fldChar w:fldCharType="begin"/>
      </w:r>
      <w:r>
        <w:instrText xml:space="preserve"> HYPERLINK \l "_Toc15396629" </w:instrText>
      </w:r>
      <w:r>
        <w:fldChar w:fldCharType="separate"/>
      </w:r>
      <w:r>
        <w:rPr>
          <w:rStyle w:val="15"/>
          <w:rFonts w:hint="eastAsia" w:ascii="方正仿宋_GBK" w:hAnsi="方正仿宋_GBK" w:eastAsia="方正仿宋_GBK" w:cs="方正仿宋_GBK"/>
          <w:sz w:val="32"/>
          <w:szCs w:val="32"/>
        </w:rPr>
        <w:t>政府性基金预算财政拨款收入支出决算表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pStyle w:val="1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"_Toc15396630"</w:instrText>
      </w:r>
      <w:r>
        <w:rPr>
          <w:rFonts w:hint="eastAsia" w:ascii="方正仿宋_GBK" w:hAnsi="方正仿宋_GBK" w:eastAsia="方正仿宋_GBK" w:cs="方正仿宋_GBK"/>
          <w:sz w:val="32"/>
          <w:szCs w:val="32"/>
        </w:rPr>
        <w:fldChar w:fldCharType="separate"/>
      </w:r>
      <w:r>
        <w:rPr>
          <w:rStyle w:val="15"/>
          <w:rFonts w:hint="eastAsia" w:ascii="方正仿宋_GBK" w:hAnsi="方正仿宋_GBK" w:eastAsia="方正仿宋_GBK" w:cs="方正仿宋_GBK"/>
          <w:sz w:val="32"/>
          <w:szCs w:val="32"/>
        </w:rPr>
        <w:t>政府性基金预算财政拨款“三公”经费支出决算表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_Toc15396630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rPr>
          <w:rFonts w:eastAsia="方正仿宋_GBK"/>
          <w:sz w:val="24"/>
        </w:rPr>
      </w:pPr>
      <w:r>
        <w:rPr>
          <w:rFonts w:hint="eastAsia" w:ascii="方正仿宋_GBK" w:hAnsi="方正仿宋_GBK" w:eastAsia="方正仿宋_GBK" w:cs="方正仿宋_GBK"/>
          <w:sz w:val="32"/>
          <w:szCs w:val="32"/>
        </w:rPr>
        <w:t>十三、</w:t>
      </w:r>
      <w:r>
        <w:fldChar w:fldCharType="begin"/>
      </w:r>
      <w:r>
        <w:instrText xml:space="preserve"> HYPERLINK \l "_Toc15396631" </w:instrText>
      </w:r>
      <w:r>
        <w:fldChar w:fldCharType="separate"/>
      </w:r>
      <w:r>
        <w:rPr>
          <w:rStyle w:val="15"/>
          <w:rFonts w:hint="eastAsia" w:ascii="方正仿宋_GBK" w:hAnsi="方正仿宋_GBK" w:eastAsia="方正仿宋_GBK" w:cs="方正仿宋_GBK"/>
          <w:sz w:val="32"/>
          <w:szCs w:val="32"/>
        </w:rPr>
        <w:t>国有资本经营预算支出决算表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p>
    <w:p>
      <w:pPr>
        <w:widowControl/>
        <w:jc w:val="left"/>
        <w:rPr>
          <w:rFonts w:ascii="仿宋" w:hAnsi="仿宋" w:eastAsia="仿宋"/>
          <w:color w:val="000000"/>
          <w:sz w:val="24"/>
        </w:rPr>
      </w:pPr>
      <w:r>
        <w:rPr>
          <w:rFonts w:eastAsia="方正仿宋_GBK"/>
          <w:color w:val="000000"/>
          <w:sz w:val="48"/>
          <w:szCs w:val="48"/>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16"/>
          <w:rFonts w:ascii="方正小标宋_GBK" w:hAnsi="方正小标宋_GBK" w:eastAsia="方正小标宋_GBK"/>
          <w:b/>
          <w:bCs w:val="0"/>
        </w:rPr>
      </w:pPr>
      <w:r>
        <w:rPr>
          <w:rFonts w:hint="eastAsia" w:ascii="方正小标宋_GBK" w:hAnsi="方正小标宋_GBK" w:eastAsia="方正小标宋_GBK"/>
          <w:b w:val="0"/>
        </w:rPr>
        <w:t>第一部分</w:t>
      </w:r>
      <w:r>
        <w:rPr>
          <w:rStyle w:val="16"/>
          <w:rFonts w:hint="eastAsia" w:ascii="方正小标宋_GBK" w:hAnsi="方正小标宋_GBK" w:eastAsia="方正小标宋_GBK"/>
          <w:b w:val="0"/>
          <w:bCs w:val="0"/>
        </w:rPr>
        <w:t>部门概况</w:t>
      </w:r>
      <w:bookmarkEnd w:id="12"/>
      <w:bookmarkEnd w:id="13"/>
    </w:p>
    <w:p>
      <w:pPr>
        <w:widowControl/>
        <w:jc w:val="left"/>
        <w:rPr>
          <w:rFonts w:ascii="黑体" w:eastAsia="黑体"/>
          <w:color w:val="000000"/>
          <w:sz w:val="32"/>
          <w:szCs w:val="32"/>
        </w:rPr>
      </w:pPr>
    </w:p>
    <w:p>
      <w:pPr>
        <w:pStyle w:val="3"/>
        <w:jc w:val="left"/>
        <w:rPr>
          <w:rStyle w:val="17"/>
          <w:rFonts w:ascii="黑体" w:hAnsi="黑体" w:eastAsia="黑体" w:cs="黑体"/>
          <w:b w:val="0"/>
          <w:bCs w:val="0"/>
        </w:rPr>
      </w:pPr>
      <w:bookmarkStart w:id="14" w:name="_Toc15377197"/>
      <w:bookmarkStart w:id="15" w:name="_Toc15396600"/>
      <w:r>
        <w:rPr>
          <w:rFonts w:hint="eastAsia" w:ascii="黑体" w:hAnsi="黑体" w:eastAsia="黑体" w:cs="黑体"/>
          <w:color w:val="000000"/>
        </w:rPr>
        <w:t>一、</w:t>
      </w:r>
      <w:r>
        <w:rPr>
          <w:rFonts w:hint="eastAsia" w:ascii="黑体" w:hAnsi="黑体" w:eastAsia="黑体" w:cs="黑体"/>
          <w:b w:val="0"/>
          <w:color w:val="000000"/>
        </w:rPr>
        <w:t>基</w:t>
      </w:r>
      <w:r>
        <w:rPr>
          <w:rStyle w:val="17"/>
          <w:rFonts w:hint="eastAsia" w:ascii="黑体" w:hAnsi="黑体" w:eastAsia="黑体" w:cs="黑体"/>
          <w:b w:val="0"/>
          <w:bCs w:val="0"/>
        </w:rPr>
        <w:t>本职能及主要工作</w:t>
      </w:r>
      <w:bookmarkEnd w:id="14"/>
      <w:bookmarkEnd w:id="15"/>
    </w:p>
    <w:p>
      <w:pPr>
        <w:pStyle w:val="5"/>
        <w:adjustRightInd w:val="0"/>
        <w:snapToGrid w:val="0"/>
        <w:spacing w:before="93" w:line="600" w:lineRule="exact"/>
        <w:ind w:firstLine="672" w:firstLineChars="210"/>
        <w:rPr>
          <w:rFonts w:ascii="方正仿宋_GBK" w:hAnsi="方正仿宋_GBK" w:eastAsia="方正仿宋_GBK" w:cs="方正仿宋_GBK"/>
          <w:bCs/>
          <w:color w:val="000000"/>
          <w:sz w:val="32"/>
          <w:szCs w:val="32"/>
        </w:rPr>
      </w:pPr>
      <w:bookmarkStart w:id="16" w:name="_Toc15377198"/>
      <w:bookmarkStart w:id="17" w:name="_Toc15378445"/>
      <w:r>
        <w:rPr>
          <w:rFonts w:hint="eastAsia" w:ascii="方正仿宋_GBK" w:hAnsi="方正仿宋_GBK" w:eastAsia="方正仿宋_GBK" w:cs="方正仿宋_GBK"/>
          <w:bCs/>
          <w:color w:val="000000"/>
          <w:sz w:val="32"/>
          <w:szCs w:val="32"/>
        </w:rPr>
        <w:t>（一）主要职能。</w:t>
      </w:r>
      <w:bookmarkEnd w:id="16"/>
      <w:bookmarkEnd w:id="17"/>
      <w:r>
        <w:rPr>
          <w:rFonts w:hint="eastAsia" w:ascii="方正仿宋_GBK" w:hAnsi="方正仿宋_GBK" w:eastAsia="方正仿宋_GBK" w:cs="方正仿宋_GBK"/>
          <w:bCs/>
          <w:color w:val="000000"/>
          <w:sz w:val="32"/>
          <w:szCs w:val="32"/>
        </w:rPr>
        <w:t>在地方政府和卫生行政部门领导下，根据党的方针、政策及市、区健局对乡镇卫生服务工作的总体要求、做好乡镇卫生服务行政业务工作，积极开展以保护、促进人民健康，不断提高居民生活质量为目的的卫生保健，认真落实各项卫生工作指标。开展以村为范围，家庭为单位，健康为中心，人的生命为过程的以老年、妇女、儿童和慢性病人为重点的集预防、医疗、保健、康复、健康教育、计划生育指导为一体的综合性医疗卫生服务单位。</w:t>
      </w:r>
    </w:p>
    <w:p>
      <w:pPr>
        <w:ind w:firstLine="640" w:firstLineChars="200"/>
        <w:jc w:val="left"/>
        <w:rPr>
          <w:rFonts w:ascii="方正仿宋_GBK" w:hAnsi="方正仿宋_GBK" w:eastAsia="方正仿宋_GBK" w:cs="方正仿宋_GBK"/>
          <w:sz w:val="32"/>
          <w:szCs w:val="32"/>
        </w:rPr>
      </w:pPr>
      <w:bookmarkStart w:id="18" w:name="_Toc15378446"/>
      <w:bookmarkStart w:id="19" w:name="_Toc15377199"/>
      <w:r>
        <w:rPr>
          <w:rFonts w:hint="eastAsia" w:ascii="方正仿宋_GBK" w:hAnsi="方正仿宋_GBK" w:eastAsia="方正仿宋_GBK" w:cs="方正仿宋_GBK"/>
          <w:bCs/>
          <w:color w:val="000000"/>
          <w:sz w:val="32"/>
          <w:szCs w:val="32"/>
        </w:rPr>
        <w:t>（二）2019年重点工作完成情况。</w:t>
      </w:r>
      <w:bookmarkEnd w:id="18"/>
      <w:bookmarkEnd w:id="19"/>
      <w:bookmarkStart w:id="20" w:name="_Toc15396601"/>
      <w:bookmarkStart w:id="21" w:name="_Toc15377200"/>
      <w:r>
        <w:rPr>
          <w:rFonts w:hint="eastAsia" w:ascii="方正仿宋_GBK" w:hAnsi="方正仿宋_GBK" w:eastAsia="方正仿宋_GBK" w:cs="方正仿宋_GBK"/>
          <w:sz w:val="32"/>
          <w:szCs w:val="32"/>
        </w:rPr>
        <w:t>2019年达川区金檀镇卫生院的卫生工作在区委区政府、区卫健局、镇党委政府的正确领导下，在管村镇中心卫生院的指导下，在各村支两委及广大群众的支持帮助下，按照年初的计划，各项卫生工作基本完成，我院始终坚持“以病人为中心，努力提高医疗服务质量为目的”，在结合贯彻落实党的十九大精神及“</w:t>
      </w:r>
      <w:bookmarkStart w:id="76" w:name="_GoBack"/>
      <w:bookmarkEnd w:id="76"/>
      <w:r>
        <w:rPr>
          <w:rFonts w:hint="eastAsia" w:ascii="方正仿宋_GBK" w:hAnsi="方正仿宋_GBK" w:eastAsia="方正仿宋_GBK" w:cs="方正仿宋_GBK"/>
          <w:sz w:val="32"/>
          <w:szCs w:val="32"/>
        </w:rPr>
        <w:t>不忘初心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牢记使命”主题教育的同时，抓住医疗脱贫攻坚战的挑战机遇，坚持新医改政策的及基本公共卫生及卫生服务模式的转变等新政策。2019年我院完成了对辖区65岁以上老人及重点人群的体检工作等公共卫生服务保障的工作。</w:t>
      </w:r>
    </w:p>
    <w:p>
      <w:pPr>
        <w:ind w:firstLine="640" w:firstLineChars="200"/>
        <w:jc w:val="left"/>
        <w:rPr>
          <w:rStyle w:val="17"/>
          <w:rFonts w:ascii="黑体" w:hAnsi="黑体" w:eastAsia="黑体" w:cs="黑体"/>
        </w:rPr>
      </w:pPr>
      <w:r>
        <w:rPr>
          <w:rFonts w:hint="eastAsia" w:ascii="黑体" w:hAnsi="黑体" w:eastAsia="黑体" w:cs="黑体"/>
          <w:color w:val="000000"/>
          <w:sz w:val="32"/>
          <w:szCs w:val="32"/>
        </w:rPr>
        <w:t>二、机</w:t>
      </w:r>
      <w:r>
        <w:rPr>
          <w:rStyle w:val="17"/>
          <w:rFonts w:hint="eastAsia" w:ascii="黑体" w:hAnsi="黑体" w:eastAsia="黑体" w:cs="黑体"/>
          <w:b w:val="0"/>
          <w:bCs w:val="0"/>
        </w:rPr>
        <w:t>构设置</w:t>
      </w:r>
      <w:bookmarkEnd w:id="20"/>
      <w:bookmarkEnd w:id="21"/>
    </w:p>
    <w:p>
      <w:pPr>
        <w:ind w:firstLine="800" w:firstLineChars="25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达州市达川区金檀镇卫生院是以政府会计制度为记账原则的事业单位，无下属二级单位。2019年年初在编职工14人，年末14人（其中调出1人，调入1人），临聘人员3人。 </w:t>
      </w:r>
    </w:p>
    <w:p>
      <w:pPr>
        <w:widowControl/>
        <w:jc w:val="left"/>
        <w:rPr>
          <w:rFonts w:eastAsia="方正仿宋_GBK"/>
          <w:color w:val="000000"/>
          <w:kern w:val="0"/>
          <w:sz w:val="32"/>
          <w:szCs w:val="32"/>
        </w:rPr>
      </w:pPr>
      <w:r>
        <w:rPr>
          <w:rFonts w:eastAsia="方正仿宋_GBK"/>
          <w:color w:val="000000"/>
          <w:sz w:val="32"/>
          <w:szCs w:val="32"/>
        </w:rPr>
        <w:br w:type="page"/>
      </w:r>
    </w:p>
    <w:p>
      <w:pPr>
        <w:pStyle w:val="2"/>
        <w:ind w:right="440"/>
        <w:jc w:val="right"/>
        <w:rPr>
          <w:rStyle w:val="16"/>
          <w:rFonts w:ascii="方正小标宋_GBK" w:hAnsi="方正小标宋_GBK" w:eastAsia="方正小标宋_GBK"/>
          <w:b w:val="0"/>
          <w:bCs w:val="0"/>
        </w:rPr>
      </w:pPr>
      <w:bookmarkStart w:id="22" w:name="_Toc15377204"/>
      <w:bookmarkStart w:id="23" w:name="_Toc15396602"/>
      <w:r>
        <w:rPr>
          <w:rFonts w:hint="eastAsia" w:ascii="方正小标宋_GBK" w:hAnsi="方正小标宋_GBK" w:eastAsia="方正小标宋_GBK"/>
          <w:b w:val="0"/>
          <w:color w:val="000000"/>
        </w:rPr>
        <w:t>第二部分</w:t>
      </w:r>
      <w:r>
        <w:rPr>
          <w:rStyle w:val="16"/>
          <w:rFonts w:ascii="方正小标宋_GBK" w:hAnsi="方正小标宋_GBK" w:eastAsia="方正小标宋_GBK"/>
          <w:b w:val="0"/>
          <w:bCs w:val="0"/>
        </w:rPr>
        <w:t>201</w:t>
      </w:r>
      <w:r>
        <w:rPr>
          <w:rStyle w:val="16"/>
          <w:rFonts w:hint="eastAsia" w:ascii="方正小标宋_GBK" w:hAnsi="方正小标宋_GBK" w:eastAsia="方正小标宋_GBK"/>
          <w:b w:val="0"/>
          <w:bCs w:val="0"/>
        </w:rPr>
        <w:t>9年度部门决算情况说明</w:t>
      </w:r>
      <w:bookmarkEnd w:id="22"/>
      <w:bookmarkEnd w:id="23"/>
    </w:p>
    <w:p>
      <w:pPr>
        <w:rPr>
          <w:rFonts w:eastAsia="方正仿宋_GBK"/>
        </w:rPr>
      </w:pPr>
    </w:p>
    <w:p>
      <w:pPr>
        <w:pStyle w:val="26"/>
        <w:numPr>
          <w:ilvl w:val="0"/>
          <w:numId w:val="1"/>
        </w:numPr>
        <w:spacing w:line="600" w:lineRule="exact"/>
        <w:ind w:firstLineChars="0"/>
        <w:outlineLvl w:val="1"/>
        <w:rPr>
          <w:rStyle w:val="17"/>
          <w:rFonts w:ascii="黑体" w:hAnsi="黑体" w:eastAsia="黑体" w:cs="黑体"/>
          <w:b w:val="0"/>
        </w:rPr>
      </w:pPr>
      <w:bookmarkStart w:id="24" w:name="_Toc15377205"/>
      <w:bookmarkStart w:id="25" w:name="_Toc15396603"/>
      <w:r>
        <w:rPr>
          <w:rFonts w:hint="eastAsia" w:ascii="黑体" w:hAnsi="黑体" w:eastAsia="黑体" w:cs="黑体"/>
          <w:color w:val="000000"/>
          <w:sz w:val="32"/>
          <w:szCs w:val="32"/>
        </w:rPr>
        <w:t>收</w:t>
      </w:r>
      <w:r>
        <w:rPr>
          <w:rStyle w:val="17"/>
          <w:rFonts w:hint="eastAsia" w:ascii="黑体" w:hAnsi="黑体" w:eastAsia="黑体" w:cs="黑体"/>
          <w:b w:val="0"/>
        </w:rPr>
        <w:t>入支出决算总体情况说明</w:t>
      </w:r>
      <w:bookmarkEnd w:id="24"/>
      <w:bookmarkEnd w:id="25"/>
    </w:p>
    <w:p>
      <w:pPr>
        <w:spacing w:line="60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sz w:val="32"/>
          <w:szCs w:val="32"/>
        </w:rPr>
        <w:t>2019年度收、支总计612.75万元。与2018年相比，收、支总计各增加143.78万元，增长30.65%。</w:t>
      </w:r>
      <w:r>
        <w:rPr>
          <w:rFonts w:hint="eastAsia" w:ascii="方正仿宋_GBK" w:hAnsi="方正仿宋_GBK" w:eastAsia="方正仿宋_GBK" w:cs="方正仿宋_GBK"/>
          <w:color w:val="000000" w:themeColor="text1"/>
          <w:sz w:val="32"/>
          <w:szCs w:val="32"/>
        </w:rPr>
        <w:t>主要变动原因是201年度事业收入未全部统入部门决算表中(2018年事业收入含有医疗纯收入不含有其他医疗收入)，及2019年一般公共预算财政拨款收入的增加。</w:t>
      </w:r>
    </w:p>
    <w:p>
      <w:pPr>
        <w:spacing w:line="600" w:lineRule="exact"/>
        <w:rPr>
          <w:rFonts w:ascii="方正仿宋_GBK" w:hAnsi="方正仿宋_GBK" w:eastAsia="方正仿宋_GBK" w:cs="方正仿宋_GBK"/>
          <w:color w:val="000000"/>
          <w:sz w:val="32"/>
          <w:szCs w:val="32"/>
        </w:rPr>
      </w:pPr>
    </w:p>
    <w:p>
      <w:pPr>
        <w:spacing w:line="600" w:lineRule="exact"/>
        <w:ind w:firstLine="640" w:firstLineChars="200"/>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drawing>
          <wp:anchor distT="0" distB="0" distL="114300" distR="114300" simplePos="0" relativeHeight="251659264" behindDoc="0" locked="0" layoutInCell="1" allowOverlap="1">
            <wp:simplePos x="0" y="0"/>
            <wp:positionH relativeFrom="column">
              <wp:posOffset>416560</wp:posOffset>
            </wp:positionH>
            <wp:positionV relativeFrom="paragraph">
              <wp:posOffset>132080</wp:posOffset>
            </wp:positionV>
            <wp:extent cx="5080000" cy="3810000"/>
            <wp:effectExtent l="4445" t="4445" r="20955" b="1460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方正仿宋_GBK" w:hAnsi="方正仿宋_GBK" w:eastAsia="方正仿宋_GBK" w:cs="方正仿宋_GBK"/>
          <w:color w:val="000000"/>
          <w:sz w:val="32"/>
          <w:szCs w:val="32"/>
        </w:rPr>
        <w:t>（图1：收、支决算总计变动情况图）</w:t>
      </w:r>
    </w:p>
    <w:p>
      <w:pPr>
        <w:spacing w:line="600" w:lineRule="exact"/>
        <w:ind w:firstLine="640" w:firstLineChars="200"/>
        <w:rPr>
          <w:rFonts w:eastAsia="方正仿宋_GBK"/>
          <w:color w:val="000000"/>
          <w:sz w:val="32"/>
          <w:szCs w:val="32"/>
        </w:rPr>
      </w:pPr>
    </w:p>
    <w:p>
      <w:pPr>
        <w:pStyle w:val="26"/>
        <w:numPr>
          <w:ilvl w:val="0"/>
          <w:numId w:val="1"/>
        </w:numPr>
        <w:spacing w:line="600" w:lineRule="exact"/>
        <w:ind w:firstLineChars="0"/>
        <w:outlineLvl w:val="1"/>
        <w:rPr>
          <w:rStyle w:val="17"/>
          <w:rFonts w:ascii="黑体" w:hAnsi="黑体" w:eastAsia="黑体" w:cs="黑体"/>
          <w:b w:val="0"/>
        </w:rPr>
      </w:pPr>
      <w:bookmarkStart w:id="26" w:name="_Toc15396604"/>
      <w:bookmarkStart w:id="27" w:name="_Toc15377206"/>
      <w:r>
        <w:rPr>
          <w:rFonts w:hint="eastAsia" w:ascii="黑体" w:hAnsi="黑体" w:eastAsia="黑体" w:cs="黑体"/>
          <w:color w:val="000000"/>
          <w:sz w:val="32"/>
          <w:szCs w:val="32"/>
        </w:rPr>
        <w:t>收</w:t>
      </w:r>
      <w:r>
        <w:rPr>
          <w:rStyle w:val="17"/>
          <w:rFonts w:hint="eastAsia" w:ascii="黑体" w:hAnsi="黑体" w:eastAsia="黑体" w:cs="黑体"/>
          <w:b w:val="0"/>
        </w:rPr>
        <w:t>入决算情况说明</w:t>
      </w:r>
      <w:bookmarkEnd w:id="26"/>
      <w:bookmarkEnd w:id="27"/>
    </w:p>
    <w:p>
      <w:pPr>
        <w:spacing w:line="600" w:lineRule="exact"/>
        <w:ind w:firstLine="640" w:firstLineChars="200"/>
        <w:outlineLvl w:val="1"/>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本年收入合计546.09万元，其中：一般公共预算财政拨款收入193.52万元，占35.44%；政府性基金预算财政拨款收入0万元，占0%；国有资本经营预算财政拨款收入0万元，占0%；事业收入352.57万元，占64.56%；经营收入0万元，占0%；附属单位上缴收入0万元，占0%；其他收入0万元，占0%。</w:t>
      </w:r>
    </w:p>
    <w:p>
      <w:pPr>
        <w:spacing w:line="600" w:lineRule="exact"/>
        <w:ind w:firstLine="640" w:firstLineChars="200"/>
        <w:outlineLvl w:val="1"/>
        <w:rPr>
          <w:rFonts w:eastAsia="方正仿宋_GBK"/>
          <w:color w:val="000000"/>
          <w:sz w:val="32"/>
          <w:szCs w:val="32"/>
        </w:rPr>
      </w:pPr>
    </w:p>
    <w:p>
      <w:pPr>
        <w:spacing w:line="600" w:lineRule="exact"/>
        <w:jc w:val="center"/>
        <w:outlineLvl w:val="1"/>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drawing>
          <wp:anchor distT="0" distB="0" distL="114300" distR="114300" simplePos="0" relativeHeight="251660288" behindDoc="0" locked="0" layoutInCell="1" allowOverlap="1">
            <wp:simplePos x="0" y="0"/>
            <wp:positionH relativeFrom="column">
              <wp:posOffset>294005</wp:posOffset>
            </wp:positionH>
            <wp:positionV relativeFrom="paragraph">
              <wp:posOffset>274955</wp:posOffset>
            </wp:positionV>
            <wp:extent cx="5111750" cy="3758565"/>
            <wp:effectExtent l="4445" t="4445" r="8255" b="8890"/>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方正仿宋_GBK" w:hAnsi="方正仿宋_GBK" w:eastAsia="方正仿宋_GBK" w:cs="方正仿宋_GBK"/>
          <w:color w:val="000000"/>
          <w:sz w:val="32"/>
          <w:szCs w:val="32"/>
        </w:rPr>
        <w:t>（图2：收入决算结构图）</w:t>
      </w:r>
    </w:p>
    <w:p>
      <w:pPr>
        <w:spacing w:line="600" w:lineRule="exact"/>
        <w:ind w:firstLine="640" w:firstLineChars="200"/>
        <w:jc w:val="center"/>
        <w:rPr>
          <w:rFonts w:ascii="方正仿宋_GBK" w:hAnsi="方正仿宋_GBK" w:eastAsia="方正仿宋_GBK" w:cs="方正仿宋_GBK"/>
          <w:color w:val="FF0000"/>
          <w:sz w:val="32"/>
          <w:szCs w:val="32"/>
        </w:rPr>
      </w:pPr>
    </w:p>
    <w:p>
      <w:pPr>
        <w:pStyle w:val="26"/>
        <w:numPr>
          <w:ilvl w:val="0"/>
          <w:numId w:val="1"/>
        </w:numPr>
        <w:spacing w:line="600" w:lineRule="exact"/>
        <w:ind w:firstLineChars="0"/>
        <w:outlineLvl w:val="1"/>
        <w:rPr>
          <w:rStyle w:val="17"/>
          <w:rFonts w:ascii="黑体" w:hAnsi="黑体" w:eastAsia="黑体" w:cs="黑体"/>
          <w:b w:val="0"/>
        </w:rPr>
      </w:pPr>
      <w:bookmarkStart w:id="28" w:name="_Toc15396605"/>
      <w:bookmarkStart w:id="29" w:name="_Toc15377207"/>
      <w:r>
        <w:rPr>
          <w:rFonts w:hint="eastAsia" w:ascii="黑体" w:hAnsi="黑体" w:eastAsia="黑体" w:cs="黑体"/>
          <w:color w:val="000000"/>
          <w:sz w:val="32"/>
          <w:szCs w:val="32"/>
        </w:rPr>
        <w:t>支</w:t>
      </w:r>
      <w:r>
        <w:rPr>
          <w:rStyle w:val="17"/>
          <w:rFonts w:hint="eastAsia" w:ascii="黑体" w:hAnsi="黑体" w:eastAsia="黑体" w:cs="黑体"/>
          <w:b w:val="0"/>
        </w:rPr>
        <w:t>出决算情况说明</w:t>
      </w:r>
      <w:bookmarkEnd w:id="28"/>
      <w:bookmarkEnd w:id="29"/>
    </w:p>
    <w:p>
      <w:pPr>
        <w:spacing w:line="600" w:lineRule="exact"/>
        <w:ind w:firstLine="640"/>
        <w:rPr>
          <w:rFonts w:ascii="方正仿宋_GBK" w:hAnsi="方正仿宋_GBK" w:eastAsia="方正仿宋_GBK" w:cs="方正仿宋_GBK"/>
          <w:color w:val="000000"/>
          <w:sz w:val="32"/>
          <w:szCs w:val="32"/>
          <w:shd w:val="pct10" w:color="auto" w:fill="FFFFFF"/>
        </w:rPr>
      </w:pPr>
      <w:r>
        <w:rPr>
          <w:rFonts w:hint="eastAsia" w:ascii="方正仿宋_GBK" w:hAnsi="方正仿宋_GBK" w:eastAsia="方正仿宋_GBK" w:cs="方正仿宋_GBK"/>
          <w:color w:val="000000"/>
          <w:sz w:val="32"/>
          <w:szCs w:val="32"/>
        </w:rPr>
        <w:t>2019年本年支出合计525.94万元，其中：基本支出437.93万元，占83.27%；项目支出88.01万元，占16.73%；上缴上级支出0万元，占0%；经营支出0万元，占0%；对附属单位补助支出0万元，占0%。</w:t>
      </w:r>
    </w:p>
    <w:p>
      <w:pPr>
        <w:spacing w:line="600" w:lineRule="exact"/>
        <w:jc w:val="center"/>
        <w:rPr>
          <w:rFonts w:ascii="仿宋" w:hAnsi="仿宋" w:eastAsia="仿宋"/>
          <w:color w:val="000000"/>
          <w:sz w:val="32"/>
          <w:szCs w:val="32"/>
        </w:rPr>
      </w:pPr>
      <w:r>
        <w:rPr>
          <w:rFonts w:hint="eastAsia" w:ascii="方正仿宋_GBK" w:hAnsi="方正仿宋_GBK" w:eastAsia="方正仿宋_GBK" w:cs="方正仿宋_GBK"/>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241935</wp:posOffset>
            </wp:positionH>
            <wp:positionV relativeFrom="paragraph">
              <wp:posOffset>238125</wp:posOffset>
            </wp:positionV>
            <wp:extent cx="5080000" cy="3810000"/>
            <wp:effectExtent l="4445" t="4445" r="20955" b="14605"/>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方正仿宋_GBK" w:hAnsi="方正仿宋_GBK" w:eastAsia="方正仿宋_GBK" w:cs="方正仿宋_GBK"/>
          <w:color w:val="000000"/>
          <w:sz w:val="32"/>
          <w:szCs w:val="32"/>
        </w:rPr>
        <w:t>（图3：支出决算结构</w:t>
      </w:r>
      <w:r>
        <w:rPr>
          <w:rFonts w:hint="eastAsia" w:ascii="仿宋" w:hAnsi="仿宋" w:eastAsia="仿宋"/>
          <w:color w:val="000000"/>
          <w:sz w:val="32"/>
          <w:szCs w:val="32"/>
        </w:rPr>
        <w:t>图）</w:t>
      </w:r>
    </w:p>
    <w:p>
      <w:pPr>
        <w:spacing w:line="600" w:lineRule="exact"/>
        <w:ind w:firstLine="640" w:firstLineChars="200"/>
        <w:rPr>
          <w:rFonts w:ascii="仿宋" w:hAnsi="仿宋" w:eastAsia="仿宋"/>
          <w:color w:val="FF0000"/>
          <w:sz w:val="32"/>
          <w:szCs w:val="32"/>
        </w:rPr>
      </w:pPr>
    </w:p>
    <w:p>
      <w:pPr>
        <w:spacing w:line="600" w:lineRule="exact"/>
        <w:ind w:firstLine="640" w:firstLineChars="200"/>
        <w:outlineLvl w:val="1"/>
        <w:rPr>
          <w:rStyle w:val="17"/>
          <w:rFonts w:ascii="方正仿宋_GBK" w:hAnsi="方正仿宋_GBK" w:eastAsia="方正仿宋_GBK" w:cs="方正仿宋_GBK"/>
          <w:b w:val="0"/>
        </w:rPr>
      </w:pPr>
      <w:bookmarkStart w:id="30" w:name="_Toc15396606"/>
      <w:bookmarkStart w:id="31" w:name="_Toc15377208"/>
      <w:r>
        <w:rPr>
          <w:rFonts w:hint="eastAsia" w:ascii="方正仿宋_GBK" w:hAnsi="方正仿宋_GBK" w:eastAsia="方正仿宋_GBK" w:cs="方正仿宋_GBK"/>
          <w:color w:val="000000"/>
          <w:sz w:val="32"/>
          <w:szCs w:val="32"/>
        </w:rPr>
        <w:t>四、财</w:t>
      </w:r>
      <w:r>
        <w:rPr>
          <w:rStyle w:val="17"/>
          <w:rFonts w:hint="eastAsia" w:ascii="方正仿宋_GBK" w:hAnsi="方正仿宋_GBK" w:eastAsia="方正仿宋_GBK" w:cs="方正仿宋_GBK"/>
          <w:b w:val="0"/>
        </w:rPr>
        <w:t>政拨款收入支出决算总体情况说明</w:t>
      </w:r>
      <w:bookmarkEnd w:id="30"/>
      <w:bookmarkEnd w:id="31"/>
    </w:p>
    <w:p>
      <w:p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2019年财政拨款收、支总计260.18万元。与2018年234.09相比，财政拨款收、支总计各增加26.09万元，增长11.14%。</w:t>
      </w:r>
      <w:r>
        <w:rPr>
          <w:rFonts w:hint="eastAsia" w:ascii="方正仿宋_GBK" w:hAnsi="方正仿宋_GBK" w:eastAsia="方正仿宋_GBK" w:cs="方正仿宋_GBK"/>
          <w:color w:val="000000" w:themeColor="text1"/>
          <w:sz w:val="32"/>
          <w:szCs w:val="32"/>
        </w:rPr>
        <w:t>主要变动原因是财政预算和财政应返还额度增加</w:t>
      </w:r>
      <w:r>
        <w:rPr>
          <w:rFonts w:hint="eastAsia" w:ascii="方正仿宋_GBK" w:hAnsi="方正仿宋_GBK" w:eastAsia="方正仿宋_GBK" w:cs="方正仿宋_GBK"/>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hAnsi="方正仿宋_GBK" w:eastAsia="方正仿宋_GBK"/>
          <w:color w:val="000000"/>
          <w:sz w:val="32"/>
          <w:szCs w:val="32"/>
        </w:rPr>
      </w:pPr>
    </w:p>
    <w:p>
      <w:pPr>
        <w:spacing w:line="600" w:lineRule="exact"/>
        <w:rPr>
          <w:rFonts w:ascii="方正仿宋_GBK" w:hAnsi="方正仿宋_GBK" w:eastAsia="方正仿宋_GBK" w:cs="方正仿宋_GBK"/>
          <w:color w:val="000000"/>
          <w:sz w:val="32"/>
          <w:szCs w:val="32"/>
        </w:rPr>
      </w:pPr>
      <w:r>
        <w:rPr>
          <w:rFonts w:hint="eastAsia" w:hAnsi="方正仿宋_GBK" w:eastAsia="方正仿宋_GBK"/>
          <w:color w:val="000000"/>
          <w:sz w:val="32"/>
          <w:szCs w:val="32"/>
        </w:rPr>
        <w:drawing>
          <wp:anchor distT="0" distB="0" distL="114300" distR="114300" simplePos="0" relativeHeight="251662336" behindDoc="0" locked="0" layoutInCell="1" allowOverlap="1">
            <wp:simplePos x="0" y="0"/>
            <wp:positionH relativeFrom="column">
              <wp:posOffset>66675</wp:posOffset>
            </wp:positionH>
            <wp:positionV relativeFrom="paragraph">
              <wp:posOffset>-8517890</wp:posOffset>
            </wp:positionV>
            <wp:extent cx="5080000" cy="3418840"/>
            <wp:effectExtent l="4445" t="4445" r="20955" b="5715"/>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方正仿宋_GBK" w:hAnsi="方正仿宋_GBK" w:eastAsia="方正仿宋_GBK" w:cs="方正仿宋_GBK"/>
          <w:color w:val="000000"/>
          <w:sz w:val="32"/>
          <w:szCs w:val="32"/>
        </w:rPr>
        <w:t>（图4：财政拨款收、支决算总计变动情况）</w:t>
      </w:r>
    </w:p>
    <w:p>
      <w:pPr>
        <w:spacing w:line="600" w:lineRule="exact"/>
        <w:rPr>
          <w:rFonts w:ascii="仿宋" w:hAnsi="仿宋" w:eastAsia="仿宋"/>
          <w:color w:val="000000"/>
          <w:sz w:val="32"/>
          <w:szCs w:val="32"/>
        </w:rPr>
      </w:pPr>
    </w:p>
    <w:p>
      <w:pPr>
        <w:spacing w:line="600" w:lineRule="exact"/>
        <w:ind w:firstLine="640" w:firstLineChars="200"/>
        <w:outlineLvl w:val="1"/>
        <w:rPr>
          <w:rStyle w:val="17"/>
          <w:rFonts w:ascii="黑体" w:hAnsi="黑体" w:eastAsia="黑体" w:cs="黑体"/>
          <w:b w:val="0"/>
        </w:rPr>
      </w:pPr>
      <w:bookmarkStart w:id="32" w:name="_Toc15396607"/>
      <w:bookmarkStart w:id="33" w:name="_Toc15377209"/>
      <w:r>
        <w:rPr>
          <w:rFonts w:hint="eastAsia" w:ascii="黑体" w:hAnsi="黑体" w:eastAsia="黑体" w:cs="黑体"/>
          <w:color w:val="000000"/>
          <w:sz w:val="32"/>
          <w:szCs w:val="32"/>
        </w:rPr>
        <w:t>五、</w:t>
      </w:r>
      <w:r>
        <w:rPr>
          <w:rFonts w:hint="eastAsia" w:ascii="黑体" w:hAnsi="黑体" w:eastAsia="黑体" w:cs="黑体"/>
          <w:b/>
          <w:color w:val="000000"/>
          <w:sz w:val="32"/>
          <w:szCs w:val="32"/>
        </w:rPr>
        <w:t>一</w:t>
      </w:r>
      <w:r>
        <w:rPr>
          <w:rStyle w:val="17"/>
          <w:rFonts w:hint="eastAsia" w:ascii="黑体" w:hAnsi="黑体" w:eastAsia="黑体" w:cs="黑体"/>
          <w:b w:val="0"/>
        </w:rPr>
        <w:t>般公共预算财政拨款支出决算情况说明</w:t>
      </w:r>
      <w:bookmarkEnd w:id="32"/>
      <w:bookmarkEnd w:id="33"/>
    </w:p>
    <w:p>
      <w:pPr>
        <w:spacing w:line="600" w:lineRule="exact"/>
        <w:ind w:firstLine="640" w:firstLineChars="200"/>
        <w:outlineLvl w:val="2"/>
        <w:rPr>
          <w:rFonts w:ascii="方正仿宋_GBK" w:hAnsi="方正仿宋_GBK" w:eastAsia="方正仿宋_GBK" w:cs="方正仿宋_GBK"/>
          <w:color w:val="000000"/>
          <w:sz w:val="32"/>
          <w:szCs w:val="32"/>
        </w:rPr>
      </w:pPr>
      <w:bookmarkStart w:id="34" w:name="_Toc15377210"/>
      <w:r>
        <w:rPr>
          <w:rFonts w:hint="eastAsia" w:ascii="仿宋" w:hAnsi="仿宋" w:eastAsia="仿宋"/>
          <w:color w:val="000000"/>
          <w:sz w:val="32"/>
          <w:szCs w:val="32"/>
        </w:rPr>
        <w:t>（</w:t>
      </w:r>
      <w:r>
        <w:rPr>
          <w:rFonts w:hint="eastAsia" w:ascii="方正仿宋_GBK" w:hAnsi="方正仿宋_GBK" w:eastAsia="方正仿宋_GBK" w:cs="方正仿宋_GBK"/>
          <w:color w:val="000000"/>
          <w:sz w:val="32"/>
          <w:szCs w:val="32"/>
        </w:rPr>
        <w:t>一）一般公共预算财政拨款支出决算总体情况</w:t>
      </w:r>
      <w:bookmarkEnd w:id="34"/>
    </w:p>
    <w:p>
      <w:pPr>
        <w:spacing w:line="60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sz w:val="32"/>
          <w:szCs w:val="32"/>
        </w:rPr>
        <w:t>2019年一般公共预算财政拨款支出173.38万元，占本年支出合计的32.97%。与2018年相比，一般公共预算财政拨款增加11.92万元，增长6.56%。</w:t>
      </w:r>
      <w:r>
        <w:rPr>
          <w:rFonts w:hint="eastAsia" w:ascii="方正仿宋_GBK" w:hAnsi="方正仿宋_GBK" w:eastAsia="方正仿宋_GBK" w:cs="方正仿宋_GBK"/>
          <w:color w:val="000000" w:themeColor="text1"/>
          <w:sz w:val="32"/>
          <w:szCs w:val="32"/>
        </w:rPr>
        <w:t>主要变动原因是财政拨款的增加。</w:t>
      </w:r>
    </w:p>
    <w:p>
      <w:pPr>
        <w:spacing w:line="600" w:lineRule="exact"/>
        <w:ind w:firstLine="640" w:firstLineChars="200"/>
        <w:rPr>
          <w:rFonts w:ascii="方正仿宋_GBK" w:hAnsi="方正仿宋_GBK" w:eastAsia="方正仿宋_GBK" w:cs="方正仿宋_GBK"/>
          <w:color w:val="000000" w:themeColor="text1"/>
          <w:sz w:val="32"/>
          <w:szCs w:val="32"/>
        </w:rPr>
      </w:pPr>
    </w:p>
    <w:p>
      <w:pPr>
        <w:spacing w:line="600" w:lineRule="exact"/>
        <w:ind w:firstLine="640" w:firstLineChars="200"/>
        <w:rPr>
          <w:rFonts w:ascii="方正仿宋_GBK" w:hAnsi="方正仿宋_GBK" w:eastAsia="方正仿宋_GBK" w:cs="方正仿宋_GBK"/>
          <w:color w:val="FF0000"/>
          <w:sz w:val="32"/>
          <w:szCs w:val="32"/>
        </w:rPr>
      </w:pPr>
    </w:p>
    <w:p>
      <w:pPr>
        <w:spacing w:line="600" w:lineRule="exact"/>
        <w:ind w:firstLine="640" w:firstLineChars="200"/>
        <w:rPr>
          <w:rFonts w:hAnsi="方正仿宋_GBK" w:eastAsia="方正仿宋_GBK"/>
          <w:color w:val="FF0000"/>
          <w:sz w:val="32"/>
          <w:szCs w:val="32"/>
        </w:rPr>
      </w:pPr>
    </w:p>
    <w:p>
      <w:pPr>
        <w:spacing w:line="600" w:lineRule="exact"/>
        <w:ind w:firstLine="640" w:firstLineChars="200"/>
        <w:rPr>
          <w:rFonts w:hAnsi="方正仿宋_GBK" w:eastAsia="方正仿宋_GBK"/>
          <w:color w:val="FF0000"/>
          <w:sz w:val="32"/>
          <w:szCs w:val="32"/>
        </w:rPr>
      </w:pPr>
    </w:p>
    <w:p>
      <w:pPr>
        <w:spacing w:line="600" w:lineRule="exact"/>
        <w:ind w:firstLine="640" w:firstLineChars="200"/>
        <w:rPr>
          <w:rFonts w:hAnsi="方正仿宋_GBK" w:eastAsia="方正仿宋_GBK"/>
          <w:color w:val="FF0000"/>
          <w:sz w:val="32"/>
          <w:szCs w:val="32"/>
        </w:rPr>
      </w:pPr>
    </w:p>
    <w:p>
      <w:pPr>
        <w:spacing w:line="600" w:lineRule="exact"/>
        <w:jc w:val="center"/>
        <w:rPr>
          <w:rFonts w:ascii="方正仿宋_GBK" w:hAnsi="方正仿宋_GBK" w:eastAsia="方正仿宋_GBK" w:cs="方正仿宋_GBK"/>
          <w:color w:val="000000"/>
          <w:sz w:val="32"/>
          <w:szCs w:val="32"/>
        </w:rPr>
      </w:pPr>
      <w:r>
        <w:rPr>
          <w:rFonts w:eastAsia="方正仿宋_GBK"/>
          <w:color w:val="FF0000"/>
          <w:sz w:val="32"/>
          <w:szCs w:val="32"/>
        </w:rPr>
        <w:drawing>
          <wp:anchor distT="0" distB="0" distL="114300" distR="114300" simplePos="0" relativeHeight="251663360" behindDoc="0" locked="0" layoutInCell="1" allowOverlap="1">
            <wp:simplePos x="0" y="0"/>
            <wp:positionH relativeFrom="column">
              <wp:posOffset>379095</wp:posOffset>
            </wp:positionH>
            <wp:positionV relativeFrom="paragraph">
              <wp:posOffset>-593090</wp:posOffset>
            </wp:positionV>
            <wp:extent cx="5080000" cy="3038475"/>
            <wp:effectExtent l="4445" t="4445" r="20955" b="5080"/>
            <wp:wrapTopAndBottom/>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hAnsi="方正仿宋_GBK" w:eastAsia="方正仿宋_GBK"/>
          <w:color w:val="000000"/>
          <w:sz w:val="32"/>
          <w:szCs w:val="32"/>
        </w:rPr>
        <w:t>（</w:t>
      </w:r>
      <w:r>
        <w:rPr>
          <w:rFonts w:hint="eastAsia" w:ascii="方正仿宋_GBK" w:hAnsi="方正仿宋_GBK" w:eastAsia="方正仿宋_GBK" w:cs="方正仿宋_GBK"/>
          <w:color w:val="000000"/>
          <w:sz w:val="32"/>
          <w:szCs w:val="32"/>
        </w:rPr>
        <w:t>图5：一般公共预算财政拨款支出决算变动情况）</w:t>
      </w:r>
    </w:p>
    <w:p>
      <w:pPr>
        <w:spacing w:line="600" w:lineRule="exact"/>
        <w:jc w:val="center"/>
        <w:rPr>
          <w:rFonts w:ascii="方正仿宋_GBK" w:hAnsi="方正仿宋_GBK" w:eastAsia="方正仿宋_GBK" w:cs="方正仿宋_GBK"/>
          <w:color w:val="000000"/>
          <w:sz w:val="32"/>
          <w:szCs w:val="32"/>
        </w:rPr>
      </w:pPr>
    </w:p>
    <w:p>
      <w:pPr>
        <w:spacing w:line="600" w:lineRule="exact"/>
        <w:ind w:firstLine="640" w:firstLineChars="200"/>
        <w:outlineLvl w:val="2"/>
        <w:rPr>
          <w:rFonts w:ascii="方正仿宋_GBK" w:hAnsi="方正仿宋_GBK" w:eastAsia="方正仿宋_GBK" w:cs="方正仿宋_GBK"/>
          <w:color w:val="000000"/>
          <w:sz w:val="32"/>
          <w:szCs w:val="32"/>
        </w:rPr>
      </w:pPr>
      <w:bookmarkStart w:id="35" w:name="_Toc15377211"/>
      <w:r>
        <w:rPr>
          <w:rFonts w:hint="eastAsia" w:ascii="方正仿宋_GBK" w:hAnsi="方正仿宋_GBK" w:eastAsia="方正仿宋_GBK" w:cs="方正仿宋_GBK"/>
          <w:color w:val="000000"/>
          <w:sz w:val="32"/>
          <w:szCs w:val="32"/>
        </w:rPr>
        <w:t>（二）一般公共预算财政拨款支出决算结构情况</w:t>
      </w:r>
      <w:bookmarkEnd w:id="35"/>
    </w:p>
    <w:p>
      <w:pPr>
        <w:spacing w:line="600"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2019年一般公共预算财政拨款支出173.38万元，主要用于以下方面:社会保障和就业支出14.22万元，占8.2%；卫生健康支出149.05万元，占85.97%；住房保障支出10.11万元，占5.83%。</w:t>
      </w:r>
    </w:p>
    <w:p>
      <w:pPr>
        <w:spacing w:line="60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drawing>
          <wp:anchor distT="0" distB="0" distL="114300" distR="114300" simplePos="0" relativeHeight="251664384" behindDoc="0" locked="0" layoutInCell="1" allowOverlap="1">
            <wp:simplePos x="0" y="0"/>
            <wp:positionH relativeFrom="column">
              <wp:posOffset>88900</wp:posOffset>
            </wp:positionH>
            <wp:positionV relativeFrom="paragraph">
              <wp:posOffset>384810</wp:posOffset>
            </wp:positionV>
            <wp:extent cx="5080000" cy="3556000"/>
            <wp:effectExtent l="4445" t="4445" r="20955" b="20955"/>
            <wp:wrapTopAndBottom/>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方正仿宋_GBK" w:hAnsi="方正仿宋_GBK" w:eastAsia="方正仿宋_GBK" w:cs="方正仿宋_GBK"/>
          <w:color w:val="000000"/>
          <w:sz w:val="32"/>
          <w:szCs w:val="32"/>
        </w:rPr>
        <w:t>（图6：一般公共预算财政拨款支出决算结构）</w:t>
      </w:r>
    </w:p>
    <w:p>
      <w:pPr>
        <w:spacing w:line="600" w:lineRule="exact"/>
        <w:jc w:val="center"/>
        <w:rPr>
          <w:rFonts w:ascii="方正仿宋_GBK" w:hAnsi="方正仿宋_GBK" w:eastAsia="方正仿宋_GBK" w:cs="方正仿宋_GBK"/>
          <w:color w:val="000000"/>
          <w:sz w:val="32"/>
          <w:szCs w:val="32"/>
        </w:rPr>
      </w:pPr>
    </w:p>
    <w:p>
      <w:pPr>
        <w:spacing w:line="600" w:lineRule="exact"/>
        <w:ind w:firstLine="640" w:firstLineChars="200"/>
        <w:outlineLvl w:val="2"/>
        <w:rPr>
          <w:rFonts w:ascii="方正仿宋_GBK" w:hAnsi="方正仿宋_GBK" w:eastAsia="方正仿宋_GBK" w:cs="方正仿宋_GBK"/>
          <w:color w:val="000000"/>
          <w:sz w:val="32"/>
          <w:szCs w:val="32"/>
        </w:rPr>
      </w:pPr>
      <w:bookmarkStart w:id="36" w:name="_Toc15377212"/>
      <w:r>
        <w:rPr>
          <w:rFonts w:hint="eastAsia" w:ascii="方正仿宋_GBK" w:hAnsi="方正仿宋_GBK" w:eastAsia="方正仿宋_GBK" w:cs="方正仿宋_GBK"/>
          <w:color w:val="000000"/>
          <w:sz w:val="32"/>
          <w:szCs w:val="32"/>
        </w:rPr>
        <w:t>（三）一般公共预算财政拨款支出决算具体情况</w:t>
      </w:r>
      <w:bookmarkEnd w:id="36"/>
    </w:p>
    <w:p>
      <w:pPr>
        <w:spacing w:line="600" w:lineRule="exact"/>
        <w:ind w:firstLine="640" w:firstLineChars="200"/>
        <w:outlineLvl w:val="2"/>
        <w:rPr>
          <w:rFonts w:ascii="方正仿宋_GBK" w:hAnsi="方正仿宋_GBK" w:eastAsia="方正仿宋_GBK" w:cs="方正仿宋_GBK"/>
          <w:b/>
          <w:color w:val="FF0000"/>
          <w:sz w:val="32"/>
          <w:szCs w:val="32"/>
        </w:rPr>
      </w:pPr>
      <w:bookmarkStart w:id="37" w:name="_Toc15377213"/>
      <w:bookmarkStart w:id="38" w:name="_Toc15378460"/>
      <w:bookmarkStart w:id="39" w:name="_Toc15377444"/>
      <w:r>
        <w:rPr>
          <w:rFonts w:hint="eastAsia" w:ascii="方正仿宋_GBK" w:hAnsi="方正仿宋_GBK" w:eastAsia="方正仿宋_GBK" w:cs="方正仿宋_GBK"/>
          <w:color w:val="000000"/>
          <w:sz w:val="32"/>
          <w:szCs w:val="32"/>
        </w:rPr>
        <w:t>2019年般公共预算支出决算数为173.38万元，</w:t>
      </w:r>
      <w:r>
        <w:rPr>
          <w:rStyle w:val="14"/>
          <w:rFonts w:hint="eastAsia" w:ascii="方正仿宋_GBK" w:hAnsi="方正仿宋_GBK" w:eastAsia="方正仿宋_GBK" w:cs="方正仿宋_GBK"/>
          <w:b w:val="0"/>
          <w:bCs/>
          <w:color w:val="000000"/>
          <w:sz w:val="32"/>
          <w:szCs w:val="32"/>
        </w:rPr>
        <w:t>完成预算89.59%。其中：</w:t>
      </w:r>
      <w:bookmarkEnd w:id="37"/>
      <w:bookmarkEnd w:id="38"/>
      <w:bookmarkEnd w:id="39"/>
    </w:p>
    <w:p>
      <w:pPr>
        <w:spacing w:line="600" w:lineRule="exact"/>
        <w:ind w:firstLine="640" w:firstLineChars="200"/>
        <w:rPr>
          <w:rStyle w:val="14"/>
          <w:rFonts w:ascii="方正仿宋_GBK" w:hAnsi="方正仿宋_GBK" w:eastAsia="方正仿宋_GBK" w:cs="方正仿宋_GBK"/>
          <w:b w:val="0"/>
          <w:bCs/>
          <w:color w:val="000000"/>
          <w:sz w:val="32"/>
          <w:szCs w:val="32"/>
        </w:rPr>
      </w:pPr>
      <w:r>
        <w:rPr>
          <w:rStyle w:val="14"/>
          <w:rFonts w:hint="eastAsia" w:ascii="方正仿宋_GBK" w:hAnsi="方正仿宋_GBK" w:eastAsia="方正仿宋_GBK" w:cs="方正仿宋_GBK"/>
          <w:b w:val="0"/>
          <w:bCs/>
          <w:color w:val="000000"/>
          <w:sz w:val="32"/>
          <w:szCs w:val="32"/>
        </w:rPr>
        <w:t>1.社会保障和就业支出(208) 行政事业单位离退休（20805）机关事业单位基本养老保险缴费支出（2080505）: 支出决算14.22万元，</w:t>
      </w:r>
      <w:r>
        <w:rPr>
          <w:rStyle w:val="14"/>
          <w:rFonts w:hint="eastAsia" w:ascii="方正仿宋_GBK" w:hAnsi="方正仿宋_GBK" w:eastAsia="方正仿宋_GBK" w:cs="方正仿宋_GBK"/>
          <w:b w:val="0"/>
          <w:bCs/>
          <w:color w:val="000000" w:themeColor="text1"/>
          <w:sz w:val="32"/>
          <w:szCs w:val="32"/>
        </w:rPr>
        <w:t>完成预算100%</w:t>
      </w:r>
      <w:r>
        <w:rPr>
          <w:rStyle w:val="14"/>
          <w:rFonts w:hint="eastAsia" w:ascii="方正仿宋_GBK" w:hAnsi="方正仿宋_GBK" w:eastAsia="方正仿宋_GBK" w:cs="方正仿宋_GBK"/>
          <w:b w:val="0"/>
          <w:bCs/>
          <w:color w:val="000000"/>
          <w:sz w:val="32"/>
          <w:szCs w:val="32"/>
        </w:rPr>
        <w:t>。</w:t>
      </w:r>
    </w:p>
    <w:p>
      <w:pPr>
        <w:spacing w:line="600" w:lineRule="exact"/>
        <w:ind w:firstLine="640" w:firstLineChars="200"/>
        <w:rPr>
          <w:rFonts w:ascii="方正仿宋_GBK" w:hAnsi="方正仿宋_GBK" w:eastAsia="方正仿宋_GBK" w:cs="方正仿宋_GBK"/>
          <w:b/>
          <w:color w:val="000000"/>
          <w:sz w:val="32"/>
          <w:szCs w:val="32"/>
        </w:rPr>
      </w:pPr>
      <w:r>
        <w:rPr>
          <w:rStyle w:val="14"/>
          <w:rFonts w:hint="eastAsia" w:ascii="方正仿宋_GBK" w:hAnsi="方正仿宋_GBK" w:eastAsia="方正仿宋_GBK" w:cs="方正仿宋_GBK"/>
          <w:b w:val="0"/>
          <w:bCs/>
          <w:color w:val="000000"/>
          <w:sz w:val="32"/>
          <w:szCs w:val="32"/>
        </w:rPr>
        <w:t>2.</w:t>
      </w:r>
      <w:r>
        <w:rPr>
          <w:rFonts w:hint="eastAsia" w:ascii="方正仿宋_GBK" w:hAnsi="方正仿宋_GBK" w:eastAsia="方正仿宋_GBK" w:cs="方正仿宋_GBK"/>
          <w:color w:val="000000"/>
          <w:sz w:val="32"/>
          <w:szCs w:val="32"/>
        </w:rPr>
        <w:t>卫生健康支出</w:t>
      </w:r>
      <w:r>
        <w:rPr>
          <w:rStyle w:val="14"/>
          <w:rFonts w:hint="eastAsia" w:ascii="方正仿宋_GBK" w:hAnsi="方正仿宋_GBK" w:eastAsia="方正仿宋_GBK" w:cs="方正仿宋_GBK"/>
          <w:b w:val="0"/>
          <w:bCs/>
          <w:color w:val="000000"/>
          <w:sz w:val="32"/>
          <w:szCs w:val="32"/>
        </w:rPr>
        <w:t>（210）基层医疗卫生机构（21003）乡镇卫生院（2100302）：支出决算为54.31万元，完成预算72.95%，</w:t>
      </w:r>
      <w:r>
        <w:rPr>
          <w:rStyle w:val="14"/>
          <w:rFonts w:hint="eastAsia" w:ascii="方正仿宋_GBK" w:hAnsi="方正仿宋_GBK" w:eastAsia="方正仿宋_GBK" w:cs="方正仿宋_GBK"/>
          <w:b w:val="0"/>
          <w:bCs/>
          <w:color w:val="000000" w:themeColor="text1"/>
          <w:sz w:val="32"/>
          <w:szCs w:val="32"/>
        </w:rPr>
        <w:t>决算数小于预算数的主要原因是财政未拨付</w:t>
      </w:r>
      <w:r>
        <w:rPr>
          <w:rStyle w:val="14"/>
          <w:rFonts w:hint="eastAsia" w:ascii="方正仿宋_GBK" w:hAnsi="方正仿宋_GBK" w:eastAsia="方正仿宋_GBK" w:cs="方正仿宋_GBK"/>
          <w:b w:val="0"/>
          <w:bCs/>
          <w:color w:val="000000"/>
          <w:sz w:val="32"/>
          <w:szCs w:val="32"/>
        </w:rPr>
        <w:t>。</w:t>
      </w:r>
    </w:p>
    <w:p>
      <w:pPr>
        <w:spacing w:line="600" w:lineRule="exact"/>
        <w:ind w:firstLine="640" w:firstLineChars="200"/>
        <w:rPr>
          <w:rFonts w:ascii="方正仿宋_GBK" w:hAnsi="方正仿宋_GBK" w:eastAsia="方正仿宋_GBK" w:cs="方正仿宋_GBK"/>
          <w:b/>
          <w:color w:val="000000"/>
          <w:sz w:val="32"/>
          <w:szCs w:val="32"/>
        </w:rPr>
      </w:pPr>
      <w:r>
        <w:rPr>
          <w:rStyle w:val="14"/>
          <w:rFonts w:hint="eastAsia" w:ascii="方正仿宋_GBK" w:hAnsi="方正仿宋_GBK" w:eastAsia="方正仿宋_GBK" w:cs="方正仿宋_GBK"/>
          <w:b w:val="0"/>
          <w:bCs/>
          <w:color w:val="000000"/>
          <w:sz w:val="32"/>
          <w:szCs w:val="32"/>
        </w:rPr>
        <w:t>3.</w:t>
      </w:r>
      <w:r>
        <w:rPr>
          <w:rFonts w:hint="eastAsia" w:ascii="方正仿宋_GBK" w:hAnsi="方正仿宋_GBK" w:eastAsia="方正仿宋_GBK" w:cs="方正仿宋_GBK"/>
          <w:color w:val="000000"/>
          <w:sz w:val="32"/>
          <w:szCs w:val="32"/>
        </w:rPr>
        <w:t>卫生健康支出</w:t>
      </w:r>
      <w:r>
        <w:rPr>
          <w:rStyle w:val="14"/>
          <w:rFonts w:hint="eastAsia" w:ascii="方正仿宋_GBK" w:hAnsi="方正仿宋_GBK" w:eastAsia="方正仿宋_GBK" w:cs="方正仿宋_GBK"/>
          <w:b w:val="0"/>
          <w:bCs/>
          <w:color w:val="000000"/>
          <w:sz w:val="32"/>
          <w:szCs w:val="32"/>
        </w:rPr>
        <w:t>（210）基层医疗卫生机构（21003）其他基层医疗卫生机构支出（2100399）</w:t>
      </w:r>
      <w:r>
        <w:rPr>
          <w:rStyle w:val="14"/>
          <w:rFonts w:hint="eastAsia" w:ascii="方正仿宋_GBK" w:hAnsi="方正仿宋_GBK" w:eastAsia="方正仿宋_GBK" w:cs="方正仿宋_GBK"/>
          <w:bCs/>
          <w:color w:val="000000"/>
          <w:sz w:val="32"/>
          <w:szCs w:val="32"/>
        </w:rPr>
        <w:t>:</w:t>
      </w:r>
      <w:r>
        <w:rPr>
          <w:rStyle w:val="14"/>
          <w:rFonts w:hint="eastAsia" w:ascii="方正仿宋_GBK" w:hAnsi="方正仿宋_GBK" w:eastAsia="方正仿宋_GBK" w:cs="方正仿宋_GBK"/>
          <w:b w:val="0"/>
          <w:bCs/>
          <w:color w:val="000000"/>
          <w:sz w:val="32"/>
          <w:szCs w:val="32"/>
        </w:rPr>
        <w:t>支出决算15.61万元，完成预算</w:t>
      </w:r>
      <w:r>
        <w:rPr>
          <w:rStyle w:val="14"/>
          <w:rFonts w:hint="eastAsia" w:ascii="方正仿宋_GBK" w:hAnsi="方正仿宋_GBK" w:eastAsia="方正仿宋_GBK" w:cs="方正仿宋_GBK"/>
          <w:b w:val="0"/>
          <w:bCs/>
          <w:color w:val="000000" w:themeColor="text1"/>
          <w:sz w:val="32"/>
          <w:szCs w:val="32"/>
        </w:rPr>
        <w:t>100%</w:t>
      </w:r>
      <w:r>
        <w:rPr>
          <w:rStyle w:val="14"/>
          <w:rFonts w:hint="eastAsia" w:ascii="方正仿宋_GBK" w:hAnsi="方正仿宋_GBK" w:eastAsia="方正仿宋_GBK" w:cs="方正仿宋_GBK"/>
          <w:b w:val="0"/>
          <w:bCs/>
          <w:color w:val="000000"/>
          <w:sz w:val="32"/>
          <w:szCs w:val="32"/>
        </w:rPr>
        <w:t>。</w:t>
      </w:r>
    </w:p>
    <w:p>
      <w:pPr>
        <w:spacing w:line="600" w:lineRule="exact"/>
        <w:ind w:firstLine="640" w:firstLineChars="200"/>
        <w:rPr>
          <w:rFonts w:ascii="方正仿宋_GBK" w:hAnsi="方正仿宋_GBK" w:eastAsia="方正仿宋_GBK" w:cs="方正仿宋_GBK"/>
          <w:b/>
          <w:color w:val="000000"/>
          <w:sz w:val="32"/>
          <w:szCs w:val="32"/>
        </w:rPr>
      </w:pPr>
      <w:r>
        <w:rPr>
          <w:rStyle w:val="14"/>
          <w:rFonts w:hint="eastAsia" w:ascii="方正仿宋_GBK" w:hAnsi="方正仿宋_GBK" w:eastAsia="方正仿宋_GBK" w:cs="方正仿宋_GBK"/>
          <w:b w:val="0"/>
          <w:bCs/>
          <w:color w:val="000000"/>
          <w:sz w:val="32"/>
          <w:szCs w:val="32"/>
        </w:rPr>
        <w:t>4.</w:t>
      </w:r>
      <w:r>
        <w:rPr>
          <w:rFonts w:hint="eastAsia" w:ascii="方正仿宋_GBK" w:hAnsi="方正仿宋_GBK" w:eastAsia="方正仿宋_GBK" w:cs="方正仿宋_GBK"/>
          <w:color w:val="000000"/>
          <w:sz w:val="32"/>
          <w:szCs w:val="32"/>
        </w:rPr>
        <w:t>卫生健康支出</w:t>
      </w:r>
      <w:r>
        <w:rPr>
          <w:rStyle w:val="14"/>
          <w:rFonts w:hint="eastAsia" w:ascii="方正仿宋_GBK" w:hAnsi="方正仿宋_GBK" w:eastAsia="方正仿宋_GBK" w:cs="方正仿宋_GBK"/>
          <w:b w:val="0"/>
          <w:bCs/>
          <w:color w:val="000000"/>
          <w:sz w:val="32"/>
          <w:szCs w:val="32"/>
        </w:rPr>
        <w:t>（210）公共卫生（21004）基本公共卫生服务（2100408）: 支出决算为72.4万元，完成预算</w:t>
      </w:r>
      <w:r>
        <w:rPr>
          <w:rStyle w:val="14"/>
          <w:rFonts w:hint="eastAsia" w:ascii="方正仿宋_GBK" w:hAnsi="方正仿宋_GBK" w:eastAsia="方正仿宋_GBK" w:cs="方正仿宋_GBK"/>
          <w:b w:val="0"/>
          <w:bCs/>
          <w:color w:val="000000" w:themeColor="text1"/>
          <w:sz w:val="32"/>
          <w:szCs w:val="32"/>
        </w:rPr>
        <w:t>100%</w:t>
      </w:r>
      <w:r>
        <w:rPr>
          <w:rStyle w:val="14"/>
          <w:rFonts w:hint="eastAsia" w:ascii="方正仿宋_GBK" w:hAnsi="方正仿宋_GBK" w:eastAsia="方正仿宋_GBK" w:cs="方正仿宋_GBK"/>
          <w:b w:val="0"/>
          <w:bCs/>
          <w:color w:val="000000"/>
          <w:sz w:val="32"/>
          <w:szCs w:val="32"/>
        </w:rPr>
        <w:t>。</w:t>
      </w:r>
    </w:p>
    <w:p>
      <w:pPr>
        <w:spacing w:line="600" w:lineRule="exact"/>
        <w:ind w:firstLine="640" w:firstLineChars="200"/>
        <w:rPr>
          <w:rStyle w:val="14"/>
          <w:rFonts w:ascii="方正仿宋_GBK" w:hAnsi="方正仿宋_GBK" w:eastAsia="方正仿宋_GBK" w:cs="方正仿宋_GBK"/>
          <w:b w:val="0"/>
          <w:bCs/>
          <w:color w:val="000000"/>
          <w:sz w:val="32"/>
          <w:szCs w:val="32"/>
        </w:rPr>
      </w:pPr>
      <w:r>
        <w:rPr>
          <w:rStyle w:val="14"/>
          <w:rFonts w:hint="eastAsia" w:ascii="方正仿宋_GBK" w:hAnsi="方正仿宋_GBK" w:eastAsia="方正仿宋_GBK" w:cs="方正仿宋_GBK"/>
          <w:b w:val="0"/>
          <w:bCs/>
          <w:color w:val="000000"/>
          <w:sz w:val="32"/>
          <w:szCs w:val="32"/>
        </w:rPr>
        <w:t>5.</w:t>
      </w:r>
      <w:r>
        <w:rPr>
          <w:rFonts w:hint="eastAsia" w:ascii="方正仿宋_GBK" w:hAnsi="方正仿宋_GBK" w:eastAsia="方正仿宋_GBK" w:cs="方正仿宋_GBK"/>
          <w:color w:val="000000"/>
          <w:sz w:val="32"/>
          <w:szCs w:val="32"/>
        </w:rPr>
        <w:t>卫生健康支出</w:t>
      </w:r>
      <w:r>
        <w:rPr>
          <w:rStyle w:val="14"/>
          <w:rFonts w:hint="eastAsia" w:ascii="方正仿宋_GBK" w:hAnsi="方正仿宋_GBK" w:eastAsia="方正仿宋_GBK" w:cs="方正仿宋_GBK"/>
          <w:b w:val="0"/>
          <w:bCs/>
          <w:color w:val="000000"/>
          <w:sz w:val="32"/>
          <w:szCs w:val="32"/>
        </w:rPr>
        <w:t>（210）行政事业单位医疗（21011）事业单位医疗（2101102）:支出决算为6.73万元，完成预算</w:t>
      </w:r>
      <w:r>
        <w:rPr>
          <w:rStyle w:val="14"/>
          <w:rFonts w:hint="eastAsia" w:ascii="方正仿宋_GBK" w:hAnsi="方正仿宋_GBK" w:eastAsia="方正仿宋_GBK" w:cs="方正仿宋_GBK"/>
          <w:b w:val="0"/>
          <w:bCs/>
          <w:color w:val="000000" w:themeColor="text1"/>
          <w:sz w:val="32"/>
          <w:szCs w:val="32"/>
        </w:rPr>
        <w:t>100%</w:t>
      </w:r>
      <w:r>
        <w:rPr>
          <w:rStyle w:val="14"/>
          <w:rFonts w:hint="eastAsia" w:ascii="方正仿宋_GBK" w:hAnsi="方正仿宋_GBK" w:eastAsia="方正仿宋_GBK" w:cs="方正仿宋_GBK"/>
          <w:b w:val="0"/>
          <w:bCs/>
          <w:color w:val="000000"/>
          <w:sz w:val="32"/>
          <w:szCs w:val="32"/>
        </w:rPr>
        <w:t>。</w:t>
      </w:r>
    </w:p>
    <w:p>
      <w:pPr>
        <w:spacing w:line="600" w:lineRule="exact"/>
        <w:ind w:firstLine="640" w:firstLineChars="200"/>
        <w:rPr>
          <w:rFonts w:ascii="仿宋" w:hAnsi="仿宋" w:eastAsia="仿宋"/>
          <w:b/>
          <w:bCs/>
          <w:color w:val="000000"/>
          <w:sz w:val="32"/>
          <w:szCs w:val="32"/>
        </w:rPr>
      </w:pPr>
      <w:r>
        <w:rPr>
          <w:rStyle w:val="14"/>
          <w:rFonts w:hint="eastAsia" w:ascii="方正仿宋_GBK" w:hAnsi="方正仿宋_GBK" w:eastAsia="方正仿宋_GBK" w:cs="方正仿宋_GBK"/>
          <w:b w:val="0"/>
          <w:bCs/>
          <w:color w:val="000000"/>
          <w:sz w:val="32"/>
          <w:szCs w:val="32"/>
        </w:rPr>
        <w:t>6.住房保障支出（221）住房改革支出（22102）住房公积金（2210201）：支出决算为10.11万元，完成决算</w:t>
      </w:r>
      <w:r>
        <w:rPr>
          <w:rStyle w:val="14"/>
          <w:rFonts w:hint="eastAsia" w:ascii="方正仿宋_GBK" w:hAnsi="方正仿宋_GBK" w:eastAsia="方正仿宋_GBK" w:cs="方正仿宋_GBK"/>
          <w:b w:val="0"/>
          <w:bCs/>
          <w:color w:val="000000" w:themeColor="text1"/>
          <w:sz w:val="32"/>
          <w:szCs w:val="32"/>
        </w:rPr>
        <w:t>100%</w:t>
      </w:r>
      <w:r>
        <w:rPr>
          <w:rStyle w:val="14"/>
          <w:rFonts w:hint="eastAsia" w:ascii="方正仿宋_GBK" w:hAnsi="方正仿宋_GBK" w:eastAsia="方正仿宋_GBK" w:cs="方正仿宋_GBK"/>
          <w:b w:val="0"/>
          <w:bCs/>
          <w:color w:val="000000"/>
          <w:sz w:val="32"/>
          <w:szCs w:val="32"/>
        </w:rPr>
        <w:t>。</w:t>
      </w:r>
    </w:p>
    <w:p>
      <w:pPr>
        <w:tabs>
          <w:tab w:val="right" w:pos="8306"/>
        </w:tabs>
        <w:spacing w:line="600" w:lineRule="exact"/>
        <w:ind w:firstLine="640"/>
        <w:outlineLvl w:val="1"/>
        <w:rPr>
          <w:rStyle w:val="17"/>
          <w:rFonts w:ascii="仿宋" w:hAnsi="仿宋" w:eastAsia="仿宋"/>
        </w:rPr>
      </w:pPr>
      <w:bookmarkStart w:id="40" w:name="_Toc15377214"/>
      <w:bookmarkStart w:id="41" w:name="_Toc15396608"/>
      <w:r>
        <w:rPr>
          <w:rFonts w:hint="eastAsia" w:ascii="黑体" w:hAnsi="黑体" w:eastAsia="黑体" w:cs="黑体"/>
          <w:color w:val="000000"/>
          <w:sz w:val="32"/>
          <w:szCs w:val="32"/>
        </w:rPr>
        <w:t>六</w:t>
      </w:r>
      <w:r>
        <w:rPr>
          <w:rFonts w:hint="eastAsia" w:ascii="黑体" w:hAnsi="黑体" w:eastAsia="黑体" w:cs="黑体"/>
          <w:b/>
          <w:color w:val="000000"/>
          <w:sz w:val="32"/>
          <w:szCs w:val="32"/>
        </w:rPr>
        <w:t>、一</w:t>
      </w:r>
      <w:r>
        <w:rPr>
          <w:rStyle w:val="17"/>
          <w:rFonts w:hint="eastAsia" w:ascii="黑体" w:hAnsi="黑体" w:eastAsia="黑体" w:cs="黑体"/>
          <w:b w:val="0"/>
        </w:rPr>
        <w:t>般公共预算财政拨款基本支出决算情况说明</w:t>
      </w:r>
      <w:bookmarkEnd w:id="40"/>
      <w:bookmarkEnd w:id="41"/>
      <w:r>
        <w:rPr>
          <w:rStyle w:val="17"/>
          <w:rFonts w:ascii="仿宋" w:hAnsi="仿宋" w:eastAsia="仿宋"/>
          <w:b w:val="0"/>
        </w:rPr>
        <w:tab/>
      </w:r>
    </w:p>
    <w:p>
      <w:pPr>
        <w:spacing w:line="600" w:lineRule="exact"/>
        <w:ind w:firstLine="645"/>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2019年一般公共预算财政拨款基本支出85.37万元，其中：</w:t>
      </w:r>
    </w:p>
    <w:p>
      <w:pPr>
        <w:spacing w:line="600" w:lineRule="exact"/>
        <w:ind w:firstLine="645"/>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人员经费82.37万元，主要包括：基本工资、奖金、绩效工资、机关事业单位基本养老保险缴费、职业年金缴费、职工基本医疗保险缴费、抚恤金、生活补助、住房公积金。</w:t>
      </w:r>
    </w:p>
    <w:p>
      <w:pPr>
        <w:spacing w:line="600" w:lineRule="exact"/>
        <w:ind w:firstLine="640" w:firstLineChars="200"/>
        <w:rPr>
          <w:rFonts w:ascii="方正仿宋_GBK" w:hAnsi="方正仿宋_GBK" w:eastAsia="方正仿宋_GBK" w:cs="方正仿宋_GBK"/>
          <w:b/>
          <w:color w:val="FF0000"/>
          <w:sz w:val="32"/>
          <w:szCs w:val="32"/>
        </w:rPr>
      </w:pPr>
      <w:r>
        <w:rPr>
          <w:rFonts w:hint="eastAsia" w:ascii="方正仿宋_GBK" w:hAnsi="方正仿宋_GBK" w:eastAsia="方正仿宋_GBK" w:cs="方正仿宋_GBK"/>
          <w:color w:val="000000"/>
          <w:sz w:val="32"/>
          <w:szCs w:val="32"/>
        </w:rPr>
        <w:t>公用经费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cs="黑体"/>
          <w:b w:val="0"/>
        </w:rPr>
      </w:pPr>
      <w:bookmarkStart w:id="42" w:name="_Toc15396609"/>
      <w:bookmarkStart w:id="43" w:name="_Toc15377215"/>
      <w:r>
        <w:rPr>
          <w:rFonts w:hint="eastAsia" w:ascii="黑体" w:hAnsi="黑体" w:eastAsia="黑体" w:cs="黑体"/>
          <w:color w:val="000000"/>
          <w:sz w:val="32"/>
          <w:szCs w:val="32"/>
        </w:rPr>
        <w:t>七、</w:t>
      </w:r>
      <w:r>
        <w:rPr>
          <w:rStyle w:val="17"/>
          <w:rFonts w:hint="eastAsia" w:ascii="黑体" w:hAnsi="黑体" w:eastAsia="黑体" w:cs="黑体"/>
        </w:rPr>
        <w:t>“</w:t>
      </w:r>
      <w:r>
        <w:rPr>
          <w:rStyle w:val="17"/>
          <w:rFonts w:hint="eastAsia" w:ascii="黑体" w:hAnsi="黑体" w:eastAsia="黑体" w:cs="黑体"/>
          <w:b w:val="0"/>
        </w:rPr>
        <w:t>三公”经费财政拨款支出决算情况说明</w:t>
      </w:r>
      <w:bookmarkEnd w:id="42"/>
      <w:bookmarkEnd w:id="43"/>
    </w:p>
    <w:p>
      <w:pPr>
        <w:spacing w:line="600" w:lineRule="exact"/>
        <w:ind w:firstLine="640"/>
        <w:outlineLvl w:val="2"/>
        <w:rPr>
          <w:rFonts w:ascii="方正仿宋_GBK" w:hAnsi="方正仿宋_GBK" w:eastAsia="方正仿宋_GBK" w:cs="方正仿宋_GBK"/>
          <w:color w:val="000000"/>
          <w:sz w:val="32"/>
          <w:szCs w:val="32"/>
        </w:rPr>
      </w:pPr>
      <w:bookmarkStart w:id="44" w:name="_Toc15377216"/>
      <w:r>
        <w:rPr>
          <w:rFonts w:hint="eastAsia" w:ascii="方正仿宋_GBK" w:hAnsi="方正仿宋_GBK" w:eastAsia="方正仿宋_GBK" w:cs="方正仿宋_GBK"/>
          <w:color w:val="000000"/>
          <w:sz w:val="32"/>
          <w:szCs w:val="32"/>
        </w:rPr>
        <w:t>（一）“三公”经费财政拨款支出决算总体情况说明</w:t>
      </w:r>
      <w:bookmarkEnd w:id="44"/>
    </w:p>
    <w:p>
      <w:pPr>
        <w:spacing w:line="600"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无</w:t>
      </w:r>
    </w:p>
    <w:p>
      <w:pPr>
        <w:spacing w:line="600" w:lineRule="exact"/>
        <w:ind w:firstLine="640"/>
        <w:outlineLvl w:val="2"/>
        <w:rPr>
          <w:rFonts w:ascii="方正仿宋_GBK" w:hAnsi="方正仿宋_GBK" w:eastAsia="方正仿宋_GBK" w:cs="方正仿宋_GBK"/>
          <w:color w:val="000000"/>
          <w:sz w:val="32"/>
          <w:szCs w:val="32"/>
        </w:rPr>
      </w:pPr>
      <w:bookmarkStart w:id="45" w:name="_Toc15377217"/>
      <w:r>
        <w:rPr>
          <w:rFonts w:hint="eastAsia" w:ascii="方正仿宋_GBK" w:hAnsi="方正仿宋_GBK" w:eastAsia="方正仿宋_GBK" w:cs="方正仿宋_GBK"/>
          <w:color w:val="000000"/>
          <w:sz w:val="32"/>
          <w:szCs w:val="32"/>
        </w:rPr>
        <w:t>（二）“三公”经费财政拨款支出决算具体情况说明</w:t>
      </w:r>
      <w:bookmarkEnd w:id="45"/>
    </w:p>
    <w:p>
      <w:pPr>
        <w:spacing w:line="600"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无</w:t>
      </w:r>
    </w:p>
    <w:p>
      <w:pPr>
        <w:spacing w:line="600" w:lineRule="exact"/>
        <w:ind w:firstLine="640"/>
        <w:outlineLvl w:val="1"/>
        <w:rPr>
          <w:rStyle w:val="17"/>
          <w:rFonts w:ascii="黑体" w:hAnsi="黑体" w:eastAsia="黑体" w:cs="黑体"/>
        </w:rPr>
      </w:pPr>
      <w:bookmarkStart w:id="46" w:name="_Toc15396610"/>
      <w:bookmarkStart w:id="47" w:name="_Toc15377218"/>
      <w:r>
        <w:rPr>
          <w:rFonts w:hint="eastAsia" w:ascii="黑体" w:hAnsi="黑体" w:eastAsia="黑体" w:cs="黑体"/>
          <w:color w:val="000000"/>
          <w:sz w:val="32"/>
          <w:szCs w:val="32"/>
        </w:rPr>
        <w:t>八、</w:t>
      </w:r>
      <w:r>
        <w:rPr>
          <w:rStyle w:val="17"/>
          <w:rFonts w:hint="eastAsia" w:ascii="黑体" w:hAnsi="黑体" w:eastAsia="黑体" w:cs="黑体"/>
          <w:b w:val="0"/>
        </w:rPr>
        <w:t>政府性基金预算支出决算情况说明</w:t>
      </w:r>
      <w:bookmarkEnd w:id="46"/>
      <w:bookmarkEnd w:id="47"/>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numPr>
          <w:ilvl w:val="0"/>
          <w:numId w:val="2"/>
        </w:numPr>
        <w:spacing w:line="600" w:lineRule="exact"/>
        <w:ind w:firstLine="640"/>
        <w:outlineLvl w:val="1"/>
        <w:rPr>
          <w:rStyle w:val="17"/>
          <w:rFonts w:ascii="黑体" w:hAnsi="黑体" w:eastAsia="黑体" w:cs="黑体"/>
          <w:b w:val="0"/>
        </w:rPr>
      </w:pPr>
      <w:bookmarkStart w:id="48" w:name="_Toc15377219"/>
      <w:bookmarkStart w:id="49" w:name="_Toc15396611"/>
      <w:r>
        <w:rPr>
          <w:rStyle w:val="17"/>
          <w:rFonts w:hint="eastAsia" w:ascii="黑体" w:hAnsi="黑体" w:eastAsia="黑体" w:cs="黑体"/>
          <w:b w:val="0"/>
        </w:rPr>
        <w:t>国有资本经营预算支出决算情况说明</w:t>
      </w:r>
      <w:bookmarkEnd w:id="48"/>
      <w:bookmarkEnd w:id="49"/>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pStyle w:val="26"/>
        <w:numPr>
          <w:ilvl w:val="0"/>
          <w:numId w:val="3"/>
        </w:numPr>
        <w:spacing w:line="580" w:lineRule="exact"/>
        <w:ind w:firstLineChars="0"/>
        <w:rPr>
          <w:rStyle w:val="17"/>
          <w:rFonts w:ascii="黑体" w:hAnsi="黑体" w:eastAsia="黑体" w:cs="黑体"/>
          <w:b w:val="0"/>
        </w:rPr>
      </w:pPr>
      <w:r>
        <w:rPr>
          <w:rStyle w:val="17"/>
          <w:rFonts w:hint="eastAsia" w:ascii="黑体" w:hAnsi="黑体" w:eastAsia="黑体" w:cs="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本单位按要求对2019年部门整体支出开展绩效自评，从评价情况来看本单位按要求对 2019年单位整体支出开展绩效自评，从评价情况来看，本单位 2019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numPr>
          <w:ilvl w:val="0"/>
          <w:numId w:val="4"/>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本单位在2019年度部门决算中反映“基本公共卫生服务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“基本药物补助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药物补助项目绩效目标完成情况综述。项目全年预算数15.61万元，执行数为15.61万元，完成预算的100%。通过项目实施，保障了2019年我院基本药物采购资金的保障，发现的主要问题：对专项项目推进工作重视度有待加强，对。下一步改进措施：极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72.4万元，执行数为72.4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基本药物补助</w:t>
            </w:r>
          </w:p>
        </w:tc>
      </w:tr>
      <w:tr>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达州市达川区金檀镇卫生院</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15.61万元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15.61万元</w:t>
            </w:r>
          </w:p>
        </w:tc>
      </w:tr>
      <w:tr>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15.61万元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15.61万元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完成2019年基本药物资金补助15.61万元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完成2019年基本药物资金补助15.61万元</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达州市达川区金檀镇卫生院</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72.4万元</w:t>
            </w:r>
          </w:p>
        </w:tc>
      </w:tr>
      <w:tr>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72.4万元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完成2019年基本公共卫生服务72.4万元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完成2019年基本公共卫生服务72.4万元</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完成2019年基本公共卫生服72.4万元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通过基本公共卫生服务的开展使群众对改项目的认可度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32"/>
          <w:szCs w:val="32"/>
        </w:rPr>
      </w:pPr>
      <w:r>
        <w:rPr>
          <w:rFonts w:hint="eastAsia" w:ascii="仿宋_GB2312" w:hAnsi="仿宋_GB2312" w:eastAsia="仿宋_GB2312" w:cs="仿宋_GB2312"/>
          <w:sz w:val="32"/>
          <w:szCs w:val="32"/>
        </w:rPr>
        <w:t>本部门按要求对2019年部门整体支出绩效评价情况开展自评，《四川省达州市达川区赵固镇卫生院2019年部门整体支出绩效评价报告》见附件。本部门未自行组织其他项目绩效评价。</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880" w:firstLineChars="200"/>
        <w:rPr>
          <w:rFonts w:ascii="仿宋" w:hAnsi="仿宋" w:eastAsia="仿宋"/>
          <w:sz w:val="44"/>
          <w:szCs w:val="44"/>
        </w:rPr>
      </w:pPr>
    </w:p>
    <w:p>
      <w:pPr>
        <w:spacing w:line="600" w:lineRule="exact"/>
        <w:ind w:firstLine="800" w:firstLineChars="250"/>
        <w:outlineLvl w:val="1"/>
        <w:rPr>
          <w:rStyle w:val="17"/>
          <w:rFonts w:ascii="仿宋" w:hAnsi="仿宋" w:eastAsia="仿宋"/>
        </w:rPr>
      </w:pPr>
      <w:bookmarkStart w:id="50" w:name="_Toc15396612"/>
      <w:bookmarkStart w:id="51" w:name="_Toc15377221"/>
      <w:r>
        <w:rPr>
          <w:rFonts w:hint="eastAsia" w:ascii="黑体" w:hAnsi="黑体" w:eastAsia="黑体" w:cs="黑体"/>
          <w:color w:val="000000"/>
          <w:sz w:val="32"/>
          <w:szCs w:val="32"/>
        </w:rPr>
        <w:t>十</w:t>
      </w:r>
      <w:r>
        <w:rPr>
          <w:rStyle w:val="17"/>
          <w:rFonts w:hint="eastAsia" w:ascii="黑体" w:hAnsi="黑体" w:eastAsia="黑体" w:cs="黑体"/>
        </w:rPr>
        <w:t>一、</w:t>
      </w:r>
      <w:r>
        <w:rPr>
          <w:rStyle w:val="17"/>
          <w:rFonts w:hint="eastAsia" w:ascii="黑体" w:hAnsi="黑体" w:eastAsia="黑体" w:cs="黑体"/>
          <w:b w:val="0"/>
        </w:rPr>
        <w:t>其他重要事项的情况说明</w:t>
      </w:r>
      <w:bookmarkEnd w:id="50"/>
      <w:bookmarkEnd w:id="51"/>
    </w:p>
    <w:p>
      <w:pPr>
        <w:spacing w:line="600" w:lineRule="exact"/>
        <w:ind w:firstLine="640" w:firstLineChars="200"/>
        <w:outlineLvl w:val="2"/>
        <w:rPr>
          <w:rFonts w:ascii="方正仿宋_GBK" w:hAnsi="方正仿宋_GBK" w:eastAsia="方正仿宋_GBK" w:cs="方正仿宋_GBK"/>
          <w:color w:val="000000"/>
          <w:sz w:val="32"/>
          <w:szCs w:val="32"/>
        </w:rPr>
      </w:pPr>
      <w:bookmarkStart w:id="52" w:name="_Toc15377222"/>
      <w:r>
        <w:rPr>
          <w:rFonts w:hint="eastAsia" w:ascii="方正仿宋_GBK" w:hAnsi="方正仿宋_GBK" w:eastAsia="方正仿宋_GBK" w:cs="方正仿宋_GBK"/>
          <w:color w:val="000000"/>
          <w:sz w:val="32"/>
          <w:szCs w:val="32"/>
        </w:rPr>
        <w:t>（一）机关运行经费支出情况</w:t>
      </w:r>
      <w:bookmarkEnd w:id="52"/>
    </w:p>
    <w:p>
      <w:p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无</w:t>
      </w:r>
    </w:p>
    <w:p>
      <w:pPr>
        <w:autoSpaceDE w:val="0"/>
        <w:autoSpaceDN w:val="0"/>
        <w:adjustRightInd w:val="0"/>
        <w:spacing w:line="600" w:lineRule="exact"/>
        <w:ind w:firstLine="640" w:firstLineChars="200"/>
        <w:jc w:val="left"/>
        <w:outlineLvl w:val="2"/>
        <w:rPr>
          <w:rFonts w:ascii="方正仿宋_GBK" w:hAnsi="方正仿宋_GBK" w:eastAsia="方正仿宋_GBK" w:cs="方正仿宋_GBK"/>
          <w:color w:val="000000"/>
          <w:sz w:val="32"/>
          <w:szCs w:val="32"/>
        </w:rPr>
      </w:pPr>
      <w:bookmarkStart w:id="53" w:name="_Toc15377223"/>
      <w:r>
        <w:rPr>
          <w:rFonts w:hint="eastAsia" w:ascii="方正仿宋_GBK" w:hAnsi="方正仿宋_GBK" w:eastAsia="方正仿宋_GBK" w:cs="方正仿宋_GBK"/>
          <w:color w:val="000000"/>
          <w:sz w:val="32"/>
          <w:szCs w:val="32"/>
        </w:rPr>
        <w:t>（二）政府采购支出情况</w:t>
      </w:r>
      <w:bookmarkEnd w:id="53"/>
    </w:p>
    <w:p>
      <w:p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themeColor="text1"/>
          <w:sz w:val="32"/>
          <w:szCs w:val="32"/>
        </w:rPr>
        <w:t>2019年，我院政府采购支出总额0万元</w:t>
      </w:r>
      <w:r>
        <w:rPr>
          <w:rFonts w:hint="eastAsia" w:ascii="方正仿宋_GBK" w:hAnsi="方正仿宋_GBK" w:eastAsia="方正仿宋_GBK" w:cs="方正仿宋_GBK"/>
          <w:color w:val="000000"/>
          <w:sz w:val="32"/>
          <w:szCs w:val="32"/>
        </w:rPr>
        <w:t>。</w:t>
      </w:r>
    </w:p>
    <w:p>
      <w:pPr>
        <w:autoSpaceDE w:val="0"/>
        <w:autoSpaceDN w:val="0"/>
        <w:adjustRightInd w:val="0"/>
        <w:spacing w:line="600" w:lineRule="exact"/>
        <w:ind w:firstLine="640" w:firstLineChars="200"/>
        <w:jc w:val="left"/>
        <w:outlineLvl w:val="2"/>
        <w:rPr>
          <w:rFonts w:ascii="方正仿宋_GBK" w:hAnsi="方正仿宋_GBK" w:eastAsia="方正仿宋_GBK" w:cs="方正仿宋_GBK"/>
          <w:color w:val="000000"/>
          <w:sz w:val="32"/>
          <w:szCs w:val="32"/>
        </w:rPr>
      </w:pPr>
      <w:bookmarkStart w:id="54" w:name="_Toc15377224"/>
      <w:r>
        <w:rPr>
          <w:rFonts w:hint="eastAsia" w:ascii="方正仿宋_GBK" w:hAnsi="方正仿宋_GBK" w:eastAsia="方正仿宋_GBK" w:cs="方正仿宋_GBK"/>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截至2019年12月31日，我院共有车1辆，其中：特种专业技术用车1辆（救护车），单价50万元以上通用设备无，单价100万元以上专用设备无。</w:t>
      </w:r>
    </w:p>
    <w:p>
      <w:pPr>
        <w:spacing w:line="600" w:lineRule="atLeast"/>
        <w:ind w:firstLine="642" w:firstLineChars="200"/>
        <w:rPr>
          <w:rFonts w:ascii="方正仿宋_GBK" w:hAnsi="方正仿宋_GBK" w:eastAsia="方正仿宋_GBK" w:cs="方正仿宋_GBK"/>
          <w:b/>
          <w:color w:val="000000"/>
          <w:sz w:val="32"/>
          <w:szCs w:val="32"/>
        </w:rPr>
      </w:pPr>
    </w:p>
    <w:p>
      <w:pPr>
        <w:widowControl/>
        <w:jc w:val="left"/>
        <w:rPr>
          <w:rFonts w:eastAsia="方正仿宋_GBK"/>
          <w:b/>
          <w:color w:val="000000"/>
          <w:sz w:val="32"/>
          <w:szCs w:val="32"/>
        </w:rPr>
      </w:pPr>
      <w:r>
        <w:rPr>
          <w:rFonts w:eastAsia="方正仿宋_GBK"/>
          <w:b/>
          <w:color w:val="000000"/>
          <w:sz w:val="32"/>
          <w:szCs w:val="32"/>
        </w:rPr>
        <w:br w:type="page"/>
      </w:r>
    </w:p>
    <w:p>
      <w:pPr>
        <w:numPr>
          <w:ilvl w:val="0"/>
          <w:numId w:val="5"/>
        </w:numPr>
        <w:spacing w:line="600" w:lineRule="exact"/>
        <w:ind w:firstLine="660" w:firstLineChars="150"/>
        <w:jc w:val="center"/>
        <w:outlineLvl w:val="0"/>
        <w:rPr>
          <w:rStyle w:val="16"/>
          <w:rFonts w:ascii="方正小标宋_GBK" w:hAnsi="方正小标宋_GBK" w:eastAsia="方正小标宋_GBK"/>
          <w:b w:val="0"/>
        </w:rPr>
      </w:pPr>
      <w:bookmarkStart w:id="55" w:name="_Toc15396613"/>
      <w:bookmarkStart w:id="56" w:name="_Toc15377225"/>
      <w:r>
        <w:rPr>
          <w:rFonts w:hint="eastAsia" w:ascii="方正小标宋_GBK" w:hAnsi="方正小标宋_GBK" w:eastAsia="方正小标宋_GBK"/>
          <w:color w:val="000000"/>
          <w:sz w:val="44"/>
          <w:szCs w:val="44"/>
        </w:rPr>
        <w:t>名</w:t>
      </w:r>
      <w:r>
        <w:rPr>
          <w:rStyle w:val="16"/>
          <w:rFonts w:hint="eastAsia" w:ascii="方正小标宋_GBK" w:hAnsi="方正小标宋_GBK" w:eastAsia="方正小标宋_GBK"/>
          <w:b w:val="0"/>
        </w:rPr>
        <w:t>词解释</w:t>
      </w:r>
      <w:bookmarkEnd w:id="55"/>
      <w:bookmarkEnd w:id="56"/>
    </w:p>
    <w:p>
      <w:pPr>
        <w:spacing w:line="600" w:lineRule="exact"/>
        <w:jc w:val="left"/>
        <w:rPr>
          <w:rFonts w:eastAsia="方正仿宋_GBK"/>
          <w:b/>
          <w:color w:val="000000"/>
          <w:sz w:val="44"/>
          <w:szCs w:val="44"/>
        </w:rPr>
      </w:pP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1.财政拨款收入：指单位从同级财政部门取得的财政预算资金。</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2.事业收入：指事业单位开展专业业务活动及辅助活动取得的收入。</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3.经营收入：指事业单位在专业业务活动及其辅助活动之外开展非独立核算经营活动取得的收入。</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4.其他收入：指单位取得的除上述收入以外的各项收入。</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6.年初结转和结余：指以前年度尚未完成、结转到本年按有关规定继续使用的资金。</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7.结余分配：指事业单位按照事业单位会计制度的规定从非财政补助结余中分配的事业基金和职工福利基金等。</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8、年末结转和结余：指单位按有关规定结转到下年或以后年度继续使用的资金。</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9.社会保障和就业（208）：行政事业单位离退休（20805）：机关事业单位基本养老保险缴费支出（2080505）：反映机构事业单位实施养老保险制度由单位缴纳的基本养老保险支出。</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10.社会保障和就业（208）：行政事业单位离退休（20805）：机关事业单位职业年金缴费支出（2080506）：反映机构事业单位实施职业年金制度由单位缴纳的职业年金支出。</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11.</w:t>
      </w:r>
      <w:r>
        <w:rPr>
          <w:rStyle w:val="14"/>
          <w:rFonts w:hint="eastAsia" w:ascii="方正仿宋_GBK" w:hAnsi="方正仿宋_GBK" w:eastAsia="方正仿宋_GBK" w:cs="方正仿宋_GBK"/>
          <w:b w:val="0"/>
          <w:color w:val="000000"/>
          <w:sz w:val="32"/>
          <w:szCs w:val="32"/>
        </w:rPr>
        <w:t>卫生健康（210）：基层医疗卫生机构（21003）：</w:t>
      </w:r>
      <w:r>
        <w:rPr>
          <w:rFonts w:hint="eastAsia" w:ascii="方正仿宋_GBK" w:hAnsi="方正仿宋_GBK" w:eastAsia="方正仿宋_GBK" w:cs="方正仿宋_GBK"/>
          <w:color w:val="000000"/>
          <w:sz w:val="32"/>
          <w:szCs w:val="32"/>
        </w:rPr>
        <w:t>乡镇卫生院</w:t>
      </w:r>
      <w:r>
        <w:rPr>
          <w:rStyle w:val="14"/>
          <w:rFonts w:hint="eastAsia" w:ascii="方正仿宋_GBK" w:hAnsi="方正仿宋_GBK" w:eastAsia="方正仿宋_GBK" w:cs="方正仿宋_GBK"/>
          <w:b w:val="0"/>
          <w:color w:val="000000"/>
          <w:sz w:val="32"/>
          <w:szCs w:val="32"/>
        </w:rPr>
        <w:t>（2100302）：反映医疗卫生与计划生育</w:t>
      </w:r>
      <w:r>
        <w:rPr>
          <w:rFonts w:hint="eastAsia" w:ascii="方正仿宋_GBK" w:hAnsi="方正仿宋_GBK" w:eastAsia="方正仿宋_GBK" w:cs="方正仿宋_GBK"/>
          <w:color w:val="000000"/>
          <w:sz w:val="32"/>
          <w:szCs w:val="32"/>
        </w:rPr>
        <w:t>用于医疗卫生与计划生育管理事务方面的支出。</w:t>
      </w:r>
    </w:p>
    <w:p>
      <w:pPr>
        <w:ind w:firstLine="640" w:firstLineChars="200"/>
        <w:rPr>
          <w:rFonts w:ascii="方正仿宋_GBK" w:hAnsi="方正仿宋_GBK" w:eastAsia="方正仿宋_GBK" w:cs="方正仿宋_GBK"/>
          <w:color w:val="000000"/>
          <w:sz w:val="32"/>
          <w:szCs w:val="32"/>
        </w:rPr>
      </w:pPr>
      <w:r>
        <w:rPr>
          <w:rStyle w:val="14"/>
          <w:rFonts w:hint="eastAsia" w:ascii="方正仿宋_GBK" w:hAnsi="方正仿宋_GBK" w:eastAsia="方正仿宋_GBK" w:cs="方正仿宋_GBK"/>
          <w:b w:val="0"/>
          <w:color w:val="000000"/>
          <w:sz w:val="32"/>
          <w:szCs w:val="32"/>
        </w:rPr>
        <w:t>12.卫生健康（210）基层医疗卫生机构：（21003）其他基层医疗卫生机构支出（2100399）：</w:t>
      </w:r>
      <w:r>
        <w:rPr>
          <w:rFonts w:hint="eastAsia" w:ascii="方正仿宋_GBK" w:hAnsi="方正仿宋_GBK" w:eastAsia="方正仿宋_GBK" w:cs="方正仿宋_GBK"/>
          <w:color w:val="000000"/>
          <w:sz w:val="32"/>
          <w:szCs w:val="32"/>
        </w:rPr>
        <w:t>反映其他用于医疗卫生与计划生育管理事务方面的支出</w:t>
      </w:r>
    </w:p>
    <w:p>
      <w:pPr>
        <w:ind w:firstLine="640" w:firstLineChars="200"/>
        <w:rPr>
          <w:rStyle w:val="14"/>
          <w:rFonts w:ascii="方正仿宋_GBK" w:hAnsi="方正仿宋_GBK" w:eastAsia="方正仿宋_GBK" w:cs="方正仿宋_GBK"/>
          <w:b w:val="0"/>
          <w:color w:val="000000"/>
          <w:sz w:val="32"/>
          <w:szCs w:val="32"/>
        </w:rPr>
      </w:pPr>
      <w:r>
        <w:rPr>
          <w:rStyle w:val="14"/>
          <w:rFonts w:hint="eastAsia" w:ascii="方正仿宋_GBK" w:hAnsi="方正仿宋_GBK" w:eastAsia="方正仿宋_GBK" w:cs="方正仿宋_GBK"/>
          <w:b w:val="0"/>
          <w:color w:val="000000"/>
          <w:sz w:val="32"/>
          <w:szCs w:val="32"/>
        </w:rPr>
        <w:t>13.卫生健康（210）：</w:t>
      </w:r>
      <w:r>
        <w:rPr>
          <w:rFonts w:hint="eastAsia" w:ascii="方正仿宋_GBK" w:hAnsi="方正仿宋_GBK" w:eastAsia="方正仿宋_GBK" w:cs="方正仿宋_GBK"/>
          <w:color w:val="000000"/>
          <w:sz w:val="32"/>
          <w:szCs w:val="32"/>
        </w:rPr>
        <w:t>公共卫生</w:t>
      </w:r>
      <w:r>
        <w:rPr>
          <w:rStyle w:val="14"/>
          <w:rFonts w:hint="eastAsia" w:ascii="方正仿宋_GBK" w:hAnsi="方正仿宋_GBK" w:eastAsia="方正仿宋_GBK" w:cs="方正仿宋_GBK"/>
          <w:b w:val="0"/>
          <w:color w:val="000000"/>
          <w:sz w:val="32"/>
          <w:szCs w:val="32"/>
        </w:rPr>
        <w:t>（21004）：基本公共卫生服务（2100408）：反映基本公共卫生服务支出。</w:t>
      </w:r>
    </w:p>
    <w:p>
      <w:pPr>
        <w:ind w:firstLine="640" w:firstLineChars="200"/>
        <w:rPr>
          <w:rStyle w:val="14"/>
          <w:rFonts w:ascii="方正仿宋_GBK" w:hAnsi="方正仿宋_GBK" w:eastAsia="方正仿宋_GBK" w:cs="方正仿宋_GBK"/>
          <w:b w:val="0"/>
          <w:color w:val="000000"/>
          <w:sz w:val="32"/>
          <w:szCs w:val="32"/>
        </w:rPr>
      </w:pPr>
      <w:r>
        <w:rPr>
          <w:rStyle w:val="14"/>
          <w:rFonts w:hint="eastAsia" w:ascii="方正仿宋_GBK" w:hAnsi="方正仿宋_GBK" w:eastAsia="方正仿宋_GBK" w:cs="方正仿宋_GBK"/>
          <w:b w:val="0"/>
          <w:color w:val="000000"/>
          <w:sz w:val="32"/>
          <w:szCs w:val="32"/>
        </w:rPr>
        <w:t>14.卫生健康（210）：行政事业单位医疗（21011）：事业单位医疗（2101101）：反映</w:t>
      </w:r>
      <w:r>
        <w:rPr>
          <w:rFonts w:hint="eastAsia" w:ascii="方正仿宋_GBK" w:hAnsi="方正仿宋_GBK" w:eastAsia="方正仿宋_GBK" w:cs="方正仿宋_GBK"/>
          <w:color w:val="000000"/>
          <w:sz w:val="32"/>
          <w:szCs w:val="32"/>
        </w:rPr>
        <w:t>机构事业单位医疗保险制度由单位缴纳的医疗保险支出。</w:t>
      </w:r>
    </w:p>
    <w:p>
      <w:pPr>
        <w:ind w:firstLine="640" w:firstLineChars="200"/>
        <w:rPr>
          <w:rStyle w:val="14"/>
          <w:rFonts w:ascii="方正仿宋_GBK" w:hAnsi="方正仿宋_GBK" w:eastAsia="方正仿宋_GBK" w:cs="方正仿宋_GBK"/>
          <w:b w:val="0"/>
          <w:color w:val="000000"/>
          <w:sz w:val="32"/>
          <w:szCs w:val="32"/>
        </w:rPr>
      </w:pPr>
      <w:r>
        <w:rPr>
          <w:rStyle w:val="14"/>
          <w:rFonts w:hint="eastAsia" w:ascii="方正仿宋_GBK" w:hAnsi="方正仿宋_GBK" w:eastAsia="方正仿宋_GBK" w:cs="方正仿宋_GBK"/>
          <w:b w:val="0"/>
          <w:color w:val="000000"/>
          <w:sz w:val="32"/>
          <w:szCs w:val="32"/>
        </w:rPr>
        <w:t>15.住房保障支出（221）：住房改革支出（22102）：住房公积金（2210201）：反映</w:t>
      </w:r>
      <w:r>
        <w:rPr>
          <w:rFonts w:hint="eastAsia" w:ascii="方正仿宋_GBK" w:hAnsi="方正仿宋_GBK" w:eastAsia="方正仿宋_GBK" w:cs="方正仿宋_GBK"/>
          <w:color w:val="000000"/>
          <w:sz w:val="32"/>
          <w:szCs w:val="32"/>
        </w:rPr>
        <w:t>机构事业单位住房公积金制度由单位缴纳的住房公积金支出。</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16.基本支出：指为保障机构正常运转、完成日常工作任务而发生的人员支出和公用支出。</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17.项目支出：指在基本支出之外为完成特定行政任务和事业发展目标所发生的支出。</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18.经营支出：指事业单位在专业业务活动及其辅助活动之外开展非独立核算经营活动发生的支出。</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方正小标宋_GBK" w:hAnsi="方正小标宋_GBK" w:eastAsia="方正小标宋_GBK"/>
          <w:b w:val="0"/>
        </w:rPr>
      </w:pPr>
      <w:bookmarkStart w:id="57" w:name="_Toc15377226"/>
      <w:r>
        <w:rPr>
          <w:rFonts w:ascii="仿宋" w:hAnsi="仿宋" w:eastAsia="仿宋"/>
          <w:b/>
          <w:color w:val="000000"/>
          <w:sz w:val="32"/>
          <w:szCs w:val="32"/>
        </w:rPr>
        <w:br w:type="page"/>
      </w:r>
      <w:bookmarkStart w:id="58" w:name="_Toc15396614"/>
      <w:r>
        <w:rPr>
          <w:rFonts w:hint="eastAsia" w:ascii="方正小标宋_GBK" w:hAnsi="方正小标宋_GBK" w:eastAsia="方正小标宋_GBK"/>
          <w:color w:val="000000"/>
          <w:sz w:val="44"/>
          <w:szCs w:val="44"/>
        </w:rPr>
        <w:t>第</w:t>
      </w:r>
      <w:r>
        <w:rPr>
          <w:rStyle w:val="16"/>
          <w:rFonts w:hint="eastAsia" w:ascii="方正小标宋_GBK" w:hAnsi="方正小标宋_GBK" w:eastAsia="方正小标宋_GBK"/>
          <w:b w:val="0"/>
        </w:rPr>
        <w:t>四部分附件</w:t>
      </w:r>
      <w:bookmarkEnd w:id="58"/>
    </w:p>
    <w:p>
      <w:pPr>
        <w:spacing w:line="600" w:lineRule="exact"/>
        <w:jc w:val="center"/>
        <w:outlineLvl w:val="0"/>
        <w:rPr>
          <w:rStyle w:val="16"/>
          <w:rFonts w:eastAsia="方正仿宋_GBK"/>
        </w:rPr>
      </w:pPr>
    </w:p>
    <w:p>
      <w:pPr>
        <w:pStyle w:val="3"/>
        <w:rPr>
          <w:rStyle w:val="16"/>
          <w:rFonts w:ascii="方正黑体_GBK" w:hAnsi="方正黑体_GBK" w:eastAsia="方正黑体_GBK"/>
          <w:b w:val="0"/>
          <w:bCs w:val="0"/>
          <w:sz w:val="32"/>
          <w:szCs w:val="32"/>
        </w:rPr>
      </w:pPr>
      <w:bookmarkStart w:id="59" w:name="_Toc15396615"/>
      <w:r>
        <w:rPr>
          <w:rStyle w:val="16"/>
          <w:rFonts w:hint="eastAsia" w:ascii="方正黑体_GBK" w:hAnsi="方正黑体_GBK" w:eastAsia="方正黑体_GBK"/>
          <w:b w:val="0"/>
          <w:bCs w:val="0"/>
          <w:sz w:val="32"/>
          <w:szCs w:val="32"/>
        </w:rPr>
        <w:t>附件</w:t>
      </w:r>
      <w:r>
        <w:rPr>
          <w:rStyle w:val="16"/>
          <w:rFonts w:ascii="方正黑体_GBK" w:hAnsi="方正黑体_GBK" w:eastAsia="方正黑体_GBK"/>
          <w:b w:val="0"/>
          <w:bCs w:val="0"/>
          <w:sz w:val="32"/>
          <w:szCs w:val="32"/>
        </w:rPr>
        <w:t>1</w:t>
      </w:r>
      <w:bookmarkEnd w:id="59"/>
    </w:p>
    <w:p>
      <w:pPr>
        <w:spacing w:line="600" w:lineRule="exact"/>
        <w:jc w:val="center"/>
        <w:outlineLvl w:val="0"/>
        <w:rPr>
          <w:rFonts w:ascii="方正小标宋_GBK" w:hAnsi="方正小标宋_GBK" w:eastAsia="方正小标宋_GBK"/>
          <w:sz w:val="44"/>
          <w:szCs w:val="44"/>
        </w:rPr>
      </w:pPr>
      <w:bookmarkStart w:id="60" w:name="_Toc15396616"/>
      <w:r>
        <w:rPr>
          <w:rFonts w:hint="eastAsia" w:ascii="方正小标宋_GBK" w:hAnsi="方正小标宋_GBK" w:eastAsia="方正小标宋_GBK"/>
          <w:sz w:val="44"/>
          <w:szCs w:val="44"/>
        </w:rPr>
        <w:t>达州市达川区金檀镇卫生院</w:t>
      </w:r>
    </w:p>
    <w:p>
      <w:pPr>
        <w:spacing w:line="600" w:lineRule="exact"/>
        <w:jc w:val="center"/>
        <w:outlineLvl w:val="0"/>
        <w:rPr>
          <w:rFonts w:ascii="方正小标宋_GBK" w:hAnsi="方正小标宋_GBK" w:eastAsia="方正小标宋_GBK"/>
          <w:sz w:val="44"/>
          <w:szCs w:val="44"/>
        </w:rPr>
      </w:pPr>
      <w:r>
        <w:rPr>
          <w:rFonts w:ascii="方正小标宋_GBK" w:hAnsi="方正小标宋_GBK" w:eastAsia="方正小标宋_GBK"/>
          <w:sz w:val="44"/>
          <w:szCs w:val="44"/>
        </w:rPr>
        <w:t>201</w:t>
      </w:r>
      <w:r>
        <w:rPr>
          <w:rFonts w:hint="eastAsia" w:ascii="方正小标宋_GBK" w:hAnsi="方正小标宋_GBK" w:eastAsia="方正小标宋_GBK"/>
          <w:sz w:val="44"/>
          <w:szCs w:val="44"/>
        </w:rPr>
        <w:t>9年部门整体支出绩效评价报告</w:t>
      </w:r>
      <w:bookmarkEnd w:id="60"/>
    </w:p>
    <w:p>
      <w:pPr>
        <w:spacing w:line="580" w:lineRule="exact"/>
        <w:ind w:firstLine="642" w:firstLineChars="200"/>
        <w:rPr>
          <w:rFonts w:ascii="黑体" w:hAnsi="黑体" w:eastAsia="黑体" w:cs="黑体"/>
          <w:b/>
          <w:bCs/>
          <w:sz w:val="32"/>
          <w:szCs w:val="32"/>
        </w:rPr>
      </w:pPr>
      <w:r>
        <w:rPr>
          <w:rFonts w:hint="eastAsia" w:ascii="黑体" w:hAnsi="黑体" w:eastAsia="黑体" w:cs="黑体"/>
          <w:b/>
          <w:bCs/>
          <w:sz w:val="32"/>
          <w:szCs w:val="32"/>
        </w:rPr>
        <w:t>一、部门（单位）概况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（一）机构组成</w:t>
      </w:r>
    </w:p>
    <w:p>
      <w:pPr>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达州市达川区金檀镇卫生院是一级乙等乡镇卫生院，无其他下属单位。</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（二）机构职能</w:t>
      </w:r>
    </w:p>
    <w:p>
      <w:pPr>
        <w:adjustRightInd w:val="0"/>
        <w:snapToGrid w:val="0"/>
        <w:spacing w:line="60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金檀镇卫生院是一级乙等乡镇卫生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我院拥有DR、B超、全自动生化分析仪等辅助设备，现设有内科、外科、中医科、理疗科等科室。能对常见病，多发病做出准确的诊断和治疗。</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（三）人员概况</w:t>
      </w:r>
    </w:p>
    <w:p>
      <w:pPr>
        <w:ind w:firstLine="800" w:firstLineChars="250"/>
        <w:rPr>
          <w:rFonts w:ascii="仿宋" w:hAnsi="仿宋" w:eastAsia="仿宋"/>
          <w:color w:val="000000" w:themeColor="text1"/>
          <w:sz w:val="32"/>
          <w:szCs w:val="32"/>
        </w:rPr>
      </w:pPr>
      <w:r>
        <w:rPr>
          <w:rFonts w:hint="eastAsia" w:ascii="仿宋" w:hAnsi="仿宋" w:eastAsia="仿宋"/>
          <w:color w:val="000000" w:themeColor="text1"/>
          <w:sz w:val="32"/>
          <w:szCs w:val="32"/>
        </w:rPr>
        <w:t>达州市达川区金檀镇卫生院是以基层医疗卫生机构会计制度为记账原则的事业单位，无下属二级单位。2019年年初在编职工14人，年末14人（其中调出1人，调入1人），临聘人员3人。</w:t>
      </w:r>
    </w:p>
    <w:p>
      <w:pPr>
        <w:spacing w:line="580" w:lineRule="exact"/>
        <w:ind w:firstLine="640" w:firstLineChars="200"/>
        <w:rPr>
          <w:rFonts w:ascii="仿宋" w:hAnsi="仿宋" w:eastAsia="仿宋"/>
          <w:color w:val="FF0000"/>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2019年我院财政拨款收入总计260.18万元，其中一般公共预算财政拨款收入193.52万元，年初财政补助结转和结余66.66万元。</w:t>
      </w:r>
    </w:p>
    <w:p>
      <w:pPr>
        <w:numPr>
          <w:ilvl w:val="0"/>
          <w:numId w:val="6"/>
        </w:numPr>
        <w:spacing w:line="580" w:lineRule="exact"/>
        <w:ind w:firstLine="640" w:firstLineChars="200"/>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部门财政资金支出情况</w:t>
      </w:r>
    </w:p>
    <w:p>
      <w:pPr>
        <w:spacing w:line="580" w:lineRule="exac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2019年我院财政拨款支出总计260.18万元，其中一般公共预算财政拨款支出173.38万元，年末财政补助结转和结余86.8万元。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2019年预算编制工作，按时完成基础库、项目库报送工作，并按时提交部门预算草案。绩效目标是预算编制的前提和基础，按照“费随事定”的原则，2019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 2019 年 12 月 31 日，我院 2018 年财政资金一般公共预算财政拨款执行进度为100%。</w:t>
      </w:r>
    </w:p>
    <w:p>
      <w:pPr>
        <w:spacing w:before="270" w:line="33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w:t>
      </w:r>
      <w:r>
        <w:rPr>
          <w:rFonts w:hint="eastAsia" w:ascii="仿宋" w:hAnsi="仿宋" w:eastAsia="仿宋" w:cs="仿宋_GB2312"/>
          <w:sz w:val="32"/>
          <w:szCs w:val="32"/>
        </w:rPr>
        <w:t>单位</w:t>
      </w:r>
      <w:r>
        <w:rPr>
          <w:rFonts w:ascii="仿宋" w:hAnsi="仿宋" w:eastAsia="仿宋" w:cs="仿宋_GB2312"/>
          <w:sz w:val="32"/>
          <w:szCs w:val="32"/>
        </w:rPr>
        <w:t>严格遵循《预算法》等相关法律法规和财政</w:t>
      </w:r>
      <w:r>
        <w:rPr>
          <w:rFonts w:hint="eastAsia" w:ascii="仿宋" w:hAnsi="仿宋" w:eastAsia="仿宋" w:cs="仿宋_GB2312"/>
          <w:sz w:val="32"/>
          <w:szCs w:val="32"/>
        </w:rPr>
        <w:t>局</w:t>
      </w:r>
      <w:r>
        <w:rPr>
          <w:rFonts w:ascii="仿宋" w:hAnsi="仿宋" w:eastAsia="仿宋" w:cs="仿宋_GB2312"/>
          <w:sz w:val="32"/>
          <w:szCs w:val="32"/>
        </w:rPr>
        <w:t>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KaiTi_GB2312" w:hAnsi="KaiTi_GB2312" w:eastAsia="Times New Roman" w:cs="KaiTi_GB2312"/>
          <w:color w:val="000000"/>
          <w:sz w:val="32"/>
          <w:szCs w:val="22"/>
        </w:rPr>
      </w:pPr>
      <w:r>
        <w:rPr>
          <w:rFonts w:ascii="KaiTi_GB2312" w:hAnsi="KaiTi_GB2312" w:eastAsia="Times New Roman" w:cs="KaiTi_GB2312"/>
          <w:color w:val="000000"/>
          <w:sz w:val="32"/>
          <w:szCs w:val="2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w:t>
      </w:r>
      <w:r>
        <w:rPr>
          <w:rFonts w:ascii="仿宋" w:hAnsi="仿宋" w:eastAsia="仿宋" w:cs="仿宋_GB2312"/>
          <w:sz w:val="32"/>
          <w:szCs w:val="32"/>
        </w:rPr>
        <w:t>年我</w:t>
      </w:r>
      <w:r>
        <w:rPr>
          <w:rFonts w:hint="eastAsia" w:ascii="仿宋" w:hAnsi="仿宋" w:eastAsia="仿宋" w:cs="仿宋_GB2312"/>
          <w:sz w:val="32"/>
          <w:szCs w:val="32"/>
        </w:rPr>
        <w:t>单位</w:t>
      </w:r>
      <w:r>
        <w:rPr>
          <w:rFonts w:ascii="仿宋" w:hAnsi="仿宋" w:eastAsia="仿宋" w:cs="仿宋_GB2312"/>
          <w:sz w:val="32"/>
          <w:szCs w:val="32"/>
        </w:rPr>
        <w:t>整体支出绩效评价自查自评结果良好。财务制度较健全，财务管理较规范，全年基本支出保障了部门的正常运行和日程工作的正常开展，</w:t>
      </w:r>
      <w:r>
        <w:rPr>
          <w:rFonts w:hint="eastAsia" w:ascii="仿宋" w:hAnsi="仿宋" w:eastAsia="仿宋" w:cs="仿宋_GB2312"/>
          <w:sz w:val="32"/>
          <w:szCs w:val="32"/>
        </w:rPr>
        <w:t>全额保障了</w:t>
      </w:r>
      <w:r>
        <w:rPr>
          <w:rFonts w:ascii="仿宋" w:hAnsi="仿宋" w:eastAsia="仿宋" w:cs="仿宋_GB2312"/>
          <w:sz w:val="32"/>
          <w:szCs w:val="32"/>
        </w:rPr>
        <w:t>项目支出工作的开展，履职成效明显，达到了预期绩效目标和预期经济效果。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建议</w:t>
      </w:r>
      <w:r>
        <w:rPr>
          <w:rFonts w:hint="eastAsia" w:ascii="仿宋" w:hAnsi="仿宋" w:eastAsia="仿宋" w:cs="仿宋_GB2312"/>
          <w:sz w:val="32"/>
          <w:szCs w:val="32"/>
        </w:rPr>
        <w:t>区财政局</w:t>
      </w:r>
      <w:r>
        <w:rPr>
          <w:rFonts w:ascii="仿宋" w:hAnsi="仿宋" w:eastAsia="仿宋" w:cs="仿宋_GB2312"/>
          <w:sz w:val="32"/>
          <w:szCs w:val="32"/>
        </w:rPr>
        <w:t>根据实际需求，重新核定</w:t>
      </w:r>
      <w:r>
        <w:rPr>
          <w:rFonts w:hint="eastAsia" w:ascii="仿宋" w:hAnsi="仿宋" w:eastAsia="仿宋" w:cs="仿宋_GB2312"/>
          <w:sz w:val="32"/>
          <w:szCs w:val="32"/>
        </w:rPr>
        <w:t>我</w:t>
      </w:r>
      <w:r>
        <w:rPr>
          <w:rFonts w:ascii="仿宋" w:hAnsi="仿宋" w:eastAsia="仿宋" w:cs="仿宋_GB2312"/>
          <w:sz w:val="32"/>
          <w:szCs w:val="32"/>
        </w:rPr>
        <w:t>单位</w:t>
      </w:r>
      <w:r>
        <w:rPr>
          <w:rFonts w:hint="eastAsia" w:ascii="仿宋" w:hAnsi="仿宋" w:eastAsia="仿宋" w:cs="仿宋_GB2312"/>
          <w:sz w:val="32"/>
          <w:szCs w:val="32"/>
        </w:rPr>
        <w:t>医疗收入和</w:t>
      </w:r>
      <w:r>
        <w:rPr>
          <w:rFonts w:ascii="仿宋" w:hAnsi="仿宋" w:eastAsia="仿宋" w:cs="仿宋_GB2312"/>
          <w:sz w:val="32"/>
          <w:szCs w:val="32"/>
        </w:rPr>
        <w:t>基本支出控制数，提高</w:t>
      </w:r>
      <w:r>
        <w:rPr>
          <w:rFonts w:hint="eastAsia" w:ascii="仿宋" w:hAnsi="仿宋" w:eastAsia="仿宋" w:cs="仿宋_GB2312"/>
          <w:sz w:val="32"/>
          <w:szCs w:val="32"/>
        </w:rPr>
        <w:t>财政补助</w:t>
      </w:r>
      <w:r>
        <w:rPr>
          <w:rFonts w:ascii="仿宋" w:hAnsi="仿宋" w:eastAsia="仿宋" w:cs="仿宋_GB2312"/>
          <w:sz w:val="32"/>
          <w:szCs w:val="32"/>
        </w:rPr>
        <w:t>经费定额标准，保证正常工作运转。</w:t>
      </w:r>
    </w:p>
    <w:p>
      <w:pPr>
        <w:widowControl/>
        <w:jc w:val="left"/>
        <w:rPr>
          <w:rFonts w:eastAsia="方正仿宋_GBK"/>
          <w:sz w:val="32"/>
          <w:szCs w:val="32"/>
        </w:rPr>
      </w:pPr>
      <w:r>
        <w:rPr>
          <w:rFonts w:eastAsia="方正仿宋_GBK"/>
          <w:sz w:val="32"/>
          <w:szCs w:val="32"/>
        </w:rPr>
        <w:br w:type="page"/>
      </w:r>
    </w:p>
    <w:p>
      <w:pPr>
        <w:pStyle w:val="3"/>
        <w:rPr>
          <w:rStyle w:val="16"/>
          <w:rFonts w:ascii="方正黑体_GBK" w:hAnsi="方正黑体_GBK" w:eastAsia="方正黑体_GBK"/>
          <w:b w:val="0"/>
          <w:bCs w:val="0"/>
          <w:sz w:val="32"/>
          <w:szCs w:val="32"/>
        </w:rPr>
      </w:pPr>
      <w:bookmarkStart w:id="61" w:name="_Toc15396617"/>
      <w:r>
        <w:rPr>
          <w:rStyle w:val="16"/>
          <w:rFonts w:hint="eastAsia" w:ascii="方正黑体_GBK" w:hAnsi="方正黑体_GBK" w:eastAsia="方正黑体_GBK"/>
          <w:b w:val="0"/>
          <w:bCs w:val="0"/>
          <w:sz w:val="32"/>
          <w:szCs w:val="32"/>
        </w:rPr>
        <w:t>附件</w:t>
      </w:r>
      <w:r>
        <w:rPr>
          <w:rStyle w:val="16"/>
          <w:rFonts w:ascii="方正黑体_GBK" w:hAnsi="方正黑体_GBK" w:eastAsia="方正黑体_GBK"/>
          <w:b w:val="0"/>
          <w:bCs w:val="0"/>
          <w:sz w:val="32"/>
          <w:szCs w:val="32"/>
        </w:rPr>
        <w:t>2</w:t>
      </w:r>
      <w:bookmarkEnd w:id="61"/>
    </w:p>
    <w:p>
      <w:pPr>
        <w:spacing w:line="580" w:lineRule="exact"/>
        <w:jc w:val="center"/>
        <w:rPr>
          <w:rFonts w:ascii="方正小标宋_GBK" w:hAnsi="方正小标宋_GBK" w:eastAsia="方正小标宋_GBK"/>
          <w:sz w:val="44"/>
          <w:szCs w:val="44"/>
        </w:rPr>
      </w:pPr>
      <w:r>
        <w:rPr>
          <w:rFonts w:ascii="方正小标宋_GBK" w:hAnsi="方正小标宋_GBK" w:eastAsia="方正小标宋_GBK"/>
          <w:sz w:val="44"/>
          <w:szCs w:val="44"/>
        </w:rPr>
        <w:t>201</w:t>
      </w:r>
      <w:r>
        <w:rPr>
          <w:rFonts w:hint="eastAsia" w:ascii="方正小标宋_GBK" w:hAnsi="方正小标宋_GBK" w:eastAsia="方正小标宋_GBK"/>
          <w:sz w:val="44"/>
          <w:szCs w:val="44"/>
        </w:rPr>
        <w:t>9年达州市达川区金檀镇卫生院</w:t>
      </w:r>
    </w:p>
    <w:p>
      <w:pPr>
        <w:spacing w:line="580" w:lineRule="exact"/>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项目支出绩效评价报告</w:t>
      </w:r>
    </w:p>
    <w:p>
      <w:pPr>
        <w:spacing w:line="600" w:lineRule="exact"/>
        <w:outlineLvl w:val="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一、评价工作开展及项目情况</w:t>
      </w:r>
    </w:p>
    <w:p>
      <w:pPr>
        <w:spacing w:line="600" w:lineRule="exact"/>
        <w:ind w:firstLine="960" w:firstLineChars="3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提高基本公共卫生服务项目均等化水平，推进基本公卫生服务项目开展；巩固基本药物制度，不断提升服务能力和水平，筑牢基层医疗卫生服务网底，实现医改“保基本、强基层、建机制”的目标。开展项目是基本公共卫生服务和基层医疗机构基本药物制度。</w:t>
      </w:r>
    </w:p>
    <w:p>
      <w:pPr>
        <w:spacing w:line="600" w:lineRule="exact"/>
        <w:outlineLvl w:val="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二、项目管理及绩效分析</w:t>
      </w:r>
    </w:p>
    <w:p>
      <w:pPr>
        <w:spacing w:line="600" w:lineRule="exac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（一）项目决策</w:t>
      </w:r>
    </w:p>
    <w:p>
      <w:pPr>
        <w:spacing w:line="600" w:lineRule="exact"/>
        <w:ind w:firstLine="960" w:firstLineChars="3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1.资金计划及到位。基本公共卫生服务下拔资金72.4万元、基层医疗机构基本药物制度下拔资金15.61万元。</w:t>
      </w:r>
    </w:p>
    <w:p>
      <w:pPr>
        <w:spacing w:line="600" w:lineRule="exact"/>
        <w:ind w:firstLine="960" w:firstLineChars="3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2.资金使用。单位根据业务需要购买货物及工作运行开支。</w:t>
      </w:r>
    </w:p>
    <w:p>
      <w:pPr>
        <w:spacing w:line="600" w:lineRule="exac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（二）项目管理</w:t>
      </w:r>
    </w:p>
    <w:p>
      <w:pPr>
        <w:spacing w:line="600" w:lineRule="exact"/>
        <w:ind w:firstLine="960" w:firstLineChars="3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规范基本公共卫生服务行为，推进基本公卫生服务项目开展，不断提升服务能力和水平，筑牢基层医疗卫生服务网底，实现医改“保基本、强基层、建机制”的目标。通确保基本公共卫生服务和基层医疗机构基本药物制度顺利实施。</w:t>
      </w:r>
    </w:p>
    <w:p>
      <w:pPr>
        <w:spacing w:line="600" w:lineRule="exac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（三）项目绩效</w:t>
      </w:r>
    </w:p>
    <w:p>
      <w:pPr>
        <w:spacing w:line="600" w:lineRule="exact"/>
        <w:ind w:firstLine="960" w:firstLineChars="3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为广大群众提供公共卫生安全保障，居民满意度、建档立卡贫困户满意度≧90%；基本药物零差率销售率100%，政府办基层医疗卫生机构基本药物制度覆盖率100%。</w:t>
      </w:r>
    </w:p>
    <w:p>
      <w:pPr>
        <w:spacing w:line="600" w:lineRule="exact"/>
        <w:outlineLvl w:val="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三、评价结论及建议</w:t>
      </w:r>
    </w:p>
    <w:p>
      <w:pPr>
        <w:spacing w:line="600" w:lineRule="exac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（一）评价结论。</w:t>
      </w:r>
    </w:p>
    <w:p>
      <w:pPr>
        <w:spacing w:line="600" w:lineRule="exact"/>
        <w:ind w:firstLine="960" w:firstLineChars="3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总体看，我单位预算编制及执行决算较为准确，支出管理较为规范，财务管理制度较完善，项目支出整体绩效较好。项目支出绩效自评得分为85分</w:t>
      </w:r>
    </w:p>
    <w:p>
      <w:pPr>
        <w:spacing w:line="600" w:lineRule="exac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（二）存在的问题。</w:t>
      </w:r>
    </w:p>
    <w:p>
      <w:pPr>
        <w:spacing w:line="600" w:lineRule="exact"/>
        <w:ind w:left="319" w:leftChars="152"/>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一是预算不够明确和细化。预算执行力度还要进一步加强;二是单位缺少专业的会计人员;</w:t>
      </w:r>
    </w:p>
    <w:p>
      <w:pPr>
        <w:spacing w:line="600" w:lineRule="exact"/>
        <w:ind w:firstLine="320" w:firstLineChars="1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三是各项管理制度还待进一步完善。</w:t>
      </w:r>
      <w:r>
        <w:rPr>
          <w:rFonts w:hint="eastAsia" w:ascii="方正仿宋_GBK" w:hAnsi="方正仿宋_GBK" w:eastAsia="方正仿宋_GBK" w:cs="方正仿宋_GBK"/>
          <w:color w:val="000000"/>
          <w:sz w:val="32"/>
          <w:szCs w:val="32"/>
        </w:rPr>
        <w:tab/>
      </w:r>
    </w:p>
    <w:p>
      <w:pPr>
        <w:spacing w:line="600" w:lineRule="exac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（三）相关建议。</w:t>
      </w:r>
    </w:p>
    <w:p>
      <w:pPr>
        <w:spacing w:line="600" w:lineRule="exact"/>
        <w:ind w:firstLine="640" w:firstLineChars="2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1.建议财政部门加强对财务人员做好各项财务工作的指导和培训，尤其是加强《政府会计制度》等新的会计制度学习和培训，规范部门预算收支核算。</w:t>
      </w:r>
    </w:p>
    <w:p>
      <w:pPr>
        <w:spacing w:line="600" w:lineRule="exact"/>
        <w:ind w:firstLine="640" w:firstLineChars="200"/>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2.进一步完善和落实相关管理制度，加强内部控制管理制度学习，严格遵照相关制度贯彻落实到位，做到精细化管理。</w:t>
      </w:r>
    </w:p>
    <w:p>
      <w:pPr>
        <w:spacing w:line="600" w:lineRule="exact"/>
        <w:ind w:firstLine="640" w:firstLineChars="200"/>
        <w:outlineLvl w:val="0"/>
        <w:rPr>
          <w:rFonts w:ascii="黑体" w:hAnsi="黑体" w:eastAsia="黑体"/>
          <w:color w:val="000000"/>
          <w:sz w:val="44"/>
          <w:szCs w:val="44"/>
        </w:rPr>
      </w:pPr>
      <w:r>
        <w:rPr>
          <w:rFonts w:hint="eastAsia" w:ascii="方正仿宋_GBK" w:hAnsi="方正仿宋_GBK" w:eastAsia="方正仿宋_GBK" w:cs="方正仿宋_GBK"/>
          <w:color w:val="000000"/>
          <w:sz w:val="32"/>
          <w:szCs w:val="32"/>
        </w:rPr>
        <w:t>3、进一步完善和落实相关管理制度，加强内部控制管理制度学习，严格遵照相关制度贯彻落实到位，做到精细化管理。</w:t>
      </w:r>
    </w:p>
    <w:p>
      <w:pPr>
        <w:spacing w:line="580" w:lineRule="exact"/>
        <w:ind w:firstLine="640" w:firstLineChars="200"/>
        <w:rPr>
          <w:rFonts w:ascii="仿宋_GB2312" w:hAnsi="仿宋_GB2312" w:eastAsia="仿宋_GB2312" w:cs="仿宋_GB2312"/>
          <w:sz w:val="32"/>
          <w:szCs w:val="32"/>
        </w:rPr>
      </w:pPr>
    </w:p>
    <w:p>
      <w:pPr>
        <w:spacing w:line="580" w:lineRule="exact"/>
        <w:rPr>
          <w:rFonts w:eastAsia="方正仿宋_GBK"/>
          <w:sz w:val="32"/>
          <w:szCs w:val="32"/>
        </w:rPr>
      </w:pPr>
    </w:p>
    <w:p>
      <w:pPr>
        <w:spacing w:line="600" w:lineRule="exact"/>
        <w:outlineLvl w:val="0"/>
        <w:rPr>
          <w:rFonts w:ascii="方正小标宋_GBK" w:hAnsi="方正小标宋_GBK" w:eastAsia="方正小标宋_GBK"/>
          <w:color w:val="000000"/>
          <w:sz w:val="44"/>
          <w:szCs w:val="44"/>
        </w:rPr>
      </w:pPr>
      <w:bookmarkStart w:id="62" w:name="_Toc15396618"/>
    </w:p>
    <w:p>
      <w:pPr>
        <w:spacing w:line="600" w:lineRule="exact"/>
        <w:jc w:val="center"/>
        <w:outlineLvl w:val="0"/>
        <w:rPr>
          <w:rStyle w:val="16"/>
          <w:rFonts w:ascii="方正小标宋_GBK" w:hAnsi="方正小标宋_GBK" w:eastAsia="方正小标宋_GBK"/>
          <w:b w:val="0"/>
        </w:rPr>
      </w:pPr>
      <w:r>
        <w:rPr>
          <w:rFonts w:hint="eastAsia" w:ascii="方正小标宋_GBK" w:hAnsi="方正小标宋_GBK" w:eastAsia="方正小标宋_GBK"/>
          <w:color w:val="000000"/>
          <w:sz w:val="44"/>
          <w:szCs w:val="44"/>
        </w:rPr>
        <w:t>第</w:t>
      </w:r>
      <w:r>
        <w:rPr>
          <w:rStyle w:val="16"/>
          <w:rFonts w:hint="eastAsia" w:ascii="方正小标宋_GBK" w:hAnsi="方正小标宋_GBK" w:eastAsia="方正小标宋_GBK"/>
          <w:b w:val="0"/>
        </w:rPr>
        <w:t>五部分附表</w:t>
      </w:r>
      <w:bookmarkEnd w:id="57"/>
      <w:bookmarkEnd w:id="62"/>
    </w:p>
    <w:p>
      <w:pPr>
        <w:spacing w:line="600" w:lineRule="exact"/>
        <w:jc w:val="center"/>
        <w:outlineLvl w:val="0"/>
        <w:rPr>
          <w:rFonts w:eastAsia="方正仿宋_GBK"/>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17"/>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w:t>
      </w:r>
      <w:r>
        <w:rPr>
          <w:rStyle w:val="17"/>
          <w:rFonts w:ascii="仿宋" w:hAnsi="仿宋" w:eastAsia="仿宋"/>
          <w:b w:val="0"/>
          <w:bCs w:val="0"/>
        </w:rPr>
        <w:t>“</w:t>
      </w:r>
      <w:r>
        <w:rPr>
          <w:rStyle w:val="17"/>
          <w:rFonts w:hint="eastAsia" w:ascii="仿宋" w:hAnsi="仿宋" w:eastAsia="仿宋"/>
          <w:b w:val="0"/>
          <w:bCs w:val="0"/>
        </w:rPr>
        <w:t>三公</w:t>
      </w:r>
      <w:r>
        <w:rPr>
          <w:rStyle w:val="17"/>
          <w:rFonts w:ascii="仿宋" w:hAnsi="仿宋" w:eastAsia="仿宋"/>
          <w:b w:val="0"/>
          <w:bCs w:val="0"/>
        </w:rPr>
        <w:t>”</w:t>
      </w:r>
      <w:r>
        <w:rPr>
          <w:rStyle w:val="17"/>
          <w:rFonts w:hint="eastAsia" w:ascii="仿宋" w:hAnsi="仿宋" w:eastAsia="仿宋"/>
          <w:b w:val="0"/>
          <w:bCs w:val="0"/>
        </w:rPr>
        <w:t>经费支出决算表</w:t>
      </w:r>
      <w:bookmarkEnd w:id="72"/>
    </w:p>
    <w:p>
      <w:pPr>
        <w:pStyle w:val="3"/>
        <w:rPr>
          <w:rFonts w:ascii="仿宋" w:hAnsi="仿宋" w:eastAsia="仿宋"/>
          <w:color w:val="000000"/>
        </w:rPr>
      </w:pPr>
      <w:bookmarkStart w:id="73"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w:t>
      </w:r>
      <w:r>
        <w:rPr>
          <w:rStyle w:val="17"/>
          <w:rFonts w:ascii="仿宋" w:hAnsi="仿宋" w:eastAsia="仿宋"/>
          <w:b w:val="0"/>
          <w:bCs w:val="0"/>
        </w:rPr>
        <w:t>“</w:t>
      </w:r>
      <w:r>
        <w:rPr>
          <w:rStyle w:val="17"/>
          <w:rFonts w:hint="eastAsia" w:ascii="仿宋" w:hAnsi="仿宋" w:eastAsia="仿宋"/>
          <w:b w:val="0"/>
          <w:bCs w:val="0"/>
        </w:rPr>
        <w:t>三公</w:t>
      </w:r>
      <w:r>
        <w:rPr>
          <w:rStyle w:val="17"/>
          <w:rFonts w:ascii="仿宋" w:hAnsi="仿宋" w:eastAsia="仿宋"/>
          <w:b w:val="0"/>
          <w:bCs w:val="0"/>
        </w:rPr>
        <w:t>”</w:t>
      </w:r>
      <w:r>
        <w:rPr>
          <w:rStyle w:val="17"/>
          <w:rFonts w:hint="eastAsia" w:ascii="仿宋" w:hAnsi="仿宋" w:eastAsia="仿宋"/>
          <w:b w:val="0"/>
          <w:bCs w:val="0"/>
        </w:rPr>
        <w:t>经费支出决算表</w:t>
      </w:r>
      <w:bookmarkEnd w:id="74"/>
    </w:p>
    <w:p>
      <w:pPr>
        <w:pStyle w:val="3"/>
        <w:rPr>
          <w:rFonts w:ascii="仿宋" w:hAnsi="仿宋" w:eastAsia="仿宋"/>
          <w:color w:val="000000"/>
        </w:rPr>
      </w:pPr>
      <w:bookmarkStart w:id="75"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KaiTi_GB2312">
    <w:altName w:val="方正中等线简体"/>
    <w:panose1 w:val="00000000000000000000"/>
    <w:charset w:val="01"/>
    <w:family w:val="auto"/>
    <w:pitch w:val="default"/>
    <w:sig w:usb0="00000000" w:usb1="00000000" w:usb2="01010101" w:usb3="01010101" w:csb0="01010101" w:csb1="01010101"/>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中等线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720" w:hanging="720"/>
      </w:pPr>
      <w:rPr>
        <w:rFonts w:hint="default" w:cs="Times New Roman"/>
        <w:b w:val="0"/>
      </w:rPr>
    </w:lvl>
    <w:lvl w:ilvl="1" w:tentative="0">
      <w:start w:val="1"/>
      <w:numFmt w:val="lowerLetter"/>
      <w:lvlText w:val="%2)"/>
      <w:lvlJc w:val="left"/>
      <w:pPr>
        <w:ind w:left="-6742" w:hanging="420"/>
      </w:pPr>
      <w:rPr>
        <w:rFonts w:cs="Times New Roman"/>
      </w:rPr>
    </w:lvl>
    <w:lvl w:ilvl="2" w:tentative="0">
      <w:start w:val="1"/>
      <w:numFmt w:val="lowerRoman"/>
      <w:lvlText w:val="%3."/>
      <w:lvlJc w:val="right"/>
      <w:pPr>
        <w:ind w:left="-6322" w:hanging="420"/>
      </w:pPr>
      <w:rPr>
        <w:rFonts w:cs="Times New Roman"/>
      </w:rPr>
    </w:lvl>
    <w:lvl w:ilvl="3" w:tentative="0">
      <w:start w:val="1"/>
      <w:numFmt w:val="decimal"/>
      <w:lvlText w:val="%4."/>
      <w:lvlJc w:val="left"/>
      <w:pPr>
        <w:ind w:left="-5902" w:hanging="420"/>
      </w:pPr>
      <w:rPr>
        <w:rFonts w:cs="Times New Roman"/>
      </w:rPr>
    </w:lvl>
    <w:lvl w:ilvl="4" w:tentative="0">
      <w:start w:val="1"/>
      <w:numFmt w:val="lowerLetter"/>
      <w:lvlText w:val="%5)"/>
      <w:lvlJc w:val="left"/>
      <w:pPr>
        <w:ind w:left="-5482" w:hanging="420"/>
      </w:pPr>
      <w:rPr>
        <w:rFonts w:cs="Times New Roman"/>
      </w:rPr>
    </w:lvl>
    <w:lvl w:ilvl="5" w:tentative="0">
      <w:start w:val="1"/>
      <w:numFmt w:val="lowerRoman"/>
      <w:lvlText w:val="%6."/>
      <w:lvlJc w:val="right"/>
      <w:pPr>
        <w:ind w:left="-5062" w:hanging="420"/>
      </w:pPr>
      <w:rPr>
        <w:rFonts w:cs="Times New Roman"/>
      </w:rPr>
    </w:lvl>
    <w:lvl w:ilvl="6" w:tentative="0">
      <w:start w:val="1"/>
      <w:numFmt w:val="decimal"/>
      <w:lvlText w:val="%7."/>
      <w:lvlJc w:val="left"/>
      <w:pPr>
        <w:ind w:left="-4642" w:hanging="420"/>
      </w:pPr>
      <w:rPr>
        <w:rFonts w:cs="Times New Roman"/>
      </w:rPr>
    </w:lvl>
    <w:lvl w:ilvl="7" w:tentative="0">
      <w:start w:val="1"/>
      <w:numFmt w:val="lowerLetter"/>
      <w:lvlText w:val="%8)"/>
      <w:lvlJc w:val="left"/>
      <w:pPr>
        <w:ind w:left="-4222" w:hanging="420"/>
      </w:pPr>
      <w:rPr>
        <w:rFonts w:cs="Times New Roman"/>
      </w:rPr>
    </w:lvl>
    <w:lvl w:ilvl="8" w:tentative="0">
      <w:start w:val="1"/>
      <w:numFmt w:val="lowerRoman"/>
      <w:lvlText w:val="%9."/>
      <w:lvlJc w:val="right"/>
      <w:pPr>
        <w:ind w:left="-3802" w:hanging="420"/>
      </w:pPr>
      <w:rPr>
        <w:rFonts w:cs="Times New Roman"/>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5">
    <w:nsid w:val="1BA8B6F6"/>
    <w:multiLevelType w:val="singleLevel"/>
    <w:tmpl w:val="1BA8B6F6"/>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ZjBiNDE1NzY2MzgzMDA1ODU2NDI3MzAzOTcyMWQifQ=="/>
  </w:docVars>
  <w:rsids>
    <w:rsidRoot w:val="00F1361C"/>
    <w:rsid w:val="00000813"/>
    <w:rsid w:val="00005B07"/>
    <w:rsid w:val="000222C6"/>
    <w:rsid w:val="0002549F"/>
    <w:rsid w:val="0006487A"/>
    <w:rsid w:val="00065D17"/>
    <w:rsid w:val="00065F8F"/>
    <w:rsid w:val="000768F2"/>
    <w:rsid w:val="0009184B"/>
    <w:rsid w:val="0009593C"/>
    <w:rsid w:val="000A4148"/>
    <w:rsid w:val="000B047F"/>
    <w:rsid w:val="000B0FD1"/>
    <w:rsid w:val="000B5923"/>
    <w:rsid w:val="000B5A48"/>
    <w:rsid w:val="000B6FF3"/>
    <w:rsid w:val="000C3467"/>
    <w:rsid w:val="000C3CA6"/>
    <w:rsid w:val="000C695E"/>
    <w:rsid w:val="000D1267"/>
    <w:rsid w:val="000D1D50"/>
    <w:rsid w:val="000D5782"/>
    <w:rsid w:val="000E6613"/>
    <w:rsid w:val="000E7119"/>
    <w:rsid w:val="00114E9B"/>
    <w:rsid w:val="001203FD"/>
    <w:rsid w:val="0014729F"/>
    <w:rsid w:val="00157BAB"/>
    <w:rsid w:val="0016513A"/>
    <w:rsid w:val="001654D1"/>
    <w:rsid w:val="0018106D"/>
    <w:rsid w:val="00181CE5"/>
    <w:rsid w:val="001877A7"/>
    <w:rsid w:val="00191536"/>
    <w:rsid w:val="00196687"/>
    <w:rsid w:val="001A4B76"/>
    <w:rsid w:val="001B7F78"/>
    <w:rsid w:val="001C0962"/>
    <w:rsid w:val="001C0F04"/>
    <w:rsid w:val="001D7531"/>
    <w:rsid w:val="001E737D"/>
    <w:rsid w:val="001F0592"/>
    <w:rsid w:val="001F7506"/>
    <w:rsid w:val="002006CD"/>
    <w:rsid w:val="00202B36"/>
    <w:rsid w:val="00204B7A"/>
    <w:rsid w:val="0021101A"/>
    <w:rsid w:val="00217D37"/>
    <w:rsid w:val="00220536"/>
    <w:rsid w:val="00235629"/>
    <w:rsid w:val="00251F92"/>
    <w:rsid w:val="00260C38"/>
    <w:rsid w:val="002616C0"/>
    <w:rsid w:val="002662AA"/>
    <w:rsid w:val="0027514A"/>
    <w:rsid w:val="00280496"/>
    <w:rsid w:val="00295495"/>
    <w:rsid w:val="002B2613"/>
    <w:rsid w:val="002D6536"/>
    <w:rsid w:val="002F1818"/>
    <w:rsid w:val="002F567B"/>
    <w:rsid w:val="003069E9"/>
    <w:rsid w:val="0031696D"/>
    <w:rsid w:val="003216A9"/>
    <w:rsid w:val="00323145"/>
    <w:rsid w:val="0036369B"/>
    <w:rsid w:val="0037013F"/>
    <w:rsid w:val="00380C92"/>
    <w:rsid w:val="003A484F"/>
    <w:rsid w:val="003B0BE0"/>
    <w:rsid w:val="003B0C1B"/>
    <w:rsid w:val="003B18FD"/>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7625D"/>
    <w:rsid w:val="0048263A"/>
    <w:rsid w:val="00487E5D"/>
    <w:rsid w:val="004A711F"/>
    <w:rsid w:val="004B199D"/>
    <w:rsid w:val="004B4690"/>
    <w:rsid w:val="004C28C2"/>
    <w:rsid w:val="004C66B4"/>
    <w:rsid w:val="004D5596"/>
    <w:rsid w:val="004E0A2D"/>
    <w:rsid w:val="004E206B"/>
    <w:rsid w:val="004E6DF7"/>
    <w:rsid w:val="004F0FBD"/>
    <w:rsid w:val="00505A47"/>
    <w:rsid w:val="0050625B"/>
    <w:rsid w:val="00507FB9"/>
    <w:rsid w:val="00512FDA"/>
    <w:rsid w:val="00520DA0"/>
    <w:rsid w:val="005227C2"/>
    <w:rsid w:val="00533E62"/>
    <w:rsid w:val="005664BB"/>
    <w:rsid w:val="0057481D"/>
    <w:rsid w:val="00574FA3"/>
    <w:rsid w:val="0058486E"/>
    <w:rsid w:val="00593F14"/>
    <w:rsid w:val="005D1C8B"/>
    <w:rsid w:val="005D5CED"/>
    <w:rsid w:val="005F0A1B"/>
    <w:rsid w:val="005F1A4C"/>
    <w:rsid w:val="005F7750"/>
    <w:rsid w:val="00605688"/>
    <w:rsid w:val="006070AF"/>
    <w:rsid w:val="00607E6C"/>
    <w:rsid w:val="006101B1"/>
    <w:rsid w:val="00614E44"/>
    <w:rsid w:val="00622830"/>
    <w:rsid w:val="00630AEF"/>
    <w:rsid w:val="006325F8"/>
    <w:rsid w:val="00634C9A"/>
    <w:rsid w:val="00640AA1"/>
    <w:rsid w:val="006440E4"/>
    <w:rsid w:val="006467A9"/>
    <w:rsid w:val="00655877"/>
    <w:rsid w:val="0066343B"/>
    <w:rsid w:val="00664777"/>
    <w:rsid w:val="006748A4"/>
    <w:rsid w:val="00680521"/>
    <w:rsid w:val="00683E73"/>
    <w:rsid w:val="006A3141"/>
    <w:rsid w:val="006A5E34"/>
    <w:rsid w:val="006B2422"/>
    <w:rsid w:val="006B2B9A"/>
    <w:rsid w:val="006C1937"/>
    <w:rsid w:val="006E01D8"/>
    <w:rsid w:val="006F020C"/>
    <w:rsid w:val="007127B7"/>
    <w:rsid w:val="007416B6"/>
    <w:rsid w:val="00746F48"/>
    <w:rsid w:val="00747B20"/>
    <w:rsid w:val="00753C30"/>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08B"/>
    <w:rsid w:val="008C7FD0"/>
    <w:rsid w:val="008E1011"/>
    <w:rsid w:val="008E1DE7"/>
    <w:rsid w:val="008E707C"/>
    <w:rsid w:val="008F616D"/>
    <w:rsid w:val="00900B08"/>
    <w:rsid w:val="00902155"/>
    <w:rsid w:val="00902FA3"/>
    <w:rsid w:val="00912859"/>
    <w:rsid w:val="00923564"/>
    <w:rsid w:val="0092392E"/>
    <w:rsid w:val="009315F9"/>
    <w:rsid w:val="00946945"/>
    <w:rsid w:val="009511A4"/>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3DB1"/>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5BFA"/>
    <w:rsid w:val="00AD7C1B"/>
    <w:rsid w:val="00AE16BA"/>
    <w:rsid w:val="00AE1EBE"/>
    <w:rsid w:val="00AE3B4D"/>
    <w:rsid w:val="00B03C9D"/>
    <w:rsid w:val="00B060AE"/>
    <w:rsid w:val="00B10517"/>
    <w:rsid w:val="00B14E76"/>
    <w:rsid w:val="00B161B8"/>
    <w:rsid w:val="00B16740"/>
    <w:rsid w:val="00B2048C"/>
    <w:rsid w:val="00B310B9"/>
    <w:rsid w:val="00B35F3F"/>
    <w:rsid w:val="00B36CBB"/>
    <w:rsid w:val="00B425E0"/>
    <w:rsid w:val="00B440AA"/>
    <w:rsid w:val="00B44B70"/>
    <w:rsid w:val="00B53C56"/>
    <w:rsid w:val="00B77EA6"/>
    <w:rsid w:val="00B81598"/>
    <w:rsid w:val="00B841F1"/>
    <w:rsid w:val="00B944D6"/>
    <w:rsid w:val="00B97F28"/>
    <w:rsid w:val="00BB4DF0"/>
    <w:rsid w:val="00BC289F"/>
    <w:rsid w:val="00BC5361"/>
    <w:rsid w:val="00BC5460"/>
    <w:rsid w:val="00BC6B50"/>
    <w:rsid w:val="00BD0E25"/>
    <w:rsid w:val="00BF5BD6"/>
    <w:rsid w:val="00C01822"/>
    <w:rsid w:val="00C03E31"/>
    <w:rsid w:val="00C244BE"/>
    <w:rsid w:val="00C2517E"/>
    <w:rsid w:val="00C33779"/>
    <w:rsid w:val="00C33E72"/>
    <w:rsid w:val="00C354B2"/>
    <w:rsid w:val="00C35554"/>
    <w:rsid w:val="00C42044"/>
    <w:rsid w:val="00C42709"/>
    <w:rsid w:val="00C533CC"/>
    <w:rsid w:val="00C5751C"/>
    <w:rsid w:val="00C61BFC"/>
    <w:rsid w:val="00C62B85"/>
    <w:rsid w:val="00C65438"/>
    <w:rsid w:val="00C91CBB"/>
    <w:rsid w:val="00CC09B6"/>
    <w:rsid w:val="00CC32C5"/>
    <w:rsid w:val="00CC666F"/>
    <w:rsid w:val="00CD1E3F"/>
    <w:rsid w:val="00CE44F6"/>
    <w:rsid w:val="00CE49DA"/>
    <w:rsid w:val="00CE7B61"/>
    <w:rsid w:val="00D00095"/>
    <w:rsid w:val="00D17099"/>
    <w:rsid w:val="00D20620"/>
    <w:rsid w:val="00D26091"/>
    <w:rsid w:val="00D34E7C"/>
    <w:rsid w:val="00D35489"/>
    <w:rsid w:val="00D4320A"/>
    <w:rsid w:val="00D51276"/>
    <w:rsid w:val="00D7035F"/>
    <w:rsid w:val="00D7281D"/>
    <w:rsid w:val="00DA65AC"/>
    <w:rsid w:val="00DB0F51"/>
    <w:rsid w:val="00DB1913"/>
    <w:rsid w:val="00DC410D"/>
    <w:rsid w:val="00DC68CA"/>
    <w:rsid w:val="00DC7CBA"/>
    <w:rsid w:val="00DD13C7"/>
    <w:rsid w:val="00DD73B7"/>
    <w:rsid w:val="00DE6078"/>
    <w:rsid w:val="00DF28BC"/>
    <w:rsid w:val="00DF34B9"/>
    <w:rsid w:val="00E01053"/>
    <w:rsid w:val="00E07ACF"/>
    <w:rsid w:val="00E331A1"/>
    <w:rsid w:val="00E33202"/>
    <w:rsid w:val="00E33635"/>
    <w:rsid w:val="00E336A9"/>
    <w:rsid w:val="00E337F2"/>
    <w:rsid w:val="00E50624"/>
    <w:rsid w:val="00E568DF"/>
    <w:rsid w:val="00E64269"/>
    <w:rsid w:val="00E82267"/>
    <w:rsid w:val="00EA010F"/>
    <w:rsid w:val="00ED1B63"/>
    <w:rsid w:val="00ED3C1F"/>
    <w:rsid w:val="00ED4085"/>
    <w:rsid w:val="00ED420E"/>
    <w:rsid w:val="00EE2F57"/>
    <w:rsid w:val="00EE606D"/>
    <w:rsid w:val="00EF4C34"/>
    <w:rsid w:val="00EF77C6"/>
    <w:rsid w:val="00F05438"/>
    <w:rsid w:val="00F1361C"/>
    <w:rsid w:val="00F160C7"/>
    <w:rsid w:val="00F36D8F"/>
    <w:rsid w:val="00F417B1"/>
    <w:rsid w:val="00F602DF"/>
    <w:rsid w:val="00F63846"/>
    <w:rsid w:val="00F81FD9"/>
    <w:rsid w:val="00F841AA"/>
    <w:rsid w:val="00FA23E8"/>
    <w:rsid w:val="00FD3CC1"/>
    <w:rsid w:val="00FF1E02"/>
    <w:rsid w:val="00FF30B4"/>
    <w:rsid w:val="06365B65"/>
    <w:rsid w:val="10C055FF"/>
    <w:rsid w:val="15D96DAB"/>
    <w:rsid w:val="16BB723D"/>
    <w:rsid w:val="19B140B2"/>
    <w:rsid w:val="240371BF"/>
    <w:rsid w:val="29FD04D3"/>
    <w:rsid w:val="2B455493"/>
    <w:rsid w:val="319F7F4E"/>
    <w:rsid w:val="31A05099"/>
    <w:rsid w:val="337A5840"/>
    <w:rsid w:val="34316385"/>
    <w:rsid w:val="365F34B5"/>
    <w:rsid w:val="37292B98"/>
    <w:rsid w:val="3EDE1865"/>
    <w:rsid w:val="3EFF7F7B"/>
    <w:rsid w:val="40627A73"/>
    <w:rsid w:val="47901DC6"/>
    <w:rsid w:val="5BBF170D"/>
    <w:rsid w:val="65D720AE"/>
    <w:rsid w:val="6CAB3238"/>
    <w:rsid w:val="F7ED5D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8"/>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标题 1 Char"/>
    <w:basedOn w:val="13"/>
    <w:link w:val="2"/>
    <w:qFormat/>
    <w:locked/>
    <w:uiPriority w:val="99"/>
    <w:rPr>
      <w:rFonts w:ascii="Times New Roman" w:hAnsi="Times New Roman" w:cs="Times New Roman"/>
      <w:b/>
      <w:bCs/>
      <w:kern w:val="44"/>
      <w:sz w:val="44"/>
      <w:szCs w:val="44"/>
    </w:rPr>
  </w:style>
  <w:style w:type="character" w:customStyle="1" w:styleId="17">
    <w:name w:val="标题 2 Char"/>
    <w:basedOn w:val="13"/>
    <w:link w:val="3"/>
    <w:qFormat/>
    <w:locked/>
    <w:uiPriority w:val="99"/>
    <w:rPr>
      <w:rFonts w:ascii="Cambria" w:hAnsi="Cambria" w:eastAsia="宋体" w:cs="Times New Roman"/>
      <w:b/>
      <w:bCs/>
      <w:kern w:val="2"/>
      <w:sz w:val="32"/>
      <w:szCs w:val="32"/>
    </w:rPr>
  </w:style>
  <w:style w:type="character" w:customStyle="1" w:styleId="18">
    <w:name w:val="标题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locked/>
    <w:uiPriority w:val="99"/>
    <w:rPr>
      <w:rFonts w:ascii="Times New Roman" w:hAnsi="Times New Roman" w:cs="Times New Roman"/>
      <w:sz w:val="24"/>
      <w:szCs w:val="24"/>
    </w:rPr>
  </w:style>
  <w:style w:type="character" w:customStyle="1" w:styleId="20">
    <w:name w:val="Footer Char"/>
    <w:basedOn w:val="13"/>
    <w:link w:val="8"/>
    <w:semiHidden/>
    <w:qFormat/>
    <w:locked/>
    <w:uiPriority w:val="99"/>
    <w:rPr>
      <w:rFonts w:ascii="Times New Roman" w:hAnsi="Times New Roman" w:cs="Times New Roman"/>
      <w:sz w:val="18"/>
      <w:szCs w:val="18"/>
    </w:rPr>
  </w:style>
  <w:style w:type="character" w:customStyle="1" w:styleId="21">
    <w:name w:val="Header Char"/>
    <w:basedOn w:val="13"/>
    <w:link w:val="9"/>
    <w:semiHidden/>
    <w:qFormat/>
    <w:locked/>
    <w:uiPriority w:val="99"/>
    <w:rPr>
      <w:rFonts w:ascii="Times New Roman" w:hAnsi="Times New Roman" w:cs="Times New Roman"/>
      <w:sz w:val="18"/>
      <w:szCs w:val="18"/>
    </w:rPr>
  </w:style>
  <w:style w:type="character" w:customStyle="1" w:styleId="22">
    <w:name w:val="页眉 Char"/>
    <w:link w:val="9"/>
    <w:semiHidden/>
    <w:qFormat/>
    <w:locked/>
    <w:uiPriority w:val="99"/>
    <w:rPr>
      <w:sz w:val="18"/>
    </w:rPr>
  </w:style>
  <w:style w:type="character" w:customStyle="1" w:styleId="23">
    <w:name w:val="页脚 Char"/>
    <w:link w:val="8"/>
    <w:qFormat/>
    <w:locked/>
    <w:uiPriority w:val="99"/>
    <w:rPr>
      <w:sz w:val="18"/>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paragraph" w:customStyle="1" w:styleId="27">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8">
    <w:name w:val="批注框文本 Char"/>
    <w:basedOn w:val="13"/>
    <w:link w:val="7"/>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575"/>
          <c:y val="0.1825"/>
          <c:w val="0.735675000000002"/>
          <c:h val="0.715233333333333"/>
        </c:manualLayout>
      </c:layout>
      <c:barChart>
        <c:barDir val="col"/>
        <c:grouping val="clustered"/>
        <c:varyColors val="0"/>
        <c:ser>
          <c:idx val="0"/>
          <c:order val="0"/>
          <c:tx>
            <c:strRef>
              <c:f>Sheet1!$B$1</c:f>
              <c:strCache>
                <c:ptCount val="1"/>
                <c:pt idx="0">
                  <c:v>收支合计（单位：万元）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468.97</c:v>
                </c:pt>
              </c:numCache>
            </c:numRef>
          </c:val>
        </c:ser>
        <c:ser>
          <c:idx val="1"/>
          <c:order val="1"/>
          <c:tx>
            <c:strRef>
              <c:f>Sheet1!$C$1</c:f>
              <c:strCache>
                <c:ptCount val="1"/>
                <c:pt idx="0">
                  <c:v/>
                </c:pt>
              </c:strCache>
            </c:strRef>
          </c:tx>
          <c:spPr>
            <a:solidFill>
              <a:schemeClr val="accent1"/>
            </a:solidFill>
            <a:ln>
              <a:noFill/>
            </a:ln>
            <a:effectLst/>
          </c:spPr>
          <c:invertIfNegative val="0"/>
          <c:dLbls>
            <c:dLbl>
              <c:idx val="0"/>
              <c:delete val="1"/>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Sheet1!$C$2:$C$5</c15:sqref>
                  </c15:fullRef>
                </c:ext>
              </c:extLst>
              <c:f>Sheet1!$C$2:$C$3</c:f>
              <c:numCache>
                <c:formatCode>General</c:formatCode>
                <c:ptCount val="2"/>
                <c:pt idx="1">
                  <c:v>612.75</c:v>
                </c:pt>
              </c:numCache>
            </c:numRef>
          </c:val>
        </c:ser>
        <c:dLbls>
          <c:showLegendKey val="0"/>
          <c:showVal val="0"/>
          <c:showCatName val="0"/>
          <c:showSerName val="0"/>
          <c:showPercent val="0"/>
          <c:showBubbleSize val="0"/>
        </c:dLbls>
        <c:gapWidth val="500"/>
        <c:overlap val="100"/>
        <c:axId val="99463168"/>
        <c:axId val="99464704"/>
      </c:barChart>
      <c:catAx>
        <c:axId val="994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64704"/>
        <c:crosses val="autoZero"/>
        <c:auto val="1"/>
        <c:lblAlgn val="ctr"/>
        <c:lblOffset val="100"/>
        <c:noMultiLvlLbl val="0"/>
      </c:catAx>
      <c:valAx>
        <c:axId val="99464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63168"/>
        <c:crosses val="autoZero"/>
        <c:crossBetween val="between"/>
      </c:valAx>
      <c:spPr>
        <a:noFill/>
        <a:ln>
          <a:noFill/>
        </a:ln>
        <a:effectLst>
          <a:glow>
            <a:schemeClr val="accent1">
              <a:alpha val="100000"/>
            </a:schemeClr>
          </a:glow>
          <a:outerShdw blurRad="50800" dir="5400000" algn="ctr" rotWithShape="0">
            <a:srgbClr val="000000">
              <a:alpha val="43000"/>
            </a:srgbClr>
          </a:outerShdw>
          <a:softEdge rad="635000"/>
        </a:effectLst>
      </c:spPr>
    </c:plotArea>
    <c:legend>
      <c:legendPos val="r"/>
      <c:legendEntry>
        <c:idx val="1"/>
        <c:delete val="1"/>
      </c:legendEntry>
      <c:layout>
        <c:manualLayout>
          <c:xMode val="edge"/>
          <c:yMode val="edge"/>
          <c:x val="0.8695"/>
          <c:y val="0.0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2"/>
                <c:pt idx="0">
                  <c:v>事业收入</c:v>
                </c:pt>
                <c:pt idx="1">
                  <c:v>一般公共预算财政拨款收入</c:v>
                </c:pt>
              </c:strCache>
            </c:strRef>
          </c:cat>
          <c:val>
            <c:numRef>
              <c:f>Sheet1!$B$2:$B$5</c:f>
              <c:numCache>
                <c:formatCode>General</c:formatCode>
                <c:ptCount val="4"/>
                <c:pt idx="0">
                  <c:v>64.56</c:v>
                </c:pt>
                <c:pt idx="1">
                  <c:v>35.44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290372670807455"/>
          <c:y val="0.9263389085994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2"/>
                <c:pt idx="0">
                  <c:v>基本支出</c:v>
                </c:pt>
                <c:pt idx="1">
                  <c:v>项目支出</c:v>
                </c:pt>
              </c:strCache>
            </c:strRef>
          </c:cat>
          <c:val>
            <c:numRef>
              <c:f>Sheet1!$B$2:$B$5</c:f>
              <c:numCache>
                <c:formatCode>General</c:formatCode>
                <c:ptCount val="4"/>
                <c:pt idx="0">
                  <c:v>83.27</c:v>
                </c:pt>
                <c:pt idx="1">
                  <c:v>16.73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376312500000001"/>
          <c:y val="0.932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945"/>
          <c:y val="0.138"/>
          <c:w val="0.770800000000001"/>
          <c:h val="0.716900000000001"/>
        </c:manualLayout>
      </c:layout>
      <c:barChart>
        <c:barDir val="col"/>
        <c:grouping val="clustered"/>
        <c:varyColors val="0"/>
        <c:ser>
          <c:idx val="0"/>
          <c:order val="0"/>
          <c:tx>
            <c:strRef>
              <c:f>Sheet1!$B$1</c:f>
              <c:strCache>
                <c:ptCount val="1"/>
                <c:pt idx="0">
                  <c:v>财政拨款收支总计（单位：万元）</c:v>
                </c:pt>
              </c:strCache>
            </c:strRef>
          </c:tx>
          <c:spPr>
            <a:solidFill>
              <a:schemeClr val="tx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234.09</c:v>
                </c:pt>
              </c:numCache>
            </c:numRef>
          </c:val>
        </c:ser>
        <c:ser>
          <c:idx val="1"/>
          <c:order val="1"/>
          <c:tx>
            <c:strRef>
              <c:f>Sheet1!$C$1</c:f>
              <c:strCache>
                <c:ptCount val="1"/>
                <c:pt idx="0">
                  <c:v/>
                </c:pt>
              </c:strCache>
            </c:strRef>
          </c:tx>
          <c:spPr>
            <a:solidFill>
              <a:schemeClr val="tx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Sheet1!$C$2:$C$5</c15:sqref>
                  </c15:fullRef>
                </c:ext>
              </c:extLst>
              <c:f>Sheet1!$C$2:$C$3</c:f>
              <c:numCache>
                <c:formatCode>General</c:formatCode>
                <c:ptCount val="2"/>
                <c:pt idx="1">
                  <c:v>260.18</c:v>
                </c:pt>
              </c:numCache>
            </c:numRef>
          </c:val>
        </c:ser>
        <c:dLbls>
          <c:showLegendKey val="0"/>
          <c:showVal val="0"/>
          <c:showCatName val="0"/>
          <c:showSerName val="0"/>
          <c:showPercent val="0"/>
          <c:showBubbleSize val="0"/>
        </c:dLbls>
        <c:gapWidth val="500"/>
        <c:overlap val="100"/>
        <c:axId val="100311424"/>
        <c:axId val="10031296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1">
                      <a:tint val="65000"/>
                    </a:schemeClr>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2018</c:v>
                      </c:pt>
                      <c:pt idx="1">
                        <c:v>2019</c:v>
                      </c:pt>
                    </c:numCache>
                  </c:numRef>
                </c:cat>
              </c15:ser>
            </c15:filteredBarSeries>
          </c:ext>
        </c:extLst>
      </c:barChart>
      <c:catAx>
        <c:axId val="10031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312960"/>
        <c:crosses val="autoZero"/>
        <c:auto val="1"/>
        <c:lblAlgn val="ctr"/>
        <c:lblOffset val="100"/>
        <c:noMultiLvlLbl val="0"/>
      </c:catAx>
      <c:valAx>
        <c:axId val="1003129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311424"/>
        <c:crosses val="autoZero"/>
        <c:crossBetween val="between"/>
      </c:valAx>
      <c:spPr>
        <a:noFill/>
        <a:ln>
          <a:noFill/>
        </a:ln>
        <a:effectLst/>
      </c:spPr>
    </c:plotArea>
    <c:legend>
      <c:legendPos val="b"/>
      <c:legendEntry>
        <c:idx val="1"/>
        <c:delete val="1"/>
      </c:legendEntry>
      <c:layout>
        <c:manualLayout>
          <c:xMode val="edge"/>
          <c:yMode val="edge"/>
          <c:x val="0.412125"/>
          <c:y val="0.9241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3415354330709"/>
          <c:y val="0.0539141242442189"/>
          <c:w val="0.905175000000001"/>
          <c:h val="0.742705005324816"/>
        </c:manualLayout>
      </c:layout>
      <c:barChart>
        <c:barDir val="col"/>
        <c:grouping val="clustered"/>
        <c:varyColors val="0"/>
        <c:ser>
          <c:idx val="0"/>
          <c:order val="0"/>
          <c:tx>
            <c:strRef>
              <c:f>Sheet1!$B$1</c:f>
              <c:strCache>
                <c:ptCount val="1"/>
                <c:pt idx="0">
                  <c:v>一般公共预算财政拨款支出（单位：万元）</c:v>
                </c:pt>
              </c:strCache>
            </c:strRef>
          </c:tx>
          <c:spPr>
            <a:solidFill>
              <a:schemeClr val="tx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167.43</c:v>
                </c:pt>
              </c:numCache>
            </c:numRef>
          </c:val>
        </c:ser>
        <c:ser>
          <c:idx val="1"/>
          <c:order val="1"/>
          <c:tx>
            <c:strRef>
              <c:f>Sheet1!$C$1</c:f>
              <c:strCache>
                <c:ptCount val="1"/>
                <c:pt idx="0">
                  <c:v/>
                </c:pt>
              </c:strCache>
            </c:strRef>
          </c:tx>
          <c:spPr>
            <a:solidFill>
              <a:schemeClr val="tx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Sheet1!$C$2:$C$5</c15:sqref>
                  </c15:fullRef>
                </c:ext>
              </c:extLst>
              <c:f>Sheet1!$C$2:$C$3</c:f>
              <c:numCache>
                <c:formatCode>General</c:formatCode>
                <c:ptCount val="2"/>
                <c:pt idx="1">
                  <c:v>173.38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Sheet1!$A$2:$A$3</c:f>
              <c:numCache>
                <c:formatCode>General</c:formatCode>
                <c:ptCount val="2"/>
                <c:pt idx="0">
                  <c:v>2018</c:v>
                </c:pt>
                <c:pt idx="1">
                  <c:v>2019</c:v>
                </c:pt>
              </c:numCache>
            </c:num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0"/>
          <c:showCatName val="0"/>
          <c:showSerName val="0"/>
          <c:showPercent val="0"/>
          <c:showBubbleSize val="0"/>
        </c:dLbls>
        <c:gapWidth val="500"/>
        <c:overlap val="100"/>
        <c:axId val="100455552"/>
        <c:axId val="100457088"/>
      </c:barChart>
      <c:catAx>
        <c:axId val="10045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457088"/>
        <c:crosses val="autoZero"/>
        <c:auto val="1"/>
        <c:lblAlgn val="ctr"/>
        <c:lblOffset val="100"/>
        <c:noMultiLvlLbl val="0"/>
      </c:catAx>
      <c:valAx>
        <c:axId val="100457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45555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125"/>
          <c:y val="0.133035714285714"/>
          <c:w val="0.520625000000001"/>
          <c:h val="0.743750000000001"/>
        </c:manualLayout>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卫生健康支出</c:v>
                </c:pt>
                <c:pt idx="1">
                  <c:v>社会保障和就业支出</c:v>
                </c:pt>
                <c:pt idx="2">
                  <c:v>住房保障支出</c:v>
                </c:pt>
              </c:strCache>
            </c:strRef>
          </c:cat>
          <c:val>
            <c:numRef>
              <c:f>Sheet1!$B$2:$B$5</c:f>
              <c:numCache>
                <c:formatCode>General</c:formatCode>
                <c:ptCount val="4"/>
                <c:pt idx="0">
                  <c:v>85.97</c:v>
                </c:pt>
                <c:pt idx="1">
                  <c:v>8.2</c:v>
                </c:pt>
                <c:pt idx="2">
                  <c:v>5.83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8117</Words>
  <Characters>8877</Characters>
  <Lines>18</Lines>
  <Paragraphs>20</Paragraphs>
  <TotalTime>5</TotalTime>
  <ScaleCrop>false</ScaleCrop>
  <LinksUpToDate>false</LinksUpToDate>
  <CharactersWithSpaces>8935</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2020-09-15T10:15:00Z</dcterms:created>
  <dc:creator>张彬茜</dc:creator>
  <cp:lastModifiedBy>user</cp:lastModifiedBy>
  <cp:lastPrinted>2020-09-16T12:52:00Z</cp:lastPrinted>
  <dcterms:modified xsi:type="dcterms:W3CDTF">2022-07-21T09:10:46Z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A16EC111849B454690998ECB3692C68D</vt:lpwstr>
  </property>
</Properties>
</file>