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Toc15306267"/>
    </w:p>
    <w:p>
      <w:pPr>
        <w:rPr>
          <w:rFonts w:ascii="仿宋" w:hAnsi="仿宋" w:eastAsia="仿宋"/>
          <w:sz w:val="32"/>
          <w:szCs w:val="32"/>
        </w:rPr>
      </w:pPr>
    </w:p>
    <w:p/>
    <w:p>
      <w:pPr>
        <w:rPr>
          <w:rFonts w:ascii="仿宋" w:hAnsi="仿宋" w:eastAsia="仿宋"/>
          <w:sz w:val="32"/>
          <w:szCs w:val="32"/>
        </w:rPr>
      </w:pPr>
    </w:p>
    <w:p>
      <w:pPr>
        <w:rPr>
          <w:rFonts w:ascii="仿宋" w:hAnsi="仿宋" w:eastAsia="仿宋"/>
          <w:sz w:val="32"/>
          <w:szCs w:val="32"/>
        </w:rPr>
      </w:pPr>
    </w:p>
    <w:bookmarkEnd w:id="0"/>
    <w:p>
      <w:pPr>
        <w:tabs>
          <w:tab w:val="center" w:pos="4410"/>
          <w:tab w:val="left" w:pos="6585"/>
        </w:tabs>
        <w:adjustRightInd w:val="0"/>
        <w:snapToGrid w:val="0"/>
        <w:spacing w:line="360" w:lineRule="auto"/>
        <w:jc w:val="left"/>
        <w:outlineLvl w:val="0"/>
        <w:rPr>
          <w:rFonts w:ascii="黑体" w:hAnsi="黑体" w:eastAsia="黑体"/>
          <w:b/>
          <w:bCs/>
          <w:color w:val="000000"/>
          <w:sz w:val="72"/>
          <w:szCs w:val="72"/>
        </w:rPr>
      </w:pPr>
      <w:bookmarkStart w:id="1" w:name="_Toc15377193"/>
      <w:bookmarkStart w:id="2" w:name="_Toc15396475"/>
      <w:bookmarkStart w:id="3" w:name="_Toc15377425"/>
      <w:bookmarkStart w:id="4" w:name="_Toc15396597"/>
      <w:bookmarkStart w:id="5" w:name="_Toc15378441"/>
      <w:r>
        <w:rPr>
          <w:rFonts w:ascii="方正粗黑宋简体" w:hAnsi="方正粗黑宋简体" w:eastAsia="方正粗黑宋简体"/>
          <w:color w:val="000000"/>
          <w:sz w:val="72"/>
          <w:szCs w:val="72"/>
        </w:rPr>
        <w:tab/>
      </w:r>
      <w:r>
        <w:rPr>
          <w:rFonts w:ascii="黑体" w:hAnsi="黑体" w:eastAsia="黑体" w:cs="黑体"/>
          <w:b/>
          <w:bCs/>
          <w:color w:val="000000"/>
          <w:sz w:val="72"/>
          <w:szCs w:val="72"/>
        </w:rPr>
        <w:t>2018</w:t>
      </w:r>
      <w:r>
        <w:rPr>
          <w:rFonts w:hint="eastAsia" w:ascii="黑体" w:hAnsi="黑体" w:eastAsia="黑体" w:cs="黑体"/>
          <w:b/>
          <w:bCs/>
          <w:color w:val="000000"/>
          <w:sz w:val="72"/>
          <w:szCs w:val="72"/>
        </w:rPr>
        <w:t>年度</w:t>
      </w:r>
      <w:bookmarkEnd w:id="1"/>
      <w:bookmarkEnd w:id="2"/>
      <w:bookmarkEnd w:id="3"/>
      <w:bookmarkEnd w:id="4"/>
      <w:bookmarkEnd w:id="5"/>
      <w:r>
        <w:rPr>
          <w:rFonts w:ascii="黑体" w:hAnsi="黑体" w:eastAsia="黑体"/>
          <w:b/>
          <w:bCs/>
          <w:color w:val="000000"/>
          <w:sz w:val="72"/>
          <w:szCs w:val="72"/>
        </w:rPr>
        <w:tab/>
      </w:r>
    </w:p>
    <w:p>
      <w:pPr>
        <w:adjustRightInd w:val="0"/>
        <w:snapToGrid w:val="0"/>
        <w:spacing w:line="360" w:lineRule="auto"/>
        <w:jc w:val="center"/>
        <w:outlineLvl w:val="0"/>
        <w:rPr>
          <w:rFonts w:ascii="黑体" w:hAnsi="黑体" w:eastAsia="黑体"/>
          <w:b/>
          <w:bCs/>
          <w:color w:val="000000"/>
          <w:sz w:val="72"/>
          <w:szCs w:val="72"/>
        </w:rPr>
      </w:pPr>
      <w:bookmarkStart w:id="6" w:name="_Toc15396476"/>
      <w:bookmarkStart w:id="7" w:name="_Toc15377426"/>
      <w:bookmarkStart w:id="8" w:name="_Toc15377194"/>
      <w:bookmarkStart w:id="9" w:name="_Toc15378442"/>
      <w:bookmarkStart w:id="10" w:name="_Toc15396598"/>
      <w:r>
        <w:rPr>
          <w:rFonts w:hint="eastAsia" w:ascii="黑体" w:hAnsi="黑体" w:eastAsia="黑体" w:cs="黑体"/>
          <w:b/>
          <w:bCs/>
          <w:color w:val="000000"/>
          <w:sz w:val="72"/>
          <w:szCs w:val="72"/>
        </w:rPr>
        <w:t>四川省</w:t>
      </w:r>
      <w:bookmarkStart w:id="11" w:name="_Toc15306268"/>
      <w:r>
        <w:rPr>
          <w:rFonts w:hint="eastAsia" w:ascii="黑体" w:hAnsi="黑体" w:eastAsia="黑体" w:cs="黑体"/>
          <w:b/>
          <w:bCs/>
          <w:color w:val="000000"/>
          <w:sz w:val="72"/>
          <w:szCs w:val="72"/>
        </w:rPr>
        <w:t>达州市达川区</w:t>
      </w:r>
    </w:p>
    <w:p>
      <w:pPr>
        <w:adjustRightInd w:val="0"/>
        <w:snapToGrid w:val="0"/>
        <w:spacing w:line="360" w:lineRule="auto"/>
        <w:jc w:val="center"/>
        <w:outlineLvl w:val="0"/>
        <w:rPr>
          <w:rFonts w:ascii="黑体" w:hAnsi="黑体" w:eastAsia="黑体"/>
          <w:b/>
          <w:bCs/>
          <w:color w:val="000000"/>
          <w:sz w:val="72"/>
          <w:szCs w:val="72"/>
        </w:rPr>
      </w:pPr>
      <w:r>
        <w:rPr>
          <w:rFonts w:hint="eastAsia" w:ascii="黑体" w:hAnsi="黑体" w:eastAsia="黑体" w:cs="黑体"/>
          <w:b/>
          <w:bCs/>
          <w:color w:val="000000"/>
          <w:sz w:val="72"/>
          <w:szCs w:val="72"/>
        </w:rPr>
        <w:t>文化市场综合执法大队</w:t>
      </w:r>
    </w:p>
    <w:p>
      <w:pPr>
        <w:adjustRightInd w:val="0"/>
        <w:snapToGrid w:val="0"/>
        <w:spacing w:line="360" w:lineRule="auto"/>
        <w:jc w:val="center"/>
        <w:outlineLvl w:val="0"/>
        <w:rPr>
          <w:rFonts w:ascii="黑体" w:hAnsi="黑体" w:eastAsia="黑体"/>
          <w:b/>
          <w:bCs/>
          <w:color w:val="000000"/>
          <w:sz w:val="72"/>
          <w:szCs w:val="72"/>
        </w:rPr>
      </w:pPr>
      <w:r>
        <w:rPr>
          <w:rFonts w:hint="eastAsia" w:ascii="黑体" w:hAnsi="黑体" w:eastAsia="黑体" w:cs="黑体"/>
          <w:b/>
          <w:bCs/>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黑体" w:hAnsi="黑体" w:eastAsia="黑体"/>
          <w:b/>
          <w:bCs/>
          <w:color w:val="000000"/>
          <w:sz w:val="72"/>
          <w:szCs w:val="72"/>
        </w:rPr>
      </w:pPr>
    </w:p>
    <w:p>
      <w:pPr>
        <w:adjustRightInd w:val="0"/>
        <w:snapToGrid w:val="0"/>
        <w:spacing w:line="360" w:lineRule="auto"/>
        <w:jc w:val="center"/>
        <w:outlineLvl w:val="0"/>
        <w:rPr>
          <w:rFonts w:ascii="黑体" w:hAnsi="黑体" w:eastAsia="黑体"/>
          <w:b/>
          <w:bCs/>
          <w:color w:val="000000"/>
          <w:sz w:val="72"/>
          <w:szCs w:val="72"/>
        </w:rPr>
      </w:pPr>
    </w:p>
    <w:p>
      <w:pPr>
        <w:adjustRightInd w:val="0"/>
        <w:snapToGrid w:val="0"/>
        <w:spacing w:line="360" w:lineRule="auto"/>
        <w:jc w:val="center"/>
        <w:outlineLvl w:val="0"/>
        <w:rPr>
          <w:rFonts w:ascii="黑体" w:hAnsi="黑体" w:eastAsia="黑体"/>
          <w:b/>
          <w:bCs/>
          <w:color w:val="000000"/>
          <w:sz w:val="72"/>
          <w:szCs w:val="72"/>
        </w:rPr>
      </w:pPr>
    </w:p>
    <w:p>
      <w:pPr>
        <w:adjustRightInd w:val="0"/>
        <w:snapToGrid w:val="0"/>
        <w:spacing w:line="360" w:lineRule="auto"/>
        <w:jc w:val="center"/>
        <w:outlineLvl w:val="0"/>
        <w:rPr>
          <w:rFonts w:ascii="黑体" w:hAnsi="黑体" w:eastAsia="黑体"/>
          <w:b/>
          <w:bCs/>
          <w:color w:val="000000"/>
          <w:sz w:val="72"/>
          <w:szCs w:val="72"/>
        </w:rPr>
      </w:pPr>
    </w:p>
    <w:p>
      <w:pPr>
        <w:spacing w:line="440" w:lineRule="exact"/>
        <w:jc w:val="center"/>
        <w:rPr>
          <w:rFonts w:ascii="黑体" w:hAnsi="黑体" w:eastAsia="黑体"/>
          <w:b/>
          <w:bCs/>
          <w:sz w:val="44"/>
          <w:szCs w:val="44"/>
        </w:rPr>
      </w:pPr>
      <w:bookmarkStart w:id="12" w:name="_Toc18757_WPSOffice_Type2"/>
      <w:r>
        <w:rPr>
          <w:rFonts w:hint="eastAsia" w:ascii="黑体" w:hAnsi="黑体" w:eastAsia="黑体" w:cs="黑体"/>
          <w:b/>
          <w:bCs/>
          <w:sz w:val="44"/>
          <w:szCs w:val="44"/>
        </w:rPr>
        <w:t>目</w:t>
      </w:r>
      <w:r>
        <w:rPr>
          <w:rFonts w:ascii="黑体" w:hAnsi="黑体" w:eastAsia="黑体" w:cs="黑体"/>
          <w:b/>
          <w:bCs/>
          <w:sz w:val="44"/>
          <w:szCs w:val="44"/>
        </w:rPr>
        <w:t xml:space="preserve">      </w:t>
      </w:r>
      <w:r>
        <w:rPr>
          <w:rFonts w:hint="eastAsia" w:ascii="黑体" w:hAnsi="黑体" w:eastAsia="黑体" w:cs="黑体"/>
          <w:b/>
          <w:bCs/>
          <w:sz w:val="44"/>
          <w:szCs w:val="44"/>
        </w:rPr>
        <w:t>录</w:t>
      </w:r>
    </w:p>
    <w:p>
      <w:pPr>
        <w:pStyle w:val="34"/>
        <w:tabs>
          <w:tab w:val="right" w:leader="dot" w:pos="8820"/>
        </w:tabs>
        <w:spacing w:line="440" w:lineRule="exact"/>
        <w:rPr>
          <w:rFonts w:ascii="宋体"/>
          <w:sz w:val="28"/>
          <w:szCs w:val="28"/>
        </w:rPr>
      </w:pPr>
      <w:r>
        <w:fldChar w:fldCharType="begin"/>
      </w:r>
      <w:r>
        <w:instrText xml:space="preserve"> HYPERLINK \l "_Toc17360_WPSOffice_Level1" </w:instrText>
      </w:r>
      <w:r>
        <w:fldChar w:fldCharType="separate"/>
      </w:r>
      <w:r>
        <w:rPr>
          <w:rFonts w:hint="eastAsia" w:ascii="宋体" w:hAnsi="宋体" w:cs="宋体"/>
          <w:b/>
          <w:bCs/>
          <w:sz w:val="28"/>
          <w:szCs w:val="28"/>
        </w:rPr>
        <w:t>第一部分</w:t>
      </w:r>
      <w:r>
        <w:rPr>
          <w:rFonts w:ascii="宋体" w:hAnsi="宋体" w:cs="宋体"/>
          <w:b/>
          <w:bCs/>
          <w:sz w:val="28"/>
          <w:szCs w:val="28"/>
        </w:rPr>
        <w:t xml:space="preserve"> </w:t>
      </w:r>
      <w:r>
        <w:rPr>
          <w:rFonts w:hint="eastAsia" w:ascii="宋体" w:hAnsi="宋体" w:cs="宋体"/>
          <w:b/>
          <w:bCs/>
          <w:sz w:val="28"/>
          <w:szCs w:val="28"/>
        </w:rPr>
        <w:t>部门概况</w:t>
      </w:r>
      <w:r>
        <w:rPr>
          <w:rFonts w:ascii="宋体"/>
          <w:b/>
          <w:bCs/>
          <w:sz w:val="28"/>
          <w:szCs w:val="28"/>
        </w:rPr>
        <w:tab/>
      </w:r>
      <w:bookmarkStart w:id="13" w:name="_Toc17360_WPSOffice_Level1Page"/>
      <w:r>
        <w:rPr>
          <w:rFonts w:ascii="宋体" w:hAnsi="宋体" w:cs="宋体"/>
          <w:b/>
          <w:bCs/>
          <w:sz w:val="28"/>
          <w:szCs w:val="28"/>
        </w:rPr>
        <w:t>3</w:t>
      </w:r>
      <w:bookmarkEnd w:id="13"/>
      <w:r>
        <w:rPr>
          <w:rFonts w:ascii="宋体" w:hAnsi="宋体" w:cs="宋体"/>
          <w:b/>
          <w:bCs/>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"_Toc28785_WPSOffice_Level2" </w:instrText>
      </w:r>
      <w:r>
        <w:fldChar w:fldCharType="separate"/>
      </w:r>
      <w:r>
        <w:rPr>
          <w:rFonts w:hint="eastAsia" w:ascii="宋体" w:hAnsi="宋体" w:cs="宋体"/>
          <w:sz w:val="28"/>
          <w:szCs w:val="28"/>
        </w:rPr>
        <w:t>一、基本职能及主要工作</w:t>
      </w:r>
      <w:r>
        <w:rPr>
          <w:rFonts w:ascii="宋体"/>
          <w:sz w:val="28"/>
          <w:szCs w:val="28"/>
        </w:rPr>
        <w:tab/>
      </w:r>
      <w:bookmarkStart w:id="14" w:name="_Toc28785_WPSOffice_Level2Page"/>
      <w:r>
        <w:rPr>
          <w:rFonts w:ascii="宋体" w:hAnsi="宋体" w:cs="宋体"/>
          <w:sz w:val="28"/>
          <w:szCs w:val="28"/>
        </w:rPr>
        <w:t>3</w:t>
      </w:r>
      <w:bookmarkEnd w:id="14"/>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"_Toc1907_WPSOffice_Level2" </w:instrText>
      </w:r>
      <w:r>
        <w:fldChar w:fldCharType="separate"/>
      </w:r>
      <w:r>
        <w:rPr>
          <w:rFonts w:hint="eastAsia" w:ascii="宋体" w:hAnsi="宋体" w:cs="宋体"/>
          <w:sz w:val="28"/>
          <w:szCs w:val="28"/>
        </w:rPr>
        <w:t>二、机构设置</w:t>
      </w:r>
      <w:r>
        <w:rPr>
          <w:rFonts w:ascii="宋体"/>
          <w:sz w:val="28"/>
          <w:szCs w:val="28"/>
        </w:rPr>
        <w:tab/>
      </w:r>
      <w:bookmarkStart w:id="15" w:name="_Toc1907_WPSOffice_Level2Page"/>
      <w:r>
        <w:rPr>
          <w:rFonts w:ascii="宋体" w:hAnsi="宋体" w:cs="宋体"/>
          <w:sz w:val="28"/>
          <w:szCs w:val="28"/>
        </w:rPr>
        <w:t>4</w:t>
      </w:r>
      <w:bookmarkEnd w:id="15"/>
      <w:r>
        <w:rPr>
          <w:rFonts w:ascii="宋体" w:hAnsi="宋体" w:cs="宋体"/>
          <w:sz w:val="28"/>
          <w:szCs w:val="28"/>
        </w:rPr>
        <w:fldChar w:fldCharType="end"/>
      </w:r>
    </w:p>
    <w:p>
      <w:pPr>
        <w:pStyle w:val="34"/>
        <w:tabs>
          <w:tab w:val="right" w:leader="dot" w:pos="8820"/>
        </w:tabs>
        <w:spacing w:line="440" w:lineRule="exact"/>
        <w:rPr>
          <w:rFonts w:ascii="宋体"/>
          <w:sz w:val="28"/>
          <w:szCs w:val="28"/>
        </w:rPr>
      </w:pPr>
      <w:r>
        <w:fldChar w:fldCharType="begin"/>
      </w:r>
      <w:r>
        <w:instrText xml:space="preserve"> HYPERLINK \l "_Toc8302_WPSOffice_Level1" </w:instrText>
      </w:r>
      <w:r>
        <w:fldChar w:fldCharType="separate"/>
      </w:r>
      <w:r>
        <w:rPr>
          <w:rFonts w:hint="eastAsia" w:ascii="宋体" w:hAnsi="宋体" w:cs="宋体"/>
          <w:b/>
          <w:bCs/>
          <w:sz w:val="28"/>
          <w:szCs w:val="28"/>
        </w:rPr>
        <w:t>第二部分</w:t>
      </w:r>
      <w:r>
        <w:rPr>
          <w:rFonts w:ascii="宋体" w:hAnsi="宋体" w:cs="宋体"/>
          <w:b/>
          <w:bCs/>
          <w:sz w:val="28"/>
          <w:szCs w:val="28"/>
        </w:rPr>
        <w:t xml:space="preserve"> 2018</w:t>
      </w:r>
      <w:r>
        <w:rPr>
          <w:rFonts w:hint="eastAsia" w:ascii="宋体" w:hAnsi="宋体" w:cs="宋体"/>
          <w:b/>
          <w:bCs/>
          <w:sz w:val="28"/>
          <w:szCs w:val="28"/>
        </w:rPr>
        <w:t>年度部门决算情况说明</w:t>
      </w:r>
      <w:r>
        <w:rPr>
          <w:rFonts w:ascii="宋体"/>
          <w:b/>
          <w:bCs/>
          <w:sz w:val="28"/>
          <w:szCs w:val="28"/>
        </w:rPr>
        <w:tab/>
      </w:r>
      <w:bookmarkStart w:id="16" w:name="_Toc8302_WPSOffice_Level1Page"/>
      <w:r>
        <w:rPr>
          <w:rFonts w:ascii="宋体" w:hAnsi="宋体" w:cs="宋体"/>
          <w:b/>
          <w:bCs/>
          <w:sz w:val="28"/>
          <w:szCs w:val="28"/>
        </w:rPr>
        <w:t>5</w:t>
      </w:r>
      <w:bookmarkEnd w:id="16"/>
      <w:r>
        <w:rPr>
          <w:rFonts w:ascii="宋体" w:hAnsi="宋体" w:cs="宋体"/>
          <w:b/>
          <w:bCs/>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"_Toc23918_WPSOffice_Level2" </w:instrText>
      </w:r>
      <w:r>
        <w:fldChar w:fldCharType="separate"/>
      </w:r>
      <w:r>
        <w:rPr>
          <w:rFonts w:hint="eastAsia" w:ascii="宋体" w:hAnsi="宋体" w:cs="宋体"/>
          <w:sz w:val="28"/>
          <w:szCs w:val="28"/>
        </w:rPr>
        <w:t>一、收入支出决算总体情况说明</w:t>
      </w:r>
      <w:r>
        <w:rPr>
          <w:rFonts w:ascii="宋体"/>
          <w:sz w:val="28"/>
          <w:szCs w:val="28"/>
        </w:rPr>
        <w:tab/>
      </w:r>
      <w:bookmarkStart w:id="17" w:name="_Toc23918_WPSOffice_Level2Page"/>
      <w:r>
        <w:rPr>
          <w:rFonts w:ascii="宋体" w:hAnsi="宋体" w:cs="宋体"/>
          <w:sz w:val="28"/>
          <w:szCs w:val="28"/>
        </w:rPr>
        <w:t>5</w:t>
      </w:r>
      <w:bookmarkEnd w:id="17"/>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"_Toc26826_WPSOffice_Level2" </w:instrText>
      </w:r>
      <w:r>
        <w:fldChar w:fldCharType="separate"/>
      </w:r>
      <w:r>
        <w:rPr>
          <w:rFonts w:hint="eastAsia" w:ascii="宋体" w:hAnsi="宋体" w:cs="宋体"/>
          <w:sz w:val="28"/>
          <w:szCs w:val="28"/>
        </w:rPr>
        <w:t>二、收入决算情况说明</w:t>
      </w:r>
      <w:r>
        <w:rPr>
          <w:rFonts w:ascii="宋体"/>
          <w:sz w:val="28"/>
          <w:szCs w:val="28"/>
        </w:rPr>
        <w:tab/>
      </w:r>
      <w:bookmarkStart w:id="18" w:name="_Toc26826_WPSOffice_Level2Page"/>
      <w:r>
        <w:rPr>
          <w:rFonts w:ascii="宋体" w:hAnsi="宋体" w:cs="宋体"/>
          <w:sz w:val="28"/>
          <w:szCs w:val="28"/>
        </w:rPr>
        <w:t>5</w:t>
      </w:r>
      <w:bookmarkEnd w:id="18"/>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"_Toc12556_WPSOffice_Level2" </w:instrText>
      </w:r>
      <w:r>
        <w:fldChar w:fldCharType="separate"/>
      </w:r>
      <w:r>
        <w:rPr>
          <w:rFonts w:hint="eastAsia" w:ascii="宋体" w:hAnsi="宋体" w:cs="宋体"/>
          <w:sz w:val="28"/>
          <w:szCs w:val="28"/>
        </w:rPr>
        <w:t>三、支出决算情况说明</w:t>
      </w:r>
      <w:r>
        <w:rPr>
          <w:rFonts w:ascii="宋体"/>
          <w:sz w:val="28"/>
          <w:szCs w:val="28"/>
        </w:rPr>
        <w:tab/>
      </w:r>
      <w:bookmarkStart w:id="19" w:name="_Toc12556_WPSOffice_Level2Page"/>
      <w:r>
        <w:rPr>
          <w:rFonts w:ascii="宋体" w:hAnsi="宋体" w:cs="宋体"/>
          <w:sz w:val="28"/>
          <w:szCs w:val="28"/>
        </w:rPr>
        <w:t>6</w:t>
      </w:r>
      <w:bookmarkEnd w:id="19"/>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"_Toc17649_WPSOffice_Level2" </w:instrText>
      </w:r>
      <w:r>
        <w:fldChar w:fldCharType="separate"/>
      </w:r>
      <w:r>
        <w:rPr>
          <w:rFonts w:hint="eastAsia" w:ascii="宋体" w:hAnsi="宋体" w:cs="宋体"/>
          <w:sz w:val="28"/>
          <w:szCs w:val="28"/>
        </w:rPr>
        <w:t>四、财政拨款收入支出决算总体情况说明</w:t>
      </w:r>
      <w:r>
        <w:rPr>
          <w:rFonts w:ascii="宋体"/>
          <w:sz w:val="28"/>
          <w:szCs w:val="28"/>
        </w:rPr>
        <w:tab/>
      </w:r>
      <w:bookmarkStart w:id="20" w:name="_Toc17649_WPSOffice_Level2Page"/>
      <w:r>
        <w:rPr>
          <w:rFonts w:ascii="宋体" w:hAnsi="宋体" w:cs="宋体"/>
          <w:sz w:val="28"/>
          <w:szCs w:val="28"/>
        </w:rPr>
        <w:t>6</w:t>
      </w:r>
      <w:bookmarkEnd w:id="20"/>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"_Toc51_WPSOffice_Level2" </w:instrText>
      </w:r>
      <w:r>
        <w:fldChar w:fldCharType="separate"/>
      </w:r>
      <w:r>
        <w:rPr>
          <w:rFonts w:hint="eastAsia" w:ascii="宋体" w:hAnsi="宋体" w:cs="宋体"/>
          <w:sz w:val="28"/>
          <w:szCs w:val="28"/>
        </w:rPr>
        <w:t>五、一般公共预算财政拨款支出决算情况说明</w:t>
      </w:r>
      <w:r>
        <w:rPr>
          <w:rFonts w:ascii="宋体"/>
          <w:sz w:val="28"/>
          <w:szCs w:val="28"/>
        </w:rPr>
        <w:tab/>
      </w:r>
      <w:bookmarkStart w:id="21" w:name="_Toc51_WPSOffice_Level2Page"/>
      <w:r>
        <w:rPr>
          <w:rFonts w:ascii="宋体" w:hAnsi="宋体" w:cs="宋体"/>
          <w:sz w:val="28"/>
          <w:szCs w:val="28"/>
        </w:rPr>
        <w:t>7</w:t>
      </w:r>
      <w:bookmarkEnd w:id="21"/>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"_Toc29389_WPSOffice_Level2" </w:instrText>
      </w:r>
      <w:r>
        <w:fldChar w:fldCharType="separate"/>
      </w:r>
      <w:r>
        <w:rPr>
          <w:rFonts w:hint="eastAsia" w:ascii="宋体" w:hAnsi="宋体" w:cs="宋体"/>
          <w:sz w:val="28"/>
          <w:szCs w:val="28"/>
        </w:rPr>
        <w:t>六、一般公共预算财政拨款基本支出决算情况说明</w:t>
      </w:r>
      <w:r>
        <w:rPr>
          <w:rFonts w:ascii="宋体"/>
          <w:sz w:val="28"/>
          <w:szCs w:val="28"/>
        </w:rPr>
        <w:tab/>
      </w:r>
      <w:bookmarkStart w:id="22" w:name="_Toc29389_WPSOffice_Level2Page"/>
      <w:r>
        <w:rPr>
          <w:rFonts w:ascii="宋体" w:hAnsi="宋体" w:cs="宋体"/>
          <w:sz w:val="28"/>
          <w:szCs w:val="28"/>
        </w:rPr>
        <w:t>9</w:t>
      </w:r>
      <w:bookmarkEnd w:id="22"/>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"_Toc21075_WPSOffice_Level2" </w:instrText>
      </w:r>
      <w:r>
        <w:fldChar w:fldCharType="separate"/>
      </w:r>
      <w:r>
        <w:rPr>
          <w:rFonts w:hint="eastAsia" w:ascii="宋体" w:hAnsi="宋体" w:cs="宋体"/>
          <w:sz w:val="28"/>
          <w:szCs w:val="28"/>
        </w:rPr>
        <w:t>七、“三公”经费财政拨款支出决算情况说明</w:t>
      </w:r>
      <w:r>
        <w:rPr>
          <w:rFonts w:ascii="宋体"/>
          <w:sz w:val="28"/>
          <w:szCs w:val="28"/>
        </w:rPr>
        <w:tab/>
      </w:r>
      <w:bookmarkStart w:id="23" w:name="_Toc21075_WPSOffice_Level2Page"/>
      <w:r>
        <w:rPr>
          <w:rFonts w:ascii="宋体" w:hAnsi="宋体" w:cs="宋体"/>
          <w:sz w:val="28"/>
          <w:szCs w:val="28"/>
        </w:rPr>
        <w:t>9</w:t>
      </w:r>
      <w:bookmarkEnd w:id="23"/>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"_Toc24689_WPSOffice_Level2" </w:instrText>
      </w:r>
      <w:r>
        <w:fldChar w:fldCharType="separate"/>
      </w:r>
      <w:r>
        <w:rPr>
          <w:rFonts w:hint="eastAsia" w:ascii="宋体" w:hAnsi="宋体" w:cs="宋体"/>
          <w:sz w:val="28"/>
          <w:szCs w:val="28"/>
        </w:rPr>
        <w:t>八、政府性基金预算支出决算情况说明</w:t>
      </w:r>
      <w:r>
        <w:rPr>
          <w:rFonts w:ascii="宋体"/>
          <w:sz w:val="28"/>
          <w:szCs w:val="28"/>
        </w:rPr>
        <w:tab/>
      </w:r>
      <w:bookmarkStart w:id="24" w:name="_Toc24689_WPSOffice_Level2Page"/>
      <w:r>
        <w:rPr>
          <w:rFonts w:ascii="宋体" w:hAnsi="宋体" w:cs="宋体"/>
          <w:sz w:val="28"/>
          <w:szCs w:val="28"/>
        </w:rPr>
        <w:t>11</w:t>
      </w:r>
      <w:bookmarkEnd w:id="24"/>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"_Toc30709_WPSOffice_Level2" </w:instrText>
      </w:r>
      <w:r>
        <w:fldChar w:fldCharType="separate"/>
      </w:r>
      <w:r>
        <w:rPr>
          <w:rFonts w:hint="eastAsia" w:ascii="宋体" w:hAnsi="宋体" w:cs="宋体"/>
          <w:sz w:val="28"/>
          <w:szCs w:val="28"/>
        </w:rPr>
        <w:t>九、国有资本经营预算支出决算情况说明</w:t>
      </w:r>
      <w:r>
        <w:rPr>
          <w:rFonts w:ascii="宋体"/>
          <w:sz w:val="28"/>
          <w:szCs w:val="28"/>
        </w:rPr>
        <w:tab/>
      </w:r>
      <w:bookmarkStart w:id="25" w:name="_Toc30709_WPSOffice_Level2Page"/>
      <w:r>
        <w:rPr>
          <w:rFonts w:ascii="宋体" w:hAnsi="宋体" w:cs="宋体"/>
          <w:sz w:val="28"/>
          <w:szCs w:val="28"/>
        </w:rPr>
        <w:t>11</w:t>
      </w:r>
      <w:bookmarkEnd w:id="25"/>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"_Toc21507_WPSOffice_Level2" </w:instrText>
      </w:r>
      <w:r>
        <w:fldChar w:fldCharType="separate"/>
      </w:r>
      <w:r>
        <w:rPr>
          <w:rFonts w:hint="eastAsia" w:ascii="宋体" w:hAnsi="宋体" w:cs="宋体"/>
          <w:sz w:val="28"/>
          <w:szCs w:val="28"/>
        </w:rPr>
        <w:t>十、预算绩效情况说明</w:t>
      </w:r>
      <w:r>
        <w:rPr>
          <w:rFonts w:ascii="宋体"/>
          <w:sz w:val="28"/>
          <w:szCs w:val="28"/>
        </w:rPr>
        <w:tab/>
      </w:r>
      <w:bookmarkStart w:id="26" w:name="_Toc21507_WPSOffice_Level2Page"/>
      <w:r>
        <w:rPr>
          <w:rFonts w:ascii="宋体" w:hAnsi="宋体" w:cs="宋体"/>
          <w:sz w:val="28"/>
          <w:szCs w:val="28"/>
        </w:rPr>
        <w:t>11</w:t>
      </w:r>
      <w:bookmarkEnd w:id="26"/>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"_Toc24439_WPSOffice_Level2" </w:instrText>
      </w:r>
      <w:r>
        <w:fldChar w:fldCharType="separate"/>
      </w:r>
      <w:r>
        <w:rPr>
          <w:rFonts w:hint="eastAsia" w:ascii="宋体" w:hAnsi="宋体" w:cs="宋体"/>
          <w:sz w:val="28"/>
          <w:szCs w:val="28"/>
        </w:rPr>
        <w:t>十一、其他重要事项的情况说明</w:t>
      </w:r>
      <w:r>
        <w:rPr>
          <w:rFonts w:ascii="宋体"/>
          <w:sz w:val="28"/>
          <w:szCs w:val="28"/>
        </w:rPr>
        <w:tab/>
      </w:r>
      <w:bookmarkStart w:id="27" w:name="_Toc24439_WPSOffice_Level2Page"/>
      <w:r>
        <w:rPr>
          <w:rFonts w:ascii="宋体" w:hAnsi="宋体" w:cs="宋体"/>
          <w:sz w:val="28"/>
          <w:szCs w:val="28"/>
        </w:rPr>
        <w:t>11</w:t>
      </w:r>
      <w:bookmarkEnd w:id="27"/>
      <w:r>
        <w:rPr>
          <w:rFonts w:ascii="宋体" w:hAnsi="宋体" w:cs="宋体"/>
          <w:sz w:val="28"/>
          <w:szCs w:val="28"/>
        </w:rPr>
        <w:fldChar w:fldCharType="end"/>
      </w:r>
    </w:p>
    <w:p>
      <w:pPr>
        <w:pStyle w:val="34"/>
        <w:tabs>
          <w:tab w:val="right" w:leader="dot" w:pos="8820"/>
        </w:tabs>
        <w:spacing w:line="440" w:lineRule="exact"/>
        <w:rPr>
          <w:rFonts w:ascii="宋体"/>
          <w:sz w:val="28"/>
          <w:szCs w:val="28"/>
        </w:rPr>
      </w:pPr>
      <w:r>
        <w:fldChar w:fldCharType="begin"/>
      </w:r>
      <w:r>
        <w:instrText xml:space="preserve"> HYPERLINK \l "_Toc2031_WPSOffice_Level1" </w:instrText>
      </w:r>
      <w:r>
        <w:fldChar w:fldCharType="separate"/>
      </w:r>
      <w:r>
        <w:rPr>
          <w:rFonts w:hint="eastAsia" w:ascii="宋体" w:hAnsi="宋体" w:cs="宋体"/>
          <w:b/>
          <w:bCs/>
          <w:sz w:val="28"/>
          <w:szCs w:val="28"/>
        </w:rPr>
        <w:t>第三部分</w:t>
      </w:r>
      <w:r>
        <w:rPr>
          <w:rFonts w:ascii="宋体" w:hAnsi="宋体" w:cs="宋体"/>
          <w:b/>
          <w:bCs/>
          <w:sz w:val="28"/>
          <w:szCs w:val="28"/>
        </w:rPr>
        <w:t xml:space="preserve"> </w:t>
      </w:r>
      <w:r>
        <w:rPr>
          <w:rFonts w:hint="eastAsia" w:ascii="宋体" w:hAnsi="宋体" w:cs="宋体"/>
          <w:b/>
          <w:bCs/>
          <w:sz w:val="28"/>
          <w:szCs w:val="28"/>
        </w:rPr>
        <w:t>名词解释</w:t>
      </w:r>
      <w:r>
        <w:rPr>
          <w:rFonts w:ascii="宋体"/>
          <w:b/>
          <w:bCs/>
          <w:sz w:val="28"/>
          <w:szCs w:val="28"/>
        </w:rPr>
        <w:tab/>
      </w:r>
      <w:bookmarkStart w:id="28" w:name="_Toc2031_WPSOffice_Level1Page"/>
      <w:r>
        <w:rPr>
          <w:rFonts w:ascii="宋体" w:hAnsi="宋体" w:cs="宋体"/>
          <w:b/>
          <w:bCs/>
          <w:sz w:val="28"/>
          <w:szCs w:val="28"/>
        </w:rPr>
        <w:t>13</w:t>
      </w:r>
      <w:bookmarkEnd w:id="28"/>
      <w:r>
        <w:rPr>
          <w:rFonts w:ascii="宋体" w:hAnsi="宋体" w:cs="宋体"/>
          <w:b/>
          <w:bCs/>
          <w:sz w:val="28"/>
          <w:szCs w:val="28"/>
        </w:rPr>
        <w:fldChar w:fldCharType="end"/>
      </w:r>
    </w:p>
    <w:p>
      <w:pPr>
        <w:pStyle w:val="34"/>
        <w:tabs>
          <w:tab w:val="right" w:leader="dot" w:pos="8820"/>
        </w:tabs>
        <w:spacing w:line="440" w:lineRule="exact"/>
        <w:rPr>
          <w:rFonts w:ascii="宋体"/>
          <w:sz w:val="28"/>
          <w:szCs w:val="28"/>
        </w:rPr>
      </w:pPr>
      <w:r>
        <w:fldChar w:fldCharType="begin"/>
      </w:r>
      <w:r>
        <w:instrText xml:space="preserve"> HYPERLINK \l "_Toc28925_WPSOffice_Level1" </w:instrText>
      </w:r>
      <w:r>
        <w:fldChar w:fldCharType="separate"/>
      </w:r>
      <w:r>
        <w:rPr>
          <w:rFonts w:hint="eastAsia" w:ascii="宋体" w:hAnsi="宋体" w:cs="宋体"/>
          <w:b/>
          <w:bCs/>
          <w:sz w:val="28"/>
          <w:szCs w:val="28"/>
        </w:rPr>
        <w:t>第四部分</w:t>
      </w:r>
      <w:r>
        <w:rPr>
          <w:rFonts w:ascii="宋体" w:hAnsi="宋体" w:cs="宋体"/>
          <w:b/>
          <w:bCs/>
          <w:sz w:val="28"/>
          <w:szCs w:val="28"/>
        </w:rPr>
        <w:t xml:space="preserve"> </w:t>
      </w:r>
      <w:r>
        <w:rPr>
          <w:rFonts w:hint="eastAsia" w:ascii="宋体" w:hAnsi="宋体" w:cs="宋体"/>
          <w:b/>
          <w:bCs/>
          <w:sz w:val="28"/>
          <w:szCs w:val="28"/>
        </w:rPr>
        <w:t>附表</w:t>
      </w:r>
      <w:r>
        <w:rPr>
          <w:rFonts w:ascii="宋体"/>
          <w:b/>
          <w:bCs/>
          <w:sz w:val="28"/>
          <w:szCs w:val="28"/>
        </w:rPr>
        <w:tab/>
      </w:r>
      <w:bookmarkStart w:id="29" w:name="_Toc28925_WPSOffice_Level1Page"/>
      <w:r>
        <w:rPr>
          <w:rFonts w:ascii="宋体" w:hAnsi="宋体" w:cs="宋体"/>
          <w:b/>
          <w:bCs/>
          <w:sz w:val="28"/>
          <w:szCs w:val="28"/>
        </w:rPr>
        <w:t>16</w:t>
      </w:r>
      <w:bookmarkEnd w:id="29"/>
      <w:r>
        <w:rPr>
          <w:rFonts w:ascii="宋体" w:hAnsi="宋体" w:cs="宋体"/>
          <w:b/>
          <w:bCs/>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"_Toc1445_WPSOffice_Level2" </w:instrText>
      </w:r>
      <w:r>
        <w:fldChar w:fldCharType="separate"/>
      </w:r>
      <w:r>
        <w:rPr>
          <w:rFonts w:hint="eastAsia" w:ascii="宋体" w:hAnsi="宋体" w:cs="宋体"/>
          <w:sz w:val="28"/>
          <w:szCs w:val="28"/>
        </w:rPr>
        <w:t>一、收入支出决算总表</w:t>
      </w:r>
      <w:r>
        <w:rPr>
          <w:rFonts w:ascii="宋体"/>
          <w:sz w:val="28"/>
          <w:szCs w:val="28"/>
        </w:rPr>
        <w:tab/>
      </w:r>
      <w:bookmarkStart w:id="30" w:name="_Toc1445_WPSOffice_Level2Page"/>
      <w:r>
        <w:rPr>
          <w:rFonts w:ascii="宋体" w:hAnsi="宋体" w:cs="宋体"/>
          <w:sz w:val="28"/>
          <w:szCs w:val="28"/>
        </w:rPr>
        <w:t>16</w:t>
      </w:r>
      <w:bookmarkEnd w:id="30"/>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"_Toc12963_WPSOffice_Level2" </w:instrText>
      </w:r>
      <w:r>
        <w:fldChar w:fldCharType="separate"/>
      </w:r>
      <w:r>
        <w:rPr>
          <w:rFonts w:hint="eastAsia" w:ascii="宋体" w:hAnsi="宋体" w:cs="宋体"/>
          <w:sz w:val="28"/>
          <w:szCs w:val="28"/>
        </w:rPr>
        <w:t>二、收入总表</w:t>
      </w:r>
      <w:r>
        <w:rPr>
          <w:rFonts w:ascii="宋体"/>
          <w:sz w:val="28"/>
          <w:szCs w:val="28"/>
        </w:rPr>
        <w:tab/>
      </w:r>
      <w:bookmarkStart w:id="31" w:name="_Toc12963_WPSOffice_Level2Page"/>
      <w:r>
        <w:rPr>
          <w:rFonts w:ascii="宋体" w:hAnsi="宋体" w:cs="宋体"/>
          <w:sz w:val="28"/>
          <w:szCs w:val="28"/>
        </w:rPr>
        <w:t>16</w:t>
      </w:r>
      <w:bookmarkEnd w:id="31"/>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"_Toc7036_WPSOffice_Level2" </w:instrText>
      </w:r>
      <w:r>
        <w:fldChar w:fldCharType="separate"/>
      </w:r>
      <w:r>
        <w:rPr>
          <w:rFonts w:hint="eastAsia" w:ascii="宋体" w:hAnsi="宋体" w:cs="宋体"/>
          <w:sz w:val="28"/>
          <w:szCs w:val="28"/>
        </w:rPr>
        <w:t>三、支出总表</w:t>
      </w:r>
      <w:r>
        <w:rPr>
          <w:rFonts w:ascii="宋体"/>
          <w:sz w:val="28"/>
          <w:szCs w:val="28"/>
        </w:rPr>
        <w:tab/>
      </w:r>
      <w:bookmarkStart w:id="32" w:name="_Toc7036_WPSOffice_Level2Page"/>
      <w:r>
        <w:rPr>
          <w:rFonts w:ascii="宋体" w:hAnsi="宋体" w:cs="宋体"/>
          <w:sz w:val="28"/>
          <w:szCs w:val="28"/>
        </w:rPr>
        <w:t>16</w:t>
      </w:r>
      <w:bookmarkEnd w:id="32"/>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"_Toc16233_WPSOffice_Level2" </w:instrText>
      </w:r>
      <w:r>
        <w:fldChar w:fldCharType="separate"/>
      </w:r>
      <w:r>
        <w:rPr>
          <w:rFonts w:hint="eastAsia" w:ascii="宋体" w:hAnsi="宋体" w:cs="宋体"/>
          <w:sz w:val="28"/>
          <w:szCs w:val="28"/>
        </w:rPr>
        <w:t>四、财政拨款收入支出决算总表</w:t>
      </w:r>
      <w:r>
        <w:rPr>
          <w:rFonts w:ascii="宋体"/>
          <w:sz w:val="28"/>
          <w:szCs w:val="28"/>
        </w:rPr>
        <w:tab/>
      </w:r>
      <w:bookmarkStart w:id="33" w:name="_Toc16233_WPSOffice_Level2Page"/>
      <w:r>
        <w:rPr>
          <w:rFonts w:ascii="宋体" w:hAnsi="宋体" w:cs="宋体"/>
          <w:sz w:val="28"/>
          <w:szCs w:val="28"/>
        </w:rPr>
        <w:t>16</w:t>
      </w:r>
      <w:bookmarkEnd w:id="33"/>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"_Toc28265_WPSOffice_Level2" </w:instrText>
      </w:r>
      <w:r>
        <w:fldChar w:fldCharType="separate"/>
      </w:r>
      <w:r>
        <w:rPr>
          <w:rFonts w:hint="eastAsia" w:ascii="宋体" w:hAnsi="宋体" w:cs="宋体"/>
          <w:sz w:val="28"/>
          <w:szCs w:val="28"/>
        </w:rPr>
        <w:t>五、财政拨款支出决算明细表（政府经济分类科目）</w:t>
      </w:r>
      <w:r>
        <w:rPr>
          <w:rFonts w:ascii="宋体"/>
          <w:sz w:val="28"/>
          <w:szCs w:val="28"/>
        </w:rPr>
        <w:tab/>
      </w:r>
      <w:bookmarkStart w:id="34" w:name="_Toc28265_WPSOffice_Level2Page"/>
      <w:r>
        <w:rPr>
          <w:rFonts w:ascii="宋体" w:hAnsi="宋体" w:cs="宋体"/>
          <w:sz w:val="28"/>
          <w:szCs w:val="28"/>
        </w:rPr>
        <w:t>16</w:t>
      </w:r>
      <w:bookmarkEnd w:id="34"/>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"_Toc11903_WPSOffice_Level2" </w:instrText>
      </w:r>
      <w:r>
        <w:fldChar w:fldCharType="separate"/>
      </w:r>
      <w:r>
        <w:rPr>
          <w:rFonts w:hint="eastAsia" w:ascii="宋体" w:hAnsi="宋体" w:cs="宋体"/>
          <w:sz w:val="28"/>
          <w:szCs w:val="28"/>
        </w:rPr>
        <w:t>六、一般公共预算财政拨款支出决算表</w:t>
      </w:r>
      <w:r>
        <w:rPr>
          <w:rFonts w:ascii="宋体"/>
          <w:sz w:val="28"/>
          <w:szCs w:val="28"/>
        </w:rPr>
        <w:tab/>
      </w:r>
      <w:bookmarkStart w:id="35" w:name="_Toc11903_WPSOffice_Level2Page"/>
      <w:r>
        <w:rPr>
          <w:rFonts w:ascii="宋体" w:hAnsi="宋体" w:cs="宋体"/>
          <w:sz w:val="28"/>
          <w:szCs w:val="28"/>
        </w:rPr>
        <w:t>16</w:t>
      </w:r>
      <w:bookmarkEnd w:id="35"/>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"_Toc28331_WPSOffice_Level2" </w:instrText>
      </w:r>
      <w:r>
        <w:fldChar w:fldCharType="separate"/>
      </w:r>
      <w:r>
        <w:rPr>
          <w:rFonts w:hint="eastAsia" w:ascii="宋体" w:hAnsi="宋体" w:cs="宋体"/>
          <w:sz w:val="28"/>
          <w:szCs w:val="28"/>
        </w:rPr>
        <w:t>七、一般公共预算财政拨款支出决算明细表</w:t>
      </w:r>
      <w:r>
        <w:rPr>
          <w:rFonts w:ascii="宋体"/>
          <w:sz w:val="28"/>
          <w:szCs w:val="28"/>
        </w:rPr>
        <w:tab/>
      </w:r>
      <w:bookmarkStart w:id="36" w:name="_Toc28331_WPSOffice_Level2Page"/>
      <w:r>
        <w:rPr>
          <w:rFonts w:ascii="宋体" w:hAnsi="宋体" w:cs="宋体"/>
          <w:sz w:val="28"/>
          <w:szCs w:val="28"/>
        </w:rPr>
        <w:t>16</w:t>
      </w:r>
      <w:bookmarkEnd w:id="36"/>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"_Toc13775_WPSOffice_Level2" </w:instrText>
      </w:r>
      <w:r>
        <w:fldChar w:fldCharType="separate"/>
      </w:r>
      <w:r>
        <w:rPr>
          <w:rFonts w:hint="eastAsia" w:ascii="宋体" w:hAnsi="宋体" w:cs="宋体"/>
          <w:sz w:val="28"/>
          <w:szCs w:val="28"/>
        </w:rPr>
        <w:t>八、一般公共预算财政拨款基本支出决算表</w:t>
      </w:r>
      <w:r>
        <w:rPr>
          <w:rFonts w:ascii="宋体"/>
          <w:sz w:val="28"/>
          <w:szCs w:val="28"/>
        </w:rPr>
        <w:tab/>
      </w:r>
      <w:bookmarkStart w:id="37" w:name="_Toc13775_WPSOffice_Level2Page"/>
      <w:r>
        <w:rPr>
          <w:rFonts w:ascii="宋体" w:hAnsi="宋体" w:cs="宋体"/>
          <w:sz w:val="28"/>
          <w:szCs w:val="28"/>
        </w:rPr>
        <w:t>16</w:t>
      </w:r>
      <w:bookmarkEnd w:id="37"/>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"_Toc28316_WPSOffice_Level2" </w:instrText>
      </w:r>
      <w:r>
        <w:fldChar w:fldCharType="separate"/>
      </w:r>
      <w:r>
        <w:rPr>
          <w:rFonts w:hint="eastAsia" w:ascii="宋体" w:hAnsi="宋体" w:cs="宋体"/>
          <w:sz w:val="28"/>
          <w:szCs w:val="28"/>
        </w:rPr>
        <w:t>九、一般公共预算财政拨款项目支出决算表</w:t>
      </w:r>
      <w:r>
        <w:rPr>
          <w:rFonts w:ascii="宋体"/>
          <w:sz w:val="28"/>
          <w:szCs w:val="28"/>
        </w:rPr>
        <w:tab/>
      </w:r>
      <w:bookmarkStart w:id="38" w:name="_Toc28316_WPSOffice_Level2Page"/>
      <w:r>
        <w:rPr>
          <w:rFonts w:ascii="宋体" w:hAnsi="宋体" w:cs="宋体"/>
          <w:sz w:val="28"/>
          <w:szCs w:val="28"/>
        </w:rPr>
        <w:t>16</w:t>
      </w:r>
      <w:bookmarkEnd w:id="38"/>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"_Toc27129_WPSOffice_Level2" </w:instrText>
      </w:r>
      <w:r>
        <w:fldChar w:fldCharType="separate"/>
      </w:r>
      <w:r>
        <w:rPr>
          <w:rFonts w:hint="eastAsia" w:ascii="宋体" w:hAnsi="宋体" w:cs="宋体"/>
          <w:sz w:val="28"/>
          <w:szCs w:val="28"/>
        </w:rPr>
        <w:t>十、一般公共预算财政拨款“三公”经费支出决算表</w:t>
      </w:r>
      <w:r>
        <w:rPr>
          <w:rFonts w:ascii="宋体"/>
          <w:sz w:val="28"/>
          <w:szCs w:val="28"/>
        </w:rPr>
        <w:tab/>
      </w:r>
      <w:bookmarkStart w:id="39" w:name="_Toc27129_WPSOffice_Level2Page"/>
      <w:r>
        <w:rPr>
          <w:rFonts w:ascii="宋体" w:hAnsi="宋体" w:cs="宋体"/>
          <w:sz w:val="28"/>
          <w:szCs w:val="28"/>
        </w:rPr>
        <w:t>16</w:t>
      </w:r>
      <w:bookmarkEnd w:id="39"/>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"_Toc21830_WPSOffice_Level2" </w:instrText>
      </w:r>
      <w:r>
        <w:fldChar w:fldCharType="separate"/>
      </w:r>
      <w:r>
        <w:rPr>
          <w:rFonts w:hint="eastAsia" w:ascii="宋体" w:hAnsi="宋体" w:cs="宋体"/>
          <w:sz w:val="28"/>
          <w:szCs w:val="28"/>
        </w:rPr>
        <w:t>十一、政府性基金预算财政拨款收入支出决算表</w:t>
      </w:r>
      <w:r>
        <w:rPr>
          <w:rFonts w:ascii="宋体"/>
          <w:sz w:val="28"/>
          <w:szCs w:val="28"/>
        </w:rPr>
        <w:tab/>
      </w:r>
      <w:bookmarkStart w:id="40" w:name="_Toc21830_WPSOffice_Level2Page"/>
      <w:r>
        <w:rPr>
          <w:rFonts w:ascii="宋体" w:hAnsi="宋体" w:cs="宋体"/>
          <w:sz w:val="28"/>
          <w:szCs w:val="28"/>
        </w:rPr>
        <w:t>16</w:t>
      </w:r>
      <w:bookmarkEnd w:id="40"/>
      <w:r>
        <w:rPr>
          <w:rFonts w:ascii="宋体" w:hAnsi="宋体" w:cs="宋体"/>
          <w:sz w:val="28"/>
          <w:szCs w:val="28"/>
        </w:rPr>
        <w:fldChar w:fldCharType="end"/>
      </w:r>
    </w:p>
    <w:p>
      <w:pPr>
        <w:pStyle w:val="35"/>
        <w:tabs>
          <w:tab w:val="right" w:leader="dot" w:pos="8820"/>
        </w:tabs>
        <w:spacing w:line="440" w:lineRule="exact"/>
        <w:ind w:left="31680"/>
        <w:rPr>
          <w:rFonts w:ascii="宋体"/>
          <w:sz w:val="28"/>
          <w:szCs w:val="28"/>
        </w:rPr>
      </w:pPr>
      <w:r>
        <w:fldChar w:fldCharType="begin"/>
      </w:r>
      <w:r>
        <w:instrText xml:space="preserve"> HYPERLINK \l "_Toc20259_WPSOffice_Level2" </w:instrText>
      </w:r>
      <w:r>
        <w:fldChar w:fldCharType="separate"/>
      </w:r>
      <w:r>
        <w:rPr>
          <w:rFonts w:hint="eastAsia" w:ascii="宋体" w:hAnsi="宋体" w:cs="宋体"/>
          <w:sz w:val="28"/>
          <w:szCs w:val="28"/>
        </w:rPr>
        <w:t>十二、政府性基金预算财政拨款“三公”经费支出决算表</w:t>
      </w:r>
      <w:r>
        <w:rPr>
          <w:rFonts w:ascii="宋体"/>
          <w:sz w:val="28"/>
          <w:szCs w:val="28"/>
        </w:rPr>
        <w:tab/>
      </w:r>
      <w:bookmarkStart w:id="41" w:name="_Toc20259_WPSOffice_Level2Page"/>
      <w:r>
        <w:rPr>
          <w:rFonts w:ascii="宋体" w:hAnsi="宋体" w:cs="宋体"/>
          <w:sz w:val="28"/>
          <w:szCs w:val="28"/>
        </w:rPr>
        <w:t>16</w:t>
      </w:r>
      <w:bookmarkEnd w:id="41"/>
      <w:r>
        <w:rPr>
          <w:rFonts w:ascii="宋体" w:hAnsi="宋体" w:cs="宋体"/>
          <w:sz w:val="28"/>
          <w:szCs w:val="28"/>
        </w:rPr>
        <w:fldChar w:fldCharType="end"/>
      </w:r>
    </w:p>
    <w:p>
      <w:pPr>
        <w:pStyle w:val="35"/>
        <w:tabs>
          <w:tab w:val="right" w:leader="dot" w:pos="8820"/>
        </w:tabs>
        <w:spacing w:line="440" w:lineRule="exact"/>
        <w:ind w:left="31680"/>
        <w:jc w:val="center"/>
        <w:rPr>
          <w:rFonts w:ascii="黑体" w:hAnsi="黑体" w:eastAsia="黑体"/>
          <w:b/>
          <w:bCs/>
          <w:sz w:val="44"/>
          <w:szCs w:val="44"/>
        </w:rPr>
      </w:pPr>
      <w:r>
        <w:fldChar w:fldCharType="begin"/>
      </w:r>
      <w:r>
        <w:instrText xml:space="preserve"> HYPERLINK \l "_Toc29297_WPSOffice_Level2" </w:instrText>
      </w:r>
      <w:r>
        <w:fldChar w:fldCharType="separate"/>
      </w:r>
      <w:r>
        <w:rPr>
          <w:rFonts w:hint="eastAsia" w:ascii="宋体" w:hAnsi="宋体" w:cs="宋体"/>
          <w:sz w:val="28"/>
          <w:szCs w:val="28"/>
        </w:rPr>
        <w:t>十三、国有资本经营预算支出决算表</w:t>
      </w:r>
      <w:r>
        <w:rPr>
          <w:rFonts w:ascii="宋体"/>
          <w:sz w:val="28"/>
          <w:szCs w:val="28"/>
        </w:rPr>
        <w:tab/>
      </w:r>
      <w:bookmarkStart w:id="42" w:name="_Toc29297_WPSOffice_Level2Page"/>
      <w:r>
        <w:rPr>
          <w:rFonts w:ascii="宋体" w:hAnsi="宋体" w:cs="宋体"/>
          <w:sz w:val="28"/>
          <w:szCs w:val="28"/>
        </w:rPr>
        <w:t>16</w:t>
      </w:r>
      <w:bookmarkEnd w:id="42"/>
      <w:r>
        <w:rPr>
          <w:rFonts w:ascii="宋体" w:hAnsi="宋体" w:cs="宋体"/>
          <w:sz w:val="28"/>
          <w:szCs w:val="28"/>
        </w:rPr>
        <w:fldChar w:fldCharType="end"/>
      </w:r>
      <w:bookmarkEnd w:id="12"/>
      <w:bookmarkStart w:id="43" w:name="_Toc15377196"/>
      <w:bookmarkStart w:id="44" w:name="_Toc15396599"/>
      <w:r>
        <w:rPr>
          <w:rFonts w:ascii="黑体" w:hAnsi="黑体" w:eastAsia="黑体"/>
          <w:b/>
          <w:bCs/>
          <w:sz w:val="44"/>
          <w:szCs w:val="44"/>
        </w:rPr>
        <w:br w:type="page"/>
      </w:r>
      <w:bookmarkStart w:id="45" w:name="_Toc17360_WPSOffice_Level1"/>
      <w:r>
        <w:rPr>
          <w:rFonts w:hint="eastAsia" w:ascii="黑体" w:hAnsi="黑体" w:eastAsia="黑体" w:cs="黑体"/>
          <w:b/>
          <w:bCs/>
          <w:sz w:val="44"/>
          <w:szCs w:val="44"/>
        </w:rPr>
        <w:t>第一部分</w:t>
      </w:r>
      <w:r>
        <w:rPr>
          <w:rFonts w:ascii="黑体" w:hAnsi="黑体" w:eastAsia="黑体" w:cs="黑体"/>
          <w:b/>
          <w:bCs/>
          <w:sz w:val="44"/>
          <w:szCs w:val="44"/>
        </w:rPr>
        <w:t xml:space="preserve"> </w:t>
      </w:r>
      <w:r>
        <w:rPr>
          <w:rFonts w:hint="eastAsia" w:ascii="黑体" w:hAnsi="黑体" w:eastAsia="黑体" w:cs="黑体"/>
          <w:b/>
          <w:bCs/>
          <w:sz w:val="44"/>
          <w:szCs w:val="44"/>
        </w:rPr>
        <w:t>部门概况</w:t>
      </w:r>
      <w:bookmarkEnd w:id="43"/>
      <w:bookmarkEnd w:id="44"/>
      <w:bookmarkEnd w:id="45"/>
      <w:bookmarkStart w:id="46" w:name="_Toc15396600"/>
      <w:bookmarkStart w:id="47" w:name="_Toc15377197"/>
    </w:p>
    <w:p>
      <w:pPr>
        <w:spacing w:beforeLines="50" w:afterLines="50"/>
        <w:rPr>
          <w:rFonts w:ascii="黑体" w:hAnsi="黑体" w:eastAsia="黑体"/>
          <w:b/>
          <w:bCs/>
          <w:sz w:val="32"/>
          <w:szCs w:val="32"/>
        </w:rPr>
      </w:pPr>
      <w:bookmarkStart w:id="48" w:name="_Toc28785_WPSOffice_Level2"/>
      <w:r>
        <w:rPr>
          <w:rFonts w:hint="eastAsia" w:ascii="黑体" w:hAnsi="黑体" w:eastAsia="黑体" w:cs="黑体"/>
          <w:b/>
          <w:bCs/>
          <w:sz w:val="32"/>
          <w:szCs w:val="32"/>
        </w:rPr>
        <w:t>一、基本职能及主要工作</w:t>
      </w:r>
      <w:bookmarkEnd w:id="46"/>
      <w:bookmarkEnd w:id="47"/>
      <w:bookmarkEnd w:id="48"/>
      <w:bookmarkStart w:id="49" w:name="_Toc15377198"/>
      <w:bookmarkStart w:id="50" w:name="_Toc15378445"/>
    </w:p>
    <w:p>
      <w:pPr>
        <w:ind w:firstLine="643" w:firstLineChars="200"/>
        <w:rPr>
          <w:rFonts w:ascii="楷体" w:hAnsi="楷体" w:eastAsia="楷体"/>
          <w:b/>
          <w:bCs/>
          <w:sz w:val="32"/>
          <w:szCs w:val="32"/>
        </w:rPr>
      </w:pPr>
      <w:r>
        <w:rPr>
          <w:rFonts w:hint="eastAsia" w:ascii="楷体" w:hAnsi="楷体" w:eastAsia="楷体" w:cs="楷体"/>
          <w:b/>
          <w:bCs/>
          <w:sz w:val="32"/>
          <w:szCs w:val="32"/>
        </w:rPr>
        <w:t>（一）主要职能</w:t>
      </w:r>
      <w:bookmarkEnd w:id="49"/>
      <w:bookmarkEnd w:id="50"/>
      <w:bookmarkStart w:id="51" w:name="_Toc15378446"/>
      <w:bookmarkStart w:id="52" w:name="_Toc15377199"/>
    </w:p>
    <w:p>
      <w:pPr>
        <w:ind w:firstLine="640" w:firstLineChars="200"/>
        <w:rPr>
          <w:rFonts w:ascii="仿宋" w:hAnsi="仿宋" w:eastAsia="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负责宣传贯彻文化（文物）、广播影视、新闻出版（版权）和市场管理方面的法律、法规和规章。</w:t>
      </w:r>
    </w:p>
    <w:p>
      <w:pPr>
        <w:ind w:firstLine="640" w:firstLineChars="200"/>
        <w:rPr>
          <w:rFonts w:ascii="仿宋" w:hAnsi="仿宋" w:eastAsia="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对文化、新闻出版和经营活动进行监督和检查，及时制止和查处经营中的违规行为。</w:t>
      </w:r>
    </w:p>
    <w:p>
      <w:pPr>
        <w:ind w:firstLine="640" w:firstLineChars="200"/>
        <w:rPr>
          <w:rFonts w:ascii="仿宋" w:hAnsi="仿宋" w:eastAsia="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负责扫黄打非工作，依法保护文化、广播影视、新闻出版单位和经营者的合法权益，打击非法经营活动，规范全区文化市场、新闻出版市场经营秩序。</w:t>
      </w:r>
    </w:p>
    <w:p>
      <w:pPr>
        <w:ind w:firstLine="640" w:firstLineChars="200"/>
        <w:rPr>
          <w:rFonts w:ascii="仿宋" w:hAnsi="仿宋" w:eastAsia="仿宋"/>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严格按照文化，广播影视，新闻出版管理的相关法律程序，依法管理，依法行政。</w:t>
      </w:r>
    </w:p>
    <w:p>
      <w:pPr>
        <w:ind w:firstLine="640" w:firstLineChars="200"/>
        <w:rPr>
          <w:rFonts w:ascii="仿宋" w:hAnsi="仿宋" w:eastAsia="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建立健全行政处罚档案，配合有关行政执法部门实施联合执法工作，配合行政审批部门对新办文化，广播影视新闻出版经营单位进行现场勘。</w:t>
      </w:r>
    </w:p>
    <w:p>
      <w:pPr>
        <w:ind w:firstLine="640" w:firstLineChars="200"/>
        <w:rPr>
          <w:rFonts w:ascii="仿宋" w:hAnsi="仿宋" w:eastAsia="仿宋"/>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及时办结局党组交办的其他工作。</w:t>
      </w:r>
    </w:p>
    <w:p>
      <w:pPr>
        <w:ind w:firstLine="643" w:firstLineChars="200"/>
        <w:rPr>
          <w:rFonts w:ascii="楷体" w:hAnsi="楷体" w:eastAsia="楷体"/>
          <w:b/>
          <w:bCs/>
          <w:color w:val="000000"/>
          <w:sz w:val="32"/>
          <w:szCs w:val="32"/>
        </w:rPr>
      </w:pPr>
      <w:r>
        <w:rPr>
          <w:rFonts w:hint="eastAsia" w:ascii="楷体" w:hAnsi="楷体" w:eastAsia="楷体" w:cs="楷体"/>
          <w:b/>
          <w:bCs/>
          <w:color w:val="000000"/>
          <w:sz w:val="32"/>
          <w:szCs w:val="32"/>
        </w:rPr>
        <w:t>（二）</w:t>
      </w:r>
      <w:r>
        <w:rPr>
          <w:rFonts w:ascii="楷体" w:hAnsi="楷体" w:eastAsia="楷体" w:cs="楷体"/>
          <w:b/>
          <w:bCs/>
          <w:color w:val="000000"/>
          <w:sz w:val="32"/>
          <w:szCs w:val="32"/>
        </w:rPr>
        <w:t>2018</w:t>
      </w:r>
      <w:r>
        <w:rPr>
          <w:rFonts w:hint="eastAsia" w:ascii="楷体" w:hAnsi="楷体" w:eastAsia="楷体" w:cs="楷体"/>
          <w:b/>
          <w:bCs/>
          <w:color w:val="000000"/>
          <w:sz w:val="32"/>
          <w:szCs w:val="32"/>
        </w:rPr>
        <w:t>年重点工作完成情况</w:t>
      </w:r>
      <w:bookmarkEnd w:id="51"/>
      <w:bookmarkEnd w:id="52"/>
    </w:p>
    <w:p>
      <w:pPr>
        <w:ind w:firstLine="640" w:firstLineChars="200"/>
        <w:rPr>
          <w:rFonts w:ascii="仿宋" w:hAnsi="仿宋" w:eastAsia="仿宋"/>
          <w:color w:val="000000"/>
          <w:sz w:val="32"/>
          <w:szCs w:val="32"/>
        </w:rPr>
      </w:pPr>
      <w:r>
        <w:rPr>
          <w:rFonts w:hint="eastAsia" w:ascii="仿宋" w:hAnsi="仿宋" w:eastAsia="仿宋" w:cs="仿宋"/>
          <w:color w:val="000000"/>
          <w:sz w:val="32"/>
          <w:szCs w:val="32"/>
        </w:rPr>
        <w:t>一是持续组织开展执法人员法律法规、业务知识学习，认真落实年度培训计划和体能训练计划，努力提高文化市场执法队伍综合素质。二是完善举报受理、日常巡查、重大案件管理、执法文书制作和案卷归档、应急管理等制度，推行文化市场行政执法人员执法资格准入制，完善激励约束机制和部门联动、行政执法与刑事司法衔接等工作机制，继续推进文化市场规范化建设。三是通过大清理大排查，摸清文化市场家底。四是加强文化市场日常巡查和执法监管，对网吧、演出、电子游戏、歌舞等娱乐场所、新闻出版（版权）和印刷复制业、广播电影电视领域、文化遗产和美术品艺术品市场、网络文化市场要加大巡查力度，严查违法违规经营行为。五是持续开展校园周边环境专项整治和寒署期网吧、游戏、歌舞等娱乐场所和出版物市场的专项整治。六是积极开展“平安文化市场”创建，建立文化市场安全生产台帐，强化经营单位安全生产教育，督促经营单位完善安全生产管理制度，落实安全生产措施，认真做好经营日志和安全巡查日志，加强消防、应急事件处置等防范工作，及时发现安全生产隐患，杜绝文化市场重大安全生产事故的发生。</w:t>
      </w:r>
      <w:bookmarkStart w:id="53" w:name="_Toc15377200"/>
      <w:bookmarkStart w:id="54" w:name="_Toc15396601"/>
    </w:p>
    <w:p>
      <w:pPr>
        <w:spacing w:beforeLines="50" w:afterLines="50"/>
        <w:ind w:firstLine="643" w:firstLineChars="200"/>
        <w:rPr>
          <w:rFonts w:ascii="黑体" w:hAnsi="黑体" w:eastAsia="黑体"/>
          <w:b/>
          <w:bCs/>
          <w:sz w:val="32"/>
          <w:szCs w:val="32"/>
        </w:rPr>
      </w:pPr>
      <w:bookmarkStart w:id="55" w:name="_Toc1907_WPSOffice_Level2"/>
      <w:r>
        <w:rPr>
          <w:rFonts w:hint="eastAsia" w:ascii="黑体" w:hAnsi="黑体" w:eastAsia="黑体" w:cs="黑体"/>
          <w:b/>
          <w:bCs/>
          <w:sz w:val="32"/>
          <w:szCs w:val="32"/>
        </w:rPr>
        <w:t>二、机构设置</w:t>
      </w:r>
      <w:bookmarkEnd w:id="53"/>
      <w:bookmarkEnd w:id="54"/>
      <w:bookmarkEnd w:id="55"/>
    </w:p>
    <w:p>
      <w:pPr>
        <w:ind w:firstLine="640" w:firstLineChars="200"/>
        <w:rPr>
          <w:rFonts w:ascii="仿宋" w:hAnsi="仿宋" w:eastAsia="仿宋"/>
          <w:sz w:val="32"/>
          <w:szCs w:val="32"/>
        </w:rPr>
      </w:pPr>
      <w:r>
        <w:rPr>
          <w:rFonts w:hint="eastAsia" w:ascii="仿宋" w:hAnsi="仿宋" w:eastAsia="仿宋" w:cs="仿宋"/>
          <w:sz w:val="32"/>
          <w:szCs w:val="32"/>
        </w:rPr>
        <w:t>达州市达川区文化市场综合执法大队属一级预算单位，无下属预算单位。</w:t>
      </w:r>
      <w:bookmarkStart w:id="56" w:name="_Toc15377204"/>
      <w:bookmarkStart w:id="57" w:name="_Toc15396602"/>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spacing w:beforeLines="100" w:afterLines="100"/>
        <w:jc w:val="center"/>
        <w:rPr>
          <w:rFonts w:ascii="黑体" w:hAnsi="黑体" w:eastAsia="黑体"/>
          <w:b/>
          <w:bCs/>
          <w:sz w:val="44"/>
          <w:szCs w:val="44"/>
        </w:rPr>
      </w:pPr>
      <w:r>
        <w:rPr>
          <w:rFonts w:ascii="黑体" w:hAnsi="黑体" w:eastAsia="黑体"/>
          <w:b/>
          <w:bCs/>
          <w:sz w:val="44"/>
          <w:szCs w:val="44"/>
        </w:rPr>
        <w:br w:type="page"/>
      </w:r>
      <w:bookmarkStart w:id="58" w:name="_Toc8302_WPSOffice_Level1"/>
      <w:r>
        <w:rPr>
          <w:rFonts w:hint="eastAsia" w:ascii="黑体" w:hAnsi="黑体" w:eastAsia="黑体" w:cs="黑体"/>
          <w:b/>
          <w:bCs/>
          <w:sz w:val="44"/>
          <w:szCs w:val="44"/>
        </w:rPr>
        <w:t>第二部分</w:t>
      </w:r>
      <w:r>
        <w:rPr>
          <w:rFonts w:ascii="黑体" w:hAnsi="黑体" w:eastAsia="黑体" w:cs="黑体"/>
          <w:b/>
          <w:bCs/>
          <w:sz w:val="44"/>
          <w:szCs w:val="44"/>
        </w:rPr>
        <w:t xml:space="preserve"> 2018</w:t>
      </w:r>
      <w:r>
        <w:rPr>
          <w:rFonts w:hint="eastAsia" w:ascii="黑体" w:hAnsi="黑体" w:eastAsia="黑体" w:cs="黑体"/>
          <w:b/>
          <w:bCs/>
          <w:sz w:val="44"/>
          <w:szCs w:val="44"/>
        </w:rPr>
        <w:t>年度部门决算情况说明</w:t>
      </w:r>
      <w:bookmarkEnd w:id="56"/>
      <w:bookmarkEnd w:id="57"/>
      <w:bookmarkEnd w:id="58"/>
      <w:bookmarkStart w:id="59" w:name="_Toc15396603"/>
      <w:bookmarkStart w:id="60" w:name="_Toc15377205"/>
    </w:p>
    <w:p>
      <w:pPr>
        <w:spacing w:beforeLines="50" w:afterLines="50"/>
        <w:ind w:firstLine="643" w:firstLineChars="200"/>
        <w:jc w:val="left"/>
        <w:rPr>
          <w:rFonts w:ascii="黑体" w:hAnsi="黑体" w:eastAsia="黑体"/>
          <w:b/>
          <w:bCs/>
          <w:sz w:val="32"/>
          <w:szCs w:val="32"/>
        </w:rPr>
      </w:pPr>
      <w:bookmarkStart w:id="61" w:name="_Toc23918_WPSOffice_Level2"/>
      <w:r>
        <w:rPr>
          <w:rFonts w:hint="eastAsia" w:ascii="黑体" w:hAnsi="黑体" w:eastAsia="黑体" w:cs="黑体"/>
          <w:b/>
          <w:bCs/>
          <w:sz w:val="32"/>
          <w:szCs w:val="32"/>
        </w:rPr>
        <w:t>一、收入支出决算总体情况说明</w:t>
      </w:r>
      <w:bookmarkEnd w:id="59"/>
      <w:bookmarkEnd w:id="60"/>
      <w:bookmarkEnd w:id="61"/>
    </w:p>
    <w:p>
      <w:pPr>
        <w:ind w:firstLine="640" w:firstLineChars="200"/>
        <w:jc w:val="left"/>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年度收、支总计</w:t>
      </w:r>
      <w:r>
        <w:rPr>
          <w:rFonts w:ascii="仿宋" w:hAnsi="仿宋" w:eastAsia="仿宋" w:cs="仿宋"/>
          <w:sz w:val="32"/>
          <w:szCs w:val="32"/>
        </w:rPr>
        <w:t>320.13</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年相比，收、支总计各增加</w:t>
      </w:r>
      <w:r>
        <w:rPr>
          <w:rFonts w:ascii="仿宋" w:hAnsi="仿宋" w:eastAsia="仿宋" w:cs="仿宋"/>
          <w:sz w:val="32"/>
          <w:szCs w:val="32"/>
        </w:rPr>
        <w:t>33.67</w:t>
      </w:r>
      <w:r>
        <w:rPr>
          <w:rFonts w:hint="eastAsia" w:ascii="仿宋" w:hAnsi="仿宋" w:eastAsia="仿宋" w:cs="仿宋"/>
          <w:sz w:val="32"/>
          <w:szCs w:val="32"/>
        </w:rPr>
        <w:t>万元，增长</w:t>
      </w:r>
      <w:r>
        <w:rPr>
          <w:rFonts w:ascii="仿宋" w:hAnsi="仿宋" w:eastAsia="仿宋" w:cs="仿宋"/>
          <w:sz w:val="32"/>
          <w:szCs w:val="32"/>
        </w:rPr>
        <w:t>11.75%</w:t>
      </w:r>
      <w:r>
        <w:rPr>
          <w:rFonts w:hint="eastAsia" w:ascii="仿宋" w:hAnsi="仿宋" w:eastAsia="仿宋" w:cs="仿宋"/>
          <w:sz w:val="32"/>
          <w:szCs w:val="32"/>
        </w:rPr>
        <w:t>。主要变动原因是人员经费正常增长，如工资正常晋升、调标和目标绩效考核正常增长。</w:t>
      </w:r>
    </w:p>
    <w:p>
      <w:pPr>
        <w:ind w:firstLine="482" w:firstLineChars="150"/>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1</w:t>
      </w:r>
      <w:r>
        <w:rPr>
          <w:rFonts w:hint="eastAsia" w:ascii="仿宋" w:hAnsi="仿宋" w:eastAsia="仿宋" w:cs="仿宋"/>
          <w:b/>
          <w:bCs/>
          <w:sz w:val="32"/>
          <w:szCs w:val="32"/>
        </w:rPr>
        <w:t>：收、支决算总计变动情况图</w:t>
      </w:r>
    </w:p>
    <w:p>
      <w:pPr>
        <w:rPr>
          <w:rFonts w:ascii="仿宋" w:hAnsi="仿宋" w:eastAsia="仿宋"/>
          <w:sz w:val="32"/>
          <w:szCs w:val="32"/>
        </w:rPr>
      </w:pPr>
      <w:r>
        <w:rPr>
          <w:rFonts w:ascii="仿宋" w:hAnsi="仿宋" w:eastAsia="仿宋"/>
          <w:sz w:val="32"/>
          <w:szCs w:val="32"/>
        </w:rPr>
        <w:object>
          <v:shape id="_x0000_i1025" o:spt="75" type="#_x0000_t75" style="height:221.25pt;width:389.25pt;" o:ole="t" filled="f" o:preferrelative="t" stroked="f" coordsize="21600,21600">
            <v:path/>
            <v:fill on="f" focussize="0,0"/>
            <v:stroke on="f" joinstyle="miter"/>
            <v:imagedata r:id="rId8" o:title=""/>
            <o:lock v:ext="edit" aspectratio="t"/>
            <w10:wrap type="none"/>
            <w10:anchorlock/>
          </v:shape>
          <o:OLEObject Type="Embed" ProgID="MSGraph.Chart.8" ShapeID="_x0000_i1025" DrawAspect="Content" ObjectID="_1468075725" r:id="rId7">
            <o:LockedField>false</o:LockedField>
          </o:OLEObject>
        </w:object>
      </w:r>
    </w:p>
    <w:p>
      <w:pPr>
        <w:spacing w:beforeLines="50" w:afterLines="50"/>
        <w:ind w:firstLine="643" w:firstLineChars="200"/>
        <w:jc w:val="left"/>
        <w:rPr>
          <w:rFonts w:ascii="黑体" w:hAnsi="黑体" w:eastAsia="黑体"/>
          <w:b/>
          <w:bCs/>
          <w:sz w:val="32"/>
          <w:szCs w:val="32"/>
        </w:rPr>
      </w:pPr>
      <w:bookmarkStart w:id="62" w:name="_Toc15377206"/>
      <w:bookmarkStart w:id="63" w:name="_Toc15396604"/>
      <w:bookmarkStart w:id="64" w:name="_Toc26826_WPSOffice_Level2"/>
      <w:r>
        <w:rPr>
          <w:rFonts w:hint="eastAsia" w:ascii="黑体" w:hAnsi="黑体" w:eastAsia="黑体" w:cs="黑体"/>
          <w:b/>
          <w:bCs/>
          <w:sz w:val="32"/>
          <w:szCs w:val="32"/>
        </w:rPr>
        <w:t>二、收入决算情况说明</w:t>
      </w:r>
      <w:bookmarkEnd w:id="62"/>
      <w:bookmarkEnd w:id="63"/>
      <w:bookmarkEnd w:id="64"/>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年本年收入合计</w:t>
      </w:r>
      <w:r>
        <w:rPr>
          <w:rFonts w:ascii="仿宋" w:hAnsi="仿宋" w:eastAsia="仿宋" w:cs="仿宋"/>
          <w:sz w:val="32"/>
          <w:szCs w:val="32"/>
        </w:rPr>
        <w:t>274.10</w:t>
      </w:r>
      <w:r>
        <w:rPr>
          <w:rFonts w:hint="eastAsia" w:ascii="仿宋" w:hAnsi="仿宋" w:eastAsia="仿宋" w:cs="仿宋"/>
          <w:sz w:val="32"/>
          <w:szCs w:val="32"/>
        </w:rPr>
        <w:t>万元，其中：一般公共预算财政拨款收入</w:t>
      </w:r>
      <w:r>
        <w:rPr>
          <w:rFonts w:ascii="仿宋" w:hAnsi="仿宋" w:eastAsia="仿宋" w:cs="仿宋"/>
          <w:sz w:val="32"/>
          <w:szCs w:val="32"/>
        </w:rPr>
        <w:t>272.33</w:t>
      </w:r>
      <w:r>
        <w:rPr>
          <w:rFonts w:hint="eastAsia" w:ascii="仿宋" w:hAnsi="仿宋" w:eastAsia="仿宋" w:cs="仿宋"/>
          <w:sz w:val="32"/>
          <w:szCs w:val="32"/>
        </w:rPr>
        <w:t>万元，占</w:t>
      </w:r>
      <w:r>
        <w:rPr>
          <w:rFonts w:ascii="仿宋" w:hAnsi="仿宋" w:eastAsia="仿宋" w:cs="仿宋"/>
          <w:sz w:val="32"/>
          <w:szCs w:val="32"/>
        </w:rPr>
        <w:t>99.35%</w:t>
      </w:r>
      <w:r>
        <w:rPr>
          <w:rFonts w:hint="eastAsia" w:ascii="仿宋" w:hAnsi="仿宋" w:eastAsia="仿宋" w:cs="仿宋"/>
          <w:sz w:val="32"/>
          <w:szCs w:val="32"/>
        </w:rPr>
        <w:t>；政府性基金预算财政拨款收入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；国有资本经营预算财政拨款收入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1.77</w:t>
      </w:r>
      <w:r>
        <w:rPr>
          <w:rFonts w:hint="eastAsia" w:ascii="仿宋" w:hAnsi="仿宋" w:eastAsia="仿宋" w:cs="仿宋"/>
          <w:sz w:val="32"/>
          <w:szCs w:val="32"/>
        </w:rPr>
        <w:t>万元，占</w:t>
      </w:r>
      <w:r>
        <w:rPr>
          <w:rFonts w:ascii="仿宋" w:hAnsi="仿宋" w:eastAsia="仿宋" w:cs="仿宋"/>
          <w:sz w:val="32"/>
          <w:szCs w:val="32"/>
        </w:rPr>
        <w:t>0.65%</w:t>
      </w:r>
      <w:r>
        <w:rPr>
          <w:rFonts w:hint="eastAsia" w:ascii="仿宋" w:hAnsi="仿宋" w:eastAsia="仿宋" w:cs="仿宋"/>
          <w:sz w:val="32"/>
          <w:szCs w:val="32"/>
        </w:rPr>
        <w:t>。</w:t>
      </w:r>
    </w:p>
    <w:p>
      <w:pPr>
        <w:ind w:firstLine="643" w:firstLineChars="200"/>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2</w:t>
      </w:r>
      <w:r>
        <w:rPr>
          <w:rFonts w:hint="eastAsia" w:ascii="仿宋" w:hAnsi="仿宋" w:eastAsia="仿宋" w:cs="仿宋"/>
          <w:b/>
          <w:bCs/>
          <w:sz w:val="32"/>
          <w:szCs w:val="32"/>
        </w:rPr>
        <w:t>：收入决算结构图</w:t>
      </w:r>
    </w:p>
    <w:p>
      <w:pPr>
        <w:rPr>
          <w:rFonts w:ascii="仿宋" w:hAnsi="仿宋" w:eastAsia="仿宋"/>
          <w:sz w:val="32"/>
          <w:szCs w:val="32"/>
        </w:rPr>
      </w:pPr>
      <w:r>
        <w:rPr>
          <w:rFonts w:ascii="仿宋" w:hAnsi="仿宋" w:eastAsia="仿宋"/>
          <w:sz w:val="32"/>
          <w:szCs w:val="32"/>
        </w:rPr>
        <w:object>
          <v:shape id="_x0000_i1026" o:spt="75" type="#_x0000_t75" style="height:211.5pt;width:372.75pt;" o:ole="t" filled="f" o:preferrelative="t" stroked="f" coordsize="21600,21600">
            <v:path/>
            <v:fill on="f" focussize="0,0"/>
            <v:stroke on="f" joinstyle="miter"/>
            <v:imagedata r:id="rId10" o:title=""/>
            <o:lock v:ext="edit" aspectratio="t"/>
            <w10:wrap type="none"/>
            <w10:anchorlock/>
          </v:shape>
          <o:OLEObject Type="Embed" ProgID="MSGraph.Chart.8" ShapeID="_x0000_i1026" DrawAspect="Content" ObjectID="_1468075726" r:id="rId9">
            <o:LockedField>false</o:LockedField>
          </o:OLEObject>
        </w:object>
      </w:r>
    </w:p>
    <w:p>
      <w:pPr>
        <w:spacing w:beforeLines="50" w:afterLines="50"/>
        <w:ind w:firstLine="643" w:firstLineChars="200"/>
        <w:rPr>
          <w:rFonts w:ascii="黑体" w:hAnsi="黑体" w:eastAsia="黑体"/>
          <w:b/>
          <w:bCs/>
          <w:sz w:val="32"/>
          <w:szCs w:val="32"/>
        </w:rPr>
      </w:pPr>
      <w:bookmarkStart w:id="65" w:name="_Toc15396605"/>
      <w:bookmarkStart w:id="66" w:name="_Toc15377207"/>
      <w:bookmarkStart w:id="67" w:name="_Toc12556_WPSOffice_Level2"/>
      <w:r>
        <w:rPr>
          <w:rFonts w:hint="eastAsia" w:ascii="黑体" w:hAnsi="黑体" w:eastAsia="黑体" w:cs="黑体"/>
          <w:b/>
          <w:bCs/>
          <w:sz w:val="32"/>
          <w:szCs w:val="32"/>
        </w:rPr>
        <w:t>三、支出决算情况说明</w:t>
      </w:r>
      <w:bookmarkEnd w:id="65"/>
      <w:bookmarkEnd w:id="66"/>
      <w:bookmarkEnd w:id="67"/>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年本年支出合计</w:t>
      </w:r>
      <w:r>
        <w:rPr>
          <w:rFonts w:ascii="仿宋" w:hAnsi="仿宋" w:eastAsia="仿宋" w:cs="仿宋"/>
          <w:sz w:val="32"/>
          <w:szCs w:val="32"/>
        </w:rPr>
        <w:t>267.58</w:t>
      </w:r>
      <w:r>
        <w:rPr>
          <w:rFonts w:hint="eastAsia" w:ascii="仿宋" w:hAnsi="仿宋" w:eastAsia="仿宋" w:cs="仿宋"/>
          <w:sz w:val="32"/>
          <w:szCs w:val="32"/>
        </w:rPr>
        <w:t>万元，其中：基本支出</w:t>
      </w:r>
      <w:r>
        <w:rPr>
          <w:rFonts w:ascii="仿宋" w:hAnsi="仿宋" w:eastAsia="仿宋" w:cs="仿宋"/>
          <w:sz w:val="32"/>
          <w:szCs w:val="32"/>
        </w:rPr>
        <w:t>217.85</w:t>
      </w:r>
      <w:r>
        <w:rPr>
          <w:rFonts w:hint="eastAsia" w:ascii="仿宋" w:hAnsi="仿宋" w:eastAsia="仿宋" w:cs="仿宋"/>
          <w:sz w:val="32"/>
          <w:szCs w:val="32"/>
        </w:rPr>
        <w:t>万元，占</w:t>
      </w:r>
      <w:r>
        <w:rPr>
          <w:rFonts w:ascii="仿宋" w:hAnsi="仿宋" w:eastAsia="仿宋" w:cs="仿宋"/>
          <w:sz w:val="32"/>
          <w:szCs w:val="32"/>
        </w:rPr>
        <w:t>81.41%</w:t>
      </w:r>
      <w:r>
        <w:rPr>
          <w:rFonts w:hint="eastAsia" w:ascii="仿宋" w:hAnsi="仿宋" w:eastAsia="仿宋" w:cs="仿宋"/>
          <w:sz w:val="32"/>
          <w:szCs w:val="32"/>
        </w:rPr>
        <w:t>；项目支出</w:t>
      </w:r>
      <w:r>
        <w:rPr>
          <w:rFonts w:ascii="仿宋" w:hAnsi="仿宋" w:eastAsia="仿宋" w:cs="仿宋"/>
          <w:sz w:val="32"/>
          <w:szCs w:val="32"/>
        </w:rPr>
        <w:t>49.73</w:t>
      </w:r>
      <w:r>
        <w:rPr>
          <w:rFonts w:hint="eastAsia" w:ascii="仿宋" w:hAnsi="仿宋" w:eastAsia="仿宋" w:cs="仿宋"/>
          <w:sz w:val="32"/>
          <w:szCs w:val="32"/>
        </w:rPr>
        <w:t>万元，占</w:t>
      </w:r>
      <w:r>
        <w:rPr>
          <w:rFonts w:ascii="仿宋" w:hAnsi="仿宋" w:eastAsia="仿宋" w:cs="仿宋"/>
          <w:sz w:val="32"/>
          <w:szCs w:val="32"/>
        </w:rPr>
        <w:t>18.59%</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ind w:firstLine="482" w:firstLineChars="150"/>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3</w:t>
      </w:r>
      <w:r>
        <w:rPr>
          <w:rFonts w:hint="eastAsia" w:ascii="仿宋" w:hAnsi="仿宋" w:eastAsia="仿宋" w:cs="仿宋"/>
          <w:b/>
          <w:bCs/>
          <w:sz w:val="32"/>
          <w:szCs w:val="32"/>
        </w:rPr>
        <w:t>：支出决算结构图</w:t>
      </w:r>
    </w:p>
    <w:p>
      <w:pPr>
        <w:rPr>
          <w:rFonts w:ascii="仿宋" w:hAnsi="仿宋" w:eastAsia="仿宋"/>
          <w:sz w:val="32"/>
          <w:szCs w:val="32"/>
        </w:rPr>
      </w:pPr>
      <w:r>
        <w:rPr>
          <w:rFonts w:ascii="仿宋" w:hAnsi="仿宋" w:eastAsia="仿宋"/>
          <w:sz w:val="32"/>
          <w:szCs w:val="32"/>
        </w:rPr>
        <w:object>
          <v:shape id="_x0000_i1027" o:spt="75" type="#_x0000_t75" style="height:142.5pt;width:321.75pt;" o:ole="t" filled="f" o:preferrelative="t" stroked="f" coordsize="21600,21600">
            <v:path/>
            <v:fill on="f" focussize="0,0"/>
            <v:stroke on="f" joinstyle="miter"/>
            <v:imagedata r:id="rId12" o:title=""/>
            <o:lock v:ext="edit" aspectratio="t"/>
            <w10:wrap type="none"/>
            <w10:anchorlock/>
          </v:shape>
          <o:OLEObject Type="Embed" ProgID="MSGraph.Chart.8" ShapeID="_x0000_i1027" DrawAspect="Content" ObjectID="_1468075727" r:id="rId11">
            <o:LockedField>false</o:LockedField>
          </o:OLEObject>
        </w:object>
      </w:r>
    </w:p>
    <w:p>
      <w:pPr>
        <w:spacing w:beforeLines="50" w:afterLines="50"/>
        <w:ind w:firstLine="482" w:firstLineChars="150"/>
        <w:rPr>
          <w:rFonts w:ascii="黑体" w:hAnsi="黑体" w:eastAsia="黑体"/>
          <w:b/>
          <w:bCs/>
          <w:sz w:val="32"/>
          <w:szCs w:val="32"/>
        </w:rPr>
      </w:pPr>
      <w:bookmarkStart w:id="68" w:name="_Toc15396606"/>
      <w:bookmarkStart w:id="69" w:name="_Toc17649_WPSOffice_Level2"/>
      <w:bookmarkStart w:id="70" w:name="_Toc15377208"/>
      <w:r>
        <w:rPr>
          <w:rFonts w:hint="eastAsia" w:ascii="黑体" w:hAnsi="黑体" w:eastAsia="黑体" w:cs="黑体"/>
          <w:b/>
          <w:bCs/>
          <w:sz w:val="32"/>
          <w:szCs w:val="32"/>
        </w:rPr>
        <w:t>四、财政拨款收入支出决算总体情况说明</w:t>
      </w:r>
      <w:bookmarkEnd w:id="68"/>
      <w:bookmarkEnd w:id="69"/>
      <w:bookmarkEnd w:id="70"/>
    </w:p>
    <w:p>
      <w:pPr>
        <w:ind w:firstLine="480" w:firstLineChars="15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年财政拨款收、支总计</w:t>
      </w:r>
      <w:r>
        <w:rPr>
          <w:rFonts w:ascii="仿宋" w:hAnsi="仿宋" w:eastAsia="仿宋" w:cs="仿宋"/>
          <w:sz w:val="32"/>
          <w:szCs w:val="32"/>
        </w:rPr>
        <w:t>318.36</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年相比，财政拨款收、支总计各增加</w:t>
      </w:r>
      <w:r>
        <w:rPr>
          <w:rFonts w:ascii="仿宋" w:hAnsi="仿宋" w:eastAsia="仿宋" w:cs="仿宋"/>
          <w:sz w:val="32"/>
          <w:szCs w:val="32"/>
        </w:rPr>
        <w:t>31.90</w:t>
      </w:r>
      <w:r>
        <w:rPr>
          <w:rFonts w:hint="eastAsia" w:ascii="仿宋" w:hAnsi="仿宋" w:eastAsia="仿宋" w:cs="仿宋"/>
          <w:sz w:val="32"/>
          <w:szCs w:val="32"/>
        </w:rPr>
        <w:t>万元，增长</w:t>
      </w:r>
      <w:r>
        <w:rPr>
          <w:rFonts w:ascii="仿宋" w:hAnsi="仿宋" w:eastAsia="仿宋" w:cs="仿宋"/>
          <w:sz w:val="32"/>
          <w:szCs w:val="32"/>
        </w:rPr>
        <w:t>11.14%</w:t>
      </w:r>
      <w:r>
        <w:rPr>
          <w:rFonts w:hint="eastAsia" w:ascii="仿宋" w:hAnsi="仿宋" w:eastAsia="仿宋" w:cs="仿宋"/>
          <w:sz w:val="32"/>
          <w:szCs w:val="32"/>
        </w:rPr>
        <w:t>。主要变动原因是人员经费正常增长，如工资正常晋升、调标和目标绩效考核正常增长。</w:t>
      </w:r>
    </w:p>
    <w:p>
      <w:pPr>
        <w:ind w:firstLine="482" w:firstLineChars="150"/>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4</w:t>
      </w:r>
      <w:r>
        <w:rPr>
          <w:rFonts w:hint="eastAsia" w:ascii="仿宋" w:hAnsi="仿宋" w:eastAsia="仿宋" w:cs="仿宋"/>
          <w:b/>
          <w:bCs/>
          <w:sz w:val="32"/>
          <w:szCs w:val="32"/>
        </w:rPr>
        <w:t>：财政拨款收、支决算总计变动情况</w:t>
      </w:r>
    </w:p>
    <w:p>
      <w:pPr>
        <w:rPr>
          <w:rFonts w:ascii="仿宋" w:hAnsi="仿宋" w:eastAsia="仿宋"/>
          <w:sz w:val="32"/>
          <w:szCs w:val="32"/>
        </w:rPr>
      </w:pPr>
      <w:r>
        <w:rPr>
          <w:rFonts w:ascii="仿宋" w:hAnsi="仿宋" w:eastAsia="仿宋"/>
          <w:sz w:val="32"/>
          <w:szCs w:val="32"/>
        </w:rPr>
        <w:object>
          <v:shape id="_x0000_i1028" o:spt="75" type="#_x0000_t75" style="height:151.5pt;width:339.75pt;" o:ole="t" filled="f" o:preferrelative="t" stroked="f" coordsize="21600,21600">
            <v:path/>
            <v:fill on="f" focussize="0,0"/>
            <v:stroke on="f" joinstyle="miter"/>
            <v:imagedata r:id="rId14" o:title=""/>
            <o:lock v:ext="edit" aspectratio="t"/>
            <w10:wrap type="none"/>
            <w10:anchorlock/>
          </v:shape>
          <o:OLEObject Type="Embed" ProgID="MSGraph.Chart.8" ShapeID="_x0000_i1028" DrawAspect="Content" ObjectID="_1468075728" r:id="rId13">
            <o:LockedField>false</o:LockedField>
          </o:OLEObject>
        </w:object>
      </w:r>
      <w:bookmarkStart w:id="71" w:name="_Toc15396607"/>
      <w:bookmarkStart w:id="72" w:name="_Toc15377209"/>
    </w:p>
    <w:p>
      <w:pPr>
        <w:spacing w:beforeLines="50" w:afterLines="50"/>
        <w:ind w:firstLine="643" w:firstLineChars="200"/>
        <w:rPr>
          <w:rFonts w:ascii="黑体" w:hAnsi="黑体" w:eastAsia="黑体"/>
          <w:b/>
          <w:bCs/>
          <w:sz w:val="32"/>
          <w:szCs w:val="32"/>
        </w:rPr>
      </w:pPr>
      <w:bookmarkStart w:id="73" w:name="_Toc51_WPSOffice_Level2"/>
      <w:r>
        <w:rPr>
          <w:rFonts w:hint="eastAsia" w:ascii="黑体" w:hAnsi="黑体" w:eastAsia="黑体" w:cs="黑体"/>
          <w:b/>
          <w:bCs/>
          <w:sz w:val="32"/>
          <w:szCs w:val="32"/>
        </w:rPr>
        <w:t>五、一般公共预算财政拨款支出决算情况说明</w:t>
      </w:r>
      <w:bookmarkEnd w:id="71"/>
      <w:bookmarkEnd w:id="72"/>
      <w:bookmarkEnd w:id="73"/>
    </w:p>
    <w:p>
      <w:pPr>
        <w:ind w:firstLine="643" w:firstLineChars="200"/>
        <w:rPr>
          <w:rFonts w:ascii="楷体" w:hAnsi="楷体" w:eastAsia="楷体"/>
          <w:b/>
          <w:bCs/>
          <w:sz w:val="32"/>
          <w:szCs w:val="32"/>
        </w:rPr>
      </w:pPr>
      <w:bookmarkStart w:id="74" w:name="_Toc15377210"/>
      <w:r>
        <w:rPr>
          <w:rFonts w:hint="eastAsia" w:ascii="楷体" w:hAnsi="楷体" w:eastAsia="楷体" w:cs="楷体"/>
          <w:b/>
          <w:bCs/>
          <w:sz w:val="32"/>
          <w:szCs w:val="32"/>
        </w:rPr>
        <w:t>（一）一般公共预算财政拨款支出决算总体情况</w:t>
      </w:r>
      <w:bookmarkEnd w:id="74"/>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年一般公共预算财政拨款支出</w:t>
      </w:r>
      <w:r>
        <w:rPr>
          <w:rFonts w:ascii="仿宋" w:hAnsi="仿宋" w:eastAsia="仿宋" w:cs="仿宋"/>
          <w:sz w:val="32"/>
          <w:szCs w:val="32"/>
        </w:rPr>
        <w:t>267.12</w:t>
      </w:r>
      <w:r>
        <w:rPr>
          <w:rFonts w:hint="eastAsia" w:ascii="仿宋" w:hAnsi="仿宋" w:eastAsia="仿宋" w:cs="仿宋"/>
          <w:sz w:val="32"/>
          <w:szCs w:val="32"/>
        </w:rPr>
        <w:t>万元，占本年支出合计的</w:t>
      </w:r>
      <w:r>
        <w:rPr>
          <w:rFonts w:ascii="仿宋" w:hAnsi="仿宋" w:eastAsia="仿宋" w:cs="仿宋"/>
          <w:sz w:val="32"/>
          <w:szCs w:val="32"/>
        </w:rPr>
        <w:t>99.83%</w:t>
      </w:r>
      <w:r>
        <w:rPr>
          <w:rFonts w:hint="eastAsia" w:ascii="仿宋" w:hAnsi="仿宋" w:eastAsia="仿宋" w:cs="仿宋"/>
          <w:sz w:val="32"/>
          <w:szCs w:val="32"/>
        </w:rPr>
        <w:t>。与</w:t>
      </w:r>
      <w:r>
        <w:rPr>
          <w:rFonts w:ascii="仿宋" w:hAnsi="仿宋" w:eastAsia="仿宋" w:cs="仿宋"/>
          <w:sz w:val="32"/>
          <w:szCs w:val="32"/>
        </w:rPr>
        <w:t>2017</w:t>
      </w:r>
      <w:r>
        <w:rPr>
          <w:rFonts w:hint="eastAsia" w:ascii="仿宋" w:hAnsi="仿宋" w:eastAsia="仿宋" w:cs="仿宋"/>
          <w:sz w:val="32"/>
          <w:szCs w:val="32"/>
        </w:rPr>
        <w:t>年相比，一般公共预算财政拨款支出增加</w:t>
      </w:r>
      <w:r>
        <w:rPr>
          <w:rFonts w:ascii="仿宋" w:hAnsi="仿宋" w:eastAsia="仿宋" w:cs="仿宋"/>
          <w:sz w:val="32"/>
          <w:szCs w:val="32"/>
        </w:rPr>
        <w:t>26.69</w:t>
      </w:r>
      <w:r>
        <w:rPr>
          <w:rFonts w:hint="eastAsia" w:ascii="仿宋" w:hAnsi="仿宋" w:eastAsia="仿宋" w:cs="仿宋"/>
          <w:sz w:val="32"/>
          <w:szCs w:val="32"/>
        </w:rPr>
        <w:t>万元，增长</w:t>
      </w:r>
      <w:r>
        <w:rPr>
          <w:rFonts w:ascii="仿宋" w:hAnsi="仿宋" w:eastAsia="仿宋" w:cs="仿宋"/>
          <w:sz w:val="32"/>
          <w:szCs w:val="32"/>
        </w:rPr>
        <w:t>11.10%</w:t>
      </w:r>
      <w:r>
        <w:rPr>
          <w:rFonts w:hint="eastAsia" w:ascii="仿宋" w:hAnsi="仿宋" w:eastAsia="仿宋" w:cs="仿宋"/>
          <w:sz w:val="32"/>
          <w:szCs w:val="32"/>
        </w:rPr>
        <w:t>。主要变动原因是人员经费正常增长，如工资正常晋升、调标和目标绩效考核正常增长。</w:t>
      </w:r>
    </w:p>
    <w:p>
      <w:pPr>
        <w:ind w:firstLine="643" w:firstLineChars="200"/>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5</w:t>
      </w:r>
      <w:r>
        <w:rPr>
          <w:rFonts w:hint="eastAsia" w:ascii="仿宋" w:hAnsi="仿宋" w:eastAsia="仿宋" w:cs="仿宋"/>
          <w:b/>
          <w:bCs/>
          <w:sz w:val="32"/>
          <w:szCs w:val="32"/>
        </w:rPr>
        <w:t>：一般公共预算财政拨款支出决算变动情况</w:t>
      </w:r>
    </w:p>
    <w:p>
      <w:pPr>
        <w:rPr>
          <w:rFonts w:ascii="仿宋" w:hAnsi="仿宋" w:eastAsia="仿宋"/>
          <w:sz w:val="32"/>
          <w:szCs w:val="32"/>
        </w:rPr>
      </w:pPr>
      <w:r>
        <w:rPr>
          <w:rFonts w:ascii="仿宋" w:hAnsi="仿宋" w:eastAsia="仿宋"/>
          <w:sz w:val="32"/>
          <w:szCs w:val="32"/>
        </w:rPr>
        <w:object>
          <v:shape id="_x0000_i1029" o:spt="75" type="#_x0000_t75" style="height:173.25pt;width:369.75pt;" o:ole="t" filled="f" o:preferrelative="t" stroked="f" coordsize="21600,21600">
            <v:path/>
            <v:fill on="f" focussize="0,0"/>
            <v:stroke on="f" joinstyle="miter"/>
            <v:imagedata r:id="rId16" o:title=""/>
            <o:lock v:ext="edit" aspectratio="t"/>
            <w10:wrap type="none"/>
            <w10:anchorlock/>
          </v:shape>
          <o:OLEObject Type="Embed" ProgID="MSGraph.Chart.8" ShapeID="_x0000_i1029" DrawAspect="Content" ObjectID="_1468075729" r:id="rId15">
            <o:LockedField>false</o:LockedField>
          </o:OLEObject>
        </w:object>
      </w:r>
      <w:bookmarkStart w:id="75" w:name="_Toc15377211"/>
    </w:p>
    <w:p>
      <w:pPr>
        <w:ind w:firstLine="643" w:firstLineChars="200"/>
        <w:rPr>
          <w:rFonts w:ascii="仿宋" w:hAnsi="仿宋" w:eastAsia="仿宋"/>
          <w:sz w:val="32"/>
          <w:szCs w:val="32"/>
        </w:rPr>
      </w:pPr>
      <w:r>
        <w:rPr>
          <w:rFonts w:hint="eastAsia" w:ascii="楷体" w:hAnsi="楷体" w:eastAsia="楷体" w:cs="楷体"/>
          <w:b/>
          <w:bCs/>
          <w:sz w:val="32"/>
          <w:szCs w:val="32"/>
        </w:rPr>
        <w:t>（二）一般公共预算财政拨款支出决算结构情况</w:t>
      </w:r>
      <w:bookmarkEnd w:id="75"/>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年一般公共预算财政拨款支出</w:t>
      </w:r>
      <w:r>
        <w:rPr>
          <w:rFonts w:ascii="仿宋" w:hAnsi="仿宋" w:eastAsia="仿宋" w:cs="仿宋"/>
          <w:sz w:val="32"/>
          <w:szCs w:val="32"/>
        </w:rPr>
        <w:t>267.12</w:t>
      </w:r>
      <w:r>
        <w:rPr>
          <w:rFonts w:hint="eastAsia" w:ascii="仿宋" w:hAnsi="仿宋" w:eastAsia="仿宋" w:cs="仿宋"/>
          <w:sz w:val="32"/>
          <w:szCs w:val="32"/>
        </w:rPr>
        <w:t>万元，主要用于以下方面</w:t>
      </w:r>
      <w:r>
        <w:rPr>
          <w:rFonts w:ascii="仿宋" w:hAnsi="仿宋" w:eastAsia="仿宋" w:cs="仿宋"/>
          <w:sz w:val="32"/>
          <w:szCs w:val="32"/>
        </w:rPr>
        <w:t xml:space="preserve">: </w:t>
      </w:r>
      <w:r>
        <w:rPr>
          <w:rFonts w:hint="eastAsia" w:ascii="仿宋" w:hAnsi="仿宋" w:eastAsia="仿宋" w:cs="仿宋"/>
          <w:sz w:val="32"/>
          <w:szCs w:val="32"/>
        </w:rPr>
        <w:t>文化体育与传媒支出（类）支出</w:t>
      </w:r>
      <w:r>
        <w:rPr>
          <w:rFonts w:ascii="仿宋" w:hAnsi="仿宋" w:eastAsia="仿宋" w:cs="仿宋"/>
          <w:sz w:val="32"/>
          <w:szCs w:val="32"/>
        </w:rPr>
        <w:t>213.90</w:t>
      </w:r>
      <w:r>
        <w:rPr>
          <w:rFonts w:hint="eastAsia" w:ascii="仿宋" w:hAnsi="仿宋" w:eastAsia="仿宋" w:cs="仿宋"/>
          <w:sz w:val="32"/>
          <w:szCs w:val="32"/>
        </w:rPr>
        <w:t>万元，占</w:t>
      </w:r>
      <w:r>
        <w:rPr>
          <w:rFonts w:ascii="仿宋" w:hAnsi="仿宋" w:eastAsia="仿宋" w:cs="仿宋"/>
          <w:sz w:val="32"/>
          <w:szCs w:val="32"/>
        </w:rPr>
        <w:t>80.08%</w:t>
      </w:r>
      <w:r>
        <w:rPr>
          <w:rFonts w:hint="eastAsia" w:ascii="仿宋" w:hAnsi="仿宋" w:eastAsia="仿宋" w:cs="仿宋"/>
          <w:sz w:val="32"/>
          <w:szCs w:val="32"/>
        </w:rPr>
        <w:t>；社会保障和就业支出（类）</w:t>
      </w:r>
      <w:r>
        <w:rPr>
          <w:rFonts w:ascii="仿宋" w:hAnsi="仿宋" w:eastAsia="仿宋" w:cs="仿宋"/>
          <w:sz w:val="32"/>
          <w:szCs w:val="32"/>
        </w:rPr>
        <w:t>20.94</w:t>
      </w:r>
      <w:r>
        <w:rPr>
          <w:rFonts w:hint="eastAsia" w:ascii="仿宋" w:hAnsi="仿宋" w:eastAsia="仿宋" w:cs="仿宋"/>
          <w:sz w:val="32"/>
          <w:szCs w:val="32"/>
        </w:rPr>
        <w:t>万元，占</w:t>
      </w:r>
      <w:r>
        <w:rPr>
          <w:rFonts w:ascii="仿宋" w:hAnsi="仿宋" w:eastAsia="仿宋" w:cs="仿宋"/>
          <w:sz w:val="32"/>
          <w:szCs w:val="32"/>
        </w:rPr>
        <w:t>7.84%</w:t>
      </w:r>
      <w:r>
        <w:rPr>
          <w:rFonts w:hint="eastAsia" w:ascii="仿宋" w:hAnsi="仿宋" w:eastAsia="仿宋" w:cs="仿宋"/>
          <w:sz w:val="32"/>
          <w:szCs w:val="32"/>
        </w:rPr>
        <w:t>；医疗卫生与计划生育支出（类）支出</w:t>
      </w:r>
      <w:r>
        <w:rPr>
          <w:rFonts w:ascii="仿宋" w:hAnsi="仿宋" w:eastAsia="仿宋" w:cs="仿宋"/>
          <w:sz w:val="32"/>
          <w:szCs w:val="32"/>
        </w:rPr>
        <w:t>15.55</w:t>
      </w:r>
      <w:r>
        <w:rPr>
          <w:rFonts w:hint="eastAsia" w:ascii="仿宋" w:hAnsi="仿宋" w:eastAsia="仿宋" w:cs="仿宋"/>
          <w:sz w:val="32"/>
          <w:szCs w:val="32"/>
        </w:rPr>
        <w:t>万元，占</w:t>
      </w:r>
      <w:r>
        <w:rPr>
          <w:rFonts w:ascii="仿宋" w:hAnsi="仿宋" w:eastAsia="仿宋" w:cs="仿宋"/>
          <w:sz w:val="32"/>
          <w:szCs w:val="32"/>
        </w:rPr>
        <w:t>5.82%</w:t>
      </w:r>
      <w:r>
        <w:rPr>
          <w:rFonts w:hint="eastAsia" w:ascii="仿宋" w:hAnsi="仿宋" w:eastAsia="仿宋" w:cs="仿宋"/>
          <w:sz w:val="32"/>
          <w:szCs w:val="32"/>
        </w:rPr>
        <w:t>；住房保障支出（类）支出</w:t>
      </w:r>
      <w:r>
        <w:rPr>
          <w:rFonts w:ascii="仿宋" w:hAnsi="仿宋" w:eastAsia="仿宋" w:cs="仿宋"/>
          <w:sz w:val="32"/>
          <w:szCs w:val="32"/>
        </w:rPr>
        <w:t>16.73</w:t>
      </w:r>
      <w:r>
        <w:rPr>
          <w:rFonts w:hint="eastAsia" w:ascii="仿宋" w:hAnsi="仿宋" w:eastAsia="仿宋" w:cs="仿宋"/>
          <w:sz w:val="32"/>
          <w:szCs w:val="32"/>
        </w:rPr>
        <w:t>万元，占</w:t>
      </w:r>
      <w:r>
        <w:rPr>
          <w:rFonts w:ascii="仿宋" w:hAnsi="仿宋" w:eastAsia="仿宋" w:cs="仿宋"/>
          <w:sz w:val="32"/>
          <w:szCs w:val="32"/>
        </w:rPr>
        <w:t>6.26%</w:t>
      </w:r>
      <w:r>
        <w:rPr>
          <w:rFonts w:hint="eastAsia" w:ascii="仿宋" w:hAnsi="仿宋" w:eastAsia="仿宋" w:cs="仿宋"/>
          <w:sz w:val="32"/>
          <w:szCs w:val="32"/>
        </w:rPr>
        <w:t>。</w:t>
      </w:r>
    </w:p>
    <w:p>
      <w:pPr>
        <w:ind w:firstLine="643" w:firstLineChars="200"/>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6</w:t>
      </w:r>
      <w:r>
        <w:rPr>
          <w:rFonts w:hint="eastAsia" w:ascii="仿宋" w:hAnsi="仿宋" w:eastAsia="仿宋" w:cs="仿宋"/>
          <w:b/>
          <w:bCs/>
          <w:sz w:val="32"/>
          <w:szCs w:val="32"/>
        </w:rPr>
        <w:t>：一般公共预算财政拨款支出决算结构</w:t>
      </w:r>
    </w:p>
    <w:p>
      <w:pPr>
        <w:rPr>
          <w:rFonts w:ascii="仿宋" w:hAnsi="仿宋" w:eastAsia="仿宋"/>
          <w:sz w:val="32"/>
          <w:szCs w:val="32"/>
        </w:rPr>
      </w:pPr>
      <w:r>
        <w:rPr>
          <w:rFonts w:ascii="仿宋" w:hAnsi="仿宋" w:eastAsia="仿宋"/>
          <w:sz w:val="32"/>
          <w:szCs w:val="32"/>
        </w:rPr>
        <w:object>
          <v:shape id="_x0000_i1030" o:spt="75" type="#_x0000_t75" style="height:156.75pt;width:361.5pt;" o:ole="t" filled="f" o:preferrelative="t" stroked="f" coordsize="21600,21600">
            <v:path/>
            <v:fill on="f" focussize="0,0"/>
            <v:stroke on="f" joinstyle="miter"/>
            <v:imagedata r:id="rId18" o:title=""/>
            <o:lock v:ext="edit" aspectratio="t"/>
            <w10:wrap type="none"/>
            <w10:anchorlock/>
          </v:shape>
          <o:OLEObject Type="Embed" ProgID="MSGraph.Chart.8" ShapeID="_x0000_i1030" DrawAspect="Content" ObjectID="_1468075730" r:id="rId17">
            <o:LockedField>false</o:LockedField>
          </o:OLEObject>
        </w:object>
      </w:r>
    </w:p>
    <w:p>
      <w:pPr>
        <w:ind w:firstLine="643" w:firstLineChars="200"/>
        <w:rPr>
          <w:rFonts w:ascii="楷体" w:hAnsi="楷体" w:eastAsia="楷体"/>
          <w:b/>
          <w:bCs/>
          <w:sz w:val="32"/>
          <w:szCs w:val="32"/>
        </w:rPr>
      </w:pPr>
      <w:bookmarkStart w:id="76" w:name="_Toc15377212"/>
      <w:r>
        <w:rPr>
          <w:rFonts w:hint="eastAsia" w:ascii="楷体" w:hAnsi="楷体" w:eastAsia="楷体" w:cs="楷体"/>
          <w:b/>
          <w:bCs/>
          <w:sz w:val="32"/>
          <w:szCs w:val="32"/>
        </w:rPr>
        <w:t>（三）一般公共预算财政拨款支出决算具体情况</w:t>
      </w:r>
      <w:bookmarkEnd w:id="76"/>
    </w:p>
    <w:p>
      <w:pPr>
        <w:ind w:firstLine="640" w:firstLineChars="200"/>
        <w:rPr>
          <w:rFonts w:ascii="仿宋" w:hAnsi="仿宋" w:eastAsia="仿宋"/>
          <w:sz w:val="32"/>
          <w:szCs w:val="32"/>
        </w:rPr>
      </w:pPr>
      <w:bookmarkStart w:id="77" w:name="_Toc15377213"/>
      <w:bookmarkStart w:id="78" w:name="_Toc15378460"/>
      <w:bookmarkStart w:id="79" w:name="_Toc15377444"/>
      <w:r>
        <w:rPr>
          <w:rFonts w:ascii="仿宋" w:hAnsi="仿宋" w:eastAsia="仿宋" w:cs="仿宋"/>
          <w:sz w:val="32"/>
          <w:szCs w:val="32"/>
        </w:rPr>
        <w:t>2018</w:t>
      </w:r>
      <w:r>
        <w:rPr>
          <w:rFonts w:hint="eastAsia" w:ascii="仿宋" w:hAnsi="仿宋" w:eastAsia="仿宋" w:cs="仿宋"/>
          <w:sz w:val="32"/>
          <w:szCs w:val="32"/>
        </w:rPr>
        <w:t>年般公共预算支出决算数为</w:t>
      </w:r>
      <w:r>
        <w:rPr>
          <w:rFonts w:ascii="仿宋" w:hAnsi="仿宋" w:eastAsia="仿宋" w:cs="仿宋"/>
          <w:sz w:val="32"/>
          <w:szCs w:val="32"/>
        </w:rPr>
        <w:t>267.12</w:t>
      </w:r>
      <w:r>
        <w:rPr>
          <w:rFonts w:hint="eastAsia" w:ascii="仿宋" w:hAnsi="仿宋" w:eastAsia="仿宋" w:cs="仿宋"/>
          <w:sz w:val="32"/>
          <w:szCs w:val="32"/>
        </w:rPr>
        <w:t>，完成预算</w:t>
      </w:r>
      <w:r>
        <w:rPr>
          <w:rFonts w:ascii="仿宋" w:hAnsi="仿宋" w:eastAsia="仿宋" w:cs="仿宋"/>
          <w:sz w:val="32"/>
          <w:szCs w:val="32"/>
        </w:rPr>
        <w:t>83.91%</w:t>
      </w:r>
      <w:r>
        <w:rPr>
          <w:rFonts w:hint="eastAsia" w:ascii="仿宋" w:hAnsi="仿宋" w:eastAsia="仿宋" w:cs="仿宋"/>
          <w:sz w:val="32"/>
          <w:szCs w:val="32"/>
        </w:rPr>
        <w:t>。其中：</w:t>
      </w:r>
      <w:bookmarkEnd w:id="77"/>
      <w:bookmarkEnd w:id="78"/>
      <w:bookmarkEnd w:id="79"/>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文化化育与传媒支出（类）文化（款）文化市场管理（项）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213.90</w:t>
      </w:r>
      <w:r>
        <w:rPr>
          <w:rFonts w:hint="eastAsia" w:ascii="仿宋" w:hAnsi="仿宋" w:eastAsia="仿宋" w:cs="仿宋"/>
          <w:sz w:val="32"/>
          <w:szCs w:val="32"/>
        </w:rPr>
        <w:t>万元，完成预算</w:t>
      </w:r>
      <w:r>
        <w:rPr>
          <w:rFonts w:ascii="仿宋" w:hAnsi="仿宋" w:eastAsia="仿宋" w:cs="仿宋"/>
          <w:sz w:val="32"/>
          <w:szCs w:val="32"/>
        </w:rPr>
        <w:t>80.67%</w:t>
      </w:r>
      <w:r>
        <w:rPr>
          <w:rFonts w:hint="eastAsia" w:ascii="仿宋" w:hAnsi="仿宋" w:eastAsia="仿宋" w:cs="仿宋"/>
          <w:sz w:val="32"/>
          <w:szCs w:val="32"/>
        </w:rPr>
        <w:t>，决算数小于预算数的主要原因是单位已发生的“扫黄打非”及文化市场专项整治、扶贫工作等专项经费以及单位日常公用经费和人员经费暂未支出，结转至</w:t>
      </w:r>
      <w:r>
        <w:rPr>
          <w:rFonts w:ascii="仿宋" w:hAnsi="仿宋" w:eastAsia="仿宋" w:cs="仿宋"/>
          <w:sz w:val="32"/>
          <w:szCs w:val="32"/>
        </w:rPr>
        <w:t>2019</w:t>
      </w:r>
      <w:r>
        <w:rPr>
          <w:rFonts w:hint="eastAsia" w:ascii="仿宋" w:hAnsi="仿宋" w:eastAsia="仿宋" w:cs="仿宋"/>
          <w:sz w:val="32"/>
          <w:szCs w:val="32"/>
        </w:rPr>
        <w:t>年。</w:t>
      </w:r>
    </w:p>
    <w:p>
      <w:pPr>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社会保障和就业支出（类）行政事业单位离退休（款）机关事业单位基本养老保险缴费支出（项）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20.94</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，决算数与预算数持平。</w:t>
      </w:r>
    </w:p>
    <w:p>
      <w:pPr>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医疗卫生与计划生育支出（类）行政事业单位医疗（款）行政单位医疗（项）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10.49</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，决算数与预算数持平。</w:t>
      </w:r>
    </w:p>
    <w:p>
      <w:pPr>
        <w:ind w:firstLine="640" w:firstLineChars="200"/>
        <w:rPr>
          <w:rFonts w:ascii="仿宋" w:hAnsi="仿宋" w:eastAsia="仿宋"/>
          <w:sz w:val="32"/>
          <w:szCs w:val="32"/>
        </w:rPr>
      </w:pPr>
      <w:r>
        <w:rPr>
          <w:rFonts w:ascii="仿宋" w:hAnsi="仿宋" w:eastAsia="仿宋" w:cs="仿宋"/>
          <w:sz w:val="32"/>
          <w:szCs w:val="32"/>
        </w:rPr>
        <w:t xml:space="preserve">4. </w:t>
      </w:r>
      <w:r>
        <w:rPr>
          <w:rFonts w:hint="eastAsia" w:ascii="仿宋" w:hAnsi="仿宋" w:eastAsia="仿宋" w:cs="仿宋"/>
          <w:sz w:val="32"/>
          <w:szCs w:val="32"/>
        </w:rPr>
        <w:t>医疗卫生与计划生育支出（类）行政事业单位医疗（款）公务员医疗补助（项）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4.65</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，决算数与预算数持平。</w:t>
      </w:r>
    </w:p>
    <w:p>
      <w:pPr>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住房保障支出（类）住房改革支出（款）住房公积金（项）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16.73</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，决算数与预算数持平。</w:t>
      </w:r>
    </w:p>
    <w:p>
      <w:pPr>
        <w:spacing w:beforeLines="50" w:afterLines="50"/>
        <w:ind w:firstLine="643" w:firstLineChars="200"/>
        <w:rPr>
          <w:rFonts w:ascii="黑体" w:hAnsi="黑体" w:eastAsia="黑体"/>
          <w:b/>
          <w:bCs/>
          <w:sz w:val="32"/>
          <w:szCs w:val="32"/>
        </w:rPr>
      </w:pPr>
      <w:bookmarkStart w:id="80" w:name="_Toc29389_WPSOffice_Level2"/>
      <w:bookmarkStart w:id="81" w:name="_Toc15377214"/>
      <w:bookmarkStart w:id="82" w:name="_Toc15396608"/>
      <w:r>
        <w:rPr>
          <w:rFonts w:hint="eastAsia" w:ascii="黑体" w:hAnsi="黑体" w:eastAsia="黑体" w:cs="黑体"/>
          <w:b/>
          <w:bCs/>
          <w:sz w:val="32"/>
          <w:szCs w:val="32"/>
        </w:rPr>
        <w:t>六、一般公共预算财政拨款基本支出决算情况说明</w:t>
      </w:r>
      <w:bookmarkEnd w:id="80"/>
      <w:bookmarkEnd w:id="81"/>
      <w:bookmarkEnd w:id="82"/>
      <w:r>
        <w:rPr>
          <w:rFonts w:ascii="黑体" w:hAnsi="黑体" w:eastAsia="黑体"/>
          <w:b/>
          <w:bCs/>
          <w:sz w:val="32"/>
          <w:szCs w:val="32"/>
        </w:rPr>
        <w:tab/>
      </w:r>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年一般公共预算财政拨款基本支出</w:t>
      </w:r>
      <w:r>
        <w:rPr>
          <w:rFonts w:ascii="仿宋" w:hAnsi="仿宋" w:eastAsia="仿宋" w:cs="仿宋"/>
          <w:sz w:val="32"/>
          <w:szCs w:val="32"/>
        </w:rPr>
        <w:t>217.86</w:t>
      </w:r>
      <w:r>
        <w:rPr>
          <w:rFonts w:hint="eastAsia" w:ascii="仿宋" w:hAnsi="仿宋" w:eastAsia="仿宋" w:cs="仿宋"/>
          <w:sz w:val="32"/>
          <w:szCs w:val="32"/>
        </w:rPr>
        <w:t>万元，其中：</w:t>
      </w:r>
    </w:p>
    <w:p>
      <w:pPr>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206.57</w:t>
      </w:r>
      <w:r>
        <w:rPr>
          <w:rFonts w:hint="eastAsia" w:ascii="仿宋" w:hAnsi="仿宋" w:eastAsia="仿宋" w:cs="仿宋"/>
          <w:sz w:val="32"/>
          <w:szCs w:val="32"/>
        </w:rPr>
        <w:t>万元，主要包括：基本工资、津贴补贴、奖金、伙食补助费、机关事业单位基本养老保险缴费、职业年金缴费、其他社会保障缴费、其他工资福利支出、奖励金、住房公积金、其他对个人和家庭的补助支出等。</w:t>
      </w:r>
    </w:p>
    <w:p>
      <w:pPr>
        <w:rPr>
          <w:rFonts w:ascii="仿宋" w:hAnsi="仿宋" w:eastAsia="仿宋"/>
          <w:sz w:val="32"/>
          <w:szCs w:val="32"/>
        </w:rPr>
      </w:pPr>
      <w:r>
        <w:rPr>
          <w:rFonts w:hint="eastAsia" w:ascii="仿宋" w:hAnsi="仿宋" w:eastAsia="仿宋" w:cs="仿宋"/>
          <w:sz w:val="32"/>
          <w:szCs w:val="32"/>
        </w:rPr>
        <w:t>公用经费</w:t>
      </w:r>
      <w:r>
        <w:rPr>
          <w:rFonts w:ascii="仿宋" w:hAnsi="仿宋" w:eastAsia="仿宋" w:cs="仿宋"/>
          <w:sz w:val="32"/>
          <w:szCs w:val="32"/>
        </w:rPr>
        <w:t>11.29</w:t>
      </w:r>
      <w:r>
        <w:rPr>
          <w:rFonts w:hint="eastAsia" w:ascii="仿宋" w:hAnsi="仿宋" w:eastAsia="仿宋" w:cs="仿宋"/>
          <w:sz w:val="32"/>
          <w:szCs w:val="32"/>
        </w:rPr>
        <w:t>万元，主要包括：办公费、印刷费、咨询费、水费、电费、邮电费、物业管理费、差旅费、维修（护）费、公务接待费、工会经费、其他交通费、其他商品和服务支出等。</w:t>
      </w:r>
    </w:p>
    <w:p>
      <w:pPr>
        <w:spacing w:beforeLines="50" w:afterLines="50"/>
        <w:ind w:firstLine="643" w:firstLineChars="200"/>
        <w:rPr>
          <w:rFonts w:ascii="黑体" w:hAnsi="黑体" w:eastAsia="黑体"/>
          <w:b/>
          <w:bCs/>
          <w:sz w:val="32"/>
          <w:szCs w:val="32"/>
        </w:rPr>
      </w:pPr>
      <w:bookmarkStart w:id="83" w:name="_Toc15396609"/>
      <w:bookmarkStart w:id="84" w:name="_Toc15377215"/>
      <w:bookmarkStart w:id="85" w:name="_Toc21075_WPSOffice_Level2"/>
      <w:r>
        <w:rPr>
          <w:rFonts w:hint="eastAsia" w:ascii="黑体" w:hAnsi="黑体" w:eastAsia="黑体" w:cs="黑体"/>
          <w:b/>
          <w:bCs/>
          <w:sz w:val="32"/>
          <w:szCs w:val="32"/>
        </w:rPr>
        <w:t>七、“三公”经费财政拨款支出决算情况说明</w:t>
      </w:r>
      <w:bookmarkEnd w:id="83"/>
      <w:bookmarkEnd w:id="84"/>
      <w:bookmarkEnd w:id="85"/>
    </w:p>
    <w:p>
      <w:pPr>
        <w:ind w:firstLine="643" w:firstLineChars="200"/>
        <w:rPr>
          <w:rFonts w:ascii="楷体" w:hAnsi="楷体" w:eastAsia="楷体"/>
          <w:b/>
          <w:bCs/>
          <w:sz w:val="32"/>
          <w:szCs w:val="32"/>
        </w:rPr>
      </w:pPr>
      <w:bookmarkStart w:id="86" w:name="_Toc15377216"/>
      <w:r>
        <w:rPr>
          <w:rFonts w:hint="eastAsia" w:ascii="楷体" w:hAnsi="楷体" w:eastAsia="楷体" w:cs="楷体"/>
          <w:b/>
          <w:bCs/>
          <w:sz w:val="32"/>
          <w:szCs w:val="32"/>
        </w:rPr>
        <w:t>（一）“三公”经费财政拨款支出决算总体情况说明</w:t>
      </w:r>
      <w:bookmarkEnd w:id="86"/>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年“三公”经费财政拨款支出决算为</w:t>
      </w:r>
      <w:r>
        <w:rPr>
          <w:rFonts w:ascii="仿宋" w:hAnsi="仿宋" w:eastAsia="仿宋" w:cs="仿宋"/>
          <w:sz w:val="32"/>
          <w:szCs w:val="32"/>
        </w:rPr>
        <w:t>0.81</w:t>
      </w:r>
      <w:r>
        <w:rPr>
          <w:rFonts w:hint="eastAsia" w:ascii="仿宋" w:hAnsi="仿宋" w:eastAsia="仿宋" w:cs="仿宋"/>
          <w:sz w:val="32"/>
          <w:szCs w:val="32"/>
        </w:rPr>
        <w:t>万元，完成预算</w:t>
      </w:r>
      <w:r>
        <w:rPr>
          <w:rFonts w:ascii="仿宋" w:hAnsi="仿宋" w:eastAsia="仿宋" w:cs="仿宋"/>
          <w:sz w:val="32"/>
          <w:szCs w:val="32"/>
        </w:rPr>
        <w:t>91.01%</w:t>
      </w:r>
      <w:r>
        <w:rPr>
          <w:rFonts w:hint="eastAsia" w:ascii="仿宋" w:hAnsi="仿宋" w:eastAsia="仿宋" w:cs="仿宋"/>
          <w:sz w:val="32"/>
          <w:szCs w:val="32"/>
        </w:rPr>
        <w:t>，决算数小于预算数的主要原因是公务接批次、人次减少，严禁按规定标准开支公务接待费用。</w:t>
      </w:r>
      <w:bookmarkStart w:id="87" w:name="_Toc15377217"/>
    </w:p>
    <w:p>
      <w:pPr>
        <w:ind w:firstLine="643" w:firstLineChars="200"/>
        <w:rPr>
          <w:rFonts w:ascii="楷体" w:hAnsi="楷体" w:eastAsia="楷体"/>
          <w:b/>
          <w:bCs/>
          <w:sz w:val="32"/>
          <w:szCs w:val="32"/>
        </w:rPr>
      </w:pPr>
      <w:r>
        <w:rPr>
          <w:rFonts w:hint="eastAsia" w:ascii="楷体" w:hAnsi="楷体" w:eastAsia="楷体" w:cs="楷体"/>
          <w:b/>
          <w:bCs/>
          <w:sz w:val="32"/>
          <w:szCs w:val="32"/>
        </w:rPr>
        <w:t>（二）“三公”经费财政拨款支出决算具体情况说明</w:t>
      </w:r>
      <w:bookmarkEnd w:id="87"/>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万元，；公务接待费支出决算</w:t>
      </w:r>
      <w:r>
        <w:rPr>
          <w:rFonts w:ascii="仿宋" w:hAnsi="仿宋" w:eastAsia="仿宋" w:cs="仿宋"/>
          <w:sz w:val="32"/>
          <w:szCs w:val="32"/>
        </w:rPr>
        <w:t>0.81</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。具体情况如下：</w:t>
      </w:r>
    </w:p>
    <w:p>
      <w:pPr>
        <w:ind w:firstLine="643" w:firstLineChars="200"/>
        <w:rPr>
          <w:rFonts w:ascii="仿宋" w:hAnsi="仿宋" w:eastAsia="仿宋"/>
          <w:b/>
          <w:bCs/>
          <w:sz w:val="32"/>
          <w:szCs w:val="32"/>
        </w:rPr>
      </w:pPr>
      <w:r>
        <w:rPr>
          <w:rFonts w:hint="eastAsia" w:ascii="仿宋" w:hAnsi="仿宋" w:eastAsia="仿宋" w:cs="仿宋"/>
          <w:b/>
          <w:bCs/>
          <w:sz w:val="32"/>
          <w:szCs w:val="32"/>
        </w:rPr>
        <w:t>图</w:t>
      </w:r>
      <w:r>
        <w:rPr>
          <w:rFonts w:ascii="仿宋" w:hAnsi="仿宋" w:eastAsia="仿宋" w:cs="仿宋"/>
          <w:b/>
          <w:bCs/>
          <w:sz w:val="32"/>
          <w:szCs w:val="32"/>
        </w:rPr>
        <w:t>7</w:t>
      </w:r>
      <w:r>
        <w:rPr>
          <w:rFonts w:hint="eastAsia" w:ascii="仿宋" w:hAnsi="仿宋" w:eastAsia="仿宋" w:cs="仿宋"/>
          <w:b/>
          <w:bCs/>
          <w:sz w:val="32"/>
          <w:szCs w:val="32"/>
        </w:rPr>
        <w:t>：“三公”经费财政拨款支出结构</w:t>
      </w:r>
    </w:p>
    <w:p>
      <w:pPr>
        <w:rPr>
          <w:rFonts w:ascii="仿宋" w:hAnsi="仿宋" w:eastAsia="仿宋"/>
          <w:sz w:val="32"/>
          <w:szCs w:val="32"/>
        </w:rPr>
      </w:pPr>
      <w:r>
        <w:rPr>
          <w:rFonts w:ascii="仿宋" w:hAnsi="仿宋" w:eastAsia="仿宋"/>
          <w:sz w:val="32"/>
          <w:szCs w:val="32"/>
        </w:rPr>
        <w:object>
          <v:shape id="_x0000_i1031" o:spt="75" type="#_x0000_t75" style="height:184.5pt;width:375pt;" o:ole="t" filled="f" o:preferrelative="t" stroked="f" coordsize="21600,21600">
            <v:path/>
            <v:fill on="f" focussize="0,0"/>
            <v:stroke on="f" joinstyle="miter"/>
            <v:imagedata r:id="rId20" o:title=""/>
            <o:lock v:ext="edit" aspectratio="t"/>
            <w10:wrap type="none"/>
            <w10:anchorlock/>
          </v:shape>
          <o:OLEObject Type="Embed" ProgID="MSGraph.Chart.8" ShapeID="_x0000_i1031" DrawAspect="Content" ObjectID="_1468075731" r:id="rId19">
            <o:LockedField>false</o:LockedField>
          </o:OLEObject>
        </w:objec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因公出国（境）经费支出</w:t>
      </w:r>
      <w:r>
        <w:rPr>
          <w:rFonts w:ascii="仿宋" w:hAnsi="仿宋" w:eastAsia="仿宋" w:cs="仿宋"/>
          <w:sz w:val="32"/>
          <w:szCs w:val="32"/>
        </w:rPr>
        <w:t>0</w:t>
      </w:r>
      <w:r>
        <w:rPr>
          <w:rFonts w:hint="eastAsia" w:ascii="仿宋" w:hAnsi="仿宋" w:eastAsia="仿宋" w:cs="仿宋"/>
          <w:sz w:val="32"/>
          <w:szCs w:val="32"/>
        </w:rPr>
        <w:t>万元。</w:t>
      </w:r>
    </w:p>
    <w:p>
      <w:pPr>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公务用车购置及运行维护费支出</w:t>
      </w:r>
      <w:r>
        <w:rPr>
          <w:rFonts w:ascii="仿宋" w:hAnsi="仿宋" w:eastAsia="仿宋" w:cs="仿宋"/>
          <w:sz w:val="32"/>
          <w:szCs w:val="32"/>
        </w:rPr>
        <w:t>0</w:t>
      </w:r>
      <w:r>
        <w:rPr>
          <w:rFonts w:hint="eastAsia" w:ascii="仿宋" w:hAnsi="仿宋" w:eastAsia="仿宋" w:cs="仿宋"/>
          <w:sz w:val="32"/>
          <w:szCs w:val="32"/>
        </w:rPr>
        <w:t>万元。</w:t>
      </w:r>
    </w:p>
    <w:p>
      <w:pPr>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公务接待费支出</w:t>
      </w:r>
      <w:r>
        <w:rPr>
          <w:rFonts w:ascii="仿宋" w:hAnsi="仿宋" w:eastAsia="仿宋" w:cs="仿宋"/>
          <w:sz w:val="32"/>
          <w:szCs w:val="32"/>
        </w:rPr>
        <w:t>0.81</w:t>
      </w:r>
      <w:r>
        <w:rPr>
          <w:rFonts w:hint="eastAsia" w:ascii="仿宋" w:hAnsi="仿宋" w:eastAsia="仿宋" w:cs="仿宋"/>
          <w:sz w:val="32"/>
          <w:szCs w:val="32"/>
        </w:rPr>
        <w:t>万元，完成预算</w:t>
      </w:r>
      <w:r>
        <w:rPr>
          <w:rFonts w:ascii="仿宋" w:hAnsi="仿宋" w:eastAsia="仿宋" w:cs="仿宋"/>
          <w:sz w:val="32"/>
          <w:szCs w:val="32"/>
        </w:rPr>
        <w:t>91.01%</w:t>
      </w:r>
      <w:r>
        <w:rPr>
          <w:rFonts w:hint="eastAsia" w:ascii="仿宋" w:hAnsi="仿宋" w:eastAsia="仿宋" w:cs="仿宋"/>
          <w:sz w:val="32"/>
          <w:szCs w:val="32"/>
        </w:rPr>
        <w:t>。公务接待费支出决算比</w:t>
      </w:r>
      <w:r>
        <w:rPr>
          <w:rFonts w:ascii="仿宋" w:hAnsi="仿宋" w:eastAsia="仿宋" w:cs="仿宋"/>
          <w:sz w:val="32"/>
          <w:szCs w:val="32"/>
        </w:rPr>
        <w:t>2017</w:t>
      </w:r>
      <w:r>
        <w:rPr>
          <w:rFonts w:hint="eastAsia" w:ascii="仿宋" w:hAnsi="仿宋" w:eastAsia="仿宋" w:cs="仿宋"/>
          <w:sz w:val="32"/>
          <w:szCs w:val="32"/>
        </w:rPr>
        <w:t>年减少</w:t>
      </w:r>
      <w:r>
        <w:rPr>
          <w:rFonts w:ascii="仿宋" w:hAnsi="仿宋" w:eastAsia="仿宋" w:cs="仿宋"/>
          <w:sz w:val="32"/>
          <w:szCs w:val="32"/>
        </w:rPr>
        <w:t>0.08</w:t>
      </w:r>
      <w:r>
        <w:rPr>
          <w:rFonts w:hint="eastAsia" w:ascii="仿宋" w:hAnsi="仿宋" w:eastAsia="仿宋" w:cs="仿宋"/>
          <w:sz w:val="32"/>
          <w:szCs w:val="32"/>
        </w:rPr>
        <w:t>万元，下降</w:t>
      </w:r>
      <w:r>
        <w:rPr>
          <w:rFonts w:ascii="仿宋" w:hAnsi="仿宋" w:eastAsia="仿宋" w:cs="仿宋"/>
          <w:sz w:val="32"/>
          <w:szCs w:val="32"/>
        </w:rPr>
        <w:t>8.99%</w:t>
      </w:r>
      <w:r>
        <w:rPr>
          <w:rFonts w:hint="eastAsia" w:ascii="仿宋" w:hAnsi="仿宋" w:eastAsia="仿宋" w:cs="仿宋"/>
          <w:sz w:val="32"/>
          <w:szCs w:val="32"/>
        </w:rPr>
        <w:t>。主要原因</w:t>
      </w:r>
      <w:bookmarkStart w:id="131" w:name="_GoBack"/>
      <w:bookmarkEnd w:id="131"/>
      <w:r>
        <w:rPr>
          <w:rFonts w:hint="eastAsia" w:ascii="仿宋" w:hAnsi="仿宋" w:eastAsia="仿宋" w:cs="仿宋"/>
          <w:sz w:val="32"/>
          <w:szCs w:val="32"/>
          <w:lang w:eastAsia="zh-CN"/>
        </w:rPr>
        <w:t>是</w:t>
      </w:r>
      <w:r>
        <w:rPr>
          <w:rFonts w:hint="eastAsia" w:ascii="仿宋" w:hAnsi="仿宋" w:eastAsia="仿宋" w:cs="仿宋"/>
          <w:sz w:val="32"/>
          <w:szCs w:val="32"/>
        </w:rPr>
        <w:t>公务接批次、人次减少，严禁按规定标准开支公务接待费用。</w:t>
      </w:r>
    </w:p>
    <w:p>
      <w:pPr>
        <w:rPr>
          <w:rFonts w:ascii="仿宋" w:hAnsi="仿宋" w:eastAsia="仿宋"/>
          <w:sz w:val="32"/>
          <w:szCs w:val="32"/>
        </w:rPr>
      </w:pPr>
      <w:r>
        <w:rPr>
          <w:rFonts w:hint="eastAsia" w:ascii="仿宋" w:hAnsi="仿宋" w:eastAsia="仿宋" w:cs="仿宋"/>
          <w:sz w:val="32"/>
          <w:szCs w:val="32"/>
        </w:rPr>
        <w:t>主要用于上级检查、文化市场联动执法等业务活动开支的公务接待费用。</w:t>
      </w:r>
    </w:p>
    <w:p>
      <w:pPr>
        <w:ind w:firstLine="640" w:firstLineChars="200"/>
        <w:rPr>
          <w:rFonts w:ascii="仿宋" w:hAnsi="仿宋" w:eastAsia="仿宋"/>
          <w:sz w:val="32"/>
          <w:szCs w:val="32"/>
        </w:rPr>
      </w:pPr>
      <w:r>
        <w:rPr>
          <w:rFonts w:hint="eastAsia" w:ascii="仿宋" w:hAnsi="仿宋" w:eastAsia="仿宋" w:cs="仿宋"/>
          <w:sz w:val="32"/>
          <w:szCs w:val="32"/>
        </w:rPr>
        <w:t>国内公务接待</w:t>
      </w:r>
      <w:r>
        <w:rPr>
          <w:rFonts w:ascii="仿宋" w:hAnsi="仿宋" w:eastAsia="仿宋" w:cs="仿宋"/>
          <w:sz w:val="32"/>
          <w:szCs w:val="32"/>
        </w:rPr>
        <w:t>23</w:t>
      </w:r>
      <w:r>
        <w:rPr>
          <w:rFonts w:hint="eastAsia" w:ascii="仿宋" w:hAnsi="仿宋" w:eastAsia="仿宋" w:cs="仿宋"/>
          <w:sz w:val="32"/>
          <w:szCs w:val="32"/>
        </w:rPr>
        <w:t>批次，</w:t>
      </w:r>
      <w:r>
        <w:rPr>
          <w:rFonts w:ascii="仿宋" w:hAnsi="仿宋" w:eastAsia="仿宋" w:cs="仿宋"/>
          <w:sz w:val="32"/>
          <w:szCs w:val="32"/>
        </w:rPr>
        <w:t>116</w:t>
      </w:r>
      <w:r>
        <w:rPr>
          <w:rFonts w:hint="eastAsia" w:ascii="仿宋" w:hAnsi="仿宋" w:eastAsia="仿宋" w:cs="仿宋"/>
          <w:sz w:val="32"/>
          <w:szCs w:val="32"/>
        </w:rPr>
        <w:t>人次（不包括陪同人员），共计支出</w:t>
      </w:r>
      <w:r>
        <w:rPr>
          <w:rFonts w:ascii="仿宋" w:hAnsi="仿宋" w:eastAsia="仿宋" w:cs="仿宋"/>
          <w:sz w:val="32"/>
          <w:szCs w:val="32"/>
        </w:rPr>
        <w:t>0.81</w:t>
      </w:r>
      <w:r>
        <w:rPr>
          <w:rFonts w:hint="eastAsia" w:ascii="仿宋" w:hAnsi="仿宋" w:eastAsia="仿宋" w:cs="仿宋"/>
          <w:sz w:val="32"/>
          <w:szCs w:val="32"/>
        </w:rPr>
        <w:t>万元，具体内容包括：上级主管部门、本级部门检查</w:t>
      </w:r>
      <w:r>
        <w:rPr>
          <w:rFonts w:ascii="仿宋" w:hAnsi="仿宋" w:eastAsia="仿宋" w:cs="仿宋"/>
          <w:sz w:val="32"/>
          <w:szCs w:val="32"/>
        </w:rPr>
        <w:t>11</w:t>
      </w:r>
      <w:r>
        <w:rPr>
          <w:rFonts w:hint="eastAsia" w:ascii="仿宋" w:hAnsi="仿宋" w:eastAsia="仿宋" w:cs="仿宋"/>
          <w:sz w:val="32"/>
          <w:szCs w:val="32"/>
        </w:rPr>
        <w:t>批次，开支公务接待费</w:t>
      </w:r>
      <w:r>
        <w:rPr>
          <w:rFonts w:ascii="仿宋" w:hAnsi="仿宋" w:eastAsia="仿宋" w:cs="仿宋"/>
          <w:sz w:val="32"/>
          <w:szCs w:val="32"/>
        </w:rPr>
        <w:t>0.38</w:t>
      </w:r>
      <w:r>
        <w:rPr>
          <w:rFonts w:hint="eastAsia" w:ascii="仿宋" w:hAnsi="仿宋" w:eastAsia="仿宋" w:cs="仿宋"/>
          <w:sz w:val="32"/>
          <w:szCs w:val="32"/>
        </w:rPr>
        <w:t>万元；文化市场联运执法检查</w:t>
      </w:r>
      <w:r>
        <w:rPr>
          <w:rFonts w:ascii="仿宋" w:hAnsi="仿宋" w:eastAsia="仿宋" w:cs="仿宋"/>
          <w:sz w:val="32"/>
          <w:szCs w:val="32"/>
        </w:rPr>
        <w:t>12</w:t>
      </w:r>
      <w:r>
        <w:rPr>
          <w:rFonts w:hint="eastAsia" w:ascii="仿宋" w:hAnsi="仿宋" w:eastAsia="仿宋" w:cs="仿宋"/>
          <w:sz w:val="32"/>
          <w:szCs w:val="32"/>
        </w:rPr>
        <w:t>批次，开支公务接待费</w:t>
      </w:r>
      <w:r>
        <w:rPr>
          <w:rFonts w:ascii="仿宋" w:hAnsi="仿宋" w:eastAsia="仿宋" w:cs="仿宋"/>
          <w:sz w:val="32"/>
          <w:szCs w:val="32"/>
        </w:rPr>
        <w:t>0.43</w:t>
      </w:r>
      <w:r>
        <w:rPr>
          <w:rFonts w:hint="eastAsia" w:ascii="仿宋" w:hAnsi="仿宋" w:eastAsia="仿宋" w:cs="仿宋"/>
          <w:sz w:val="32"/>
          <w:szCs w:val="32"/>
        </w:rPr>
        <w:t>万元（接待具体项目、金额）。其中：</w:t>
      </w:r>
    </w:p>
    <w:p>
      <w:pPr>
        <w:ind w:firstLine="640" w:firstLineChars="200"/>
        <w:rPr>
          <w:rFonts w:ascii="仿宋" w:hAnsi="仿宋" w:eastAsia="仿宋"/>
          <w:sz w:val="32"/>
          <w:szCs w:val="32"/>
        </w:rPr>
      </w:pPr>
      <w:r>
        <w:rPr>
          <w:rFonts w:hint="eastAsia" w:ascii="仿宋" w:hAnsi="仿宋" w:eastAsia="仿宋" w:cs="仿宋"/>
          <w:sz w:val="32"/>
          <w:szCs w:val="32"/>
        </w:rPr>
        <w:t>外事接待支出</w:t>
      </w:r>
      <w:r>
        <w:rPr>
          <w:rFonts w:ascii="仿宋" w:hAnsi="仿宋" w:eastAsia="仿宋" w:cs="仿宋"/>
          <w:sz w:val="32"/>
          <w:szCs w:val="32"/>
        </w:rPr>
        <w:t>0</w:t>
      </w:r>
      <w:r>
        <w:rPr>
          <w:rFonts w:hint="eastAsia" w:ascii="仿宋" w:hAnsi="仿宋" w:eastAsia="仿宋" w:cs="仿宋"/>
          <w:sz w:val="32"/>
          <w:szCs w:val="32"/>
        </w:rPr>
        <w:t>万元。</w:t>
      </w:r>
    </w:p>
    <w:p>
      <w:pPr>
        <w:ind w:firstLine="640" w:firstLineChars="200"/>
        <w:rPr>
          <w:rFonts w:ascii="仿宋" w:hAnsi="仿宋" w:eastAsia="仿宋"/>
          <w:sz w:val="32"/>
          <w:szCs w:val="32"/>
        </w:rPr>
      </w:pPr>
      <w:r>
        <w:rPr>
          <w:rFonts w:hint="eastAsia" w:ascii="仿宋" w:hAnsi="仿宋" w:eastAsia="仿宋" w:cs="仿宋"/>
          <w:sz w:val="32"/>
          <w:szCs w:val="32"/>
        </w:rPr>
        <w:t>其他国内公务接待支出</w:t>
      </w:r>
      <w:r>
        <w:rPr>
          <w:rFonts w:ascii="仿宋" w:hAnsi="仿宋" w:eastAsia="仿宋" w:cs="仿宋"/>
          <w:sz w:val="32"/>
          <w:szCs w:val="32"/>
        </w:rPr>
        <w:t>0.81</w:t>
      </w:r>
      <w:r>
        <w:rPr>
          <w:rFonts w:hint="eastAsia" w:ascii="仿宋" w:hAnsi="仿宋" w:eastAsia="仿宋" w:cs="仿宋"/>
          <w:sz w:val="32"/>
          <w:szCs w:val="32"/>
        </w:rPr>
        <w:t>万元。主要用于上级部门、本级部门检查和文化市场联动执法等业务活动开支</w:t>
      </w:r>
      <w:bookmarkStart w:id="88" w:name="_Toc15396610"/>
      <w:bookmarkStart w:id="89" w:name="_Toc15377218"/>
      <w:r>
        <w:rPr>
          <w:rFonts w:hint="eastAsia" w:ascii="仿宋" w:hAnsi="仿宋" w:eastAsia="仿宋" w:cs="仿宋"/>
          <w:sz w:val="32"/>
          <w:szCs w:val="32"/>
        </w:rPr>
        <w:t>。</w:t>
      </w:r>
    </w:p>
    <w:p>
      <w:pPr>
        <w:spacing w:beforeLines="50" w:afterLines="50"/>
        <w:ind w:firstLine="643" w:firstLineChars="200"/>
        <w:rPr>
          <w:rFonts w:ascii="仿宋" w:hAnsi="仿宋" w:eastAsia="仿宋"/>
          <w:sz w:val="32"/>
          <w:szCs w:val="32"/>
        </w:rPr>
      </w:pPr>
      <w:bookmarkStart w:id="90" w:name="_Toc24689_WPSOffice_Level2"/>
      <w:r>
        <w:rPr>
          <w:rFonts w:hint="eastAsia" w:ascii="黑体" w:hAnsi="黑体" w:eastAsia="黑体" w:cs="黑体"/>
          <w:b/>
          <w:bCs/>
          <w:sz w:val="32"/>
          <w:szCs w:val="32"/>
        </w:rPr>
        <w:t>八、政府性基金预算支出决算情况说明</w:t>
      </w:r>
      <w:bookmarkEnd w:id="88"/>
      <w:bookmarkEnd w:id="89"/>
      <w:bookmarkEnd w:id="90"/>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年政府性基金预算拨款支出</w:t>
      </w:r>
      <w:r>
        <w:rPr>
          <w:rFonts w:ascii="仿宋" w:hAnsi="仿宋" w:eastAsia="仿宋" w:cs="仿宋"/>
          <w:sz w:val="32"/>
          <w:szCs w:val="32"/>
        </w:rPr>
        <w:t>0</w:t>
      </w:r>
      <w:r>
        <w:rPr>
          <w:rFonts w:hint="eastAsia" w:ascii="仿宋" w:hAnsi="仿宋" w:eastAsia="仿宋" w:cs="仿宋"/>
          <w:sz w:val="32"/>
          <w:szCs w:val="32"/>
        </w:rPr>
        <w:t>万元。</w:t>
      </w:r>
      <w:bookmarkStart w:id="91" w:name="_Toc15396611"/>
      <w:bookmarkStart w:id="92" w:name="_Toc15377219"/>
    </w:p>
    <w:p>
      <w:pPr>
        <w:spacing w:beforeLines="50" w:afterLines="50"/>
        <w:ind w:firstLine="643" w:firstLineChars="200"/>
        <w:rPr>
          <w:rFonts w:ascii="黑体" w:hAnsi="黑体" w:eastAsia="黑体"/>
          <w:b/>
          <w:bCs/>
          <w:sz w:val="32"/>
          <w:szCs w:val="32"/>
        </w:rPr>
      </w:pPr>
      <w:bookmarkStart w:id="93" w:name="_Toc30709_WPSOffice_Level2"/>
      <w:r>
        <w:rPr>
          <w:rFonts w:hint="eastAsia" w:ascii="黑体" w:hAnsi="黑体" w:eastAsia="黑体" w:cs="黑体"/>
          <w:b/>
          <w:bCs/>
          <w:sz w:val="32"/>
          <w:szCs w:val="32"/>
        </w:rPr>
        <w:t>九、国有资本经营预算支出决算情况说明</w:t>
      </w:r>
      <w:bookmarkEnd w:id="91"/>
      <w:bookmarkEnd w:id="92"/>
      <w:bookmarkEnd w:id="93"/>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年国有资本经营预算拨款支出</w:t>
      </w:r>
      <w:r>
        <w:rPr>
          <w:rFonts w:ascii="仿宋" w:hAnsi="仿宋" w:eastAsia="仿宋" w:cs="仿宋"/>
          <w:sz w:val="32"/>
          <w:szCs w:val="32"/>
        </w:rPr>
        <w:t>0</w:t>
      </w:r>
      <w:r>
        <w:rPr>
          <w:rFonts w:hint="eastAsia" w:ascii="仿宋" w:hAnsi="仿宋" w:eastAsia="仿宋" w:cs="仿宋"/>
          <w:sz w:val="32"/>
          <w:szCs w:val="32"/>
        </w:rPr>
        <w:t>万元。</w:t>
      </w:r>
    </w:p>
    <w:p>
      <w:pPr>
        <w:spacing w:beforeLines="50" w:afterLines="50"/>
        <w:ind w:firstLine="643" w:firstLineChars="200"/>
        <w:rPr>
          <w:rFonts w:ascii="黑体" w:hAnsi="黑体" w:eastAsia="黑体"/>
          <w:b/>
          <w:bCs/>
          <w:sz w:val="32"/>
          <w:szCs w:val="32"/>
        </w:rPr>
      </w:pPr>
      <w:bookmarkStart w:id="94" w:name="_Toc21507_WPSOffice_Level2"/>
      <w:r>
        <w:rPr>
          <w:rFonts w:hint="eastAsia" w:ascii="黑体" w:hAnsi="黑体" w:eastAsia="黑体" w:cs="黑体"/>
          <w:b/>
          <w:bCs/>
          <w:sz w:val="32"/>
          <w:szCs w:val="32"/>
        </w:rPr>
        <w:t>十、预算绩效情况说明</w:t>
      </w:r>
      <w:bookmarkEnd w:id="94"/>
    </w:p>
    <w:p>
      <w:pPr>
        <w:ind w:firstLine="640" w:firstLineChars="200"/>
        <w:rPr>
          <w:rFonts w:ascii="仿宋" w:hAnsi="仿宋" w:eastAsia="仿宋"/>
          <w:sz w:val="32"/>
          <w:szCs w:val="32"/>
        </w:rPr>
      </w:pPr>
      <w:bookmarkStart w:id="95" w:name="_Toc15377221"/>
      <w:bookmarkStart w:id="96" w:name="_Toc15396612"/>
      <w:r>
        <w:rPr>
          <w:rFonts w:ascii="仿宋" w:hAnsi="仿宋" w:eastAsia="仿宋" w:cs="仿宋"/>
          <w:sz w:val="32"/>
          <w:szCs w:val="32"/>
        </w:rPr>
        <w:t>2018</w:t>
      </w:r>
      <w:r>
        <w:rPr>
          <w:rFonts w:hint="eastAsia" w:ascii="仿宋" w:hAnsi="仿宋" w:eastAsia="仿宋" w:cs="仿宋"/>
          <w:sz w:val="32"/>
          <w:szCs w:val="32"/>
        </w:rPr>
        <w:t>年我大队暂未开展预算绩效评价工作。</w:t>
      </w:r>
    </w:p>
    <w:p>
      <w:pPr>
        <w:spacing w:beforeLines="50" w:afterLines="50"/>
        <w:ind w:firstLine="643" w:firstLineChars="200"/>
        <w:rPr>
          <w:rFonts w:ascii="黑体" w:hAnsi="黑体" w:eastAsia="黑体"/>
          <w:b/>
          <w:bCs/>
          <w:sz w:val="32"/>
          <w:szCs w:val="32"/>
        </w:rPr>
      </w:pPr>
      <w:bookmarkStart w:id="97" w:name="_Toc24439_WPSOffice_Level2"/>
      <w:r>
        <w:rPr>
          <w:rFonts w:hint="eastAsia" w:ascii="黑体" w:hAnsi="黑体" w:eastAsia="黑体" w:cs="黑体"/>
          <w:b/>
          <w:bCs/>
          <w:sz w:val="32"/>
          <w:szCs w:val="32"/>
        </w:rPr>
        <w:t>十一、其他重要事项的情况说明</w:t>
      </w:r>
      <w:bookmarkEnd w:id="95"/>
      <w:bookmarkEnd w:id="96"/>
      <w:bookmarkEnd w:id="97"/>
    </w:p>
    <w:p>
      <w:pPr>
        <w:ind w:firstLine="643" w:firstLineChars="200"/>
        <w:rPr>
          <w:rFonts w:ascii="楷体" w:hAnsi="楷体" w:eastAsia="楷体"/>
          <w:b/>
          <w:bCs/>
          <w:sz w:val="32"/>
          <w:szCs w:val="32"/>
        </w:rPr>
      </w:pPr>
      <w:bookmarkStart w:id="98" w:name="_Toc15377222"/>
      <w:r>
        <w:rPr>
          <w:rFonts w:hint="eastAsia" w:ascii="楷体" w:hAnsi="楷体" w:eastAsia="楷体" w:cs="楷体"/>
          <w:b/>
          <w:bCs/>
          <w:sz w:val="32"/>
          <w:szCs w:val="32"/>
        </w:rPr>
        <w:t>（一）机关运行经费支出情况</w:t>
      </w:r>
      <w:bookmarkEnd w:id="98"/>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年，达州市达川区文化市场综合执法大队机关运行经费支出</w:t>
      </w:r>
      <w:r>
        <w:rPr>
          <w:rFonts w:ascii="仿宋" w:hAnsi="仿宋" w:eastAsia="仿宋" w:cs="仿宋"/>
          <w:sz w:val="32"/>
          <w:szCs w:val="32"/>
        </w:rPr>
        <w:t>11.29</w:t>
      </w:r>
      <w:r>
        <w:rPr>
          <w:rFonts w:hint="eastAsia" w:ascii="仿宋" w:hAnsi="仿宋" w:eastAsia="仿宋" w:cs="仿宋"/>
          <w:sz w:val="32"/>
          <w:szCs w:val="32"/>
        </w:rPr>
        <w:t>万元，比</w:t>
      </w:r>
      <w:r>
        <w:rPr>
          <w:rFonts w:ascii="仿宋" w:hAnsi="仿宋" w:eastAsia="仿宋" w:cs="仿宋"/>
          <w:sz w:val="32"/>
          <w:szCs w:val="32"/>
        </w:rPr>
        <w:t>2017</w:t>
      </w:r>
      <w:r>
        <w:rPr>
          <w:rFonts w:hint="eastAsia" w:ascii="仿宋" w:hAnsi="仿宋" w:eastAsia="仿宋" w:cs="仿宋"/>
          <w:sz w:val="32"/>
          <w:szCs w:val="32"/>
        </w:rPr>
        <w:t>年增长</w:t>
      </w:r>
      <w:r>
        <w:rPr>
          <w:rFonts w:ascii="仿宋" w:hAnsi="仿宋" w:eastAsia="仿宋" w:cs="仿宋"/>
          <w:sz w:val="32"/>
          <w:szCs w:val="32"/>
        </w:rPr>
        <w:t>0.67</w:t>
      </w:r>
      <w:r>
        <w:rPr>
          <w:rFonts w:hint="eastAsia" w:ascii="仿宋" w:hAnsi="仿宋" w:eastAsia="仿宋" w:cs="仿宋"/>
          <w:sz w:val="32"/>
          <w:szCs w:val="32"/>
        </w:rPr>
        <w:t>万元，增长</w:t>
      </w:r>
      <w:r>
        <w:rPr>
          <w:rFonts w:ascii="仿宋" w:hAnsi="仿宋" w:eastAsia="仿宋" w:cs="仿宋"/>
          <w:sz w:val="32"/>
          <w:szCs w:val="32"/>
        </w:rPr>
        <w:t>6.31%</w:t>
      </w:r>
      <w:r>
        <w:rPr>
          <w:rFonts w:hint="eastAsia" w:ascii="仿宋" w:hAnsi="仿宋" w:eastAsia="仿宋" w:cs="仿宋"/>
          <w:sz w:val="32"/>
          <w:szCs w:val="32"/>
        </w:rPr>
        <w:t>。主要原因是</w:t>
      </w:r>
      <w:r>
        <w:rPr>
          <w:rFonts w:ascii="仿宋" w:hAnsi="仿宋" w:eastAsia="仿宋" w:cs="仿宋"/>
          <w:sz w:val="32"/>
          <w:szCs w:val="32"/>
        </w:rPr>
        <w:t>2018</w:t>
      </w:r>
      <w:r>
        <w:rPr>
          <w:rFonts w:hint="eastAsia" w:ascii="仿宋" w:hAnsi="仿宋" w:eastAsia="仿宋" w:cs="仿宋"/>
          <w:sz w:val="32"/>
          <w:szCs w:val="32"/>
        </w:rPr>
        <w:t>年度扶贫工作职工差旅费增加。</w:t>
      </w:r>
    </w:p>
    <w:p>
      <w:pPr>
        <w:ind w:firstLine="643" w:firstLineChars="200"/>
        <w:rPr>
          <w:rFonts w:ascii="楷体" w:hAnsi="楷体" w:eastAsia="楷体"/>
          <w:b/>
          <w:bCs/>
          <w:sz w:val="32"/>
          <w:szCs w:val="32"/>
        </w:rPr>
      </w:pPr>
      <w:bookmarkStart w:id="99" w:name="_Toc15377223"/>
      <w:r>
        <w:rPr>
          <w:rFonts w:hint="eastAsia" w:ascii="楷体" w:hAnsi="楷体" w:eastAsia="楷体" w:cs="楷体"/>
          <w:b/>
          <w:bCs/>
          <w:sz w:val="32"/>
          <w:szCs w:val="32"/>
        </w:rPr>
        <w:t>（二）政府采购支出情况</w:t>
      </w:r>
      <w:bookmarkEnd w:id="99"/>
    </w:p>
    <w:p>
      <w:pPr>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年，达州市达川区文化市场综合执法大队政府采购支出总额</w:t>
      </w:r>
      <w:r>
        <w:rPr>
          <w:rFonts w:ascii="仿宋" w:hAnsi="仿宋" w:eastAsia="仿宋" w:cs="仿宋"/>
          <w:sz w:val="32"/>
          <w:szCs w:val="32"/>
        </w:rPr>
        <w:t>0</w:t>
      </w:r>
      <w:r>
        <w:rPr>
          <w:rFonts w:hint="eastAsia" w:ascii="仿宋" w:hAnsi="仿宋" w:eastAsia="仿宋" w:cs="仿宋"/>
          <w:sz w:val="32"/>
          <w:szCs w:val="32"/>
        </w:rPr>
        <w:t>万元。</w:t>
      </w:r>
    </w:p>
    <w:p>
      <w:pPr>
        <w:ind w:firstLine="643" w:firstLineChars="200"/>
        <w:rPr>
          <w:rFonts w:ascii="楷体" w:hAnsi="楷体" w:eastAsia="楷体"/>
          <w:b/>
          <w:bCs/>
          <w:sz w:val="32"/>
          <w:szCs w:val="32"/>
        </w:rPr>
      </w:pPr>
      <w:bookmarkStart w:id="100" w:name="_Toc15377224"/>
      <w:r>
        <w:rPr>
          <w:rFonts w:hint="eastAsia" w:ascii="楷体" w:hAnsi="楷体" w:eastAsia="楷体" w:cs="楷体"/>
          <w:b/>
          <w:bCs/>
          <w:sz w:val="32"/>
          <w:szCs w:val="32"/>
        </w:rPr>
        <w:t>（三）国有资产占有使用情况</w:t>
      </w:r>
      <w:bookmarkEnd w:id="100"/>
    </w:p>
    <w:p>
      <w:pPr>
        <w:rPr>
          <w:rFonts w:ascii="仿宋" w:hAnsi="仿宋" w:eastAsia="仿宋"/>
          <w:sz w:val="32"/>
          <w:szCs w:val="32"/>
        </w:rPr>
      </w:pPr>
      <w:r>
        <w:rPr>
          <w:rFonts w:hint="eastAsia" w:ascii="仿宋" w:hAnsi="仿宋" w:eastAsia="仿宋" w:cs="仿宋"/>
          <w:sz w:val="32"/>
          <w:szCs w:val="32"/>
        </w:rPr>
        <w:t>截至</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日，达州市达川区文化市场综合执法大队严格执行公务用车改革的相关要求，单位无公务用车。单价</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sz w:val="32"/>
          <w:szCs w:val="32"/>
        </w:rPr>
        <w:t>0</w:t>
      </w:r>
      <w:r>
        <w:rPr>
          <w:rFonts w:hint="eastAsia" w:ascii="仿宋" w:hAnsi="仿宋" w:eastAsia="仿宋" w:cs="仿宋"/>
          <w:sz w:val="32"/>
          <w:szCs w:val="32"/>
        </w:rPr>
        <w:t>台（套），单价</w:t>
      </w:r>
      <w:r>
        <w:rPr>
          <w:rFonts w:ascii="仿宋" w:hAnsi="仿宋" w:eastAsia="仿宋" w:cs="仿宋"/>
          <w:sz w:val="32"/>
          <w:szCs w:val="32"/>
        </w:rPr>
        <w:t>100</w:t>
      </w:r>
      <w:r>
        <w:rPr>
          <w:rFonts w:hint="eastAsia" w:ascii="仿宋" w:hAnsi="仿宋" w:eastAsia="仿宋" w:cs="仿宋"/>
          <w:sz w:val="32"/>
          <w:szCs w:val="32"/>
        </w:rPr>
        <w:t>万元以上专用设备</w:t>
      </w:r>
      <w:r>
        <w:rPr>
          <w:rFonts w:ascii="仿宋" w:hAnsi="仿宋" w:eastAsia="仿宋" w:cs="仿宋"/>
          <w:sz w:val="32"/>
          <w:szCs w:val="32"/>
        </w:rPr>
        <w:t>0</w:t>
      </w:r>
      <w:r>
        <w:rPr>
          <w:rFonts w:hint="eastAsia" w:ascii="仿宋" w:hAnsi="仿宋" w:eastAsia="仿宋" w:cs="仿宋"/>
          <w:sz w:val="32"/>
          <w:szCs w:val="32"/>
        </w:rPr>
        <w:t>台（套）。</w:t>
      </w:r>
    </w:p>
    <w:p>
      <w:pPr>
        <w:rPr>
          <w:rFonts w:ascii="仿宋" w:hAnsi="仿宋" w:eastAsia="仿宋" w:cs="仿宋"/>
          <w:sz w:val="32"/>
          <w:szCs w:val="32"/>
        </w:rPr>
      </w:pPr>
      <w:r>
        <w:rPr>
          <w:rFonts w:ascii="仿宋" w:hAnsi="仿宋" w:eastAsia="仿宋" w:cs="仿宋"/>
          <w:sz w:val="32"/>
          <w:szCs w:val="32"/>
        </w:rPr>
        <w:t xml:space="preserve"> </w:t>
      </w:r>
      <w:bookmarkStart w:id="101" w:name="_Toc15396613"/>
      <w:bookmarkStart w:id="102" w:name="_Toc15377225"/>
    </w:p>
    <w:p>
      <w:pPr>
        <w:jc w:val="center"/>
        <w:rPr>
          <w:rFonts w:ascii="黑体" w:hAnsi="黑体" w:eastAsia="黑体"/>
          <w:b/>
          <w:bCs/>
          <w:sz w:val="44"/>
          <w:szCs w:val="44"/>
        </w:rPr>
      </w:pPr>
      <w:r>
        <w:rPr>
          <w:rFonts w:ascii="仿宋" w:hAnsi="仿宋" w:eastAsia="仿宋"/>
          <w:sz w:val="32"/>
          <w:szCs w:val="32"/>
        </w:rPr>
        <w:br w:type="page"/>
      </w:r>
      <w:bookmarkStart w:id="103" w:name="_Toc2031_WPSOffice_Level1"/>
      <w:r>
        <w:rPr>
          <w:rFonts w:hint="eastAsia" w:ascii="黑体" w:hAnsi="黑体" w:eastAsia="黑体" w:cs="黑体"/>
          <w:b/>
          <w:bCs/>
          <w:sz w:val="44"/>
          <w:szCs w:val="44"/>
        </w:rPr>
        <w:t>第三部分</w:t>
      </w:r>
      <w:r>
        <w:rPr>
          <w:rFonts w:ascii="黑体" w:hAnsi="黑体" w:eastAsia="黑体" w:cs="黑体"/>
          <w:b/>
          <w:bCs/>
          <w:sz w:val="44"/>
          <w:szCs w:val="44"/>
        </w:rPr>
        <w:t xml:space="preserve"> </w:t>
      </w:r>
      <w:r>
        <w:rPr>
          <w:rFonts w:hint="eastAsia" w:ascii="黑体" w:hAnsi="黑体" w:eastAsia="黑体" w:cs="黑体"/>
          <w:b/>
          <w:bCs/>
          <w:sz w:val="44"/>
          <w:szCs w:val="44"/>
        </w:rPr>
        <w:t>名词解释</w:t>
      </w:r>
      <w:bookmarkEnd w:id="101"/>
      <w:bookmarkEnd w:id="102"/>
      <w:bookmarkEnd w:id="103"/>
    </w:p>
    <w:p>
      <w:pPr>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财政拨款收入：指单位从同级财政部门取得的财政预算资金。</w:t>
      </w:r>
    </w:p>
    <w:p>
      <w:pPr>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事业收入：指事业单位开展专业业务活动及辅助活动取得的收入。</w:t>
      </w:r>
    </w:p>
    <w:p>
      <w:pPr>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经营收入：指事业单位在专业业务活动及其辅助活动之外开展非独立核算经营活动取得的收入。</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其他收入：指单位取得的除上述收入以外的各项收入。主要是市文化市场综合执法大队补助的工作经费。</w:t>
      </w:r>
      <w:r>
        <w:rPr>
          <w:rFonts w:ascii="仿宋" w:hAnsi="仿宋" w:eastAsia="仿宋" w:cs="仿宋"/>
          <w:sz w:val="32"/>
          <w:szCs w:val="32"/>
        </w:rPr>
        <w:t xml:space="preserve"> </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szCs w:val="32"/>
        </w:rPr>
        <w:t xml:space="preserve"> </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年初结转和结余：指以前年度尚未完成、结转到本年按有关规定继续使用的资金。</w:t>
      </w:r>
      <w:r>
        <w:rPr>
          <w:rFonts w:ascii="仿宋" w:hAnsi="仿宋" w:eastAsia="仿宋" w:cs="仿宋"/>
          <w:sz w:val="32"/>
          <w:szCs w:val="32"/>
        </w:rPr>
        <w:t xml:space="preserve"> </w:t>
      </w:r>
    </w:p>
    <w:p>
      <w:pPr>
        <w:ind w:firstLine="640" w:firstLineChars="20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结余分配：指事业单位按照事业单位会计制度的规定从非财政补助结余中分配的事业基金和职工福利基金等。</w:t>
      </w:r>
    </w:p>
    <w:p>
      <w:pPr>
        <w:ind w:firstLine="640" w:firstLineChars="20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文化体育与传媒支出（类）文化（款）文化市场管理（项）：指单位用于保障机构正常运行、开展日常工作的基本支出和单位正常运转日常公用所需经费以及开展文化市场监管、扫黄打非专项整治等业务未单独设置项级科目的项目支出。</w:t>
      </w:r>
    </w:p>
    <w:p>
      <w:pPr>
        <w:ind w:firstLine="640" w:firstLineChars="20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社会保障和就业支出（类）行政事业单位离退休（款）机关事业单位基本养老保险缴费支出（项）：指单位实施机关事业单位养老保险制度由单位缴纳的养老保险费的支出。</w:t>
      </w:r>
    </w:p>
    <w:p>
      <w:pPr>
        <w:ind w:firstLine="640" w:firstLineChars="200"/>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医疗卫生与计划生育支出（类）行政事业单位医疗（款）行政单位医疗（项）：指单位用于缴纳单位基本医疗保险支出。</w:t>
      </w:r>
    </w:p>
    <w:p>
      <w:pPr>
        <w:ind w:firstLine="640" w:firstLineChars="200"/>
        <w:rPr>
          <w:rFonts w:ascii="仿宋" w:hAnsi="仿宋" w:eastAsia="仿宋"/>
          <w:sz w:val="32"/>
          <w:szCs w:val="32"/>
        </w:rPr>
      </w:pPr>
      <w:r>
        <w:rPr>
          <w:rFonts w:ascii="仿宋" w:hAnsi="仿宋" w:eastAsia="仿宋" w:cs="仿宋"/>
          <w:sz w:val="32"/>
          <w:szCs w:val="32"/>
        </w:rPr>
        <w:t>12.</w:t>
      </w:r>
      <w:r>
        <w:rPr>
          <w:rFonts w:hint="eastAsia" w:ascii="仿宋" w:hAnsi="仿宋" w:eastAsia="仿宋" w:cs="仿宋"/>
          <w:sz w:val="32"/>
          <w:szCs w:val="32"/>
        </w:rPr>
        <w:t>医疗卫生与计划生育支出（类）行政事业单位医疗（款）公务员医疗补助（项）：指单位用于职工的医疗补助经费。</w:t>
      </w:r>
    </w:p>
    <w:p>
      <w:pPr>
        <w:ind w:firstLine="640" w:firstLineChars="200"/>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住房保障（类）住房改革支出（款）住房公积金（项）：指单位按人力资源和社会保障部、财政部规定的基本工资和津贴补贴以及规定比例为职工缴纳的住房公积金。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ascii="仿宋" w:hAnsi="仿宋" w:eastAsia="仿宋" w:cs="仿宋"/>
          <w:sz w:val="32"/>
          <w:szCs w:val="32"/>
        </w:rPr>
        <w:t>14.</w:t>
      </w:r>
      <w:r>
        <w:rPr>
          <w:rFonts w:hint="eastAsia" w:ascii="仿宋" w:hAnsi="仿宋" w:eastAsia="仿宋" w:cs="仿宋"/>
          <w:sz w:val="32"/>
          <w:szCs w:val="32"/>
        </w:rPr>
        <w:t>基本支出：指为保证单位正常运转，完成日常工作任务而发生的人员支出和公用支出。</w:t>
      </w:r>
    </w:p>
    <w:p>
      <w:pPr>
        <w:ind w:firstLine="640" w:firstLineChars="200"/>
        <w:rPr>
          <w:rFonts w:ascii="仿宋" w:hAnsi="仿宋" w:eastAsia="仿宋"/>
          <w:sz w:val="32"/>
          <w:szCs w:val="32"/>
        </w:rPr>
      </w:pPr>
      <w:r>
        <w:rPr>
          <w:rFonts w:ascii="仿宋" w:hAnsi="仿宋" w:eastAsia="仿宋" w:cs="仿宋"/>
          <w:sz w:val="32"/>
          <w:szCs w:val="32"/>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sz w:val="32"/>
          <w:szCs w:val="32"/>
        </w:rPr>
      </w:pPr>
      <w:r>
        <w:rPr>
          <w:rFonts w:ascii="仿宋" w:hAnsi="仿宋" w:eastAsia="仿宋" w:cs="仿宋"/>
          <w:sz w:val="32"/>
          <w:szCs w:val="32"/>
        </w:rPr>
        <w:t>16.</w:t>
      </w:r>
      <w:r>
        <w:rPr>
          <w:rFonts w:hint="eastAsia" w:ascii="仿宋" w:hAnsi="仿宋" w:eastAsia="仿宋" w:cs="仿宋"/>
          <w:sz w:val="32"/>
          <w:szCs w:val="32"/>
        </w:rPr>
        <w:t>“三公”经费：纳入达川区文化市场综合执法大队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sz w:val="32"/>
          <w:szCs w:val="32"/>
        </w:rPr>
      </w:pPr>
      <w:r>
        <w:rPr>
          <w:rFonts w:ascii="仿宋" w:hAnsi="仿宋" w:eastAsia="仿宋" w:cs="仿宋"/>
          <w:sz w:val="32"/>
          <w:szCs w:val="32"/>
        </w:rPr>
        <w:t>17.</w:t>
      </w:r>
      <w:r>
        <w:rPr>
          <w:rFonts w:hint="eastAsia" w:ascii="仿宋" w:hAnsi="仿宋" w:eastAsia="仿宋" w:cs="仿宋"/>
          <w:sz w:val="32"/>
          <w:szCs w:val="32"/>
        </w:rPr>
        <w:t>机关运行经费：为保障行政单位（包含参照公务员法管理的事业单位）运行用于购买货物和服务的各项资金。包括办公及办公费、水费、电费、印刷费、邮电费、差旅费、会议费等费用开支。</w:t>
      </w:r>
    </w:p>
    <w:p>
      <w:pPr>
        <w:jc w:val="center"/>
        <w:rPr>
          <w:rFonts w:ascii="黑体" w:hAnsi="黑体" w:eastAsia="黑体"/>
          <w:b/>
          <w:bCs/>
          <w:sz w:val="44"/>
          <w:szCs w:val="44"/>
        </w:rPr>
      </w:pPr>
      <w:r>
        <w:rPr>
          <w:rFonts w:ascii="黑体" w:hAnsi="黑体" w:eastAsia="黑体"/>
          <w:b/>
          <w:bCs/>
          <w:sz w:val="44"/>
          <w:szCs w:val="44"/>
        </w:rPr>
        <w:br w:type="page"/>
      </w:r>
      <w:bookmarkStart w:id="104" w:name="_Toc28925_WPSOffice_Level1"/>
      <w:r>
        <w:rPr>
          <w:rFonts w:hint="eastAsia" w:ascii="黑体" w:hAnsi="黑体" w:eastAsia="黑体" w:cs="黑体"/>
          <w:b/>
          <w:bCs/>
          <w:sz w:val="44"/>
          <w:szCs w:val="44"/>
        </w:rPr>
        <w:t>第四部分</w:t>
      </w:r>
      <w:r>
        <w:rPr>
          <w:rFonts w:ascii="黑体" w:hAnsi="黑体" w:eastAsia="黑体" w:cs="黑体"/>
          <w:b/>
          <w:bCs/>
          <w:sz w:val="44"/>
          <w:szCs w:val="44"/>
        </w:rPr>
        <w:t xml:space="preserve"> </w:t>
      </w:r>
      <w:r>
        <w:rPr>
          <w:rFonts w:hint="eastAsia" w:ascii="黑体" w:hAnsi="黑体" w:eastAsia="黑体" w:cs="黑体"/>
          <w:b/>
          <w:bCs/>
          <w:sz w:val="44"/>
          <w:szCs w:val="44"/>
        </w:rPr>
        <w:t>附表</w:t>
      </w:r>
      <w:bookmarkEnd w:id="104"/>
      <w:bookmarkStart w:id="105" w:name="_Toc15396619"/>
    </w:p>
    <w:p>
      <w:pPr>
        <w:ind w:firstLine="640" w:firstLineChars="200"/>
        <w:rPr>
          <w:rFonts w:ascii="仿宋" w:hAnsi="仿宋" w:eastAsia="仿宋"/>
          <w:sz w:val="32"/>
          <w:szCs w:val="32"/>
        </w:rPr>
      </w:pPr>
    </w:p>
    <w:p>
      <w:pPr>
        <w:ind w:firstLine="640" w:firstLineChars="200"/>
        <w:rPr>
          <w:rFonts w:ascii="仿宋" w:hAnsi="仿宋" w:eastAsia="仿宋"/>
          <w:sz w:val="32"/>
          <w:szCs w:val="32"/>
        </w:rPr>
      </w:pPr>
      <w:bookmarkStart w:id="106" w:name="_Toc1445_WPSOffice_Level2"/>
      <w:r>
        <w:rPr>
          <w:rFonts w:hint="eastAsia" w:ascii="仿宋" w:hAnsi="仿宋" w:eastAsia="仿宋" w:cs="仿宋"/>
          <w:sz w:val="32"/>
          <w:szCs w:val="32"/>
        </w:rPr>
        <w:t>一、收入支出决算总表</w:t>
      </w:r>
      <w:bookmarkEnd w:id="105"/>
      <w:bookmarkEnd w:id="106"/>
      <w:bookmarkStart w:id="107" w:name="_Toc15396620"/>
    </w:p>
    <w:p>
      <w:pPr>
        <w:ind w:firstLine="640" w:firstLineChars="200"/>
        <w:rPr>
          <w:rFonts w:ascii="仿宋" w:hAnsi="仿宋" w:eastAsia="仿宋"/>
          <w:sz w:val="32"/>
          <w:szCs w:val="32"/>
        </w:rPr>
      </w:pPr>
      <w:bookmarkStart w:id="108" w:name="_Toc12963_WPSOffice_Level2"/>
      <w:r>
        <w:rPr>
          <w:rFonts w:hint="eastAsia" w:ascii="仿宋" w:hAnsi="仿宋" w:eastAsia="仿宋" w:cs="仿宋"/>
          <w:sz w:val="32"/>
          <w:szCs w:val="32"/>
        </w:rPr>
        <w:t>二、收入总表</w:t>
      </w:r>
      <w:bookmarkEnd w:id="107"/>
      <w:bookmarkEnd w:id="108"/>
      <w:bookmarkStart w:id="109" w:name="_Toc15396621"/>
    </w:p>
    <w:p>
      <w:pPr>
        <w:ind w:firstLine="640" w:firstLineChars="200"/>
        <w:rPr>
          <w:rFonts w:ascii="仿宋" w:hAnsi="仿宋" w:eastAsia="仿宋"/>
          <w:sz w:val="32"/>
          <w:szCs w:val="32"/>
        </w:rPr>
      </w:pPr>
      <w:bookmarkStart w:id="110" w:name="_Toc7036_WPSOffice_Level2"/>
      <w:r>
        <w:rPr>
          <w:rFonts w:hint="eastAsia" w:ascii="仿宋" w:hAnsi="仿宋" w:eastAsia="仿宋" w:cs="仿宋"/>
          <w:sz w:val="32"/>
          <w:szCs w:val="32"/>
        </w:rPr>
        <w:t>三、支出总表</w:t>
      </w:r>
      <w:bookmarkEnd w:id="109"/>
      <w:bookmarkEnd w:id="110"/>
      <w:bookmarkStart w:id="111" w:name="_Toc15396622"/>
    </w:p>
    <w:p>
      <w:pPr>
        <w:ind w:firstLine="640" w:firstLineChars="200"/>
        <w:rPr>
          <w:rFonts w:ascii="仿宋" w:hAnsi="仿宋" w:eastAsia="仿宋"/>
          <w:sz w:val="32"/>
          <w:szCs w:val="32"/>
        </w:rPr>
      </w:pPr>
      <w:bookmarkStart w:id="112" w:name="_Toc16233_WPSOffice_Level2"/>
      <w:r>
        <w:rPr>
          <w:rFonts w:hint="eastAsia" w:ascii="仿宋" w:hAnsi="仿宋" w:eastAsia="仿宋" w:cs="仿宋"/>
          <w:sz w:val="32"/>
          <w:szCs w:val="32"/>
        </w:rPr>
        <w:t>四、财政拨款收入支出决算总表</w:t>
      </w:r>
      <w:bookmarkEnd w:id="111"/>
      <w:bookmarkEnd w:id="112"/>
      <w:bookmarkStart w:id="113" w:name="_Toc15396623"/>
    </w:p>
    <w:p>
      <w:pPr>
        <w:ind w:firstLine="640" w:firstLineChars="200"/>
        <w:rPr>
          <w:rFonts w:ascii="仿宋" w:hAnsi="仿宋" w:eastAsia="仿宋"/>
          <w:sz w:val="32"/>
          <w:szCs w:val="32"/>
        </w:rPr>
      </w:pPr>
      <w:bookmarkStart w:id="114" w:name="_Toc28265_WPSOffice_Level2"/>
      <w:r>
        <w:rPr>
          <w:rFonts w:hint="eastAsia" w:ascii="仿宋" w:hAnsi="仿宋" w:eastAsia="仿宋" w:cs="仿宋"/>
          <w:sz w:val="32"/>
          <w:szCs w:val="32"/>
        </w:rPr>
        <w:t>五、财政拨款支出决算明细表（政府经济分类科目）</w:t>
      </w:r>
      <w:bookmarkEnd w:id="113"/>
      <w:bookmarkEnd w:id="114"/>
      <w:bookmarkStart w:id="115" w:name="_Toc15396624"/>
    </w:p>
    <w:p>
      <w:pPr>
        <w:ind w:firstLine="640" w:firstLineChars="200"/>
        <w:rPr>
          <w:rFonts w:ascii="仿宋" w:hAnsi="仿宋" w:eastAsia="仿宋"/>
          <w:sz w:val="32"/>
          <w:szCs w:val="32"/>
        </w:rPr>
      </w:pPr>
      <w:bookmarkStart w:id="116" w:name="_Toc11903_WPSOffice_Level2"/>
      <w:r>
        <w:rPr>
          <w:rFonts w:hint="eastAsia" w:ascii="仿宋" w:hAnsi="仿宋" w:eastAsia="仿宋" w:cs="仿宋"/>
          <w:sz w:val="32"/>
          <w:szCs w:val="32"/>
        </w:rPr>
        <w:t>六、一般公共预算财政拨款支出决算表</w:t>
      </w:r>
      <w:bookmarkEnd w:id="115"/>
      <w:bookmarkEnd w:id="116"/>
      <w:bookmarkStart w:id="117" w:name="_Toc15396625"/>
    </w:p>
    <w:p>
      <w:pPr>
        <w:ind w:firstLine="640" w:firstLineChars="200"/>
        <w:rPr>
          <w:rFonts w:ascii="仿宋" w:hAnsi="仿宋" w:eastAsia="仿宋"/>
          <w:sz w:val="32"/>
          <w:szCs w:val="32"/>
        </w:rPr>
      </w:pPr>
      <w:bookmarkStart w:id="118" w:name="_Toc28331_WPSOffice_Level2"/>
      <w:r>
        <w:rPr>
          <w:rFonts w:hint="eastAsia" w:ascii="仿宋" w:hAnsi="仿宋" w:eastAsia="仿宋" w:cs="仿宋"/>
          <w:sz w:val="32"/>
          <w:szCs w:val="32"/>
        </w:rPr>
        <w:t>七、一般公共预算财政拨款支出决算明细表</w:t>
      </w:r>
      <w:bookmarkEnd w:id="117"/>
      <w:bookmarkEnd w:id="118"/>
      <w:bookmarkStart w:id="119" w:name="_Toc15396626"/>
    </w:p>
    <w:p>
      <w:pPr>
        <w:ind w:firstLine="640" w:firstLineChars="200"/>
        <w:rPr>
          <w:rFonts w:ascii="仿宋" w:hAnsi="仿宋" w:eastAsia="仿宋"/>
          <w:sz w:val="32"/>
          <w:szCs w:val="32"/>
        </w:rPr>
      </w:pPr>
      <w:bookmarkStart w:id="120" w:name="_Toc13775_WPSOffice_Level2"/>
      <w:r>
        <w:rPr>
          <w:rFonts w:hint="eastAsia" w:ascii="仿宋" w:hAnsi="仿宋" w:eastAsia="仿宋" w:cs="仿宋"/>
          <w:sz w:val="32"/>
          <w:szCs w:val="32"/>
        </w:rPr>
        <w:t>八、一般公共预算财政拨款基本支出决算表</w:t>
      </w:r>
      <w:bookmarkEnd w:id="119"/>
      <w:bookmarkEnd w:id="120"/>
      <w:bookmarkStart w:id="121" w:name="_Toc15396627"/>
    </w:p>
    <w:p>
      <w:pPr>
        <w:ind w:firstLine="640" w:firstLineChars="200"/>
        <w:rPr>
          <w:rFonts w:ascii="仿宋" w:hAnsi="仿宋" w:eastAsia="仿宋"/>
          <w:sz w:val="32"/>
          <w:szCs w:val="32"/>
        </w:rPr>
      </w:pPr>
      <w:bookmarkStart w:id="122" w:name="_Toc28316_WPSOffice_Level2"/>
      <w:r>
        <w:rPr>
          <w:rFonts w:hint="eastAsia" w:ascii="仿宋" w:hAnsi="仿宋" w:eastAsia="仿宋" w:cs="仿宋"/>
          <w:sz w:val="32"/>
          <w:szCs w:val="32"/>
        </w:rPr>
        <w:t>九、一般公共预算财政拨款项目支出决算表</w:t>
      </w:r>
      <w:bookmarkEnd w:id="121"/>
      <w:bookmarkEnd w:id="122"/>
      <w:bookmarkStart w:id="123" w:name="_Toc15396628"/>
    </w:p>
    <w:p>
      <w:pPr>
        <w:ind w:firstLine="640" w:firstLineChars="200"/>
        <w:rPr>
          <w:rFonts w:ascii="仿宋" w:hAnsi="仿宋" w:eastAsia="仿宋"/>
          <w:sz w:val="32"/>
          <w:szCs w:val="32"/>
        </w:rPr>
      </w:pPr>
      <w:bookmarkStart w:id="124" w:name="_Toc27129_WPSOffice_Level2"/>
      <w:r>
        <w:rPr>
          <w:rFonts w:hint="eastAsia" w:ascii="仿宋" w:hAnsi="仿宋" w:eastAsia="仿宋" w:cs="仿宋"/>
          <w:sz w:val="32"/>
          <w:szCs w:val="32"/>
        </w:rPr>
        <w:t>十、一般公共预算财政拨款“三公”经费支出决算表</w:t>
      </w:r>
      <w:bookmarkEnd w:id="123"/>
      <w:bookmarkEnd w:id="124"/>
      <w:bookmarkStart w:id="125" w:name="_Toc15396629"/>
    </w:p>
    <w:p>
      <w:pPr>
        <w:ind w:firstLine="640" w:firstLineChars="200"/>
        <w:rPr>
          <w:rFonts w:ascii="仿宋" w:hAnsi="仿宋" w:eastAsia="仿宋"/>
          <w:sz w:val="32"/>
          <w:szCs w:val="32"/>
        </w:rPr>
      </w:pPr>
      <w:bookmarkStart w:id="126" w:name="_Toc21830_WPSOffice_Level2"/>
      <w:r>
        <w:rPr>
          <w:rFonts w:hint="eastAsia" w:ascii="仿宋" w:hAnsi="仿宋" w:eastAsia="仿宋" w:cs="仿宋"/>
          <w:sz w:val="32"/>
          <w:szCs w:val="32"/>
        </w:rPr>
        <w:t>十一、政府性基金预算财政拨款收入支出决算表</w:t>
      </w:r>
      <w:bookmarkEnd w:id="125"/>
      <w:bookmarkEnd w:id="126"/>
      <w:bookmarkStart w:id="127" w:name="_Toc15396630"/>
      <w:r>
        <w:rPr>
          <w:rFonts w:hint="eastAsia" w:ascii="仿宋" w:hAnsi="仿宋" w:eastAsia="仿宋" w:cs="仿宋"/>
          <w:sz w:val="32"/>
          <w:szCs w:val="32"/>
        </w:rPr>
        <w:t>（无）</w:t>
      </w:r>
    </w:p>
    <w:p>
      <w:pPr>
        <w:ind w:firstLine="640" w:firstLineChars="200"/>
        <w:rPr>
          <w:rFonts w:ascii="仿宋" w:hAnsi="仿宋" w:eastAsia="仿宋"/>
          <w:sz w:val="32"/>
          <w:szCs w:val="32"/>
        </w:rPr>
      </w:pPr>
      <w:bookmarkStart w:id="128" w:name="_Toc20259_WPSOffice_Level2"/>
      <w:r>
        <w:rPr>
          <w:rFonts w:hint="eastAsia" w:ascii="仿宋" w:hAnsi="仿宋" w:eastAsia="仿宋" w:cs="仿宋"/>
          <w:sz w:val="32"/>
          <w:szCs w:val="32"/>
        </w:rPr>
        <w:t>十二、政府性基金预算财政拨款“三公”经费支出决算表</w:t>
      </w:r>
      <w:bookmarkEnd w:id="127"/>
      <w:bookmarkEnd w:id="128"/>
      <w:bookmarkStart w:id="129" w:name="_Toc15396631"/>
      <w:r>
        <w:rPr>
          <w:rFonts w:hint="eastAsia" w:ascii="仿宋" w:hAnsi="仿宋" w:eastAsia="仿宋" w:cs="仿宋"/>
          <w:sz w:val="32"/>
          <w:szCs w:val="32"/>
        </w:rPr>
        <w:t>（无）</w:t>
      </w:r>
    </w:p>
    <w:p>
      <w:pPr>
        <w:ind w:firstLine="640" w:firstLineChars="200"/>
        <w:rPr>
          <w:rFonts w:ascii="仿宋" w:hAnsi="仿宋" w:eastAsia="仿宋"/>
          <w:sz w:val="32"/>
          <w:szCs w:val="32"/>
        </w:rPr>
      </w:pPr>
      <w:bookmarkStart w:id="130" w:name="_Toc29297_WPSOffice_Level2"/>
      <w:r>
        <w:rPr>
          <w:rFonts w:hint="eastAsia" w:ascii="仿宋" w:hAnsi="仿宋" w:eastAsia="仿宋" w:cs="仿宋"/>
          <w:sz w:val="32"/>
          <w:szCs w:val="32"/>
        </w:rPr>
        <w:t>十三、国有资本经营预算支出决算表</w:t>
      </w:r>
      <w:bookmarkEnd w:id="129"/>
      <w:bookmarkEnd w:id="130"/>
      <w:r>
        <w:rPr>
          <w:rFonts w:hint="eastAsia" w:ascii="仿宋" w:hAnsi="仿宋" w:eastAsia="仿宋" w:cs="仿宋"/>
          <w:sz w:val="32"/>
          <w:szCs w:val="32"/>
        </w:rPr>
        <w:t>（无）</w:t>
      </w:r>
    </w:p>
    <w:p>
      <w:pPr>
        <w:rPr>
          <w:rFonts w:ascii="仿宋" w:hAnsi="仿宋" w:eastAsia="仿宋"/>
          <w:sz w:val="32"/>
          <w:szCs w:val="32"/>
        </w:rPr>
      </w:pPr>
    </w:p>
    <w:sectPr>
      <w:headerReference r:id="rId4" w:type="first"/>
      <w:headerReference r:id="rId3" w:type="default"/>
      <w:footerReference r:id="rId5" w:type="default"/>
      <w:pgSz w:w="11906" w:h="16838"/>
      <w:pgMar w:top="1440" w:right="1511" w:bottom="1440" w:left="1575"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angSong_Gode MSfalt">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F1361C"/>
    <w:rsid w:val="00005B65"/>
    <w:rsid w:val="000222C6"/>
    <w:rsid w:val="0002549F"/>
    <w:rsid w:val="00040A4F"/>
    <w:rsid w:val="00041F8D"/>
    <w:rsid w:val="00046DE2"/>
    <w:rsid w:val="0006487A"/>
    <w:rsid w:val="00065F8F"/>
    <w:rsid w:val="000768F2"/>
    <w:rsid w:val="0009184B"/>
    <w:rsid w:val="0009593C"/>
    <w:rsid w:val="000B047F"/>
    <w:rsid w:val="000B5923"/>
    <w:rsid w:val="000B5A48"/>
    <w:rsid w:val="000B6FF3"/>
    <w:rsid w:val="000B783C"/>
    <w:rsid w:val="000C3467"/>
    <w:rsid w:val="000C3CA6"/>
    <w:rsid w:val="000D0FBA"/>
    <w:rsid w:val="000D1267"/>
    <w:rsid w:val="000D1D50"/>
    <w:rsid w:val="000D5782"/>
    <w:rsid w:val="000E6613"/>
    <w:rsid w:val="000E7119"/>
    <w:rsid w:val="0011311F"/>
    <w:rsid w:val="00114E9B"/>
    <w:rsid w:val="0014729F"/>
    <w:rsid w:val="00157BAB"/>
    <w:rsid w:val="001654D1"/>
    <w:rsid w:val="00170562"/>
    <w:rsid w:val="00177333"/>
    <w:rsid w:val="0018106D"/>
    <w:rsid w:val="001877A7"/>
    <w:rsid w:val="00191536"/>
    <w:rsid w:val="00196687"/>
    <w:rsid w:val="001B4D61"/>
    <w:rsid w:val="001C0962"/>
    <w:rsid w:val="001C4FDB"/>
    <w:rsid w:val="001D7531"/>
    <w:rsid w:val="001E737D"/>
    <w:rsid w:val="001F0592"/>
    <w:rsid w:val="001F7506"/>
    <w:rsid w:val="002006CD"/>
    <w:rsid w:val="00202B36"/>
    <w:rsid w:val="00204B7A"/>
    <w:rsid w:val="0021101A"/>
    <w:rsid w:val="00220536"/>
    <w:rsid w:val="002232DD"/>
    <w:rsid w:val="002352DC"/>
    <w:rsid w:val="00235629"/>
    <w:rsid w:val="00260C38"/>
    <w:rsid w:val="002616C0"/>
    <w:rsid w:val="002662AA"/>
    <w:rsid w:val="00280496"/>
    <w:rsid w:val="002824F8"/>
    <w:rsid w:val="002907E2"/>
    <w:rsid w:val="00295495"/>
    <w:rsid w:val="002A59BB"/>
    <w:rsid w:val="002B2613"/>
    <w:rsid w:val="002F1818"/>
    <w:rsid w:val="002F567B"/>
    <w:rsid w:val="003216A9"/>
    <w:rsid w:val="003569D9"/>
    <w:rsid w:val="0037013F"/>
    <w:rsid w:val="00380C92"/>
    <w:rsid w:val="003957F8"/>
    <w:rsid w:val="003A484F"/>
    <w:rsid w:val="003B03E1"/>
    <w:rsid w:val="003B0BE0"/>
    <w:rsid w:val="003B0C1B"/>
    <w:rsid w:val="003B688C"/>
    <w:rsid w:val="003C0291"/>
    <w:rsid w:val="003C36E4"/>
    <w:rsid w:val="003C39AE"/>
    <w:rsid w:val="003C7B60"/>
    <w:rsid w:val="003D1FB2"/>
    <w:rsid w:val="003D66DA"/>
    <w:rsid w:val="003E1310"/>
    <w:rsid w:val="003E6F55"/>
    <w:rsid w:val="003F5EA7"/>
    <w:rsid w:val="00405DCD"/>
    <w:rsid w:val="00406254"/>
    <w:rsid w:val="004223DE"/>
    <w:rsid w:val="00434489"/>
    <w:rsid w:val="00437085"/>
    <w:rsid w:val="00443880"/>
    <w:rsid w:val="004464F4"/>
    <w:rsid w:val="00471401"/>
    <w:rsid w:val="00473F31"/>
    <w:rsid w:val="0048263A"/>
    <w:rsid w:val="00487E5D"/>
    <w:rsid w:val="004A711F"/>
    <w:rsid w:val="004B199D"/>
    <w:rsid w:val="004B4690"/>
    <w:rsid w:val="004D45C0"/>
    <w:rsid w:val="004E0A2D"/>
    <w:rsid w:val="004E206B"/>
    <w:rsid w:val="004E4571"/>
    <w:rsid w:val="004E6DF7"/>
    <w:rsid w:val="004F0FBD"/>
    <w:rsid w:val="00505A47"/>
    <w:rsid w:val="00512FDA"/>
    <w:rsid w:val="00520DA0"/>
    <w:rsid w:val="00566454"/>
    <w:rsid w:val="005664BB"/>
    <w:rsid w:val="0057481D"/>
    <w:rsid w:val="0058486E"/>
    <w:rsid w:val="00595CD2"/>
    <w:rsid w:val="005A2B6B"/>
    <w:rsid w:val="005A59D9"/>
    <w:rsid w:val="005C1D9D"/>
    <w:rsid w:val="005D1C8B"/>
    <w:rsid w:val="005D5CED"/>
    <w:rsid w:val="005F1A4C"/>
    <w:rsid w:val="00605688"/>
    <w:rsid w:val="006070AF"/>
    <w:rsid w:val="00607E6C"/>
    <w:rsid w:val="006101B1"/>
    <w:rsid w:val="00614E44"/>
    <w:rsid w:val="00622830"/>
    <w:rsid w:val="00630AEF"/>
    <w:rsid w:val="006325F8"/>
    <w:rsid w:val="00634C9A"/>
    <w:rsid w:val="006440E4"/>
    <w:rsid w:val="00660501"/>
    <w:rsid w:val="0066343B"/>
    <w:rsid w:val="00664777"/>
    <w:rsid w:val="006748A4"/>
    <w:rsid w:val="00683E73"/>
    <w:rsid w:val="006A3141"/>
    <w:rsid w:val="006A5E34"/>
    <w:rsid w:val="006B2422"/>
    <w:rsid w:val="006B2B9A"/>
    <w:rsid w:val="006C1937"/>
    <w:rsid w:val="006F020C"/>
    <w:rsid w:val="007127B7"/>
    <w:rsid w:val="0072346F"/>
    <w:rsid w:val="007416B6"/>
    <w:rsid w:val="00746F48"/>
    <w:rsid w:val="0075404D"/>
    <w:rsid w:val="0076182A"/>
    <w:rsid w:val="00767B7E"/>
    <w:rsid w:val="007770C3"/>
    <w:rsid w:val="00780AB7"/>
    <w:rsid w:val="00784D24"/>
    <w:rsid w:val="00785FBA"/>
    <w:rsid w:val="00786E4A"/>
    <w:rsid w:val="007875EB"/>
    <w:rsid w:val="00791C03"/>
    <w:rsid w:val="0079426B"/>
    <w:rsid w:val="007D312A"/>
    <w:rsid w:val="007D3F19"/>
    <w:rsid w:val="007E23B0"/>
    <w:rsid w:val="007F1991"/>
    <w:rsid w:val="007F2C2F"/>
    <w:rsid w:val="007F55FC"/>
    <w:rsid w:val="007F5665"/>
    <w:rsid w:val="007F79B4"/>
    <w:rsid w:val="00800112"/>
    <w:rsid w:val="008253BB"/>
    <w:rsid w:val="00835602"/>
    <w:rsid w:val="0083706E"/>
    <w:rsid w:val="008423A5"/>
    <w:rsid w:val="00844DC5"/>
    <w:rsid w:val="0084507A"/>
    <w:rsid w:val="00850625"/>
    <w:rsid w:val="00850BA4"/>
    <w:rsid w:val="00853718"/>
    <w:rsid w:val="00855221"/>
    <w:rsid w:val="00857460"/>
    <w:rsid w:val="00860645"/>
    <w:rsid w:val="00871F71"/>
    <w:rsid w:val="00873776"/>
    <w:rsid w:val="00874F99"/>
    <w:rsid w:val="00885AF4"/>
    <w:rsid w:val="008939CD"/>
    <w:rsid w:val="008A2F7F"/>
    <w:rsid w:val="008B0E82"/>
    <w:rsid w:val="008B768C"/>
    <w:rsid w:val="008C4DB1"/>
    <w:rsid w:val="008C4EAF"/>
    <w:rsid w:val="008C5176"/>
    <w:rsid w:val="008C7FD0"/>
    <w:rsid w:val="008D10CC"/>
    <w:rsid w:val="008E1DE7"/>
    <w:rsid w:val="008E707C"/>
    <w:rsid w:val="008E784B"/>
    <w:rsid w:val="008F4AEE"/>
    <w:rsid w:val="00900B08"/>
    <w:rsid w:val="00902155"/>
    <w:rsid w:val="00902FA3"/>
    <w:rsid w:val="00912AF1"/>
    <w:rsid w:val="00923564"/>
    <w:rsid w:val="0092392E"/>
    <w:rsid w:val="00925117"/>
    <w:rsid w:val="009315F9"/>
    <w:rsid w:val="00945518"/>
    <w:rsid w:val="00946945"/>
    <w:rsid w:val="00950FF6"/>
    <w:rsid w:val="00951248"/>
    <w:rsid w:val="0095152F"/>
    <w:rsid w:val="00954C49"/>
    <w:rsid w:val="0096233D"/>
    <w:rsid w:val="00965191"/>
    <w:rsid w:val="0097099F"/>
    <w:rsid w:val="00971997"/>
    <w:rsid w:val="00971FFC"/>
    <w:rsid w:val="0098660A"/>
    <w:rsid w:val="009931C3"/>
    <w:rsid w:val="009A593F"/>
    <w:rsid w:val="009B2C43"/>
    <w:rsid w:val="009B4EAE"/>
    <w:rsid w:val="009B7573"/>
    <w:rsid w:val="009C22F4"/>
    <w:rsid w:val="009C2E98"/>
    <w:rsid w:val="009D3447"/>
    <w:rsid w:val="009D4711"/>
    <w:rsid w:val="009F1185"/>
    <w:rsid w:val="009F18CD"/>
    <w:rsid w:val="009F2A13"/>
    <w:rsid w:val="00A02D95"/>
    <w:rsid w:val="00A04EB0"/>
    <w:rsid w:val="00A13CC1"/>
    <w:rsid w:val="00A16847"/>
    <w:rsid w:val="00A237D8"/>
    <w:rsid w:val="00A268C4"/>
    <w:rsid w:val="00A307CD"/>
    <w:rsid w:val="00A40A00"/>
    <w:rsid w:val="00A4142F"/>
    <w:rsid w:val="00A56174"/>
    <w:rsid w:val="00A56DF2"/>
    <w:rsid w:val="00A66CF6"/>
    <w:rsid w:val="00A67AB5"/>
    <w:rsid w:val="00A7692E"/>
    <w:rsid w:val="00A91760"/>
    <w:rsid w:val="00A93B00"/>
    <w:rsid w:val="00A93C21"/>
    <w:rsid w:val="00AC1434"/>
    <w:rsid w:val="00AC3C6A"/>
    <w:rsid w:val="00AC69C7"/>
    <w:rsid w:val="00AD4924"/>
    <w:rsid w:val="00AD5620"/>
    <w:rsid w:val="00AD7C1B"/>
    <w:rsid w:val="00AD7EA8"/>
    <w:rsid w:val="00AE0918"/>
    <w:rsid w:val="00AE16BA"/>
    <w:rsid w:val="00AE1EBE"/>
    <w:rsid w:val="00AF2839"/>
    <w:rsid w:val="00B03C9D"/>
    <w:rsid w:val="00B060AE"/>
    <w:rsid w:val="00B10517"/>
    <w:rsid w:val="00B14E76"/>
    <w:rsid w:val="00B161B8"/>
    <w:rsid w:val="00B2048C"/>
    <w:rsid w:val="00B310B9"/>
    <w:rsid w:val="00B35F3F"/>
    <w:rsid w:val="00B36CBB"/>
    <w:rsid w:val="00B425E0"/>
    <w:rsid w:val="00B440AA"/>
    <w:rsid w:val="00B44B70"/>
    <w:rsid w:val="00B53C56"/>
    <w:rsid w:val="00B766A9"/>
    <w:rsid w:val="00B77EA6"/>
    <w:rsid w:val="00B81598"/>
    <w:rsid w:val="00B81CAD"/>
    <w:rsid w:val="00B841F1"/>
    <w:rsid w:val="00B944D6"/>
    <w:rsid w:val="00B9701E"/>
    <w:rsid w:val="00BB4DF0"/>
    <w:rsid w:val="00BC10A6"/>
    <w:rsid w:val="00BC289F"/>
    <w:rsid w:val="00BC5361"/>
    <w:rsid w:val="00BC5460"/>
    <w:rsid w:val="00BC6B50"/>
    <w:rsid w:val="00BD0E25"/>
    <w:rsid w:val="00BF5BD6"/>
    <w:rsid w:val="00C03E31"/>
    <w:rsid w:val="00C05B8E"/>
    <w:rsid w:val="00C16535"/>
    <w:rsid w:val="00C33E72"/>
    <w:rsid w:val="00C354B2"/>
    <w:rsid w:val="00C35554"/>
    <w:rsid w:val="00C42709"/>
    <w:rsid w:val="00C47734"/>
    <w:rsid w:val="00C51AC8"/>
    <w:rsid w:val="00C533CC"/>
    <w:rsid w:val="00C54C8E"/>
    <w:rsid w:val="00C5751C"/>
    <w:rsid w:val="00C61BFC"/>
    <w:rsid w:val="00C62B85"/>
    <w:rsid w:val="00C63D91"/>
    <w:rsid w:val="00C65438"/>
    <w:rsid w:val="00C7463F"/>
    <w:rsid w:val="00C91CBB"/>
    <w:rsid w:val="00CB48E0"/>
    <w:rsid w:val="00CC09B6"/>
    <w:rsid w:val="00CC666F"/>
    <w:rsid w:val="00CD1E3F"/>
    <w:rsid w:val="00CE44F6"/>
    <w:rsid w:val="00CE49DA"/>
    <w:rsid w:val="00CE7B61"/>
    <w:rsid w:val="00D00095"/>
    <w:rsid w:val="00D20620"/>
    <w:rsid w:val="00D25387"/>
    <w:rsid w:val="00D26091"/>
    <w:rsid w:val="00D34E7C"/>
    <w:rsid w:val="00D35489"/>
    <w:rsid w:val="00D51276"/>
    <w:rsid w:val="00D7035F"/>
    <w:rsid w:val="00DA65AC"/>
    <w:rsid w:val="00DB0F51"/>
    <w:rsid w:val="00DB1913"/>
    <w:rsid w:val="00DC410D"/>
    <w:rsid w:val="00DC68CA"/>
    <w:rsid w:val="00DC7CBA"/>
    <w:rsid w:val="00DD73B7"/>
    <w:rsid w:val="00DF28BC"/>
    <w:rsid w:val="00DF34B9"/>
    <w:rsid w:val="00E01053"/>
    <w:rsid w:val="00E07ACF"/>
    <w:rsid w:val="00E320A0"/>
    <w:rsid w:val="00E321F6"/>
    <w:rsid w:val="00E331A1"/>
    <w:rsid w:val="00E33202"/>
    <w:rsid w:val="00E336A9"/>
    <w:rsid w:val="00E50624"/>
    <w:rsid w:val="00E568DF"/>
    <w:rsid w:val="00E64269"/>
    <w:rsid w:val="00E82267"/>
    <w:rsid w:val="00EA010F"/>
    <w:rsid w:val="00EA3733"/>
    <w:rsid w:val="00EA7CC5"/>
    <w:rsid w:val="00EB2476"/>
    <w:rsid w:val="00EC7321"/>
    <w:rsid w:val="00ED1B63"/>
    <w:rsid w:val="00ED3C1F"/>
    <w:rsid w:val="00ED4085"/>
    <w:rsid w:val="00ED420E"/>
    <w:rsid w:val="00EE2F57"/>
    <w:rsid w:val="00EF4C34"/>
    <w:rsid w:val="00EF77C6"/>
    <w:rsid w:val="00F05438"/>
    <w:rsid w:val="00F07050"/>
    <w:rsid w:val="00F1361C"/>
    <w:rsid w:val="00F160C7"/>
    <w:rsid w:val="00F3587F"/>
    <w:rsid w:val="00F36D8F"/>
    <w:rsid w:val="00F417B1"/>
    <w:rsid w:val="00F602DF"/>
    <w:rsid w:val="00F81FD9"/>
    <w:rsid w:val="00F841AA"/>
    <w:rsid w:val="00FA23E8"/>
    <w:rsid w:val="00FD3CC1"/>
    <w:rsid w:val="00FF1E02"/>
    <w:rsid w:val="00FF30B4"/>
    <w:rsid w:val="10C055FF"/>
    <w:rsid w:val="16BB723D"/>
    <w:rsid w:val="1EB80001"/>
    <w:rsid w:val="240371BF"/>
    <w:rsid w:val="264F7CED"/>
    <w:rsid w:val="28C1208A"/>
    <w:rsid w:val="29FD04D3"/>
    <w:rsid w:val="319F7F4E"/>
    <w:rsid w:val="3A414DF2"/>
    <w:rsid w:val="49753D38"/>
    <w:rsid w:val="538F32BE"/>
    <w:rsid w:val="53DE2458"/>
    <w:rsid w:val="589E1D1B"/>
    <w:rsid w:val="5DE60D5C"/>
    <w:rsid w:val="76D544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paragraph" w:styleId="5">
    <w:name w:val="heading 4"/>
    <w:basedOn w:val="1"/>
    <w:next w:val="1"/>
    <w:link w:val="22"/>
    <w:qFormat/>
    <w:uiPriority w:val="99"/>
    <w:pPr>
      <w:keepNext/>
      <w:keepLines/>
      <w:spacing w:before="280" w:after="290" w:line="376" w:lineRule="auto"/>
      <w:outlineLvl w:val="3"/>
    </w:pPr>
    <w:rPr>
      <w:rFonts w:ascii="Cambria" w:hAnsi="Cambria" w:cs="Cambria"/>
      <w:b/>
      <w:bCs/>
      <w:sz w:val="28"/>
      <w:szCs w:val="28"/>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0"/>
    <w:qFormat/>
    <w:uiPriority w:val="99"/>
    <w:pPr>
      <w:spacing w:beforeLines="30"/>
    </w:pPr>
    <w:rPr>
      <w:rFonts w:ascii="FangSong_Gode MSfalt" w:eastAsia="FangSong_Gode MSfalt" w:cs="FangSong_Gode MSfalt"/>
      <w:kern w:val="0"/>
      <w:sz w:val="24"/>
      <w:szCs w:val="24"/>
    </w:rPr>
  </w:style>
  <w:style w:type="paragraph" w:styleId="7">
    <w:name w:val="toc 3"/>
    <w:basedOn w:val="1"/>
    <w:next w:val="1"/>
    <w:semiHidden/>
    <w:qFormat/>
    <w:uiPriority w:val="99"/>
    <w:pPr>
      <w:tabs>
        <w:tab w:val="right" w:leader="dot" w:pos="8296"/>
      </w:tabs>
      <w:ind w:left="840" w:leftChars="400"/>
    </w:pPr>
  </w:style>
  <w:style w:type="paragraph" w:styleId="8">
    <w:name w:val="Balloon Text"/>
    <w:basedOn w:val="1"/>
    <w:link w:val="24"/>
    <w:semiHidden/>
    <w:qFormat/>
    <w:uiPriority w:val="99"/>
    <w:rPr>
      <w:sz w:val="18"/>
      <w:szCs w:val="18"/>
    </w:rPr>
  </w:style>
  <w:style w:type="paragraph" w:styleId="9">
    <w:name w:val="footer"/>
    <w:basedOn w:val="1"/>
    <w:link w:val="29"/>
    <w:qFormat/>
    <w:uiPriority w:val="99"/>
    <w:pPr>
      <w:tabs>
        <w:tab w:val="center" w:pos="4153"/>
        <w:tab w:val="right" w:pos="8306"/>
      </w:tabs>
      <w:snapToGrid w:val="0"/>
      <w:jc w:val="left"/>
    </w:pPr>
    <w:rPr>
      <w:kern w:val="0"/>
      <w:sz w:val="18"/>
      <w:szCs w:val="18"/>
    </w:rPr>
  </w:style>
  <w:style w:type="paragraph" w:styleId="10">
    <w:name w:val="header"/>
    <w:basedOn w:val="1"/>
    <w:link w:val="2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paragraph" w:styleId="13">
    <w:name w:val="Normal (Web)"/>
    <w:basedOn w:val="1"/>
    <w:qFormat/>
    <w:locked/>
    <w:uiPriority w:val="99"/>
    <w:pPr>
      <w:spacing w:beforeAutospacing="1" w:afterAutospacing="1"/>
      <w:jc w:val="left"/>
    </w:pPr>
    <w:rPr>
      <w:kern w:val="0"/>
      <w:sz w:val="24"/>
      <w:szCs w:val="24"/>
    </w:rPr>
  </w:style>
  <w:style w:type="paragraph" w:styleId="14">
    <w:name w:val="Title"/>
    <w:basedOn w:val="1"/>
    <w:link w:val="27"/>
    <w:qFormat/>
    <w:locked/>
    <w:uiPriority w:val="99"/>
    <w:pPr>
      <w:spacing w:before="240" w:after="60"/>
      <w:jc w:val="center"/>
      <w:outlineLvl w:val="0"/>
    </w:pPr>
    <w:rPr>
      <w:rFonts w:ascii="Arial" w:hAnsi="Arial" w:cs="Arial"/>
      <w:b/>
      <w:bCs/>
      <w:sz w:val="32"/>
      <w:szCs w:val="32"/>
    </w:rPr>
  </w:style>
  <w:style w:type="character" w:styleId="17">
    <w:name w:val="Strong"/>
    <w:basedOn w:val="16"/>
    <w:qFormat/>
    <w:uiPriority w:val="99"/>
    <w:rPr>
      <w:b/>
      <w:bCs/>
    </w:rPr>
  </w:style>
  <w:style w:type="character" w:styleId="18">
    <w:name w:val="Hyperlink"/>
    <w:basedOn w:val="16"/>
    <w:qFormat/>
    <w:uiPriority w:val="99"/>
    <w:rPr>
      <w:color w:val="0000FF"/>
      <w:u w:val="single"/>
    </w:rPr>
  </w:style>
  <w:style w:type="character" w:customStyle="1" w:styleId="19">
    <w:name w:val="Heading 1 Char"/>
    <w:basedOn w:val="16"/>
    <w:link w:val="2"/>
    <w:qFormat/>
    <w:locked/>
    <w:uiPriority w:val="99"/>
    <w:rPr>
      <w:rFonts w:ascii="Times New Roman" w:hAnsi="Times New Roman" w:cs="Times New Roman"/>
      <w:b/>
      <w:bCs/>
      <w:kern w:val="44"/>
      <w:sz w:val="44"/>
      <w:szCs w:val="44"/>
    </w:rPr>
  </w:style>
  <w:style w:type="character" w:customStyle="1" w:styleId="20">
    <w:name w:val="Heading 2 Char"/>
    <w:basedOn w:val="16"/>
    <w:link w:val="3"/>
    <w:qFormat/>
    <w:locked/>
    <w:uiPriority w:val="99"/>
    <w:rPr>
      <w:rFonts w:ascii="Cambria" w:hAnsi="Cambria" w:eastAsia="宋体" w:cs="Cambria"/>
      <w:b/>
      <w:bCs/>
      <w:kern w:val="2"/>
      <w:sz w:val="32"/>
      <w:szCs w:val="32"/>
    </w:rPr>
  </w:style>
  <w:style w:type="character" w:customStyle="1" w:styleId="21">
    <w:name w:val="Heading 3 Char"/>
    <w:basedOn w:val="16"/>
    <w:link w:val="4"/>
    <w:qFormat/>
    <w:locked/>
    <w:uiPriority w:val="99"/>
    <w:rPr>
      <w:rFonts w:ascii="Times New Roman" w:hAnsi="Times New Roman" w:cs="Times New Roman"/>
      <w:b/>
      <w:bCs/>
      <w:kern w:val="2"/>
      <w:sz w:val="32"/>
      <w:szCs w:val="32"/>
    </w:rPr>
  </w:style>
  <w:style w:type="character" w:customStyle="1" w:styleId="22">
    <w:name w:val="Heading 4 Char"/>
    <w:basedOn w:val="16"/>
    <w:link w:val="5"/>
    <w:qFormat/>
    <w:locked/>
    <w:uiPriority w:val="99"/>
    <w:rPr>
      <w:rFonts w:ascii="Cambria" w:hAnsi="Cambria" w:eastAsia="宋体" w:cs="Cambria"/>
      <w:b/>
      <w:bCs/>
      <w:sz w:val="28"/>
      <w:szCs w:val="28"/>
    </w:rPr>
  </w:style>
  <w:style w:type="character" w:customStyle="1" w:styleId="23">
    <w:name w:val="Body Text Char"/>
    <w:basedOn w:val="16"/>
    <w:link w:val="6"/>
    <w:semiHidden/>
    <w:qFormat/>
    <w:locked/>
    <w:uiPriority w:val="99"/>
    <w:rPr>
      <w:rFonts w:ascii="Times New Roman" w:hAnsi="Times New Roman" w:cs="Times New Roman"/>
      <w:sz w:val="24"/>
      <w:szCs w:val="24"/>
    </w:rPr>
  </w:style>
  <w:style w:type="character" w:customStyle="1" w:styleId="24">
    <w:name w:val="Balloon Text Char"/>
    <w:basedOn w:val="16"/>
    <w:link w:val="8"/>
    <w:semiHidden/>
    <w:qFormat/>
    <w:locked/>
    <w:uiPriority w:val="99"/>
    <w:rPr>
      <w:rFonts w:ascii="Times New Roman" w:hAnsi="Times New Roman" w:cs="Times New Roman"/>
      <w:kern w:val="2"/>
      <w:sz w:val="18"/>
      <w:szCs w:val="18"/>
    </w:rPr>
  </w:style>
  <w:style w:type="character" w:customStyle="1" w:styleId="25">
    <w:name w:val="Footer Char"/>
    <w:basedOn w:val="16"/>
    <w:link w:val="9"/>
    <w:semiHidden/>
    <w:qFormat/>
    <w:locked/>
    <w:uiPriority w:val="99"/>
    <w:rPr>
      <w:rFonts w:ascii="Times New Roman" w:hAnsi="Times New Roman" w:cs="Times New Roman"/>
      <w:sz w:val="18"/>
      <w:szCs w:val="18"/>
    </w:rPr>
  </w:style>
  <w:style w:type="character" w:customStyle="1" w:styleId="26">
    <w:name w:val="Header Char"/>
    <w:basedOn w:val="16"/>
    <w:link w:val="10"/>
    <w:semiHidden/>
    <w:qFormat/>
    <w:locked/>
    <w:uiPriority w:val="99"/>
    <w:rPr>
      <w:rFonts w:ascii="Times New Roman" w:hAnsi="Times New Roman" w:cs="Times New Roman"/>
      <w:sz w:val="18"/>
      <w:szCs w:val="18"/>
    </w:rPr>
  </w:style>
  <w:style w:type="character" w:customStyle="1" w:styleId="27">
    <w:name w:val="Title Char"/>
    <w:basedOn w:val="16"/>
    <w:link w:val="14"/>
    <w:qFormat/>
    <w:locked/>
    <w:uiPriority w:val="99"/>
    <w:rPr>
      <w:rFonts w:ascii="Cambria" w:hAnsi="Cambria" w:cs="Cambria"/>
      <w:b/>
      <w:bCs/>
      <w:sz w:val="32"/>
      <w:szCs w:val="32"/>
    </w:rPr>
  </w:style>
  <w:style w:type="character" w:customStyle="1" w:styleId="28">
    <w:name w:val="Header Char1"/>
    <w:link w:val="10"/>
    <w:semiHidden/>
    <w:qFormat/>
    <w:locked/>
    <w:uiPriority w:val="99"/>
    <w:rPr>
      <w:sz w:val="18"/>
      <w:szCs w:val="18"/>
    </w:rPr>
  </w:style>
  <w:style w:type="character" w:customStyle="1" w:styleId="29">
    <w:name w:val="Footer Char1"/>
    <w:link w:val="9"/>
    <w:qFormat/>
    <w:locked/>
    <w:uiPriority w:val="99"/>
    <w:rPr>
      <w:sz w:val="18"/>
      <w:szCs w:val="18"/>
    </w:rPr>
  </w:style>
  <w:style w:type="character" w:customStyle="1" w:styleId="30">
    <w:name w:val="Body Text Char1"/>
    <w:link w:val="6"/>
    <w:qFormat/>
    <w:locked/>
    <w:uiPriority w:val="99"/>
    <w:rPr>
      <w:rFonts w:ascii="FangSong_Gode MSfalt" w:hAnsi="Times New Roman" w:eastAsia="FangSong_Gode MSfalt" w:cs="FangSong_Gode MSfalt"/>
      <w:sz w:val="24"/>
      <w:szCs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2">
    <w:name w:val="List Paragraph"/>
    <w:basedOn w:val="1"/>
    <w:qFormat/>
    <w:uiPriority w:val="99"/>
    <w:pPr>
      <w:ind w:firstLine="420" w:firstLineChars="200"/>
    </w:pPr>
  </w:style>
  <w:style w:type="paragraph" w:customStyle="1" w:styleId="33">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4">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35">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16</Pages>
  <Words>4938</Words>
  <Characters>5340</Characters>
  <Lines>0</Lines>
  <Paragraphs>0</Paragraphs>
  <TotalTime>3</TotalTime>
  <ScaleCrop>false</ScaleCrop>
  <LinksUpToDate>false</LinksUpToDate>
  <CharactersWithSpaces>5398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2022-02-28T06:49:00Z</dcterms:created>
  <dc:creator>张彬茜</dc:creator>
  <cp:lastModifiedBy>匿名</cp:lastModifiedBy>
  <cp:lastPrinted>2019-08-01T00:48:00Z</cp:lastPrinted>
  <dcterms:modified xsi:type="dcterms:W3CDTF">2023-06-29T02:21:56Z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3C4156D566F947B99523A42F36339291_13</vt:lpwstr>
  </property>
</Properties>
</file>