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475"/>
      <w:bookmarkStart w:id="1" w:name="_Toc15377425"/>
      <w:bookmarkStart w:id="2" w:name="_Toc15396597"/>
      <w:bookmarkStart w:id="3" w:name="_Toc15377193"/>
      <w:bookmarkStart w:id="4" w:name="_Toc15378441"/>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40" w:lineRule="exact"/>
        <w:jc w:val="center"/>
        <w:rPr>
          <w:rFonts w:eastAsia="方正小标宋_GBK"/>
          <w:sz w:val="44"/>
          <w:szCs w:val="72"/>
        </w:rPr>
      </w:pPr>
      <w:r>
        <w:rPr>
          <w:rFonts w:hint="eastAsia" w:eastAsia="方正小标宋_GBK"/>
          <w:sz w:val="44"/>
          <w:szCs w:val="72"/>
        </w:rPr>
        <w:t>2022年度</w:t>
      </w:r>
      <w:bookmarkEnd w:id="0"/>
      <w:bookmarkEnd w:id="1"/>
      <w:bookmarkEnd w:id="2"/>
      <w:bookmarkEnd w:id="3"/>
      <w:bookmarkEnd w:id="4"/>
    </w:p>
    <w:p>
      <w:pPr>
        <w:spacing w:line="640" w:lineRule="exact"/>
        <w:jc w:val="center"/>
        <w:rPr>
          <w:rFonts w:eastAsia="方正小标宋_GBK"/>
          <w:sz w:val="44"/>
          <w:szCs w:val="72"/>
        </w:rPr>
      </w:pPr>
      <w:bookmarkStart w:id="6" w:name="_Toc15378442"/>
      <w:bookmarkStart w:id="7" w:name="_Toc15396476"/>
      <w:bookmarkStart w:id="8" w:name="_Toc15377426"/>
      <w:bookmarkStart w:id="9" w:name="_Toc15377194"/>
      <w:bookmarkStart w:id="10" w:name="_Toc15396598"/>
      <w:r>
        <w:rPr>
          <w:rFonts w:hint="eastAsia" w:eastAsia="方正小标宋_GBK"/>
          <w:sz w:val="44"/>
          <w:szCs w:val="72"/>
        </w:rPr>
        <w:t>达州市</w:t>
      </w:r>
      <w:bookmarkEnd w:id="5"/>
      <w:bookmarkStart w:id="11" w:name="_Toc15306268"/>
      <w:r>
        <w:rPr>
          <w:rFonts w:hint="eastAsia" w:eastAsia="方正小标宋_GBK"/>
          <w:sz w:val="44"/>
          <w:szCs w:val="72"/>
        </w:rPr>
        <w:t>达川区实验小学</w:t>
      </w:r>
    </w:p>
    <w:p>
      <w:pPr>
        <w:spacing w:line="640" w:lineRule="exact"/>
        <w:jc w:val="center"/>
        <w:rPr>
          <w:rFonts w:eastAsia="方正小标宋_GBK"/>
          <w:sz w:val="44"/>
          <w:szCs w:val="72"/>
        </w:rPr>
      </w:pPr>
      <w:r>
        <w:rPr>
          <w:rFonts w:hint="eastAsia" w:eastAsia="方正小标宋_GBK"/>
          <w:sz w:val="44"/>
          <w:szCs w:val="72"/>
        </w:rPr>
        <w:t>部门决算</w:t>
      </w:r>
      <w:bookmarkEnd w:id="6"/>
      <w:bookmarkEnd w:id="7"/>
      <w:bookmarkEnd w:id="8"/>
      <w:bookmarkEnd w:id="9"/>
      <w:bookmarkEnd w:id="10"/>
      <w:bookmarkEnd w:id="11"/>
    </w:p>
    <w:p>
      <w:pPr>
        <w:widowControl/>
        <w:spacing w:line="578" w:lineRule="exact"/>
        <w:jc w:val="center"/>
        <w:rPr>
          <w:rFonts w:eastAsia="方正黑体_GBK"/>
          <w:color w:val="000000" w:themeColor="text1"/>
          <w:sz w:val="48"/>
          <w:szCs w:val="48"/>
        </w:rPr>
      </w:pPr>
      <w:r>
        <w:rPr>
          <w:rFonts w:ascii="方正小标宋简体" w:hAnsi="宋体" w:eastAsia="方正小标宋简体"/>
          <w:sz w:val="36"/>
          <w:szCs w:val="36"/>
        </w:rPr>
        <w:br w:type="page"/>
      </w:r>
      <w:bookmarkStart w:id="12" w:name="_Toc15396599"/>
      <w:bookmarkStart w:id="13" w:name="_Toc15377196"/>
      <w:r>
        <w:rPr>
          <w:rFonts w:eastAsia="方正黑体_GBK"/>
          <w:color w:val="000000" w:themeColor="text1"/>
          <w:sz w:val="48"/>
          <w:szCs w:val="48"/>
        </w:rPr>
        <w:t>目录</w:t>
      </w:r>
    </w:p>
    <w:p>
      <w:pPr>
        <w:widowControl/>
        <w:spacing w:line="578" w:lineRule="exact"/>
        <w:jc w:val="center"/>
        <w:rPr>
          <w:rFonts w:eastAsia="黑体"/>
          <w:color w:val="000000" w:themeColor="text1"/>
          <w:sz w:val="28"/>
          <w:szCs w:val="28"/>
        </w:rPr>
      </w:pPr>
    </w:p>
    <w:p>
      <w:pPr>
        <w:spacing w:line="578" w:lineRule="exact"/>
        <w:ind w:firstLine="640" w:firstLineChars="200"/>
        <w:rPr>
          <w:rFonts w:eastAsia="方正仿宋_GBK"/>
          <w:sz w:val="32"/>
          <w:szCs w:val="32"/>
        </w:rPr>
      </w:pPr>
      <w:bookmarkStart w:id="62" w:name="_GoBack"/>
      <w:bookmarkEnd w:id="62"/>
      <w:r>
        <w:rPr>
          <w:rFonts w:hint="eastAsia" w:ascii="方正楷体_GBK" w:hAnsi="方正楷体_GBK" w:eastAsia="方正楷体_GBK" w:cs="方正楷体_GBK"/>
          <w:sz w:val="32"/>
          <w:szCs w:val="32"/>
        </w:rPr>
        <w:t>第一部分 部门概况</w:t>
      </w:r>
    </w:p>
    <w:p>
      <w:pPr>
        <w:spacing w:line="578" w:lineRule="exact"/>
        <w:ind w:firstLine="640" w:firstLineChars="200"/>
        <w:rPr>
          <w:rFonts w:eastAsia="方正仿宋_GBK"/>
          <w:sz w:val="32"/>
          <w:szCs w:val="32"/>
        </w:rPr>
      </w:pPr>
      <w:r>
        <w:rPr>
          <w:rFonts w:eastAsia="方正仿宋_GBK"/>
          <w:sz w:val="32"/>
          <w:szCs w:val="32"/>
        </w:rPr>
        <w:t>一、部门职责</w:t>
      </w:r>
    </w:p>
    <w:p>
      <w:pPr>
        <w:spacing w:line="578" w:lineRule="exact"/>
        <w:ind w:firstLine="640" w:firstLineChars="200"/>
        <w:rPr>
          <w:rFonts w:eastAsia="方正仿宋_GBK"/>
          <w:sz w:val="32"/>
          <w:szCs w:val="32"/>
        </w:rPr>
      </w:pPr>
      <w:r>
        <w:rPr>
          <w:rFonts w:eastAsia="方正仿宋_GBK"/>
          <w:sz w:val="32"/>
          <w:szCs w:val="32"/>
        </w:rPr>
        <w:t>二、机构设置</w:t>
      </w:r>
    </w:p>
    <w:p>
      <w:pPr>
        <w:spacing w:line="578" w:lineRule="exact"/>
        <w:ind w:firstLine="640" w:firstLineChars="200"/>
        <w:rPr>
          <w:rFonts w:eastAsia="方正仿宋_GBK"/>
          <w:sz w:val="32"/>
          <w:szCs w:val="32"/>
        </w:rPr>
      </w:pPr>
      <w:r>
        <w:rPr>
          <w:rFonts w:ascii="方正楷体_GBK" w:hAnsi="方正楷体_GBK" w:eastAsia="方正楷体_GBK" w:cs="方正楷体_GBK"/>
          <w:sz w:val="32"/>
          <w:szCs w:val="32"/>
        </w:rPr>
        <w:t>第二部分 2022年度部门决算情况说明</w:t>
      </w:r>
      <w:r>
        <w:rPr>
          <w:rFonts w:eastAsia="方正仿宋_GBK"/>
          <w:sz w:val="32"/>
          <w:szCs w:val="32"/>
        </w:rPr>
        <w:t xml:space="preserve"> </w:t>
      </w:r>
    </w:p>
    <w:p>
      <w:pPr>
        <w:spacing w:line="578" w:lineRule="exact"/>
        <w:ind w:firstLine="640" w:firstLineChars="200"/>
        <w:rPr>
          <w:rFonts w:eastAsia="方正仿宋_GBK"/>
          <w:sz w:val="32"/>
          <w:szCs w:val="32"/>
        </w:rPr>
      </w:pPr>
      <w:r>
        <w:rPr>
          <w:rFonts w:eastAsia="方正仿宋_GBK"/>
          <w:sz w:val="32"/>
          <w:szCs w:val="32"/>
        </w:rPr>
        <w:t>一、收入支出决算总体情况说明</w:t>
      </w:r>
    </w:p>
    <w:p>
      <w:pPr>
        <w:spacing w:line="578" w:lineRule="exact"/>
        <w:ind w:firstLine="640" w:firstLineChars="200"/>
        <w:rPr>
          <w:rFonts w:eastAsia="方正仿宋_GBK"/>
          <w:sz w:val="32"/>
          <w:szCs w:val="32"/>
        </w:rPr>
      </w:pPr>
      <w:r>
        <w:rPr>
          <w:rFonts w:eastAsia="方正仿宋_GBK"/>
          <w:sz w:val="32"/>
          <w:szCs w:val="32"/>
        </w:rPr>
        <w:t>二、收入决算情况说明</w:t>
      </w:r>
    </w:p>
    <w:p>
      <w:pPr>
        <w:spacing w:line="578" w:lineRule="exact"/>
        <w:ind w:firstLine="640" w:firstLineChars="200"/>
        <w:rPr>
          <w:rFonts w:eastAsia="方正仿宋_GBK"/>
          <w:sz w:val="32"/>
          <w:szCs w:val="32"/>
        </w:rPr>
      </w:pPr>
      <w:r>
        <w:rPr>
          <w:rFonts w:eastAsia="方正仿宋_GBK"/>
          <w:sz w:val="32"/>
          <w:szCs w:val="32"/>
        </w:rPr>
        <w:t>三、支出决算情况说明</w:t>
      </w:r>
    </w:p>
    <w:p>
      <w:pPr>
        <w:spacing w:line="578" w:lineRule="exact"/>
        <w:ind w:firstLine="640" w:firstLineChars="200"/>
        <w:rPr>
          <w:rFonts w:eastAsia="方正仿宋_GBK"/>
          <w:sz w:val="32"/>
          <w:szCs w:val="32"/>
        </w:rPr>
      </w:pPr>
      <w:r>
        <w:rPr>
          <w:rFonts w:eastAsia="方正仿宋_GBK"/>
          <w:sz w:val="32"/>
          <w:szCs w:val="32"/>
        </w:rPr>
        <w:t>四、财政拨款收入支出决算总体情况说明</w:t>
      </w:r>
    </w:p>
    <w:p>
      <w:pPr>
        <w:spacing w:line="578" w:lineRule="exact"/>
        <w:ind w:firstLine="640" w:firstLineChars="200"/>
        <w:rPr>
          <w:rFonts w:eastAsia="方正仿宋_GBK"/>
          <w:sz w:val="32"/>
          <w:szCs w:val="32"/>
        </w:rPr>
      </w:pPr>
      <w:r>
        <w:rPr>
          <w:rFonts w:eastAsia="方正仿宋_GBK"/>
          <w:sz w:val="32"/>
          <w:szCs w:val="32"/>
        </w:rPr>
        <w:t>五、一般公共预算财政拨款支出决算情况说明</w:t>
      </w:r>
    </w:p>
    <w:p>
      <w:pPr>
        <w:spacing w:line="578" w:lineRule="exact"/>
        <w:ind w:firstLine="640" w:firstLineChars="200"/>
        <w:rPr>
          <w:rFonts w:eastAsia="方正仿宋_GBK"/>
          <w:sz w:val="32"/>
          <w:szCs w:val="32"/>
        </w:rPr>
      </w:pPr>
      <w:r>
        <w:rPr>
          <w:rFonts w:eastAsia="方正仿宋_GBK"/>
          <w:sz w:val="32"/>
          <w:szCs w:val="32"/>
        </w:rPr>
        <w:t>六、一般公共预算财政拨款基本支出决算情况说明</w:t>
      </w:r>
    </w:p>
    <w:p>
      <w:pPr>
        <w:spacing w:line="578" w:lineRule="exact"/>
        <w:ind w:firstLine="640" w:firstLineChars="200"/>
        <w:rPr>
          <w:rFonts w:eastAsia="方正仿宋_GBK"/>
          <w:sz w:val="32"/>
          <w:szCs w:val="32"/>
        </w:rPr>
      </w:pPr>
      <w:r>
        <w:rPr>
          <w:rFonts w:eastAsia="方正仿宋_GBK"/>
          <w:sz w:val="32"/>
          <w:szCs w:val="32"/>
        </w:rPr>
        <w:t>七、财政拨款“三公”经费支出决算情况说明</w:t>
      </w:r>
    </w:p>
    <w:p>
      <w:pPr>
        <w:spacing w:line="578" w:lineRule="exact"/>
        <w:ind w:firstLine="640" w:firstLineChars="200"/>
        <w:rPr>
          <w:rFonts w:eastAsia="方正仿宋_GBK"/>
          <w:sz w:val="32"/>
          <w:szCs w:val="32"/>
        </w:rPr>
      </w:pPr>
      <w:r>
        <w:rPr>
          <w:rFonts w:eastAsia="方正仿宋_GBK"/>
          <w:sz w:val="32"/>
          <w:szCs w:val="32"/>
        </w:rPr>
        <w:t>八、政府性基金预算支出决算情况说明</w:t>
      </w:r>
    </w:p>
    <w:p>
      <w:pPr>
        <w:spacing w:line="578" w:lineRule="exact"/>
        <w:ind w:firstLine="640" w:firstLineChars="200"/>
        <w:rPr>
          <w:rFonts w:eastAsia="方正仿宋_GBK"/>
          <w:sz w:val="32"/>
          <w:szCs w:val="32"/>
        </w:rPr>
      </w:pPr>
      <w:r>
        <w:rPr>
          <w:rFonts w:eastAsia="方正仿宋_GBK"/>
          <w:sz w:val="32"/>
          <w:szCs w:val="32"/>
        </w:rPr>
        <w:t>九、国有资本经营预算支出决算情况说明</w:t>
      </w:r>
    </w:p>
    <w:p>
      <w:pPr>
        <w:spacing w:line="578" w:lineRule="exact"/>
        <w:ind w:firstLine="640" w:firstLineChars="200"/>
        <w:rPr>
          <w:rFonts w:eastAsia="方正仿宋_GBK"/>
          <w:sz w:val="32"/>
          <w:szCs w:val="32"/>
        </w:rPr>
      </w:pPr>
      <w:r>
        <w:rPr>
          <w:rFonts w:eastAsia="方正仿宋_GBK"/>
          <w:sz w:val="32"/>
          <w:szCs w:val="32"/>
        </w:rPr>
        <w:t>十、其他重要事项的情况说明</w:t>
      </w:r>
    </w:p>
    <w:p>
      <w:pPr>
        <w:spacing w:line="578" w:lineRule="exact"/>
        <w:ind w:firstLine="640" w:firstLineChars="200"/>
        <w:rPr>
          <w:rFonts w:eastAsia="方正仿宋_GBK"/>
          <w:sz w:val="32"/>
          <w:szCs w:val="32"/>
        </w:rPr>
      </w:pPr>
      <w:r>
        <w:rPr>
          <w:rFonts w:ascii="方正楷体_GBK" w:hAnsi="方正楷体_GBK" w:eastAsia="方正楷体_GBK" w:cs="方正楷体_GBK"/>
          <w:sz w:val="32"/>
          <w:szCs w:val="32"/>
        </w:rPr>
        <w:t>第三部分 名词解释</w:t>
      </w:r>
    </w:p>
    <w:p>
      <w:pPr>
        <w:spacing w:line="578" w:lineRule="exact"/>
        <w:ind w:firstLine="640" w:firstLineChars="200"/>
        <w:rPr>
          <w:rFonts w:eastAsia="方正仿宋_GBK"/>
          <w:sz w:val="32"/>
          <w:szCs w:val="32"/>
        </w:rPr>
      </w:pPr>
      <w:r>
        <w:rPr>
          <w:rFonts w:ascii="方正楷体_GBK" w:hAnsi="方正楷体_GBK" w:eastAsia="方正楷体_GBK" w:cs="方正楷体_GBK"/>
          <w:sz w:val="32"/>
          <w:szCs w:val="32"/>
        </w:rPr>
        <w:t>第四部分 附件</w:t>
      </w:r>
    </w:p>
    <w:p>
      <w:pPr>
        <w:spacing w:line="578" w:lineRule="exact"/>
        <w:ind w:firstLine="640" w:firstLineChars="200"/>
        <w:rPr>
          <w:rFonts w:eastAsia="方正仿宋_GBK"/>
          <w:sz w:val="32"/>
          <w:szCs w:val="32"/>
        </w:rPr>
      </w:pPr>
      <w:r>
        <w:rPr>
          <w:rFonts w:ascii="方正楷体_GBK" w:hAnsi="方正楷体_GBK" w:eastAsia="方正楷体_GBK" w:cs="方正楷体_GBK"/>
          <w:sz w:val="32"/>
          <w:szCs w:val="32"/>
        </w:rPr>
        <w:t>第五部分 附表</w:t>
      </w:r>
    </w:p>
    <w:p>
      <w:pPr>
        <w:spacing w:line="578" w:lineRule="exact"/>
        <w:ind w:firstLine="640" w:firstLineChars="200"/>
        <w:rPr>
          <w:rFonts w:eastAsia="方正仿宋_GBK"/>
          <w:sz w:val="32"/>
          <w:szCs w:val="32"/>
        </w:rPr>
      </w:pPr>
      <w:r>
        <w:rPr>
          <w:rFonts w:eastAsia="方正仿宋_GBK"/>
          <w:sz w:val="32"/>
          <w:szCs w:val="32"/>
        </w:rPr>
        <w:t>一、收入支出决算总表</w:t>
      </w:r>
    </w:p>
    <w:p>
      <w:pPr>
        <w:spacing w:line="578" w:lineRule="exact"/>
        <w:ind w:firstLine="640" w:firstLineChars="200"/>
        <w:rPr>
          <w:rFonts w:eastAsia="方正仿宋_GBK"/>
          <w:sz w:val="32"/>
          <w:szCs w:val="32"/>
        </w:rPr>
      </w:pPr>
      <w:r>
        <w:rPr>
          <w:rFonts w:eastAsia="方正仿宋_GBK"/>
          <w:sz w:val="32"/>
          <w:szCs w:val="32"/>
        </w:rPr>
        <w:t>二、收入决算表</w:t>
      </w:r>
    </w:p>
    <w:p>
      <w:pPr>
        <w:spacing w:line="578" w:lineRule="exact"/>
        <w:ind w:firstLine="640" w:firstLineChars="200"/>
        <w:rPr>
          <w:rFonts w:eastAsia="方正仿宋_GBK"/>
          <w:sz w:val="32"/>
          <w:szCs w:val="32"/>
        </w:rPr>
      </w:pPr>
      <w:r>
        <w:rPr>
          <w:rFonts w:eastAsia="方正仿宋_GBK"/>
          <w:sz w:val="32"/>
          <w:szCs w:val="32"/>
        </w:rPr>
        <w:t>三、支出决算表</w:t>
      </w:r>
    </w:p>
    <w:p>
      <w:pPr>
        <w:spacing w:line="578" w:lineRule="exact"/>
        <w:ind w:firstLine="640" w:firstLineChars="200"/>
        <w:rPr>
          <w:rFonts w:eastAsia="方正仿宋_GBK"/>
          <w:sz w:val="32"/>
          <w:szCs w:val="32"/>
        </w:rPr>
      </w:pPr>
      <w:r>
        <w:rPr>
          <w:rFonts w:eastAsia="方正仿宋_GBK"/>
          <w:sz w:val="32"/>
          <w:szCs w:val="32"/>
        </w:rPr>
        <w:t>四、财政拨款收入支出决算总表</w:t>
      </w:r>
    </w:p>
    <w:p>
      <w:pPr>
        <w:spacing w:line="578" w:lineRule="exact"/>
        <w:ind w:firstLine="640" w:firstLineChars="200"/>
        <w:rPr>
          <w:rFonts w:eastAsia="方正仿宋_GBK"/>
          <w:sz w:val="32"/>
          <w:szCs w:val="32"/>
        </w:rPr>
      </w:pPr>
      <w:r>
        <w:rPr>
          <w:rFonts w:eastAsia="方正仿宋_GBK"/>
          <w:sz w:val="32"/>
          <w:szCs w:val="32"/>
        </w:rPr>
        <w:t>五、财政拨款支出决算明细表</w:t>
      </w:r>
    </w:p>
    <w:p>
      <w:pPr>
        <w:spacing w:line="578" w:lineRule="exact"/>
        <w:ind w:firstLine="640" w:firstLineChars="200"/>
        <w:rPr>
          <w:rFonts w:eastAsia="方正仿宋_GBK"/>
          <w:sz w:val="32"/>
          <w:szCs w:val="32"/>
        </w:rPr>
      </w:pPr>
      <w:r>
        <w:rPr>
          <w:rFonts w:eastAsia="方正仿宋_GBK"/>
          <w:sz w:val="32"/>
          <w:szCs w:val="32"/>
        </w:rPr>
        <w:t>六、一般公共预算财政拨款支出决算表</w:t>
      </w:r>
    </w:p>
    <w:p>
      <w:pPr>
        <w:spacing w:line="578" w:lineRule="exact"/>
        <w:ind w:firstLine="640" w:firstLineChars="200"/>
        <w:rPr>
          <w:rFonts w:eastAsia="方正仿宋_GBK"/>
          <w:sz w:val="32"/>
          <w:szCs w:val="32"/>
        </w:rPr>
      </w:pPr>
      <w:r>
        <w:rPr>
          <w:rFonts w:eastAsia="方正仿宋_GBK"/>
          <w:sz w:val="32"/>
          <w:szCs w:val="32"/>
        </w:rPr>
        <w:t>七、一般公共预算财政拨款支出决算明细表</w:t>
      </w:r>
    </w:p>
    <w:p>
      <w:pPr>
        <w:spacing w:line="578" w:lineRule="exact"/>
        <w:ind w:firstLine="640" w:firstLineChars="200"/>
        <w:rPr>
          <w:rFonts w:eastAsia="方正仿宋_GBK"/>
          <w:sz w:val="32"/>
          <w:szCs w:val="32"/>
        </w:rPr>
      </w:pPr>
      <w:r>
        <w:rPr>
          <w:rFonts w:eastAsia="方正仿宋_GBK"/>
          <w:sz w:val="32"/>
          <w:szCs w:val="32"/>
        </w:rPr>
        <w:t>八、一般公共预算财政拨款基本支出决算明细表</w:t>
      </w:r>
    </w:p>
    <w:p>
      <w:pPr>
        <w:spacing w:line="578" w:lineRule="exact"/>
        <w:ind w:firstLine="640" w:firstLineChars="200"/>
        <w:rPr>
          <w:rFonts w:eastAsia="方正仿宋_GBK"/>
          <w:sz w:val="32"/>
          <w:szCs w:val="32"/>
        </w:rPr>
      </w:pPr>
      <w:r>
        <w:rPr>
          <w:rFonts w:eastAsia="方正仿宋_GBK"/>
          <w:sz w:val="32"/>
          <w:szCs w:val="32"/>
        </w:rPr>
        <w:t>九、一般公共预算财政拨款项目支出决算表</w:t>
      </w:r>
    </w:p>
    <w:p>
      <w:pPr>
        <w:spacing w:line="578" w:lineRule="exact"/>
        <w:ind w:firstLine="640" w:firstLineChars="200"/>
        <w:rPr>
          <w:rFonts w:eastAsia="方正仿宋_GBK"/>
          <w:sz w:val="32"/>
          <w:szCs w:val="32"/>
        </w:rPr>
      </w:pPr>
      <w:r>
        <w:rPr>
          <w:rFonts w:eastAsia="方正仿宋_GBK"/>
          <w:sz w:val="32"/>
          <w:szCs w:val="32"/>
        </w:rPr>
        <w:t>十、政府性基金预算财政拨款收入支出决算表</w:t>
      </w:r>
    </w:p>
    <w:p>
      <w:pPr>
        <w:spacing w:line="578" w:lineRule="exact"/>
        <w:ind w:firstLine="640" w:firstLineChars="200"/>
        <w:rPr>
          <w:rFonts w:eastAsia="方正仿宋_GBK"/>
          <w:sz w:val="32"/>
          <w:szCs w:val="32"/>
        </w:rPr>
      </w:pPr>
      <w:r>
        <w:rPr>
          <w:rFonts w:eastAsia="方正仿宋_GBK"/>
          <w:sz w:val="32"/>
          <w:szCs w:val="32"/>
        </w:rPr>
        <w:t>十一、国有资本经营预算财政拨款收入支出决算表</w:t>
      </w:r>
    </w:p>
    <w:p>
      <w:pPr>
        <w:spacing w:line="578" w:lineRule="exact"/>
        <w:ind w:firstLine="640" w:firstLineChars="200"/>
        <w:rPr>
          <w:rFonts w:eastAsia="方正仿宋_GBK"/>
          <w:sz w:val="32"/>
          <w:szCs w:val="32"/>
        </w:rPr>
      </w:pPr>
      <w:r>
        <w:rPr>
          <w:rFonts w:eastAsia="方正仿宋_GBK"/>
          <w:sz w:val="32"/>
          <w:szCs w:val="32"/>
        </w:rPr>
        <w:t>十二、国有资本经营预算财政拨款支出决算表</w:t>
      </w:r>
    </w:p>
    <w:p>
      <w:pPr>
        <w:spacing w:line="578" w:lineRule="exact"/>
        <w:ind w:firstLine="640" w:firstLineChars="200"/>
        <w:rPr>
          <w:rFonts w:eastAsia="方正仿宋_GBK"/>
          <w:sz w:val="32"/>
          <w:szCs w:val="32"/>
        </w:rPr>
      </w:pPr>
      <w:r>
        <w:rPr>
          <w:rFonts w:eastAsia="方正仿宋_GBK"/>
          <w:sz w:val="32"/>
          <w:szCs w:val="32"/>
        </w:rPr>
        <w:t>十三、财政拨款“三公”经费支出决算表</w:t>
      </w:r>
    </w:p>
    <w:p>
      <w:pPr>
        <w:spacing w:line="578"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pPr>
        <w:widowControl/>
        <w:spacing w:line="578" w:lineRule="exact"/>
        <w:jc w:val="left"/>
        <w:rPr>
          <w:rFonts w:eastAsia="仿宋"/>
          <w:b/>
          <w:color w:val="000000" w:themeColor="text1"/>
          <w:sz w:val="28"/>
          <w:szCs w:val="28"/>
        </w:rPr>
      </w:pPr>
    </w:p>
    <w:p>
      <w:pPr>
        <w:spacing w:line="640" w:lineRule="exact"/>
        <w:jc w:val="center"/>
        <w:rPr>
          <w:rFonts w:hint="eastAsia" w:eastAsia="方正小标宋_GBK"/>
          <w:sz w:val="44"/>
          <w:szCs w:val="44"/>
        </w:rPr>
      </w:pPr>
    </w:p>
    <w:p>
      <w:pPr>
        <w:spacing w:line="640" w:lineRule="exact"/>
        <w:jc w:val="center"/>
        <w:rPr>
          <w:rFonts w:hint="eastAsia" w:eastAsia="方正小标宋_GBK"/>
          <w:sz w:val="44"/>
          <w:szCs w:val="44"/>
        </w:rPr>
      </w:pPr>
    </w:p>
    <w:p>
      <w:pPr>
        <w:spacing w:line="640" w:lineRule="exact"/>
        <w:jc w:val="center"/>
        <w:rPr>
          <w:rFonts w:hint="eastAsia" w:eastAsia="方正小标宋_GBK"/>
          <w:sz w:val="44"/>
          <w:szCs w:val="44"/>
        </w:rPr>
      </w:pPr>
    </w:p>
    <w:p>
      <w:pPr>
        <w:spacing w:line="640" w:lineRule="exact"/>
        <w:jc w:val="center"/>
        <w:rPr>
          <w:rFonts w:hint="eastAsia" w:eastAsia="方正小标宋_GBK"/>
          <w:sz w:val="44"/>
          <w:szCs w:val="44"/>
        </w:rPr>
      </w:pPr>
    </w:p>
    <w:p>
      <w:pPr>
        <w:spacing w:line="640" w:lineRule="exact"/>
        <w:jc w:val="center"/>
        <w:rPr>
          <w:rFonts w:hint="eastAsia" w:eastAsia="方正小标宋_GBK"/>
          <w:sz w:val="44"/>
          <w:szCs w:val="44"/>
        </w:rPr>
      </w:pPr>
    </w:p>
    <w:p>
      <w:pPr>
        <w:spacing w:line="640" w:lineRule="exact"/>
        <w:jc w:val="center"/>
        <w:rPr>
          <w:rFonts w:hint="eastAsia" w:eastAsia="方正小标宋_GBK"/>
          <w:sz w:val="44"/>
          <w:szCs w:val="44"/>
        </w:rPr>
      </w:pPr>
    </w:p>
    <w:p>
      <w:pPr>
        <w:spacing w:line="640" w:lineRule="exact"/>
        <w:jc w:val="center"/>
        <w:rPr>
          <w:rFonts w:hint="eastAsia" w:eastAsia="方正小标宋_GBK"/>
          <w:sz w:val="44"/>
          <w:szCs w:val="44"/>
        </w:rPr>
      </w:pPr>
    </w:p>
    <w:p>
      <w:pPr>
        <w:spacing w:line="640" w:lineRule="exact"/>
        <w:jc w:val="center"/>
        <w:rPr>
          <w:rFonts w:hint="eastAsia" w:eastAsia="方正小标宋_GBK"/>
          <w:sz w:val="44"/>
          <w:szCs w:val="44"/>
        </w:rPr>
      </w:pPr>
    </w:p>
    <w:p>
      <w:pPr>
        <w:spacing w:line="640" w:lineRule="exact"/>
        <w:jc w:val="center"/>
        <w:rPr>
          <w:rFonts w:hint="eastAsia" w:eastAsia="方正小标宋_GBK"/>
          <w:sz w:val="44"/>
          <w:szCs w:val="44"/>
        </w:rPr>
      </w:pPr>
    </w:p>
    <w:p>
      <w:pPr>
        <w:spacing w:line="640" w:lineRule="exact"/>
        <w:jc w:val="center"/>
        <w:rPr>
          <w:rFonts w:hint="eastAsia" w:eastAsia="方正小标宋_GBK"/>
          <w:sz w:val="44"/>
          <w:szCs w:val="44"/>
        </w:rPr>
      </w:pPr>
    </w:p>
    <w:p>
      <w:pPr>
        <w:spacing w:line="640" w:lineRule="exact"/>
        <w:jc w:val="center"/>
        <w:rPr>
          <w:rFonts w:hint="eastAsia" w:eastAsia="方正小标宋_GBK"/>
          <w:sz w:val="44"/>
          <w:szCs w:val="44"/>
        </w:rPr>
      </w:pPr>
    </w:p>
    <w:p>
      <w:pPr>
        <w:spacing w:line="640" w:lineRule="exact"/>
        <w:jc w:val="center"/>
        <w:rPr>
          <w:rFonts w:eastAsia="方正小标宋_GBK"/>
          <w:sz w:val="44"/>
          <w:szCs w:val="44"/>
        </w:rPr>
      </w:pPr>
      <w:r>
        <w:rPr>
          <w:rFonts w:hint="eastAsia" w:eastAsia="方正小标宋_GBK"/>
          <w:sz w:val="44"/>
          <w:szCs w:val="44"/>
        </w:rPr>
        <w:t>第一部分 部门概况</w:t>
      </w:r>
      <w:bookmarkEnd w:id="12"/>
      <w:bookmarkEnd w:id="13"/>
    </w:p>
    <w:p>
      <w:pPr>
        <w:pStyle w:val="2"/>
        <w:spacing w:before="130"/>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eastAsia="方正黑体_GBK"/>
          <w:sz w:val="32"/>
          <w:szCs w:val="32"/>
        </w:rPr>
      </w:pPr>
      <w:r>
        <w:rPr>
          <w:rFonts w:hint="eastAsia" w:eastAsia="方正黑体_GBK"/>
          <w:sz w:val="32"/>
          <w:szCs w:val="32"/>
        </w:rPr>
        <w:t>一、部门职责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方正楷体简体" w:eastAsia="方正楷体简体"/>
          <w:sz w:val="32"/>
          <w:szCs w:val="32"/>
        </w:rPr>
      </w:pPr>
      <w:r>
        <w:rPr>
          <w:rFonts w:hint="eastAsia" w:ascii="方正楷体简体" w:eastAsia="方正楷体简体"/>
          <w:sz w:val="32"/>
          <w:szCs w:val="32"/>
        </w:rPr>
        <w:t>（一）达川区实验小学职能简介。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eastAsia="方正仿宋_GBK"/>
          <w:sz w:val="32"/>
          <w:szCs w:val="32"/>
        </w:rPr>
      </w:pPr>
      <w:r>
        <w:rPr>
          <w:rFonts w:eastAsia="方正仿宋_GBK"/>
          <w:sz w:val="32"/>
          <w:szCs w:val="32"/>
        </w:rPr>
        <w:t>我单位的基本职能是：组织教育教学、科学研究活动，保证教育教学质量</w:t>
      </w:r>
      <w:r>
        <w:rPr>
          <w:rFonts w:hint="eastAsia" w:eastAsia="方正仿宋_GBK"/>
          <w:sz w:val="32"/>
          <w:szCs w:val="32"/>
        </w:rPr>
        <w:t>，</w:t>
      </w:r>
      <w:r>
        <w:rPr>
          <w:rFonts w:eastAsia="方正仿宋_GBK"/>
          <w:sz w:val="32"/>
          <w:szCs w:val="32"/>
        </w:rPr>
        <w:t>提升学生的综合素质。维护教职工利益，保障教职工合法权益，以教职工和学生的人生幸福和生命质量作为重点。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方正楷体简体" w:eastAsia="方正楷体简体"/>
          <w:sz w:val="32"/>
          <w:szCs w:val="32"/>
        </w:rPr>
      </w:pPr>
      <w:r>
        <w:rPr>
          <w:rFonts w:ascii="方正楷体简体" w:eastAsia="方正楷体简体"/>
          <w:sz w:val="32"/>
          <w:szCs w:val="32"/>
        </w:rPr>
        <w:t>（二）达川区</w:t>
      </w:r>
      <w:r>
        <w:rPr>
          <w:rFonts w:hint="eastAsia" w:ascii="方正楷体简体" w:eastAsia="方正楷体简体"/>
          <w:sz w:val="32"/>
          <w:szCs w:val="32"/>
        </w:rPr>
        <w:t>实验小学</w:t>
      </w:r>
      <w:r>
        <w:rPr>
          <w:rFonts w:ascii="方正楷体简体" w:eastAsia="方正楷体简体"/>
          <w:sz w:val="32"/>
          <w:szCs w:val="32"/>
        </w:rPr>
        <w:t>2022年重点工作完成情况。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eastAsia="方正仿宋_GBK"/>
          <w:sz w:val="32"/>
          <w:szCs w:val="32"/>
        </w:rPr>
      </w:pPr>
      <w:r>
        <w:rPr>
          <w:rFonts w:eastAsia="仿宋"/>
          <w:sz w:val="32"/>
          <w:szCs w:val="32"/>
        </w:rPr>
        <w:t>202</w:t>
      </w:r>
      <w:r>
        <w:rPr>
          <w:rFonts w:hint="eastAsia" w:eastAsia="仿宋"/>
          <w:sz w:val="32"/>
          <w:szCs w:val="32"/>
        </w:rPr>
        <w:t>2年，</w:t>
      </w:r>
      <w:r>
        <w:rPr>
          <w:rFonts w:eastAsia="方正仿宋_GBK"/>
          <w:sz w:val="32"/>
          <w:szCs w:val="32"/>
        </w:rPr>
        <w:t>我们紧密地团结在以习近平同志为核心的党中央周围，以习近平新时代中国特色社会主义思想为指导，认真贯彻党中央大政方针和省市区各级决策部署，迎难而上、埋头苦干，扎实做好学校的各项工作。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eastAsia="方正仿宋_GBK"/>
          <w:sz w:val="32"/>
          <w:szCs w:val="32"/>
        </w:rPr>
      </w:pPr>
      <w:r>
        <w:rPr>
          <w:rFonts w:eastAsia="方正仿宋_GBK"/>
          <w:sz w:val="32"/>
          <w:szCs w:val="32"/>
        </w:rPr>
        <w:t>1.强化了单位日常管理，保证日常工作正常运行。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eastAsia="方正仿宋_GBK"/>
          <w:sz w:val="32"/>
          <w:szCs w:val="32"/>
        </w:rPr>
      </w:pPr>
      <w:r>
        <w:rPr>
          <w:rFonts w:eastAsia="方正仿宋_GBK"/>
          <w:sz w:val="32"/>
          <w:szCs w:val="32"/>
        </w:rPr>
        <w:t>2.加强人员、财产和安全管理，强化内部管理，做好应急预案，努力规避工作中的各种风险，确保本年度单位无重大责任事故发生。</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eastAsia="方正仿宋_GBK"/>
          <w:sz w:val="32"/>
          <w:szCs w:val="32"/>
        </w:rPr>
      </w:pPr>
      <w:r>
        <w:rPr>
          <w:rFonts w:eastAsia="方正仿宋_GBK"/>
          <w:sz w:val="32"/>
          <w:szCs w:val="32"/>
        </w:rPr>
        <w:t>3.严格执行学校财务管理制度，保证学生经费、办公经费、差旅费等支出控制在学校经费预算范围之内。</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eastAsia="方正仿宋_GBK"/>
          <w:sz w:val="32"/>
          <w:szCs w:val="32"/>
        </w:rPr>
      </w:pPr>
      <w:r>
        <w:rPr>
          <w:rFonts w:eastAsia="方正仿宋_GBK"/>
          <w:sz w:val="32"/>
          <w:szCs w:val="32"/>
        </w:rPr>
        <w:t>4.根据工作需要，全面落实好学校各项工作部署和具体任务，建立</w:t>
      </w:r>
      <w:r>
        <w:rPr>
          <w:rFonts w:hint="eastAsia" w:eastAsia="方正仿宋_GBK"/>
          <w:sz w:val="32"/>
          <w:szCs w:val="32"/>
        </w:rPr>
        <w:t>和</w:t>
      </w:r>
      <w:r>
        <w:rPr>
          <w:rFonts w:eastAsia="方正仿宋_GBK"/>
          <w:sz w:val="32"/>
          <w:szCs w:val="32"/>
        </w:rPr>
        <w:t>完善相应的工作制度。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eastAsia="方正仿宋_GBK"/>
          <w:sz w:val="32"/>
          <w:szCs w:val="32"/>
        </w:rPr>
      </w:pPr>
      <w:r>
        <w:rPr>
          <w:rFonts w:eastAsia="方正仿宋_GBK"/>
          <w:sz w:val="32"/>
          <w:szCs w:val="32"/>
        </w:rPr>
        <w:t>5.完成了上级各部门交办的其他工作任务。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eastAsia="方正黑体_GBK"/>
          <w:b/>
          <w:bCs/>
          <w:sz w:val="32"/>
          <w:szCs w:val="32"/>
        </w:rPr>
      </w:pPr>
      <w:bookmarkStart w:id="14" w:name="_Toc15377200"/>
      <w:bookmarkStart w:id="15" w:name="_Toc15396601"/>
      <w:r>
        <w:rPr>
          <w:rFonts w:hint="eastAsia" w:eastAsia="方正黑体_GBK"/>
          <w:sz w:val="32"/>
          <w:szCs w:val="32"/>
        </w:rPr>
        <w:t>二、机</w:t>
      </w:r>
      <w:r>
        <w:rPr>
          <w:rFonts w:hint="eastAsia" w:eastAsia="方正黑体_GBK"/>
          <w:b/>
          <w:bCs/>
          <w:sz w:val="32"/>
          <w:szCs w:val="32"/>
        </w:rPr>
        <w:t>构设置</w:t>
      </w:r>
      <w:bookmarkEnd w:id="14"/>
      <w:bookmarkEnd w:id="15"/>
    </w:p>
    <w:p>
      <w:pPr>
        <w:spacing w:line="578" w:lineRule="exact"/>
        <w:ind w:firstLine="640" w:firstLineChars="200"/>
        <w:rPr>
          <w:rFonts w:eastAsia="方正仿宋_GBK"/>
          <w:sz w:val="32"/>
          <w:szCs w:val="32"/>
        </w:rPr>
      </w:pPr>
      <w:r>
        <w:rPr>
          <w:rFonts w:hint="eastAsia" w:eastAsia="方正仿宋_GBK"/>
          <w:sz w:val="32"/>
          <w:szCs w:val="32"/>
        </w:rPr>
        <w:t>我校属达川区教育局下属二级事业单位。单位性质属全额拨款事业单位。</w:t>
      </w:r>
      <w:r>
        <w:rPr>
          <w:rFonts w:eastAsia="方正仿宋_GBK"/>
          <w:sz w:val="32"/>
          <w:szCs w:val="32"/>
        </w:rPr>
        <w:t>下设独立编制机构0个，其中行政机构0个，参照公务员法管理的事业机构0个，其他事业机构0个。</w:t>
      </w:r>
    </w:p>
    <w:p>
      <w:pPr>
        <w:spacing w:line="578" w:lineRule="exact"/>
        <w:ind w:firstLine="640" w:firstLineChars="200"/>
        <w:rPr>
          <w:rFonts w:eastAsia="方正仿宋_GBK"/>
          <w:sz w:val="32"/>
          <w:szCs w:val="32"/>
        </w:rPr>
      </w:pPr>
      <w:r>
        <w:rPr>
          <w:rFonts w:eastAsia="方正仿宋_GBK"/>
          <w:sz w:val="32"/>
          <w:szCs w:val="32"/>
        </w:rPr>
        <w:br w:type="page"/>
      </w:r>
    </w:p>
    <w:p>
      <w:pPr>
        <w:spacing w:line="578" w:lineRule="exact"/>
        <w:jc w:val="center"/>
        <w:rPr>
          <w:rFonts w:eastAsia="方正小标宋_GBK"/>
          <w:b/>
          <w:sz w:val="44"/>
          <w:szCs w:val="44"/>
        </w:rPr>
      </w:pPr>
      <w:bookmarkStart w:id="16" w:name="_Toc15396602"/>
      <w:bookmarkStart w:id="17" w:name="_Toc15377204"/>
      <w:r>
        <w:rPr>
          <w:rFonts w:hint="eastAsia" w:eastAsia="方正小标宋_GBK"/>
          <w:sz w:val="44"/>
          <w:szCs w:val="44"/>
        </w:rPr>
        <w:t xml:space="preserve">  第二部分 2022年度</w:t>
      </w:r>
      <w:r>
        <w:rPr>
          <w:rFonts w:hint="eastAsia" w:eastAsia="方正小标宋_GBK"/>
          <w:b/>
          <w:sz w:val="44"/>
          <w:szCs w:val="44"/>
        </w:rPr>
        <w:t>部门决算情况说明</w:t>
      </w:r>
      <w:bookmarkEnd w:id="16"/>
      <w:bookmarkEnd w:id="17"/>
    </w:p>
    <w:p/>
    <w:p>
      <w:pPr>
        <w:adjustRightInd w:val="0"/>
        <w:snapToGrid w:val="0"/>
        <w:spacing w:line="578" w:lineRule="exact"/>
        <w:ind w:firstLine="640" w:firstLineChars="200"/>
        <w:rPr>
          <w:rFonts w:eastAsia="方正黑体_GBK"/>
          <w:sz w:val="32"/>
          <w:szCs w:val="32"/>
        </w:rPr>
      </w:pPr>
      <w:bookmarkStart w:id="18" w:name="_Toc15377205"/>
      <w:bookmarkStart w:id="19" w:name="_Toc15396603"/>
      <w:r>
        <w:rPr>
          <w:rFonts w:hint="eastAsia" w:eastAsia="方正黑体_GBK"/>
          <w:sz w:val="32"/>
          <w:szCs w:val="32"/>
        </w:rPr>
        <w:t>一、收入支出决算总体情况说明</w:t>
      </w:r>
      <w:bookmarkEnd w:id="18"/>
      <w:bookmarkEnd w:id="19"/>
    </w:p>
    <w:p>
      <w:pPr>
        <w:spacing w:line="578" w:lineRule="exact"/>
        <w:ind w:firstLine="707" w:firstLineChars="221"/>
        <w:rPr>
          <w:rFonts w:eastAsia="方正仿宋_GBK"/>
          <w:sz w:val="32"/>
          <w:szCs w:val="32"/>
        </w:rPr>
      </w:pPr>
      <w:r>
        <w:rPr>
          <w:rFonts w:eastAsia="方正仿宋_GBK"/>
          <w:sz w:val="32"/>
          <w:szCs w:val="32"/>
        </w:rPr>
        <w:t>202</w:t>
      </w:r>
      <w:r>
        <w:rPr>
          <w:rFonts w:hint="eastAsia" w:eastAsia="方正仿宋_GBK"/>
          <w:sz w:val="32"/>
          <w:szCs w:val="32"/>
        </w:rPr>
        <w:t>2</w:t>
      </w:r>
      <w:r>
        <w:rPr>
          <w:rFonts w:eastAsia="方正仿宋_GBK"/>
          <w:sz w:val="32"/>
          <w:szCs w:val="32"/>
        </w:rPr>
        <w:t>年度收支总计7890.42万元。与202</w:t>
      </w:r>
      <w:r>
        <w:rPr>
          <w:rFonts w:hint="eastAsia" w:eastAsia="方正仿宋_GBK"/>
          <w:sz w:val="32"/>
          <w:szCs w:val="32"/>
        </w:rPr>
        <w:t>1</w:t>
      </w:r>
      <w:r>
        <w:rPr>
          <w:rFonts w:eastAsia="方正仿宋_GBK"/>
          <w:sz w:val="32"/>
          <w:szCs w:val="32"/>
        </w:rPr>
        <w:t>年相比，收支总计减少</w:t>
      </w:r>
      <w:r>
        <w:rPr>
          <w:rFonts w:hint="eastAsia" w:eastAsia="方正仿宋_GBK"/>
          <w:sz w:val="32"/>
          <w:szCs w:val="32"/>
        </w:rPr>
        <w:t>4326.36</w:t>
      </w:r>
      <w:r>
        <w:rPr>
          <w:rFonts w:eastAsia="方正仿宋_GBK"/>
          <w:sz w:val="32"/>
          <w:szCs w:val="32"/>
        </w:rPr>
        <w:t>万元，下降</w:t>
      </w:r>
      <w:r>
        <w:rPr>
          <w:rFonts w:hint="eastAsia" w:eastAsia="方正仿宋_GBK"/>
          <w:sz w:val="32"/>
          <w:szCs w:val="32"/>
        </w:rPr>
        <w:t>35.41</w:t>
      </w:r>
      <w:r>
        <w:rPr>
          <w:rFonts w:eastAsia="方正仿宋_GBK"/>
          <w:sz w:val="32"/>
          <w:szCs w:val="32"/>
        </w:rPr>
        <w:t>%。主要变动原因是202</w:t>
      </w:r>
      <w:r>
        <w:rPr>
          <w:rFonts w:hint="eastAsia" w:eastAsia="方正仿宋_GBK"/>
          <w:sz w:val="32"/>
          <w:szCs w:val="32"/>
        </w:rPr>
        <w:t>2</w:t>
      </w:r>
      <w:r>
        <w:rPr>
          <w:rFonts w:eastAsia="方正仿宋_GBK"/>
          <w:sz w:val="32"/>
          <w:szCs w:val="32"/>
        </w:rPr>
        <w:t>年</w:t>
      </w:r>
      <w:r>
        <w:rPr>
          <w:rFonts w:hint="eastAsia" w:eastAsia="方正仿宋_GBK"/>
          <w:sz w:val="32"/>
          <w:szCs w:val="32"/>
        </w:rPr>
        <w:t>花溪校区建制独立成校，三里校区项目投入减少</w:t>
      </w:r>
      <w:r>
        <w:rPr>
          <w:rFonts w:eastAsia="方正仿宋_GBK"/>
          <w:sz w:val="32"/>
          <w:szCs w:val="32"/>
        </w:rPr>
        <w:t>。</w:t>
      </w:r>
    </w:p>
    <w:p>
      <w:pPr>
        <w:pStyle w:val="2"/>
        <w:spacing w:before="130"/>
        <w:jc w:val="center"/>
      </w:pPr>
      <w:r>
        <w:drawing>
          <wp:inline distT="0" distB="0" distL="0" distR="0">
            <wp:extent cx="4219575" cy="2480945"/>
            <wp:effectExtent l="1905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：收入和支出决算总计变动情况图）</w:t>
      </w:r>
    </w:p>
    <w:p>
      <w:pPr>
        <w:pStyle w:val="26"/>
        <w:numPr>
          <w:ilvl w:val="0"/>
          <w:numId w:val="1"/>
        </w:numPr>
        <w:spacing w:line="600" w:lineRule="exact"/>
        <w:ind w:firstLineChars="0"/>
        <w:outlineLvl w:val="1"/>
        <w:rPr>
          <w:rFonts w:eastAsia="方正黑体_GBK"/>
          <w:sz w:val="32"/>
          <w:szCs w:val="32"/>
        </w:rPr>
      </w:pPr>
      <w:bookmarkStart w:id="20" w:name="_Toc15396604"/>
      <w:bookmarkStart w:id="21" w:name="_Toc15377206"/>
      <w:r>
        <w:rPr>
          <w:rFonts w:hint="eastAsia" w:eastAsia="方正黑体_GBK"/>
          <w:sz w:val="32"/>
          <w:szCs w:val="32"/>
        </w:rPr>
        <w:t>收入决算情况说明</w:t>
      </w:r>
      <w:bookmarkEnd w:id="20"/>
      <w:bookmarkEnd w:id="21"/>
    </w:p>
    <w:p>
      <w:pPr>
        <w:spacing w:line="578" w:lineRule="exact"/>
        <w:ind w:firstLine="707" w:firstLineChars="221"/>
        <w:rPr>
          <w:rFonts w:eastAsia="方正仿宋_GBK"/>
          <w:sz w:val="32"/>
          <w:szCs w:val="32"/>
        </w:rPr>
      </w:pPr>
      <w:r>
        <w:rPr>
          <w:rFonts w:eastAsia="方正仿宋_GBK"/>
          <w:sz w:val="32"/>
          <w:szCs w:val="32"/>
        </w:rPr>
        <w:t>20</w:t>
      </w:r>
      <w:r>
        <w:rPr>
          <w:rFonts w:hint="eastAsia" w:eastAsia="方正仿宋_GBK"/>
          <w:sz w:val="32"/>
          <w:szCs w:val="32"/>
        </w:rPr>
        <w:t>22年本年收入合计</w:t>
      </w:r>
      <w:r>
        <w:rPr>
          <w:rFonts w:eastAsia="方正仿宋_GBK"/>
          <w:sz w:val="32"/>
          <w:szCs w:val="32"/>
        </w:rPr>
        <w:t>2233.95</w:t>
      </w:r>
      <w:r>
        <w:rPr>
          <w:rFonts w:hint="eastAsia" w:eastAsia="方正仿宋_GBK"/>
          <w:sz w:val="32"/>
          <w:szCs w:val="32"/>
        </w:rPr>
        <w:t>万元，其中：一般公共预算财政拨款收入</w:t>
      </w:r>
      <w:r>
        <w:rPr>
          <w:rFonts w:eastAsia="方正仿宋_GBK"/>
          <w:sz w:val="32"/>
          <w:szCs w:val="32"/>
        </w:rPr>
        <w:t>2233.95</w:t>
      </w:r>
      <w:r>
        <w:rPr>
          <w:rFonts w:hint="eastAsia" w:eastAsia="方正仿宋_GBK"/>
          <w:sz w:val="32"/>
          <w:szCs w:val="32"/>
        </w:rPr>
        <w:t>万元，占100</w:t>
      </w:r>
      <w:r>
        <w:rPr>
          <w:rFonts w:eastAsia="方正仿宋_GBK"/>
          <w:sz w:val="32"/>
          <w:szCs w:val="32"/>
        </w:rPr>
        <w:t>%</w:t>
      </w:r>
      <w:r>
        <w:rPr>
          <w:rFonts w:hint="eastAsia" w:eastAsia="方正仿宋_GBK"/>
          <w:sz w:val="32"/>
          <w:szCs w:val="32"/>
        </w:rPr>
        <w:t>；政府性基金预算财政拨款收入0万元，占0</w:t>
      </w:r>
      <w:r>
        <w:rPr>
          <w:rFonts w:eastAsia="方正仿宋_GBK"/>
          <w:sz w:val="32"/>
          <w:szCs w:val="32"/>
        </w:rPr>
        <w:t>%</w:t>
      </w:r>
      <w:r>
        <w:rPr>
          <w:rFonts w:hint="eastAsia" w:eastAsia="方正仿宋_GBK"/>
          <w:sz w:val="32"/>
          <w:szCs w:val="32"/>
        </w:rPr>
        <w:t>；国有资本经营预算财政拨款收入0万元，占0</w:t>
      </w:r>
      <w:r>
        <w:rPr>
          <w:rFonts w:eastAsia="方正仿宋_GBK"/>
          <w:sz w:val="32"/>
          <w:szCs w:val="32"/>
        </w:rPr>
        <w:t>%</w:t>
      </w:r>
      <w:r>
        <w:rPr>
          <w:rFonts w:hint="eastAsia" w:eastAsia="方正仿宋_GBK"/>
          <w:sz w:val="32"/>
          <w:szCs w:val="32"/>
        </w:rPr>
        <w:t>；上级补助收入0万元，占0</w:t>
      </w:r>
      <w:r>
        <w:rPr>
          <w:rFonts w:eastAsia="方正仿宋_GBK"/>
          <w:sz w:val="32"/>
          <w:szCs w:val="32"/>
        </w:rPr>
        <w:t>%</w:t>
      </w:r>
      <w:r>
        <w:rPr>
          <w:rFonts w:hint="eastAsia" w:eastAsia="方正仿宋_GBK"/>
          <w:sz w:val="32"/>
          <w:szCs w:val="32"/>
        </w:rPr>
        <w:t>；事业收入0万元，占0</w:t>
      </w:r>
      <w:r>
        <w:rPr>
          <w:rFonts w:eastAsia="方正仿宋_GBK"/>
          <w:sz w:val="32"/>
          <w:szCs w:val="32"/>
        </w:rPr>
        <w:t>%</w:t>
      </w:r>
      <w:r>
        <w:rPr>
          <w:rFonts w:hint="eastAsia" w:eastAsia="方正仿宋_GBK"/>
          <w:sz w:val="32"/>
          <w:szCs w:val="32"/>
        </w:rPr>
        <w:t>；经营收入0万元，占0</w:t>
      </w:r>
      <w:r>
        <w:rPr>
          <w:rFonts w:eastAsia="方正仿宋_GBK"/>
          <w:sz w:val="32"/>
          <w:szCs w:val="32"/>
        </w:rPr>
        <w:t>%</w:t>
      </w:r>
      <w:r>
        <w:rPr>
          <w:rFonts w:hint="eastAsia" w:eastAsia="方正仿宋_GBK"/>
          <w:sz w:val="32"/>
          <w:szCs w:val="32"/>
        </w:rPr>
        <w:t>；附属单位上缴收入0万元，占0</w:t>
      </w:r>
      <w:r>
        <w:rPr>
          <w:rFonts w:eastAsia="方正仿宋_GBK"/>
          <w:sz w:val="32"/>
          <w:szCs w:val="32"/>
        </w:rPr>
        <w:t>%</w:t>
      </w:r>
      <w:r>
        <w:rPr>
          <w:rFonts w:hint="eastAsia" w:eastAsia="方正仿宋_GBK"/>
          <w:sz w:val="32"/>
          <w:szCs w:val="32"/>
        </w:rPr>
        <w:t>；其他收入0万元，占0</w:t>
      </w:r>
      <w:r>
        <w:rPr>
          <w:rFonts w:eastAsia="方正仿宋_GBK"/>
          <w:sz w:val="32"/>
          <w:szCs w:val="32"/>
        </w:rPr>
        <w:t>%</w:t>
      </w:r>
      <w:r>
        <w:rPr>
          <w:rFonts w:hint="eastAsia" w:eastAsia="方正仿宋_GBK"/>
          <w:sz w:val="32"/>
          <w:szCs w:val="32"/>
        </w:rPr>
        <w:t>。</w:t>
      </w:r>
    </w:p>
    <w:p>
      <w:pPr>
        <w:spacing w:line="600" w:lineRule="exact"/>
        <w:ind w:firstLine="640" w:firstLineChars="200"/>
        <w:outlineLvl w:val="1"/>
        <w:rPr>
          <w:rFonts w:ascii="仿宋" w:hAnsi="仿宋" w:eastAsia="仿宋"/>
          <w:sz w:val="32"/>
          <w:szCs w:val="32"/>
        </w:rPr>
      </w:pPr>
    </w:p>
    <w:p>
      <w:pPr>
        <w:pStyle w:val="2"/>
        <w:spacing w:before="130"/>
      </w:pPr>
    </w:p>
    <w:p>
      <w:pPr>
        <w:pStyle w:val="2"/>
        <w:spacing w:before="130"/>
      </w:pPr>
      <w:r>
        <w:rPr>
          <w:rFonts w:hint="eastAsia"/>
        </w:rPr>
        <w:drawing>
          <wp:anchor distT="0" distB="0" distL="114300" distR="114300" simplePos="0" relativeHeight="251659264" behindDoc="0" locked="0" layoutInCell="1" allowOverlap="1">
            <wp:simplePos x="0" y="0"/>
            <wp:positionH relativeFrom="column">
              <wp:posOffset>887095</wp:posOffset>
            </wp:positionH>
            <wp:positionV relativeFrom="paragraph">
              <wp:posOffset>-480060</wp:posOffset>
            </wp:positionV>
            <wp:extent cx="3648075" cy="2714625"/>
            <wp:effectExtent l="19050" t="0" r="9525" b="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
        <w:spacing w:before="130"/>
      </w:pPr>
    </w:p>
    <w:p>
      <w:pPr>
        <w:pStyle w:val="2"/>
        <w:spacing w:before="130"/>
      </w:pPr>
    </w:p>
    <w:p>
      <w:pPr>
        <w:spacing w:line="600" w:lineRule="exact"/>
        <w:ind w:firstLine="640" w:firstLineChars="200"/>
        <w:jc w:val="center"/>
        <w:rPr>
          <w:rFonts w:ascii="仿宋" w:hAnsi="仿宋" w:eastAsia="仿宋"/>
          <w:sz w:val="32"/>
          <w:szCs w:val="32"/>
        </w:rPr>
      </w:pPr>
    </w:p>
    <w:p>
      <w:pPr>
        <w:spacing w:line="600" w:lineRule="exact"/>
        <w:ind w:firstLine="640" w:firstLineChars="200"/>
        <w:jc w:val="center"/>
        <w:rPr>
          <w:rFonts w:ascii="仿宋" w:hAnsi="仿宋" w:eastAsia="仿宋"/>
          <w:sz w:val="32"/>
          <w:szCs w:val="32"/>
        </w:rPr>
      </w:pPr>
    </w:p>
    <w:p>
      <w:pPr>
        <w:spacing w:line="600" w:lineRule="exact"/>
        <w:ind w:firstLine="640" w:firstLineChars="200"/>
        <w:jc w:val="center"/>
        <w:rPr>
          <w:rFonts w:eastAsia="方正仿宋_GBK"/>
          <w:sz w:val="32"/>
          <w:szCs w:val="32"/>
        </w:rPr>
      </w:pPr>
      <w:r>
        <w:rPr>
          <w:rFonts w:hint="eastAsia" w:eastAsia="方正仿宋_GBK"/>
          <w:sz w:val="32"/>
          <w:szCs w:val="32"/>
        </w:rPr>
        <w:t>（图2：收入决算结构图）</w:t>
      </w:r>
    </w:p>
    <w:p>
      <w:pPr>
        <w:pStyle w:val="26"/>
        <w:numPr>
          <w:ilvl w:val="0"/>
          <w:numId w:val="1"/>
        </w:numPr>
        <w:spacing w:line="600" w:lineRule="exact"/>
        <w:ind w:firstLineChars="0"/>
        <w:outlineLvl w:val="1"/>
        <w:rPr>
          <w:rFonts w:eastAsia="方正黑体_GBK"/>
          <w:sz w:val="32"/>
          <w:szCs w:val="32"/>
        </w:rPr>
      </w:pPr>
      <w:bookmarkStart w:id="22" w:name="_Toc15396605"/>
      <w:bookmarkStart w:id="23" w:name="_Toc15377207"/>
      <w:r>
        <w:rPr>
          <w:rFonts w:hint="eastAsia" w:eastAsia="方正黑体_GBK"/>
          <w:sz w:val="32"/>
          <w:szCs w:val="32"/>
        </w:rPr>
        <w:t>支出决算情况说明</w:t>
      </w:r>
      <w:bookmarkEnd w:id="22"/>
      <w:bookmarkEnd w:id="23"/>
    </w:p>
    <w:p>
      <w:pPr>
        <w:spacing w:line="600" w:lineRule="exact"/>
        <w:ind w:firstLine="640" w:firstLineChars="200"/>
        <w:outlineLvl w:val="1"/>
        <w:rPr>
          <w:rFonts w:eastAsia="方正仿宋_GBK"/>
          <w:sz w:val="32"/>
          <w:szCs w:val="32"/>
        </w:rPr>
      </w:pPr>
      <w:r>
        <w:rPr>
          <w:rFonts w:eastAsia="方正仿宋_GBK"/>
          <w:sz w:val="32"/>
          <w:szCs w:val="32"/>
        </w:rPr>
        <w:drawing>
          <wp:anchor distT="0" distB="0" distL="114300" distR="114300" simplePos="0" relativeHeight="251660288" behindDoc="0" locked="0" layoutInCell="1" allowOverlap="1">
            <wp:simplePos x="0" y="0"/>
            <wp:positionH relativeFrom="column">
              <wp:posOffset>609600</wp:posOffset>
            </wp:positionH>
            <wp:positionV relativeFrom="paragraph">
              <wp:posOffset>1666875</wp:posOffset>
            </wp:positionV>
            <wp:extent cx="4572000" cy="2743200"/>
            <wp:effectExtent l="19050" t="0" r="19050" b="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eastAsia="方正仿宋_GBK"/>
          <w:sz w:val="32"/>
          <w:szCs w:val="32"/>
        </w:rPr>
        <w:t>20</w:t>
      </w:r>
      <w:r>
        <w:rPr>
          <w:rFonts w:hint="eastAsia" w:eastAsia="方正仿宋_GBK"/>
          <w:sz w:val="32"/>
          <w:szCs w:val="32"/>
        </w:rPr>
        <w:t>22年本年支出合计</w:t>
      </w:r>
      <w:r>
        <w:rPr>
          <w:rFonts w:eastAsia="方正仿宋_GBK"/>
          <w:sz w:val="32"/>
          <w:szCs w:val="32"/>
        </w:rPr>
        <w:t>2233.95</w:t>
      </w:r>
      <w:r>
        <w:rPr>
          <w:rFonts w:hint="eastAsia" w:eastAsia="方正仿宋_GBK"/>
          <w:sz w:val="32"/>
          <w:szCs w:val="32"/>
        </w:rPr>
        <w:t>万元，其中：基本支出</w:t>
      </w:r>
      <w:r>
        <w:rPr>
          <w:rFonts w:eastAsia="方正仿宋_GBK"/>
          <w:sz w:val="32"/>
          <w:szCs w:val="32"/>
        </w:rPr>
        <w:t>2233.95</w:t>
      </w:r>
      <w:r>
        <w:rPr>
          <w:rFonts w:hint="eastAsia" w:eastAsia="方正仿宋_GBK"/>
          <w:sz w:val="32"/>
          <w:szCs w:val="32"/>
        </w:rPr>
        <w:t>万元，占100</w:t>
      </w:r>
      <w:r>
        <w:rPr>
          <w:rFonts w:eastAsia="方正仿宋_GBK"/>
          <w:sz w:val="32"/>
          <w:szCs w:val="32"/>
        </w:rPr>
        <w:t>%</w:t>
      </w:r>
      <w:r>
        <w:rPr>
          <w:rFonts w:hint="eastAsia" w:eastAsia="方正仿宋_GBK"/>
          <w:sz w:val="32"/>
          <w:szCs w:val="32"/>
        </w:rPr>
        <w:t>；项目支出0万元，占0</w:t>
      </w:r>
      <w:r>
        <w:rPr>
          <w:rFonts w:eastAsia="方正仿宋_GBK"/>
          <w:sz w:val="32"/>
          <w:szCs w:val="32"/>
        </w:rPr>
        <w:t>%</w:t>
      </w:r>
      <w:r>
        <w:rPr>
          <w:rFonts w:hint="eastAsia" w:eastAsia="方正仿宋_GBK"/>
          <w:sz w:val="32"/>
          <w:szCs w:val="32"/>
        </w:rPr>
        <w:t>；上缴上级支出0万元，占0</w:t>
      </w:r>
      <w:r>
        <w:rPr>
          <w:rFonts w:eastAsia="方正仿宋_GBK"/>
          <w:sz w:val="32"/>
          <w:szCs w:val="32"/>
        </w:rPr>
        <w:t>%</w:t>
      </w:r>
      <w:r>
        <w:rPr>
          <w:rFonts w:hint="eastAsia" w:eastAsia="方正仿宋_GBK"/>
          <w:sz w:val="32"/>
          <w:szCs w:val="32"/>
        </w:rPr>
        <w:t>；经营支出0万元，占0</w:t>
      </w:r>
      <w:r>
        <w:rPr>
          <w:rFonts w:eastAsia="方正仿宋_GBK"/>
          <w:sz w:val="32"/>
          <w:szCs w:val="32"/>
        </w:rPr>
        <w:t>%</w:t>
      </w:r>
      <w:r>
        <w:rPr>
          <w:rFonts w:hint="eastAsia" w:eastAsia="方正仿宋_GBK"/>
          <w:sz w:val="32"/>
          <w:szCs w:val="32"/>
        </w:rPr>
        <w:t>；对附属单位补助支出0万元，占0</w:t>
      </w:r>
      <w:r>
        <w:rPr>
          <w:rFonts w:eastAsia="方正仿宋_GBK"/>
          <w:sz w:val="32"/>
          <w:szCs w:val="32"/>
        </w:rPr>
        <w:t>%</w:t>
      </w:r>
      <w:r>
        <w:rPr>
          <w:rFonts w:hint="eastAsia" w:eastAsia="方正仿宋_GBK"/>
          <w:sz w:val="32"/>
          <w:szCs w:val="32"/>
        </w:rPr>
        <w:t>。</w:t>
      </w:r>
    </w:p>
    <w:p>
      <w:pPr>
        <w:spacing w:line="600" w:lineRule="exact"/>
        <w:ind w:firstLine="640"/>
        <w:rPr>
          <w:rFonts w:ascii="仿宋" w:hAnsi="仿宋" w:eastAsia="仿宋"/>
          <w:sz w:val="32"/>
          <w:szCs w:val="32"/>
          <w:shd w:val="pct10" w:color="auto" w:fill="FFFFFF"/>
        </w:rPr>
      </w:pPr>
    </w:p>
    <w:p>
      <w:pPr>
        <w:spacing w:line="600" w:lineRule="exact"/>
        <w:ind w:firstLine="640" w:firstLineChars="200"/>
        <w:jc w:val="center"/>
        <w:rPr>
          <w:rFonts w:eastAsia="方正仿宋_GBK"/>
          <w:sz w:val="32"/>
          <w:szCs w:val="32"/>
        </w:rPr>
      </w:pPr>
      <w:r>
        <w:rPr>
          <w:rFonts w:hint="eastAsia" w:eastAsia="方正仿宋_GBK"/>
          <w:sz w:val="32"/>
          <w:szCs w:val="32"/>
        </w:rPr>
        <w:t>（图3：支出决算结构图）</w:t>
      </w:r>
    </w:p>
    <w:p>
      <w:pPr>
        <w:pStyle w:val="26"/>
        <w:numPr>
          <w:ilvl w:val="0"/>
          <w:numId w:val="1"/>
        </w:numPr>
        <w:spacing w:line="600" w:lineRule="exact"/>
        <w:ind w:firstLineChars="0"/>
        <w:outlineLvl w:val="1"/>
        <w:rPr>
          <w:rFonts w:eastAsia="方正黑体_GBK"/>
          <w:sz w:val="32"/>
          <w:szCs w:val="32"/>
        </w:rPr>
      </w:pPr>
      <w:bookmarkStart w:id="24" w:name="_Toc15377208"/>
      <w:bookmarkStart w:id="25" w:name="_Toc15396606"/>
      <w:r>
        <w:rPr>
          <w:rFonts w:hint="eastAsia" w:eastAsia="方正黑体_GBK"/>
          <w:sz w:val="32"/>
          <w:szCs w:val="32"/>
        </w:rPr>
        <w:t>财政拨款收入支出决算总体情况说明</w:t>
      </w:r>
      <w:bookmarkEnd w:id="24"/>
      <w:bookmarkEnd w:id="25"/>
    </w:p>
    <w:p>
      <w:pPr>
        <w:spacing w:line="600" w:lineRule="exact"/>
        <w:ind w:firstLine="640"/>
        <w:rPr>
          <w:rFonts w:eastAsia="方正仿宋_GBK"/>
          <w:sz w:val="32"/>
          <w:szCs w:val="32"/>
        </w:rPr>
      </w:pPr>
      <w:r>
        <w:rPr>
          <w:rFonts w:eastAsia="方正仿宋_GBK"/>
          <w:sz w:val="32"/>
          <w:szCs w:val="32"/>
        </w:rPr>
        <w:t>20</w:t>
      </w:r>
      <w:r>
        <w:rPr>
          <w:rFonts w:hint="eastAsia" w:eastAsia="方正仿宋_GBK"/>
          <w:sz w:val="32"/>
          <w:szCs w:val="32"/>
        </w:rPr>
        <w:t>22年财政拨款收支总计2233.95万元。与</w:t>
      </w:r>
      <w:r>
        <w:rPr>
          <w:rFonts w:eastAsia="方正仿宋_GBK"/>
          <w:sz w:val="32"/>
          <w:szCs w:val="32"/>
        </w:rPr>
        <w:t>20</w:t>
      </w:r>
      <w:r>
        <w:rPr>
          <w:rFonts w:hint="eastAsia" w:eastAsia="方正仿宋_GBK"/>
          <w:sz w:val="32"/>
          <w:szCs w:val="32"/>
        </w:rPr>
        <w:t>21年相比，财政拨款收支总计各减少5156.87万元，下降69.77</w:t>
      </w:r>
      <w:r>
        <w:rPr>
          <w:rFonts w:eastAsia="方正仿宋_GBK"/>
          <w:sz w:val="32"/>
          <w:szCs w:val="32"/>
        </w:rPr>
        <w:t>%</w:t>
      </w:r>
      <w:r>
        <w:rPr>
          <w:rFonts w:hint="eastAsia" w:eastAsia="方正仿宋_GBK"/>
          <w:sz w:val="32"/>
          <w:szCs w:val="32"/>
        </w:rPr>
        <w:t>。主要变动原因是</w:t>
      </w:r>
      <w:r>
        <w:rPr>
          <w:rFonts w:eastAsia="方正仿宋_GBK"/>
          <w:sz w:val="32"/>
          <w:szCs w:val="32"/>
        </w:rPr>
        <w:t>202</w:t>
      </w:r>
      <w:r>
        <w:rPr>
          <w:rFonts w:hint="eastAsia" w:eastAsia="方正仿宋_GBK"/>
          <w:sz w:val="32"/>
          <w:szCs w:val="32"/>
        </w:rPr>
        <w:t>2</w:t>
      </w:r>
      <w:r>
        <w:rPr>
          <w:rFonts w:eastAsia="方正仿宋_GBK"/>
          <w:sz w:val="32"/>
          <w:szCs w:val="32"/>
        </w:rPr>
        <w:t>年</w:t>
      </w:r>
      <w:r>
        <w:rPr>
          <w:rFonts w:hint="eastAsia" w:eastAsia="方正仿宋_GBK"/>
          <w:sz w:val="32"/>
          <w:szCs w:val="32"/>
        </w:rPr>
        <w:t>花溪校区建制独立成校，三里校区项目投入减少。</w:t>
      </w:r>
    </w:p>
    <w:p>
      <w:pPr>
        <w:spacing w:line="600" w:lineRule="exact"/>
        <w:jc w:val="center"/>
        <w:rPr>
          <w:rFonts w:eastAsia="方正仿宋_GBK"/>
          <w:sz w:val="32"/>
          <w:szCs w:val="32"/>
        </w:rPr>
      </w:pPr>
      <w:r>
        <w:rPr>
          <w:rFonts w:eastAsia="方正仿宋_GBK"/>
          <w:sz w:val="32"/>
          <w:szCs w:val="32"/>
        </w:rPr>
        <w:drawing>
          <wp:anchor distT="0" distB="0" distL="114300" distR="114300" simplePos="0" relativeHeight="251661312" behindDoc="0" locked="0" layoutInCell="1" allowOverlap="1">
            <wp:simplePos x="0" y="0"/>
            <wp:positionH relativeFrom="column">
              <wp:posOffset>419100</wp:posOffset>
            </wp:positionH>
            <wp:positionV relativeFrom="paragraph">
              <wp:posOffset>190500</wp:posOffset>
            </wp:positionV>
            <wp:extent cx="4572000" cy="2743200"/>
            <wp:effectExtent l="19050" t="0" r="19050" b="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eastAsia="方正仿宋_GBK"/>
          <w:sz w:val="32"/>
          <w:szCs w:val="32"/>
        </w:rPr>
        <w:t>（图4：财政拨款收支决算总计变动情况）</w:t>
      </w:r>
    </w:p>
    <w:p>
      <w:pPr>
        <w:spacing w:line="600" w:lineRule="exact"/>
        <w:ind w:firstLine="640" w:firstLineChars="200"/>
        <w:outlineLvl w:val="1"/>
        <w:rPr>
          <w:rFonts w:eastAsia="方正黑体_GBK"/>
          <w:sz w:val="32"/>
          <w:szCs w:val="32"/>
        </w:rPr>
      </w:pPr>
      <w:bookmarkStart w:id="26" w:name="_Toc15377209"/>
      <w:bookmarkStart w:id="27" w:name="_Toc15396607"/>
      <w:r>
        <w:rPr>
          <w:rFonts w:hint="eastAsia" w:eastAsia="方正黑体_GBK"/>
          <w:sz w:val="32"/>
          <w:szCs w:val="32"/>
        </w:rPr>
        <w:t>五、一般公共预算财政拨款支出决算情况说明</w:t>
      </w:r>
      <w:bookmarkEnd w:id="26"/>
      <w:bookmarkEnd w:id="27"/>
    </w:p>
    <w:p>
      <w:pPr>
        <w:spacing w:line="600" w:lineRule="exact"/>
        <w:ind w:firstLine="640" w:firstLineChars="200"/>
        <w:outlineLvl w:val="2"/>
        <w:rPr>
          <w:rFonts w:ascii="方正楷体简体" w:eastAsia="方正楷体简体"/>
          <w:sz w:val="32"/>
          <w:szCs w:val="32"/>
        </w:rPr>
      </w:pPr>
      <w:bookmarkStart w:id="28" w:name="_Toc15377210"/>
      <w:r>
        <w:rPr>
          <w:rFonts w:hint="eastAsia" w:ascii="方正楷体简体" w:eastAsia="方正楷体简体"/>
          <w:sz w:val="32"/>
          <w:szCs w:val="32"/>
        </w:rPr>
        <w:t>（一）一般公共预算财政拨款支出决算总体情况</w:t>
      </w:r>
      <w:bookmarkEnd w:id="28"/>
    </w:p>
    <w:p>
      <w:pPr>
        <w:spacing w:line="600" w:lineRule="exact"/>
        <w:ind w:firstLine="640" w:firstLineChars="200"/>
        <w:rPr>
          <w:rFonts w:eastAsia="方正仿宋_GBK"/>
          <w:sz w:val="32"/>
          <w:szCs w:val="32"/>
        </w:rPr>
      </w:pPr>
      <w:r>
        <w:rPr>
          <w:rFonts w:eastAsia="方正仿宋_GBK"/>
          <w:sz w:val="32"/>
          <w:szCs w:val="32"/>
        </w:rPr>
        <w:t>20</w:t>
      </w:r>
      <w:r>
        <w:rPr>
          <w:rFonts w:hint="eastAsia" w:eastAsia="方正仿宋_GBK"/>
          <w:sz w:val="32"/>
          <w:szCs w:val="32"/>
        </w:rPr>
        <w:t>22年一般公共预算财政拨款支出2233.95万元，占本年支出合计的100</w:t>
      </w:r>
      <w:r>
        <w:rPr>
          <w:rFonts w:eastAsia="方正仿宋_GBK"/>
          <w:sz w:val="32"/>
          <w:szCs w:val="32"/>
        </w:rPr>
        <w:t>%</w:t>
      </w:r>
      <w:r>
        <w:rPr>
          <w:rFonts w:hint="eastAsia" w:eastAsia="方正仿宋_GBK"/>
          <w:sz w:val="32"/>
          <w:szCs w:val="32"/>
        </w:rPr>
        <w:t>。与</w:t>
      </w:r>
      <w:r>
        <w:rPr>
          <w:rFonts w:eastAsia="方正仿宋_GBK"/>
          <w:sz w:val="32"/>
          <w:szCs w:val="32"/>
        </w:rPr>
        <w:t>20</w:t>
      </w:r>
      <w:r>
        <w:rPr>
          <w:rFonts w:hint="eastAsia" w:eastAsia="方正仿宋_GBK"/>
          <w:sz w:val="32"/>
          <w:szCs w:val="32"/>
        </w:rPr>
        <w:t>21年相比，一般公共预算财政拨款支出减少2902.62万元，下降56.51</w:t>
      </w:r>
      <w:r>
        <w:rPr>
          <w:rFonts w:eastAsia="方正仿宋_GBK"/>
          <w:sz w:val="32"/>
          <w:szCs w:val="32"/>
        </w:rPr>
        <w:t>%</w:t>
      </w:r>
      <w:r>
        <w:rPr>
          <w:rFonts w:hint="eastAsia" w:eastAsia="方正仿宋_GBK"/>
          <w:sz w:val="32"/>
          <w:szCs w:val="32"/>
        </w:rPr>
        <w:t>。主要变动原因是</w:t>
      </w:r>
      <w:r>
        <w:rPr>
          <w:rFonts w:eastAsia="方正仿宋_GBK"/>
          <w:sz w:val="32"/>
          <w:szCs w:val="32"/>
        </w:rPr>
        <w:t>202</w:t>
      </w:r>
      <w:r>
        <w:rPr>
          <w:rFonts w:hint="eastAsia" w:eastAsia="方正仿宋_GBK"/>
          <w:sz w:val="32"/>
          <w:szCs w:val="32"/>
        </w:rPr>
        <w:t>2</w:t>
      </w:r>
      <w:r>
        <w:rPr>
          <w:rFonts w:eastAsia="方正仿宋_GBK"/>
          <w:sz w:val="32"/>
          <w:szCs w:val="32"/>
        </w:rPr>
        <w:t>年</w:t>
      </w:r>
      <w:r>
        <w:rPr>
          <w:rFonts w:hint="eastAsia" w:eastAsia="方正仿宋_GBK"/>
          <w:sz w:val="32"/>
          <w:szCs w:val="32"/>
        </w:rPr>
        <w:t>花溪校区建制独立成校，三里校区项目投入减少。</w:t>
      </w:r>
    </w:p>
    <w:p>
      <w:pPr>
        <w:spacing w:line="600" w:lineRule="exact"/>
        <w:ind w:firstLine="640" w:firstLineChars="200"/>
        <w:rPr>
          <w:rFonts w:eastAsia="方正仿宋_GBK"/>
          <w:sz w:val="32"/>
          <w:szCs w:val="32"/>
        </w:rPr>
      </w:pPr>
    </w:p>
    <w:p>
      <w:pPr>
        <w:spacing w:line="600" w:lineRule="exact"/>
        <w:ind w:firstLine="640" w:firstLineChars="200"/>
        <w:rPr>
          <w:rFonts w:eastAsia="方正仿宋_GBK"/>
          <w:sz w:val="32"/>
          <w:szCs w:val="32"/>
        </w:rPr>
      </w:pPr>
    </w:p>
    <w:p>
      <w:pPr>
        <w:spacing w:line="600" w:lineRule="exact"/>
        <w:ind w:firstLine="640" w:firstLineChars="200"/>
        <w:jc w:val="center"/>
        <w:rPr>
          <w:rFonts w:eastAsia="方正仿宋_GBK"/>
          <w:sz w:val="32"/>
          <w:szCs w:val="32"/>
        </w:rPr>
      </w:pPr>
      <w:r>
        <w:rPr>
          <w:rFonts w:eastAsia="方正仿宋_GBK"/>
          <w:sz w:val="32"/>
          <w:szCs w:val="32"/>
        </w:rPr>
        <w:drawing>
          <wp:anchor distT="0" distB="0" distL="114300" distR="114300" simplePos="0" relativeHeight="251662336" behindDoc="0" locked="0" layoutInCell="1" allowOverlap="1">
            <wp:simplePos x="0" y="0"/>
            <wp:positionH relativeFrom="column">
              <wp:posOffset>428625</wp:posOffset>
            </wp:positionH>
            <wp:positionV relativeFrom="paragraph">
              <wp:posOffset>-104775</wp:posOffset>
            </wp:positionV>
            <wp:extent cx="4972050" cy="2771775"/>
            <wp:effectExtent l="19050" t="0" r="19050" b="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eastAsia="方正仿宋_GBK"/>
          <w:sz w:val="32"/>
          <w:szCs w:val="32"/>
        </w:rPr>
        <w:t>（图5：一般公共预算财政拨款支出决算变动情况）</w:t>
      </w:r>
    </w:p>
    <w:p>
      <w:pPr>
        <w:spacing w:line="600" w:lineRule="exact"/>
        <w:ind w:firstLine="640" w:firstLineChars="200"/>
        <w:outlineLvl w:val="2"/>
        <w:rPr>
          <w:rFonts w:ascii="方正楷体简体" w:eastAsia="方正楷体简体"/>
          <w:sz w:val="32"/>
          <w:szCs w:val="32"/>
        </w:rPr>
      </w:pPr>
      <w:bookmarkStart w:id="29" w:name="_Toc15377211"/>
      <w:r>
        <w:rPr>
          <w:rFonts w:hint="eastAsia" w:ascii="方正楷体简体" w:eastAsia="方正楷体简体"/>
          <w:sz w:val="32"/>
          <w:szCs w:val="32"/>
        </w:rPr>
        <w:t>（二）一般公共预算财政拨款支出决算结构情况</w:t>
      </w:r>
      <w:bookmarkEnd w:id="29"/>
    </w:p>
    <w:p>
      <w:pPr>
        <w:spacing w:line="578" w:lineRule="exact"/>
        <w:ind w:firstLine="640" w:firstLineChars="200"/>
        <w:rPr>
          <w:rFonts w:eastAsia="方正仿宋_GBK"/>
          <w:sz w:val="32"/>
          <w:szCs w:val="32"/>
        </w:rPr>
      </w:pPr>
      <w:r>
        <w:rPr>
          <w:rFonts w:eastAsia="方正仿宋_GBK"/>
          <w:sz w:val="32"/>
          <w:szCs w:val="32"/>
        </w:rPr>
        <w:t>20</w:t>
      </w:r>
      <w:r>
        <w:rPr>
          <w:rFonts w:hint="eastAsia" w:eastAsia="方正仿宋_GBK"/>
          <w:sz w:val="32"/>
          <w:szCs w:val="32"/>
        </w:rPr>
        <w:t>22年一般公共预算财政拨款支出2233.95万元，主要用于以下方面：教育支出1,842.31万元，占82.47</w:t>
      </w:r>
      <w:r>
        <w:rPr>
          <w:rFonts w:eastAsia="方正仿宋_GBK"/>
          <w:sz w:val="32"/>
          <w:szCs w:val="32"/>
        </w:rPr>
        <w:t>%</w:t>
      </w:r>
      <w:r>
        <w:rPr>
          <w:rFonts w:hint="eastAsia" w:eastAsia="方正仿宋_GBK"/>
          <w:sz w:val="32"/>
          <w:szCs w:val="32"/>
        </w:rPr>
        <w:t>；社会保障和就业支出173.58万元，占7.77</w:t>
      </w:r>
      <w:r>
        <w:rPr>
          <w:rFonts w:eastAsia="方正仿宋_GBK"/>
          <w:sz w:val="32"/>
          <w:szCs w:val="32"/>
        </w:rPr>
        <w:t>%</w:t>
      </w:r>
      <w:r>
        <w:rPr>
          <w:rFonts w:hint="eastAsia" w:eastAsia="方正仿宋_GBK"/>
          <w:sz w:val="32"/>
          <w:szCs w:val="32"/>
        </w:rPr>
        <w:t>；卫生健康支出87.87万元，占3.93</w:t>
      </w:r>
      <w:r>
        <w:rPr>
          <w:rFonts w:eastAsia="方正仿宋_GBK"/>
          <w:sz w:val="32"/>
          <w:szCs w:val="32"/>
        </w:rPr>
        <w:t>%</w:t>
      </w:r>
      <w:r>
        <w:rPr>
          <w:rFonts w:hint="eastAsia" w:eastAsia="方正仿宋_GBK"/>
          <w:sz w:val="32"/>
          <w:szCs w:val="32"/>
        </w:rPr>
        <w:t>；住房保障支出130.19万元，占5.83</w:t>
      </w:r>
      <w:r>
        <w:rPr>
          <w:rFonts w:eastAsia="方正仿宋_GBK"/>
          <w:sz w:val="32"/>
          <w:szCs w:val="32"/>
        </w:rPr>
        <w:t>%</w:t>
      </w:r>
      <w:r>
        <w:rPr>
          <w:rFonts w:hint="eastAsia" w:eastAsia="方正仿宋_GBK"/>
          <w:sz w:val="32"/>
          <w:szCs w:val="32"/>
        </w:rPr>
        <w:t>。</w:t>
      </w:r>
    </w:p>
    <w:p>
      <w:pPr>
        <w:spacing w:line="600" w:lineRule="exact"/>
        <w:ind w:firstLine="640"/>
        <w:rPr>
          <w:rFonts w:ascii="仿宋" w:hAnsi="仿宋" w:eastAsia="仿宋"/>
          <w:sz w:val="32"/>
          <w:szCs w:val="32"/>
        </w:rPr>
      </w:pPr>
      <w:r>
        <w:rPr>
          <w:rFonts w:ascii="仿宋" w:hAnsi="仿宋" w:eastAsia="仿宋"/>
          <w:sz w:val="32"/>
          <w:szCs w:val="32"/>
        </w:rPr>
        <w:drawing>
          <wp:anchor distT="0" distB="0" distL="114300" distR="114300" simplePos="0" relativeHeight="251663360" behindDoc="0" locked="0" layoutInCell="1" allowOverlap="1">
            <wp:simplePos x="0" y="0"/>
            <wp:positionH relativeFrom="column">
              <wp:posOffset>506095</wp:posOffset>
            </wp:positionH>
            <wp:positionV relativeFrom="paragraph">
              <wp:posOffset>299720</wp:posOffset>
            </wp:positionV>
            <wp:extent cx="4676775" cy="2552700"/>
            <wp:effectExtent l="19050" t="0" r="9525" b="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jc w:val="center"/>
        <w:rPr>
          <w:rFonts w:eastAsia="方正仿宋_GBK"/>
          <w:sz w:val="32"/>
          <w:szCs w:val="32"/>
        </w:rPr>
      </w:pPr>
      <w:r>
        <w:rPr>
          <w:rFonts w:hint="eastAsia" w:eastAsia="方正仿宋_GBK"/>
          <w:sz w:val="32"/>
          <w:szCs w:val="32"/>
        </w:rPr>
        <w:t>（图6：一般公共预算财政拨款支出决算结构）</w:t>
      </w:r>
    </w:p>
    <w:p>
      <w:pPr>
        <w:spacing w:line="600" w:lineRule="exact"/>
        <w:ind w:firstLine="640" w:firstLineChars="200"/>
        <w:outlineLvl w:val="2"/>
        <w:rPr>
          <w:rFonts w:ascii="方正楷体简体" w:eastAsia="方正楷体简体"/>
          <w:sz w:val="32"/>
          <w:szCs w:val="32"/>
        </w:rPr>
      </w:pPr>
      <w:bookmarkStart w:id="30" w:name="_Toc15377212"/>
      <w:r>
        <w:rPr>
          <w:rFonts w:hint="eastAsia" w:ascii="方正楷体简体" w:eastAsia="方正楷体简体"/>
          <w:sz w:val="32"/>
          <w:szCs w:val="32"/>
        </w:rPr>
        <w:t>（三）一般公共预算财政拨款支出决算具体情况</w:t>
      </w:r>
      <w:bookmarkEnd w:id="30"/>
    </w:p>
    <w:p>
      <w:pPr>
        <w:spacing w:line="600" w:lineRule="exact"/>
        <w:ind w:firstLine="640" w:firstLineChars="200"/>
        <w:outlineLvl w:val="2"/>
        <w:rPr>
          <w:rFonts w:eastAsia="方正仿宋_GBK"/>
          <w:sz w:val="32"/>
          <w:szCs w:val="32"/>
        </w:rPr>
      </w:pPr>
      <w:bookmarkStart w:id="31" w:name="_Toc15377213"/>
      <w:bookmarkStart w:id="32" w:name="_Toc15377444"/>
      <w:bookmarkStart w:id="33" w:name="_Toc15378460"/>
      <w:r>
        <w:rPr>
          <w:rFonts w:hint="eastAsia" w:eastAsia="方正仿宋_GBK"/>
          <w:sz w:val="32"/>
          <w:szCs w:val="32"/>
        </w:rPr>
        <w:t>2022年一般公共预算支出决算数为2233.95万元，完成预算100</w:t>
      </w:r>
      <w:r>
        <w:rPr>
          <w:rFonts w:eastAsia="方正仿宋_GBK"/>
          <w:sz w:val="32"/>
          <w:szCs w:val="32"/>
        </w:rPr>
        <w:t>%</w:t>
      </w:r>
      <w:r>
        <w:rPr>
          <w:rFonts w:hint="eastAsia" w:eastAsia="方正仿宋_GBK"/>
          <w:sz w:val="32"/>
          <w:szCs w:val="32"/>
        </w:rPr>
        <w:t>。其中：</w:t>
      </w:r>
      <w:bookmarkEnd w:id="31"/>
      <w:bookmarkEnd w:id="32"/>
      <w:bookmarkEnd w:id="33"/>
    </w:p>
    <w:p>
      <w:pPr>
        <w:adjustRightInd w:val="0"/>
        <w:snapToGrid w:val="0"/>
        <w:spacing w:line="578" w:lineRule="exact"/>
        <w:ind w:firstLine="640" w:firstLineChars="200"/>
        <w:rPr>
          <w:rFonts w:eastAsia="方正仿宋_GBK"/>
          <w:sz w:val="32"/>
          <w:szCs w:val="32"/>
        </w:rPr>
      </w:pPr>
      <w:r>
        <w:rPr>
          <w:rFonts w:eastAsia="方正仿宋_GBK"/>
          <w:sz w:val="32"/>
          <w:szCs w:val="32"/>
        </w:rPr>
        <w:t>1.教育（205类）</w:t>
      </w:r>
      <w:r>
        <w:rPr>
          <w:rFonts w:hint="eastAsia" w:eastAsia="方正仿宋_GBK"/>
          <w:sz w:val="32"/>
          <w:szCs w:val="32"/>
        </w:rPr>
        <w:t>普通教育</w:t>
      </w:r>
      <w:r>
        <w:rPr>
          <w:rFonts w:eastAsia="方正仿宋_GBK"/>
          <w:sz w:val="32"/>
          <w:szCs w:val="32"/>
        </w:rPr>
        <w:t>（</w:t>
      </w:r>
      <w:r>
        <w:rPr>
          <w:rFonts w:hint="eastAsia" w:eastAsia="方正仿宋_GBK"/>
          <w:sz w:val="32"/>
          <w:szCs w:val="32"/>
        </w:rPr>
        <w:t>02</w:t>
      </w:r>
      <w:r>
        <w:rPr>
          <w:rFonts w:eastAsia="方正仿宋_GBK"/>
          <w:sz w:val="32"/>
          <w:szCs w:val="32"/>
        </w:rPr>
        <w:t>款</w:t>
      </w:r>
      <w:r>
        <w:rPr>
          <w:rFonts w:hint="eastAsia" w:eastAsia="方正仿宋_GBK"/>
          <w:sz w:val="32"/>
          <w:szCs w:val="32"/>
        </w:rPr>
        <w:t>）小学教育</w:t>
      </w:r>
      <w:r>
        <w:rPr>
          <w:rFonts w:eastAsia="方正仿宋_GBK"/>
          <w:sz w:val="32"/>
          <w:szCs w:val="32"/>
        </w:rPr>
        <w:t>（</w:t>
      </w:r>
      <w:r>
        <w:rPr>
          <w:rFonts w:hint="eastAsia" w:eastAsia="方正仿宋_GBK"/>
          <w:sz w:val="32"/>
          <w:szCs w:val="32"/>
        </w:rPr>
        <w:t>02</w:t>
      </w:r>
      <w:r>
        <w:rPr>
          <w:rFonts w:eastAsia="方正仿宋_GBK"/>
          <w:sz w:val="32"/>
          <w:szCs w:val="32"/>
        </w:rPr>
        <w:t>项）:支出决算为1842.31万元，完成预算100%。</w:t>
      </w:r>
    </w:p>
    <w:p>
      <w:pPr>
        <w:adjustRightInd w:val="0"/>
        <w:snapToGrid w:val="0"/>
        <w:spacing w:line="578" w:lineRule="exact"/>
        <w:ind w:firstLine="640" w:firstLineChars="200"/>
        <w:rPr>
          <w:rFonts w:eastAsia="方正仿宋_GBK"/>
          <w:sz w:val="32"/>
          <w:szCs w:val="32"/>
        </w:rPr>
      </w:pPr>
      <w:r>
        <w:rPr>
          <w:rFonts w:eastAsia="方正仿宋_GBK"/>
          <w:sz w:val="32"/>
          <w:szCs w:val="32"/>
        </w:rPr>
        <w:t>2.社会保障和就业（208类）行政事业单位养老支出（05款</w:t>
      </w:r>
      <w:r>
        <w:rPr>
          <w:rFonts w:hint="eastAsia" w:eastAsia="方正仿宋_GBK"/>
          <w:sz w:val="32"/>
          <w:szCs w:val="32"/>
        </w:rPr>
        <w:t>）</w:t>
      </w:r>
      <w:r>
        <w:rPr>
          <w:rFonts w:eastAsia="方正仿宋_GBK"/>
          <w:sz w:val="32"/>
          <w:szCs w:val="32"/>
        </w:rPr>
        <w:t>机关事业单位基本养老保险缴费支出（05项）：支出决算为173.58万元，完成预算100%。</w:t>
      </w:r>
    </w:p>
    <w:p>
      <w:pPr>
        <w:adjustRightInd w:val="0"/>
        <w:snapToGrid w:val="0"/>
        <w:spacing w:line="578" w:lineRule="exact"/>
        <w:ind w:firstLine="640" w:firstLineChars="200"/>
        <w:rPr>
          <w:rFonts w:eastAsia="方正仿宋_GBK"/>
          <w:sz w:val="32"/>
          <w:szCs w:val="32"/>
        </w:rPr>
      </w:pPr>
      <w:r>
        <w:rPr>
          <w:rFonts w:eastAsia="方正仿宋_GBK"/>
          <w:sz w:val="32"/>
          <w:szCs w:val="32"/>
        </w:rPr>
        <w:t>3.卫生健康（201类）行政事业单位医疗（11款）事业单位医疗（02项）：支出决算为87.87万元，完成预算100%。</w:t>
      </w:r>
    </w:p>
    <w:p>
      <w:pPr>
        <w:adjustRightInd w:val="0"/>
        <w:snapToGrid w:val="0"/>
        <w:spacing w:line="578" w:lineRule="exact"/>
        <w:ind w:firstLine="640" w:firstLineChars="200"/>
        <w:rPr>
          <w:rFonts w:eastAsia="方正仿宋_GBK"/>
          <w:sz w:val="32"/>
          <w:szCs w:val="32"/>
        </w:rPr>
      </w:pPr>
      <w:r>
        <w:rPr>
          <w:rFonts w:eastAsia="方正仿宋_GBK"/>
          <w:sz w:val="32"/>
          <w:szCs w:val="32"/>
        </w:rPr>
        <w:t>4.住房保障支出（221类</w:t>
      </w:r>
      <w:r>
        <w:rPr>
          <w:rFonts w:hint="eastAsia" w:eastAsia="方正仿宋_GBK"/>
          <w:sz w:val="32"/>
          <w:szCs w:val="32"/>
        </w:rPr>
        <w:t>）</w:t>
      </w:r>
      <w:r>
        <w:rPr>
          <w:rFonts w:eastAsia="方正仿宋_GBK"/>
          <w:sz w:val="32"/>
          <w:szCs w:val="32"/>
        </w:rPr>
        <w:t>住房改革支出（02款）住房公积金（01项）：支出决算为130.19万元，完成预算100%。</w:t>
      </w:r>
    </w:p>
    <w:p>
      <w:pPr>
        <w:tabs>
          <w:tab w:val="right" w:pos="8306"/>
        </w:tabs>
        <w:spacing w:line="600" w:lineRule="exact"/>
        <w:ind w:firstLine="640"/>
        <w:outlineLvl w:val="1"/>
        <w:rPr>
          <w:rFonts w:eastAsia="方正黑体_GBK"/>
          <w:sz w:val="32"/>
          <w:szCs w:val="32"/>
        </w:rPr>
      </w:pPr>
      <w:bookmarkStart w:id="34" w:name="_Toc15396608"/>
      <w:bookmarkStart w:id="35" w:name="_Toc15377214"/>
      <w:r>
        <w:rPr>
          <w:rFonts w:hint="eastAsia" w:eastAsia="方正黑体_GBK"/>
          <w:sz w:val="32"/>
          <w:szCs w:val="32"/>
        </w:rPr>
        <w:t>六、一般公共预算财政拨款基本支出决算情况说明</w:t>
      </w:r>
      <w:bookmarkEnd w:id="34"/>
      <w:bookmarkEnd w:id="35"/>
      <w:r>
        <w:rPr>
          <w:rFonts w:eastAsia="方正黑体_GBK"/>
          <w:sz w:val="32"/>
          <w:szCs w:val="32"/>
        </w:rPr>
        <w:tab/>
      </w:r>
    </w:p>
    <w:p>
      <w:pPr>
        <w:spacing w:line="600" w:lineRule="exact"/>
        <w:ind w:firstLine="645"/>
        <w:rPr>
          <w:rFonts w:eastAsia="方正仿宋_GBK"/>
          <w:sz w:val="32"/>
          <w:szCs w:val="32"/>
        </w:rPr>
      </w:pPr>
      <w:r>
        <w:rPr>
          <w:rFonts w:eastAsia="方正仿宋_GBK"/>
          <w:sz w:val="32"/>
          <w:szCs w:val="32"/>
        </w:rPr>
        <w:t>20</w:t>
      </w:r>
      <w:r>
        <w:rPr>
          <w:rFonts w:hint="eastAsia" w:eastAsia="方正仿宋_GBK"/>
          <w:sz w:val="32"/>
          <w:szCs w:val="32"/>
        </w:rPr>
        <w:t>22年一般公共预算财政拨款基本支出2233.95万元，其中：</w:t>
      </w:r>
    </w:p>
    <w:p>
      <w:pPr>
        <w:spacing w:line="600" w:lineRule="exact"/>
        <w:ind w:firstLine="645"/>
        <w:rPr>
          <w:rFonts w:eastAsia="方正仿宋_GBK"/>
          <w:sz w:val="32"/>
          <w:szCs w:val="32"/>
        </w:rPr>
      </w:pPr>
      <w:r>
        <w:rPr>
          <w:rFonts w:hint="eastAsia" w:eastAsia="方正仿宋_GBK"/>
          <w:sz w:val="32"/>
          <w:szCs w:val="32"/>
        </w:rPr>
        <w:t>人员经费1926.01万元，主要包括：基本工资、津贴补贴、奖金、绩效工资、机关事业单位基本养老保险缴费、职业年金缴费、其他社会保障缴费、其他工资福利支出、抚恤金、生活补助、奖励金、住房公积金、其他对个人和家庭的补助支出等。</w:t>
      </w:r>
      <w:r>
        <w:rPr>
          <w:rFonts w:eastAsia="方正仿宋_GBK"/>
          <w:sz w:val="32"/>
          <w:szCs w:val="32"/>
        </w:rPr>
        <w:br w:type="textWrapping"/>
      </w:r>
      <w:r>
        <w:rPr>
          <w:rFonts w:hint="eastAsia" w:eastAsia="方正仿宋_GBK"/>
          <w:sz w:val="32"/>
          <w:szCs w:val="32"/>
        </w:rPr>
        <w:t>　　公用经费307.94万元，主要包括：办公费、印刷费、咨询费、手续费、水费、电费、邮电费、物业管理费、差旅费、维修费（护）费、租赁费、会议费、培训费、劳务费、工会经费、福利费、其他交通费、其他商品和服务支出、办公设备购置费、专用设备购置费、其他资本性支出等。</w:t>
      </w:r>
    </w:p>
    <w:p>
      <w:pPr>
        <w:tabs>
          <w:tab w:val="right" w:pos="8306"/>
        </w:tabs>
        <w:spacing w:line="600" w:lineRule="exact"/>
        <w:ind w:firstLine="640"/>
        <w:outlineLvl w:val="1"/>
        <w:rPr>
          <w:rFonts w:eastAsia="方正黑体_GBK"/>
          <w:sz w:val="32"/>
          <w:szCs w:val="32"/>
        </w:rPr>
      </w:pPr>
      <w:bookmarkStart w:id="36" w:name="_Toc15377215"/>
      <w:bookmarkStart w:id="37" w:name="_Toc15396609"/>
      <w:r>
        <w:rPr>
          <w:rFonts w:hint="eastAsia" w:eastAsia="方正黑体_GBK"/>
          <w:sz w:val="32"/>
          <w:szCs w:val="32"/>
        </w:rPr>
        <w:t>七、财政拨款“三公”经费支出决算情况说明</w:t>
      </w:r>
      <w:bookmarkEnd w:id="36"/>
      <w:bookmarkEnd w:id="37"/>
    </w:p>
    <w:p>
      <w:pPr>
        <w:spacing w:line="600" w:lineRule="exact"/>
        <w:ind w:firstLine="640"/>
        <w:outlineLvl w:val="2"/>
        <w:rPr>
          <w:rFonts w:ascii="方正楷体简体" w:eastAsia="方正楷体简体"/>
          <w:sz w:val="32"/>
          <w:szCs w:val="32"/>
        </w:rPr>
      </w:pPr>
      <w:bookmarkStart w:id="38" w:name="_Toc15377216"/>
      <w:r>
        <w:rPr>
          <w:rFonts w:hint="eastAsia" w:ascii="方正楷体简体" w:eastAsia="方正楷体简体"/>
          <w:sz w:val="32"/>
          <w:szCs w:val="32"/>
        </w:rPr>
        <w:t>（一）“三公”经费财政拨款支出决算总体情况说明</w:t>
      </w:r>
      <w:bookmarkEnd w:id="38"/>
    </w:p>
    <w:p>
      <w:pPr>
        <w:spacing w:line="578" w:lineRule="exact"/>
        <w:ind w:firstLine="640" w:firstLineChars="200"/>
        <w:rPr>
          <w:rFonts w:eastAsia="方正仿宋_GBK"/>
          <w:sz w:val="32"/>
          <w:szCs w:val="32"/>
        </w:rPr>
      </w:pPr>
      <w:bookmarkStart w:id="39" w:name="_Toc15377217"/>
      <w:r>
        <w:rPr>
          <w:rFonts w:eastAsia="方正仿宋_GBK"/>
          <w:sz w:val="32"/>
          <w:szCs w:val="32"/>
        </w:rPr>
        <w:t>2022年“三公”经费财政拨款支出决算为0万元，完成预算0%，与上年持平，增减变化率0%。决算数与预算数持平。</w:t>
      </w:r>
    </w:p>
    <w:p>
      <w:pPr>
        <w:spacing w:line="600" w:lineRule="exact"/>
        <w:ind w:firstLine="640"/>
        <w:outlineLvl w:val="2"/>
        <w:rPr>
          <w:rFonts w:ascii="方正楷体简体" w:eastAsia="方正楷体简体"/>
          <w:sz w:val="32"/>
          <w:szCs w:val="32"/>
        </w:rPr>
      </w:pPr>
      <w:r>
        <w:rPr>
          <w:rFonts w:hint="eastAsia" w:ascii="方正楷体简体" w:eastAsia="方正楷体简体"/>
          <w:sz w:val="32"/>
          <w:szCs w:val="32"/>
        </w:rPr>
        <w:t>（二）“三公”经费财政拨款支出决算具体情况说明</w:t>
      </w:r>
      <w:bookmarkEnd w:id="39"/>
    </w:p>
    <w:p>
      <w:pPr>
        <w:spacing w:line="600" w:lineRule="exact"/>
        <w:ind w:firstLine="640"/>
        <w:rPr>
          <w:rFonts w:eastAsia="方正仿宋_GBK"/>
          <w:sz w:val="32"/>
          <w:szCs w:val="32"/>
        </w:rPr>
      </w:pPr>
      <w:r>
        <w:rPr>
          <w:rFonts w:eastAsia="方正仿宋_GBK"/>
          <w:sz w:val="32"/>
          <w:szCs w:val="32"/>
        </w:rPr>
        <w:drawing>
          <wp:anchor distT="0" distB="0" distL="114300" distR="114300" simplePos="0" relativeHeight="251664384" behindDoc="0" locked="0" layoutInCell="1" allowOverlap="1">
            <wp:simplePos x="0" y="0"/>
            <wp:positionH relativeFrom="column">
              <wp:posOffset>809625</wp:posOffset>
            </wp:positionH>
            <wp:positionV relativeFrom="paragraph">
              <wp:posOffset>1581150</wp:posOffset>
            </wp:positionV>
            <wp:extent cx="4114800" cy="2475230"/>
            <wp:effectExtent l="19050" t="0" r="0" b="0"/>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2"/>
                    <a:srcRect/>
                    <a:stretch>
                      <a:fillRect/>
                    </a:stretch>
                  </pic:blipFill>
                  <pic:spPr>
                    <a:xfrm>
                      <a:off x="0" y="0"/>
                      <a:ext cx="4114800" cy="2475230"/>
                    </a:xfrm>
                    <a:prstGeom prst="rect">
                      <a:avLst/>
                    </a:prstGeom>
                    <a:noFill/>
                    <a:ln w="9525">
                      <a:noFill/>
                      <a:miter lim="800000"/>
                      <a:headEnd/>
                      <a:tailEnd/>
                    </a:ln>
                  </pic:spPr>
                </pic:pic>
              </a:graphicData>
            </a:graphic>
          </wp:anchor>
        </w:drawing>
      </w:r>
      <w:r>
        <w:rPr>
          <w:rFonts w:eastAsia="方正仿宋_GBK"/>
          <w:sz w:val="32"/>
          <w:szCs w:val="32"/>
        </w:rPr>
        <w:t>20</w:t>
      </w:r>
      <w:r>
        <w:rPr>
          <w:rFonts w:hint="eastAsia" w:eastAsia="方正仿宋_GBK"/>
          <w:sz w:val="32"/>
          <w:szCs w:val="32"/>
        </w:rPr>
        <w:t>22年“三公”经费财政拨款支出决算中，因公出国（境）费支出决算0万元，占0</w:t>
      </w:r>
      <w:r>
        <w:rPr>
          <w:rFonts w:eastAsia="方正仿宋_GBK"/>
          <w:sz w:val="32"/>
          <w:szCs w:val="32"/>
        </w:rPr>
        <w:t>%</w:t>
      </w:r>
      <w:r>
        <w:rPr>
          <w:rFonts w:hint="eastAsia" w:eastAsia="方正仿宋_GBK"/>
          <w:sz w:val="32"/>
          <w:szCs w:val="32"/>
        </w:rPr>
        <w:t>；公务用车购置及运行维护费支出决算0万元，占0</w:t>
      </w:r>
      <w:r>
        <w:rPr>
          <w:rFonts w:eastAsia="方正仿宋_GBK"/>
          <w:sz w:val="32"/>
          <w:szCs w:val="32"/>
        </w:rPr>
        <w:t>%</w:t>
      </w:r>
      <w:r>
        <w:rPr>
          <w:rFonts w:hint="eastAsia" w:eastAsia="方正仿宋_GBK"/>
          <w:sz w:val="32"/>
          <w:szCs w:val="32"/>
        </w:rPr>
        <w:t>；公务接待费支出决算0万元，占0</w:t>
      </w:r>
      <w:r>
        <w:rPr>
          <w:rFonts w:eastAsia="方正仿宋_GBK"/>
          <w:sz w:val="32"/>
          <w:szCs w:val="32"/>
        </w:rPr>
        <w:t>%</w:t>
      </w:r>
      <w:r>
        <w:rPr>
          <w:rFonts w:hint="eastAsia" w:eastAsia="方正仿宋_GBK"/>
          <w:sz w:val="32"/>
          <w:szCs w:val="32"/>
        </w:rPr>
        <w:t>。具体情况如下：</w:t>
      </w:r>
    </w:p>
    <w:p>
      <w:pPr>
        <w:spacing w:line="600" w:lineRule="exact"/>
        <w:ind w:firstLine="640"/>
        <w:jc w:val="center"/>
        <w:rPr>
          <w:rFonts w:eastAsia="方正仿宋_GBK"/>
          <w:sz w:val="32"/>
          <w:szCs w:val="32"/>
        </w:rPr>
      </w:pPr>
      <w:r>
        <w:rPr>
          <w:rFonts w:hint="eastAsia" w:eastAsia="方正仿宋_GBK"/>
          <w:sz w:val="32"/>
          <w:szCs w:val="32"/>
        </w:rPr>
        <w:t>（图7：“三公”经费财政拨款支出结构）</w:t>
      </w:r>
    </w:p>
    <w:p>
      <w:pPr>
        <w:spacing w:line="600" w:lineRule="exact"/>
        <w:ind w:firstLine="640"/>
        <w:rPr>
          <w:rFonts w:eastAsia="方正仿宋_GBK"/>
          <w:sz w:val="32"/>
          <w:szCs w:val="32"/>
        </w:rPr>
      </w:pPr>
      <w:r>
        <w:rPr>
          <w:rFonts w:eastAsia="方正仿宋_GBK"/>
          <w:sz w:val="32"/>
          <w:szCs w:val="32"/>
        </w:rPr>
        <w:t>1.</w:t>
      </w:r>
      <w:r>
        <w:rPr>
          <w:rFonts w:hint="eastAsia" w:eastAsia="方正仿宋_GBK"/>
          <w:sz w:val="32"/>
          <w:szCs w:val="32"/>
        </w:rPr>
        <w:t>因公出国（境）经费支出0万元。全年安排因公出国（境）团组0次，出国（境）0人。</w:t>
      </w:r>
    </w:p>
    <w:p>
      <w:pPr>
        <w:adjustRightInd w:val="0"/>
        <w:snapToGrid w:val="0"/>
        <w:spacing w:line="578"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公务用车购置及运行维护费支出0万元。</w:t>
      </w:r>
      <w:r>
        <w:rPr>
          <w:rFonts w:eastAsia="方正仿宋_GBK"/>
          <w:sz w:val="32"/>
          <w:szCs w:val="32"/>
        </w:rPr>
        <w:t>本单位未购置公务用车。</w:t>
      </w:r>
    </w:p>
    <w:p>
      <w:pPr>
        <w:adjustRightInd w:val="0"/>
        <w:snapToGrid w:val="0"/>
        <w:spacing w:line="578" w:lineRule="exact"/>
        <w:ind w:firstLine="640" w:firstLineChars="200"/>
        <w:rPr>
          <w:rFonts w:eastAsia="方正仿宋_GBK"/>
          <w:sz w:val="32"/>
          <w:szCs w:val="32"/>
        </w:rPr>
      </w:pPr>
      <w:r>
        <w:rPr>
          <w:rFonts w:eastAsia="方正仿宋_GBK"/>
          <w:sz w:val="32"/>
          <w:szCs w:val="32"/>
        </w:rPr>
        <w:t>3.</w:t>
      </w:r>
      <w:r>
        <w:rPr>
          <w:rFonts w:hint="eastAsia" w:eastAsia="方正仿宋_GBK"/>
          <w:sz w:val="32"/>
          <w:szCs w:val="32"/>
        </w:rPr>
        <w:t>公务接待费支出0万元。</w:t>
      </w:r>
      <w:bookmarkStart w:id="40" w:name="_Toc15396610"/>
      <w:bookmarkStart w:id="41" w:name="_Toc15377218"/>
      <w:r>
        <w:rPr>
          <w:rFonts w:eastAsia="方正仿宋_GBK"/>
          <w:sz w:val="32"/>
          <w:szCs w:val="32"/>
        </w:rPr>
        <w:t>完成预算0%。公务接待费支出决算与2021年持平。</w:t>
      </w:r>
    </w:p>
    <w:p>
      <w:pPr>
        <w:adjustRightInd w:val="0"/>
        <w:snapToGrid w:val="0"/>
        <w:spacing w:line="578" w:lineRule="exact"/>
        <w:ind w:firstLine="640" w:firstLineChars="200"/>
        <w:rPr>
          <w:rFonts w:eastAsia="方正仿宋_GBK"/>
          <w:sz w:val="32"/>
          <w:szCs w:val="32"/>
        </w:rPr>
      </w:pPr>
      <w:r>
        <w:rPr>
          <w:rFonts w:eastAsia="方正仿宋_GBK"/>
          <w:sz w:val="32"/>
          <w:szCs w:val="32"/>
        </w:rPr>
        <w:t>国内公务接待支出0万元。国内公务接待0批次，0人次（不包括陪同人员），共计支出0万元。</w:t>
      </w:r>
    </w:p>
    <w:p>
      <w:pPr>
        <w:adjustRightInd w:val="0"/>
        <w:snapToGrid w:val="0"/>
        <w:spacing w:line="578" w:lineRule="exact"/>
        <w:ind w:firstLine="640" w:firstLineChars="200"/>
        <w:rPr>
          <w:rFonts w:eastAsia="方正仿宋_GBK"/>
          <w:sz w:val="32"/>
          <w:szCs w:val="32"/>
        </w:rPr>
      </w:pPr>
      <w:r>
        <w:rPr>
          <w:rFonts w:eastAsia="方正仿宋_GBK"/>
          <w:sz w:val="32"/>
          <w:szCs w:val="32"/>
        </w:rPr>
        <w:t>外事接待支出0万元。外事接待0批次，0人次（不包括陪同人员），共计支出0万元。</w:t>
      </w:r>
    </w:p>
    <w:p>
      <w:pPr>
        <w:tabs>
          <w:tab w:val="right" w:pos="8306"/>
        </w:tabs>
        <w:spacing w:line="600" w:lineRule="exact"/>
        <w:ind w:firstLine="640"/>
        <w:outlineLvl w:val="1"/>
        <w:rPr>
          <w:rFonts w:eastAsia="方正黑体_GBK"/>
          <w:sz w:val="32"/>
          <w:szCs w:val="32"/>
        </w:rPr>
      </w:pPr>
      <w:r>
        <w:rPr>
          <w:rFonts w:hint="eastAsia" w:eastAsia="方正黑体_GBK"/>
          <w:sz w:val="32"/>
          <w:szCs w:val="32"/>
        </w:rPr>
        <w:t>八、政府性基金预算支出决算情况说明</w:t>
      </w:r>
      <w:bookmarkEnd w:id="40"/>
      <w:bookmarkEnd w:id="41"/>
    </w:p>
    <w:p>
      <w:pPr>
        <w:spacing w:line="600" w:lineRule="exact"/>
        <w:ind w:firstLine="640"/>
        <w:rPr>
          <w:rFonts w:eastAsia="方正仿宋_GBK"/>
          <w:sz w:val="32"/>
          <w:szCs w:val="32"/>
        </w:rPr>
      </w:pPr>
      <w:r>
        <w:rPr>
          <w:rFonts w:eastAsia="方正仿宋_GBK"/>
          <w:sz w:val="32"/>
          <w:szCs w:val="32"/>
        </w:rPr>
        <w:t>20</w:t>
      </w:r>
      <w:r>
        <w:rPr>
          <w:rFonts w:hint="eastAsia" w:eastAsia="方正仿宋_GBK"/>
          <w:sz w:val="32"/>
          <w:szCs w:val="32"/>
        </w:rPr>
        <w:t>22年政府性基金预算财政拨款支出0万元。</w:t>
      </w:r>
    </w:p>
    <w:p>
      <w:pPr>
        <w:numPr>
          <w:ilvl w:val="0"/>
          <w:numId w:val="2"/>
        </w:numPr>
        <w:spacing w:line="600" w:lineRule="exact"/>
        <w:ind w:firstLine="640"/>
        <w:outlineLvl w:val="1"/>
        <w:rPr>
          <w:rFonts w:eastAsia="方正黑体_GBK"/>
          <w:sz w:val="32"/>
          <w:szCs w:val="32"/>
        </w:rPr>
      </w:pPr>
      <w:bookmarkStart w:id="42" w:name="_Toc15396611"/>
      <w:bookmarkStart w:id="43" w:name="_Toc15377219"/>
      <w:r>
        <w:rPr>
          <w:rFonts w:hint="eastAsia" w:eastAsia="方正黑体_GBK"/>
          <w:sz w:val="32"/>
          <w:szCs w:val="32"/>
        </w:rPr>
        <w:t>国有资本经营预算支出决算情况说明</w:t>
      </w:r>
      <w:bookmarkEnd w:id="42"/>
      <w:bookmarkEnd w:id="43"/>
    </w:p>
    <w:p>
      <w:pPr>
        <w:spacing w:line="600" w:lineRule="exact"/>
        <w:ind w:firstLine="640"/>
        <w:rPr>
          <w:rFonts w:eastAsia="方正仿宋_GBK"/>
          <w:sz w:val="32"/>
          <w:szCs w:val="32"/>
        </w:rPr>
      </w:pPr>
      <w:r>
        <w:rPr>
          <w:rFonts w:eastAsia="方正仿宋_GBK"/>
          <w:sz w:val="32"/>
          <w:szCs w:val="32"/>
        </w:rPr>
        <w:t>20</w:t>
      </w:r>
      <w:r>
        <w:rPr>
          <w:rFonts w:hint="eastAsia" w:eastAsia="方正仿宋_GBK"/>
          <w:sz w:val="32"/>
          <w:szCs w:val="32"/>
        </w:rPr>
        <w:t>22年国有资本经营预算财政拨款支出0万元。</w:t>
      </w:r>
    </w:p>
    <w:p>
      <w:pPr>
        <w:numPr>
          <w:ilvl w:val="0"/>
          <w:numId w:val="2"/>
        </w:numPr>
        <w:spacing w:line="600" w:lineRule="exact"/>
        <w:ind w:firstLine="640"/>
        <w:outlineLvl w:val="1"/>
        <w:rPr>
          <w:rFonts w:eastAsia="方正黑体_GBK"/>
          <w:sz w:val="32"/>
          <w:szCs w:val="32"/>
        </w:rPr>
      </w:pPr>
      <w:bookmarkStart w:id="44" w:name="_Toc15396612"/>
      <w:bookmarkStart w:id="45" w:name="_Toc15377221"/>
      <w:r>
        <w:rPr>
          <w:rFonts w:hint="eastAsia" w:eastAsia="方正黑体_GBK"/>
          <w:sz w:val="32"/>
          <w:szCs w:val="32"/>
        </w:rPr>
        <w:t>其他重要事项的情况说明</w:t>
      </w:r>
      <w:bookmarkEnd w:id="44"/>
      <w:bookmarkEnd w:id="45"/>
    </w:p>
    <w:p>
      <w:pPr>
        <w:spacing w:line="600" w:lineRule="exact"/>
        <w:ind w:firstLine="640" w:firstLineChars="200"/>
        <w:outlineLvl w:val="2"/>
        <w:rPr>
          <w:rFonts w:ascii="方正楷体简体" w:eastAsia="方正楷体简体"/>
          <w:sz w:val="32"/>
          <w:szCs w:val="32"/>
        </w:rPr>
      </w:pPr>
      <w:bookmarkStart w:id="46" w:name="_Toc15377222"/>
      <w:r>
        <w:rPr>
          <w:rFonts w:hint="eastAsia" w:ascii="方正楷体简体" w:eastAsia="方正楷体简体"/>
          <w:sz w:val="32"/>
          <w:szCs w:val="32"/>
        </w:rPr>
        <w:t>（一）机关运行经费支出情况</w:t>
      </w:r>
      <w:bookmarkEnd w:id="46"/>
    </w:p>
    <w:p>
      <w:pPr>
        <w:spacing w:line="600" w:lineRule="exact"/>
        <w:ind w:firstLine="640" w:firstLineChars="200"/>
        <w:rPr>
          <w:rFonts w:eastAsia="方正仿宋_GBK"/>
          <w:sz w:val="32"/>
          <w:szCs w:val="32"/>
        </w:rPr>
      </w:pPr>
      <w:r>
        <w:rPr>
          <w:rFonts w:eastAsia="方正仿宋_GBK"/>
          <w:sz w:val="32"/>
          <w:szCs w:val="32"/>
        </w:rPr>
        <w:t>20</w:t>
      </w:r>
      <w:r>
        <w:rPr>
          <w:rFonts w:hint="eastAsia" w:eastAsia="方正仿宋_GBK"/>
          <w:sz w:val="32"/>
          <w:szCs w:val="32"/>
        </w:rPr>
        <w:t>22年，本单位机关运行经费支出0万元，</w:t>
      </w:r>
      <w:r>
        <w:rPr>
          <w:rFonts w:eastAsia="方正仿宋_GBK"/>
          <w:sz w:val="32"/>
          <w:szCs w:val="32"/>
        </w:rPr>
        <w:t>无机关运行经费支出。</w:t>
      </w:r>
    </w:p>
    <w:p>
      <w:pPr>
        <w:autoSpaceDE w:val="0"/>
        <w:autoSpaceDN w:val="0"/>
        <w:adjustRightInd w:val="0"/>
        <w:spacing w:line="600" w:lineRule="exact"/>
        <w:ind w:firstLine="640" w:firstLineChars="200"/>
        <w:jc w:val="left"/>
        <w:outlineLvl w:val="2"/>
        <w:rPr>
          <w:rFonts w:ascii="方正楷体简体" w:eastAsia="方正楷体简体"/>
          <w:sz w:val="32"/>
          <w:szCs w:val="32"/>
        </w:rPr>
      </w:pPr>
      <w:bookmarkStart w:id="47" w:name="_Toc15377223"/>
      <w:r>
        <w:rPr>
          <w:rFonts w:hint="eastAsia" w:ascii="方正楷体简体" w:eastAsia="方正楷体简体"/>
          <w:sz w:val="32"/>
          <w:szCs w:val="32"/>
        </w:rPr>
        <w:t>（二）政府采购支出情况</w:t>
      </w:r>
      <w:bookmarkEnd w:id="47"/>
    </w:p>
    <w:p>
      <w:pPr>
        <w:spacing w:line="600" w:lineRule="exact"/>
        <w:ind w:firstLine="640" w:firstLineChars="200"/>
        <w:rPr>
          <w:rFonts w:eastAsia="方正仿宋_GBK"/>
          <w:sz w:val="32"/>
          <w:szCs w:val="32"/>
        </w:rPr>
      </w:pPr>
      <w:r>
        <w:rPr>
          <w:rFonts w:eastAsia="方正仿宋_GBK"/>
          <w:sz w:val="32"/>
          <w:szCs w:val="32"/>
        </w:rPr>
        <w:t>20</w:t>
      </w:r>
      <w:r>
        <w:rPr>
          <w:rFonts w:hint="eastAsia" w:eastAsia="方正仿宋_GBK"/>
          <w:sz w:val="32"/>
          <w:szCs w:val="32"/>
        </w:rPr>
        <w:t>22年，本单位政府采购支出总额20.50万元，其中：政府采购货物支出20.50万元、政府采购工程支出0万元、政府采购服务支出0万元。主要用于设备设施的采购。授予中小企业合同金额20.5万元，占政府采购支出总额的100</w:t>
      </w:r>
      <w:r>
        <w:rPr>
          <w:rFonts w:eastAsia="方正仿宋_GBK"/>
          <w:sz w:val="32"/>
          <w:szCs w:val="32"/>
        </w:rPr>
        <w:t>%</w:t>
      </w:r>
      <w:r>
        <w:rPr>
          <w:rFonts w:hint="eastAsia" w:eastAsia="方正仿宋_GBK"/>
          <w:sz w:val="32"/>
          <w:szCs w:val="32"/>
        </w:rPr>
        <w:t>，其中：授予小微企业合同金额20.5万元，占政府采购支出总额的100</w:t>
      </w:r>
      <w:r>
        <w:rPr>
          <w:rFonts w:eastAsia="方正仿宋_GBK"/>
          <w:sz w:val="32"/>
          <w:szCs w:val="32"/>
        </w:rPr>
        <w:t>%</w:t>
      </w:r>
      <w:r>
        <w:rPr>
          <w:rFonts w:hint="eastAsia" w:eastAsia="方正仿宋_GBK"/>
          <w:sz w:val="32"/>
          <w:szCs w:val="32"/>
        </w:rPr>
        <w:t>。</w:t>
      </w:r>
    </w:p>
    <w:p>
      <w:pPr>
        <w:autoSpaceDE w:val="0"/>
        <w:autoSpaceDN w:val="0"/>
        <w:adjustRightInd w:val="0"/>
        <w:spacing w:line="600" w:lineRule="exact"/>
        <w:ind w:firstLine="640" w:firstLineChars="200"/>
        <w:jc w:val="left"/>
        <w:outlineLvl w:val="2"/>
        <w:rPr>
          <w:rFonts w:ascii="方正楷体简体" w:eastAsia="方正楷体简体"/>
          <w:sz w:val="32"/>
          <w:szCs w:val="32"/>
        </w:rPr>
      </w:pPr>
      <w:bookmarkStart w:id="48" w:name="_Toc15377224"/>
      <w:r>
        <w:rPr>
          <w:rFonts w:hint="eastAsia" w:ascii="方正楷体简体" w:eastAsia="方正楷体简体"/>
          <w:sz w:val="32"/>
          <w:szCs w:val="32"/>
        </w:rPr>
        <w:t>（三）国有资产占有使用情况</w:t>
      </w:r>
      <w:bookmarkEnd w:id="48"/>
    </w:p>
    <w:p>
      <w:pPr>
        <w:autoSpaceDE w:val="0"/>
        <w:autoSpaceDN w:val="0"/>
        <w:adjustRightInd w:val="0"/>
        <w:spacing w:line="578" w:lineRule="exact"/>
        <w:ind w:firstLine="640" w:firstLineChars="200"/>
        <w:rPr>
          <w:rFonts w:eastAsia="方正仿宋_GBK"/>
          <w:sz w:val="32"/>
          <w:szCs w:val="32"/>
        </w:rPr>
      </w:pPr>
      <w:r>
        <w:rPr>
          <w:rFonts w:eastAsia="方正仿宋_GBK"/>
          <w:sz w:val="32"/>
          <w:szCs w:val="32"/>
        </w:rPr>
        <w:t>截至2022年12月31日，达川区</w:t>
      </w:r>
      <w:r>
        <w:rPr>
          <w:rFonts w:hint="eastAsia" w:eastAsia="方正仿宋_GBK"/>
          <w:sz w:val="32"/>
          <w:szCs w:val="32"/>
        </w:rPr>
        <w:t>实验小学</w:t>
      </w:r>
      <w:r>
        <w:rPr>
          <w:rFonts w:eastAsia="方正仿宋_GBK"/>
          <w:sz w:val="32"/>
          <w:szCs w:val="32"/>
        </w:rPr>
        <w:t>共有车辆0辆，其中：主要领导干部用车0辆、机要通信车0辆、应急保障用车0辆、其他用车0辆。单价100万元以上专用设备0台（套）。</w:t>
      </w:r>
    </w:p>
    <w:p>
      <w:pPr>
        <w:autoSpaceDE w:val="0"/>
        <w:autoSpaceDN w:val="0"/>
        <w:adjustRightInd w:val="0"/>
        <w:spacing w:line="578" w:lineRule="exact"/>
        <w:ind w:firstLine="640" w:firstLineChars="200"/>
        <w:rPr>
          <w:rFonts w:ascii="方正楷体简体" w:eastAsia="方正楷体简体"/>
          <w:sz w:val="32"/>
          <w:szCs w:val="32"/>
        </w:rPr>
      </w:pPr>
      <w:r>
        <w:rPr>
          <w:rFonts w:ascii="方正楷体简体" w:eastAsia="方正楷体简体"/>
          <w:sz w:val="32"/>
          <w:szCs w:val="32"/>
        </w:rPr>
        <w:t>（四）预算绩效管理情况</w:t>
      </w:r>
    </w:p>
    <w:p>
      <w:pPr>
        <w:widowControl/>
        <w:spacing w:line="578" w:lineRule="exact"/>
        <w:ind w:firstLine="640" w:firstLineChars="200"/>
        <w:rPr>
          <w:rFonts w:eastAsia="方正仿宋_GBK"/>
          <w:sz w:val="32"/>
          <w:szCs w:val="32"/>
        </w:rPr>
      </w:pPr>
      <w:r>
        <w:rPr>
          <w:rFonts w:eastAsia="方正仿宋_GBK"/>
          <w:sz w:val="32"/>
          <w:szCs w:val="32"/>
        </w:rPr>
        <w:t>根据预算绩效管理要求，本部门在2022年度预算编制阶段，组织对0个项目开展了预算事前绩效评估，对达川区实验小学</w:t>
      </w:r>
      <w:r>
        <w:rPr>
          <w:rFonts w:hint="eastAsia" w:eastAsia="方正仿宋_GBK"/>
          <w:sz w:val="32"/>
          <w:szCs w:val="32"/>
        </w:rPr>
        <w:t>安保服务</w:t>
      </w:r>
      <w:r>
        <w:rPr>
          <w:rFonts w:eastAsia="方正仿宋_GBK"/>
          <w:sz w:val="32"/>
          <w:szCs w:val="32"/>
        </w:rPr>
        <w:t>等</w:t>
      </w:r>
      <w:r>
        <w:rPr>
          <w:rFonts w:hint="eastAsia" w:eastAsia="方正仿宋_GBK"/>
          <w:sz w:val="32"/>
          <w:szCs w:val="32"/>
        </w:rPr>
        <w:t>1</w:t>
      </w:r>
      <w:r>
        <w:rPr>
          <w:rFonts w:eastAsia="方正仿宋_GBK"/>
          <w:sz w:val="32"/>
          <w:szCs w:val="32"/>
        </w:rPr>
        <w:t>个项目编制了绩效目标，预算执行过程中，选取达川区实验小学</w:t>
      </w:r>
      <w:r>
        <w:rPr>
          <w:rFonts w:hint="eastAsia" w:eastAsia="方正仿宋_GBK"/>
          <w:sz w:val="32"/>
          <w:szCs w:val="32"/>
        </w:rPr>
        <w:t>购买安保服务</w:t>
      </w:r>
      <w:r>
        <w:rPr>
          <w:rFonts w:eastAsia="方正仿宋_GBK"/>
          <w:sz w:val="32"/>
          <w:szCs w:val="32"/>
        </w:rPr>
        <w:t>等</w:t>
      </w:r>
      <w:r>
        <w:rPr>
          <w:rFonts w:hint="eastAsia" w:eastAsia="方正仿宋_GBK"/>
          <w:sz w:val="32"/>
          <w:szCs w:val="32"/>
        </w:rPr>
        <w:t>1</w:t>
      </w:r>
      <w:r>
        <w:rPr>
          <w:rFonts w:eastAsia="方正仿宋_GBK"/>
          <w:sz w:val="32"/>
          <w:szCs w:val="32"/>
        </w:rPr>
        <w:t>个项目开展绩效监控。</w:t>
      </w:r>
    </w:p>
    <w:p>
      <w:pPr>
        <w:widowControl/>
        <w:spacing w:line="578" w:lineRule="exact"/>
        <w:ind w:firstLine="640" w:firstLineChars="200"/>
        <w:rPr>
          <w:rFonts w:eastAsia="方正仿宋_GBK"/>
          <w:sz w:val="32"/>
          <w:szCs w:val="32"/>
        </w:rPr>
      </w:pPr>
      <w:r>
        <w:rPr>
          <w:rFonts w:eastAsia="方正仿宋_GBK"/>
          <w:sz w:val="32"/>
          <w:szCs w:val="32"/>
        </w:rPr>
        <w:t>本部门组织对2022年度一般公共预算、政府性基金预算、国有资本经营预算、社会保险基金预算以及资本资产、债券资金等全面开展绩效自评，形成达川区实验小学部门整体（含部门预算项目）绩效自评报告、达川区实验小学</w:t>
      </w:r>
      <w:r>
        <w:rPr>
          <w:rFonts w:hint="eastAsia" w:eastAsia="方正仿宋_GBK"/>
          <w:sz w:val="32"/>
          <w:szCs w:val="32"/>
        </w:rPr>
        <w:t>购买安保服务</w:t>
      </w:r>
      <w:r>
        <w:rPr>
          <w:rFonts w:eastAsia="方正仿宋_GBK"/>
          <w:sz w:val="32"/>
          <w:szCs w:val="32"/>
        </w:rPr>
        <w:t>等专项预算项目绩效自评报告，其中，达川区实验小学部门整体（含部门预算项目）绩效自评得分为8</w:t>
      </w:r>
      <w:r>
        <w:rPr>
          <w:rFonts w:hint="eastAsia" w:eastAsia="方正仿宋_GBK"/>
          <w:sz w:val="32"/>
          <w:szCs w:val="32"/>
        </w:rPr>
        <w:t>2</w:t>
      </w:r>
      <w:r>
        <w:rPr>
          <w:rFonts w:eastAsia="方正仿宋_GBK"/>
          <w:sz w:val="32"/>
          <w:szCs w:val="32"/>
        </w:rPr>
        <w:t>分，绩效自评综述：按照2022年度区级部门整体支出绩效评价指标体系，绩效评价总分90分，我单位得分8</w:t>
      </w:r>
      <w:r>
        <w:rPr>
          <w:rFonts w:hint="eastAsia" w:eastAsia="方正仿宋_GBK"/>
          <w:sz w:val="32"/>
          <w:szCs w:val="32"/>
        </w:rPr>
        <w:t>2</w:t>
      </w:r>
      <w:r>
        <w:rPr>
          <w:rFonts w:eastAsia="方正仿宋_GBK"/>
          <w:sz w:val="32"/>
          <w:szCs w:val="32"/>
        </w:rPr>
        <w:t>分（详见《2023年整体支出绩效评价指标体系表》）。基本完成了年度预算绩效管理目标，扣分项主要涉及预算调整金额偏大和个别时间节点</w:t>
      </w:r>
      <w:r>
        <w:rPr>
          <w:rFonts w:hint="eastAsia" w:eastAsia="方正仿宋_GBK"/>
          <w:sz w:val="32"/>
          <w:szCs w:val="32"/>
        </w:rPr>
        <w:t>，</w:t>
      </w:r>
      <w:r>
        <w:rPr>
          <w:rFonts w:eastAsia="方正仿宋_GBK"/>
          <w:sz w:val="32"/>
          <w:szCs w:val="32"/>
        </w:rPr>
        <w:t>预算执行进度不高。</w:t>
      </w:r>
    </w:p>
    <w:p>
      <w:pPr>
        <w:widowControl/>
        <w:spacing w:line="578"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.达川区实验小学购买安保服务专项预算项目绩效自评得分为100分，绩效自评综述：该项目在年初制定申报财政预算金额共</w:t>
      </w:r>
      <w:r>
        <w:rPr>
          <w:rFonts w:hint="eastAsia" w:eastAsia="方正仿宋_GBK"/>
          <w:sz w:val="32"/>
          <w:szCs w:val="32"/>
        </w:rPr>
        <w:t>16.5</w:t>
      </w:r>
      <w:r>
        <w:rPr>
          <w:rFonts w:eastAsia="方正仿宋_GBK"/>
          <w:sz w:val="32"/>
          <w:szCs w:val="32"/>
        </w:rPr>
        <w:t>万元，区财政局年初预算下达</w:t>
      </w:r>
      <w:r>
        <w:rPr>
          <w:rFonts w:hint="eastAsia" w:eastAsia="方正仿宋_GBK"/>
          <w:sz w:val="32"/>
          <w:szCs w:val="32"/>
        </w:rPr>
        <w:t>16.5</w:t>
      </w:r>
      <w:r>
        <w:rPr>
          <w:rFonts w:eastAsia="方正仿宋_GBK"/>
          <w:sz w:val="32"/>
          <w:szCs w:val="32"/>
        </w:rPr>
        <w:t>万元，年底实际下达</w:t>
      </w:r>
      <w:r>
        <w:rPr>
          <w:rFonts w:hint="eastAsia" w:eastAsia="方正仿宋_GBK"/>
          <w:sz w:val="32"/>
          <w:szCs w:val="32"/>
        </w:rPr>
        <w:t>16.5</w:t>
      </w:r>
      <w:r>
        <w:rPr>
          <w:rFonts w:eastAsia="方正仿宋_GBK"/>
          <w:sz w:val="32"/>
          <w:szCs w:val="32"/>
        </w:rPr>
        <w:t>万元。项目目标全部顺利完成，在项目管理上严格按照项目预算批复，项目批复后严格按专项资金有关规定执行，在项目完成上严格按照申报计划和上级批复要求进行实施，按质按量全面完成，并通过验收。</w:t>
      </w:r>
    </w:p>
    <w:p>
      <w:pPr>
        <w:widowControl/>
        <w:spacing w:line="578" w:lineRule="exact"/>
        <w:ind w:firstLine="640" w:firstLineChars="200"/>
        <w:rPr>
          <w:rFonts w:eastAsia="方正仿宋_GBK"/>
          <w:sz w:val="32"/>
          <w:szCs w:val="32"/>
        </w:rPr>
      </w:pPr>
      <w:r>
        <w:rPr>
          <w:rFonts w:eastAsia="方正仿宋_GBK"/>
          <w:sz w:val="32"/>
          <w:szCs w:val="32"/>
        </w:rPr>
        <w:t>绩效自评报告详见附件。</w:t>
      </w:r>
    </w:p>
    <w:p>
      <w:pPr>
        <w:widowControl/>
        <w:ind w:firstLine="640" w:firstLineChars="200"/>
        <w:jc w:val="left"/>
        <w:rPr>
          <w:rFonts w:eastAsia="方正仿宋_GBK"/>
          <w:sz w:val="32"/>
          <w:szCs w:val="32"/>
        </w:rPr>
      </w:pPr>
      <w:r>
        <w:rPr>
          <w:rFonts w:eastAsia="方正仿宋_GBK"/>
          <w:sz w:val="32"/>
          <w:szCs w:val="32"/>
        </w:rPr>
        <w:br w:type="page"/>
      </w:r>
    </w:p>
    <w:p>
      <w:pPr>
        <w:numPr>
          <w:ilvl w:val="0"/>
          <w:numId w:val="3"/>
        </w:numPr>
        <w:spacing w:line="600" w:lineRule="exact"/>
        <w:ind w:firstLine="660" w:firstLineChars="150"/>
        <w:jc w:val="center"/>
        <w:outlineLvl w:val="0"/>
        <w:rPr>
          <w:rStyle w:val="27"/>
          <w:rFonts w:ascii="方正小标宋简体" w:eastAsia="方正小标宋简体"/>
          <w:b w:val="0"/>
        </w:rPr>
      </w:pPr>
      <w:bookmarkStart w:id="49" w:name="_Toc15377225"/>
      <w:bookmarkStart w:id="50" w:name="_Toc15396613"/>
      <w:bookmarkStart w:id="51" w:name="_Toc15396614"/>
      <w:bookmarkStart w:id="52" w:name="_Toc15377226"/>
      <w:r>
        <w:rPr>
          <w:rFonts w:hint="eastAsia" w:ascii="方正小标宋简体" w:eastAsia="方正小标宋简体"/>
          <w:sz w:val="44"/>
          <w:szCs w:val="44"/>
        </w:rPr>
        <w:t>名</w:t>
      </w:r>
      <w:r>
        <w:rPr>
          <w:rStyle w:val="27"/>
          <w:rFonts w:hint="eastAsia" w:ascii="方正小标宋简体" w:eastAsia="方正小标宋简体"/>
          <w:b w:val="0"/>
        </w:rPr>
        <w:t>词解释</w:t>
      </w:r>
      <w:bookmarkEnd w:id="49"/>
      <w:bookmarkEnd w:id="50"/>
    </w:p>
    <w:p>
      <w:pPr>
        <w:spacing w:line="600" w:lineRule="exact"/>
        <w:jc w:val="left"/>
        <w:rPr>
          <w:b/>
          <w:sz w:val="44"/>
          <w:szCs w:val="44"/>
        </w:rPr>
      </w:pPr>
    </w:p>
    <w:p>
      <w:pPr>
        <w:pStyle w:val="18"/>
        <w:spacing w:line="578" w:lineRule="exact"/>
        <w:ind w:firstLine="640" w:firstLineChars="200"/>
        <w:rPr>
          <w:rFonts w:ascii="Times New Roman" w:hAnsi="Times New Roman" w:eastAsia="方正仿宋_GBK" w:cs="Times New Roman"/>
          <w:color w:val="auto"/>
          <w:kern w:val="2"/>
          <w:sz w:val="32"/>
          <w:szCs w:val="32"/>
        </w:rPr>
      </w:pPr>
      <w:r>
        <w:rPr>
          <w:rFonts w:ascii="Times New Roman" w:hAnsi="Times New Roman" w:eastAsia="方正仿宋_GBK" w:cs="Times New Roman"/>
          <w:color w:val="auto"/>
          <w:kern w:val="2"/>
          <w:sz w:val="32"/>
          <w:szCs w:val="32"/>
        </w:rPr>
        <w:t>1.财政拨款收入：指单位从同级财政部门取得的财政预算资金。</w:t>
      </w:r>
    </w:p>
    <w:p>
      <w:pPr>
        <w:pStyle w:val="18"/>
        <w:spacing w:line="578" w:lineRule="exact"/>
        <w:ind w:firstLine="640" w:firstLineChars="200"/>
        <w:rPr>
          <w:rFonts w:ascii="Times New Roman" w:hAnsi="Times New Roman" w:eastAsia="方正仿宋_GBK" w:cs="Times New Roman"/>
          <w:color w:val="auto"/>
          <w:kern w:val="2"/>
          <w:sz w:val="32"/>
          <w:szCs w:val="32"/>
        </w:rPr>
      </w:pPr>
      <w:r>
        <w:rPr>
          <w:rFonts w:ascii="Times New Roman" w:hAnsi="Times New Roman" w:eastAsia="方正仿宋_GBK" w:cs="Times New Roman"/>
          <w:color w:val="auto"/>
          <w:kern w:val="2"/>
          <w:sz w:val="32"/>
          <w:szCs w:val="32"/>
        </w:rPr>
        <w:t>2.事业收入：指事业单位开展专业业务活动及辅助活动取得的收入。</w:t>
      </w:r>
    </w:p>
    <w:p>
      <w:pPr>
        <w:pStyle w:val="18"/>
        <w:spacing w:line="578" w:lineRule="exact"/>
        <w:ind w:firstLine="640" w:firstLineChars="200"/>
        <w:rPr>
          <w:rFonts w:ascii="Times New Roman" w:hAnsi="Times New Roman" w:eastAsia="方正仿宋_GBK" w:cs="Times New Roman"/>
          <w:color w:val="auto"/>
          <w:kern w:val="2"/>
          <w:sz w:val="32"/>
          <w:szCs w:val="32"/>
        </w:rPr>
      </w:pPr>
      <w:r>
        <w:rPr>
          <w:rFonts w:ascii="Times New Roman" w:hAnsi="Times New Roman" w:eastAsia="方正仿宋_GBK" w:cs="Times New Roman"/>
          <w:color w:val="auto"/>
          <w:kern w:val="2"/>
          <w:sz w:val="32"/>
          <w:szCs w:val="32"/>
        </w:rPr>
        <w:t>3.经营收入：指事业单位在专业业务活动及其辅助活动之外开展非独立核算经营活动取得的收入。</w:t>
      </w:r>
    </w:p>
    <w:p>
      <w:pPr>
        <w:pStyle w:val="18"/>
        <w:spacing w:line="578" w:lineRule="exact"/>
        <w:ind w:firstLine="640" w:firstLineChars="200"/>
        <w:rPr>
          <w:rFonts w:ascii="Times New Roman" w:hAnsi="Times New Roman" w:eastAsia="方正仿宋_GBK" w:cs="Times New Roman"/>
          <w:color w:val="auto"/>
          <w:kern w:val="2"/>
          <w:sz w:val="32"/>
          <w:szCs w:val="32"/>
        </w:rPr>
      </w:pPr>
      <w:r>
        <w:rPr>
          <w:rFonts w:ascii="Times New Roman" w:hAnsi="Times New Roman" w:eastAsia="方正仿宋_GBK" w:cs="Times New Roman"/>
          <w:color w:val="auto"/>
          <w:kern w:val="2"/>
          <w:sz w:val="32"/>
          <w:szCs w:val="32"/>
        </w:rPr>
        <w:t>4.其他收入：指单位取得的除上述收入以外的各项收入。</w:t>
      </w:r>
    </w:p>
    <w:p>
      <w:pPr>
        <w:pStyle w:val="18"/>
        <w:spacing w:line="578" w:lineRule="exact"/>
        <w:ind w:firstLine="640" w:firstLineChars="200"/>
        <w:rPr>
          <w:rFonts w:ascii="Times New Roman" w:hAnsi="Times New Roman" w:eastAsia="方正仿宋_GBK" w:cs="Times New Roman"/>
          <w:color w:val="auto"/>
          <w:kern w:val="2"/>
          <w:sz w:val="32"/>
          <w:szCs w:val="32"/>
        </w:rPr>
      </w:pPr>
      <w:r>
        <w:rPr>
          <w:rFonts w:ascii="Times New Roman" w:hAnsi="Times New Roman" w:eastAsia="方正仿宋_GBK" w:cs="Times New Roman"/>
          <w:color w:val="auto"/>
          <w:kern w:val="2"/>
          <w:sz w:val="32"/>
          <w:szCs w:val="32"/>
        </w:rPr>
        <w:t>5.使用非财政拨款结余：指事业单位使用以前年度积累的非财政拨款结余弥补当年收支差额的金额。</w:t>
      </w:r>
    </w:p>
    <w:p>
      <w:pPr>
        <w:pStyle w:val="18"/>
        <w:spacing w:line="578" w:lineRule="exact"/>
        <w:ind w:firstLine="640" w:firstLineChars="200"/>
        <w:rPr>
          <w:rFonts w:ascii="Times New Roman" w:hAnsi="Times New Roman" w:eastAsia="方正仿宋_GBK" w:cs="Times New Roman"/>
          <w:color w:val="auto"/>
          <w:kern w:val="2"/>
          <w:sz w:val="32"/>
          <w:szCs w:val="32"/>
        </w:rPr>
      </w:pPr>
      <w:r>
        <w:rPr>
          <w:rFonts w:ascii="Times New Roman" w:hAnsi="Times New Roman" w:eastAsia="方正仿宋_GBK" w:cs="Times New Roman"/>
          <w:color w:val="auto"/>
          <w:kern w:val="2"/>
          <w:sz w:val="32"/>
          <w:szCs w:val="32"/>
        </w:rPr>
        <w:t>6.年初结转和结余：指以前年度尚未完成、结转到本年按有关规定继续使用的资金。</w:t>
      </w:r>
    </w:p>
    <w:p>
      <w:pPr>
        <w:pStyle w:val="18"/>
        <w:spacing w:line="578" w:lineRule="exact"/>
        <w:ind w:firstLine="640" w:firstLineChars="200"/>
        <w:rPr>
          <w:rFonts w:ascii="Times New Roman" w:hAnsi="Times New Roman" w:eastAsia="方正仿宋_GBK" w:cs="Times New Roman"/>
          <w:color w:val="auto"/>
          <w:kern w:val="2"/>
          <w:sz w:val="32"/>
          <w:szCs w:val="32"/>
        </w:rPr>
      </w:pPr>
      <w:r>
        <w:rPr>
          <w:rFonts w:ascii="Times New Roman" w:hAnsi="Times New Roman" w:eastAsia="方正仿宋_GBK" w:cs="Times New Roman"/>
          <w:color w:val="auto"/>
          <w:kern w:val="2"/>
          <w:sz w:val="32"/>
          <w:szCs w:val="32"/>
        </w:rPr>
        <w:t>7.结余分配：指事业单位按照会计制度规定缴纳的所得税、提取的专用结余以及转入非财政拨款结余的金额等。</w:t>
      </w:r>
    </w:p>
    <w:p>
      <w:pPr>
        <w:pStyle w:val="18"/>
        <w:spacing w:line="578" w:lineRule="exact"/>
        <w:ind w:firstLine="640" w:firstLineChars="200"/>
        <w:rPr>
          <w:rFonts w:ascii="Times New Roman" w:hAnsi="Times New Roman" w:eastAsia="方正仿宋_GBK" w:cs="Times New Roman"/>
          <w:color w:val="auto"/>
          <w:kern w:val="2"/>
          <w:sz w:val="32"/>
          <w:szCs w:val="32"/>
        </w:rPr>
      </w:pPr>
      <w:r>
        <w:rPr>
          <w:rFonts w:ascii="Times New Roman" w:hAnsi="Times New Roman" w:eastAsia="方正仿宋_GBK" w:cs="Times New Roman"/>
          <w:color w:val="auto"/>
          <w:kern w:val="2"/>
          <w:sz w:val="32"/>
          <w:szCs w:val="32"/>
        </w:rPr>
        <w:t>8.年末结转和结余：指单位按有关规定结转到下年或以后年度继续使用的资金。</w:t>
      </w:r>
    </w:p>
    <w:p>
      <w:pPr>
        <w:spacing w:line="578" w:lineRule="exact"/>
        <w:ind w:firstLine="640" w:firstLineChars="200"/>
        <w:rPr>
          <w:rFonts w:eastAsia="方正仿宋_GBK"/>
          <w:sz w:val="32"/>
          <w:szCs w:val="32"/>
        </w:rPr>
      </w:pPr>
      <w:r>
        <w:rPr>
          <w:rFonts w:eastAsia="方正仿宋_GBK"/>
          <w:sz w:val="32"/>
          <w:szCs w:val="32"/>
        </w:rPr>
        <w:t>9.教育（205类）普通教育（02款）学前教育（01项）：指各部门举办的学前教育支出。政府各部门对社会组织等举办的幼儿园的资助，如捐赠、补贴等，也在本科目中反映。</w:t>
      </w:r>
    </w:p>
    <w:p>
      <w:pPr>
        <w:spacing w:line="578" w:lineRule="exact"/>
        <w:ind w:firstLine="640" w:firstLineChars="200"/>
        <w:rPr>
          <w:rFonts w:eastAsia="方正仿宋_GBK"/>
          <w:sz w:val="32"/>
          <w:szCs w:val="32"/>
        </w:rPr>
      </w:pPr>
      <w:r>
        <w:rPr>
          <w:rFonts w:eastAsia="方正仿宋_GBK"/>
          <w:sz w:val="32"/>
          <w:szCs w:val="32"/>
        </w:rPr>
        <w:t>10.教育（205类）特殊教育（07款）特殊教育（01项）：指各部门举办的特殊教育支出。政府各部门对社会组织等举办的实验小学的资助，如捐赠、补贴等，也在本科目中反映。</w:t>
      </w:r>
    </w:p>
    <w:p>
      <w:pPr>
        <w:spacing w:line="578" w:lineRule="exact"/>
        <w:ind w:firstLine="640" w:firstLineChars="200"/>
        <w:rPr>
          <w:rFonts w:eastAsia="方正仿宋_GBK"/>
          <w:sz w:val="32"/>
          <w:szCs w:val="32"/>
        </w:rPr>
      </w:pPr>
      <w:r>
        <w:rPr>
          <w:rFonts w:eastAsia="方正仿宋_GBK"/>
          <w:sz w:val="32"/>
          <w:szCs w:val="32"/>
        </w:rPr>
        <w:t>11.社会保障和就业（208类）行政事业单位养老支出（05款）机关事业单位基本养老保险缴费支出（05项）：指机关事业单位实施养老保险制度由单位缴纳的基本养老保险费支出。</w:t>
      </w:r>
    </w:p>
    <w:p>
      <w:pPr>
        <w:spacing w:line="578" w:lineRule="exact"/>
        <w:ind w:firstLine="640" w:firstLineChars="200"/>
        <w:rPr>
          <w:rFonts w:eastAsia="方正仿宋_GBK"/>
          <w:sz w:val="32"/>
          <w:szCs w:val="32"/>
        </w:rPr>
      </w:pPr>
      <w:r>
        <w:rPr>
          <w:rFonts w:eastAsia="方正仿宋_GBK"/>
          <w:sz w:val="32"/>
          <w:szCs w:val="32"/>
        </w:rPr>
        <w:t>12.卫生健康（201类）行政事业单位医疗（11款）事业单位医疗（02项）：指财政部门安排的事业单位基本医疗保险缴费经费，未参加医疗保险的事业单位的公费医疗经费，按国家规定享受离休人员待遇的医疗经费。</w:t>
      </w:r>
    </w:p>
    <w:p>
      <w:pPr>
        <w:spacing w:line="578" w:lineRule="exact"/>
        <w:ind w:firstLine="640" w:firstLineChars="200"/>
        <w:rPr>
          <w:rFonts w:eastAsia="方正仿宋_GBK"/>
          <w:sz w:val="32"/>
          <w:szCs w:val="32"/>
        </w:rPr>
      </w:pPr>
      <w:r>
        <w:rPr>
          <w:rFonts w:eastAsia="方正仿宋_GBK"/>
          <w:sz w:val="32"/>
          <w:szCs w:val="32"/>
        </w:rPr>
        <w:t xml:space="preserve">13.住房保障支出（221类）住房改革支出（02款）住房公积金（01项）：指财政部门安排的用于住房方面的支出，按人力资源和社会保障部、财政部规定的基本工资和津贴补贴以及规定比例为职工缴纳的住房公积金。 </w:t>
      </w:r>
    </w:p>
    <w:p>
      <w:pPr>
        <w:spacing w:line="578" w:lineRule="exact"/>
        <w:ind w:firstLine="640" w:firstLineChars="200"/>
        <w:rPr>
          <w:rFonts w:eastAsia="方正仿宋_GBK"/>
          <w:sz w:val="32"/>
          <w:szCs w:val="32"/>
        </w:rPr>
      </w:pPr>
      <w:r>
        <w:rPr>
          <w:rFonts w:eastAsia="方正仿宋_GBK"/>
          <w:sz w:val="32"/>
          <w:szCs w:val="32"/>
        </w:rPr>
        <w:t>14.基本支出：指为保障机构正常运转、完成日常工作任务而发生的人员支出和公用支出。</w:t>
      </w:r>
    </w:p>
    <w:p>
      <w:pPr>
        <w:spacing w:line="578" w:lineRule="exact"/>
        <w:ind w:firstLine="640" w:firstLineChars="200"/>
        <w:rPr>
          <w:rFonts w:eastAsia="方正仿宋_GBK"/>
          <w:sz w:val="32"/>
          <w:szCs w:val="32"/>
        </w:rPr>
      </w:pPr>
      <w:r>
        <w:rPr>
          <w:rFonts w:eastAsia="方正仿宋_GBK"/>
          <w:sz w:val="32"/>
          <w:szCs w:val="32"/>
        </w:rPr>
        <w:t xml:space="preserve">15.项目支出：指在基本支出之外为完成特定行政任务和事业发展目标所发生的支出。 </w:t>
      </w:r>
    </w:p>
    <w:p>
      <w:pPr>
        <w:spacing w:line="578" w:lineRule="exact"/>
        <w:ind w:firstLine="640" w:firstLineChars="200"/>
        <w:rPr>
          <w:rFonts w:eastAsia="方正仿宋_GBK"/>
          <w:sz w:val="32"/>
          <w:szCs w:val="32"/>
        </w:rPr>
      </w:pPr>
      <w:r>
        <w:rPr>
          <w:rFonts w:eastAsia="方正仿宋_GBK"/>
          <w:sz w:val="32"/>
          <w:szCs w:val="32"/>
        </w:rPr>
        <w:t>16.经营支出：指事业单位在专业业务活动及其辅助活动之外</w:t>
      </w:r>
      <w:r>
        <w:rPr>
          <w:rFonts w:hint="eastAsia" w:eastAsia="方正仿宋_GBK"/>
          <w:sz w:val="32"/>
          <w:szCs w:val="32"/>
        </w:rPr>
        <w:t>，</w:t>
      </w:r>
      <w:r>
        <w:rPr>
          <w:rFonts w:eastAsia="方正仿宋_GBK"/>
          <w:sz w:val="32"/>
          <w:szCs w:val="32"/>
        </w:rPr>
        <w:t>开展非独立核算经营活动发生的支出。</w:t>
      </w:r>
    </w:p>
    <w:p>
      <w:pPr>
        <w:pStyle w:val="18"/>
        <w:spacing w:line="578" w:lineRule="exact"/>
        <w:ind w:firstLine="640" w:firstLineChars="200"/>
        <w:rPr>
          <w:rFonts w:ascii="Times New Roman" w:hAnsi="Times New Roman" w:eastAsia="方正仿宋_GBK" w:cs="Times New Roman"/>
          <w:color w:val="auto"/>
          <w:kern w:val="2"/>
          <w:sz w:val="32"/>
          <w:szCs w:val="32"/>
        </w:rPr>
      </w:pPr>
      <w:r>
        <w:rPr>
          <w:rFonts w:ascii="Times New Roman" w:hAnsi="Times New Roman" w:eastAsia="方正仿宋_GBK" w:cs="Times New Roman"/>
          <w:color w:val="auto"/>
          <w:kern w:val="2"/>
          <w:sz w:val="32"/>
          <w:szCs w:val="32"/>
        </w:rPr>
        <w:t>17.“三公”经费：指部门用财政拨款安排的因公出国（境）费、公务用车购置及运行费和公务接待费。其中，因公出国（境）费反映单位公务出国（境）的国际</w:t>
      </w:r>
      <w:r>
        <w:rPr>
          <w:rFonts w:hint="eastAsia" w:ascii="Times New Roman" w:hAnsi="Times New Roman" w:eastAsia="方正仿宋_GBK" w:cs="Times New Roman"/>
          <w:color w:val="auto"/>
          <w:kern w:val="2"/>
          <w:sz w:val="32"/>
          <w:szCs w:val="32"/>
        </w:rPr>
        <w:t>差</w:t>
      </w:r>
      <w:r>
        <w:rPr>
          <w:rFonts w:ascii="Times New Roman" w:hAnsi="Times New Roman" w:eastAsia="方正仿宋_GBK" w:cs="Times New Roman"/>
          <w:color w:val="auto"/>
          <w:kern w:val="2"/>
          <w:sz w:val="32"/>
          <w:szCs w:val="32"/>
        </w:rPr>
        <w:t>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8"/>
        <w:spacing w:line="578" w:lineRule="exact"/>
        <w:ind w:firstLine="640" w:firstLineChars="200"/>
        <w:rPr>
          <w:rFonts w:ascii="Times New Roman" w:hAnsi="Times New Roman" w:eastAsia="方正仿宋_GBK" w:cs="Times New Roman"/>
          <w:color w:val="auto"/>
          <w:kern w:val="2"/>
          <w:sz w:val="32"/>
          <w:szCs w:val="32"/>
        </w:rPr>
      </w:pPr>
      <w:r>
        <w:rPr>
          <w:rFonts w:ascii="Times New Roman" w:hAnsi="Times New Roman" w:eastAsia="方正仿宋_GBK" w:cs="Times New Roman"/>
          <w:color w:val="auto"/>
          <w:kern w:val="2"/>
          <w:sz w:val="32"/>
          <w:szCs w:val="32"/>
        </w:rPr>
        <w:t>18.机关运行经费：为保障行政单位（含参照公务员法管理的事业单位）运行</w:t>
      </w:r>
      <w:r>
        <w:rPr>
          <w:rFonts w:hint="eastAsia" w:ascii="Times New Roman" w:hAnsi="Times New Roman" w:eastAsia="方正仿宋_GBK" w:cs="Times New Roman"/>
          <w:color w:val="auto"/>
          <w:kern w:val="2"/>
          <w:sz w:val="32"/>
          <w:szCs w:val="32"/>
        </w:rPr>
        <w:t>，</w:t>
      </w:r>
      <w:r>
        <w:rPr>
          <w:rFonts w:ascii="Times New Roman" w:hAnsi="Times New Roman" w:eastAsia="方正仿宋_GBK" w:cs="Times New Roman"/>
          <w:color w:val="auto"/>
          <w:kern w:val="2"/>
          <w:sz w:val="32"/>
          <w:szCs w:val="32"/>
        </w:rPr>
        <w:t>用于购买货物和服务的各项资金，包括办公及印刷费、邮电费、差旅费、会议费、福利费、日常维修费、专用材料</w:t>
      </w:r>
      <w:r>
        <w:rPr>
          <w:rFonts w:hint="eastAsia" w:ascii="Times New Roman" w:hAnsi="Times New Roman" w:eastAsia="方正仿宋_GBK" w:cs="Times New Roman"/>
          <w:color w:val="auto"/>
          <w:kern w:val="2"/>
          <w:sz w:val="32"/>
          <w:szCs w:val="32"/>
        </w:rPr>
        <w:t>费</w:t>
      </w:r>
      <w:r>
        <w:rPr>
          <w:rFonts w:ascii="Times New Roman" w:hAnsi="Times New Roman" w:eastAsia="方正仿宋_GBK" w:cs="Times New Roman"/>
          <w:color w:val="auto"/>
          <w:kern w:val="2"/>
          <w:sz w:val="32"/>
          <w:szCs w:val="32"/>
        </w:rPr>
        <w:t>及一般设备购置费、办公用房水电费、办公用房取暖费、办公用房物业管理费、公务用车运行维护费以及其他费用。</w:t>
      </w:r>
    </w:p>
    <w:p>
      <w:pPr>
        <w:numPr>
          <w:ilvl w:val="0"/>
          <w:numId w:val="0"/>
        </w:numPr>
        <w:spacing w:line="600" w:lineRule="exact"/>
        <w:jc w:val="center"/>
        <w:outlineLvl w:val="0"/>
        <w:rPr>
          <w:rFonts w:ascii="方正小标宋简体" w:eastAsia="方正小标宋简体"/>
          <w:sz w:val="44"/>
          <w:szCs w:val="44"/>
        </w:rPr>
      </w:pPr>
      <w:r>
        <w:rPr>
          <w:rFonts w:eastAsia="方正仿宋_GBK"/>
          <w:sz w:val="32"/>
          <w:szCs w:val="32"/>
        </w:rPr>
        <w:br w:type="page"/>
      </w:r>
      <w:r>
        <w:rPr>
          <w:rFonts w:hint="eastAsia" w:ascii="方正小标宋_GBK" w:hAnsi="方正小标宋_GBK" w:eastAsia="方正小标宋_GBK" w:cs="方正小标宋_GBK"/>
          <w:sz w:val="44"/>
          <w:szCs w:val="44"/>
          <w:lang w:eastAsia="zh-CN"/>
        </w:rPr>
        <w:t>第四部分</w:t>
      </w:r>
      <w:r>
        <w:rPr>
          <w:rFonts w:hint="eastAsia" w:ascii="方正小标宋_GBK" w:hAnsi="方正小标宋_GBK" w:eastAsia="方正小标宋_GBK" w:cs="方正小标宋_GBK"/>
          <w:sz w:val="44"/>
          <w:szCs w:val="44"/>
        </w:rPr>
        <w:t>附件</w:t>
      </w:r>
      <w:bookmarkEnd w:id="51"/>
    </w:p>
    <w:p>
      <w:pPr>
        <w:widowControl/>
        <w:adjustRightInd w:val="0"/>
        <w:snapToGrid w:val="0"/>
        <w:spacing w:line="560" w:lineRule="exact"/>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附件</w:t>
      </w:r>
      <w:r>
        <w:rPr>
          <w:rFonts w:hint="eastAsia" w:ascii="仿宋_GB2312" w:hAnsi="Calibri" w:eastAsia="仿宋_GB2312" w:cs="仿宋"/>
          <w:kern w:val="0"/>
          <w:sz w:val="32"/>
          <w:szCs w:val="32"/>
        </w:rPr>
        <w:t>1</w:t>
      </w:r>
    </w:p>
    <w:p>
      <w:pPr>
        <w:widowControl/>
        <w:spacing w:line="640" w:lineRule="exact"/>
        <w:contextualSpacing/>
        <w:jc w:val="center"/>
        <w:rPr>
          <w:rFonts w:hint="eastAsia" w:ascii="方正黑体_GBK" w:hAnsi="方正黑体_GBK" w:eastAsia="方正黑体_GBK" w:cs="方正黑体_GBK"/>
          <w:color w:val="000000" w:themeColor="text1"/>
          <w:sz w:val="44"/>
          <w:szCs w:val="44"/>
          <w:shd w:val="clear" w:color="auto" w:fill="FFFFFF"/>
        </w:rPr>
      </w:pPr>
      <w:r>
        <w:rPr>
          <w:rFonts w:hint="eastAsia" w:ascii="方正黑体_GBK" w:hAnsi="方正黑体_GBK" w:eastAsia="方正黑体_GBK" w:cs="方正黑体_GBK"/>
          <w:color w:val="000000" w:themeColor="text1"/>
          <w:sz w:val="44"/>
          <w:szCs w:val="44"/>
          <w:shd w:val="clear" w:color="auto" w:fill="FFFFFF"/>
        </w:rPr>
        <w:t>达川区实验小学</w:t>
      </w:r>
    </w:p>
    <w:p>
      <w:pPr>
        <w:widowControl/>
        <w:spacing w:line="640" w:lineRule="exact"/>
        <w:contextualSpacing/>
        <w:jc w:val="center"/>
        <w:rPr>
          <w:rFonts w:hint="eastAsia" w:ascii="方正黑体_GBK" w:hAnsi="方正黑体_GBK" w:eastAsia="方正黑体_GBK" w:cs="方正黑体_GBK"/>
          <w:color w:val="000000" w:themeColor="text1"/>
          <w:sz w:val="44"/>
          <w:szCs w:val="44"/>
          <w:shd w:val="clear" w:color="auto" w:fill="FFFFFF"/>
        </w:rPr>
      </w:pPr>
      <w:r>
        <w:rPr>
          <w:rFonts w:hint="eastAsia" w:ascii="方正黑体_GBK" w:hAnsi="方正黑体_GBK" w:eastAsia="方正黑体_GBK" w:cs="方正黑体_GBK"/>
          <w:kern w:val="0"/>
          <w:sz w:val="44"/>
          <w:szCs w:val="44"/>
        </w:rPr>
        <w:t>2022</w:t>
      </w:r>
      <w:r>
        <w:rPr>
          <w:rFonts w:hint="eastAsia" w:ascii="方正黑体_GBK" w:hAnsi="方正黑体_GBK" w:eastAsia="方正黑体_GBK" w:cs="方正黑体_GBK"/>
          <w:color w:val="000000" w:themeColor="text1"/>
          <w:sz w:val="44"/>
          <w:szCs w:val="44"/>
          <w:shd w:val="clear" w:color="auto" w:fill="FFFFFF"/>
        </w:rPr>
        <w:t>年整体支出绩效评价报告</w:t>
      </w:r>
    </w:p>
    <w:p>
      <w:pPr>
        <w:widowControl/>
        <w:adjustRightInd w:val="0"/>
        <w:snapToGrid w:val="0"/>
        <w:spacing w:line="578" w:lineRule="exact"/>
        <w:ind w:firstLine="640" w:firstLineChars="200"/>
        <w:contextualSpacing/>
        <w:jc w:val="left"/>
        <w:rPr>
          <w:rFonts w:hint="eastAsia" w:ascii="方正黑体简体" w:hAnsi="宋体" w:eastAsia="方正黑体简体" w:cs="宋体"/>
          <w:color w:val="000000" w:themeColor="text1"/>
          <w:kern w:val="0"/>
          <w:sz w:val="32"/>
          <w:szCs w:val="32"/>
          <w:shd w:val="clear" w:color="auto" w:fill="FFFFFF"/>
        </w:rPr>
      </w:pPr>
    </w:p>
    <w:p>
      <w:pPr>
        <w:widowControl/>
        <w:adjustRightInd w:val="0"/>
        <w:snapToGrid w:val="0"/>
        <w:spacing w:line="578" w:lineRule="exact"/>
        <w:ind w:firstLine="640" w:firstLineChars="200"/>
        <w:contextualSpacing/>
        <w:jc w:val="left"/>
        <w:rPr>
          <w:rFonts w:ascii="方正黑体简体" w:hAnsi="宋体" w:eastAsia="方正黑体简体" w:cs="宋体"/>
          <w:color w:val="000000" w:themeColor="text1"/>
          <w:kern w:val="0"/>
          <w:sz w:val="32"/>
          <w:szCs w:val="32"/>
          <w:shd w:val="clear" w:color="auto" w:fill="FFFFFF"/>
          <w:lang w:val="zh-CN"/>
        </w:rPr>
      </w:pPr>
      <w:r>
        <w:rPr>
          <w:rFonts w:hint="eastAsia" w:ascii="方正黑体简体" w:hAnsi="宋体" w:eastAsia="方正黑体简体" w:cs="宋体"/>
          <w:color w:val="000000" w:themeColor="text1"/>
          <w:kern w:val="0"/>
          <w:sz w:val="32"/>
          <w:szCs w:val="32"/>
          <w:shd w:val="clear" w:color="auto" w:fill="FFFFFF"/>
        </w:rPr>
        <w:t>一、</w:t>
      </w:r>
      <w:r>
        <w:rPr>
          <w:rFonts w:hint="eastAsia" w:ascii="方正黑体简体" w:hAnsi="宋体" w:eastAsia="方正黑体简体" w:cs="宋体"/>
          <w:color w:val="000000" w:themeColor="text1"/>
          <w:kern w:val="0"/>
          <w:sz w:val="32"/>
          <w:szCs w:val="32"/>
          <w:shd w:val="clear" w:color="auto" w:fill="FFFFFF"/>
          <w:lang w:val="zh-CN"/>
        </w:rPr>
        <w:t>部门（单位）概况</w:t>
      </w:r>
    </w:p>
    <w:p>
      <w:pPr>
        <w:widowControl/>
        <w:adjustRightInd w:val="0"/>
        <w:snapToGrid w:val="0"/>
        <w:spacing w:line="578" w:lineRule="exact"/>
        <w:ind w:firstLine="576" w:firstLineChars="180"/>
        <w:contextualSpacing/>
        <w:jc w:val="left"/>
        <w:rPr>
          <w:rFonts w:ascii="方正楷体简体" w:eastAsia="方正楷体简体"/>
          <w:color w:val="000000"/>
          <w:kern w:val="0"/>
          <w:sz w:val="32"/>
          <w:szCs w:val="32"/>
          <w:shd w:val="clear" w:color="auto" w:fill="FFFFFF"/>
        </w:rPr>
      </w:pPr>
      <w:r>
        <w:rPr>
          <w:rFonts w:hint="eastAsia" w:ascii="方正楷体简体" w:eastAsia="方正楷体简体"/>
          <w:color w:val="000000"/>
          <w:kern w:val="0"/>
          <w:sz w:val="32"/>
          <w:szCs w:val="32"/>
          <w:shd w:val="clear" w:color="auto" w:fill="FFFFFF"/>
        </w:rPr>
        <w:t>（一）机构组成</w:t>
      </w:r>
    </w:p>
    <w:p>
      <w:pPr>
        <w:tabs>
          <w:tab w:val="left" w:pos="3885"/>
        </w:tabs>
        <w:snapToGrid w:val="0"/>
        <w:spacing w:line="578" w:lineRule="exact"/>
        <w:ind w:firstLine="640" w:firstLineChars="200"/>
        <w:rPr>
          <w:rFonts w:ascii="方正仿宋简体" w:eastAsia="方正仿宋简体"/>
          <w:kern w:val="0"/>
          <w:sz w:val="32"/>
          <w:szCs w:val="32"/>
        </w:rPr>
      </w:pPr>
      <w:bookmarkStart w:id="53" w:name="_Hlk109805614"/>
      <w:r>
        <w:rPr>
          <w:rFonts w:ascii="方正仿宋简体" w:eastAsia="方正仿宋简体"/>
          <w:kern w:val="0"/>
          <w:sz w:val="32"/>
          <w:szCs w:val="32"/>
        </w:rPr>
        <w:t>达州市达川区</w:t>
      </w:r>
      <w:bookmarkEnd w:id="53"/>
      <w:r>
        <w:rPr>
          <w:rFonts w:hint="eastAsia" w:ascii="方正仿宋简体" w:eastAsia="方正仿宋简体"/>
          <w:kern w:val="0"/>
          <w:sz w:val="32"/>
          <w:szCs w:val="32"/>
        </w:rPr>
        <w:t>实验小学</w:t>
      </w:r>
      <w:r>
        <w:rPr>
          <w:rFonts w:ascii="方正仿宋简体" w:eastAsia="方正仿宋简体"/>
          <w:kern w:val="0"/>
          <w:sz w:val="32"/>
          <w:szCs w:val="32"/>
        </w:rPr>
        <w:t>是</w:t>
      </w:r>
      <w:r>
        <w:rPr>
          <w:rFonts w:hint="eastAsia" w:ascii="方正仿宋简体" w:eastAsia="方正仿宋简体"/>
          <w:kern w:val="0"/>
          <w:sz w:val="32"/>
          <w:szCs w:val="32"/>
        </w:rPr>
        <w:t>达川</w:t>
      </w:r>
      <w:r>
        <w:rPr>
          <w:rFonts w:ascii="方正仿宋简体" w:eastAsia="方正仿宋简体"/>
          <w:kern w:val="0"/>
          <w:sz w:val="32"/>
          <w:szCs w:val="32"/>
        </w:rPr>
        <w:t>区</w:t>
      </w:r>
      <w:r>
        <w:rPr>
          <w:rFonts w:hint="eastAsia" w:ascii="方正仿宋简体" w:eastAsia="方正仿宋简体"/>
          <w:kern w:val="0"/>
          <w:sz w:val="32"/>
          <w:szCs w:val="32"/>
        </w:rPr>
        <w:t>二</w:t>
      </w:r>
      <w:r>
        <w:rPr>
          <w:rFonts w:ascii="方正仿宋简体" w:eastAsia="方正仿宋简体"/>
          <w:kern w:val="0"/>
          <w:sz w:val="32"/>
          <w:szCs w:val="32"/>
        </w:rPr>
        <w:t>级预算单位。</w:t>
      </w:r>
      <w:bookmarkStart w:id="54" w:name="_Hlk109805662"/>
      <w:r>
        <w:rPr>
          <w:rFonts w:ascii="方正仿宋简体" w:eastAsia="方正仿宋简体"/>
          <w:kern w:val="0"/>
          <w:sz w:val="32"/>
          <w:szCs w:val="32"/>
        </w:rPr>
        <w:t>属行</w:t>
      </w:r>
      <w:r>
        <w:rPr>
          <w:rFonts w:hint="eastAsia" w:ascii="方正仿宋简体" w:eastAsia="方正仿宋简体"/>
          <w:kern w:val="0"/>
          <w:sz w:val="32"/>
          <w:szCs w:val="32"/>
        </w:rPr>
        <w:t>政全额拨款事业单位，是一所完全小学</w:t>
      </w:r>
      <w:r>
        <w:rPr>
          <w:rFonts w:ascii="方正仿宋简体" w:eastAsia="方正仿宋简体"/>
          <w:kern w:val="0"/>
          <w:sz w:val="32"/>
          <w:szCs w:val="32"/>
        </w:rPr>
        <w:t>。</w:t>
      </w:r>
    </w:p>
    <w:bookmarkEnd w:id="54"/>
    <w:p>
      <w:pPr>
        <w:widowControl/>
        <w:adjustRightInd w:val="0"/>
        <w:snapToGrid w:val="0"/>
        <w:spacing w:line="578" w:lineRule="exact"/>
        <w:ind w:firstLine="576" w:firstLineChars="180"/>
        <w:contextualSpacing/>
        <w:jc w:val="left"/>
        <w:rPr>
          <w:rFonts w:ascii="方正楷体简体" w:eastAsia="方正楷体简体"/>
          <w:color w:val="000000"/>
          <w:kern w:val="0"/>
          <w:sz w:val="32"/>
          <w:szCs w:val="32"/>
          <w:shd w:val="clear" w:color="auto" w:fill="FFFFFF"/>
        </w:rPr>
      </w:pPr>
      <w:r>
        <w:rPr>
          <w:rFonts w:hint="eastAsia" w:ascii="方正楷体简体" w:eastAsia="方正楷体简体"/>
          <w:color w:val="000000"/>
          <w:kern w:val="0"/>
          <w:sz w:val="32"/>
          <w:szCs w:val="32"/>
          <w:shd w:val="clear" w:color="auto" w:fill="FFFFFF"/>
        </w:rPr>
        <w:t>（二）机构职能</w:t>
      </w:r>
    </w:p>
    <w:p>
      <w:pPr>
        <w:tabs>
          <w:tab w:val="left" w:pos="3885"/>
        </w:tabs>
        <w:snapToGrid w:val="0"/>
        <w:spacing w:line="578" w:lineRule="exact"/>
        <w:ind w:firstLine="640" w:firstLineChars="200"/>
        <w:rPr>
          <w:rFonts w:ascii="方正仿宋简体" w:eastAsia="方正仿宋简体"/>
          <w:kern w:val="0"/>
          <w:sz w:val="32"/>
          <w:szCs w:val="32"/>
        </w:rPr>
      </w:pPr>
      <w:r>
        <w:rPr>
          <w:rFonts w:hint="eastAsia" w:ascii="方正仿宋简体" w:eastAsia="方正仿宋简体"/>
          <w:kern w:val="0"/>
          <w:sz w:val="32"/>
          <w:szCs w:val="32"/>
        </w:rPr>
        <w:t>我单位的主要职能是对适龄儿童实施小学教育，提升他们的综合素质。</w:t>
      </w:r>
    </w:p>
    <w:p>
      <w:pPr>
        <w:widowControl/>
        <w:adjustRightInd w:val="0"/>
        <w:snapToGrid w:val="0"/>
        <w:spacing w:line="578" w:lineRule="exact"/>
        <w:ind w:firstLine="576" w:firstLineChars="180"/>
        <w:contextualSpacing/>
        <w:jc w:val="left"/>
        <w:rPr>
          <w:rFonts w:ascii="方正楷体简体" w:eastAsia="方正楷体简体"/>
          <w:color w:val="000000"/>
          <w:kern w:val="0"/>
          <w:sz w:val="32"/>
          <w:szCs w:val="32"/>
          <w:shd w:val="clear" w:color="auto" w:fill="FFFFFF"/>
        </w:rPr>
      </w:pPr>
      <w:r>
        <w:rPr>
          <w:rFonts w:hint="eastAsia" w:ascii="方正楷体简体" w:eastAsia="方正楷体简体"/>
          <w:color w:val="000000"/>
          <w:kern w:val="0"/>
          <w:sz w:val="32"/>
          <w:szCs w:val="32"/>
          <w:shd w:val="clear" w:color="auto" w:fill="FFFFFF"/>
        </w:rPr>
        <w:t>（三）人员概况</w:t>
      </w:r>
    </w:p>
    <w:p>
      <w:pPr>
        <w:tabs>
          <w:tab w:val="left" w:pos="3885"/>
        </w:tabs>
        <w:snapToGrid w:val="0"/>
        <w:spacing w:line="578" w:lineRule="exact"/>
        <w:ind w:firstLine="640" w:firstLineChars="200"/>
        <w:rPr>
          <w:rFonts w:ascii="方正仿宋简体" w:eastAsia="方正仿宋简体"/>
          <w:kern w:val="0"/>
          <w:sz w:val="32"/>
          <w:szCs w:val="32"/>
        </w:rPr>
      </w:pPr>
      <w:r>
        <w:rPr>
          <w:rFonts w:ascii="方正仿宋简体" w:eastAsia="方正仿宋简体"/>
          <w:kern w:val="0"/>
          <w:sz w:val="32"/>
          <w:szCs w:val="32"/>
        </w:rPr>
        <w:t>根据</w:t>
      </w:r>
      <w:r>
        <w:rPr>
          <w:rFonts w:hint="eastAsia" w:ascii="方正仿宋简体" w:eastAsia="方正仿宋简体"/>
          <w:kern w:val="0"/>
          <w:sz w:val="32"/>
          <w:szCs w:val="32"/>
        </w:rPr>
        <w:t>组织部（人社局）等</w:t>
      </w:r>
      <w:r>
        <w:rPr>
          <w:rFonts w:ascii="方正仿宋简体" w:eastAsia="方正仿宋简体"/>
          <w:kern w:val="0"/>
          <w:sz w:val="32"/>
          <w:szCs w:val="32"/>
        </w:rPr>
        <w:t>相关编制</w:t>
      </w:r>
      <w:r>
        <w:rPr>
          <w:rFonts w:hint="eastAsia" w:ascii="方正仿宋简体" w:eastAsia="方正仿宋简体"/>
          <w:kern w:val="0"/>
          <w:sz w:val="32"/>
          <w:szCs w:val="32"/>
        </w:rPr>
        <w:t>岗位</w:t>
      </w:r>
      <w:r>
        <w:rPr>
          <w:rFonts w:ascii="方正仿宋简体" w:eastAsia="方正仿宋简体"/>
          <w:kern w:val="0"/>
          <w:sz w:val="32"/>
          <w:szCs w:val="32"/>
        </w:rPr>
        <w:t>批复文件，核定</w:t>
      </w:r>
      <w:r>
        <w:rPr>
          <w:rFonts w:hint="eastAsia" w:ascii="方正仿宋简体" w:eastAsia="方正仿宋简体"/>
          <w:kern w:val="0"/>
          <w:sz w:val="32"/>
          <w:szCs w:val="32"/>
        </w:rPr>
        <w:t>我单位</w:t>
      </w:r>
      <w:r>
        <w:rPr>
          <w:rFonts w:ascii="方正仿宋简体" w:eastAsia="方正仿宋简体"/>
          <w:kern w:val="0"/>
          <w:sz w:val="32"/>
          <w:szCs w:val="32"/>
        </w:rPr>
        <w:t>事业编制</w:t>
      </w:r>
      <w:r>
        <w:rPr>
          <w:rFonts w:hint="eastAsia" w:eastAsia="仿宋"/>
          <w:kern w:val="0"/>
          <w:sz w:val="32"/>
          <w:szCs w:val="32"/>
        </w:rPr>
        <w:t>174</w:t>
      </w:r>
      <w:r>
        <w:rPr>
          <w:rFonts w:ascii="方正仿宋简体" w:eastAsia="方正仿宋简体"/>
          <w:kern w:val="0"/>
          <w:sz w:val="32"/>
          <w:szCs w:val="32"/>
        </w:rPr>
        <w:t>名</w:t>
      </w:r>
      <w:bookmarkStart w:id="55" w:name="_Hlk109807352"/>
      <w:r>
        <w:rPr>
          <w:rFonts w:hint="eastAsia" w:ascii="方正仿宋简体" w:eastAsia="方正仿宋简体"/>
          <w:kern w:val="0"/>
          <w:sz w:val="32"/>
          <w:szCs w:val="32"/>
        </w:rPr>
        <w:t>，其中管理岗位</w:t>
      </w:r>
      <w:r>
        <w:rPr>
          <w:rFonts w:hint="eastAsia" w:eastAsia="仿宋"/>
          <w:kern w:val="0"/>
          <w:sz w:val="32"/>
          <w:szCs w:val="32"/>
        </w:rPr>
        <w:t>1</w:t>
      </w:r>
      <w:r>
        <w:rPr>
          <w:rFonts w:hint="eastAsia" w:ascii="方正仿宋简体" w:eastAsia="方正仿宋简体"/>
          <w:kern w:val="0"/>
          <w:sz w:val="32"/>
          <w:szCs w:val="32"/>
        </w:rPr>
        <w:t>人。</w:t>
      </w:r>
      <w:bookmarkEnd w:id="55"/>
      <w:r>
        <w:rPr>
          <w:rFonts w:hint="eastAsia" w:ascii="方正仿宋简体" w:eastAsia="方正仿宋简体"/>
          <w:kern w:val="0"/>
          <w:sz w:val="32"/>
          <w:szCs w:val="32"/>
        </w:rPr>
        <w:t>现在实有人数事业编制</w:t>
      </w:r>
      <w:r>
        <w:rPr>
          <w:rFonts w:hint="eastAsia" w:eastAsia="仿宋"/>
          <w:kern w:val="0"/>
          <w:sz w:val="32"/>
          <w:szCs w:val="32"/>
        </w:rPr>
        <w:t>162</w:t>
      </w:r>
      <w:r>
        <w:rPr>
          <w:rFonts w:hint="eastAsia" w:ascii="方正仿宋简体" w:eastAsia="方正仿宋简体"/>
          <w:kern w:val="0"/>
          <w:sz w:val="32"/>
          <w:szCs w:val="32"/>
        </w:rPr>
        <w:t>人，其中管理岗位为</w:t>
      </w:r>
      <w:r>
        <w:rPr>
          <w:rFonts w:hint="eastAsia" w:eastAsia="仿宋"/>
          <w:kern w:val="0"/>
          <w:sz w:val="32"/>
          <w:szCs w:val="32"/>
        </w:rPr>
        <w:t>1</w:t>
      </w:r>
      <w:r>
        <w:rPr>
          <w:rFonts w:hint="eastAsia" w:ascii="方正仿宋简体" w:eastAsia="方正仿宋简体"/>
          <w:kern w:val="0"/>
          <w:sz w:val="32"/>
          <w:szCs w:val="32"/>
        </w:rPr>
        <w:t>人。</w:t>
      </w:r>
      <w:r>
        <w:rPr>
          <w:rFonts w:ascii="方正仿宋简体" w:eastAsia="方正仿宋简体"/>
          <w:kern w:val="0"/>
          <w:sz w:val="32"/>
          <w:szCs w:val="32"/>
        </w:rPr>
        <w:t>退休人员为</w:t>
      </w:r>
      <w:r>
        <w:rPr>
          <w:rFonts w:hint="eastAsia" w:eastAsia="仿宋"/>
          <w:kern w:val="0"/>
          <w:sz w:val="32"/>
          <w:szCs w:val="32"/>
        </w:rPr>
        <w:t>43</w:t>
      </w:r>
      <w:r>
        <w:rPr>
          <w:rFonts w:ascii="方正仿宋简体" w:eastAsia="方正仿宋简体"/>
          <w:kern w:val="0"/>
          <w:sz w:val="32"/>
          <w:szCs w:val="32"/>
        </w:rPr>
        <w:t>人。</w:t>
      </w:r>
    </w:p>
    <w:p>
      <w:pPr>
        <w:widowControl/>
        <w:adjustRightInd w:val="0"/>
        <w:snapToGrid w:val="0"/>
        <w:spacing w:line="578" w:lineRule="exact"/>
        <w:ind w:firstLine="640" w:firstLineChars="200"/>
        <w:contextualSpacing/>
        <w:jc w:val="left"/>
        <w:rPr>
          <w:rFonts w:ascii="方正黑体简体" w:hAnsi="宋体" w:eastAsia="方正黑体简体" w:cs="宋体"/>
          <w:color w:val="000000" w:themeColor="text1"/>
          <w:kern w:val="0"/>
          <w:sz w:val="32"/>
          <w:szCs w:val="32"/>
          <w:shd w:val="clear" w:color="auto" w:fill="FFFFFF"/>
        </w:rPr>
      </w:pPr>
      <w:r>
        <w:rPr>
          <w:rFonts w:hint="eastAsia" w:ascii="方正黑体简体" w:hAnsi="宋体" w:eastAsia="方正黑体简体" w:cs="宋体"/>
          <w:color w:val="000000" w:themeColor="text1"/>
          <w:kern w:val="0"/>
          <w:sz w:val="32"/>
          <w:szCs w:val="32"/>
          <w:shd w:val="clear" w:color="auto" w:fill="FFFFFF"/>
        </w:rPr>
        <w:t>二、部门财政资金收支情况</w:t>
      </w:r>
    </w:p>
    <w:p>
      <w:pPr>
        <w:widowControl/>
        <w:adjustRightInd w:val="0"/>
        <w:snapToGrid w:val="0"/>
        <w:spacing w:line="578" w:lineRule="exact"/>
        <w:ind w:firstLine="576" w:firstLineChars="180"/>
        <w:contextualSpacing/>
        <w:jc w:val="left"/>
        <w:rPr>
          <w:rFonts w:ascii="方正楷体简体" w:eastAsia="方正楷体简体"/>
          <w:color w:val="000000"/>
          <w:kern w:val="0"/>
          <w:sz w:val="32"/>
          <w:szCs w:val="32"/>
          <w:shd w:val="clear" w:color="auto" w:fill="FFFFFF"/>
        </w:rPr>
      </w:pPr>
      <w:r>
        <w:rPr>
          <w:rFonts w:hint="eastAsia" w:ascii="方正楷体简体" w:eastAsia="方正楷体简体"/>
          <w:color w:val="000000"/>
          <w:kern w:val="0"/>
          <w:sz w:val="32"/>
          <w:szCs w:val="32"/>
          <w:shd w:val="clear" w:color="auto" w:fill="FFFFFF"/>
        </w:rPr>
        <w:t>（一）部门财政资金收入情况</w:t>
      </w:r>
    </w:p>
    <w:p>
      <w:pPr>
        <w:tabs>
          <w:tab w:val="left" w:pos="3885"/>
        </w:tabs>
        <w:snapToGrid w:val="0"/>
        <w:spacing w:line="578" w:lineRule="exact"/>
        <w:ind w:firstLine="640" w:firstLineChars="200"/>
        <w:rPr>
          <w:rFonts w:ascii="方正仿宋简体" w:eastAsia="方正仿宋简体"/>
          <w:kern w:val="0"/>
          <w:sz w:val="32"/>
          <w:szCs w:val="32"/>
        </w:rPr>
      </w:pPr>
      <w:r>
        <w:rPr>
          <w:rFonts w:eastAsia="仿宋"/>
          <w:kern w:val="0"/>
          <w:sz w:val="32"/>
          <w:szCs w:val="32"/>
        </w:rPr>
        <w:t>202</w:t>
      </w:r>
      <w:r>
        <w:rPr>
          <w:rFonts w:hint="eastAsia" w:eastAsia="仿宋"/>
          <w:kern w:val="0"/>
          <w:sz w:val="32"/>
          <w:szCs w:val="32"/>
        </w:rPr>
        <w:t>2</w:t>
      </w:r>
      <w:r>
        <w:rPr>
          <w:rFonts w:ascii="方正仿宋简体" w:eastAsia="方正仿宋简体"/>
          <w:kern w:val="0"/>
          <w:sz w:val="32"/>
          <w:szCs w:val="32"/>
        </w:rPr>
        <w:t>年年初预算收入</w:t>
      </w:r>
      <w:r>
        <w:rPr>
          <w:rFonts w:hint="eastAsia" w:eastAsia="仿宋"/>
          <w:kern w:val="0"/>
          <w:sz w:val="32"/>
          <w:szCs w:val="32"/>
        </w:rPr>
        <w:t>1774.32</w:t>
      </w:r>
      <w:r>
        <w:rPr>
          <w:rFonts w:ascii="方正仿宋简体" w:eastAsia="方正仿宋简体"/>
          <w:kern w:val="0"/>
          <w:sz w:val="32"/>
          <w:szCs w:val="32"/>
        </w:rPr>
        <w:t>万元，年初结转和结余</w:t>
      </w:r>
      <w:r>
        <w:rPr>
          <w:rFonts w:hint="eastAsia" w:eastAsia="仿宋"/>
          <w:kern w:val="0"/>
          <w:sz w:val="32"/>
          <w:szCs w:val="32"/>
        </w:rPr>
        <w:t>5656.47</w:t>
      </w:r>
      <w:r>
        <w:rPr>
          <w:rFonts w:ascii="方正仿宋简体" w:eastAsia="方正仿宋简体"/>
          <w:kern w:val="0"/>
          <w:sz w:val="32"/>
          <w:szCs w:val="32"/>
        </w:rPr>
        <w:t>万元，年中追加预算</w:t>
      </w:r>
      <w:r>
        <w:rPr>
          <w:rFonts w:hint="eastAsia" w:eastAsia="仿宋"/>
          <w:kern w:val="0"/>
          <w:sz w:val="32"/>
          <w:szCs w:val="32"/>
        </w:rPr>
        <w:t>459.62</w:t>
      </w:r>
      <w:r>
        <w:rPr>
          <w:rFonts w:ascii="方正仿宋简体" w:eastAsia="方正仿宋简体"/>
          <w:kern w:val="0"/>
          <w:sz w:val="32"/>
          <w:szCs w:val="32"/>
        </w:rPr>
        <w:t>万元，年终决算收入</w:t>
      </w:r>
      <w:r>
        <w:rPr>
          <w:rFonts w:hint="eastAsia" w:eastAsia="仿宋"/>
          <w:kern w:val="0"/>
          <w:sz w:val="32"/>
          <w:szCs w:val="32"/>
        </w:rPr>
        <w:t>7890.42</w:t>
      </w:r>
      <w:r>
        <w:rPr>
          <w:rFonts w:ascii="方正仿宋简体" w:eastAsia="方正仿宋简体"/>
          <w:kern w:val="0"/>
          <w:sz w:val="32"/>
          <w:szCs w:val="32"/>
        </w:rPr>
        <w:t>万元。</w:t>
      </w:r>
    </w:p>
    <w:p>
      <w:pPr>
        <w:widowControl/>
        <w:adjustRightInd w:val="0"/>
        <w:snapToGrid w:val="0"/>
        <w:spacing w:line="578" w:lineRule="exact"/>
        <w:ind w:firstLine="576" w:firstLineChars="180"/>
        <w:contextualSpacing/>
        <w:jc w:val="left"/>
        <w:rPr>
          <w:rFonts w:ascii="方正楷体简体" w:eastAsia="方正楷体简体"/>
          <w:color w:val="000000"/>
          <w:kern w:val="0"/>
          <w:sz w:val="32"/>
          <w:szCs w:val="32"/>
          <w:shd w:val="clear" w:color="auto" w:fill="FFFFFF"/>
        </w:rPr>
      </w:pPr>
      <w:r>
        <w:rPr>
          <w:rFonts w:hint="eastAsia" w:ascii="方正楷体简体" w:eastAsia="方正楷体简体"/>
          <w:color w:val="000000"/>
          <w:kern w:val="0"/>
          <w:sz w:val="32"/>
          <w:szCs w:val="32"/>
          <w:shd w:val="clear" w:color="auto" w:fill="FFFFFF"/>
        </w:rPr>
        <w:t>（二）部门财政资金支出情况</w:t>
      </w:r>
    </w:p>
    <w:p>
      <w:pPr>
        <w:tabs>
          <w:tab w:val="left" w:pos="3885"/>
        </w:tabs>
        <w:snapToGrid w:val="0"/>
        <w:spacing w:line="578" w:lineRule="exact"/>
        <w:ind w:firstLine="640" w:firstLineChars="200"/>
        <w:rPr>
          <w:rFonts w:ascii="方正仿宋简体" w:eastAsia="方正仿宋简体"/>
          <w:kern w:val="0"/>
          <w:sz w:val="32"/>
          <w:szCs w:val="32"/>
        </w:rPr>
      </w:pPr>
      <w:r>
        <w:rPr>
          <w:rFonts w:eastAsia="仿宋"/>
          <w:kern w:val="0"/>
          <w:sz w:val="32"/>
          <w:szCs w:val="32"/>
        </w:rPr>
        <w:t>202</w:t>
      </w:r>
      <w:r>
        <w:rPr>
          <w:rFonts w:hint="eastAsia" w:eastAsia="仿宋"/>
          <w:kern w:val="0"/>
          <w:sz w:val="32"/>
          <w:szCs w:val="32"/>
        </w:rPr>
        <w:t>2</w:t>
      </w:r>
      <w:r>
        <w:rPr>
          <w:rFonts w:ascii="方正仿宋简体" w:eastAsia="方正仿宋简体"/>
          <w:kern w:val="0"/>
          <w:sz w:val="32"/>
          <w:szCs w:val="32"/>
        </w:rPr>
        <w:t>年决算总支出</w:t>
      </w:r>
      <w:r>
        <w:rPr>
          <w:rFonts w:hint="eastAsia" w:eastAsia="仿宋"/>
          <w:kern w:val="0"/>
          <w:sz w:val="32"/>
          <w:szCs w:val="32"/>
        </w:rPr>
        <w:t>2233.95</w:t>
      </w:r>
      <w:r>
        <w:rPr>
          <w:rFonts w:ascii="方正仿宋简体" w:eastAsia="方正仿宋简体"/>
          <w:kern w:val="0"/>
          <w:sz w:val="32"/>
          <w:szCs w:val="32"/>
        </w:rPr>
        <w:t>万元，</w:t>
      </w:r>
      <w:r>
        <w:rPr>
          <w:rFonts w:hint="eastAsia" w:ascii="方正仿宋简体" w:eastAsia="方正仿宋简体"/>
          <w:kern w:val="0"/>
          <w:sz w:val="32"/>
          <w:szCs w:val="32"/>
        </w:rPr>
        <w:t>其中</w:t>
      </w:r>
      <w:r>
        <w:rPr>
          <w:rFonts w:ascii="方正仿宋简体" w:eastAsia="方正仿宋简体"/>
          <w:kern w:val="0"/>
          <w:sz w:val="32"/>
          <w:szCs w:val="32"/>
        </w:rPr>
        <w:t>基本支出</w:t>
      </w:r>
      <w:r>
        <w:rPr>
          <w:rFonts w:hint="eastAsia" w:eastAsia="仿宋"/>
          <w:kern w:val="0"/>
          <w:sz w:val="32"/>
          <w:szCs w:val="32"/>
        </w:rPr>
        <w:t>2217.44</w:t>
      </w:r>
      <w:r>
        <w:rPr>
          <w:rFonts w:ascii="方正仿宋简体" w:eastAsia="方正仿宋简体"/>
          <w:kern w:val="0"/>
          <w:sz w:val="32"/>
          <w:szCs w:val="32"/>
        </w:rPr>
        <w:t>万元（人员经费支出</w:t>
      </w:r>
      <w:r>
        <w:rPr>
          <w:rFonts w:hint="eastAsia" w:eastAsia="仿宋"/>
          <w:kern w:val="0"/>
          <w:sz w:val="32"/>
          <w:szCs w:val="32"/>
        </w:rPr>
        <w:t>1926</w:t>
      </w:r>
      <w:r>
        <w:rPr>
          <w:rFonts w:ascii="方正仿宋简体" w:eastAsia="方正仿宋简体"/>
          <w:kern w:val="0"/>
          <w:sz w:val="32"/>
          <w:szCs w:val="32"/>
        </w:rPr>
        <w:t>万元，公用经费支出</w:t>
      </w:r>
      <w:r>
        <w:rPr>
          <w:rFonts w:hint="eastAsia" w:eastAsia="仿宋"/>
          <w:kern w:val="0"/>
          <w:sz w:val="32"/>
          <w:szCs w:val="32"/>
        </w:rPr>
        <w:t>291.44</w:t>
      </w:r>
      <w:r>
        <w:rPr>
          <w:rFonts w:ascii="方正仿宋简体" w:eastAsia="方正仿宋简体"/>
          <w:kern w:val="0"/>
          <w:sz w:val="32"/>
          <w:szCs w:val="32"/>
        </w:rPr>
        <w:t>万元）</w:t>
      </w:r>
      <w:r>
        <w:rPr>
          <w:rFonts w:hint="eastAsia" w:ascii="方正仿宋简体" w:eastAsia="方正仿宋简体"/>
          <w:kern w:val="0"/>
          <w:sz w:val="32"/>
          <w:szCs w:val="32"/>
        </w:rPr>
        <w:t>，项目支出</w:t>
      </w:r>
      <w:r>
        <w:rPr>
          <w:rFonts w:hint="eastAsia" w:eastAsia="仿宋"/>
          <w:kern w:val="0"/>
          <w:sz w:val="32"/>
          <w:szCs w:val="32"/>
        </w:rPr>
        <w:t>16.5</w:t>
      </w:r>
      <w:r>
        <w:rPr>
          <w:rFonts w:hint="eastAsia" w:ascii="方正仿宋简体" w:eastAsia="方正仿宋简体"/>
          <w:kern w:val="0"/>
          <w:sz w:val="32"/>
          <w:szCs w:val="32"/>
        </w:rPr>
        <w:t>万元。</w:t>
      </w:r>
    </w:p>
    <w:p>
      <w:pPr>
        <w:widowControl/>
        <w:adjustRightInd w:val="0"/>
        <w:snapToGrid w:val="0"/>
        <w:spacing w:line="578" w:lineRule="exact"/>
        <w:ind w:firstLine="576" w:firstLineChars="180"/>
        <w:contextualSpacing/>
        <w:jc w:val="left"/>
        <w:rPr>
          <w:rFonts w:ascii="方正楷体简体" w:eastAsia="方正楷体简体"/>
          <w:color w:val="000000"/>
          <w:kern w:val="0"/>
          <w:sz w:val="32"/>
          <w:szCs w:val="32"/>
          <w:shd w:val="clear" w:color="auto" w:fill="FFFFFF"/>
        </w:rPr>
      </w:pPr>
      <w:r>
        <w:rPr>
          <w:rFonts w:hint="eastAsia" w:ascii="方正楷体简体" w:eastAsia="方正楷体简体"/>
          <w:color w:val="000000"/>
          <w:kern w:val="0"/>
          <w:sz w:val="32"/>
          <w:szCs w:val="32"/>
          <w:shd w:val="clear" w:color="auto" w:fill="FFFFFF"/>
        </w:rPr>
        <w:t>（三）部门财政收入结转结余情况</w:t>
      </w:r>
    </w:p>
    <w:p>
      <w:pPr>
        <w:tabs>
          <w:tab w:val="left" w:pos="3885"/>
        </w:tabs>
        <w:snapToGrid w:val="0"/>
        <w:spacing w:line="578" w:lineRule="exact"/>
        <w:ind w:firstLine="640" w:firstLineChars="200"/>
        <w:rPr>
          <w:rFonts w:ascii="方正仿宋简体" w:eastAsia="方正仿宋简体"/>
          <w:kern w:val="0"/>
          <w:sz w:val="32"/>
          <w:szCs w:val="32"/>
        </w:rPr>
      </w:pPr>
      <w:r>
        <w:rPr>
          <w:rFonts w:hint="eastAsia" w:eastAsia="仿宋"/>
          <w:kern w:val="0"/>
          <w:sz w:val="32"/>
          <w:szCs w:val="32"/>
        </w:rPr>
        <w:t>2022</w:t>
      </w:r>
      <w:r>
        <w:rPr>
          <w:rFonts w:ascii="方正仿宋简体" w:eastAsia="方正仿宋简体"/>
          <w:kern w:val="0"/>
          <w:sz w:val="32"/>
          <w:szCs w:val="32"/>
        </w:rPr>
        <w:t>年年末财政拨款结转和结余</w:t>
      </w:r>
      <w:r>
        <w:rPr>
          <w:rFonts w:hint="eastAsia" w:eastAsia="仿宋"/>
          <w:kern w:val="0"/>
          <w:sz w:val="32"/>
          <w:szCs w:val="32"/>
        </w:rPr>
        <w:t>5656.47</w:t>
      </w:r>
      <w:r>
        <w:rPr>
          <w:rFonts w:ascii="方正仿宋简体" w:eastAsia="方正仿宋简体"/>
          <w:kern w:val="0"/>
          <w:sz w:val="32"/>
          <w:szCs w:val="32"/>
        </w:rPr>
        <w:t>万元。结转资金未进行结余分配，全部结转下年</w:t>
      </w:r>
      <w:r>
        <w:rPr>
          <w:rFonts w:hint="eastAsia" w:eastAsia="仿宋"/>
          <w:kern w:val="0"/>
          <w:sz w:val="32"/>
          <w:szCs w:val="32"/>
        </w:rPr>
        <w:t>5656.47</w:t>
      </w:r>
      <w:r>
        <w:rPr>
          <w:rFonts w:ascii="方正仿宋简体" w:eastAsia="方正仿宋简体"/>
          <w:kern w:val="0"/>
          <w:sz w:val="32"/>
          <w:szCs w:val="32"/>
        </w:rPr>
        <w:t>万元。</w:t>
      </w:r>
    </w:p>
    <w:p>
      <w:pPr>
        <w:widowControl/>
        <w:adjustRightInd w:val="0"/>
        <w:snapToGrid w:val="0"/>
        <w:spacing w:line="578" w:lineRule="exact"/>
        <w:ind w:firstLine="640" w:firstLineChars="200"/>
        <w:contextualSpacing/>
        <w:jc w:val="left"/>
        <w:rPr>
          <w:rFonts w:ascii="方正黑体简体" w:hAnsi="宋体" w:eastAsia="方正黑体简体" w:cs="宋体"/>
          <w:color w:val="000000" w:themeColor="text1"/>
          <w:kern w:val="0"/>
          <w:sz w:val="32"/>
          <w:szCs w:val="32"/>
          <w:shd w:val="clear" w:color="auto" w:fill="FFFFFF"/>
        </w:rPr>
      </w:pPr>
      <w:r>
        <w:rPr>
          <w:rFonts w:hint="eastAsia" w:ascii="方正黑体简体" w:hAnsi="宋体" w:eastAsia="方正黑体简体" w:cs="宋体"/>
          <w:color w:val="000000" w:themeColor="text1"/>
          <w:kern w:val="0"/>
          <w:sz w:val="32"/>
          <w:szCs w:val="32"/>
          <w:shd w:val="clear" w:color="auto" w:fill="FFFFFF"/>
        </w:rPr>
        <w:t>三、部门整体预算绩效管理情况</w:t>
      </w:r>
    </w:p>
    <w:p>
      <w:pPr>
        <w:widowControl/>
        <w:adjustRightInd w:val="0"/>
        <w:snapToGrid w:val="0"/>
        <w:spacing w:line="578" w:lineRule="exact"/>
        <w:ind w:firstLine="576" w:firstLineChars="180"/>
        <w:contextualSpacing/>
        <w:jc w:val="left"/>
        <w:rPr>
          <w:rFonts w:ascii="方正楷体简体" w:eastAsia="方正楷体简体"/>
          <w:color w:val="000000"/>
          <w:kern w:val="0"/>
          <w:sz w:val="32"/>
          <w:szCs w:val="32"/>
          <w:shd w:val="clear" w:color="auto" w:fill="FFFFFF"/>
        </w:rPr>
      </w:pPr>
      <w:r>
        <w:rPr>
          <w:rFonts w:hint="eastAsia" w:ascii="方正楷体简体" w:eastAsia="方正楷体简体"/>
          <w:color w:val="000000"/>
          <w:kern w:val="0"/>
          <w:sz w:val="32"/>
          <w:szCs w:val="32"/>
          <w:shd w:val="clear" w:color="auto" w:fill="FFFFFF"/>
        </w:rPr>
        <w:t>（一）总体工作情况</w:t>
      </w:r>
    </w:p>
    <w:p>
      <w:pPr>
        <w:tabs>
          <w:tab w:val="left" w:pos="3885"/>
        </w:tabs>
        <w:snapToGrid w:val="0"/>
        <w:spacing w:line="578" w:lineRule="exact"/>
        <w:ind w:firstLine="640" w:firstLineChars="200"/>
        <w:rPr>
          <w:rFonts w:ascii="方正仿宋简体" w:eastAsia="方正仿宋简体"/>
          <w:kern w:val="0"/>
          <w:sz w:val="32"/>
          <w:szCs w:val="32"/>
        </w:rPr>
      </w:pPr>
      <w:r>
        <w:rPr>
          <w:rFonts w:hint="eastAsia" w:eastAsia="仿宋"/>
          <w:kern w:val="0"/>
          <w:sz w:val="32"/>
          <w:szCs w:val="32"/>
        </w:rPr>
        <w:t>2022</w:t>
      </w:r>
      <w:r>
        <w:rPr>
          <w:rFonts w:hint="eastAsia" w:ascii="方正仿宋简体" w:eastAsia="方正仿宋简体"/>
          <w:kern w:val="0"/>
          <w:sz w:val="32"/>
          <w:szCs w:val="32"/>
        </w:rPr>
        <w:t>年，我单位设定的总体工作目标为：在达川区教育局的领导下，贯彻落实党的二十大精神，坚持党建工作与学校发展同步推进，坚持作风建设与教师思想共同成长，加强校园文化建设，优化育人环境，深耕细作，抓好教育教研工作，促进老师专业成长，安全后勤齐抓共管，建设平安和谐校园。</w:t>
      </w:r>
      <w:r>
        <w:rPr>
          <w:rFonts w:eastAsia="仿宋"/>
          <w:kern w:val="0"/>
          <w:sz w:val="32"/>
          <w:szCs w:val="32"/>
        </w:rPr>
        <w:t>2022</w:t>
      </w:r>
      <w:r>
        <w:rPr>
          <w:rFonts w:hint="eastAsia" w:ascii="方正仿宋简体" w:eastAsia="方正仿宋简体"/>
          <w:kern w:val="0"/>
          <w:sz w:val="32"/>
          <w:szCs w:val="32"/>
        </w:rPr>
        <w:t>年年终各项工作任务均全面完成，完成质量较高。</w:t>
      </w:r>
    </w:p>
    <w:p>
      <w:pPr>
        <w:widowControl/>
        <w:adjustRightInd w:val="0"/>
        <w:snapToGrid w:val="0"/>
        <w:spacing w:line="578" w:lineRule="exact"/>
        <w:ind w:firstLine="576" w:firstLineChars="180"/>
        <w:contextualSpacing/>
        <w:jc w:val="left"/>
        <w:rPr>
          <w:rFonts w:ascii="方正楷体简体" w:eastAsia="方正楷体简体"/>
          <w:color w:val="000000"/>
          <w:kern w:val="0"/>
          <w:sz w:val="32"/>
          <w:szCs w:val="32"/>
          <w:shd w:val="clear" w:color="auto" w:fill="FFFFFF"/>
        </w:rPr>
      </w:pPr>
      <w:r>
        <w:rPr>
          <w:rFonts w:ascii="方正楷体简体" w:eastAsia="方正楷体简体"/>
          <w:color w:val="000000"/>
          <w:kern w:val="0"/>
          <w:sz w:val="32"/>
          <w:szCs w:val="32"/>
          <w:shd w:val="clear" w:color="auto" w:fill="FFFFFF"/>
        </w:rPr>
        <w:t>（</w:t>
      </w:r>
      <w:r>
        <w:rPr>
          <w:rFonts w:hint="eastAsia" w:ascii="方正楷体简体" w:eastAsia="方正楷体简体"/>
          <w:color w:val="000000"/>
          <w:kern w:val="0"/>
          <w:sz w:val="32"/>
          <w:szCs w:val="32"/>
          <w:shd w:val="clear" w:color="auto" w:fill="FFFFFF"/>
        </w:rPr>
        <w:t>二</w:t>
      </w:r>
      <w:r>
        <w:rPr>
          <w:rFonts w:ascii="方正楷体简体" w:eastAsia="方正楷体简体"/>
          <w:color w:val="000000"/>
          <w:kern w:val="0"/>
          <w:sz w:val="32"/>
          <w:szCs w:val="32"/>
          <w:shd w:val="clear" w:color="auto" w:fill="FFFFFF"/>
        </w:rPr>
        <w:t>）部门预算管理</w:t>
      </w:r>
    </w:p>
    <w:p>
      <w:pPr>
        <w:tabs>
          <w:tab w:val="left" w:pos="3885"/>
        </w:tabs>
        <w:snapToGrid w:val="0"/>
        <w:spacing w:line="578" w:lineRule="exact"/>
        <w:ind w:firstLine="640" w:firstLineChars="200"/>
        <w:rPr>
          <w:rFonts w:eastAsia="仿宋"/>
          <w:kern w:val="0"/>
          <w:sz w:val="32"/>
          <w:szCs w:val="32"/>
        </w:rPr>
      </w:pPr>
      <w:r>
        <w:rPr>
          <w:rFonts w:hint="eastAsia" w:eastAsia="仿宋"/>
          <w:kern w:val="0"/>
          <w:sz w:val="32"/>
          <w:szCs w:val="32"/>
        </w:rPr>
        <w:t>2022年，我单位各部门预算管理工作有序开展，现结合整体支出绩效评价指标体系，将主要情况总结如下：</w:t>
      </w:r>
    </w:p>
    <w:p>
      <w:pPr>
        <w:tabs>
          <w:tab w:val="left" w:pos="3885"/>
        </w:tabs>
        <w:snapToGrid w:val="0"/>
        <w:spacing w:line="578" w:lineRule="exact"/>
        <w:ind w:firstLine="640" w:firstLineChars="200"/>
        <w:rPr>
          <w:rFonts w:eastAsia="仿宋"/>
          <w:kern w:val="0"/>
          <w:sz w:val="32"/>
          <w:szCs w:val="32"/>
        </w:rPr>
      </w:pPr>
      <w:r>
        <w:rPr>
          <w:rFonts w:hint="eastAsia" w:eastAsia="仿宋"/>
          <w:kern w:val="0"/>
          <w:sz w:val="32"/>
          <w:szCs w:val="32"/>
        </w:rPr>
        <w:t>1.在“目标制定”方面，我单位严格按照绩效目标制定的相关规定，结合本单位部门预算项目的实际情况，完整、合理地制定各项目的绩效目标，无要素遗漏，绩效指标基本做到细化量化。部门绩效目标纳入单位党委会集体决策范围。该项指标分值为5分，自评得分5分。</w:t>
      </w:r>
    </w:p>
    <w:p>
      <w:pPr>
        <w:tabs>
          <w:tab w:val="left" w:pos="3885"/>
        </w:tabs>
        <w:snapToGrid w:val="0"/>
        <w:spacing w:line="578" w:lineRule="exact"/>
        <w:ind w:firstLine="640" w:firstLineChars="200"/>
        <w:rPr>
          <w:rFonts w:eastAsia="仿宋"/>
          <w:kern w:val="0"/>
          <w:sz w:val="32"/>
          <w:szCs w:val="32"/>
        </w:rPr>
      </w:pPr>
      <w:r>
        <w:rPr>
          <w:rFonts w:hint="eastAsia" w:eastAsia="仿宋"/>
          <w:kern w:val="0"/>
          <w:sz w:val="32"/>
          <w:szCs w:val="32"/>
        </w:rPr>
        <w:t>2.在“目标实现”方面，我单位2022年共1个部门预算项目，均属于特定目标类项目。部门所有纳入绩效目标管理的部门预算项目中涉及数量指标共计1个，已完成数量为1个。该项指标分值为10分，自评得分10分。</w:t>
      </w:r>
    </w:p>
    <w:p>
      <w:pPr>
        <w:tabs>
          <w:tab w:val="left" w:pos="3885"/>
        </w:tabs>
        <w:snapToGrid w:val="0"/>
        <w:spacing w:line="578" w:lineRule="exact"/>
        <w:ind w:firstLine="640" w:firstLineChars="200"/>
        <w:rPr>
          <w:rFonts w:eastAsia="仿宋"/>
          <w:kern w:val="0"/>
          <w:sz w:val="32"/>
          <w:szCs w:val="32"/>
        </w:rPr>
      </w:pPr>
      <w:r>
        <w:rPr>
          <w:rFonts w:hint="eastAsia" w:eastAsia="仿宋"/>
          <w:kern w:val="0"/>
          <w:sz w:val="32"/>
          <w:szCs w:val="32"/>
        </w:rPr>
        <w:t>3.在“支出控制”方面，我单位2022年日常公用经费、项目支出中“办公费、印刷费、水费、电费、物业管理费”年初预算额248.85万元，年末决算数291.44万元，偏差度17.11%。该项指标分值为2分，自评得1分。</w:t>
      </w:r>
    </w:p>
    <w:p>
      <w:pPr>
        <w:tabs>
          <w:tab w:val="left" w:pos="3885"/>
        </w:tabs>
        <w:snapToGrid w:val="0"/>
        <w:spacing w:line="578" w:lineRule="exact"/>
        <w:ind w:firstLine="640" w:firstLineChars="200"/>
        <w:rPr>
          <w:rFonts w:eastAsia="仿宋"/>
          <w:kern w:val="0"/>
          <w:sz w:val="32"/>
          <w:szCs w:val="32"/>
        </w:rPr>
      </w:pPr>
      <w:r>
        <w:rPr>
          <w:rFonts w:hint="eastAsia" w:eastAsia="仿宋"/>
          <w:kern w:val="0"/>
          <w:sz w:val="32"/>
          <w:szCs w:val="32"/>
        </w:rPr>
        <w:t>4.在“及时处置”方面，我单位部门绩效监控调整取消额（0万元）和结余注销额（0万元），该项指标分值为4分，指标自评得分4分。</w:t>
      </w:r>
    </w:p>
    <w:p>
      <w:pPr>
        <w:tabs>
          <w:tab w:val="left" w:pos="3885"/>
        </w:tabs>
        <w:snapToGrid w:val="0"/>
        <w:spacing w:line="578" w:lineRule="exact"/>
        <w:ind w:firstLine="640" w:firstLineChars="200"/>
        <w:rPr>
          <w:rFonts w:eastAsia="仿宋"/>
          <w:kern w:val="0"/>
          <w:sz w:val="32"/>
          <w:szCs w:val="32"/>
        </w:rPr>
      </w:pPr>
      <w:r>
        <w:rPr>
          <w:rFonts w:hint="eastAsia" w:eastAsia="仿宋"/>
          <w:kern w:val="0"/>
          <w:sz w:val="32"/>
          <w:szCs w:val="32"/>
        </w:rPr>
        <w:t>5.在“执行进度”方面，根据系统提取数据显示，我单位2022年6月、9月、11月执行进度分别为20%、60%、92%，该项指标分值为2分，按其实际进度占目标进度的比重计算得分2分。</w:t>
      </w:r>
    </w:p>
    <w:p>
      <w:pPr>
        <w:tabs>
          <w:tab w:val="left" w:pos="3885"/>
        </w:tabs>
        <w:snapToGrid w:val="0"/>
        <w:spacing w:line="578" w:lineRule="exact"/>
        <w:ind w:firstLine="640" w:firstLineChars="200"/>
        <w:rPr>
          <w:rFonts w:eastAsia="仿宋"/>
          <w:kern w:val="0"/>
          <w:sz w:val="32"/>
          <w:szCs w:val="32"/>
        </w:rPr>
      </w:pPr>
      <w:r>
        <w:rPr>
          <w:rFonts w:hint="eastAsia" w:eastAsia="仿宋"/>
          <w:kern w:val="0"/>
          <w:sz w:val="32"/>
          <w:szCs w:val="32"/>
        </w:rPr>
        <w:t>6.在“预算完成”方面，部门预算项目占年末预算执行进度达92%。该项指标分值为5分，按照实际进度量化计算，得分3分。</w:t>
      </w:r>
    </w:p>
    <w:p>
      <w:pPr>
        <w:tabs>
          <w:tab w:val="left" w:pos="3885"/>
        </w:tabs>
        <w:snapToGrid w:val="0"/>
        <w:spacing w:line="578" w:lineRule="exact"/>
        <w:ind w:firstLine="640" w:firstLineChars="200"/>
        <w:rPr>
          <w:rFonts w:eastAsia="仿宋"/>
          <w:kern w:val="0"/>
          <w:sz w:val="32"/>
          <w:szCs w:val="32"/>
        </w:rPr>
      </w:pPr>
      <w:r>
        <w:rPr>
          <w:rFonts w:hint="eastAsia" w:eastAsia="仿宋"/>
          <w:kern w:val="0"/>
          <w:sz w:val="32"/>
          <w:szCs w:val="32"/>
        </w:rPr>
        <w:t>7.在“资金结余率”方面，达川区实验小学部门预算项目共1项，无资金结余率小于0.1的项目。该项指标分值为8分，按照相应量化方法计算，得分8分。</w:t>
      </w:r>
    </w:p>
    <w:p>
      <w:pPr>
        <w:tabs>
          <w:tab w:val="left" w:pos="3885"/>
        </w:tabs>
        <w:snapToGrid w:val="0"/>
        <w:spacing w:line="578" w:lineRule="exact"/>
        <w:ind w:firstLine="640" w:firstLineChars="200"/>
        <w:rPr>
          <w:rFonts w:eastAsia="仿宋"/>
          <w:kern w:val="0"/>
          <w:sz w:val="32"/>
          <w:szCs w:val="32"/>
        </w:rPr>
      </w:pPr>
      <w:r>
        <w:rPr>
          <w:rFonts w:hint="eastAsia" w:eastAsia="仿宋"/>
          <w:kern w:val="0"/>
          <w:sz w:val="32"/>
          <w:szCs w:val="32"/>
        </w:rPr>
        <w:t>8.在违规记录上，我单位2022年没有出现部门预算管理方面违纪违规问题。该项指标分值为2分，自评得分2分。</w:t>
      </w:r>
    </w:p>
    <w:p>
      <w:pPr>
        <w:widowControl/>
        <w:adjustRightInd w:val="0"/>
        <w:snapToGrid w:val="0"/>
        <w:spacing w:line="578" w:lineRule="exact"/>
        <w:ind w:firstLine="576" w:firstLineChars="180"/>
        <w:contextualSpacing/>
        <w:jc w:val="left"/>
        <w:rPr>
          <w:rFonts w:ascii="方正楷体简体" w:eastAsia="方正楷体简体"/>
          <w:color w:val="000000"/>
          <w:kern w:val="0"/>
          <w:sz w:val="32"/>
          <w:szCs w:val="32"/>
          <w:shd w:val="clear" w:color="auto" w:fill="FFFFFF"/>
        </w:rPr>
      </w:pPr>
      <w:r>
        <w:rPr>
          <w:rFonts w:ascii="方正楷体简体" w:eastAsia="方正楷体简体"/>
          <w:color w:val="000000"/>
          <w:kern w:val="0"/>
          <w:sz w:val="32"/>
          <w:szCs w:val="32"/>
          <w:shd w:val="clear" w:color="auto" w:fill="FFFFFF"/>
        </w:rPr>
        <w:t>（</w:t>
      </w:r>
      <w:r>
        <w:rPr>
          <w:rFonts w:hint="eastAsia" w:ascii="方正楷体简体" w:eastAsia="方正楷体简体"/>
          <w:color w:val="000000"/>
          <w:kern w:val="0"/>
          <w:sz w:val="32"/>
          <w:szCs w:val="32"/>
          <w:shd w:val="clear" w:color="auto" w:fill="FFFFFF"/>
        </w:rPr>
        <w:t>三</w:t>
      </w:r>
      <w:r>
        <w:rPr>
          <w:rFonts w:ascii="方正楷体简体" w:eastAsia="方正楷体简体"/>
          <w:color w:val="000000"/>
          <w:kern w:val="0"/>
          <w:sz w:val="32"/>
          <w:szCs w:val="32"/>
          <w:shd w:val="clear" w:color="auto" w:fill="FFFFFF"/>
        </w:rPr>
        <w:t>）专项预算管理</w:t>
      </w:r>
    </w:p>
    <w:p>
      <w:pPr>
        <w:tabs>
          <w:tab w:val="left" w:pos="3885"/>
        </w:tabs>
        <w:snapToGrid w:val="0"/>
        <w:spacing w:line="578" w:lineRule="exact"/>
        <w:ind w:firstLine="643" w:firstLineChars="200"/>
        <w:rPr>
          <w:rFonts w:ascii="方正仿宋简体" w:eastAsia="方正仿宋简体"/>
          <w:b/>
          <w:kern w:val="0"/>
          <w:sz w:val="32"/>
          <w:szCs w:val="32"/>
        </w:rPr>
      </w:pPr>
      <w:r>
        <w:rPr>
          <w:rFonts w:eastAsia="仿宋"/>
          <w:b/>
          <w:kern w:val="0"/>
          <w:sz w:val="32"/>
          <w:szCs w:val="32"/>
        </w:rPr>
        <w:t>1.</w:t>
      </w:r>
      <w:r>
        <w:rPr>
          <w:rFonts w:ascii="方正仿宋简体" w:eastAsia="方正仿宋简体"/>
          <w:b/>
          <w:kern w:val="0"/>
          <w:sz w:val="32"/>
          <w:szCs w:val="32"/>
        </w:rPr>
        <w:t>专项预算的绩效</w:t>
      </w:r>
      <w:r>
        <w:rPr>
          <w:rFonts w:hint="eastAsia" w:ascii="方正仿宋简体" w:eastAsia="方正仿宋简体"/>
          <w:b/>
          <w:kern w:val="0"/>
          <w:sz w:val="32"/>
          <w:szCs w:val="32"/>
        </w:rPr>
        <w:t>评价</w:t>
      </w:r>
      <w:r>
        <w:rPr>
          <w:rFonts w:ascii="方正仿宋简体" w:eastAsia="方正仿宋简体"/>
          <w:b/>
          <w:kern w:val="0"/>
          <w:sz w:val="32"/>
          <w:szCs w:val="32"/>
        </w:rPr>
        <w:t>情况</w:t>
      </w:r>
    </w:p>
    <w:p>
      <w:pPr>
        <w:tabs>
          <w:tab w:val="left" w:pos="3885"/>
        </w:tabs>
        <w:snapToGrid w:val="0"/>
        <w:spacing w:line="578" w:lineRule="exact"/>
        <w:ind w:firstLine="640" w:firstLineChars="200"/>
        <w:rPr>
          <w:rFonts w:ascii="方正仿宋简体" w:eastAsia="方正仿宋简体"/>
          <w:kern w:val="0"/>
          <w:sz w:val="32"/>
          <w:szCs w:val="32"/>
        </w:rPr>
      </w:pPr>
      <w:r>
        <w:rPr>
          <w:rFonts w:eastAsia="仿宋"/>
          <w:kern w:val="0"/>
          <w:sz w:val="32"/>
          <w:szCs w:val="32"/>
        </w:rPr>
        <w:t>202</w:t>
      </w:r>
      <w:r>
        <w:rPr>
          <w:rFonts w:hint="eastAsia" w:eastAsia="仿宋"/>
          <w:kern w:val="0"/>
          <w:sz w:val="32"/>
          <w:szCs w:val="32"/>
        </w:rPr>
        <w:t>2</w:t>
      </w:r>
      <w:r>
        <w:rPr>
          <w:rFonts w:ascii="方正仿宋简体" w:eastAsia="方正仿宋简体"/>
          <w:kern w:val="0"/>
          <w:sz w:val="32"/>
          <w:szCs w:val="32"/>
        </w:rPr>
        <w:t>年度共有</w:t>
      </w:r>
      <w:r>
        <w:rPr>
          <w:rFonts w:hint="eastAsia" w:eastAsia="仿宋"/>
          <w:kern w:val="0"/>
          <w:sz w:val="32"/>
          <w:szCs w:val="32"/>
        </w:rPr>
        <w:t>1</w:t>
      </w:r>
      <w:r>
        <w:rPr>
          <w:rFonts w:ascii="方正仿宋简体" w:eastAsia="方正仿宋简体"/>
          <w:kern w:val="0"/>
          <w:sz w:val="32"/>
          <w:szCs w:val="32"/>
        </w:rPr>
        <w:t>个项目</w:t>
      </w:r>
      <w:r>
        <w:rPr>
          <w:rFonts w:hint="eastAsia" w:eastAsia="仿宋"/>
          <w:kern w:val="0"/>
          <w:sz w:val="32"/>
          <w:szCs w:val="32"/>
        </w:rPr>
        <w:t>，无</w:t>
      </w:r>
      <w:r>
        <w:rPr>
          <w:rFonts w:eastAsia="仿宋"/>
          <w:kern w:val="0"/>
          <w:sz w:val="32"/>
          <w:szCs w:val="32"/>
        </w:rPr>
        <w:t>追加项目，主要专项绩效预算</w:t>
      </w:r>
      <w:r>
        <w:rPr>
          <w:rFonts w:ascii="方正仿宋简体" w:eastAsia="方正仿宋简体"/>
          <w:kern w:val="0"/>
          <w:sz w:val="32"/>
          <w:szCs w:val="32"/>
        </w:rPr>
        <w:t>情况</w:t>
      </w:r>
      <w:r>
        <w:rPr>
          <w:rFonts w:hint="eastAsia" w:ascii="方正仿宋简体" w:eastAsia="方正仿宋简体"/>
          <w:kern w:val="0"/>
          <w:sz w:val="32"/>
          <w:szCs w:val="32"/>
        </w:rPr>
        <w:t>为</w:t>
      </w:r>
      <w:r>
        <w:rPr>
          <w:rFonts w:ascii="方正仿宋简体" w:eastAsia="方正仿宋简体"/>
          <w:kern w:val="0"/>
          <w:sz w:val="32"/>
          <w:szCs w:val="32"/>
        </w:rPr>
        <w:t>：</w:t>
      </w:r>
    </w:p>
    <w:p>
      <w:pPr>
        <w:tabs>
          <w:tab w:val="left" w:pos="3885"/>
        </w:tabs>
        <w:snapToGrid w:val="0"/>
        <w:spacing w:line="578" w:lineRule="exact"/>
        <w:ind w:firstLine="640" w:firstLineChars="200"/>
        <w:rPr>
          <w:rFonts w:ascii="方正仿宋简体" w:eastAsia="方正仿宋简体"/>
          <w:kern w:val="0"/>
          <w:sz w:val="32"/>
          <w:szCs w:val="32"/>
        </w:rPr>
      </w:pPr>
      <w:r>
        <w:rPr>
          <w:rFonts w:hint="eastAsia" w:ascii="方正仿宋简体" w:eastAsia="方正仿宋简体"/>
          <w:kern w:val="0"/>
          <w:sz w:val="32"/>
          <w:szCs w:val="32"/>
        </w:rPr>
        <w:t>购买安保服务专项项目</w:t>
      </w:r>
      <w:r>
        <w:rPr>
          <w:rFonts w:hint="eastAsia" w:eastAsia="仿宋"/>
          <w:kern w:val="0"/>
          <w:sz w:val="32"/>
          <w:szCs w:val="32"/>
        </w:rPr>
        <w:t>16.5</w:t>
      </w:r>
      <w:r>
        <w:rPr>
          <w:rFonts w:ascii="方正仿宋简体" w:eastAsia="方正仿宋简体"/>
          <w:kern w:val="0"/>
          <w:sz w:val="32"/>
          <w:szCs w:val="32"/>
        </w:rPr>
        <w:t>万元，全年目标</w:t>
      </w:r>
      <w:r>
        <w:rPr>
          <w:rFonts w:hint="eastAsia" w:ascii="方正仿宋简体" w:eastAsia="方正仿宋简体"/>
          <w:kern w:val="0"/>
          <w:sz w:val="32"/>
          <w:szCs w:val="32"/>
        </w:rPr>
        <w:t>为</w:t>
      </w:r>
      <w:r>
        <w:rPr>
          <w:rFonts w:hint="eastAsia" w:eastAsia="仿宋"/>
          <w:kern w:val="0"/>
          <w:sz w:val="32"/>
          <w:szCs w:val="32"/>
        </w:rPr>
        <w:t>2022</w:t>
      </w:r>
      <w:r>
        <w:rPr>
          <w:rFonts w:hint="eastAsia" w:ascii="方正仿宋简体" w:eastAsia="方正仿宋简体"/>
          <w:kern w:val="0"/>
          <w:sz w:val="32"/>
          <w:szCs w:val="32"/>
        </w:rPr>
        <w:t>年内计划发放学校物业管理服务费</w:t>
      </w:r>
      <w:r>
        <w:rPr>
          <w:rFonts w:hint="eastAsia" w:eastAsia="仿宋"/>
          <w:kern w:val="0"/>
          <w:sz w:val="32"/>
          <w:szCs w:val="32"/>
        </w:rPr>
        <w:t>16.5</w:t>
      </w:r>
      <w:r>
        <w:rPr>
          <w:rFonts w:hint="eastAsia" w:ascii="方正仿宋简体" w:eastAsia="方正仿宋简体"/>
          <w:kern w:val="0"/>
          <w:sz w:val="32"/>
          <w:szCs w:val="32"/>
        </w:rPr>
        <w:t>万元，涉及补贴对象数量</w:t>
      </w:r>
      <w:r>
        <w:rPr>
          <w:rFonts w:hint="eastAsia" w:eastAsia="仿宋"/>
          <w:kern w:val="0"/>
          <w:sz w:val="32"/>
          <w:szCs w:val="32"/>
        </w:rPr>
        <w:t>11</w:t>
      </w:r>
      <w:r>
        <w:rPr>
          <w:rFonts w:hint="eastAsia" w:ascii="方正仿宋简体" w:eastAsia="方正仿宋简体"/>
          <w:kern w:val="0"/>
          <w:sz w:val="32"/>
          <w:szCs w:val="32"/>
        </w:rPr>
        <w:t>人，目的是维护学校正常教育教学秩序，保障学校及师生的人身、财产安全。</w:t>
      </w:r>
      <w:r>
        <w:rPr>
          <w:rFonts w:hint="eastAsia" w:eastAsia="仿宋"/>
          <w:kern w:val="0"/>
          <w:sz w:val="32"/>
          <w:szCs w:val="32"/>
        </w:rPr>
        <w:t>2022</w:t>
      </w:r>
      <w:r>
        <w:rPr>
          <w:rFonts w:hint="eastAsia" w:ascii="方正仿宋简体" w:eastAsia="方正仿宋简体"/>
          <w:kern w:val="0"/>
          <w:sz w:val="32"/>
          <w:szCs w:val="32"/>
        </w:rPr>
        <w:t>年实际</w:t>
      </w:r>
      <w:r>
        <w:rPr>
          <w:rFonts w:ascii="方正仿宋简体" w:eastAsia="方正仿宋简体"/>
          <w:kern w:val="0"/>
          <w:sz w:val="32"/>
          <w:szCs w:val="32"/>
        </w:rPr>
        <w:t>完成</w:t>
      </w:r>
      <w:r>
        <w:rPr>
          <w:rFonts w:hint="eastAsia" w:eastAsia="仿宋"/>
          <w:kern w:val="0"/>
          <w:sz w:val="32"/>
          <w:szCs w:val="32"/>
        </w:rPr>
        <w:t>16.5</w:t>
      </w:r>
      <w:r>
        <w:rPr>
          <w:rFonts w:hint="eastAsia" w:ascii="方正仿宋简体" w:eastAsia="方正仿宋简体"/>
          <w:kern w:val="0"/>
          <w:sz w:val="32"/>
          <w:szCs w:val="32"/>
        </w:rPr>
        <w:t>万元</w:t>
      </w:r>
      <w:r>
        <w:rPr>
          <w:rFonts w:ascii="方正仿宋简体" w:eastAsia="方正仿宋简体"/>
          <w:kern w:val="0"/>
          <w:sz w:val="32"/>
          <w:szCs w:val="32"/>
        </w:rPr>
        <w:t>工作任务</w:t>
      </w:r>
      <w:r>
        <w:rPr>
          <w:rFonts w:hint="eastAsia" w:ascii="方正仿宋简体" w:eastAsia="方正仿宋简体"/>
          <w:kern w:val="0"/>
          <w:sz w:val="32"/>
          <w:szCs w:val="32"/>
        </w:rPr>
        <w:t>，已完成</w:t>
      </w:r>
      <w:r>
        <w:rPr>
          <w:rFonts w:hint="eastAsia" w:eastAsia="仿宋"/>
          <w:kern w:val="0"/>
          <w:sz w:val="32"/>
          <w:szCs w:val="32"/>
        </w:rPr>
        <w:t>100%</w:t>
      </w:r>
      <w:r>
        <w:rPr>
          <w:rFonts w:hint="eastAsia" w:ascii="方正仿宋简体" w:eastAsia="方正仿宋简体"/>
          <w:kern w:val="0"/>
          <w:sz w:val="32"/>
          <w:szCs w:val="32"/>
        </w:rPr>
        <w:t>；</w:t>
      </w:r>
    </w:p>
    <w:p>
      <w:pPr>
        <w:tabs>
          <w:tab w:val="left" w:pos="3885"/>
        </w:tabs>
        <w:snapToGrid w:val="0"/>
        <w:spacing w:line="578" w:lineRule="exact"/>
        <w:ind w:firstLine="643" w:firstLineChars="200"/>
        <w:rPr>
          <w:rFonts w:eastAsia="仿宋"/>
          <w:b/>
          <w:kern w:val="0"/>
          <w:sz w:val="32"/>
          <w:szCs w:val="32"/>
        </w:rPr>
      </w:pPr>
      <w:r>
        <w:rPr>
          <w:rFonts w:eastAsia="仿宋"/>
          <w:b/>
          <w:kern w:val="0"/>
          <w:sz w:val="32"/>
          <w:szCs w:val="32"/>
        </w:rPr>
        <w:t>2.专项绩效的执行情况</w:t>
      </w:r>
    </w:p>
    <w:p>
      <w:pPr>
        <w:tabs>
          <w:tab w:val="left" w:pos="3885"/>
        </w:tabs>
        <w:snapToGrid w:val="0"/>
        <w:spacing w:line="578" w:lineRule="exact"/>
        <w:ind w:firstLine="640" w:firstLineChars="200"/>
        <w:rPr>
          <w:rFonts w:ascii="方正仿宋简体" w:eastAsia="方正仿宋简体"/>
          <w:kern w:val="0"/>
          <w:sz w:val="32"/>
          <w:szCs w:val="32"/>
        </w:rPr>
      </w:pPr>
      <w:r>
        <w:rPr>
          <w:rFonts w:ascii="方正仿宋简体" w:eastAsia="方正仿宋简体"/>
          <w:kern w:val="0"/>
          <w:sz w:val="32"/>
          <w:szCs w:val="32"/>
        </w:rPr>
        <w:t>绩效目标项目年初有</w:t>
      </w:r>
      <w:r>
        <w:rPr>
          <w:rFonts w:hint="eastAsia" w:eastAsia="仿宋"/>
          <w:kern w:val="0"/>
          <w:sz w:val="32"/>
          <w:szCs w:val="32"/>
        </w:rPr>
        <w:t>1</w:t>
      </w:r>
      <w:r>
        <w:rPr>
          <w:rFonts w:ascii="方正仿宋简体" w:eastAsia="方正仿宋简体"/>
          <w:kern w:val="0"/>
          <w:sz w:val="32"/>
          <w:szCs w:val="32"/>
        </w:rPr>
        <w:t>个，开展绩效评价项目</w:t>
      </w:r>
      <w:r>
        <w:rPr>
          <w:rFonts w:hint="eastAsia" w:eastAsia="仿宋"/>
          <w:kern w:val="0"/>
          <w:sz w:val="32"/>
          <w:szCs w:val="32"/>
        </w:rPr>
        <w:t>1</w:t>
      </w:r>
      <w:r>
        <w:rPr>
          <w:rFonts w:ascii="方正仿宋简体" w:eastAsia="方正仿宋简体"/>
          <w:kern w:val="0"/>
          <w:sz w:val="32"/>
          <w:szCs w:val="32"/>
        </w:rPr>
        <w:t>个，开展自评项目数</w:t>
      </w:r>
      <w:r>
        <w:rPr>
          <w:rFonts w:hint="eastAsia" w:eastAsia="仿宋"/>
          <w:kern w:val="0"/>
          <w:sz w:val="32"/>
          <w:szCs w:val="32"/>
        </w:rPr>
        <w:t>1</w:t>
      </w:r>
      <w:r>
        <w:rPr>
          <w:rFonts w:ascii="方正仿宋简体" w:eastAsia="方正仿宋简体"/>
          <w:kern w:val="0"/>
          <w:sz w:val="32"/>
          <w:szCs w:val="32"/>
        </w:rPr>
        <w:t>个，完成绩效评价数</w:t>
      </w:r>
      <w:r>
        <w:rPr>
          <w:rFonts w:hint="eastAsia" w:eastAsia="仿宋"/>
          <w:kern w:val="0"/>
          <w:sz w:val="32"/>
          <w:szCs w:val="32"/>
        </w:rPr>
        <w:t>1</w:t>
      </w:r>
      <w:r>
        <w:rPr>
          <w:rFonts w:ascii="方正仿宋简体" w:eastAsia="方正仿宋简体"/>
          <w:kern w:val="0"/>
          <w:sz w:val="32"/>
          <w:szCs w:val="32"/>
        </w:rPr>
        <w:t>个；应填报绩效目标的项目数</w:t>
      </w:r>
      <w:r>
        <w:rPr>
          <w:rFonts w:hint="eastAsia" w:eastAsia="仿宋"/>
          <w:kern w:val="0"/>
          <w:sz w:val="32"/>
          <w:szCs w:val="32"/>
        </w:rPr>
        <w:t>1</w:t>
      </w:r>
      <w:r>
        <w:rPr>
          <w:rFonts w:ascii="方正仿宋简体" w:eastAsia="方正仿宋简体"/>
          <w:kern w:val="0"/>
          <w:sz w:val="32"/>
          <w:szCs w:val="32"/>
        </w:rPr>
        <w:t>个、应开展绩效监控的项目</w:t>
      </w:r>
      <w:r>
        <w:rPr>
          <w:rFonts w:hint="eastAsia" w:eastAsia="仿宋"/>
          <w:kern w:val="0"/>
          <w:sz w:val="32"/>
          <w:szCs w:val="32"/>
        </w:rPr>
        <w:t>1</w:t>
      </w:r>
      <w:r>
        <w:rPr>
          <w:rFonts w:ascii="方正仿宋简体" w:eastAsia="方正仿宋简体"/>
          <w:kern w:val="0"/>
          <w:sz w:val="32"/>
          <w:szCs w:val="32"/>
        </w:rPr>
        <w:t>个和应开展绩效自评项目</w:t>
      </w:r>
      <w:r>
        <w:rPr>
          <w:rFonts w:hint="eastAsia" w:eastAsia="仿宋"/>
          <w:kern w:val="0"/>
          <w:sz w:val="32"/>
          <w:szCs w:val="32"/>
        </w:rPr>
        <w:t>1</w:t>
      </w:r>
      <w:r>
        <w:rPr>
          <w:rFonts w:ascii="方正仿宋简体" w:eastAsia="方正仿宋简体"/>
          <w:kern w:val="0"/>
          <w:sz w:val="32"/>
          <w:szCs w:val="32"/>
        </w:rPr>
        <w:t>个，应完成绩效工作数为</w:t>
      </w:r>
      <w:r>
        <w:rPr>
          <w:rFonts w:hint="eastAsia" w:eastAsia="仿宋"/>
          <w:kern w:val="0"/>
          <w:sz w:val="32"/>
          <w:szCs w:val="32"/>
        </w:rPr>
        <w:t>1</w:t>
      </w:r>
      <w:r>
        <w:rPr>
          <w:rFonts w:ascii="方正仿宋简体" w:eastAsia="方正仿宋简体"/>
          <w:kern w:val="0"/>
          <w:sz w:val="32"/>
          <w:szCs w:val="32"/>
        </w:rPr>
        <w:t>个。项目</w:t>
      </w:r>
      <w:r>
        <w:rPr>
          <w:rFonts w:hint="eastAsia" w:ascii="方正仿宋简体" w:eastAsia="方正仿宋简体"/>
          <w:kern w:val="0"/>
          <w:sz w:val="32"/>
          <w:szCs w:val="32"/>
        </w:rPr>
        <w:t>执行率达</w:t>
      </w:r>
      <w:r>
        <w:rPr>
          <w:rFonts w:hint="eastAsia" w:eastAsia="仿宋"/>
          <w:kern w:val="0"/>
          <w:sz w:val="32"/>
          <w:szCs w:val="32"/>
        </w:rPr>
        <w:t>100</w:t>
      </w:r>
      <w:r>
        <w:rPr>
          <w:rFonts w:eastAsia="仿宋"/>
          <w:kern w:val="0"/>
          <w:sz w:val="32"/>
          <w:szCs w:val="32"/>
        </w:rPr>
        <w:t>%</w:t>
      </w:r>
      <w:r>
        <w:rPr>
          <w:rFonts w:ascii="方正仿宋简体" w:eastAsia="方正仿宋简体"/>
          <w:kern w:val="0"/>
          <w:sz w:val="32"/>
          <w:szCs w:val="32"/>
        </w:rPr>
        <w:t>以上的项目</w:t>
      </w:r>
      <w:r>
        <w:rPr>
          <w:rFonts w:hint="eastAsia" w:eastAsia="仿宋"/>
          <w:kern w:val="0"/>
          <w:sz w:val="32"/>
          <w:szCs w:val="32"/>
        </w:rPr>
        <w:t>1</w:t>
      </w:r>
      <w:r>
        <w:rPr>
          <w:rFonts w:ascii="方正仿宋简体" w:eastAsia="方正仿宋简体"/>
          <w:kern w:val="0"/>
          <w:sz w:val="32"/>
          <w:szCs w:val="32"/>
        </w:rPr>
        <w:t>项</w:t>
      </w:r>
      <w:r>
        <w:rPr>
          <w:rFonts w:hint="eastAsia" w:ascii="方正仿宋简体" w:eastAsia="方正仿宋简体"/>
          <w:kern w:val="0"/>
          <w:sz w:val="32"/>
          <w:szCs w:val="32"/>
        </w:rPr>
        <w:t>，</w:t>
      </w:r>
      <w:r>
        <w:rPr>
          <w:rFonts w:ascii="方正仿宋简体" w:eastAsia="方正仿宋简体"/>
          <w:kern w:val="0"/>
          <w:sz w:val="32"/>
          <w:szCs w:val="32"/>
        </w:rPr>
        <w:t>项目综合完成率为</w:t>
      </w:r>
      <w:r>
        <w:rPr>
          <w:rFonts w:hint="eastAsia" w:eastAsia="仿宋"/>
          <w:kern w:val="0"/>
          <w:sz w:val="32"/>
          <w:szCs w:val="32"/>
        </w:rPr>
        <w:t>100</w:t>
      </w:r>
      <w:r>
        <w:rPr>
          <w:rFonts w:eastAsia="仿宋"/>
          <w:kern w:val="0"/>
          <w:sz w:val="32"/>
          <w:szCs w:val="32"/>
        </w:rPr>
        <w:t>%</w:t>
      </w:r>
      <w:r>
        <w:rPr>
          <w:rFonts w:ascii="方正仿宋简体" w:eastAsia="方正仿宋简体"/>
          <w:kern w:val="0"/>
          <w:sz w:val="32"/>
          <w:szCs w:val="32"/>
        </w:rPr>
        <w:t>。</w:t>
      </w:r>
    </w:p>
    <w:p>
      <w:pPr>
        <w:tabs>
          <w:tab w:val="left" w:pos="3885"/>
        </w:tabs>
        <w:snapToGrid w:val="0"/>
        <w:spacing w:line="578" w:lineRule="exact"/>
        <w:ind w:firstLine="640" w:firstLineChars="200"/>
        <w:rPr>
          <w:rFonts w:ascii="方正仿宋简体" w:eastAsia="方正仿宋简体"/>
          <w:kern w:val="0"/>
          <w:sz w:val="32"/>
          <w:szCs w:val="32"/>
        </w:rPr>
      </w:pPr>
      <w:r>
        <w:rPr>
          <w:rFonts w:ascii="方正仿宋简体" w:eastAsia="方正仿宋简体"/>
          <w:kern w:val="0"/>
          <w:sz w:val="32"/>
          <w:szCs w:val="32"/>
        </w:rPr>
        <w:t>专项预算管理</w:t>
      </w:r>
      <w:r>
        <w:rPr>
          <w:rFonts w:hint="eastAsia" w:ascii="方正仿宋简体" w:eastAsia="方正仿宋简体"/>
          <w:kern w:val="0"/>
          <w:sz w:val="32"/>
          <w:szCs w:val="32"/>
        </w:rPr>
        <w:t>分值为</w:t>
      </w:r>
      <w:r>
        <w:rPr>
          <w:rFonts w:hint="eastAsia" w:eastAsia="仿宋"/>
          <w:kern w:val="0"/>
          <w:sz w:val="32"/>
          <w:szCs w:val="32"/>
        </w:rPr>
        <w:t>40</w:t>
      </w:r>
      <w:r>
        <w:rPr>
          <w:rFonts w:hint="eastAsia" w:ascii="方正仿宋简体" w:eastAsia="方正仿宋简体"/>
          <w:kern w:val="0"/>
          <w:sz w:val="32"/>
          <w:szCs w:val="32"/>
        </w:rPr>
        <w:t>分，自评得分为</w:t>
      </w:r>
      <w:r>
        <w:rPr>
          <w:rFonts w:hint="eastAsia" w:eastAsia="仿宋"/>
          <w:kern w:val="0"/>
          <w:sz w:val="32"/>
          <w:szCs w:val="32"/>
        </w:rPr>
        <w:t>38</w:t>
      </w:r>
      <w:r>
        <w:rPr>
          <w:rFonts w:hint="eastAsia" w:ascii="方正仿宋简体" w:eastAsia="方正仿宋简体"/>
          <w:kern w:val="0"/>
          <w:sz w:val="32"/>
          <w:szCs w:val="32"/>
        </w:rPr>
        <w:t>分。</w:t>
      </w:r>
    </w:p>
    <w:p>
      <w:pPr>
        <w:widowControl/>
        <w:adjustRightInd w:val="0"/>
        <w:snapToGrid w:val="0"/>
        <w:spacing w:line="578" w:lineRule="exact"/>
        <w:ind w:firstLine="576" w:firstLineChars="180"/>
        <w:contextualSpacing/>
        <w:jc w:val="left"/>
        <w:rPr>
          <w:rFonts w:ascii="方正楷体简体" w:eastAsia="方正楷体简体"/>
          <w:color w:val="000000"/>
          <w:kern w:val="0"/>
          <w:sz w:val="32"/>
          <w:szCs w:val="32"/>
          <w:shd w:val="clear" w:color="auto" w:fill="FFFFFF"/>
        </w:rPr>
      </w:pPr>
      <w:r>
        <w:rPr>
          <w:rFonts w:hint="eastAsia" w:ascii="方正楷体简体" w:eastAsia="方正楷体简体"/>
          <w:color w:val="000000"/>
          <w:kern w:val="0"/>
          <w:sz w:val="32"/>
          <w:szCs w:val="32"/>
          <w:shd w:val="clear" w:color="auto" w:fill="FFFFFF"/>
        </w:rPr>
        <w:t>（四）结果运用情况</w:t>
      </w:r>
    </w:p>
    <w:p>
      <w:pPr>
        <w:tabs>
          <w:tab w:val="left" w:pos="3885"/>
        </w:tabs>
        <w:snapToGrid w:val="0"/>
        <w:spacing w:line="578" w:lineRule="exact"/>
        <w:ind w:firstLine="640" w:firstLineChars="200"/>
        <w:rPr>
          <w:rFonts w:ascii="方正仿宋简体" w:eastAsia="方正仿宋简体"/>
          <w:kern w:val="0"/>
          <w:sz w:val="32"/>
          <w:szCs w:val="32"/>
        </w:rPr>
      </w:pPr>
      <w:r>
        <w:rPr>
          <w:rFonts w:hint="eastAsia" w:eastAsia="仿宋"/>
          <w:kern w:val="0"/>
          <w:sz w:val="32"/>
          <w:szCs w:val="32"/>
        </w:rPr>
        <w:t>1.</w:t>
      </w:r>
      <w:r>
        <w:rPr>
          <w:rFonts w:hint="eastAsia" w:ascii="方正仿宋简体" w:eastAsia="方正仿宋简体"/>
          <w:kern w:val="0"/>
          <w:sz w:val="32"/>
          <w:szCs w:val="32"/>
        </w:rPr>
        <w:t>在“预算挂钩”方面，我部门单位已出台全面实施预算绩效管理工作方案，细化考核内容，加强各业务股室与绩效管理工作的联系，明确考核及绩效结果与专项预算安排挂钩举措，推动绩效管理工作更好的实施。该项指标分值为</w:t>
      </w:r>
      <w:r>
        <w:rPr>
          <w:rFonts w:hint="eastAsia" w:eastAsia="仿宋"/>
          <w:kern w:val="0"/>
          <w:sz w:val="32"/>
          <w:szCs w:val="32"/>
        </w:rPr>
        <w:t>4</w:t>
      </w:r>
      <w:r>
        <w:rPr>
          <w:rFonts w:hint="eastAsia" w:ascii="方正仿宋简体" w:eastAsia="方正仿宋简体"/>
          <w:kern w:val="0"/>
          <w:sz w:val="32"/>
          <w:szCs w:val="32"/>
        </w:rPr>
        <w:t>分，自评得分</w:t>
      </w:r>
      <w:r>
        <w:rPr>
          <w:rFonts w:hint="eastAsia" w:eastAsia="仿宋"/>
          <w:kern w:val="0"/>
          <w:sz w:val="32"/>
          <w:szCs w:val="32"/>
        </w:rPr>
        <w:t>4</w:t>
      </w:r>
      <w:r>
        <w:rPr>
          <w:rFonts w:hint="eastAsia" w:ascii="方正仿宋简体" w:eastAsia="方正仿宋简体"/>
          <w:kern w:val="0"/>
          <w:sz w:val="32"/>
          <w:szCs w:val="32"/>
        </w:rPr>
        <w:t>分。</w:t>
      </w:r>
    </w:p>
    <w:p>
      <w:pPr>
        <w:tabs>
          <w:tab w:val="left" w:pos="3885"/>
        </w:tabs>
        <w:snapToGrid w:val="0"/>
        <w:spacing w:line="578" w:lineRule="exact"/>
        <w:ind w:firstLine="640" w:firstLineChars="200"/>
        <w:rPr>
          <w:rFonts w:ascii="方正仿宋简体" w:eastAsia="方正仿宋简体"/>
          <w:kern w:val="0"/>
          <w:sz w:val="32"/>
          <w:szCs w:val="32"/>
        </w:rPr>
      </w:pPr>
      <w:r>
        <w:rPr>
          <w:rFonts w:hint="eastAsia" w:eastAsia="仿宋"/>
          <w:kern w:val="0"/>
          <w:sz w:val="32"/>
          <w:szCs w:val="32"/>
        </w:rPr>
        <w:t>2.</w:t>
      </w:r>
      <w:r>
        <w:rPr>
          <w:rFonts w:hint="eastAsia" w:ascii="方正仿宋简体" w:eastAsia="方正仿宋简体"/>
          <w:kern w:val="0"/>
          <w:sz w:val="32"/>
          <w:szCs w:val="32"/>
        </w:rPr>
        <w:t>在“自评公开”方面，达川区实验小学严格按照预决算编制要求编制绩效目标，填列绩效目标完成情况，开展绩效自评工作，并按要求将相关绩效信息随部门预算一并在厅门户网站公开。该项指标分值为</w:t>
      </w:r>
      <w:r>
        <w:rPr>
          <w:rFonts w:hint="eastAsia" w:eastAsia="仿宋"/>
          <w:kern w:val="0"/>
          <w:sz w:val="32"/>
          <w:szCs w:val="32"/>
        </w:rPr>
        <w:t>2</w:t>
      </w:r>
      <w:r>
        <w:rPr>
          <w:rFonts w:hint="eastAsia" w:ascii="方正仿宋简体" w:eastAsia="方正仿宋简体"/>
          <w:kern w:val="0"/>
          <w:sz w:val="32"/>
          <w:szCs w:val="32"/>
        </w:rPr>
        <w:t>分，自评得分</w:t>
      </w:r>
      <w:r>
        <w:rPr>
          <w:rFonts w:hint="eastAsia" w:eastAsia="仿宋"/>
          <w:kern w:val="0"/>
          <w:sz w:val="32"/>
          <w:szCs w:val="32"/>
        </w:rPr>
        <w:t>2</w:t>
      </w:r>
      <w:r>
        <w:rPr>
          <w:rFonts w:hint="eastAsia" w:ascii="方正仿宋简体" w:eastAsia="方正仿宋简体"/>
          <w:kern w:val="0"/>
          <w:sz w:val="32"/>
          <w:szCs w:val="32"/>
        </w:rPr>
        <w:t>分。</w:t>
      </w:r>
    </w:p>
    <w:p>
      <w:pPr>
        <w:tabs>
          <w:tab w:val="left" w:pos="3885"/>
        </w:tabs>
        <w:snapToGrid w:val="0"/>
        <w:spacing w:line="578" w:lineRule="exact"/>
        <w:ind w:firstLine="640" w:firstLineChars="200"/>
        <w:rPr>
          <w:rFonts w:ascii="方正仿宋简体" w:eastAsia="方正仿宋简体"/>
          <w:kern w:val="0"/>
          <w:sz w:val="32"/>
          <w:szCs w:val="32"/>
        </w:rPr>
      </w:pPr>
      <w:r>
        <w:rPr>
          <w:rFonts w:hint="eastAsia" w:eastAsia="仿宋"/>
          <w:kern w:val="0"/>
          <w:sz w:val="32"/>
          <w:szCs w:val="32"/>
        </w:rPr>
        <w:t>3.</w:t>
      </w:r>
      <w:r>
        <w:rPr>
          <w:rFonts w:hint="eastAsia" w:ascii="方正仿宋简体" w:eastAsia="方正仿宋简体"/>
          <w:kern w:val="0"/>
          <w:sz w:val="32"/>
          <w:szCs w:val="32"/>
        </w:rPr>
        <w:t>在“问题整改”方面，结合部门预算项目实际情况，确保绩效目标设置要素完整，并基本做到细化量化；对发现执行进度偏低的项目，要求各部门加快预算执行进度；针对我单位原内部考核办法中有关预算绩效考核的内容不够完善且难以量化考核的情况，及时完善了相关考核办法，细化了考核指标。该项指标分值为</w:t>
      </w:r>
      <w:r>
        <w:rPr>
          <w:rFonts w:hint="eastAsia" w:eastAsia="仿宋"/>
          <w:kern w:val="0"/>
          <w:sz w:val="32"/>
          <w:szCs w:val="32"/>
        </w:rPr>
        <w:t>2</w:t>
      </w:r>
      <w:r>
        <w:rPr>
          <w:rFonts w:hint="eastAsia" w:ascii="方正仿宋简体" w:eastAsia="方正仿宋简体"/>
          <w:kern w:val="0"/>
          <w:sz w:val="32"/>
          <w:szCs w:val="32"/>
        </w:rPr>
        <w:t>分，自评得分</w:t>
      </w:r>
      <w:r>
        <w:rPr>
          <w:rFonts w:hint="eastAsia" w:eastAsia="仿宋"/>
          <w:kern w:val="0"/>
          <w:sz w:val="32"/>
          <w:szCs w:val="32"/>
        </w:rPr>
        <w:t>2</w:t>
      </w:r>
      <w:r>
        <w:rPr>
          <w:rFonts w:hint="eastAsia" w:ascii="方正仿宋简体" w:eastAsia="方正仿宋简体"/>
          <w:kern w:val="0"/>
          <w:sz w:val="32"/>
          <w:szCs w:val="32"/>
        </w:rPr>
        <w:t>分。</w:t>
      </w:r>
    </w:p>
    <w:p>
      <w:pPr>
        <w:tabs>
          <w:tab w:val="left" w:pos="3885"/>
        </w:tabs>
        <w:snapToGrid w:val="0"/>
        <w:spacing w:line="578" w:lineRule="exact"/>
        <w:ind w:firstLine="640" w:firstLineChars="200"/>
        <w:rPr>
          <w:rFonts w:ascii="方正仿宋简体" w:eastAsia="方正仿宋简体"/>
          <w:kern w:val="0"/>
          <w:sz w:val="32"/>
          <w:szCs w:val="32"/>
        </w:rPr>
      </w:pPr>
      <w:r>
        <w:rPr>
          <w:rFonts w:hint="eastAsia" w:eastAsia="仿宋"/>
          <w:kern w:val="0"/>
          <w:sz w:val="32"/>
          <w:szCs w:val="32"/>
        </w:rPr>
        <w:t>4.</w:t>
      </w:r>
      <w:r>
        <w:rPr>
          <w:rFonts w:hint="eastAsia" w:ascii="方正仿宋简体" w:eastAsia="方正仿宋简体"/>
          <w:kern w:val="0"/>
          <w:sz w:val="32"/>
          <w:szCs w:val="32"/>
        </w:rPr>
        <w:t>在应用绩效反馈上，我单位已按要求在规定时间内将预算绩效结果、应用绩效结果向财政局反馈。该项指标分值为</w:t>
      </w:r>
      <w:r>
        <w:rPr>
          <w:rFonts w:hint="eastAsia" w:eastAsia="仿宋"/>
          <w:kern w:val="0"/>
          <w:sz w:val="32"/>
          <w:szCs w:val="32"/>
        </w:rPr>
        <w:t>2</w:t>
      </w:r>
      <w:r>
        <w:rPr>
          <w:rFonts w:hint="eastAsia" w:ascii="方正仿宋简体" w:eastAsia="方正仿宋简体"/>
          <w:kern w:val="0"/>
          <w:sz w:val="32"/>
          <w:szCs w:val="32"/>
        </w:rPr>
        <w:t>分，自评得分</w:t>
      </w:r>
      <w:r>
        <w:rPr>
          <w:rFonts w:hint="eastAsia" w:eastAsia="仿宋"/>
          <w:kern w:val="0"/>
          <w:sz w:val="32"/>
          <w:szCs w:val="32"/>
        </w:rPr>
        <w:t>2</w:t>
      </w:r>
      <w:r>
        <w:rPr>
          <w:rFonts w:hint="eastAsia" w:ascii="方正仿宋简体" w:eastAsia="方正仿宋简体"/>
          <w:kern w:val="0"/>
          <w:sz w:val="32"/>
          <w:szCs w:val="32"/>
        </w:rPr>
        <w:t>分。</w:t>
      </w:r>
    </w:p>
    <w:p>
      <w:pPr>
        <w:widowControl/>
        <w:adjustRightInd w:val="0"/>
        <w:snapToGrid w:val="0"/>
        <w:spacing w:line="578" w:lineRule="exact"/>
        <w:ind w:firstLine="576" w:firstLineChars="180"/>
        <w:contextualSpacing/>
        <w:jc w:val="left"/>
        <w:rPr>
          <w:rFonts w:ascii="方正楷体简体" w:eastAsia="方正楷体简体"/>
          <w:color w:val="000000"/>
          <w:kern w:val="0"/>
          <w:sz w:val="32"/>
          <w:szCs w:val="32"/>
          <w:shd w:val="clear" w:color="auto" w:fill="FFFFFF"/>
        </w:rPr>
      </w:pPr>
      <w:r>
        <w:rPr>
          <w:rFonts w:hint="eastAsia" w:ascii="方正楷体简体" w:eastAsia="方正楷体简体"/>
          <w:color w:val="000000"/>
          <w:kern w:val="0"/>
          <w:sz w:val="32"/>
          <w:szCs w:val="32"/>
          <w:shd w:val="clear" w:color="auto" w:fill="FFFFFF"/>
        </w:rPr>
        <w:t>（五）自评质量情况</w:t>
      </w:r>
    </w:p>
    <w:p>
      <w:pPr>
        <w:tabs>
          <w:tab w:val="left" w:pos="3885"/>
        </w:tabs>
        <w:snapToGrid w:val="0"/>
        <w:spacing w:line="578" w:lineRule="exact"/>
        <w:ind w:firstLine="640" w:firstLineChars="200"/>
        <w:rPr>
          <w:rFonts w:ascii="方正仿宋简体" w:eastAsia="方正仿宋简体"/>
          <w:kern w:val="0"/>
          <w:sz w:val="32"/>
          <w:szCs w:val="32"/>
        </w:rPr>
      </w:pPr>
      <w:r>
        <w:rPr>
          <w:rFonts w:hint="eastAsia" w:ascii="方正仿宋简体" w:eastAsia="方正仿宋简体"/>
          <w:kern w:val="0"/>
          <w:sz w:val="32"/>
          <w:szCs w:val="32"/>
        </w:rPr>
        <w:t>达川区实验小学整体支出自评准确率较高，且全面开展自评。自评质量分值为</w:t>
      </w:r>
      <w:r>
        <w:rPr>
          <w:rFonts w:hint="eastAsia" w:eastAsia="仿宋"/>
          <w:kern w:val="0"/>
          <w:sz w:val="32"/>
          <w:szCs w:val="32"/>
        </w:rPr>
        <w:t>10</w:t>
      </w:r>
      <w:r>
        <w:rPr>
          <w:rFonts w:hint="eastAsia" w:ascii="方正仿宋简体" w:eastAsia="方正仿宋简体"/>
          <w:kern w:val="0"/>
          <w:sz w:val="32"/>
          <w:szCs w:val="32"/>
        </w:rPr>
        <w:t>分，由主管部门、财政部门</w:t>
      </w:r>
      <w:r>
        <w:rPr>
          <w:rFonts w:hint="eastAsia" w:ascii="方正仿宋简体" w:eastAsia="方正仿宋简体"/>
          <w:kern w:val="0"/>
          <w:sz w:val="32"/>
          <w:szCs w:val="32"/>
          <w:lang w:eastAsia="zh-CN"/>
        </w:rPr>
        <w:t>、</w:t>
      </w:r>
      <w:r>
        <w:rPr>
          <w:rFonts w:hint="eastAsia" w:ascii="方正仿宋简体" w:eastAsia="方正仿宋简体"/>
          <w:kern w:val="0"/>
          <w:sz w:val="32"/>
          <w:szCs w:val="32"/>
        </w:rPr>
        <w:t>考评单位自评</w:t>
      </w:r>
      <w:r>
        <w:rPr>
          <w:rFonts w:hint="eastAsia" w:ascii="方正仿宋简体" w:eastAsia="方正仿宋简体"/>
          <w:kern w:val="0"/>
          <w:sz w:val="32"/>
          <w:szCs w:val="32"/>
          <w:lang w:eastAsia="zh-CN"/>
        </w:rPr>
        <w:t>，</w:t>
      </w:r>
      <w:r>
        <w:rPr>
          <w:rFonts w:hint="eastAsia" w:ascii="方正仿宋简体" w:eastAsia="方正仿宋简体"/>
          <w:kern w:val="0"/>
          <w:sz w:val="32"/>
          <w:szCs w:val="32"/>
        </w:rPr>
        <w:t>实际总分为</w:t>
      </w:r>
      <w:r>
        <w:rPr>
          <w:rFonts w:hint="eastAsia" w:eastAsia="仿宋"/>
          <w:kern w:val="0"/>
          <w:sz w:val="32"/>
          <w:szCs w:val="32"/>
        </w:rPr>
        <w:t>90</w:t>
      </w:r>
      <w:r>
        <w:rPr>
          <w:rFonts w:hint="eastAsia" w:ascii="方正仿宋简体" w:eastAsia="方正仿宋简体"/>
          <w:kern w:val="0"/>
          <w:sz w:val="32"/>
          <w:szCs w:val="32"/>
        </w:rPr>
        <w:t>分。</w:t>
      </w:r>
    </w:p>
    <w:p>
      <w:pPr>
        <w:tabs>
          <w:tab w:val="left" w:pos="3885"/>
        </w:tabs>
        <w:snapToGrid w:val="0"/>
        <w:spacing w:line="578" w:lineRule="exact"/>
        <w:ind w:firstLine="640" w:firstLineChars="200"/>
        <w:rPr>
          <w:rFonts w:ascii="方正仿宋简体" w:eastAsia="方正仿宋简体"/>
          <w:kern w:val="0"/>
          <w:sz w:val="32"/>
          <w:szCs w:val="32"/>
        </w:rPr>
      </w:pPr>
      <w:r>
        <w:rPr>
          <w:rFonts w:hint="eastAsia" w:eastAsia="仿宋"/>
          <w:kern w:val="0"/>
          <w:sz w:val="32"/>
          <w:szCs w:val="32"/>
        </w:rPr>
        <w:t>2022</w:t>
      </w:r>
      <w:r>
        <w:rPr>
          <w:rFonts w:hint="eastAsia" w:ascii="方正仿宋简体" w:eastAsia="方正仿宋简体"/>
          <w:kern w:val="0"/>
          <w:sz w:val="32"/>
          <w:szCs w:val="32"/>
        </w:rPr>
        <w:t>年我部门（单位）整体支出绩效自评得分实际为</w:t>
      </w:r>
      <w:r>
        <w:rPr>
          <w:rFonts w:hint="eastAsia" w:eastAsia="仿宋"/>
          <w:kern w:val="0"/>
          <w:sz w:val="32"/>
          <w:szCs w:val="32"/>
        </w:rPr>
        <w:t>90</w:t>
      </w:r>
      <w:r>
        <w:rPr>
          <w:rFonts w:hint="eastAsia" w:ascii="方正仿宋简体" w:eastAsia="方正仿宋简体"/>
          <w:kern w:val="0"/>
          <w:sz w:val="32"/>
          <w:szCs w:val="32"/>
        </w:rPr>
        <w:t>分。</w:t>
      </w:r>
    </w:p>
    <w:p>
      <w:pPr>
        <w:widowControl/>
        <w:adjustRightInd w:val="0"/>
        <w:snapToGrid w:val="0"/>
        <w:spacing w:line="578" w:lineRule="exact"/>
        <w:ind w:firstLine="640" w:firstLineChars="200"/>
        <w:contextualSpacing/>
        <w:jc w:val="left"/>
        <w:rPr>
          <w:rFonts w:ascii="方正黑体简体" w:hAnsi="宋体" w:eastAsia="方正黑体简体" w:cs="宋体"/>
          <w:color w:val="000000" w:themeColor="text1"/>
          <w:kern w:val="0"/>
          <w:sz w:val="32"/>
          <w:szCs w:val="32"/>
          <w:shd w:val="clear" w:color="auto" w:fill="FFFFFF"/>
        </w:rPr>
      </w:pPr>
      <w:r>
        <w:rPr>
          <w:rFonts w:ascii="方正黑体简体" w:hAnsi="宋体" w:eastAsia="方正黑体简体" w:cs="宋体"/>
          <w:color w:val="000000" w:themeColor="text1"/>
          <w:kern w:val="0"/>
          <w:sz w:val="32"/>
          <w:szCs w:val="32"/>
          <w:shd w:val="clear" w:color="auto" w:fill="FFFFFF"/>
        </w:rPr>
        <w:t>四、评价结论及建议</w:t>
      </w:r>
    </w:p>
    <w:p>
      <w:pPr>
        <w:widowControl/>
        <w:adjustRightInd w:val="0"/>
        <w:snapToGrid w:val="0"/>
        <w:spacing w:line="578" w:lineRule="exact"/>
        <w:ind w:firstLine="576" w:firstLineChars="180"/>
        <w:contextualSpacing/>
        <w:jc w:val="left"/>
        <w:rPr>
          <w:rFonts w:ascii="方正楷体简体" w:eastAsia="方正楷体简体"/>
          <w:color w:val="000000"/>
          <w:kern w:val="0"/>
          <w:sz w:val="32"/>
          <w:szCs w:val="32"/>
          <w:shd w:val="clear" w:color="auto" w:fill="FFFFFF"/>
        </w:rPr>
      </w:pPr>
      <w:r>
        <w:rPr>
          <w:rFonts w:ascii="方正楷体简体" w:eastAsia="方正楷体简体"/>
          <w:color w:val="000000"/>
          <w:kern w:val="0"/>
          <w:sz w:val="32"/>
          <w:szCs w:val="32"/>
          <w:shd w:val="clear" w:color="auto" w:fill="FFFFFF"/>
        </w:rPr>
        <w:t>（一）评价结论</w:t>
      </w:r>
    </w:p>
    <w:p>
      <w:pPr>
        <w:tabs>
          <w:tab w:val="left" w:pos="3885"/>
        </w:tabs>
        <w:snapToGrid w:val="0"/>
        <w:spacing w:line="578" w:lineRule="exact"/>
        <w:ind w:firstLine="640" w:firstLineChars="200"/>
        <w:rPr>
          <w:rFonts w:ascii="方正仿宋简体" w:eastAsia="方正仿宋简体"/>
          <w:kern w:val="0"/>
          <w:sz w:val="32"/>
          <w:szCs w:val="32"/>
        </w:rPr>
      </w:pPr>
      <w:r>
        <w:rPr>
          <w:rFonts w:hint="eastAsia" w:ascii="方正仿宋简体" w:eastAsia="方正仿宋简体"/>
          <w:kern w:val="0"/>
          <w:sz w:val="32"/>
          <w:szCs w:val="32"/>
        </w:rPr>
        <w:t>按照</w:t>
      </w:r>
      <w:r>
        <w:rPr>
          <w:rFonts w:hint="eastAsia" w:eastAsia="仿宋"/>
          <w:kern w:val="0"/>
          <w:sz w:val="32"/>
          <w:szCs w:val="32"/>
        </w:rPr>
        <w:t>2022</w:t>
      </w:r>
      <w:r>
        <w:rPr>
          <w:rFonts w:hint="eastAsia" w:ascii="方正仿宋简体" w:eastAsia="方正仿宋简体"/>
          <w:kern w:val="0"/>
          <w:sz w:val="32"/>
          <w:szCs w:val="32"/>
        </w:rPr>
        <w:t>年度区级部门整体支出绩效评价指标体系，绩效评价总分</w:t>
      </w:r>
      <w:r>
        <w:rPr>
          <w:rFonts w:hint="eastAsia" w:eastAsia="仿宋"/>
          <w:kern w:val="0"/>
          <w:sz w:val="32"/>
          <w:szCs w:val="32"/>
        </w:rPr>
        <w:t>90</w:t>
      </w:r>
      <w:r>
        <w:rPr>
          <w:rFonts w:hint="eastAsia" w:ascii="方正仿宋简体" w:eastAsia="方正仿宋简体"/>
          <w:kern w:val="0"/>
          <w:sz w:val="32"/>
          <w:szCs w:val="32"/>
        </w:rPr>
        <w:t>分，我单位得分</w:t>
      </w:r>
      <w:r>
        <w:rPr>
          <w:rFonts w:hint="eastAsia" w:eastAsia="仿宋"/>
          <w:kern w:val="0"/>
          <w:sz w:val="32"/>
          <w:szCs w:val="32"/>
        </w:rPr>
        <w:t>82</w:t>
      </w:r>
      <w:r>
        <w:rPr>
          <w:rFonts w:hint="eastAsia" w:ascii="方正仿宋简体" w:eastAsia="方正仿宋简体"/>
          <w:kern w:val="0"/>
          <w:sz w:val="32"/>
          <w:szCs w:val="32"/>
        </w:rPr>
        <w:t>分（详见《</w:t>
      </w:r>
      <w:r>
        <w:rPr>
          <w:rFonts w:hint="eastAsia" w:eastAsia="仿宋"/>
          <w:kern w:val="0"/>
          <w:sz w:val="32"/>
          <w:szCs w:val="32"/>
        </w:rPr>
        <w:t>2023</w:t>
      </w:r>
      <w:r>
        <w:rPr>
          <w:rFonts w:hint="eastAsia" w:ascii="方正仿宋简体" w:eastAsia="方正仿宋简体"/>
          <w:kern w:val="0"/>
          <w:sz w:val="32"/>
          <w:szCs w:val="32"/>
        </w:rPr>
        <w:t>年整体支出绩效评价指标体系表》）。基本完成了年度预算绩效管理目标，扣分项主要涉及预算调整金额偏大和个别时间节点，预算执行进度不高。</w:t>
      </w:r>
    </w:p>
    <w:p>
      <w:pPr>
        <w:widowControl/>
        <w:adjustRightInd w:val="0"/>
        <w:snapToGrid w:val="0"/>
        <w:spacing w:line="578" w:lineRule="exact"/>
        <w:ind w:firstLine="576" w:firstLineChars="180"/>
        <w:contextualSpacing/>
        <w:jc w:val="left"/>
        <w:rPr>
          <w:rFonts w:ascii="方正楷体简体" w:eastAsia="方正楷体简体"/>
          <w:color w:val="000000"/>
          <w:kern w:val="0"/>
          <w:sz w:val="32"/>
          <w:szCs w:val="32"/>
          <w:shd w:val="clear" w:color="auto" w:fill="FFFFFF"/>
        </w:rPr>
      </w:pPr>
      <w:r>
        <w:rPr>
          <w:rFonts w:ascii="方正楷体简体" w:eastAsia="方正楷体简体"/>
          <w:color w:val="000000"/>
          <w:kern w:val="0"/>
          <w:sz w:val="32"/>
          <w:szCs w:val="32"/>
          <w:shd w:val="clear" w:color="auto" w:fill="FFFFFF"/>
        </w:rPr>
        <w:t>（二）存在问题</w:t>
      </w:r>
    </w:p>
    <w:p>
      <w:pPr>
        <w:tabs>
          <w:tab w:val="left" w:pos="3885"/>
        </w:tabs>
        <w:snapToGrid w:val="0"/>
        <w:spacing w:line="578" w:lineRule="exact"/>
        <w:ind w:firstLine="640" w:firstLineChars="200"/>
        <w:rPr>
          <w:rFonts w:ascii="方正仿宋简体" w:eastAsia="方正仿宋简体"/>
          <w:kern w:val="0"/>
          <w:sz w:val="32"/>
          <w:szCs w:val="32"/>
        </w:rPr>
      </w:pPr>
      <w:r>
        <w:rPr>
          <w:rFonts w:hint="eastAsia" w:ascii="方正仿宋简体" w:eastAsia="方正仿宋简体"/>
          <w:kern w:val="0"/>
          <w:sz w:val="32"/>
          <w:szCs w:val="32"/>
        </w:rPr>
        <w:t>一是预算执行进度仍需提高。在</w:t>
      </w:r>
      <w:r>
        <w:rPr>
          <w:rFonts w:hint="eastAsia" w:eastAsia="仿宋"/>
          <w:kern w:val="0"/>
          <w:sz w:val="32"/>
          <w:szCs w:val="32"/>
        </w:rPr>
        <w:t xml:space="preserve"> 2022</w:t>
      </w:r>
      <w:r>
        <w:rPr>
          <w:rFonts w:hint="eastAsia" w:ascii="方正仿宋简体" w:eastAsia="方正仿宋简体"/>
          <w:kern w:val="0"/>
          <w:sz w:val="32"/>
          <w:szCs w:val="32"/>
        </w:rPr>
        <w:t>年采取了一系列加快预算执行进度的措施，预算执行情况有所改善，但预算执行还需要提高。二是部分预算项目绩效目标编制不完善。在编制绩效目标时，未根据自身项目情况考虑周到，造成该项目绩效目标完成存在一定困难。</w:t>
      </w:r>
    </w:p>
    <w:p>
      <w:pPr>
        <w:widowControl/>
        <w:adjustRightInd w:val="0"/>
        <w:snapToGrid w:val="0"/>
        <w:spacing w:line="578" w:lineRule="exact"/>
        <w:ind w:firstLine="576" w:firstLineChars="180"/>
        <w:contextualSpacing/>
        <w:jc w:val="left"/>
        <w:rPr>
          <w:rFonts w:ascii="方正楷体简体" w:eastAsia="方正楷体简体"/>
          <w:color w:val="000000"/>
          <w:kern w:val="0"/>
          <w:sz w:val="32"/>
          <w:szCs w:val="32"/>
          <w:shd w:val="clear" w:color="auto" w:fill="FFFFFF"/>
        </w:rPr>
      </w:pPr>
      <w:r>
        <w:rPr>
          <w:rFonts w:ascii="方正楷体简体" w:eastAsia="方正楷体简体"/>
          <w:color w:val="000000"/>
          <w:kern w:val="0"/>
          <w:sz w:val="32"/>
          <w:szCs w:val="32"/>
          <w:shd w:val="clear" w:color="auto" w:fill="FFFFFF"/>
        </w:rPr>
        <w:t>（三）改进建议</w:t>
      </w:r>
    </w:p>
    <w:p>
      <w:pPr>
        <w:tabs>
          <w:tab w:val="left" w:pos="3885"/>
        </w:tabs>
        <w:snapToGrid w:val="0"/>
        <w:spacing w:line="578" w:lineRule="exact"/>
        <w:ind w:firstLine="640" w:firstLineChars="200"/>
        <w:rPr>
          <w:rFonts w:ascii="方正仿宋简体" w:eastAsia="方正仿宋简体"/>
          <w:kern w:val="0"/>
          <w:sz w:val="32"/>
          <w:szCs w:val="32"/>
        </w:rPr>
      </w:pPr>
      <w:r>
        <w:rPr>
          <w:rFonts w:hint="eastAsia" w:eastAsia="仿宋"/>
          <w:kern w:val="0"/>
          <w:sz w:val="32"/>
          <w:szCs w:val="32"/>
        </w:rPr>
        <w:t>2023</w:t>
      </w:r>
      <w:r>
        <w:rPr>
          <w:rFonts w:hint="eastAsia" w:ascii="方正仿宋简体" w:eastAsia="方正仿宋简体"/>
          <w:kern w:val="0"/>
          <w:sz w:val="32"/>
          <w:szCs w:val="32"/>
        </w:rPr>
        <w:t>年，我单位将采取以下措施，提升预算绩效工作水平。一是提高预算绩效管理工作意识，按照预算绩效管理工作方案要求，明确职责分工，压实主体责任，强化各具体项目承办股室的资金绩效管理意识，加强对项目需求的论证，合理测算预算资金，提高预算编制的准确性和科学性，确保预算具有较强的指引性、调控性和操作性。二是继续加强预算统筹调控，把握工作重点，加强沟通协调，按照“统筹兼顾、突出重点、厉行节约、讲求效益”的原则统筹预算，保障单位正常运转和履行各项职能开支需要，力争</w:t>
      </w:r>
      <w:r>
        <w:rPr>
          <w:rFonts w:hint="eastAsia" w:eastAsia="仿宋"/>
          <w:kern w:val="0"/>
          <w:sz w:val="32"/>
          <w:szCs w:val="32"/>
        </w:rPr>
        <w:t>2023</w:t>
      </w:r>
      <w:r>
        <w:rPr>
          <w:rFonts w:hint="eastAsia" w:ascii="方正仿宋简体" w:eastAsia="方正仿宋简体"/>
          <w:kern w:val="0"/>
          <w:sz w:val="32"/>
          <w:szCs w:val="32"/>
        </w:rPr>
        <w:t>年预算执行进度在</w:t>
      </w:r>
      <w:r>
        <w:rPr>
          <w:rFonts w:hint="eastAsia" w:eastAsia="仿宋"/>
          <w:kern w:val="0"/>
          <w:sz w:val="32"/>
          <w:szCs w:val="32"/>
        </w:rPr>
        <w:t>2022</w:t>
      </w:r>
      <w:r>
        <w:rPr>
          <w:rFonts w:hint="eastAsia" w:ascii="方正仿宋简体" w:eastAsia="方正仿宋简体"/>
          <w:kern w:val="0"/>
          <w:sz w:val="32"/>
          <w:szCs w:val="32"/>
        </w:rPr>
        <w:t xml:space="preserve">年基础上更进一步。加快预算执行进度，增强预算约束力，适时对预算执行、绩效监控、绩效考评情况进行通报。根据工作实际进一步优化预算绩效管理考核的制度办法，加大预算绩效管理工作宣传力度，逐步树立资金绩效意识，使资金绩效观念深入人心，充分发挥预算资金管理使用效果。三是统筹安排政府采购项目，科学规划，提前介入，充分考虑各种影响项目进度的因素，提前做好预案，保证在预算资金下达后能尽快进入采购程序，提高政府采购的执行进度和项目的实施效率。 </w:t>
      </w:r>
    </w:p>
    <w:p>
      <w:pPr>
        <w:tabs>
          <w:tab w:val="left" w:pos="3885"/>
        </w:tabs>
        <w:snapToGrid w:val="0"/>
        <w:spacing w:line="578" w:lineRule="exact"/>
        <w:ind w:firstLine="640" w:firstLineChars="200"/>
        <w:jc w:val="right"/>
        <w:rPr>
          <w:rFonts w:ascii="方正仿宋简体" w:eastAsia="方正仿宋简体"/>
          <w:kern w:val="0"/>
          <w:sz w:val="32"/>
          <w:szCs w:val="32"/>
        </w:rPr>
      </w:pPr>
      <w:r>
        <w:rPr>
          <w:rFonts w:hint="eastAsia" w:ascii="方正仿宋简体" w:eastAsia="方正仿宋简体"/>
          <w:kern w:val="0"/>
          <w:sz w:val="32"/>
          <w:szCs w:val="32"/>
        </w:rPr>
        <w:t xml:space="preserve">  </w:t>
      </w:r>
    </w:p>
    <w:p>
      <w:pPr>
        <w:widowControl/>
        <w:jc w:val="left"/>
        <w:rPr>
          <w:rFonts w:eastAsia="方正仿宋_GBK"/>
          <w:color w:val="000000"/>
          <w:kern w:val="0"/>
          <w:sz w:val="32"/>
          <w:szCs w:val="32"/>
          <w:shd w:val="clear" w:color="auto" w:fill="FFFFFF"/>
        </w:rPr>
      </w:pPr>
    </w:p>
    <w:p>
      <w:pPr>
        <w:widowControl/>
        <w:jc w:val="left"/>
        <w:rPr>
          <w:rFonts w:eastAsia="方正仿宋_GBK"/>
          <w:color w:val="000000"/>
          <w:kern w:val="0"/>
          <w:sz w:val="32"/>
          <w:szCs w:val="32"/>
          <w:shd w:val="clear" w:color="auto" w:fill="FFFFFF"/>
        </w:rPr>
      </w:pPr>
    </w:p>
    <w:p>
      <w:pPr>
        <w:widowControl/>
        <w:jc w:val="left"/>
        <w:rPr>
          <w:rFonts w:eastAsia="方正仿宋_GBK"/>
          <w:color w:val="000000"/>
          <w:kern w:val="0"/>
          <w:sz w:val="32"/>
          <w:szCs w:val="32"/>
          <w:shd w:val="clear" w:color="auto" w:fill="FFFFFF"/>
        </w:rPr>
      </w:pPr>
    </w:p>
    <w:p>
      <w:pPr>
        <w:widowControl/>
        <w:jc w:val="left"/>
        <w:rPr>
          <w:rFonts w:eastAsia="方正仿宋_GBK"/>
          <w:color w:val="000000"/>
          <w:kern w:val="0"/>
          <w:sz w:val="32"/>
          <w:szCs w:val="32"/>
          <w:shd w:val="clear" w:color="auto" w:fill="FFFFFF"/>
        </w:rPr>
      </w:pPr>
    </w:p>
    <w:p>
      <w:pPr>
        <w:widowControl/>
        <w:jc w:val="left"/>
        <w:rPr>
          <w:rFonts w:eastAsia="方正仿宋_GBK"/>
          <w:color w:val="000000"/>
          <w:kern w:val="0"/>
          <w:sz w:val="32"/>
          <w:szCs w:val="32"/>
          <w:shd w:val="clear" w:color="auto" w:fill="FFFFFF"/>
        </w:rPr>
      </w:pPr>
    </w:p>
    <w:p>
      <w:pPr>
        <w:widowControl/>
        <w:jc w:val="left"/>
        <w:rPr>
          <w:rFonts w:eastAsia="方正仿宋_GBK"/>
          <w:color w:val="000000"/>
          <w:kern w:val="0"/>
          <w:sz w:val="32"/>
          <w:szCs w:val="32"/>
          <w:shd w:val="clear" w:color="auto" w:fill="FFFFFF"/>
        </w:rPr>
      </w:pPr>
    </w:p>
    <w:p>
      <w:pPr>
        <w:widowControl/>
        <w:jc w:val="left"/>
        <w:rPr>
          <w:rFonts w:eastAsia="方正仿宋_GBK"/>
          <w:color w:val="000000"/>
          <w:kern w:val="0"/>
          <w:sz w:val="32"/>
          <w:szCs w:val="32"/>
          <w:shd w:val="clear" w:color="auto" w:fill="FFFFFF"/>
        </w:rPr>
      </w:pPr>
    </w:p>
    <w:p>
      <w:pPr>
        <w:widowControl/>
        <w:jc w:val="left"/>
        <w:rPr>
          <w:rFonts w:eastAsia="方正仿宋_GBK"/>
          <w:color w:val="000000"/>
          <w:kern w:val="0"/>
          <w:sz w:val="32"/>
          <w:szCs w:val="32"/>
          <w:shd w:val="clear" w:color="auto" w:fill="FFFFFF"/>
        </w:rPr>
      </w:pPr>
    </w:p>
    <w:p>
      <w:pPr>
        <w:widowControl/>
        <w:jc w:val="left"/>
        <w:rPr>
          <w:rFonts w:eastAsia="方正仿宋_GBK"/>
          <w:color w:val="000000"/>
          <w:kern w:val="0"/>
          <w:sz w:val="32"/>
          <w:szCs w:val="32"/>
          <w:shd w:val="clear" w:color="auto" w:fill="FFFFFF"/>
        </w:rPr>
      </w:pPr>
    </w:p>
    <w:p>
      <w:pPr>
        <w:widowControl/>
        <w:jc w:val="left"/>
        <w:rPr>
          <w:rFonts w:eastAsia="方正仿宋_GBK"/>
          <w:color w:val="000000"/>
          <w:kern w:val="0"/>
          <w:sz w:val="32"/>
          <w:szCs w:val="32"/>
          <w:shd w:val="clear" w:color="auto" w:fill="FFFFFF"/>
        </w:rPr>
      </w:pPr>
    </w:p>
    <w:p>
      <w:pPr>
        <w:widowControl/>
        <w:jc w:val="left"/>
        <w:rPr>
          <w:rFonts w:eastAsia="方正仿宋_GBK"/>
          <w:color w:val="000000"/>
          <w:kern w:val="0"/>
          <w:sz w:val="32"/>
          <w:szCs w:val="32"/>
          <w:shd w:val="clear" w:color="auto" w:fill="FFFFFF"/>
        </w:rPr>
      </w:pPr>
    </w:p>
    <w:p>
      <w:pPr>
        <w:widowControl/>
        <w:jc w:val="left"/>
        <w:rPr>
          <w:rFonts w:eastAsia="方正仿宋_GBK"/>
          <w:color w:val="000000"/>
          <w:kern w:val="0"/>
          <w:sz w:val="32"/>
          <w:szCs w:val="32"/>
          <w:shd w:val="clear" w:color="auto" w:fill="FFFFFF"/>
        </w:rPr>
      </w:pPr>
    </w:p>
    <w:p>
      <w:pPr>
        <w:widowControl/>
        <w:jc w:val="left"/>
        <w:rPr>
          <w:rFonts w:eastAsia="方正仿宋_GBK"/>
          <w:color w:val="000000"/>
          <w:kern w:val="0"/>
          <w:sz w:val="32"/>
          <w:szCs w:val="32"/>
          <w:shd w:val="clear" w:color="auto" w:fill="FFFFFF"/>
        </w:rPr>
        <w:sectPr>
          <w:pgSz w:w="11906" w:h="16838"/>
          <w:pgMar w:top="1701" w:right="1474" w:bottom="1134" w:left="1588" w:header="851" w:footer="992" w:gutter="0"/>
          <w:pgNumType w:fmt="numberInDash" w:start="16"/>
          <w:cols w:space="425" w:num="1"/>
          <w:docGrid w:type="lines" w:linePitch="435" w:charSpace="0"/>
        </w:sectPr>
      </w:pPr>
    </w:p>
    <w:tbl>
      <w:tblPr>
        <w:tblStyle w:val="14"/>
        <w:tblW w:w="14757" w:type="dxa"/>
        <w:tblInd w:w="93" w:type="dxa"/>
        <w:tblLayout w:type="autofit"/>
        <w:tblCellMar>
          <w:top w:w="0" w:type="dxa"/>
          <w:left w:w="108" w:type="dxa"/>
          <w:bottom w:w="0" w:type="dxa"/>
          <w:right w:w="108" w:type="dxa"/>
        </w:tblCellMar>
      </w:tblPr>
      <w:tblGrid>
        <w:gridCol w:w="942"/>
        <w:gridCol w:w="781"/>
        <w:gridCol w:w="660"/>
        <w:gridCol w:w="579"/>
        <w:gridCol w:w="554"/>
        <w:gridCol w:w="2187"/>
        <w:gridCol w:w="5192"/>
        <w:gridCol w:w="275"/>
        <w:gridCol w:w="397"/>
        <w:gridCol w:w="72"/>
        <w:gridCol w:w="600"/>
        <w:gridCol w:w="109"/>
        <w:gridCol w:w="563"/>
        <w:gridCol w:w="145"/>
        <w:gridCol w:w="527"/>
        <w:gridCol w:w="182"/>
        <w:gridCol w:w="992"/>
      </w:tblGrid>
      <w:tr>
        <w:tblPrEx>
          <w:tblCellMar>
            <w:top w:w="0" w:type="dxa"/>
            <w:left w:w="108" w:type="dxa"/>
            <w:bottom w:w="0" w:type="dxa"/>
            <w:right w:w="108" w:type="dxa"/>
          </w:tblCellMar>
        </w:tblPrEx>
        <w:trPr>
          <w:trHeight w:val="594" w:hRule="atLeast"/>
        </w:trPr>
        <w:tc>
          <w:tcPr>
            <w:tcW w:w="1723" w:type="dxa"/>
            <w:gridSpan w:val="2"/>
            <w:tcBorders>
              <w:top w:val="nil"/>
              <w:left w:val="nil"/>
              <w:bottom w:val="nil"/>
              <w:right w:val="nil"/>
            </w:tcBorders>
            <w:shd w:val="clear" w:color="auto" w:fill="auto"/>
            <w:vAlign w:val="center"/>
          </w:tcPr>
          <w:p>
            <w:pPr>
              <w:widowControl/>
              <w:adjustRightInd w:val="0"/>
              <w:snapToGrid w:val="0"/>
              <w:spacing w:line="580" w:lineRule="exact"/>
              <w:contextualSpacing/>
              <w:jc w:val="left"/>
              <w:rPr>
                <w:rFonts w:ascii="宋体" w:hAnsi="宋体" w:cs="宋体"/>
                <w:b/>
                <w:bCs/>
                <w:color w:val="000000"/>
                <w:sz w:val="24"/>
              </w:rPr>
            </w:pPr>
            <w:r>
              <w:rPr>
                <w:rFonts w:hint="eastAsia" w:ascii="仿宋_GB2312" w:hAnsi="宋体" w:cs="宋体"/>
                <w:color w:val="000000"/>
                <w:kern w:val="0"/>
                <w:szCs w:val="32"/>
                <w:shd w:val="clear" w:color="auto" w:fill="FFFFFF"/>
                <w:lang w:val="zh-CN"/>
              </w:rPr>
              <w:t>附件</w:t>
            </w:r>
            <w:r>
              <w:rPr>
                <w:rFonts w:hint="eastAsia" w:ascii="仿宋_GB2312" w:hAnsi="宋体" w:cs="宋体"/>
                <w:color w:val="000000"/>
                <w:kern w:val="0"/>
                <w:szCs w:val="32"/>
                <w:shd w:val="clear" w:color="auto" w:fill="FFFFFF"/>
              </w:rPr>
              <w:t>1</w:t>
            </w:r>
          </w:p>
        </w:tc>
        <w:tc>
          <w:tcPr>
            <w:tcW w:w="660" w:type="dxa"/>
            <w:tcBorders>
              <w:top w:val="nil"/>
              <w:left w:val="nil"/>
              <w:bottom w:val="nil"/>
              <w:right w:val="nil"/>
            </w:tcBorders>
            <w:shd w:val="clear" w:color="auto" w:fill="auto"/>
            <w:vAlign w:val="center"/>
          </w:tcPr>
          <w:p>
            <w:pPr>
              <w:jc w:val="center"/>
              <w:rPr>
                <w:rFonts w:ascii="宋体" w:hAnsi="宋体" w:cs="宋体"/>
                <w:color w:val="000000"/>
                <w:sz w:val="24"/>
              </w:rPr>
            </w:pPr>
          </w:p>
        </w:tc>
        <w:tc>
          <w:tcPr>
            <w:tcW w:w="579" w:type="dxa"/>
            <w:tcBorders>
              <w:top w:val="nil"/>
              <w:left w:val="nil"/>
              <w:bottom w:val="nil"/>
              <w:right w:val="nil"/>
            </w:tcBorders>
            <w:shd w:val="clear" w:color="auto" w:fill="auto"/>
            <w:vAlign w:val="center"/>
          </w:tcPr>
          <w:p>
            <w:pPr>
              <w:jc w:val="center"/>
              <w:rPr>
                <w:rFonts w:ascii="宋体" w:hAnsi="宋体" w:cs="宋体"/>
                <w:color w:val="000000"/>
                <w:sz w:val="24"/>
              </w:rPr>
            </w:pPr>
          </w:p>
        </w:tc>
        <w:tc>
          <w:tcPr>
            <w:tcW w:w="554" w:type="dxa"/>
            <w:tcBorders>
              <w:top w:val="nil"/>
              <w:left w:val="nil"/>
              <w:bottom w:val="nil"/>
              <w:right w:val="nil"/>
            </w:tcBorders>
            <w:shd w:val="clear" w:color="auto" w:fill="auto"/>
            <w:vAlign w:val="center"/>
          </w:tcPr>
          <w:p>
            <w:pPr>
              <w:jc w:val="center"/>
              <w:rPr>
                <w:rFonts w:ascii="宋体" w:hAnsi="宋体" w:cs="宋体"/>
                <w:color w:val="000000"/>
                <w:sz w:val="24"/>
              </w:rPr>
            </w:pPr>
          </w:p>
        </w:tc>
        <w:tc>
          <w:tcPr>
            <w:tcW w:w="2187" w:type="dxa"/>
            <w:tcBorders>
              <w:top w:val="nil"/>
              <w:left w:val="nil"/>
              <w:bottom w:val="nil"/>
              <w:right w:val="nil"/>
            </w:tcBorders>
            <w:shd w:val="clear" w:color="auto" w:fill="auto"/>
            <w:vAlign w:val="center"/>
          </w:tcPr>
          <w:p>
            <w:pPr>
              <w:jc w:val="left"/>
              <w:rPr>
                <w:rFonts w:ascii="宋体" w:hAnsi="宋体" w:cs="宋体"/>
                <w:color w:val="000000"/>
                <w:sz w:val="24"/>
              </w:rPr>
            </w:pPr>
          </w:p>
        </w:tc>
        <w:tc>
          <w:tcPr>
            <w:tcW w:w="5192" w:type="dxa"/>
            <w:tcBorders>
              <w:top w:val="nil"/>
              <w:left w:val="nil"/>
              <w:bottom w:val="nil"/>
              <w:right w:val="nil"/>
            </w:tcBorders>
            <w:shd w:val="clear" w:color="auto" w:fill="auto"/>
            <w:vAlign w:val="center"/>
          </w:tcPr>
          <w:p>
            <w:pPr>
              <w:rPr>
                <w:rFonts w:ascii="宋体" w:hAnsi="宋体" w:cs="宋体"/>
                <w:color w:val="000000"/>
                <w:sz w:val="16"/>
                <w:szCs w:val="16"/>
              </w:rPr>
            </w:pPr>
          </w:p>
        </w:tc>
        <w:tc>
          <w:tcPr>
            <w:tcW w:w="672" w:type="dxa"/>
            <w:gridSpan w:val="2"/>
            <w:tcBorders>
              <w:top w:val="nil"/>
              <w:left w:val="nil"/>
              <w:bottom w:val="nil"/>
              <w:right w:val="nil"/>
            </w:tcBorders>
            <w:shd w:val="clear" w:color="auto" w:fill="auto"/>
            <w:vAlign w:val="center"/>
          </w:tcPr>
          <w:p>
            <w:pPr>
              <w:rPr>
                <w:rFonts w:ascii="宋体" w:hAnsi="宋体" w:cs="宋体"/>
                <w:color w:val="000000"/>
                <w:sz w:val="16"/>
                <w:szCs w:val="16"/>
              </w:rPr>
            </w:pPr>
          </w:p>
        </w:tc>
        <w:tc>
          <w:tcPr>
            <w:tcW w:w="672" w:type="dxa"/>
            <w:gridSpan w:val="2"/>
            <w:tcBorders>
              <w:top w:val="nil"/>
              <w:left w:val="nil"/>
              <w:bottom w:val="nil"/>
              <w:right w:val="nil"/>
            </w:tcBorders>
            <w:shd w:val="clear" w:color="auto" w:fill="auto"/>
            <w:vAlign w:val="center"/>
          </w:tcPr>
          <w:p>
            <w:pPr>
              <w:rPr>
                <w:rFonts w:ascii="宋体" w:hAnsi="宋体" w:cs="宋体"/>
                <w:color w:val="000000"/>
                <w:sz w:val="16"/>
                <w:szCs w:val="16"/>
              </w:rPr>
            </w:pPr>
          </w:p>
        </w:tc>
        <w:tc>
          <w:tcPr>
            <w:tcW w:w="672" w:type="dxa"/>
            <w:gridSpan w:val="2"/>
            <w:tcBorders>
              <w:top w:val="nil"/>
              <w:left w:val="nil"/>
              <w:bottom w:val="nil"/>
              <w:right w:val="nil"/>
            </w:tcBorders>
            <w:shd w:val="clear" w:color="auto" w:fill="auto"/>
            <w:vAlign w:val="center"/>
          </w:tcPr>
          <w:p>
            <w:pPr>
              <w:rPr>
                <w:rFonts w:ascii="宋体" w:hAnsi="宋体" w:cs="宋体"/>
                <w:color w:val="000000"/>
                <w:sz w:val="16"/>
                <w:szCs w:val="16"/>
              </w:rPr>
            </w:pPr>
          </w:p>
        </w:tc>
        <w:tc>
          <w:tcPr>
            <w:tcW w:w="672" w:type="dxa"/>
            <w:gridSpan w:val="2"/>
            <w:tcBorders>
              <w:top w:val="nil"/>
              <w:left w:val="nil"/>
              <w:bottom w:val="nil"/>
              <w:right w:val="nil"/>
            </w:tcBorders>
            <w:shd w:val="clear" w:color="auto" w:fill="auto"/>
            <w:vAlign w:val="center"/>
          </w:tcPr>
          <w:p>
            <w:pPr>
              <w:rPr>
                <w:rFonts w:ascii="宋体" w:hAnsi="宋体" w:cs="宋体"/>
                <w:color w:val="000000"/>
                <w:sz w:val="24"/>
              </w:rPr>
            </w:pPr>
          </w:p>
        </w:tc>
        <w:tc>
          <w:tcPr>
            <w:tcW w:w="1174" w:type="dxa"/>
            <w:gridSpan w:val="2"/>
            <w:tcBorders>
              <w:top w:val="nil"/>
              <w:left w:val="nil"/>
              <w:bottom w:val="nil"/>
              <w:right w:val="nil"/>
            </w:tcBorders>
            <w:shd w:val="clear" w:color="auto" w:fill="auto"/>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87" w:hRule="atLeast"/>
        </w:trPr>
        <w:tc>
          <w:tcPr>
            <w:tcW w:w="14757" w:type="dxa"/>
            <w:gridSpan w:val="17"/>
            <w:tcBorders>
              <w:top w:val="nil"/>
              <w:left w:val="nil"/>
              <w:bottom w:val="single" w:color="000000" w:sz="4" w:space="0"/>
              <w:right w:val="nil"/>
            </w:tcBorders>
            <w:shd w:val="clear" w:color="auto" w:fill="auto"/>
            <w:vAlign w:val="center"/>
          </w:tcPr>
          <w:p>
            <w:pPr>
              <w:widowControl/>
              <w:jc w:val="center"/>
              <w:textAlignment w:val="center"/>
              <w:rPr>
                <w:rFonts w:ascii="宋体" w:hAnsi="宋体" w:cs="宋体"/>
                <w:b/>
                <w:bCs/>
                <w:color w:val="000000"/>
                <w:szCs w:val="32"/>
              </w:rPr>
            </w:pPr>
            <w:r>
              <w:rPr>
                <w:rFonts w:hint="eastAsia" w:ascii="宋体" w:hAnsi="宋体" w:cs="宋体"/>
                <w:b/>
                <w:bCs/>
                <w:color w:val="000000"/>
                <w:kern w:val="0"/>
                <w:szCs w:val="32"/>
              </w:rPr>
              <w:t>达川区实验小学2023年整体支出绩效评价指标体系</w:t>
            </w:r>
          </w:p>
        </w:tc>
      </w:tr>
      <w:tr>
        <w:tblPrEx>
          <w:tblCellMar>
            <w:top w:w="0" w:type="dxa"/>
            <w:left w:w="108" w:type="dxa"/>
            <w:bottom w:w="0" w:type="dxa"/>
            <w:right w:w="108" w:type="dxa"/>
          </w:tblCellMar>
        </w:tblPrEx>
        <w:trPr>
          <w:trHeight w:val="362" w:hRule="atLeast"/>
        </w:trPr>
        <w:tc>
          <w:tcPr>
            <w:tcW w:w="2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指标</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分值</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评价得分</w:t>
            </w: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指标解释</w:t>
            </w:r>
          </w:p>
        </w:tc>
        <w:tc>
          <w:tcPr>
            <w:tcW w:w="54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计分标准</w:t>
            </w:r>
          </w:p>
        </w:tc>
        <w:tc>
          <w:tcPr>
            <w:tcW w:w="11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评价方式</w:t>
            </w:r>
          </w:p>
        </w:tc>
        <w:tc>
          <w:tcPr>
            <w:tcW w:w="14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评价属性</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备注</w:t>
            </w:r>
          </w:p>
        </w:tc>
      </w:tr>
      <w:tr>
        <w:tblPrEx>
          <w:tblCellMar>
            <w:top w:w="0" w:type="dxa"/>
            <w:left w:w="108" w:type="dxa"/>
            <w:bottom w:w="0" w:type="dxa"/>
            <w:right w:w="108" w:type="dxa"/>
          </w:tblCellMar>
        </w:tblPrEx>
        <w:trPr>
          <w:trHeight w:val="1003"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一级指标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二级指标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三级指标</w:t>
            </w: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bCs/>
                <w:color w:val="000000"/>
                <w:sz w:val="18"/>
                <w:szCs w:val="18"/>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bCs/>
                <w:color w:val="000000"/>
                <w:sz w:val="18"/>
                <w:szCs w:val="18"/>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bCs/>
                <w:color w:val="000000"/>
                <w:sz w:val="18"/>
                <w:szCs w:val="18"/>
              </w:rPr>
            </w:pPr>
          </w:p>
        </w:tc>
        <w:tc>
          <w:tcPr>
            <w:tcW w:w="54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bCs/>
                <w:color w:val="000000"/>
                <w:sz w:val="18"/>
                <w:szCs w:val="18"/>
              </w:rPr>
            </w:pPr>
          </w:p>
        </w:tc>
        <w:tc>
          <w:tcPr>
            <w:tcW w:w="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整体评价</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样本评价</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定性评价</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定量评价</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362" w:hRule="atLeast"/>
        </w:trPr>
        <w:tc>
          <w:tcPr>
            <w:tcW w:w="2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得分合计</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82</w:t>
            </w:r>
          </w:p>
        </w:tc>
        <w:tc>
          <w:tcPr>
            <w:tcW w:w="8208" w:type="dxa"/>
            <w:gridSpan w:val="4"/>
            <w:tcBorders>
              <w:top w:val="single" w:color="000000" w:sz="4" w:space="0"/>
              <w:left w:val="single" w:color="000000" w:sz="4" w:space="0"/>
              <w:bottom w:val="single" w:color="000000" w:sz="4" w:space="0"/>
              <w:right w:val="nil"/>
            </w:tcBorders>
            <w:shd w:val="clear" w:color="auto" w:fill="auto"/>
            <w:vAlign w:val="center"/>
          </w:tcPr>
          <w:p>
            <w:pPr>
              <w:widowControl/>
              <w:spacing w:line="240" w:lineRule="exact"/>
              <w:jc w:val="center"/>
              <w:textAlignment w:val="center"/>
              <w:rPr>
                <w:rFonts w:ascii="宋体" w:hAnsi="宋体" w:cs="宋体"/>
                <w:b/>
                <w:bCs/>
                <w:color w:val="000000"/>
                <w:sz w:val="18"/>
                <w:szCs w:val="18"/>
              </w:rPr>
            </w:pPr>
          </w:p>
        </w:tc>
        <w:tc>
          <w:tcPr>
            <w:tcW w:w="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cs="宋体"/>
                <w:b/>
                <w:bCs/>
                <w:color w:val="000000"/>
                <w:sz w:val="18"/>
                <w:szCs w:val="18"/>
              </w:rPr>
            </w:pP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cs="宋体"/>
                <w:b/>
                <w:bCs/>
                <w:color w:val="000000"/>
                <w:sz w:val="18"/>
                <w:szCs w:val="18"/>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cs="宋体"/>
                <w:b/>
                <w:bCs/>
                <w:color w:val="000000"/>
                <w:sz w:val="18"/>
                <w:szCs w:val="18"/>
              </w:rPr>
            </w:pP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cs="宋体"/>
                <w:b/>
                <w:bCs/>
                <w:color w:val="00000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cs="宋体"/>
                <w:b/>
                <w:bCs/>
                <w:color w:val="000000"/>
                <w:sz w:val="18"/>
                <w:szCs w:val="18"/>
              </w:rPr>
            </w:pPr>
          </w:p>
        </w:tc>
      </w:tr>
      <w:tr>
        <w:tblPrEx>
          <w:tblCellMar>
            <w:top w:w="0" w:type="dxa"/>
            <w:left w:w="108" w:type="dxa"/>
            <w:bottom w:w="0" w:type="dxa"/>
            <w:right w:w="108" w:type="dxa"/>
          </w:tblCellMar>
        </w:tblPrEx>
        <w:trPr>
          <w:trHeight w:val="1548"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部门预算项目绩效管理得分（40分）</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目标管理得分（15分）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目标制定</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r>
              <w:rPr>
                <w:rFonts w:hint="eastAsia" w:ascii="宋体" w:hAnsi="宋体" w:cs="宋体"/>
                <w:color w:val="000000"/>
                <w:sz w:val="18"/>
                <w:szCs w:val="18"/>
              </w:rPr>
              <w:t>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评价部门绩效目标是否要素完整、细化量化并集体决策。</w:t>
            </w:r>
          </w:p>
        </w:tc>
        <w:tc>
          <w:tcPr>
            <w:tcW w:w="5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1.绩效目标编制要素完整的，得2分，否则酌情扣分。2.绩效指标细化量化的，得2分，否则酌情扣分。 3.评价部门绩效目标纳入部门党组（委）会（办公会）集体决策范围的，得1分，否则不得分。  4.有项目绩效目标的部门（单位），根据项目绩效目标编制质量打分，无项目绩效目标的部门，根据部门整体支出绩效目标打分。                                                                    </w:t>
            </w:r>
          </w:p>
        </w:tc>
        <w:tc>
          <w:tcPr>
            <w:tcW w:w="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cs="宋体"/>
                <w:color w:val="000000"/>
                <w:sz w:val="18"/>
                <w:szCs w:val="18"/>
              </w:rPr>
            </w:pPr>
          </w:p>
        </w:tc>
      </w:tr>
      <w:tr>
        <w:tblPrEx>
          <w:tblCellMar>
            <w:top w:w="0" w:type="dxa"/>
            <w:left w:w="108" w:type="dxa"/>
            <w:bottom w:w="0" w:type="dxa"/>
            <w:right w:w="108" w:type="dxa"/>
          </w:tblCellMar>
        </w:tblPrEx>
        <w:trPr>
          <w:trHeight w:val="141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目标实现</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r>
              <w:rPr>
                <w:rFonts w:hint="eastAsia" w:ascii="宋体" w:hAnsi="宋体" w:cs="宋体"/>
                <w:color w:val="000000"/>
                <w:sz w:val="18"/>
                <w:szCs w:val="18"/>
              </w:rPr>
              <w:t>10</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评价部门绩效目标实际实现程度与预期目标的偏离度。</w:t>
            </w:r>
          </w:p>
        </w:tc>
        <w:tc>
          <w:tcPr>
            <w:tcW w:w="5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sz w:val="18"/>
                <w:szCs w:val="18"/>
              </w:rPr>
            </w:pPr>
            <w:r>
              <w:rPr>
                <w:rFonts w:hint="eastAsia" w:ascii="宋体" w:hAnsi="宋体" w:cs="宋体"/>
                <w:kern w:val="0"/>
                <w:sz w:val="18"/>
                <w:szCs w:val="18"/>
              </w:rPr>
              <w:t>以项目完成数量为核心，评价项目实际完成情况与预期绩效目标偏离度，单项数量指标实际完成未达到预期指标或超过预期指标30%以上的，均不计分。该项指标得分=达到预期值的数量指标个数/全部数量指标个数（即评价选取的项目绩效目标包含的所有数量指标）*10</w:t>
            </w:r>
            <w:r>
              <w:rPr>
                <w:rFonts w:hint="eastAsia"/>
                <w:color w:val="000000"/>
                <w:sz w:val="18"/>
                <w:szCs w:val="18"/>
                <w:shd w:val="clear" w:color="auto" w:fill="FFFFFF"/>
              </w:rPr>
              <w:t>..</w:t>
            </w:r>
          </w:p>
        </w:tc>
        <w:tc>
          <w:tcPr>
            <w:tcW w:w="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sz w:val="18"/>
                <w:szCs w:val="18"/>
              </w:rPr>
            </w:pP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rPr>
              <w:t>√</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sz w:val="18"/>
                <w:szCs w:val="18"/>
              </w:rPr>
            </w:pP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sz w:val="18"/>
                <w:szCs w:val="18"/>
              </w:rPr>
            </w:pPr>
            <w:r>
              <w:rPr>
                <w:rFonts w:hint="eastAsia" w:ascii="宋体" w:hAnsi="宋体" w:cs="宋体"/>
                <w:kern w:val="0"/>
                <w:sz w:val="18"/>
                <w:szCs w:val="18"/>
              </w:rPr>
              <w:t>部门</w:t>
            </w:r>
            <w:r>
              <w:rPr>
                <w:rFonts w:hint="eastAsia" w:ascii="宋体" w:hAnsi="宋体" w:cs="宋体"/>
                <w:kern w:val="0"/>
                <w:sz w:val="15"/>
                <w:szCs w:val="15"/>
              </w:rPr>
              <w:t>自评范围为部门所有纳入绩效目标管理的部门预算项目</w:t>
            </w:r>
          </w:p>
        </w:tc>
      </w:tr>
      <w:tr>
        <w:tblPrEx>
          <w:tblCellMar>
            <w:top w:w="0" w:type="dxa"/>
            <w:left w:w="108" w:type="dxa"/>
            <w:bottom w:w="0" w:type="dxa"/>
            <w:right w:w="108" w:type="dxa"/>
          </w:tblCellMar>
        </w:tblPrEx>
        <w:trPr>
          <w:trHeight w:val="1344"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                                                                             动态调整（10分）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支出控制</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r>
              <w:rPr>
                <w:rFonts w:hint="eastAsia" w:ascii="宋体" w:hAnsi="宋体" w:cs="宋体"/>
                <w:color w:val="000000"/>
                <w:sz w:val="18"/>
                <w:szCs w:val="18"/>
              </w:rPr>
              <w:t>1</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部门公用经费及非定额公用支出控制情况。</w:t>
            </w:r>
          </w:p>
        </w:tc>
        <w:tc>
          <w:tcPr>
            <w:tcW w:w="5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计算部门日常公用经费、项目支出中“办公费、印刷费、水费、电费、物业管理费”等科目年初预算数与决算数偏差程度。                                                           预决算偏差程度在10%以内的得2分。偏差度在10%-20%之间的，得1分，偏差度超过20%的，不得分。</w:t>
            </w:r>
          </w:p>
        </w:tc>
        <w:tc>
          <w:tcPr>
            <w:tcW w:w="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cs="宋体"/>
                <w:color w:val="000000"/>
                <w:sz w:val="18"/>
                <w:szCs w:val="18"/>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cs="宋体"/>
                <w:color w:val="000000"/>
                <w:sz w:val="18"/>
                <w:szCs w:val="18"/>
              </w:rPr>
            </w:pP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cs="宋体"/>
                <w:color w:val="000000"/>
                <w:sz w:val="18"/>
                <w:szCs w:val="18"/>
              </w:rPr>
            </w:pPr>
          </w:p>
        </w:tc>
      </w:tr>
      <w:tr>
        <w:tblPrEx>
          <w:tblCellMar>
            <w:top w:w="0" w:type="dxa"/>
            <w:left w:w="108" w:type="dxa"/>
            <w:bottom w:w="0" w:type="dxa"/>
            <w:right w:w="108" w:type="dxa"/>
          </w:tblCellMar>
        </w:tblPrEx>
        <w:trPr>
          <w:trHeight w:val="182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及时处置</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r>
              <w:rPr>
                <w:rFonts w:hint="eastAsia" w:ascii="宋体" w:hAnsi="宋体" w:cs="宋体"/>
                <w:color w:val="000000"/>
                <w:sz w:val="18"/>
                <w:szCs w:val="18"/>
              </w:rPr>
              <w:t>3</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评价部门开展绩效运行监控后，将绩效监控结果应用到预算调整的情况。</w:t>
            </w:r>
          </w:p>
        </w:tc>
        <w:tc>
          <w:tcPr>
            <w:tcW w:w="5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1.当部门绩效监控调整取消额和结余注销额均不为零时，指标得分=部门项目支出绩效监控调整取消额÷(部门绩效监控调整取消额+预算结余注销额）*4.  2.当部门绩效监控调整取消额为零，结余注销额不为零时，指标得分=（1-10*结余注销额/年度预算总额）*4，结余注销额超过部门年度预算总额10%的，指标不得分。  3.当部门绩效监控调整取消额与结余注销额均为零时，得4分。                                                             </w:t>
            </w:r>
          </w:p>
        </w:tc>
        <w:tc>
          <w:tcPr>
            <w:tcW w:w="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cs="宋体"/>
                <w:color w:val="000000"/>
                <w:sz w:val="18"/>
                <w:szCs w:val="18"/>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cs="宋体"/>
                <w:color w:val="000000"/>
                <w:sz w:val="18"/>
                <w:szCs w:val="18"/>
              </w:rPr>
            </w:pP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cs="宋体"/>
                <w:color w:val="000000"/>
                <w:sz w:val="18"/>
                <w:szCs w:val="18"/>
              </w:rPr>
            </w:pPr>
          </w:p>
        </w:tc>
      </w:tr>
      <w:tr>
        <w:tblPrEx>
          <w:tblCellMar>
            <w:top w:w="0" w:type="dxa"/>
            <w:left w:w="108" w:type="dxa"/>
            <w:bottom w:w="0" w:type="dxa"/>
            <w:right w:w="108" w:type="dxa"/>
          </w:tblCellMar>
        </w:tblPrEx>
        <w:trPr>
          <w:trHeight w:val="120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执行进度</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r>
              <w:rPr>
                <w:rFonts w:hint="eastAsia" w:ascii="宋体" w:hAnsi="宋体" w:cs="宋体"/>
                <w:color w:val="000000"/>
                <w:sz w:val="18"/>
                <w:szCs w:val="18"/>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评价部门在6、9、11月的预算执行情况。</w:t>
            </w:r>
          </w:p>
        </w:tc>
        <w:tc>
          <w:tcPr>
            <w:tcW w:w="5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部门预算执行进度在6、9、11月应达到序时进度的80%、90%、</w:t>
            </w:r>
            <w:r>
              <w:rPr>
                <w:rFonts w:hint="eastAsia" w:ascii="宋体" w:hAnsi="宋体" w:cs="宋体"/>
                <w:color w:val="000000" w:themeColor="text1"/>
                <w:kern w:val="0"/>
                <w:sz w:val="18"/>
                <w:szCs w:val="18"/>
              </w:rPr>
              <w:t>95%</w:t>
            </w:r>
            <w:r>
              <w:rPr>
                <w:rFonts w:hint="eastAsia" w:ascii="宋体" w:hAnsi="宋体" w:cs="宋体"/>
                <w:color w:val="000000"/>
                <w:kern w:val="0"/>
                <w:sz w:val="18"/>
                <w:szCs w:val="18"/>
              </w:rPr>
              <w:t xml:space="preserve">，即实际支出进度分别达到40%、67.5%、82.5%。                                                     6、9、11月部门预算执行进度达到量化指标的分别得1分、1分、2分，未达到目标进度的按其实际进度占目标进度的比重计算得分。                                             </w:t>
            </w:r>
          </w:p>
        </w:tc>
        <w:tc>
          <w:tcPr>
            <w:tcW w:w="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cs="宋体"/>
                <w:color w:val="000000"/>
                <w:sz w:val="18"/>
                <w:szCs w:val="18"/>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cs="宋体"/>
                <w:color w:val="000000"/>
                <w:sz w:val="18"/>
                <w:szCs w:val="18"/>
              </w:rPr>
            </w:pP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cs="宋体"/>
                <w:color w:val="000000"/>
                <w:sz w:val="18"/>
                <w:szCs w:val="18"/>
              </w:rPr>
            </w:pPr>
          </w:p>
        </w:tc>
      </w:tr>
      <w:tr>
        <w:tblPrEx>
          <w:tblCellMar>
            <w:top w:w="0" w:type="dxa"/>
            <w:left w:w="108" w:type="dxa"/>
            <w:bottom w:w="0" w:type="dxa"/>
            <w:right w:w="108" w:type="dxa"/>
          </w:tblCellMar>
        </w:tblPrEx>
        <w:trPr>
          <w:trHeight w:val="690"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完成效率（15分）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预算完成</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r>
              <w:rPr>
                <w:rFonts w:hint="eastAsia" w:ascii="宋体" w:hAnsi="宋体" w:cs="宋体"/>
                <w:color w:val="000000"/>
                <w:sz w:val="18"/>
                <w:szCs w:val="18"/>
              </w:rPr>
              <w:t>3</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评价部门预算项目年终预算执行情况。</w:t>
            </w:r>
          </w:p>
        </w:tc>
        <w:tc>
          <w:tcPr>
            <w:tcW w:w="5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部门预算项目12月预算执行进度达到100%的，得5分，未达100%的，按照实际进度量化计算得分。</w:t>
            </w:r>
          </w:p>
        </w:tc>
        <w:tc>
          <w:tcPr>
            <w:tcW w:w="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cs="宋体"/>
                <w:color w:val="000000"/>
                <w:sz w:val="18"/>
                <w:szCs w:val="18"/>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cs="宋体"/>
                <w:color w:val="000000"/>
                <w:sz w:val="18"/>
                <w:szCs w:val="18"/>
              </w:rPr>
            </w:pPr>
          </w:p>
        </w:tc>
      </w:tr>
      <w:tr>
        <w:tblPrEx>
          <w:tblCellMar>
            <w:top w:w="0" w:type="dxa"/>
            <w:left w:w="108" w:type="dxa"/>
            <w:bottom w:w="0" w:type="dxa"/>
            <w:right w:w="108" w:type="dxa"/>
          </w:tblCellMar>
        </w:tblPrEx>
        <w:trPr>
          <w:trHeight w:val="1016"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资金结余率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r>
              <w:rPr>
                <w:rFonts w:hint="eastAsia" w:ascii="宋体" w:hAnsi="宋体" w:cs="宋体"/>
                <w:color w:val="000000"/>
                <w:sz w:val="18"/>
                <w:szCs w:val="18"/>
              </w:rPr>
              <w:t>8</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评价部门预算项目年终资金结余情况。                 </w:t>
            </w:r>
          </w:p>
        </w:tc>
        <w:tc>
          <w:tcPr>
            <w:tcW w:w="5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部门预算项目资金结余率小于0.1的项目数/部门预算项目总数*8.</w:t>
            </w:r>
          </w:p>
        </w:tc>
        <w:tc>
          <w:tcPr>
            <w:tcW w:w="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宋体"/>
                <w:color w:val="000000"/>
                <w:sz w:val="18"/>
                <w:szCs w:val="18"/>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宋体"/>
                <w:color w:val="000000"/>
                <w:sz w:val="18"/>
                <w:szCs w:val="18"/>
              </w:rPr>
            </w:pP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（低效率、无效率）</w:t>
            </w:r>
          </w:p>
        </w:tc>
      </w:tr>
      <w:tr>
        <w:tblPrEx>
          <w:tblCellMar>
            <w:top w:w="0" w:type="dxa"/>
            <w:left w:w="108" w:type="dxa"/>
            <w:bottom w:w="0" w:type="dxa"/>
            <w:right w:w="108" w:type="dxa"/>
          </w:tblCellMar>
        </w:tblPrEx>
        <w:trPr>
          <w:trHeight w:val="1344"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违规记录</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r>
              <w:rPr>
                <w:rFonts w:hint="eastAsia" w:ascii="宋体" w:hAnsi="宋体" w:cs="宋体"/>
                <w:color w:val="000000"/>
                <w:sz w:val="18"/>
                <w:szCs w:val="18"/>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根据审计监督、财政检查等结果，反映部门上一年度部门预算管理是否合规。</w:t>
            </w:r>
          </w:p>
        </w:tc>
        <w:tc>
          <w:tcPr>
            <w:tcW w:w="5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依据评价年度审计监督、财政检查结果，出现部门预算管理方面违纪违规问题的，每个问题扣0.2分，直至扣完。</w:t>
            </w:r>
          </w:p>
        </w:tc>
        <w:tc>
          <w:tcPr>
            <w:tcW w:w="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宋体"/>
                <w:color w:val="000000"/>
                <w:sz w:val="18"/>
                <w:szCs w:val="18"/>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宋体"/>
                <w:color w:val="000000"/>
                <w:sz w:val="18"/>
                <w:szCs w:val="18"/>
              </w:rPr>
            </w:pP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cs="宋体"/>
                <w:color w:val="000000"/>
                <w:sz w:val="18"/>
                <w:szCs w:val="18"/>
              </w:rPr>
            </w:pPr>
          </w:p>
        </w:tc>
      </w:tr>
      <w:tr>
        <w:tblPrEx>
          <w:tblCellMar>
            <w:top w:w="0" w:type="dxa"/>
            <w:left w:w="108" w:type="dxa"/>
            <w:bottom w:w="0" w:type="dxa"/>
            <w:right w:w="108" w:type="dxa"/>
          </w:tblCellMar>
        </w:tblPrEx>
        <w:trPr>
          <w:trHeight w:val="1344"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专项预算项目绩效管理得分（40分）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专项预算项目绩效管理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项目个数（*个）</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r>
              <w:rPr>
                <w:rFonts w:hint="eastAsia" w:ascii="宋体" w:hAnsi="宋体" w:cs="宋体"/>
                <w:color w:val="000000"/>
                <w:sz w:val="18"/>
                <w:szCs w:val="18"/>
              </w:rPr>
              <w:t>38</w:t>
            </w:r>
          </w:p>
        </w:tc>
        <w:tc>
          <w:tcPr>
            <w:tcW w:w="1124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部门按照专项预算项目自评工作要求对本部门管理的专项预算项目进行自评并打分，形成自评报告；有两个及以上专项预算项目的，以平均分作为自评得分。按百分制形成的自评报告分数，按0.4的比例换算成此项指标得分。                                                                                                                                                                                          </w:t>
            </w:r>
          </w:p>
        </w:tc>
      </w:tr>
      <w:tr>
        <w:tblPrEx>
          <w:tblCellMar>
            <w:top w:w="0" w:type="dxa"/>
            <w:left w:w="108" w:type="dxa"/>
            <w:bottom w:w="0" w:type="dxa"/>
            <w:right w:w="108" w:type="dxa"/>
          </w:tblCellMar>
        </w:tblPrEx>
        <w:trPr>
          <w:trHeight w:val="1016"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绩效结果应用（10分）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内部应用（4分）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预算挂钩</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r>
              <w:rPr>
                <w:rFonts w:hint="eastAsia" w:ascii="宋体" w:hAnsi="宋体" w:cs="宋体"/>
                <w:color w:val="000000"/>
                <w:sz w:val="18"/>
                <w:szCs w:val="18"/>
              </w:rPr>
              <w:t>4</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部门内部绩效结果与预算挂钩情况。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将内设机构和下属单位绩效自评纳入考核体系，建立对内设机构和下属单位预算与绩效挂钩机制的，得4分，否则酌情扣分。    </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宋体"/>
                <w:color w:val="000000"/>
                <w:sz w:val="18"/>
                <w:szCs w:val="18"/>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宋体"/>
                <w:color w:val="000000"/>
                <w:sz w:val="18"/>
                <w:szCs w:val="18"/>
              </w:rPr>
            </w:pPr>
          </w:p>
        </w:tc>
      </w:tr>
      <w:tr>
        <w:tblPrEx>
          <w:tblCellMar>
            <w:top w:w="0" w:type="dxa"/>
            <w:left w:w="108" w:type="dxa"/>
            <w:bottom w:w="0" w:type="dxa"/>
            <w:right w:w="108" w:type="dxa"/>
          </w:tblCellMar>
        </w:tblPrEx>
        <w:trPr>
          <w:trHeight w:val="1344"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信息公开（2分）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自评公开</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r>
              <w:rPr>
                <w:rFonts w:hint="eastAsia" w:ascii="宋体" w:hAnsi="宋体" w:cs="宋体"/>
                <w:color w:val="000000"/>
                <w:sz w:val="18"/>
                <w:szCs w:val="18"/>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评价部门是否按要求将部门整体绩效自评情况和自行组织的评价情况向社会公开。</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按要求将相关绩效信息随同决算公开的，得2分，否则不得分。</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cs="宋体"/>
                <w:color w:val="000000"/>
                <w:sz w:val="18"/>
                <w:szCs w:val="18"/>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cs="宋体"/>
                <w:color w:val="000000"/>
                <w:sz w:val="18"/>
                <w:szCs w:val="18"/>
              </w:rPr>
            </w:pP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cs="宋体"/>
                <w:color w:val="000000"/>
                <w:sz w:val="18"/>
                <w:szCs w:val="18"/>
              </w:rPr>
            </w:pPr>
          </w:p>
        </w:tc>
      </w:tr>
      <w:tr>
        <w:tblPrEx>
          <w:tblCellMar>
            <w:top w:w="0" w:type="dxa"/>
            <w:left w:w="108" w:type="dxa"/>
            <w:bottom w:w="0" w:type="dxa"/>
            <w:right w:w="108" w:type="dxa"/>
          </w:tblCellMar>
        </w:tblPrEx>
        <w:trPr>
          <w:trHeight w:val="1016"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整改反馈（4分）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问题整改</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r>
              <w:rPr>
                <w:rFonts w:hint="eastAsia" w:ascii="宋体" w:hAnsi="宋体" w:cs="宋体"/>
                <w:color w:val="000000"/>
                <w:sz w:val="18"/>
                <w:szCs w:val="18"/>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评价部门根据绩效管理结果整改问题、完善政策、改进管理的情况。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针对绩效管理过程中（包括绩效目标核查、绩效监控核查和重点绩效评价）提出的问题进行整改，得2分，否则酌情扣分。</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cs="宋体"/>
                <w:color w:val="000000"/>
                <w:sz w:val="18"/>
                <w:szCs w:val="18"/>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cs="宋体"/>
                <w:color w:val="000000"/>
                <w:sz w:val="18"/>
                <w:szCs w:val="18"/>
              </w:rPr>
            </w:pPr>
          </w:p>
        </w:tc>
      </w:tr>
      <w:tr>
        <w:tblPrEx>
          <w:tblCellMar>
            <w:top w:w="0" w:type="dxa"/>
            <w:left w:w="108" w:type="dxa"/>
            <w:bottom w:w="0" w:type="dxa"/>
            <w:right w:w="108" w:type="dxa"/>
          </w:tblCellMar>
        </w:tblPrEx>
        <w:trPr>
          <w:trHeight w:val="1016"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应用反馈</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r>
              <w:rPr>
                <w:rFonts w:hint="eastAsia" w:ascii="宋体" w:hAnsi="宋体" w:cs="宋体"/>
                <w:color w:val="000000"/>
                <w:sz w:val="18"/>
                <w:szCs w:val="18"/>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评价部门按要求及时向财政部门反馈结果应用情况。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部门在规定时间内向财政部门反馈应用绩效结果报告的，得2分，否则不得分。</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宋体"/>
                <w:color w:val="000000"/>
                <w:sz w:val="18"/>
                <w:szCs w:val="18"/>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cs="宋体"/>
                <w:color w:val="000000"/>
                <w:sz w:val="18"/>
                <w:szCs w:val="18"/>
              </w:rPr>
            </w:pPr>
          </w:p>
        </w:tc>
      </w:tr>
      <w:tr>
        <w:tblPrEx>
          <w:tblCellMar>
            <w:top w:w="0" w:type="dxa"/>
            <w:left w:w="108" w:type="dxa"/>
            <w:bottom w:w="0" w:type="dxa"/>
            <w:right w:w="108" w:type="dxa"/>
          </w:tblCellMar>
        </w:tblPrEx>
        <w:trPr>
          <w:trHeight w:val="1344"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自评质量（10分）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自评质量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自评质量</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评价部门整体支出自评准确率。</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整体支出自评得分与评价组抽查得分差异在5%以内的，不扣分；在5%-10%之间的，扣4分，在10%-20%的，扣8分，在20%以上的，扣10分（此为财政重点绩效评价计分标准，部门参照该标准对部门及下属单位抽查计分）。</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cs="宋体"/>
                <w:color w:val="000000"/>
                <w:sz w:val="18"/>
                <w:szCs w:val="18"/>
              </w:rPr>
            </w:pPr>
          </w:p>
        </w:tc>
      </w:tr>
      <w:tr>
        <w:tblPrEx>
          <w:tblCellMar>
            <w:top w:w="0" w:type="dxa"/>
            <w:left w:w="108" w:type="dxa"/>
            <w:bottom w:w="0" w:type="dxa"/>
            <w:right w:w="108" w:type="dxa"/>
          </w:tblCellMar>
        </w:tblPrEx>
        <w:trPr>
          <w:trHeight w:val="1050" w:hRule="atLeast"/>
        </w:trPr>
        <w:tc>
          <w:tcPr>
            <w:tcW w:w="2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扣分项（10分）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被评价单位配合评价工作情况。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sz w:val="18"/>
                <w:szCs w:val="18"/>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cs="宋体"/>
                <w:color w:val="000000"/>
                <w:sz w:val="18"/>
                <w:szCs w:val="18"/>
              </w:rPr>
            </w:pPr>
          </w:p>
        </w:tc>
      </w:tr>
    </w:tbl>
    <w:p>
      <w:pPr>
        <w:widowControl/>
        <w:jc w:val="left"/>
        <w:rPr>
          <w:rFonts w:eastAsia="方正仿宋_GBK"/>
          <w:color w:val="000000"/>
          <w:kern w:val="0"/>
          <w:sz w:val="32"/>
          <w:szCs w:val="32"/>
          <w:shd w:val="clear" w:color="auto" w:fill="FFFFFF"/>
        </w:rPr>
      </w:pPr>
    </w:p>
    <w:p>
      <w:pPr>
        <w:widowControl/>
        <w:jc w:val="left"/>
        <w:rPr>
          <w:rFonts w:eastAsia="方正仿宋_GBK"/>
          <w:color w:val="000000"/>
          <w:kern w:val="0"/>
          <w:sz w:val="32"/>
          <w:szCs w:val="32"/>
          <w:shd w:val="clear" w:color="auto" w:fill="FFFFFF"/>
        </w:rPr>
        <w:sectPr>
          <w:pgSz w:w="16838" w:h="11906" w:orient="landscape"/>
          <w:pgMar w:top="1588" w:right="1701" w:bottom="1474" w:left="1134" w:header="851" w:footer="992" w:gutter="0"/>
          <w:pgNumType w:fmt="numberInDash" w:start="16"/>
          <w:cols w:space="425" w:num="1"/>
          <w:docGrid w:linePitch="435" w:charSpace="0"/>
        </w:sectPr>
      </w:pPr>
      <w:r>
        <w:rPr>
          <w:rFonts w:eastAsia="方正仿宋_GBK"/>
          <w:color w:val="000000"/>
          <w:kern w:val="0"/>
          <w:sz w:val="32"/>
          <w:szCs w:val="32"/>
          <w:shd w:val="clear" w:color="auto" w:fill="FFFFFF"/>
        </w:rPr>
        <w:br w:type="page"/>
      </w:r>
    </w:p>
    <w:p>
      <w:pPr>
        <w:widowControl/>
        <w:jc w:val="left"/>
        <w:rPr>
          <w:rFonts w:ascii="宋体" w:hAnsi="宋体" w:cs="宋体"/>
          <w:b/>
          <w:color w:val="000000"/>
          <w:szCs w:val="32"/>
        </w:rPr>
      </w:pPr>
      <w:r>
        <w:rPr>
          <w:rFonts w:hint="eastAsia" w:ascii="仿宋_GB2312" w:hAnsi="宋体" w:cs="宋体"/>
          <w:color w:val="000000" w:themeColor="text1"/>
          <w:kern w:val="0"/>
          <w:szCs w:val="32"/>
          <w:shd w:val="clear" w:color="auto" w:fill="FFFFFF"/>
          <w:lang w:val="zh-CN"/>
        </w:rPr>
        <w:t>附表</w:t>
      </w:r>
      <w:r>
        <w:rPr>
          <w:rFonts w:hint="eastAsia" w:ascii="仿宋_GB2312" w:hAnsi="宋体" w:cs="宋体"/>
          <w:color w:val="000000" w:themeColor="text1"/>
          <w:kern w:val="0"/>
          <w:szCs w:val="32"/>
          <w:shd w:val="clear" w:color="auto" w:fill="FFFFFF"/>
        </w:rPr>
        <w:t>2</w:t>
      </w:r>
      <w:r>
        <w:rPr>
          <w:rFonts w:hint="eastAsia" w:ascii="仿宋_GB2312" w:hAnsi="宋体" w:cs="宋体"/>
          <w:color w:val="000000" w:themeColor="text1"/>
          <w:kern w:val="0"/>
          <w:szCs w:val="32"/>
          <w:shd w:val="clear" w:color="auto" w:fill="FFFFFF"/>
          <w:lang w:val="zh-CN"/>
        </w:rPr>
        <w:t>：</w:t>
      </w:r>
    </w:p>
    <w:tbl>
      <w:tblPr>
        <w:tblStyle w:val="14"/>
        <w:tblpPr w:leftFromText="180" w:rightFromText="180" w:vertAnchor="text" w:horzAnchor="page" w:tblpX="1256" w:tblpY="221"/>
        <w:tblOverlap w:val="never"/>
        <w:tblW w:w="5235" w:type="pct"/>
        <w:tblInd w:w="0" w:type="dxa"/>
        <w:tblLayout w:type="autofit"/>
        <w:tblCellMar>
          <w:top w:w="0" w:type="dxa"/>
          <w:left w:w="108" w:type="dxa"/>
          <w:bottom w:w="0" w:type="dxa"/>
          <w:right w:w="108" w:type="dxa"/>
        </w:tblCellMar>
      </w:tblPr>
      <w:tblGrid>
        <w:gridCol w:w="1043"/>
        <w:gridCol w:w="603"/>
        <w:gridCol w:w="157"/>
        <w:gridCol w:w="1848"/>
        <w:gridCol w:w="328"/>
        <w:gridCol w:w="941"/>
        <w:gridCol w:w="990"/>
        <w:gridCol w:w="711"/>
        <w:gridCol w:w="687"/>
        <w:gridCol w:w="594"/>
        <w:gridCol w:w="1355"/>
        <w:gridCol w:w="229"/>
      </w:tblGrid>
      <w:tr>
        <w:tblPrEx>
          <w:tblCellMar>
            <w:top w:w="0" w:type="dxa"/>
            <w:left w:w="108" w:type="dxa"/>
            <w:bottom w:w="0" w:type="dxa"/>
            <w:right w:w="108" w:type="dxa"/>
          </w:tblCellMar>
        </w:tblPrEx>
        <w:trPr>
          <w:trHeight w:val="675" w:hRule="atLeast"/>
        </w:trPr>
        <w:tc>
          <w:tcPr>
            <w:tcW w:w="4880" w:type="pct"/>
            <w:gridSpan w:val="11"/>
            <w:tcBorders>
              <w:top w:val="nil"/>
              <w:left w:val="nil"/>
              <w:bottom w:val="nil"/>
              <w:right w:val="nil"/>
            </w:tcBorders>
            <w:shd w:val="clear" w:color="auto" w:fill="auto"/>
            <w:vAlign w:val="center"/>
          </w:tcPr>
          <w:p>
            <w:pPr>
              <w:widowControl/>
              <w:jc w:val="center"/>
              <w:textAlignment w:val="center"/>
              <w:rPr>
                <w:rFonts w:ascii="宋体" w:hAnsi="宋体" w:cs="宋体"/>
                <w:b/>
                <w:color w:val="000000"/>
                <w:szCs w:val="32"/>
              </w:rPr>
            </w:pPr>
            <w:r>
              <w:rPr>
                <w:rFonts w:hint="eastAsia" w:ascii="宋体" w:hAnsi="宋体" w:cs="宋体"/>
                <w:b/>
                <w:color w:val="000000"/>
                <w:szCs w:val="32"/>
              </w:rPr>
              <w:t>2022年特定目标类部门预算项目绩效自评</w:t>
            </w:r>
          </w:p>
          <w:p>
            <w:pPr>
              <w:widowControl/>
              <w:jc w:val="center"/>
              <w:textAlignment w:val="center"/>
              <w:rPr>
                <w:rFonts w:ascii="宋体" w:hAnsi="宋体" w:cs="宋体"/>
                <w:b/>
                <w:color w:val="000000"/>
                <w:szCs w:val="32"/>
              </w:rPr>
            </w:pPr>
            <w:r>
              <w:rPr>
                <w:rFonts w:hint="eastAsia" w:ascii="宋体" w:hAnsi="宋体" w:cs="宋体"/>
                <w:b/>
                <w:color w:val="000000"/>
                <w:szCs w:val="32"/>
              </w:rPr>
              <w:t>（项目名称：购买安保服务专项）</w:t>
            </w:r>
          </w:p>
        </w:tc>
        <w:tc>
          <w:tcPr>
            <w:tcW w:w="120" w:type="pct"/>
            <w:tcBorders>
              <w:top w:val="nil"/>
              <w:left w:val="nil"/>
              <w:bottom w:val="nil"/>
              <w:right w:val="nil"/>
            </w:tcBorders>
            <w:shd w:val="clear" w:color="auto" w:fill="auto"/>
            <w:vAlign w:val="center"/>
          </w:tcPr>
          <w:p>
            <w:pPr>
              <w:widowControl/>
              <w:jc w:val="center"/>
              <w:textAlignment w:val="center"/>
              <w:rPr>
                <w:rFonts w:ascii="宋体" w:hAnsi="宋体" w:cs="宋体"/>
                <w:b/>
                <w:color w:val="000000"/>
                <w:kern w:val="0"/>
                <w:szCs w:val="32"/>
              </w:rPr>
            </w:pPr>
          </w:p>
        </w:tc>
      </w:tr>
      <w:tr>
        <w:tblPrEx>
          <w:tblCellMar>
            <w:top w:w="0" w:type="dxa"/>
            <w:left w:w="108" w:type="dxa"/>
            <w:bottom w:w="0" w:type="dxa"/>
            <w:right w:w="108" w:type="dxa"/>
          </w:tblCellMar>
        </w:tblPrEx>
        <w:trPr>
          <w:gridAfter w:val="1"/>
          <w:wAfter w:w="120" w:type="pct"/>
          <w:trHeight w:val="254" w:hRule="atLeast"/>
        </w:trPr>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实施单位</w:t>
            </w:r>
          </w:p>
        </w:tc>
        <w:tc>
          <w:tcPr>
            <w:tcW w:w="224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达川区实验小学</w:t>
            </w:r>
          </w:p>
        </w:tc>
        <w:tc>
          <w:tcPr>
            <w:tcW w:w="7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主管部门及代码</w:t>
            </w:r>
          </w:p>
        </w:tc>
        <w:tc>
          <w:tcPr>
            <w:tcW w:w="10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达川区教育局</w:t>
            </w:r>
          </w:p>
        </w:tc>
      </w:tr>
      <w:tr>
        <w:tblPrEx>
          <w:tblCellMar>
            <w:top w:w="0" w:type="dxa"/>
            <w:left w:w="108" w:type="dxa"/>
            <w:bottom w:w="0" w:type="dxa"/>
            <w:right w:w="108" w:type="dxa"/>
          </w:tblCellMar>
        </w:tblPrEx>
        <w:trPr>
          <w:gridAfter w:val="1"/>
          <w:wAfter w:w="120" w:type="pct"/>
          <w:trHeight w:val="341" w:hRule="atLeast"/>
        </w:trPr>
        <w:tc>
          <w:tcPr>
            <w:tcW w:w="86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项目预算</w:t>
            </w:r>
          </w:p>
          <w:p>
            <w:pPr>
              <w:widowControl/>
              <w:spacing w:line="320" w:lineRule="exact"/>
              <w:jc w:val="center"/>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执行情况</w:t>
            </w:r>
          </w:p>
          <w:p>
            <w:pPr>
              <w:widowControl/>
              <w:spacing w:line="320" w:lineRule="exact"/>
              <w:jc w:val="center"/>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（万元）</w:t>
            </w:r>
          </w:p>
        </w:tc>
        <w:tc>
          <w:tcPr>
            <w:tcW w:w="12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预算数：</w:t>
            </w:r>
          </w:p>
        </w:tc>
        <w:tc>
          <w:tcPr>
            <w:tcW w:w="10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16.5</w:t>
            </w:r>
          </w:p>
        </w:tc>
        <w:tc>
          <w:tcPr>
            <w:tcW w:w="7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执行数：</w:t>
            </w:r>
          </w:p>
        </w:tc>
        <w:tc>
          <w:tcPr>
            <w:tcW w:w="10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16.5</w:t>
            </w:r>
          </w:p>
        </w:tc>
      </w:tr>
      <w:tr>
        <w:tblPrEx>
          <w:tblCellMar>
            <w:top w:w="0" w:type="dxa"/>
            <w:left w:w="108" w:type="dxa"/>
            <w:bottom w:w="0" w:type="dxa"/>
            <w:right w:w="108" w:type="dxa"/>
          </w:tblCellMar>
        </w:tblPrEx>
        <w:trPr>
          <w:gridAfter w:val="1"/>
          <w:wAfter w:w="120" w:type="pct"/>
          <w:trHeight w:val="275" w:hRule="atLeast"/>
        </w:trPr>
        <w:tc>
          <w:tcPr>
            <w:tcW w:w="8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Cs w:val="21"/>
              </w:rPr>
            </w:pPr>
          </w:p>
        </w:tc>
        <w:tc>
          <w:tcPr>
            <w:tcW w:w="12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其中：财政拨款</w:t>
            </w:r>
          </w:p>
        </w:tc>
        <w:tc>
          <w:tcPr>
            <w:tcW w:w="10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16.5</w:t>
            </w:r>
          </w:p>
        </w:tc>
        <w:tc>
          <w:tcPr>
            <w:tcW w:w="7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其中：财政拨款</w:t>
            </w:r>
          </w:p>
        </w:tc>
        <w:tc>
          <w:tcPr>
            <w:tcW w:w="10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16.5</w:t>
            </w:r>
          </w:p>
        </w:tc>
      </w:tr>
      <w:tr>
        <w:tblPrEx>
          <w:tblCellMar>
            <w:top w:w="0" w:type="dxa"/>
            <w:left w:w="108" w:type="dxa"/>
            <w:bottom w:w="0" w:type="dxa"/>
            <w:right w:w="108" w:type="dxa"/>
          </w:tblCellMar>
        </w:tblPrEx>
        <w:trPr>
          <w:gridAfter w:val="1"/>
          <w:wAfter w:w="120" w:type="pct"/>
          <w:trHeight w:val="341" w:hRule="atLeast"/>
        </w:trPr>
        <w:tc>
          <w:tcPr>
            <w:tcW w:w="8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Cs w:val="21"/>
              </w:rPr>
            </w:pPr>
          </w:p>
        </w:tc>
        <w:tc>
          <w:tcPr>
            <w:tcW w:w="12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其他资金</w:t>
            </w:r>
          </w:p>
        </w:tc>
        <w:tc>
          <w:tcPr>
            <w:tcW w:w="10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0</w:t>
            </w:r>
          </w:p>
        </w:tc>
        <w:tc>
          <w:tcPr>
            <w:tcW w:w="7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其他资金</w:t>
            </w:r>
          </w:p>
        </w:tc>
        <w:tc>
          <w:tcPr>
            <w:tcW w:w="10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0</w:t>
            </w:r>
          </w:p>
        </w:tc>
      </w:tr>
      <w:tr>
        <w:tblPrEx>
          <w:tblCellMar>
            <w:top w:w="0" w:type="dxa"/>
            <w:left w:w="108" w:type="dxa"/>
            <w:bottom w:w="0" w:type="dxa"/>
            <w:right w:w="108" w:type="dxa"/>
          </w:tblCellMar>
        </w:tblPrEx>
        <w:trPr>
          <w:gridAfter w:val="1"/>
          <w:wAfter w:w="120" w:type="pct"/>
          <w:trHeight w:val="217" w:hRule="atLeast"/>
        </w:trPr>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年度总体目标</w:t>
            </w:r>
          </w:p>
          <w:p>
            <w:pPr>
              <w:widowControl/>
              <w:spacing w:line="320" w:lineRule="exact"/>
              <w:jc w:val="center"/>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完成情况</w:t>
            </w:r>
          </w:p>
        </w:tc>
        <w:tc>
          <w:tcPr>
            <w:tcW w:w="256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预期目标</w:t>
            </w:r>
          </w:p>
        </w:tc>
        <w:tc>
          <w:tcPr>
            <w:tcW w:w="17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实际完成情况</w:t>
            </w:r>
          </w:p>
        </w:tc>
      </w:tr>
      <w:tr>
        <w:tblPrEx>
          <w:tblCellMar>
            <w:top w:w="0" w:type="dxa"/>
            <w:left w:w="108" w:type="dxa"/>
            <w:bottom w:w="0" w:type="dxa"/>
            <w:right w:w="108" w:type="dxa"/>
          </w:tblCellMar>
        </w:tblPrEx>
        <w:trPr>
          <w:gridAfter w:val="1"/>
          <w:wAfter w:w="120" w:type="pct"/>
          <w:trHeight w:val="1297" w:hRule="atLeast"/>
        </w:trPr>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Cs w:val="21"/>
              </w:rPr>
            </w:pPr>
          </w:p>
        </w:tc>
        <w:tc>
          <w:tcPr>
            <w:tcW w:w="2044" w:type="pct"/>
            <w:gridSpan w:val="5"/>
            <w:tcBorders>
              <w:top w:val="single" w:color="000000" w:sz="4" w:space="0"/>
              <w:left w:val="single" w:color="000000" w:sz="4" w:space="0"/>
              <w:bottom w:val="single" w:color="000000" w:sz="4" w:space="0"/>
              <w:right w:val="single" w:color="auto" w:sz="4" w:space="0"/>
            </w:tcBorders>
            <w:shd w:val="clear" w:color="auto" w:fill="auto"/>
          </w:tcPr>
          <w:p>
            <w:pPr>
              <w:widowControl/>
              <w:spacing w:line="320" w:lineRule="exact"/>
              <w:jc w:val="left"/>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2022年内计划发放学校物业管理服务费16.5万元，涉及补贴对象数量11人，目的是维护学校正常教育教学秩序，保障学校及师生的人身、财产安全。</w:t>
            </w:r>
          </w:p>
        </w:tc>
        <w:tc>
          <w:tcPr>
            <w:tcW w:w="2286" w:type="pct"/>
            <w:gridSpan w:val="5"/>
            <w:tcBorders>
              <w:top w:val="single" w:color="000000" w:sz="4" w:space="0"/>
              <w:left w:val="single" w:color="auto" w:sz="4" w:space="0"/>
              <w:bottom w:val="single" w:color="000000" w:sz="4" w:space="0"/>
              <w:right w:val="single" w:color="000000" w:sz="4" w:space="0"/>
            </w:tcBorders>
            <w:shd w:val="clear" w:color="auto" w:fill="auto"/>
          </w:tcPr>
          <w:p>
            <w:pPr>
              <w:widowControl/>
              <w:spacing w:line="320" w:lineRule="exact"/>
              <w:jc w:val="left"/>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2022年实际发放学校物业管理服务费16.5万元，涉及补贴对象数量11人，维护了学校正常教育教学秩序，保障了学校及师生的人身、财产安全。</w:t>
            </w:r>
          </w:p>
        </w:tc>
      </w:tr>
      <w:tr>
        <w:tblPrEx>
          <w:tblCellMar>
            <w:top w:w="0" w:type="dxa"/>
            <w:left w:w="108" w:type="dxa"/>
            <w:bottom w:w="0" w:type="dxa"/>
            <w:right w:w="108" w:type="dxa"/>
          </w:tblCellMar>
        </w:tblPrEx>
        <w:trPr>
          <w:gridAfter w:val="1"/>
          <w:wAfter w:w="120" w:type="pct"/>
          <w:trHeight w:val="738" w:hRule="atLeast"/>
        </w:trPr>
        <w:tc>
          <w:tcPr>
            <w:tcW w:w="550"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年度绩效指标完成情况</w:t>
            </w:r>
          </w:p>
        </w:tc>
        <w:tc>
          <w:tcPr>
            <w:tcW w:w="401" w:type="pct"/>
            <w:gridSpan w:val="2"/>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一级</w:t>
            </w:r>
          </w:p>
          <w:p>
            <w:pPr>
              <w:widowControl/>
              <w:spacing w:line="320" w:lineRule="exact"/>
              <w:jc w:val="center"/>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二级</w:t>
            </w:r>
          </w:p>
          <w:p>
            <w:pPr>
              <w:widowControl/>
              <w:spacing w:line="320" w:lineRule="exact"/>
              <w:jc w:val="center"/>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指标</w:t>
            </w:r>
          </w:p>
        </w:tc>
        <w:tc>
          <w:tcPr>
            <w:tcW w:w="15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三级</w:t>
            </w:r>
          </w:p>
          <w:p>
            <w:pPr>
              <w:widowControl/>
              <w:spacing w:line="320" w:lineRule="exact"/>
              <w:jc w:val="center"/>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指标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Cs w:val="21"/>
              </w:rPr>
            </w:pPr>
            <w:r>
              <w:rPr>
                <w:rFonts w:hint="eastAsia" w:ascii="仿宋_GB2312" w:hAnsi="仿宋_GB2312" w:cs="仿宋_GB2312"/>
                <w:color w:val="000000"/>
                <w:kern w:val="0"/>
                <w:szCs w:val="21"/>
              </w:rPr>
              <w:t>预期指标值</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rPr>
              <w:t>实际完成指标值</w:t>
            </w:r>
          </w:p>
        </w:tc>
      </w:tr>
      <w:tr>
        <w:tblPrEx>
          <w:tblCellMar>
            <w:top w:w="0" w:type="dxa"/>
            <w:left w:w="108" w:type="dxa"/>
            <w:bottom w:w="0" w:type="dxa"/>
            <w:right w:w="108" w:type="dxa"/>
          </w:tblCellMar>
        </w:tblPrEx>
        <w:trPr>
          <w:gridAfter w:val="1"/>
          <w:wAfter w:w="120" w:type="pct"/>
          <w:trHeight w:val="525" w:hRule="atLeast"/>
        </w:trPr>
        <w:tc>
          <w:tcPr>
            <w:tcW w:w="550"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Cs w:val="21"/>
              </w:rPr>
            </w:pPr>
          </w:p>
        </w:tc>
        <w:tc>
          <w:tcPr>
            <w:tcW w:w="4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0"/>
                <w:szCs w:val="20"/>
              </w:rPr>
            </w:pPr>
            <w:r>
              <w:rPr>
                <w:rFonts w:hint="eastAsia" w:ascii="仿宋_GB2312" w:hAnsi="仿宋_GB2312" w:cs="仿宋_GB2312"/>
                <w:color w:val="000000"/>
                <w:kern w:val="0"/>
                <w:sz w:val="20"/>
                <w:szCs w:val="20"/>
              </w:rPr>
              <w:t>完成</w:t>
            </w:r>
          </w:p>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kern w:val="0"/>
                <w:sz w:val="20"/>
                <w:szCs w:val="20"/>
              </w:rPr>
              <w:t>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数量指标</w:t>
            </w:r>
          </w:p>
        </w:tc>
        <w:tc>
          <w:tcPr>
            <w:tcW w:w="1566" w:type="pct"/>
            <w:gridSpan w:val="4"/>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专职保安人员聘请数量</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r>
              <w:rPr>
                <w:rFonts w:hint="eastAsia"/>
                <w:sz w:val="20"/>
                <w:szCs w:val="20"/>
              </w:rPr>
              <w:t>11人</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r>
              <w:rPr>
                <w:rFonts w:hint="eastAsia"/>
                <w:sz w:val="20"/>
                <w:szCs w:val="20"/>
              </w:rPr>
              <w:t>11人</w:t>
            </w:r>
          </w:p>
        </w:tc>
      </w:tr>
      <w:tr>
        <w:tblPrEx>
          <w:tblCellMar>
            <w:top w:w="0" w:type="dxa"/>
            <w:left w:w="108" w:type="dxa"/>
            <w:bottom w:w="0" w:type="dxa"/>
            <w:right w:w="108" w:type="dxa"/>
          </w:tblCellMar>
        </w:tblPrEx>
        <w:trPr>
          <w:gridAfter w:val="1"/>
          <w:wAfter w:w="120" w:type="pct"/>
          <w:trHeight w:val="499" w:hRule="atLeast"/>
        </w:trPr>
        <w:tc>
          <w:tcPr>
            <w:tcW w:w="550"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Cs w:val="21"/>
              </w:rPr>
            </w:pPr>
          </w:p>
        </w:tc>
        <w:tc>
          <w:tcPr>
            <w:tcW w:w="4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0"/>
                <w:szCs w:val="20"/>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质量指标</w:t>
            </w:r>
          </w:p>
        </w:tc>
        <w:tc>
          <w:tcPr>
            <w:tcW w:w="1566" w:type="pct"/>
            <w:gridSpan w:val="4"/>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保安人员正常到岗率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r>
              <w:rPr>
                <w:rFonts w:hint="eastAsia"/>
                <w:sz w:val="20"/>
                <w:szCs w:val="20"/>
              </w:rPr>
              <w:t>100%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120" w:type="pct"/>
          <w:trHeight w:val="484" w:hRule="atLeast"/>
        </w:trPr>
        <w:tc>
          <w:tcPr>
            <w:tcW w:w="550"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Cs w:val="21"/>
              </w:rPr>
            </w:pPr>
          </w:p>
        </w:tc>
        <w:tc>
          <w:tcPr>
            <w:tcW w:w="4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0"/>
                <w:szCs w:val="20"/>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成本指标</w:t>
            </w:r>
          </w:p>
        </w:tc>
        <w:tc>
          <w:tcPr>
            <w:tcW w:w="1566" w:type="pct"/>
            <w:gridSpan w:val="4"/>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项目成本控制数</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r>
              <w:rPr>
                <w:rFonts w:hint="eastAsia"/>
                <w:sz w:val="20"/>
                <w:szCs w:val="20"/>
              </w:rPr>
              <w:t>1250元/人月</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r>
              <w:rPr>
                <w:rFonts w:hint="eastAsia"/>
                <w:sz w:val="20"/>
                <w:szCs w:val="20"/>
              </w:rPr>
              <w:t>1250元/人月</w:t>
            </w:r>
          </w:p>
        </w:tc>
      </w:tr>
      <w:tr>
        <w:tblPrEx>
          <w:tblCellMar>
            <w:top w:w="0" w:type="dxa"/>
            <w:left w:w="108" w:type="dxa"/>
            <w:bottom w:w="0" w:type="dxa"/>
            <w:right w:w="108" w:type="dxa"/>
          </w:tblCellMar>
        </w:tblPrEx>
        <w:trPr>
          <w:gridAfter w:val="1"/>
          <w:wAfter w:w="120" w:type="pct"/>
          <w:trHeight w:val="484" w:hRule="atLeast"/>
        </w:trPr>
        <w:tc>
          <w:tcPr>
            <w:tcW w:w="550"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Cs w:val="21"/>
              </w:rPr>
            </w:pPr>
          </w:p>
        </w:tc>
        <w:tc>
          <w:tcPr>
            <w:tcW w:w="4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0"/>
                <w:szCs w:val="20"/>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质量指标</w:t>
            </w:r>
          </w:p>
        </w:tc>
        <w:tc>
          <w:tcPr>
            <w:tcW w:w="1566" w:type="pct"/>
            <w:gridSpan w:val="4"/>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专职保安人员工资发放准确率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r>
              <w:rPr>
                <w:rFonts w:hint="eastAsia"/>
                <w:sz w:val="20"/>
                <w:szCs w:val="20"/>
              </w:rPr>
              <w:t>100%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120" w:type="pct"/>
          <w:trHeight w:val="484" w:hRule="atLeast"/>
        </w:trPr>
        <w:tc>
          <w:tcPr>
            <w:tcW w:w="550"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Cs w:val="21"/>
              </w:rPr>
            </w:pPr>
          </w:p>
        </w:tc>
        <w:tc>
          <w:tcPr>
            <w:tcW w:w="4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0"/>
                <w:szCs w:val="20"/>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时效指标</w:t>
            </w:r>
          </w:p>
        </w:tc>
        <w:tc>
          <w:tcPr>
            <w:tcW w:w="1566" w:type="pct"/>
            <w:gridSpan w:val="4"/>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提高专职保安人员工资发放及时率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r>
              <w:rPr>
                <w:rFonts w:hint="eastAsia"/>
                <w:sz w:val="20"/>
                <w:szCs w:val="20"/>
              </w:rPr>
              <w:t>100%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120" w:type="pct"/>
          <w:trHeight w:val="400" w:hRule="atLeast"/>
        </w:trPr>
        <w:tc>
          <w:tcPr>
            <w:tcW w:w="550"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Cs w:val="21"/>
              </w:rPr>
            </w:pPr>
          </w:p>
        </w:tc>
        <w:tc>
          <w:tcPr>
            <w:tcW w:w="4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0"/>
                <w:szCs w:val="20"/>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质量指标</w:t>
            </w:r>
          </w:p>
        </w:tc>
        <w:tc>
          <w:tcPr>
            <w:tcW w:w="1566" w:type="pct"/>
            <w:gridSpan w:val="4"/>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保安人员资质符合率</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r>
              <w:rPr>
                <w:rFonts w:hint="eastAsia"/>
                <w:sz w:val="20"/>
                <w:szCs w:val="20"/>
              </w:rPr>
              <w:t>100%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120" w:type="pct"/>
          <w:trHeight w:val="480" w:hRule="atLeast"/>
        </w:trPr>
        <w:tc>
          <w:tcPr>
            <w:tcW w:w="550"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Cs w:val="21"/>
              </w:rPr>
            </w:pPr>
          </w:p>
        </w:tc>
        <w:tc>
          <w:tcPr>
            <w:tcW w:w="4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kern w:val="0"/>
                <w:sz w:val="20"/>
                <w:szCs w:val="20"/>
              </w:rPr>
              <w:t>效益指标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20"/>
                <w:szCs w:val="20"/>
              </w:rPr>
            </w:pPr>
            <w:r>
              <w:rPr>
                <w:rFonts w:hint="eastAsia"/>
                <w:sz w:val="20"/>
                <w:szCs w:val="20"/>
              </w:rPr>
              <w:t>社会效益指标</w:t>
            </w:r>
          </w:p>
        </w:tc>
        <w:tc>
          <w:tcPr>
            <w:tcW w:w="15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20"/>
                <w:szCs w:val="20"/>
              </w:rPr>
            </w:pPr>
            <w:r>
              <w:rPr>
                <w:rFonts w:hint="eastAsia"/>
                <w:sz w:val="20"/>
                <w:szCs w:val="20"/>
              </w:rPr>
              <w:t>保障学校师生人身财产安全</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Cs w:val="21"/>
              </w:rPr>
              <w:t>良</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0"/>
                <w:szCs w:val="20"/>
              </w:rPr>
              <w:t>优</w:t>
            </w:r>
          </w:p>
        </w:tc>
      </w:tr>
      <w:tr>
        <w:tblPrEx>
          <w:tblCellMar>
            <w:top w:w="0" w:type="dxa"/>
            <w:left w:w="108" w:type="dxa"/>
            <w:bottom w:w="0" w:type="dxa"/>
            <w:right w:w="108" w:type="dxa"/>
          </w:tblCellMar>
        </w:tblPrEx>
        <w:trPr>
          <w:gridAfter w:val="1"/>
          <w:wAfter w:w="120" w:type="pct"/>
          <w:trHeight w:val="480" w:hRule="atLeast"/>
        </w:trPr>
        <w:tc>
          <w:tcPr>
            <w:tcW w:w="550"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Cs w:val="21"/>
              </w:rPr>
            </w:pPr>
          </w:p>
        </w:tc>
        <w:tc>
          <w:tcPr>
            <w:tcW w:w="4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0"/>
                <w:szCs w:val="20"/>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20"/>
                <w:szCs w:val="20"/>
              </w:rPr>
            </w:pPr>
            <w:r>
              <w:rPr>
                <w:rFonts w:hint="eastAsia"/>
                <w:sz w:val="20"/>
                <w:szCs w:val="20"/>
              </w:rPr>
              <w:t>社会效益指标</w:t>
            </w:r>
          </w:p>
        </w:tc>
        <w:tc>
          <w:tcPr>
            <w:tcW w:w="15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20"/>
                <w:szCs w:val="20"/>
              </w:rPr>
            </w:pPr>
            <w:r>
              <w:rPr>
                <w:rFonts w:hint="eastAsia"/>
                <w:sz w:val="20"/>
                <w:szCs w:val="20"/>
              </w:rPr>
              <w:t>维护学校正常教育教学秩序</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Cs w:val="21"/>
              </w:rPr>
              <w:t>良</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0"/>
                <w:szCs w:val="20"/>
              </w:rPr>
              <w:t>优</w:t>
            </w:r>
          </w:p>
        </w:tc>
      </w:tr>
      <w:tr>
        <w:tblPrEx>
          <w:tblCellMar>
            <w:top w:w="0" w:type="dxa"/>
            <w:left w:w="108" w:type="dxa"/>
            <w:bottom w:w="0" w:type="dxa"/>
            <w:right w:w="108" w:type="dxa"/>
          </w:tblCellMar>
        </w:tblPrEx>
        <w:trPr>
          <w:gridAfter w:val="1"/>
          <w:wAfter w:w="120" w:type="pct"/>
          <w:trHeight w:val="480" w:hRule="atLeast"/>
        </w:trPr>
        <w:tc>
          <w:tcPr>
            <w:tcW w:w="550"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Cs w:val="21"/>
              </w:rPr>
            </w:pPr>
          </w:p>
        </w:tc>
        <w:tc>
          <w:tcPr>
            <w:tcW w:w="4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0"/>
                <w:szCs w:val="20"/>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20"/>
                <w:szCs w:val="20"/>
              </w:rPr>
            </w:pPr>
            <w:r>
              <w:rPr>
                <w:rFonts w:hint="eastAsia"/>
                <w:sz w:val="20"/>
                <w:szCs w:val="20"/>
              </w:rPr>
              <w:t>可持续影响指标</w:t>
            </w:r>
          </w:p>
        </w:tc>
        <w:tc>
          <w:tcPr>
            <w:tcW w:w="15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20"/>
                <w:szCs w:val="20"/>
              </w:rPr>
            </w:pPr>
            <w:r>
              <w:rPr>
                <w:rFonts w:hint="eastAsia"/>
                <w:sz w:val="20"/>
                <w:szCs w:val="20"/>
              </w:rPr>
              <w:t>物业管理服务制度健全性</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Cs w:val="21"/>
              </w:rPr>
              <w:t>良</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0"/>
                <w:szCs w:val="20"/>
              </w:rPr>
              <w:t>优</w:t>
            </w:r>
          </w:p>
        </w:tc>
      </w:tr>
      <w:tr>
        <w:tblPrEx>
          <w:tblCellMar>
            <w:top w:w="0" w:type="dxa"/>
            <w:left w:w="108" w:type="dxa"/>
            <w:bottom w:w="0" w:type="dxa"/>
            <w:right w:w="108" w:type="dxa"/>
          </w:tblCellMar>
        </w:tblPrEx>
        <w:trPr>
          <w:gridAfter w:val="1"/>
          <w:wAfter w:w="120" w:type="pct"/>
          <w:trHeight w:val="20" w:hRule="atLeast"/>
        </w:trPr>
        <w:tc>
          <w:tcPr>
            <w:tcW w:w="550" w:type="pct"/>
            <w:vMerge w:val="continue"/>
            <w:tcBorders>
              <w:left w:val="single" w:color="000000" w:sz="4" w:space="0"/>
              <w:bottom w:val="single" w:color="auto" w:sz="4" w:space="0"/>
              <w:right w:val="single" w:color="000000" w:sz="4" w:space="0"/>
            </w:tcBorders>
            <w:shd w:val="clear" w:color="auto" w:fill="auto"/>
            <w:vAlign w:val="center"/>
          </w:tcPr>
          <w:p>
            <w:pPr>
              <w:spacing w:line="320" w:lineRule="exact"/>
              <w:jc w:val="center"/>
              <w:rPr>
                <w:rFonts w:ascii="仿宋_GB2312" w:hAnsi="仿宋_GB2312" w:cs="仿宋_GB2312"/>
                <w:color w:val="000000"/>
                <w:szCs w:val="21"/>
              </w:rPr>
            </w:pP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kern w:val="0"/>
                <w:sz w:val="20"/>
                <w:szCs w:val="20"/>
              </w:rPr>
              <w:t>满意度指标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cs="仿宋_GB2312"/>
                <w:color w:val="000000"/>
                <w:sz w:val="20"/>
                <w:szCs w:val="20"/>
              </w:rPr>
            </w:pPr>
            <w:r>
              <w:rPr>
                <w:rFonts w:hint="eastAsia" w:ascii="仿宋_GB2312" w:hAnsi="仿宋_GB2312" w:cs="仿宋_GB2312"/>
                <w:color w:val="000000"/>
                <w:sz w:val="20"/>
                <w:szCs w:val="20"/>
              </w:rPr>
              <w:t>满意度指标</w:t>
            </w:r>
          </w:p>
        </w:tc>
        <w:tc>
          <w:tcPr>
            <w:tcW w:w="15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r>
              <w:rPr>
                <w:rFonts w:hint="eastAsia"/>
                <w:sz w:val="20"/>
                <w:szCs w:val="20"/>
              </w:rPr>
              <w:t>师生满意度</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0"/>
                <w:szCs w:val="20"/>
              </w:rPr>
              <w:t>98%</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0"/>
                <w:szCs w:val="20"/>
              </w:rPr>
              <w:t>100%</w:t>
            </w:r>
          </w:p>
        </w:tc>
      </w:tr>
    </w:tbl>
    <w:p>
      <w:pPr>
        <w:widowControl/>
        <w:adjustRightInd w:val="0"/>
        <w:snapToGrid w:val="0"/>
        <w:spacing w:line="580" w:lineRule="exact"/>
        <w:contextualSpacing/>
        <w:jc w:val="left"/>
        <w:rPr>
          <w:rFonts w:ascii="仿宋_GB2312" w:hAnsi="宋体" w:cs="宋体"/>
          <w:color w:val="000000"/>
          <w:kern w:val="0"/>
          <w:szCs w:val="32"/>
          <w:shd w:val="clear" w:color="auto" w:fill="FFFFFF"/>
        </w:rPr>
      </w:pPr>
    </w:p>
    <w:p>
      <w:pPr>
        <w:pStyle w:val="7"/>
        <w:rPr>
          <w:lang w:val="zh-CN"/>
        </w:rPr>
      </w:pPr>
    </w:p>
    <w:p>
      <w:pPr>
        <w:rPr>
          <w:lang w:val="zh-CN"/>
        </w:rPr>
      </w:pPr>
    </w:p>
    <w:p>
      <w:pPr>
        <w:widowControl/>
        <w:jc w:val="left"/>
        <w:rPr>
          <w:sz w:val="18"/>
          <w:szCs w:val="18"/>
          <w:lang w:val="zh-CN"/>
        </w:rPr>
      </w:pPr>
      <w:r>
        <w:rPr>
          <w:lang w:val="zh-CN"/>
        </w:rPr>
        <w:br w:type="page"/>
      </w:r>
    </w:p>
    <w:p>
      <w:pPr>
        <w:widowControl/>
        <w:adjustRightInd w:val="0"/>
        <w:snapToGrid w:val="0"/>
        <w:spacing w:line="580" w:lineRule="exact"/>
        <w:contextualSpacing/>
        <w:jc w:val="left"/>
        <w:rPr>
          <w:rFonts w:ascii="仿宋_GB2312" w:hAnsi="宋体" w:cs="宋体"/>
          <w:color w:val="000000"/>
          <w:kern w:val="0"/>
          <w:szCs w:val="32"/>
          <w:shd w:val="clear" w:color="auto" w:fill="FFFFFF"/>
          <w:lang w:val="zh-CN"/>
        </w:rPr>
        <w:sectPr>
          <w:pgSz w:w="11906" w:h="16838"/>
          <w:pgMar w:top="1701" w:right="1474" w:bottom="1134" w:left="1588" w:header="851" w:footer="992" w:gutter="0"/>
          <w:pgNumType w:fmt="numberInDash" w:start="16"/>
          <w:cols w:space="425" w:num="1"/>
          <w:docGrid w:linePitch="435" w:charSpace="0"/>
        </w:sectPr>
      </w:pPr>
    </w:p>
    <w:p>
      <w:pPr>
        <w:spacing w:line="600" w:lineRule="exact"/>
        <w:jc w:val="center"/>
        <w:outlineLvl w:val="0"/>
        <w:rPr>
          <w:rStyle w:val="27"/>
          <w:rFonts w:ascii="方正小标宋简体" w:hAnsi="黑体" w:eastAsia="方正小标宋简体"/>
          <w:b w:val="0"/>
        </w:rPr>
      </w:pPr>
      <w:bookmarkStart w:id="56" w:name="_Toc15396618"/>
      <w:r>
        <w:rPr>
          <w:rFonts w:hint="eastAsia" w:ascii="方正小标宋简体" w:hAnsi="黑体" w:eastAsia="方正小标宋简体"/>
          <w:sz w:val="44"/>
          <w:szCs w:val="44"/>
        </w:rPr>
        <w:t>第</w:t>
      </w:r>
      <w:r>
        <w:rPr>
          <w:rStyle w:val="27"/>
          <w:rFonts w:hint="eastAsia" w:ascii="方正小标宋简体" w:hAnsi="黑体" w:eastAsia="方正小标宋简体"/>
          <w:b w:val="0"/>
        </w:rPr>
        <w:t>五部分 附表</w:t>
      </w:r>
      <w:bookmarkEnd w:id="52"/>
      <w:bookmarkEnd w:id="56"/>
      <w:bookmarkStart w:id="57" w:name="_Toc15396619"/>
    </w:p>
    <w:p>
      <w:pPr>
        <w:pStyle w:val="26"/>
        <w:numPr>
          <w:ilvl w:val="0"/>
          <w:numId w:val="4"/>
        </w:numPr>
        <w:adjustRightInd w:val="0"/>
        <w:snapToGrid w:val="0"/>
        <w:spacing w:line="578" w:lineRule="exact"/>
        <w:ind w:firstLineChars="0"/>
        <w:jc w:val="center"/>
        <w:rPr>
          <w:rFonts w:eastAsia="方正黑体_GBK"/>
          <w:sz w:val="32"/>
          <w:szCs w:val="32"/>
        </w:rPr>
      </w:pPr>
      <w:r>
        <w:rPr>
          <w:rFonts w:eastAsia="方正黑体_GBK"/>
          <w:sz w:val="32"/>
          <w:szCs w:val="32"/>
        </w:rPr>
        <w:t>收入</w:t>
      </w:r>
      <w:r>
        <w:rPr>
          <w:rFonts w:hint="eastAsia" w:eastAsia="方正黑体_GBK"/>
          <w:sz w:val="32"/>
          <w:szCs w:val="32"/>
        </w:rPr>
        <w:t>和</w:t>
      </w:r>
      <w:r>
        <w:rPr>
          <w:rFonts w:eastAsia="方正黑体_GBK"/>
          <w:sz w:val="32"/>
          <w:szCs w:val="32"/>
        </w:rPr>
        <w:t>支出决算总表</w:t>
      </w:r>
    </w:p>
    <w:tbl>
      <w:tblPr>
        <w:tblStyle w:val="14"/>
        <w:tblW w:w="14466" w:type="dxa"/>
        <w:tblInd w:w="93" w:type="dxa"/>
        <w:tblLayout w:type="autofit"/>
        <w:tblCellMar>
          <w:top w:w="0" w:type="dxa"/>
          <w:left w:w="108" w:type="dxa"/>
          <w:bottom w:w="0" w:type="dxa"/>
          <w:right w:w="108" w:type="dxa"/>
        </w:tblCellMar>
      </w:tblPr>
      <w:tblGrid>
        <w:gridCol w:w="4220"/>
        <w:gridCol w:w="757"/>
        <w:gridCol w:w="2260"/>
        <w:gridCol w:w="4220"/>
        <w:gridCol w:w="749"/>
        <w:gridCol w:w="2260"/>
      </w:tblGrid>
      <w:tr>
        <w:tblPrEx>
          <w:tblCellMar>
            <w:top w:w="0" w:type="dxa"/>
            <w:left w:w="108" w:type="dxa"/>
            <w:bottom w:w="0" w:type="dxa"/>
            <w:right w:w="108" w:type="dxa"/>
          </w:tblCellMar>
        </w:tblPrEx>
        <w:trPr>
          <w:trHeight w:val="255" w:hRule="atLeast"/>
        </w:trPr>
        <w:tc>
          <w:tcPr>
            <w:tcW w:w="4220" w:type="dxa"/>
            <w:tcBorders>
              <w:top w:val="nil"/>
              <w:left w:val="nil"/>
              <w:bottom w:val="nil"/>
              <w:right w:val="nil"/>
            </w:tcBorders>
            <w:noWrap/>
            <w:vAlign w:val="bottom"/>
          </w:tcPr>
          <w:p>
            <w:pPr>
              <w:widowControl/>
              <w:jc w:val="left"/>
              <w:rPr>
                <w:color w:val="000000"/>
                <w:kern w:val="0"/>
                <w:sz w:val="20"/>
                <w:szCs w:val="20"/>
              </w:rPr>
            </w:pPr>
          </w:p>
        </w:tc>
        <w:tc>
          <w:tcPr>
            <w:tcW w:w="757" w:type="dxa"/>
            <w:tcBorders>
              <w:top w:val="nil"/>
              <w:left w:val="nil"/>
              <w:bottom w:val="nil"/>
              <w:right w:val="nil"/>
            </w:tcBorders>
            <w:noWrap/>
            <w:vAlign w:val="bottom"/>
          </w:tcPr>
          <w:p>
            <w:pPr>
              <w:widowControl/>
              <w:jc w:val="left"/>
              <w:rPr>
                <w:color w:val="000000"/>
                <w:kern w:val="0"/>
                <w:sz w:val="20"/>
                <w:szCs w:val="20"/>
              </w:rPr>
            </w:pPr>
          </w:p>
        </w:tc>
        <w:tc>
          <w:tcPr>
            <w:tcW w:w="2260" w:type="dxa"/>
            <w:tcBorders>
              <w:top w:val="nil"/>
              <w:left w:val="nil"/>
              <w:bottom w:val="nil"/>
              <w:right w:val="nil"/>
            </w:tcBorders>
            <w:noWrap/>
            <w:vAlign w:val="bottom"/>
          </w:tcPr>
          <w:p>
            <w:pPr>
              <w:widowControl/>
              <w:jc w:val="left"/>
              <w:rPr>
                <w:color w:val="000000"/>
                <w:kern w:val="0"/>
                <w:sz w:val="20"/>
                <w:szCs w:val="20"/>
              </w:rPr>
            </w:pPr>
          </w:p>
        </w:tc>
        <w:tc>
          <w:tcPr>
            <w:tcW w:w="4220" w:type="dxa"/>
            <w:tcBorders>
              <w:top w:val="nil"/>
              <w:left w:val="nil"/>
              <w:bottom w:val="nil"/>
              <w:right w:val="nil"/>
            </w:tcBorders>
            <w:noWrap/>
            <w:vAlign w:val="bottom"/>
          </w:tcPr>
          <w:p>
            <w:pPr>
              <w:widowControl/>
              <w:jc w:val="left"/>
              <w:rPr>
                <w:color w:val="000000"/>
                <w:kern w:val="0"/>
                <w:sz w:val="20"/>
                <w:szCs w:val="20"/>
              </w:rPr>
            </w:pPr>
          </w:p>
        </w:tc>
        <w:tc>
          <w:tcPr>
            <w:tcW w:w="749" w:type="dxa"/>
            <w:tcBorders>
              <w:top w:val="nil"/>
              <w:left w:val="nil"/>
              <w:bottom w:val="nil"/>
              <w:right w:val="nil"/>
            </w:tcBorders>
            <w:noWrap/>
            <w:vAlign w:val="bottom"/>
          </w:tcPr>
          <w:p>
            <w:pPr>
              <w:widowControl/>
              <w:jc w:val="left"/>
              <w:rPr>
                <w:color w:val="000000"/>
                <w:kern w:val="0"/>
                <w:sz w:val="20"/>
                <w:szCs w:val="20"/>
              </w:rPr>
            </w:pPr>
          </w:p>
        </w:tc>
        <w:tc>
          <w:tcPr>
            <w:tcW w:w="2260" w:type="dxa"/>
            <w:tcBorders>
              <w:top w:val="nil"/>
              <w:left w:val="nil"/>
              <w:bottom w:val="nil"/>
              <w:right w:val="nil"/>
            </w:tcBorders>
            <w:noWrap/>
            <w:vAlign w:val="bottom"/>
          </w:tcPr>
          <w:p>
            <w:pPr>
              <w:widowControl/>
              <w:jc w:val="right"/>
              <w:rPr>
                <w:color w:val="000000"/>
                <w:kern w:val="0"/>
                <w:sz w:val="20"/>
                <w:szCs w:val="20"/>
              </w:rPr>
            </w:pPr>
            <w:r>
              <w:rPr>
                <w:color w:val="000000"/>
                <w:kern w:val="0"/>
                <w:sz w:val="20"/>
                <w:szCs w:val="20"/>
              </w:rPr>
              <w:t>财决公开01表</w:t>
            </w:r>
          </w:p>
        </w:tc>
      </w:tr>
      <w:tr>
        <w:tblPrEx>
          <w:tblCellMar>
            <w:top w:w="0" w:type="dxa"/>
            <w:left w:w="108" w:type="dxa"/>
            <w:bottom w:w="0" w:type="dxa"/>
            <w:right w:w="108" w:type="dxa"/>
          </w:tblCellMar>
        </w:tblPrEx>
        <w:trPr>
          <w:trHeight w:val="255" w:hRule="atLeast"/>
        </w:trPr>
        <w:tc>
          <w:tcPr>
            <w:tcW w:w="4220" w:type="dxa"/>
            <w:tcBorders>
              <w:top w:val="nil"/>
              <w:left w:val="nil"/>
              <w:bottom w:val="nil"/>
              <w:right w:val="nil"/>
            </w:tcBorders>
            <w:noWrap/>
            <w:vAlign w:val="bottom"/>
          </w:tcPr>
          <w:p>
            <w:pPr>
              <w:widowControl/>
              <w:jc w:val="left"/>
              <w:rPr>
                <w:color w:val="000000"/>
                <w:kern w:val="0"/>
                <w:sz w:val="20"/>
                <w:szCs w:val="20"/>
              </w:rPr>
            </w:pPr>
            <w:r>
              <w:rPr>
                <w:color w:val="000000"/>
                <w:kern w:val="0"/>
                <w:sz w:val="20"/>
                <w:szCs w:val="20"/>
              </w:rPr>
              <w:t>部门：达州市达川区实验小学</w:t>
            </w:r>
          </w:p>
        </w:tc>
        <w:tc>
          <w:tcPr>
            <w:tcW w:w="757" w:type="dxa"/>
            <w:tcBorders>
              <w:top w:val="nil"/>
              <w:left w:val="nil"/>
              <w:bottom w:val="nil"/>
              <w:right w:val="nil"/>
            </w:tcBorders>
            <w:noWrap/>
            <w:vAlign w:val="bottom"/>
          </w:tcPr>
          <w:p>
            <w:pPr>
              <w:widowControl/>
              <w:jc w:val="left"/>
              <w:rPr>
                <w:color w:val="000000"/>
                <w:kern w:val="0"/>
                <w:sz w:val="20"/>
                <w:szCs w:val="20"/>
              </w:rPr>
            </w:pPr>
          </w:p>
        </w:tc>
        <w:tc>
          <w:tcPr>
            <w:tcW w:w="2260" w:type="dxa"/>
            <w:tcBorders>
              <w:top w:val="nil"/>
              <w:left w:val="nil"/>
              <w:bottom w:val="nil"/>
              <w:right w:val="nil"/>
            </w:tcBorders>
            <w:noWrap/>
            <w:vAlign w:val="bottom"/>
          </w:tcPr>
          <w:p>
            <w:pPr>
              <w:widowControl/>
              <w:jc w:val="center"/>
              <w:rPr>
                <w:color w:val="000000"/>
                <w:kern w:val="0"/>
                <w:sz w:val="20"/>
                <w:szCs w:val="20"/>
              </w:rPr>
            </w:pPr>
            <w:r>
              <w:rPr>
                <w:color w:val="000000"/>
                <w:kern w:val="0"/>
                <w:sz w:val="20"/>
                <w:szCs w:val="20"/>
              </w:rPr>
              <w:t>202</w:t>
            </w:r>
            <w:r>
              <w:rPr>
                <w:rFonts w:hint="eastAsia"/>
                <w:color w:val="000000"/>
                <w:kern w:val="0"/>
                <w:sz w:val="20"/>
                <w:szCs w:val="20"/>
              </w:rPr>
              <w:t>2</w:t>
            </w:r>
            <w:r>
              <w:rPr>
                <w:color w:val="000000"/>
                <w:kern w:val="0"/>
                <w:sz w:val="20"/>
                <w:szCs w:val="20"/>
              </w:rPr>
              <w:t>年度</w:t>
            </w:r>
          </w:p>
        </w:tc>
        <w:tc>
          <w:tcPr>
            <w:tcW w:w="4220" w:type="dxa"/>
            <w:tcBorders>
              <w:top w:val="nil"/>
              <w:left w:val="nil"/>
              <w:bottom w:val="nil"/>
              <w:right w:val="nil"/>
            </w:tcBorders>
            <w:noWrap/>
            <w:vAlign w:val="bottom"/>
          </w:tcPr>
          <w:p>
            <w:pPr>
              <w:widowControl/>
              <w:jc w:val="left"/>
              <w:rPr>
                <w:color w:val="000000"/>
                <w:kern w:val="0"/>
                <w:sz w:val="20"/>
                <w:szCs w:val="20"/>
              </w:rPr>
            </w:pPr>
          </w:p>
        </w:tc>
        <w:tc>
          <w:tcPr>
            <w:tcW w:w="749" w:type="dxa"/>
            <w:tcBorders>
              <w:top w:val="nil"/>
              <w:left w:val="nil"/>
              <w:bottom w:val="nil"/>
              <w:right w:val="nil"/>
            </w:tcBorders>
            <w:noWrap/>
            <w:vAlign w:val="bottom"/>
          </w:tcPr>
          <w:p>
            <w:pPr>
              <w:widowControl/>
              <w:jc w:val="left"/>
              <w:rPr>
                <w:color w:val="000000"/>
                <w:kern w:val="0"/>
                <w:sz w:val="20"/>
                <w:szCs w:val="20"/>
              </w:rPr>
            </w:pPr>
          </w:p>
        </w:tc>
        <w:tc>
          <w:tcPr>
            <w:tcW w:w="2260" w:type="dxa"/>
            <w:tcBorders>
              <w:top w:val="nil"/>
              <w:left w:val="nil"/>
              <w:bottom w:val="nil"/>
              <w:right w:val="nil"/>
            </w:tcBorders>
            <w:noWrap/>
            <w:vAlign w:val="bottom"/>
          </w:tcPr>
          <w:p>
            <w:pPr>
              <w:widowControl/>
              <w:jc w:val="right"/>
              <w:rPr>
                <w:color w:val="000000"/>
                <w:kern w:val="0"/>
                <w:sz w:val="20"/>
                <w:szCs w:val="20"/>
              </w:rPr>
            </w:pPr>
            <w:r>
              <w:rPr>
                <w:color w:val="000000"/>
                <w:kern w:val="0"/>
                <w:sz w:val="20"/>
                <w:szCs w:val="20"/>
              </w:rPr>
              <w:t>金额单位：万元</w:t>
            </w:r>
          </w:p>
        </w:tc>
      </w:tr>
      <w:tr>
        <w:tblPrEx>
          <w:tblCellMar>
            <w:top w:w="0" w:type="dxa"/>
            <w:left w:w="108" w:type="dxa"/>
            <w:bottom w:w="0" w:type="dxa"/>
            <w:right w:w="108" w:type="dxa"/>
          </w:tblCellMar>
        </w:tblPrEx>
        <w:trPr>
          <w:trHeight w:val="273" w:hRule="atLeast"/>
        </w:trPr>
        <w:tc>
          <w:tcPr>
            <w:tcW w:w="7237"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color w:val="000000"/>
                <w:kern w:val="0"/>
                <w:sz w:val="20"/>
                <w:szCs w:val="20"/>
              </w:rPr>
            </w:pPr>
            <w:r>
              <w:rPr>
                <w:color w:val="000000"/>
                <w:kern w:val="0"/>
                <w:sz w:val="20"/>
                <w:szCs w:val="20"/>
              </w:rPr>
              <w:t>收入</w:t>
            </w:r>
          </w:p>
        </w:tc>
        <w:tc>
          <w:tcPr>
            <w:tcW w:w="7229" w:type="dxa"/>
            <w:gridSpan w:val="3"/>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color w:val="000000"/>
                <w:kern w:val="0"/>
                <w:sz w:val="20"/>
                <w:szCs w:val="20"/>
              </w:rPr>
            </w:pPr>
            <w:r>
              <w:rPr>
                <w:color w:val="000000"/>
                <w:kern w:val="0"/>
                <w:sz w:val="20"/>
                <w:szCs w:val="20"/>
              </w:rPr>
              <w:t>支出</w:t>
            </w:r>
          </w:p>
        </w:tc>
      </w:tr>
      <w:tr>
        <w:tblPrEx>
          <w:tblCellMar>
            <w:top w:w="0" w:type="dxa"/>
            <w:left w:w="108" w:type="dxa"/>
            <w:bottom w:w="0" w:type="dxa"/>
            <w:right w:w="108" w:type="dxa"/>
          </w:tblCellMar>
        </w:tblPrEx>
        <w:trPr>
          <w:trHeight w:val="235"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color w:val="000000"/>
                <w:kern w:val="0"/>
                <w:sz w:val="20"/>
                <w:szCs w:val="20"/>
              </w:rPr>
            </w:pPr>
            <w:r>
              <w:rPr>
                <w:color w:val="000000"/>
                <w:kern w:val="0"/>
                <w:sz w:val="20"/>
                <w:szCs w:val="20"/>
              </w:rPr>
              <w:t>项目</w:t>
            </w:r>
          </w:p>
        </w:tc>
        <w:tc>
          <w:tcPr>
            <w:tcW w:w="757" w:type="dxa"/>
            <w:tcBorders>
              <w:top w:val="nil"/>
              <w:left w:val="nil"/>
              <w:bottom w:val="single" w:color="000000" w:sz="4" w:space="0"/>
              <w:right w:val="single" w:color="000000" w:sz="4" w:space="0"/>
            </w:tcBorders>
            <w:shd w:val="clear" w:color="FFFFFF" w:fill="C0C0C0"/>
            <w:noWrap/>
            <w:vAlign w:val="center"/>
          </w:tcPr>
          <w:p>
            <w:pPr>
              <w:widowControl/>
              <w:jc w:val="center"/>
              <w:rPr>
                <w:color w:val="000000"/>
                <w:kern w:val="0"/>
                <w:sz w:val="20"/>
                <w:szCs w:val="20"/>
              </w:rPr>
            </w:pPr>
            <w:r>
              <w:rPr>
                <w:color w:val="000000"/>
                <w:kern w:val="0"/>
                <w:sz w:val="20"/>
                <w:szCs w:val="20"/>
              </w:rPr>
              <w:t>行次</w:t>
            </w:r>
          </w:p>
        </w:tc>
        <w:tc>
          <w:tcPr>
            <w:tcW w:w="2260" w:type="dxa"/>
            <w:tcBorders>
              <w:top w:val="nil"/>
              <w:left w:val="nil"/>
              <w:bottom w:val="single" w:color="000000" w:sz="4" w:space="0"/>
              <w:right w:val="single" w:color="000000" w:sz="4" w:space="0"/>
            </w:tcBorders>
            <w:shd w:val="clear" w:color="FFFFFF" w:fill="C0C0C0"/>
            <w:noWrap/>
            <w:vAlign w:val="center"/>
          </w:tcPr>
          <w:p>
            <w:pPr>
              <w:widowControl/>
              <w:jc w:val="center"/>
              <w:rPr>
                <w:color w:val="000000"/>
                <w:kern w:val="0"/>
                <w:sz w:val="20"/>
                <w:szCs w:val="20"/>
              </w:rPr>
            </w:pPr>
            <w:r>
              <w:rPr>
                <w:color w:val="000000"/>
                <w:kern w:val="0"/>
                <w:sz w:val="20"/>
                <w:szCs w:val="20"/>
              </w:rPr>
              <w:t>决算数</w:t>
            </w:r>
          </w:p>
        </w:tc>
        <w:tc>
          <w:tcPr>
            <w:tcW w:w="4220" w:type="dxa"/>
            <w:tcBorders>
              <w:top w:val="nil"/>
              <w:left w:val="nil"/>
              <w:bottom w:val="single" w:color="000000" w:sz="4" w:space="0"/>
              <w:right w:val="single" w:color="000000" w:sz="4" w:space="0"/>
            </w:tcBorders>
            <w:shd w:val="clear" w:color="FFFFFF" w:fill="C0C0C0"/>
            <w:noWrap/>
            <w:vAlign w:val="center"/>
          </w:tcPr>
          <w:p>
            <w:pPr>
              <w:widowControl/>
              <w:jc w:val="center"/>
              <w:rPr>
                <w:color w:val="000000"/>
                <w:kern w:val="0"/>
                <w:sz w:val="20"/>
                <w:szCs w:val="20"/>
              </w:rPr>
            </w:pPr>
            <w:r>
              <w:rPr>
                <w:color w:val="000000"/>
                <w:kern w:val="0"/>
                <w:sz w:val="20"/>
                <w:szCs w:val="20"/>
              </w:rPr>
              <w:t>项目</w:t>
            </w:r>
          </w:p>
        </w:tc>
        <w:tc>
          <w:tcPr>
            <w:tcW w:w="749" w:type="dxa"/>
            <w:tcBorders>
              <w:top w:val="nil"/>
              <w:left w:val="nil"/>
              <w:bottom w:val="single" w:color="000000" w:sz="4" w:space="0"/>
              <w:right w:val="single" w:color="000000" w:sz="4" w:space="0"/>
            </w:tcBorders>
            <w:shd w:val="clear" w:color="FFFFFF" w:fill="C0C0C0"/>
            <w:noWrap/>
            <w:vAlign w:val="center"/>
          </w:tcPr>
          <w:p>
            <w:pPr>
              <w:widowControl/>
              <w:jc w:val="center"/>
              <w:rPr>
                <w:color w:val="000000"/>
                <w:kern w:val="0"/>
                <w:sz w:val="20"/>
                <w:szCs w:val="20"/>
              </w:rPr>
            </w:pPr>
            <w:r>
              <w:rPr>
                <w:color w:val="000000"/>
                <w:kern w:val="0"/>
                <w:sz w:val="20"/>
                <w:szCs w:val="20"/>
              </w:rPr>
              <w:t>行次</w:t>
            </w:r>
          </w:p>
        </w:tc>
        <w:tc>
          <w:tcPr>
            <w:tcW w:w="2260" w:type="dxa"/>
            <w:tcBorders>
              <w:top w:val="nil"/>
              <w:left w:val="nil"/>
              <w:bottom w:val="single" w:color="000000" w:sz="4" w:space="0"/>
              <w:right w:val="single" w:color="000000" w:sz="4" w:space="0"/>
            </w:tcBorders>
            <w:shd w:val="clear" w:color="FFFFFF" w:fill="C0C0C0"/>
            <w:noWrap/>
            <w:vAlign w:val="center"/>
          </w:tcPr>
          <w:p>
            <w:pPr>
              <w:widowControl/>
              <w:jc w:val="center"/>
              <w:rPr>
                <w:color w:val="000000"/>
                <w:kern w:val="0"/>
                <w:sz w:val="20"/>
                <w:szCs w:val="20"/>
              </w:rPr>
            </w:pPr>
            <w:r>
              <w:rPr>
                <w:color w:val="000000"/>
                <w:kern w:val="0"/>
                <w:sz w:val="20"/>
                <w:szCs w:val="20"/>
              </w:rPr>
              <w:t>决算数</w:t>
            </w:r>
          </w:p>
        </w:tc>
      </w:tr>
      <w:tr>
        <w:tblPrEx>
          <w:tblCellMar>
            <w:top w:w="0" w:type="dxa"/>
            <w:left w:w="108" w:type="dxa"/>
            <w:bottom w:w="0" w:type="dxa"/>
            <w:right w:w="108" w:type="dxa"/>
          </w:tblCellMar>
        </w:tblPrEx>
        <w:trPr>
          <w:trHeight w:val="211"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color w:val="000000"/>
                <w:kern w:val="0"/>
                <w:sz w:val="20"/>
                <w:szCs w:val="20"/>
              </w:rPr>
            </w:pPr>
            <w:r>
              <w:rPr>
                <w:color w:val="000000"/>
                <w:kern w:val="0"/>
                <w:sz w:val="20"/>
                <w:szCs w:val="20"/>
              </w:rPr>
              <w:t>栏次</w:t>
            </w:r>
          </w:p>
        </w:tc>
        <w:tc>
          <w:tcPr>
            <w:tcW w:w="757" w:type="dxa"/>
            <w:tcBorders>
              <w:top w:val="nil"/>
              <w:left w:val="nil"/>
              <w:bottom w:val="single" w:color="000000" w:sz="4" w:space="0"/>
              <w:right w:val="single" w:color="000000" w:sz="4" w:space="0"/>
            </w:tcBorders>
            <w:shd w:val="clear" w:color="FFFFFF" w:fill="C0C0C0"/>
            <w:noWrap/>
            <w:vAlign w:val="center"/>
          </w:tcPr>
          <w:p>
            <w:pPr>
              <w:widowControl/>
              <w:jc w:val="center"/>
              <w:rPr>
                <w:color w:val="000000"/>
                <w:kern w:val="0"/>
                <w:sz w:val="20"/>
                <w:szCs w:val="20"/>
              </w:rPr>
            </w:pPr>
            <w:r>
              <w:rPr>
                <w:color w:val="000000"/>
                <w:kern w:val="0"/>
                <w:sz w:val="20"/>
                <w:szCs w:val="20"/>
              </w:rPr>
              <w:t>　</w:t>
            </w:r>
          </w:p>
        </w:tc>
        <w:tc>
          <w:tcPr>
            <w:tcW w:w="2260" w:type="dxa"/>
            <w:tcBorders>
              <w:top w:val="nil"/>
              <w:left w:val="nil"/>
              <w:bottom w:val="single" w:color="000000" w:sz="4" w:space="0"/>
              <w:right w:val="single" w:color="000000" w:sz="4" w:space="0"/>
            </w:tcBorders>
            <w:shd w:val="clear" w:color="FFFFFF" w:fill="C0C0C0"/>
            <w:noWrap/>
            <w:vAlign w:val="center"/>
          </w:tcPr>
          <w:p>
            <w:pPr>
              <w:widowControl/>
              <w:jc w:val="center"/>
              <w:rPr>
                <w:color w:val="000000"/>
                <w:kern w:val="0"/>
                <w:sz w:val="20"/>
                <w:szCs w:val="20"/>
              </w:rPr>
            </w:pPr>
            <w:r>
              <w:rPr>
                <w:color w:val="000000"/>
                <w:kern w:val="0"/>
                <w:sz w:val="20"/>
                <w:szCs w:val="20"/>
              </w:rPr>
              <w:t>1</w:t>
            </w:r>
          </w:p>
        </w:tc>
        <w:tc>
          <w:tcPr>
            <w:tcW w:w="4220" w:type="dxa"/>
            <w:tcBorders>
              <w:top w:val="nil"/>
              <w:left w:val="nil"/>
              <w:bottom w:val="single" w:color="000000" w:sz="4" w:space="0"/>
              <w:right w:val="single" w:color="000000" w:sz="4" w:space="0"/>
            </w:tcBorders>
            <w:shd w:val="clear" w:color="FFFFFF" w:fill="C0C0C0"/>
            <w:noWrap/>
            <w:vAlign w:val="center"/>
          </w:tcPr>
          <w:p>
            <w:pPr>
              <w:widowControl/>
              <w:jc w:val="center"/>
              <w:rPr>
                <w:color w:val="000000"/>
                <w:kern w:val="0"/>
                <w:sz w:val="20"/>
                <w:szCs w:val="20"/>
              </w:rPr>
            </w:pPr>
            <w:r>
              <w:rPr>
                <w:color w:val="000000"/>
                <w:kern w:val="0"/>
                <w:sz w:val="20"/>
                <w:szCs w:val="20"/>
              </w:rPr>
              <w:t>栏次</w:t>
            </w:r>
          </w:p>
        </w:tc>
        <w:tc>
          <w:tcPr>
            <w:tcW w:w="749" w:type="dxa"/>
            <w:tcBorders>
              <w:top w:val="nil"/>
              <w:left w:val="nil"/>
              <w:bottom w:val="single" w:color="000000" w:sz="4" w:space="0"/>
              <w:right w:val="single" w:color="000000" w:sz="4" w:space="0"/>
            </w:tcBorders>
            <w:shd w:val="clear" w:color="FFFFFF" w:fill="C0C0C0"/>
            <w:noWrap/>
            <w:vAlign w:val="center"/>
          </w:tcPr>
          <w:p>
            <w:pPr>
              <w:widowControl/>
              <w:jc w:val="center"/>
              <w:rPr>
                <w:color w:val="000000"/>
                <w:kern w:val="0"/>
                <w:sz w:val="20"/>
                <w:szCs w:val="20"/>
              </w:rPr>
            </w:pPr>
            <w:r>
              <w:rPr>
                <w:color w:val="000000"/>
                <w:kern w:val="0"/>
                <w:sz w:val="20"/>
                <w:szCs w:val="20"/>
              </w:rPr>
              <w:t>　</w:t>
            </w:r>
          </w:p>
        </w:tc>
        <w:tc>
          <w:tcPr>
            <w:tcW w:w="2260" w:type="dxa"/>
            <w:tcBorders>
              <w:top w:val="nil"/>
              <w:left w:val="nil"/>
              <w:bottom w:val="single" w:color="000000" w:sz="4" w:space="0"/>
              <w:right w:val="single" w:color="000000" w:sz="4" w:space="0"/>
            </w:tcBorders>
            <w:shd w:val="clear" w:color="FFFFFF" w:fill="C0C0C0"/>
            <w:noWrap/>
            <w:vAlign w:val="center"/>
          </w:tcPr>
          <w:p>
            <w:pPr>
              <w:widowControl/>
              <w:jc w:val="center"/>
              <w:rPr>
                <w:color w:val="000000"/>
                <w:kern w:val="0"/>
                <w:sz w:val="20"/>
                <w:szCs w:val="20"/>
              </w:rPr>
            </w:pPr>
            <w:r>
              <w:rPr>
                <w:color w:val="000000"/>
                <w:kern w:val="0"/>
                <w:sz w:val="20"/>
                <w:szCs w:val="20"/>
              </w:rPr>
              <w:t>2</w:t>
            </w:r>
          </w:p>
        </w:tc>
      </w:tr>
      <w:tr>
        <w:tblPrEx>
          <w:tblCellMar>
            <w:top w:w="0" w:type="dxa"/>
            <w:left w:w="108" w:type="dxa"/>
            <w:bottom w:w="0" w:type="dxa"/>
            <w:right w:w="108" w:type="dxa"/>
          </w:tblCellMar>
        </w:tblPrEx>
        <w:trPr>
          <w:trHeight w:val="225"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一、一般公共预算财政拨款收入</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1</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2233.95</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一、一般公共服务支出</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32</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225"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二、政府性基金预算财政拨款</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2</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二、外交支出</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33</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225"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三、国有资本经营预算财政拨款收入</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3</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三、国防支出</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34</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225"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四、上级补助收入</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4</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四、公共安全支出</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35</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225"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五、事业收入</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5</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五、教育支出</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36</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1842.31</w:t>
            </w:r>
          </w:p>
        </w:tc>
      </w:tr>
      <w:tr>
        <w:tblPrEx>
          <w:tblCellMar>
            <w:top w:w="0" w:type="dxa"/>
            <w:left w:w="108" w:type="dxa"/>
            <w:bottom w:w="0" w:type="dxa"/>
            <w:right w:w="108" w:type="dxa"/>
          </w:tblCellMar>
        </w:tblPrEx>
        <w:trPr>
          <w:trHeight w:val="285"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六、经营收入</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6</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六、科学技术支出</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37</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00"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七、附属单位上缴</w:t>
            </w:r>
            <w:r>
              <w:rPr>
                <w:rFonts w:hint="eastAsia"/>
                <w:color w:val="000000"/>
                <w:kern w:val="0"/>
                <w:sz w:val="18"/>
                <w:szCs w:val="18"/>
              </w:rPr>
              <w:t>的</w:t>
            </w:r>
            <w:r>
              <w:rPr>
                <w:color w:val="000000"/>
                <w:kern w:val="0"/>
                <w:sz w:val="18"/>
                <w:szCs w:val="18"/>
              </w:rPr>
              <w:t>收入</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7</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七、文化旅游体育与传媒支出</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38</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225"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八、其他收入</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8</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八、社会保障和就业支出</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39</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173.58</w:t>
            </w:r>
          </w:p>
        </w:tc>
      </w:tr>
      <w:tr>
        <w:tblPrEx>
          <w:tblCellMar>
            <w:top w:w="0" w:type="dxa"/>
            <w:left w:w="108" w:type="dxa"/>
            <w:bottom w:w="0" w:type="dxa"/>
            <w:right w:w="108" w:type="dxa"/>
          </w:tblCellMar>
        </w:tblPrEx>
        <w:trPr>
          <w:trHeight w:val="225"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9</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九、卫生健康支出</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40</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87.87</w:t>
            </w:r>
          </w:p>
        </w:tc>
      </w:tr>
      <w:tr>
        <w:tblPrEx>
          <w:tblCellMar>
            <w:top w:w="0" w:type="dxa"/>
            <w:left w:w="108" w:type="dxa"/>
            <w:bottom w:w="0" w:type="dxa"/>
            <w:right w:w="108" w:type="dxa"/>
          </w:tblCellMar>
        </w:tblPrEx>
        <w:trPr>
          <w:trHeight w:val="225"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10</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十、节能环保支出</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41</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225"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11</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十一、城乡社区支出</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42</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p>
        </w:tc>
      </w:tr>
      <w:tr>
        <w:tblPrEx>
          <w:tblCellMar>
            <w:top w:w="0" w:type="dxa"/>
            <w:left w:w="108" w:type="dxa"/>
            <w:bottom w:w="0" w:type="dxa"/>
            <w:right w:w="108" w:type="dxa"/>
          </w:tblCellMar>
        </w:tblPrEx>
        <w:trPr>
          <w:trHeight w:val="225"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12</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十二、农林水支出</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43</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240"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13</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十三、交通运输支出</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44</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60"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14</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十四、资源勘探工业信息等支出</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45</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270"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15</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十五、商业服务业等</w:t>
            </w:r>
            <w:r>
              <w:rPr>
                <w:rFonts w:hint="eastAsia"/>
                <w:color w:val="000000"/>
                <w:kern w:val="0"/>
                <w:sz w:val="18"/>
                <w:szCs w:val="18"/>
              </w:rPr>
              <w:t>其他</w:t>
            </w:r>
            <w:r>
              <w:rPr>
                <w:color w:val="000000"/>
                <w:kern w:val="0"/>
                <w:sz w:val="18"/>
                <w:szCs w:val="18"/>
              </w:rPr>
              <w:t>支出</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46</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225"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16</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十六、金融支出</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47</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225"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17</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十七、其他地区援助支出</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48</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225"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18</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十八、自然资源海洋气象等支出</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49</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240"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19</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十九、住房保障支出</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50</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130.19</w:t>
            </w:r>
          </w:p>
        </w:tc>
      </w:tr>
      <w:tr>
        <w:tblPrEx>
          <w:tblCellMar>
            <w:top w:w="0" w:type="dxa"/>
            <w:left w:w="108" w:type="dxa"/>
            <w:bottom w:w="0" w:type="dxa"/>
            <w:right w:w="108" w:type="dxa"/>
          </w:tblCellMar>
        </w:tblPrEx>
        <w:trPr>
          <w:trHeight w:val="225"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20</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二十、粮油物资储备支出</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51</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225"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21</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二十一、国有资本经营预算支出</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52</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225"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22</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二十二、灾害防治及应急管理支出</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53</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30"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23</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二十三、其他支出</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54</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255"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24</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二十四、债务还本支出</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55</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225"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25</w:t>
            </w:r>
          </w:p>
        </w:tc>
        <w:tc>
          <w:tcPr>
            <w:tcW w:w="2260" w:type="dxa"/>
            <w:tcBorders>
              <w:top w:val="nil"/>
              <w:left w:val="nil"/>
              <w:bottom w:val="single" w:color="000000" w:sz="4" w:space="0"/>
              <w:right w:val="single" w:color="000000" w:sz="4" w:space="0"/>
            </w:tcBorders>
            <w:noWrap/>
            <w:vAlign w:val="center"/>
          </w:tcPr>
          <w:p>
            <w:pPr>
              <w:widowControl/>
              <w:spacing w:line="200" w:lineRule="exact"/>
              <w:jc w:val="right"/>
              <w:textAlignment w:val="center"/>
              <w:rPr>
                <w:color w:val="000000"/>
                <w:kern w:val="0"/>
                <w:sz w:val="18"/>
                <w:szCs w:val="18"/>
              </w:rPr>
            </w:pPr>
            <w:r>
              <w:rPr>
                <w:color w:val="000000"/>
                <w:kern w:val="0"/>
                <w:sz w:val="18"/>
                <w:szCs w:val="18"/>
              </w:rPr>
              <w:t>　</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二十五、债务付息支出</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56</w:t>
            </w:r>
          </w:p>
        </w:tc>
        <w:tc>
          <w:tcPr>
            <w:tcW w:w="2260" w:type="dxa"/>
            <w:tcBorders>
              <w:top w:val="nil"/>
              <w:left w:val="nil"/>
              <w:bottom w:val="single" w:color="000000" w:sz="4" w:space="0"/>
              <w:right w:val="single" w:color="000000" w:sz="4" w:space="0"/>
            </w:tcBorders>
            <w:noWrap/>
            <w:vAlign w:val="center"/>
          </w:tcPr>
          <w:p>
            <w:pPr>
              <w:widowControl/>
              <w:spacing w:line="200" w:lineRule="exact"/>
              <w:jc w:val="right"/>
              <w:textAlignment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15"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26</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二十六、抗疫特别国债安排的支出</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57</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225"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本年收入合计</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27</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2233.95</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本年支出合计</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58</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2233.95</w:t>
            </w:r>
          </w:p>
        </w:tc>
      </w:tr>
      <w:tr>
        <w:tblPrEx>
          <w:tblCellMar>
            <w:top w:w="0" w:type="dxa"/>
            <w:left w:w="108" w:type="dxa"/>
            <w:bottom w:w="0" w:type="dxa"/>
            <w:right w:w="108" w:type="dxa"/>
          </w:tblCellMar>
        </w:tblPrEx>
        <w:trPr>
          <w:trHeight w:val="225"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 xml:space="preserve">    使用非财政拨款结余</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28</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 xml:space="preserve">    结余分配</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59</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255"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 xml:space="preserve">    年初结转和结余</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29</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5656.47</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 xml:space="preserve">    年末结转和结余</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60</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5,656.47</w:t>
            </w:r>
          </w:p>
        </w:tc>
      </w:tr>
      <w:tr>
        <w:tblPrEx>
          <w:tblCellMar>
            <w:top w:w="0" w:type="dxa"/>
            <w:left w:w="108" w:type="dxa"/>
            <w:bottom w:w="0" w:type="dxa"/>
            <w:right w:w="108" w:type="dxa"/>
          </w:tblCellMar>
        </w:tblPrEx>
        <w:trPr>
          <w:trHeight w:val="225"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30</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61</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225" w:hRule="atLeast"/>
        </w:trPr>
        <w:tc>
          <w:tcPr>
            <w:tcW w:w="4220"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总计</w:t>
            </w:r>
          </w:p>
        </w:tc>
        <w:tc>
          <w:tcPr>
            <w:tcW w:w="757"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31</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7890.42</w:t>
            </w:r>
          </w:p>
        </w:tc>
        <w:tc>
          <w:tcPr>
            <w:tcW w:w="4220"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总计</w:t>
            </w:r>
          </w:p>
        </w:tc>
        <w:tc>
          <w:tcPr>
            <w:tcW w:w="749" w:type="dxa"/>
            <w:tcBorders>
              <w:top w:val="nil"/>
              <w:left w:val="nil"/>
              <w:bottom w:val="single" w:color="000000" w:sz="4" w:space="0"/>
              <w:right w:val="single" w:color="000000" w:sz="4" w:space="0"/>
            </w:tcBorders>
            <w:shd w:val="clear" w:color="FFFFFF" w:fill="C0C0C0"/>
            <w:noWrap/>
            <w:vAlign w:val="center"/>
          </w:tcPr>
          <w:p>
            <w:pPr>
              <w:widowControl/>
              <w:spacing w:line="200" w:lineRule="exact"/>
              <w:jc w:val="center"/>
              <w:textAlignment w:val="center"/>
              <w:rPr>
                <w:color w:val="000000"/>
                <w:kern w:val="0"/>
                <w:sz w:val="18"/>
                <w:szCs w:val="18"/>
              </w:rPr>
            </w:pPr>
            <w:r>
              <w:rPr>
                <w:color w:val="000000"/>
                <w:kern w:val="0"/>
                <w:sz w:val="18"/>
                <w:szCs w:val="18"/>
              </w:rPr>
              <w:t>62</w:t>
            </w:r>
          </w:p>
        </w:tc>
        <w:tc>
          <w:tcPr>
            <w:tcW w:w="2260" w:type="dxa"/>
            <w:tcBorders>
              <w:top w:val="nil"/>
              <w:left w:val="nil"/>
              <w:bottom w:val="single" w:color="000000" w:sz="4" w:space="0"/>
              <w:right w:val="single" w:color="000000" w:sz="4" w:space="0"/>
            </w:tcBorders>
            <w:noWrap/>
            <w:vAlign w:val="center"/>
          </w:tcPr>
          <w:p>
            <w:pPr>
              <w:widowControl/>
              <w:spacing w:line="200" w:lineRule="exact"/>
              <w:jc w:val="center"/>
              <w:textAlignment w:val="center"/>
              <w:rPr>
                <w:color w:val="000000"/>
                <w:kern w:val="0"/>
                <w:sz w:val="18"/>
                <w:szCs w:val="18"/>
              </w:rPr>
            </w:pPr>
            <w:r>
              <w:rPr>
                <w:color w:val="000000"/>
                <w:kern w:val="0"/>
                <w:sz w:val="18"/>
                <w:szCs w:val="18"/>
              </w:rPr>
              <w:t>7890.42</w:t>
            </w:r>
          </w:p>
        </w:tc>
      </w:tr>
    </w:tbl>
    <w:p>
      <w:pPr>
        <w:spacing w:line="578" w:lineRule="exact"/>
        <w:jc w:val="center"/>
        <w:rPr>
          <w:rFonts w:eastAsia="方正黑体_GBK"/>
          <w:sz w:val="32"/>
          <w:szCs w:val="32"/>
        </w:rPr>
      </w:pPr>
    </w:p>
    <w:p>
      <w:pPr>
        <w:pStyle w:val="2"/>
        <w:spacing w:before="72"/>
      </w:pPr>
    </w:p>
    <w:p>
      <w:pPr>
        <w:spacing w:line="578" w:lineRule="exact"/>
        <w:jc w:val="center"/>
        <w:rPr>
          <w:rFonts w:eastAsia="方正黑体_GBK"/>
          <w:sz w:val="32"/>
          <w:szCs w:val="32"/>
        </w:rPr>
      </w:pPr>
      <w:r>
        <w:rPr>
          <w:rFonts w:eastAsia="方正黑体_GBK"/>
          <w:sz w:val="32"/>
          <w:szCs w:val="32"/>
        </w:rPr>
        <w:t>二、收入决算表</w:t>
      </w:r>
    </w:p>
    <w:tbl>
      <w:tblPr>
        <w:tblStyle w:val="14"/>
        <w:tblW w:w="14431" w:type="dxa"/>
        <w:tblInd w:w="93" w:type="dxa"/>
        <w:tblLayout w:type="autofit"/>
        <w:tblCellMar>
          <w:top w:w="0" w:type="dxa"/>
          <w:left w:w="108" w:type="dxa"/>
          <w:bottom w:w="0" w:type="dxa"/>
          <w:right w:w="108" w:type="dxa"/>
        </w:tblCellMar>
      </w:tblPr>
      <w:tblGrid>
        <w:gridCol w:w="340"/>
        <w:gridCol w:w="340"/>
        <w:gridCol w:w="340"/>
        <w:gridCol w:w="3390"/>
        <w:gridCol w:w="1417"/>
        <w:gridCol w:w="1701"/>
        <w:gridCol w:w="1418"/>
        <w:gridCol w:w="1134"/>
        <w:gridCol w:w="1275"/>
        <w:gridCol w:w="1276"/>
        <w:gridCol w:w="1800"/>
      </w:tblGrid>
      <w:tr>
        <w:tblPrEx>
          <w:tblCellMar>
            <w:top w:w="0" w:type="dxa"/>
            <w:left w:w="108" w:type="dxa"/>
            <w:bottom w:w="0" w:type="dxa"/>
            <w:right w:w="108" w:type="dxa"/>
          </w:tblCellMar>
        </w:tblPrEx>
        <w:trPr>
          <w:trHeight w:val="255" w:hRule="atLeast"/>
        </w:trPr>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339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417"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701"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418"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134"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275"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276"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80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公开02表</w:t>
            </w:r>
          </w:p>
        </w:tc>
      </w:tr>
      <w:tr>
        <w:tblPrEx>
          <w:tblCellMar>
            <w:top w:w="0" w:type="dxa"/>
            <w:left w:w="108" w:type="dxa"/>
            <w:bottom w:w="0" w:type="dxa"/>
            <w:right w:w="108" w:type="dxa"/>
          </w:tblCellMar>
        </w:tblPrEx>
        <w:trPr>
          <w:trHeight w:val="255" w:hRule="atLeast"/>
        </w:trPr>
        <w:tc>
          <w:tcPr>
            <w:tcW w:w="4410" w:type="dxa"/>
            <w:gridSpan w:val="4"/>
            <w:tcBorders>
              <w:top w:val="nil"/>
              <w:left w:val="nil"/>
              <w:bottom w:val="nil"/>
              <w:right w:val="nil"/>
            </w:tcBorders>
            <w:shd w:val="clear" w:color="auto" w:fill="auto"/>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部门：达州市达川区实验小学</w:t>
            </w:r>
          </w:p>
        </w:tc>
        <w:tc>
          <w:tcPr>
            <w:tcW w:w="1417"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701"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418"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134"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275"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276"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80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4410"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1417"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本年收入合计</w:t>
            </w:r>
          </w:p>
        </w:tc>
        <w:tc>
          <w:tcPr>
            <w:tcW w:w="1701"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财政拨款收入</w:t>
            </w:r>
          </w:p>
        </w:tc>
        <w:tc>
          <w:tcPr>
            <w:tcW w:w="1418"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上级补助收入</w:t>
            </w:r>
          </w:p>
        </w:tc>
        <w:tc>
          <w:tcPr>
            <w:tcW w:w="1134"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事业收入</w:t>
            </w:r>
          </w:p>
        </w:tc>
        <w:tc>
          <w:tcPr>
            <w:tcW w:w="1275"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经营收入</w:t>
            </w:r>
          </w:p>
        </w:tc>
        <w:tc>
          <w:tcPr>
            <w:tcW w:w="1276"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附属单位上缴收入</w:t>
            </w:r>
          </w:p>
        </w:tc>
        <w:tc>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其他收入</w:t>
            </w:r>
          </w:p>
        </w:tc>
      </w:tr>
      <w:tr>
        <w:tblPrEx>
          <w:tblCellMar>
            <w:top w:w="0" w:type="dxa"/>
            <w:left w:w="108" w:type="dxa"/>
            <w:bottom w:w="0" w:type="dxa"/>
            <w:right w:w="108" w:type="dxa"/>
          </w:tblCellMar>
        </w:tblPrEx>
        <w:trPr>
          <w:trHeight w:val="312" w:hRule="atLeast"/>
        </w:trPr>
        <w:tc>
          <w:tcPr>
            <w:tcW w:w="102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科目代码</w:t>
            </w:r>
          </w:p>
        </w:tc>
        <w:tc>
          <w:tcPr>
            <w:tcW w:w="3390"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科目名称</w:t>
            </w:r>
          </w:p>
        </w:tc>
        <w:tc>
          <w:tcPr>
            <w:tcW w:w="141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39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41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39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41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4410"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141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701"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418"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134"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275"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7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8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r>
      <w:tr>
        <w:tblPrEx>
          <w:tblCellMar>
            <w:top w:w="0" w:type="dxa"/>
            <w:left w:w="108" w:type="dxa"/>
            <w:bottom w:w="0" w:type="dxa"/>
            <w:right w:w="108" w:type="dxa"/>
          </w:tblCellMar>
        </w:tblPrEx>
        <w:trPr>
          <w:trHeight w:val="308" w:hRule="atLeast"/>
        </w:trPr>
        <w:tc>
          <w:tcPr>
            <w:tcW w:w="4410"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2,233.95</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2,233.95</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205</w:t>
            </w:r>
          </w:p>
        </w:tc>
        <w:tc>
          <w:tcPr>
            <w:tcW w:w="339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教育支出</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1,842.31</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1,842.31</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20502</w:t>
            </w:r>
          </w:p>
        </w:tc>
        <w:tc>
          <w:tcPr>
            <w:tcW w:w="339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普通教育</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1,842.31</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1,842.31</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2050202</w:t>
            </w:r>
          </w:p>
        </w:tc>
        <w:tc>
          <w:tcPr>
            <w:tcW w:w="339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小学教育</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1,842.31</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1,842.31</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208</w:t>
            </w:r>
          </w:p>
        </w:tc>
        <w:tc>
          <w:tcPr>
            <w:tcW w:w="339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社会保障和就业支出</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20805</w:t>
            </w:r>
          </w:p>
        </w:tc>
        <w:tc>
          <w:tcPr>
            <w:tcW w:w="339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行政事业单位养老支出</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2080505</w:t>
            </w:r>
          </w:p>
        </w:tc>
        <w:tc>
          <w:tcPr>
            <w:tcW w:w="339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机关事业单位基本养老保险缴费支出</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210</w:t>
            </w:r>
          </w:p>
        </w:tc>
        <w:tc>
          <w:tcPr>
            <w:tcW w:w="339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卫生健康支出</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21011</w:t>
            </w:r>
          </w:p>
        </w:tc>
        <w:tc>
          <w:tcPr>
            <w:tcW w:w="339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行政事业单位医疗</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2101102</w:t>
            </w:r>
          </w:p>
        </w:tc>
        <w:tc>
          <w:tcPr>
            <w:tcW w:w="339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事业单位医疗</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221</w:t>
            </w:r>
          </w:p>
        </w:tc>
        <w:tc>
          <w:tcPr>
            <w:tcW w:w="339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住房保障支出</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22102</w:t>
            </w:r>
          </w:p>
        </w:tc>
        <w:tc>
          <w:tcPr>
            <w:tcW w:w="339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住房改革支出</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2210201</w:t>
            </w:r>
          </w:p>
        </w:tc>
        <w:tc>
          <w:tcPr>
            <w:tcW w:w="339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住房公积金</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39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39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bl>
    <w:p>
      <w:pPr>
        <w:pStyle w:val="2"/>
        <w:spacing w:before="72"/>
        <w:rPr>
          <w:sz w:val="18"/>
          <w:szCs w:val="18"/>
        </w:rPr>
      </w:pPr>
    </w:p>
    <w:p>
      <w:pPr>
        <w:pStyle w:val="2"/>
        <w:spacing w:before="72"/>
        <w:rPr>
          <w:sz w:val="18"/>
          <w:szCs w:val="18"/>
        </w:rPr>
      </w:pPr>
    </w:p>
    <w:p>
      <w:pPr>
        <w:pStyle w:val="2"/>
        <w:spacing w:before="72"/>
        <w:rPr>
          <w:sz w:val="18"/>
          <w:szCs w:val="18"/>
        </w:rPr>
      </w:pPr>
    </w:p>
    <w:p>
      <w:pPr>
        <w:pStyle w:val="2"/>
        <w:spacing w:before="72"/>
        <w:rPr>
          <w:sz w:val="18"/>
          <w:szCs w:val="18"/>
        </w:rPr>
      </w:pPr>
    </w:p>
    <w:p>
      <w:pPr>
        <w:pStyle w:val="2"/>
        <w:spacing w:before="72"/>
        <w:rPr>
          <w:sz w:val="18"/>
          <w:szCs w:val="18"/>
        </w:rPr>
      </w:pPr>
    </w:p>
    <w:p>
      <w:pPr>
        <w:pStyle w:val="2"/>
        <w:spacing w:before="72"/>
        <w:rPr>
          <w:sz w:val="18"/>
          <w:szCs w:val="18"/>
        </w:rPr>
      </w:pPr>
    </w:p>
    <w:p>
      <w:pPr>
        <w:spacing w:line="578" w:lineRule="exact"/>
        <w:jc w:val="center"/>
        <w:rPr>
          <w:rFonts w:eastAsia="方正黑体_GBK"/>
          <w:sz w:val="32"/>
          <w:szCs w:val="32"/>
        </w:rPr>
      </w:pPr>
      <w:bookmarkStart w:id="58" w:name="_Toc15396621"/>
      <w:r>
        <w:rPr>
          <w:rFonts w:eastAsia="方正黑体_GBK"/>
          <w:sz w:val="32"/>
          <w:szCs w:val="32"/>
        </w:rPr>
        <w:t>三、支出决算表</w:t>
      </w:r>
      <w:bookmarkEnd w:id="58"/>
    </w:p>
    <w:tbl>
      <w:tblPr>
        <w:tblStyle w:val="14"/>
        <w:tblW w:w="13482" w:type="dxa"/>
        <w:tblInd w:w="93" w:type="dxa"/>
        <w:tblLayout w:type="autofit"/>
        <w:tblCellMar>
          <w:top w:w="0" w:type="dxa"/>
          <w:left w:w="108" w:type="dxa"/>
          <w:bottom w:w="0" w:type="dxa"/>
          <w:right w:w="108" w:type="dxa"/>
        </w:tblCellMar>
      </w:tblPr>
      <w:tblGrid>
        <w:gridCol w:w="340"/>
        <w:gridCol w:w="340"/>
        <w:gridCol w:w="340"/>
        <w:gridCol w:w="3390"/>
        <w:gridCol w:w="1417"/>
        <w:gridCol w:w="1134"/>
        <w:gridCol w:w="1559"/>
        <w:gridCol w:w="1560"/>
        <w:gridCol w:w="1701"/>
        <w:gridCol w:w="1701"/>
      </w:tblGrid>
      <w:tr>
        <w:tblPrEx>
          <w:tblCellMar>
            <w:top w:w="0" w:type="dxa"/>
            <w:left w:w="108" w:type="dxa"/>
            <w:bottom w:w="0" w:type="dxa"/>
            <w:right w:w="108" w:type="dxa"/>
          </w:tblCellMar>
        </w:tblPrEx>
        <w:trPr>
          <w:trHeight w:val="255" w:hRule="atLeast"/>
        </w:trPr>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339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417"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134"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559"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5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701"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701"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公开03表</w:t>
            </w:r>
          </w:p>
        </w:tc>
      </w:tr>
      <w:tr>
        <w:tblPrEx>
          <w:tblCellMar>
            <w:top w:w="0" w:type="dxa"/>
            <w:left w:w="108" w:type="dxa"/>
            <w:bottom w:w="0" w:type="dxa"/>
            <w:right w:w="108" w:type="dxa"/>
          </w:tblCellMar>
        </w:tblPrEx>
        <w:trPr>
          <w:trHeight w:val="255" w:hRule="atLeast"/>
        </w:trPr>
        <w:tc>
          <w:tcPr>
            <w:tcW w:w="4410" w:type="dxa"/>
            <w:gridSpan w:val="4"/>
            <w:tcBorders>
              <w:top w:val="nil"/>
              <w:left w:val="nil"/>
              <w:bottom w:val="nil"/>
              <w:right w:val="nil"/>
            </w:tcBorders>
            <w:shd w:val="clear" w:color="auto" w:fill="auto"/>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部门：达州市达川区实验小学</w:t>
            </w:r>
          </w:p>
        </w:tc>
        <w:tc>
          <w:tcPr>
            <w:tcW w:w="1417"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134"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559"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5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701"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701"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4410"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1417"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本年支出合计</w:t>
            </w:r>
          </w:p>
        </w:tc>
        <w:tc>
          <w:tcPr>
            <w:tcW w:w="1134"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基本支出</w:t>
            </w:r>
          </w:p>
        </w:tc>
        <w:tc>
          <w:tcPr>
            <w:tcW w:w="1559"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项目支出</w:t>
            </w:r>
          </w:p>
        </w:tc>
        <w:tc>
          <w:tcPr>
            <w:tcW w:w="156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上缴上级支出</w:t>
            </w:r>
          </w:p>
        </w:tc>
        <w:tc>
          <w:tcPr>
            <w:tcW w:w="1701"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经营支出</w:t>
            </w:r>
          </w:p>
        </w:tc>
        <w:tc>
          <w:tcPr>
            <w:tcW w:w="1701"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对附属单位补助支出</w:t>
            </w:r>
          </w:p>
        </w:tc>
      </w:tr>
      <w:tr>
        <w:tblPrEx>
          <w:tblCellMar>
            <w:top w:w="0" w:type="dxa"/>
            <w:left w:w="108" w:type="dxa"/>
            <w:bottom w:w="0" w:type="dxa"/>
            <w:right w:w="108" w:type="dxa"/>
          </w:tblCellMar>
        </w:tblPrEx>
        <w:trPr>
          <w:trHeight w:val="312" w:hRule="atLeast"/>
        </w:trPr>
        <w:tc>
          <w:tcPr>
            <w:tcW w:w="102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科目代码</w:t>
            </w:r>
          </w:p>
        </w:tc>
        <w:tc>
          <w:tcPr>
            <w:tcW w:w="3390"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科目名称</w:t>
            </w:r>
          </w:p>
        </w:tc>
        <w:tc>
          <w:tcPr>
            <w:tcW w:w="141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55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5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39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41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55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5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39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41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55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5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4410"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141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134"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559"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56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701"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701"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r>
      <w:tr>
        <w:tblPrEx>
          <w:tblCellMar>
            <w:top w:w="0" w:type="dxa"/>
            <w:left w:w="108" w:type="dxa"/>
            <w:bottom w:w="0" w:type="dxa"/>
            <w:right w:w="108" w:type="dxa"/>
          </w:tblCellMar>
        </w:tblPrEx>
        <w:trPr>
          <w:trHeight w:val="308" w:hRule="atLeast"/>
        </w:trPr>
        <w:tc>
          <w:tcPr>
            <w:tcW w:w="4410"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2,233.95</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2,233.95</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　</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205</w:t>
            </w:r>
          </w:p>
        </w:tc>
        <w:tc>
          <w:tcPr>
            <w:tcW w:w="339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教育支出</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1,842.31</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1,842.31</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20502</w:t>
            </w:r>
          </w:p>
        </w:tc>
        <w:tc>
          <w:tcPr>
            <w:tcW w:w="339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普通教育</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1,842.31</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1,842.31</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2050202</w:t>
            </w:r>
          </w:p>
        </w:tc>
        <w:tc>
          <w:tcPr>
            <w:tcW w:w="339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小学教育</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1,842.31</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1,842.31</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208</w:t>
            </w:r>
          </w:p>
        </w:tc>
        <w:tc>
          <w:tcPr>
            <w:tcW w:w="339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社会保障和就业支出</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20805</w:t>
            </w:r>
          </w:p>
        </w:tc>
        <w:tc>
          <w:tcPr>
            <w:tcW w:w="339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行政事业单位养老支出</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2080505</w:t>
            </w:r>
          </w:p>
        </w:tc>
        <w:tc>
          <w:tcPr>
            <w:tcW w:w="339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机关事业单位基本养老保险缴费支出</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210</w:t>
            </w:r>
          </w:p>
        </w:tc>
        <w:tc>
          <w:tcPr>
            <w:tcW w:w="339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卫生健康支出</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21011</w:t>
            </w:r>
          </w:p>
        </w:tc>
        <w:tc>
          <w:tcPr>
            <w:tcW w:w="339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行政事业单位医疗</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2101102</w:t>
            </w:r>
          </w:p>
        </w:tc>
        <w:tc>
          <w:tcPr>
            <w:tcW w:w="339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事业单位医疗</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221</w:t>
            </w:r>
          </w:p>
        </w:tc>
        <w:tc>
          <w:tcPr>
            <w:tcW w:w="339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住房保障支出</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22102</w:t>
            </w:r>
          </w:p>
        </w:tc>
        <w:tc>
          <w:tcPr>
            <w:tcW w:w="339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住房改革支出</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2210201</w:t>
            </w:r>
          </w:p>
        </w:tc>
        <w:tc>
          <w:tcPr>
            <w:tcW w:w="339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住房公积金</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39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39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bl>
    <w:p>
      <w:pPr>
        <w:pStyle w:val="2"/>
        <w:spacing w:before="72"/>
        <w:rPr>
          <w:sz w:val="18"/>
          <w:szCs w:val="18"/>
        </w:rPr>
      </w:pPr>
    </w:p>
    <w:p>
      <w:pPr>
        <w:pStyle w:val="2"/>
        <w:spacing w:before="72"/>
        <w:rPr>
          <w:sz w:val="18"/>
          <w:szCs w:val="18"/>
        </w:rPr>
      </w:pPr>
    </w:p>
    <w:p>
      <w:pPr>
        <w:pStyle w:val="2"/>
        <w:spacing w:before="72"/>
        <w:rPr>
          <w:sz w:val="18"/>
          <w:szCs w:val="18"/>
        </w:rPr>
      </w:pPr>
    </w:p>
    <w:p>
      <w:pPr>
        <w:pStyle w:val="2"/>
        <w:spacing w:before="72"/>
        <w:rPr>
          <w:sz w:val="18"/>
          <w:szCs w:val="18"/>
        </w:rPr>
      </w:pPr>
    </w:p>
    <w:p>
      <w:pPr>
        <w:pStyle w:val="2"/>
        <w:spacing w:before="72"/>
        <w:rPr>
          <w:sz w:val="18"/>
          <w:szCs w:val="18"/>
        </w:rPr>
      </w:pPr>
    </w:p>
    <w:p>
      <w:pPr>
        <w:spacing w:line="578" w:lineRule="exact"/>
        <w:jc w:val="center"/>
        <w:rPr>
          <w:rFonts w:eastAsia="方正黑体_GBK"/>
          <w:sz w:val="32"/>
          <w:szCs w:val="32"/>
        </w:rPr>
      </w:pPr>
      <w:bookmarkStart w:id="59" w:name="_Toc15396622"/>
      <w:r>
        <w:rPr>
          <w:rFonts w:eastAsia="方正黑体_GBK"/>
          <w:sz w:val="32"/>
          <w:szCs w:val="32"/>
        </w:rPr>
        <w:t>四、财政拨款收入支出决算总表</w:t>
      </w:r>
      <w:bookmarkEnd w:id="59"/>
    </w:p>
    <w:bookmarkEnd w:id="57"/>
    <w:tbl>
      <w:tblPr>
        <w:tblStyle w:val="14"/>
        <w:tblW w:w="15050" w:type="dxa"/>
        <w:tblInd w:w="93" w:type="dxa"/>
        <w:tblLayout w:type="autofit"/>
        <w:tblCellMar>
          <w:top w:w="0" w:type="dxa"/>
          <w:left w:w="108" w:type="dxa"/>
          <w:bottom w:w="0" w:type="dxa"/>
          <w:right w:w="108" w:type="dxa"/>
        </w:tblCellMar>
      </w:tblPr>
      <w:tblGrid>
        <w:gridCol w:w="2709"/>
        <w:gridCol w:w="571"/>
        <w:gridCol w:w="580"/>
        <w:gridCol w:w="975"/>
        <w:gridCol w:w="3260"/>
        <w:gridCol w:w="992"/>
        <w:gridCol w:w="113"/>
        <w:gridCol w:w="580"/>
        <w:gridCol w:w="583"/>
        <w:gridCol w:w="1097"/>
        <w:gridCol w:w="179"/>
        <w:gridCol w:w="1501"/>
        <w:gridCol w:w="342"/>
        <w:gridCol w:w="1568"/>
      </w:tblGrid>
      <w:tr>
        <w:tblPrEx>
          <w:tblCellMar>
            <w:top w:w="0" w:type="dxa"/>
            <w:left w:w="108" w:type="dxa"/>
            <w:bottom w:w="0" w:type="dxa"/>
            <w:right w:w="108" w:type="dxa"/>
          </w:tblCellMar>
        </w:tblPrEx>
        <w:trPr>
          <w:trHeight w:val="255" w:hRule="atLeast"/>
        </w:trPr>
        <w:tc>
          <w:tcPr>
            <w:tcW w:w="3280"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975"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365"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680"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680"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910"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255" w:hRule="atLeast"/>
        </w:trPr>
        <w:tc>
          <w:tcPr>
            <w:tcW w:w="3280" w:type="dxa"/>
            <w:gridSpan w:val="2"/>
            <w:tcBorders>
              <w:top w:val="nil"/>
              <w:left w:val="nil"/>
              <w:bottom w:val="nil"/>
              <w:right w:val="nil"/>
            </w:tcBorders>
            <w:shd w:val="clear" w:color="auto" w:fill="auto"/>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部门：达州市达川区实验小学</w:t>
            </w:r>
          </w:p>
        </w:tc>
        <w:tc>
          <w:tcPr>
            <w:tcW w:w="5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975"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365"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680"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680"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910"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4835"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0215" w:type="dxa"/>
            <w:gridSpan w:val="10"/>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trHeight w:val="312" w:hRule="atLeast"/>
        </w:trPr>
        <w:tc>
          <w:tcPr>
            <w:tcW w:w="2709"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1151"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975"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金额</w:t>
            </w:r>
          </w:p>
        </w:tc>
        <w:tc>
          <w:tcPr>
            <w:tcW w:w="326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992"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276" w:type="dxa"/>
            <w:gridSpan w:val="3"/>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276"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1843"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c>
          <w:tcPr>
            <w:tcW w:w="1568"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国有资本经营预算财政拨款</w:t>
            </w:r>
          </w:p>
        </w:tc>
      </w:tr>
      <w:tr>
        <w:tblPrEx>
          <w:tblCellMar>
            <w:top w:w="0" w:type="dxa"/>
            <w:left w:w="108" w:type="dxa"/>
            <w:bottom w:w="0" w:type="dxa"/>
            <w:right w:w="108" w:type="dxa"/>
          </w:tblCellMar>
        </w:tblPrEx>
        <w:trPr>
          <w:trHeight w:val="312" w:hRule="atLeast"/>
        </w:trPr>
        <w:tc>
          <w:tcPr>
            <w:tcW w:w="2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151"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97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2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99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276"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27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843"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56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295"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7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84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5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r>
      <w:tr>
        <w:tblPrEx>
          <w:tblCellMar>
            <w:top w:w="0" w:type="dxa"/>
            <w:left w:w="108" w:type="dxa"/>
            <w:bottom w:w="0" w:type="dxa"/>
            <w:right w:w="108" w:type="dxa"/>
          </w:tblCellMar>
        </w:tblPrEx>
        <w:trPr>
          <w:trHeight w:val="401"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2,233.95</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33"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65"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15"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21"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1,842.31</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1,842.31</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1"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17"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10"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15"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21"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13"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19"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11"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17"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十四、资源勘探工业信息等支出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23"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十五、商业服务业等其他支出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15"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21"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w:t>
            </w:r>
            <w:r>
              <w:rPr>
                <w:color w:val="000000"/>
                <w:kern w:val="0"/>
                <w:sz w:val="18"/>
                <w:szCs w:val="18"/>
              </w:rPr>
              <w:t>其他地区援助支出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40"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30"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07"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13"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二十一、国有资本经营预算支出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19"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二十二、灾害防治及应急管理支出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12"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二十三、其他支出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17"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　</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二十四、债务还本支出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09"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二十五、债务付息支出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57</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03"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二十六、抗疫特别国债安排的支出</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58</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35"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2,233.95</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59</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2,233.95</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2,233.95</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81"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5,656.47</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60</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5,656.47</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3,701.41</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1,955.06</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91"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一般公共预算财政拨款</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3,701.41</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61</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86"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政府性基金预算财政拨款</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1,955.06</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62</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31"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国有资本经营预算财政拨款</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63</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24" w:hRule="atLeast"/>
        </w:trPr>
        <w:tc>
          <w:tcPr>
            <w:tcW w:w="2709"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11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9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7,890.42</w:t>
            </w:r>
          </w:p>
        </w:tc>
        <w:tc>
          <w:tcPr>
            <w:tcW w:w="326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64</w:t>
            </w:r>
          </w:p>
        </w:tc>
        <w:tc>
          <w:tcPr>
            <w:tcW w:w="12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7,890.42</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5,935.36</w:t>
            </w:r>
          </w:p>
        </w:tc>
        <w:tc>
          <w:tcPr>
            <w:tcW w:w="18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1,955.06</w:t>
            </w:r>
          </w:p>
        </w:tc>
        <w:tc>
          <w:tcPr>
            <w:tcW w:w="15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bl>
    <w:p>
      <w:pPr>
        <w:pStyle w:val="2"/>
        <w:spacing w:before="72"/>
        <w:rPr>
          <w:sz w:val="18"/>
          <w:szCs w:val="18"/>
        </w:rPr>
      </w:pPr>
    </w:p>
    <w:p>
      <w:pPr>
        <w:spacing w:line="578" w:lineRule="exact"/>
        <w:jc w:val="center"/>
        <w:rPr>
          <w:rFonts w:eastAsia="方正黑体_GBK"/>
          <w:sz w:val="32"/>
          <w:szCs w:val="32"/>
        </w:rPr>
      </w:pPr>
      <w:bookmarkStart w:id="60" w:name="_Toc15396623"/>
    </w:p>
    <w:p>
      <w:pPr>
        <w:spacing w:line="578" w:lineRule="exact"/>
        <w:jc w:val="center"/>
        <w:rPr>
          <w:rFonts w:eastAsia="方正黑体_GBK"/>
          <w:sz w:val="32"/>
          <w:szCs w:val="32"/>
        </w:rPr>
      </w:pPr>
    </w:p>
    <w:p>
      <w:pPr>
        <w:spacing w:line="578" w:lineRule="exact"/>
        <w:jc w:val="center"/>
        <w:rPr>
          <w:rFonts w:eastAsia="方正黑体_GBK"/>
          <w:sz w:val="32"/>
          <w:szCs w:val="32"/>
        </w:rPr>
      </w:pPr>
    </w:p>
    <w:p>
      <w:pPr>
        <w:spacing w:line="578" w:lineRule="exact"/>
        <w:jc w:val="center"/>
        <w:rPr>
          <w:rFonts w:eastAsia="方正黑体_GBK"/>
          <w:sz w:val="32"/>
          <w:szCs w:val="32"/>
        </w:rPr>
      </w:pPr>
      <w:r>
        <w:rPr>
          <w:rFonts w:eastAsia="方正黑体_GBK"/>
          <w:sz w:val="32"/>
          <w:szCs w:val="32"/>
        </w:rPr>
        <w:t>五、财政拨款支出决算明细表</w:t>
      </w:r>
      <w:bookmarkEnd w:id="60"/>
    </w:p>
    <w:tbl>
      <w:tblPr>
        <w:tblStyle w:val="14"/>
        <w:tblW w:w="14573" w:type="dxa"/>
        <w:tblInd w:w="93" w:type="dxa"/>
        <w:tblLayout w:type="autofit"/>
        <w:tblCellMar>
          <w:top w:w="0" w:type="dxa"/>
          <w:left w:w="108" w:type="dxa"/>
          <w:bottom w:w="0" w:type="dxa"/>
          <w:right w:w="108" w:type="dxa"/>
        </w:tblCellMar>
      </w:tblPr>
      <w:tblGrid>
        <w:gridCol w:w="840"/>
        <w:gridCol w:w="876"/>
        <w:gridCol w:w="2835"/>
        <w:gridCol w:w="486"/>
        <w:gridCol w:w="426"/>
        <w:gridCol w:w="1020"/>
        <w:gridCol w:w="1200"/>
        <w:gridCol w:w="1100"/>
        <w:gridCol w:w="820"/>
        <w:gridCol w:w="1000"/>
        <w:gridCol w:w="960"/>
        <w:gridCol w:w="840"/>
        <w:gridCol w:w="633"/>
        <w:gridCol w:w="425"/>
        <w:gridCol w:w="1112"/>
      </w:tblGrid>
      <w:tr>
        <w:tblPrEx>
          <w:tblCellMar>
            <w:top w:w="0" w:type="dxa"/>
            <w:left w:w="108" w:type="dxa"/>
            <w:bottom w:w="0" w:type="dxa"/>
            <w:right w:w="108" w:type="dxa"/>
          </w:tblCellMar>
        </w:tblPrEx>
        <w:trPr>
          <w:trHeight w:val="255" w:hRule="atLeast"/>
        </w:trPr>
        <w:tc>
          <w:tcPr>
            <w:tcW w:w="8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3711"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86"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26"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0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2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1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8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0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9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8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633"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537"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公开05表</w:t>
            </w:r>
          </w:p>
        </w:tc>
      </w:tr>
      <w:tr>
        <w:tblPrEx>
          <w:tblCellMar>
            <w:top w:w="0" w:type="dxa"/>
            <w:left w:w="108" w:type="dxa"/>
            <w:bottom w:w="0" w:type="dxa"/>
            <w:right w:w="108" w:type="dxa"/>
          </w:tblCellMar>
        </w:tblPrEx>
        <w:trPr>
          <w:trHeight w:val="255" w:hRule="atLeast"/>
        </w:trPr>
        <w:tc>
          <w:tcPr>
            <w:tcW w:w="4551" w:type="dxa"/>
            <w:gridSpan w:val="3"/>
            <w:tcBorders>
              <w:top w:val="nil"/>
              <w:left w:val="nil"/>
              <w:bottom w:val="nil"/>
              <w:right w:val="nil"/>
            </w:tcBorders>
            <w:shd w:val="clear" w:color="auto" w:fill="auto"/>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编制单位：达州市达川区实验小学</w:t>
            </w:r>
          </w:p>
        </w:tc>
        <w:tc>
          <w:tcPr>
            <w:tcW w:w="486"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26"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0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2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1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8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0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9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8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633"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537"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268" w:hRule="atLeast"/>
        </w:trPr>
        <w:tc>
          <w:tcPr>
            <w:tcW w:w="4551"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486" w:type="dxa"/>
            <w:vMerge w:val="restart"/>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426" w:type="dxa"/>
            <w:vMerge w:val="restart"/>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3320" w:type="dxa"/>
            <w:gridSpan w:val="3"/>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780" w:type="dxa"/>
            <w:gridSpan w:val="3"/>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c>
          <w:tcPr>
            <w:tcW w:w="3010" w:type="dxa"/>
            <w:gridSpan w:val="4"/>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国有资本经营预算财政拨款</w:t>
            </w:r>
          </w:p>
        </w:tc>
      </w:tr>
      <w:tr>
        <w:tblPrEx>
          <w:tblCellMar>
            <w:top w:w="0" w:type="dxa"/>
            <w:left w:w="108" w:type="dxa"/>
            <w:bottom w:w="0" w:type="dxa"/>
            <w:right w:w="108" w:type="dxa"/>
          </w:tblCellMar>
        </w:tblPrEx>
        <w:trPr>
          <w:trHeight w:val="289" w:hRule="atLeast"/>
        </w:trPr>
        <w:tc>
          <w:tcPr>
            <w:tcW w:w="1716" w:type="dxa"/>
            <w:gridSpan w:val="2"/>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经济分类科目代码</w:t>
            </w:r>
          </w:p>
        </w:tc>
        <w:tc>
          <w:tcPr>
            <w:tcW w:w="283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科目名称</w:t>
            </w:r>
          </w:p>
        </w:tc>
        <w:tc>
          <w:tcPr>
            <w:tcW w:w="48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2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小计</w:t>
            </w:r>
          </w:p>
        </w:tc>
        <w:tc>
          <w:tcPr>
            <w:tcW w:w="120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基本支出</w:t>
            </w:r>
          </w:p>
        </w:tc>
        <w:tc>
          <w:tcPr>
            <w:tcW w:w="110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项目支出</w:t>
            </w:r>
          </w:p>
        </w:tc>
        <w:tc>
          <w:tcPr>
            <w:tcW w:w="82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小计</w:t>
            </w:r>
          </w:p>
        </w:tc>
        <w:tc>
          <w:tcPr>
            <w:tcW w:w="100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基本支出</w:t>
            </w:r>
          </w:p>
        </w:tc>
        <w:tc>
          <w:tcPr>
            <w:tcW w:w="96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项目支出</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小计</w:t>
            </w:r>
          </w:p>
        </w:tc>
        <w:tc>
          <w:tcPr>
            <w:tcW w:w="1058"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基本支出</w:t>
            </w:r>
          </w:p>
        </w:tc>
        <w:tc>
          <w:tcPr>
            <w:tcW w:w="111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项目支出</w:t>
            </w:r>
          </w:p>
        </w:tc>
      </w:tr>
      <w:tr>
        <w:tblPrEx>
          <w:tblCellMar>
            <w:top w:w="0" w:type="dxa"/>
            <w:left w:w="108" w:type="dxa"/>
            <w:bottom w:w="0" w:type="dxa"/>
            <w:right w:w="108" w:type="dxa"/>
          </w:tblCellMar>
        </w:tblPrEx>
        <w:trPr>
          <w:trHeight w:val="251" w:hRule="atLeast"/>
        </w:trPr>
        <w:tc>
          <w:tcPr>
            <w:tcW w:w="4551" w:type="dxa"/>
            <w:gridSpan w:val="3"/>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2,233.95</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2,233.95</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61"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工资福利支出</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1,868.93</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1,868.93</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9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30101</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基本工资</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730.19</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730.19</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55"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30102</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津贴补贴</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19.01</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19.01</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75"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30103</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奖金</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331.83</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331.83</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51"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30106</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伙食补助费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13"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30107</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绩效工资</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396.26</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396.26</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55"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30108</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机关事业单位基本养老保险费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55"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30109</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职业年金缴费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55"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30110</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职工基本医疗保险缴费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45"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30111</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公务员医疗补助缴费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93"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30112</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其他社会保障缴费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55"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30113</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住房公积金</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55"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30114</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医疗费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55"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30199</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其他工资福利支出</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55"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商品和服务支出</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287.29</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287.29</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55"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30201</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办公费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20.00</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55"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30202</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印刷费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11"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30203</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咨询费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55"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30204</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手续费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55"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30205</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水费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30206</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电费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25.00</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30207</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邮电费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30208</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取暖费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30209</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物业管理费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53.50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53.50</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30211</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差旅费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5.03</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5.03</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30212</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因公出国（境）费用</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30213</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维修（护）费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38.00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38.00</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30214</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租赁费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30215</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会议费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30216</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培训费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15.00</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30217</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公务接待费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30218</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专用材料费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30224</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被装购置费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30225</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专用燃料费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30226</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劳务费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7.18</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7.18</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30227</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委托业务费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30228</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工会经费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17.27</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17.27</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30229</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福利费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30231</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公务用车运行维护费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30239</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其他交通费用</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30240</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税金及附加费用</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30299</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其他商品和服务支出</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71.32</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71.32</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303</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对个人和家庭的补助</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57.08</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57.08</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30301</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离休费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30302</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退休费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30303</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退职（役）费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30304</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抚恤金</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6.22</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6.22</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30305</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生活补助</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45.62</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45.62</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30306</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救济费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30307</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医疗费补助</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30308</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助学金</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30309</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奖励金</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30310</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个人农业生产补贴</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30311</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代缴社会保险费</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30399</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其他个人和家庭的补助支出</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5.24</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5.24</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307</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债务利息及费用支出</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57</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30701</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国内债务付息</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58</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30702</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国外债务付息</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59</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30703</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国内债务发行费用</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60</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30704</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国外债务发行费用</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61</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53"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309</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资本性支出（基本建设）</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62</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30901</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房屋建筑物购建</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63</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30902</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办公设备购置</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64</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30903</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专用设备购置</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65</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30905</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基础设施建设</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66</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30906</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大型修缮</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67</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30907</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信息网络及软件购置更新</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68</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30908</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物资储备</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69</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30913</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公务用车购置</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70</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30919</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其他交通工具购置</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71</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30921</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文物和陈列品购置</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72</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30922</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无形资产购置</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73</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30999</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其他基本建设支出</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74</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资本性支出</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75</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20.65</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20.65</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31001</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房屋建筑物购建</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76</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31002</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办公设备购置</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77</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20.65</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20.65</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31003</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专用设备购置</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78</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31005</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基础设施建设</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79</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31006</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大型修缮</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80</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31007</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信息网络及软件购置更新</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81</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70"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31008</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物资储备</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82</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31009</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土地补偿</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83</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31010</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安置补助</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84</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31011</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地上附着物和青苗补偿</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85</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31012</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拆迁补偿</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86</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31013</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公务用车购置</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87</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31019</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其他交通工具购置</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88</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31021</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文物和陈列品购置</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89</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35"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31022</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无形资产购置</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90</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31099</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其他资本性支出</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91</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311</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对企业给予补助（基本建设）</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92</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31101</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资本金注入</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93</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31199</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其他对企业提供补助</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94</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r>
      <w:tr>
        <w:tblPrEx>
          <w:tblCellMar>
            <w:top w:w="0" w:type="dxa"/>
            <w:left w:w="108" w:type="dxa"/>
            <w:bottom w:w="0" w:type="dxa"/>
            <w:right w:w="108" w:type="dxa"/>
          </w:tblCellMar>
        </w:tblPrEx>
        <w:trPr>
          <w:trHeight w:val="243"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312</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对企业提供补助</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95</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31201</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资本金注入</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96</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31203</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政府投资基金股权投资</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97</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31204</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费用补贴</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98</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31205</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利息补贴</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99</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312099</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其他对企业提供补助</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100</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313</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对社会保障基金给予补助</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101</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31302</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对社会保险基金进行补助</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102</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31303</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补充全国社会保障基金</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103</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31304</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对机关事业单位职业年金的补助</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104</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399</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其他支出</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105</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39907</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国家赔偿费用支出</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106</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9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39908</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对民间非营利性组织和群众性自治组织给予补贴</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107</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39909</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经常性赠与</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108</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39910</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资本性赠与</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109</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9" w:hRule="atLeast"/>
        </w:trPr>
        <w:tc>
          <w:tcPr>
            <w:tcW w:w="8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39999</w:t>
            </w:r>
          </w:p>
        </w:tc>
        <w:tc>
          <w:tcPr>
            <w:tcW w:w="371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其他支出</w:t>
            </w:r>
          </w:p>
        </w:tc>
        <w:tc>
          <w:tcPr>
            <w:tcW w:w="4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110</w:t>
            </w:r>
          </w:p>
        </w:tc>
        <w:tc>
          <w:tcPr>
            <w:tcW w:w="4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bl>
    <w:p>
      <w:pPr>
        <w:spacing w:line="578" w:lineRule="exact"/>
        <w:jc w:val="center"/>
        <w:rPr>
          <w:rFonts w:eastAsia="方正黑体_GBK"/>
          <w:sz w:val="32"/>
          <w:szCs w:val="32"/>
        </w:rPr>
      </w:pPr>
    </w:p>
    <w:p>
      <w:pPr>
        <w:spacing w:line="578" w:lineRule="exact"/>
        <w:jc w:val="center"/>
        <w:rPr>
          <w:rFonts w:eastAsia="方正黑体_GBK"/>
          <w:sz w:val="32"/>
          <w:szCs w:val="32"/>
        </w:rPr>
      </w:pPr>
    </w:p>
    <w:p>
      <w:pPr>
        <w:spacing w:line="578" w:lineRule="exact"/>
        <w:jc w:val="center"/>
        <w:rPr>
          <w:rFonts w:eastAsia="方正黑体_GBK"/>
          <w:sz w:val="32"/>
          <w:szCs w:val="32"/>
        </w:rPr>
      </w:pPr>
    </w:p>
    <w:p>
      <w:pPr>
        <w:spacing w:line="578" w:lineRule="exact"/>
        <w:jc w:val="center"/>
        <w:rPr>
          <w:rFonts w:eastAsia="方正黑体_GBK"/>
          <w:sz w:val="32"/>
          <w:szCs w:val="32"/>
        </w:rPr>
      </w:pPr>
    </w:p>
    <w:p>
      <w:pPr>
        <w:spacing w:line="578" w:lineRule="exact"/>
        <w:jc w:val="center"/>
        <w:rPr>
          <w:rFonts w:eastAsia="方正黑体_GBK"/>
          <w:sz w:val="32"/>
          <w:szCs w:val="32"/>
        </w:rPr>
      </w:pPr>
    </w:p>
    <w:p>
      <w:pPr>
        <w:spacing w:line="578" w:lineRule="exact"/>
        <w:jc w:val="center"/>
        <w:rPr>
          <w:rFonts w:eastAsia="方正黑体_GBK"/>
          <w:sz w:val="32"/>
          <w:szCs w:val="32"/>
        </w:rPr>
      </w:pPr>
    </w:p>
    <w:p>
      <w:pPr>
        <w:spacing w:line="578" w:lineRule="exact"/>
        <w:jc w:val="center"/>
        <w:rPr>
          <w:rFonts w:eastAsia="方正黑体_GBK"/>
          <w:sz w:val="32"/>
          <w:szCs w:val="32"/>
        </w:rPr>
      </w:pPr>
    </w:p>
    <w:p>
      <w:pPr>
        <w:spacing w:line="578" w:lineRule="exact"/>
        <w:jc w:val="center"/>
        <w:rPr>
          <w:rFonts w:eastAsia="方正黑体_GBK"/>
          <w:sz w:val="32"/>
          <w:szCs w:val="32"/>
        </w:rPr>
      </w:pPr>
    </w:p>
    <w:p>
      <w:pPr>
        <w:spacing w:line="578" w:lineRule="exact"/>
        <w:jc w:val="center"/>
        <w:rPr>
          <w:rFonts w:eastAsia="方正黑体_GBK"/>
          <w:sz w:val="32"/>
          <w:szCs w:val="32"/>
        </w:rPr>
      </w:pPr>
    </w:p>
    <w:p>
      <w:pPr>
        <w:spacing w:line="578" w:lineRule="exact"/>
        <w:jc w:val="center"/>
        <w:rPr>
          <w:rFonts w:eastAsia="方正黑体_GBK"/>
          <w:sz w:val="32"/>
          <w:szCs w:val="32"/>
        </w:rPr>
      </w:pPr>
    </w:p>
    <w:p>
      <w:pPr>
        <w:spacing w:line="578" w:lineRule="exact"/>
        <w:jc w:val="center"/>
        <w:rPr>
          <w:rFonts w:eastAsia="方正黑体_GBK"/>
          <w:sz w:val="32"/>
          <w:szCs w:val="32"/>
        </w:rPr>
      </w:pPr>
    </w:p>
    <w:p>
      <w:pPr>
        <w:spacing w:line="578" w:lineRule="exact"/>
        <w:jc w:val="center"/>
        <w:rPr>
          <w:rFonts w:eastAsia="方正黑体_GBK"/>
          <w:sz w:val="32"/>
          <w:szCs w:val="32"/>
        </w:rPr>
      </w:pPr>
    </w:p>
    <w:p>
      <w:pPr>
        <w:spacing w:line="578" w:lineRule="exact"/>
        <w:jc w:val="center"/>
        <w:rPr>
          <w:rFonts w:eastAsia="方正黑体_GBK"/>
          <w:sz w:val="32"/>
          <w:szCs w:val="32"/>
        </w:rPr>
      </w:pPr>
    </w:p>
    <w:p>
      <w:pPr>
        <w:spacing w:line="578" w:lineRule="exact"/>
        <w:jc w:val="center"/>
        <w:rPr>
          <w:rFonts w:eastAsia="方正黑体_GBK"/>
          <w:sz w:val="32"/>
          <w:szCs w:val="32"/>
        </w:rPr>
      </w:pPr>
    </w:p>
    <w:p>
      <w:pPr>
        <w:spacing w:line="578" w:lineRule="exact"/>
        <w:jc w:val="center"/>
        <w:rPr>
          <w:rFonts w:eastAsia="方正黑体_GBK"/>
          <w:sz w:val="32"/>
          <w:szCs w:val="32"/>
        </w:rPr>
      </w:pPr>
      <w:r>
        <w:rPr>
          <w:rFonts w:eastAsia="方正黑体_GBK"/>
          <w:sz w:val="32"/>
          <w:szCs w:val="32"/>
        </w:rPr>
        <w:t>六、一般公共预算财政拨款支出决算表</w:t>
      </w:r>
    </w:p>
    <w:tbl>
      <w:tblPr>
        <w:tblStyle w:val="14"/>
        <w:tblW w:w="11740" w:type="dxa"/>
        <w:jc w:val="center"/>
        <w:tblLayout w:type="autofit"/>
        <w:tblCellMar>
          <w:top w:w="0" w:type="dxa"/>
          <w:left w:w="108" w:type="dxa"/>
          <w:bottom w:w="0" w:type="dxa"/>
          <w:right w:w="108" w:type="dxa"/>
        </w:tblCellMar>
      </w:tblPr>
      <w:tblGrid>
        <w:gridCol w:w="340"/>
        <w:gridCol w:w="340"/>
        <w:gridCol w:w="340"/>
        <w:gridCol w:w="3940"/>
        <w:gridCol w:w="2260"/>
        <w:gridCol w:w="2260"/>
        <w:gridCol w:w="2260"/>
      </w:tblGrid>
      <w:tr>
        <w:tblPrEx>
          <w:tblCellMar>
            <w:top w:w="0" w:type="dxa"/>
            <w:left w:w="108" w:type="dxa"/>
            <w:bottom w:w="0" w:type="dxa"/>
            <w:right w:w="108" w:type="dxa"/>
          </w:tblCellMar>
        </w:tblPrEx>
        <w:trPr>
          <w:trHeight w:val="255" w:hRule="atLeast"/>
          <w:jc w:val="center"/>
        </w:trPr>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39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22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22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226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公开06表</w:t>
            </w:r>
          </w:p>
        </w:tc>
      </w:tr>
      <w:tr>
        <w:tblPrEx>
          <w:tblCellMar>
            <w:top w:w="0" w:type="dxa"/>
            <w:left w:w="108" w:type="dxa"/>
            <w:bottom w:w="0" w:type="dxa"/>
            <w:right w:w="108" w:type="dxa"/>
          </w:tblCellMar>
        </w:tblPrEx>
        <w:trPr>
          <w:trHeight w:val="255" w:hRule="atLeast"/>
          <w:jc w:val="center"/>
        </w:trPr>
        <w:tc>
          <w:tcPr>
            <w:tcW w:w="4960" w:type="dxa"/>
            <w:gridSpan w:val="4"/>
            <w:tcBorders>
              <w:top w:val="nil"/>
              <w:left w:val="nil"/>
              <w:bottom w:val="nil"/>
              <w:right w:val="nil"/>
            </w:tcBorders>
            <w:shd w:val="clear" w:color="auto" w:fill="auto"/>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部门：达州市达川区实验小学</w:t>
            </w:r>
          </w:p>
        </w:tc>
        <w:tc>
          <w:tcPr>
            <w:tcW w:w="22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22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226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jc w:val="center"/>
        </w:trPr>
        <w:tc>
          <w:tcPr>
            <w:tcW w:w="4960"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6780" w:type="dxa"/>
            <w:gridSpan w:val="3"/>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本年支出</w:t>
            </w:r>
          </w:p>
        </w:tc>
      </w:tr>
      <w:tr>
        <w:tblPrEx>
          <w:tblCellMar>
            <w:top w:w="0" w:type="dxa"/>
            <w:left w:w="108" w:type="dxa"/>
            <w:bottom w:w="0" w:type="dxa"/>
            <w:right w:w="108" w:type="dxa"/>
          </w:tblCellMar>
        </w:tblPrEx>
        <w:trPr>
          <w:trHeight w:val="312" w:hRule="atLeast"/>
          <w:jc w:val="center"/>
        </w:trPr>
        <w:tc>
          <w:tcPr>
            <w:tcW w:w="102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科目代码</w:t>
            </w:r>
          </w:p>
        </w:tc>
        <w:tc>
          <w:tcPr>
            <w:tcW w:w="3940"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科目名称</w:t>
            </w:r>
          </w:p>
        </w:tc>
        <w:tc>
          <w:tcPr>
            <w:tcW w:w="226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小计</w:t>
            </w:r>
          </w:p>
        </w:tc>
        <w:tc>
          <w:tcPr>
            <w:tcW w:w="226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基本支出</w:t>
            </w:r>
          </w:p>
        </w:tc>
        <w:tc>
          <w:tcPr>
            <w:tcW w:w="226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项目支出</w:t>
            </w:r>
          </w:p>
        </w:tc>
      </w:tr>
      <w:tr>
        <w:tblPrEx>
          <w:tblCellMar>
            <w:top w:w="0" w:type="dxa"/>
            <w:left w:w="108" w:type="dxa"/>
            <w:bottom w:w="0" w:type="dxa"/>
            <w:right w:w="108" w:type="dxa"/>
          </w:tblCellMar>
        </w:tblPrEx>
        <w:trPr>
          <w:trHeight w:val="312" w:hRule="atLeast"/>
          <w:jc w:val="center"/>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9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312" w:hRule="atLeast"/>
          <w:jc w:val="center"/>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9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308" w:hRule="atLeast"/>
          <w:jc w:val="center"/>
        </w:trPr>
        <w:tc>
          <w:tcPr>
            <w:tcW w:w="4960"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226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26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26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r>
      <w:tr>
        <w:tblPrEx>
          <w:tblCellMar>
            <w:top w:w="0" w:type="dxa"/>
            <w:left w:w="108" w:type="dxa"/>
            <w:bottom w:w="0" w:type="dxa"/>
            <w:right w:w="108" w:type="dxa"/>
          </w:tblCellMar>
        </w:tblPrEx>
        <w:trPr>
          <w:trHeight w:val="308" w:hRule="atLeast"/>
          <w:jc w:val="center"/>
        </w:trPr>
        <w:tc>
          <w:tcPr>
            <w:tcW w:w="4960"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2,233.95</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2,233.95</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205</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教育支出</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1,842.31</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1,842.31</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20502</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普通教育</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1,842.31</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1,842.31</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2050202</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小学教育</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1,842.31</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1,842.31</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208</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社会保障和就业支出</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20805</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行政事业单位养老支出</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2080505</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机关事业单位基本养老保险缴费支出</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210</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卫生健康支出</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21011</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行政事业单位医疗</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2101102</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事业单位医疗</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221</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住房保障支出</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22102</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住房改革支出</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2210201</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住房公积金</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bl>
    <w:p>
      <w:pPr>
        <w:pStyle w:val="2"/>
        <w:spacing w:before="72"/>
      </w:pPr>
    </w:p>
    <w:p>
      <w:pPr>
        <w:pStyle w:val="2"/>
        <w:spacing w:before="72"/>
      </w:pPr>
    </w:p>
    <w:p>
      <w:pPr>
        <w:pStyle w:val="2"/>
        <w:spacing w:before="72"/>
      </w:pPr>
    </w:p>
    <w:p>
      <w:pPr>
        <w:spacing w:line="578" w:lineRule="exact"/>
        <w:jc w:val="center"/>
        <w:rPr>
          <w:rFonts w:eastAsia="方正黑体_GBK"/>
          <w:sz w:val="32"/>
          <w:szCs w:val="32"/>
        </w:rPr>
      </w:pPr>
      <w:bookmarkStart w:id="61" w:name="_Toc15396625"/>
      <w:r>
        <w:rPr>
          <w:rFonts w:eastAsia="方正黑体_GBK"/>
          <w:sz w:val="32"/>
          <w:szCs w:val="32"/>
        </w:rPr>
        <w:t>七、一般公共预算财政拨款支出决算明细表</w:t>
      </w:r>
      <w:bookmarkEnd w:id="61"/>
    </w:p>
    <w:tbl>
      <w:tblPr>
        <w:tblStyle w:val="14"/>
        <w:tblW w:w="15326" w:type="dxa"/>
        <w:tblInd w:w="93" w:type="dxa"/>
        <w:tblLayout w:type="autofit"/>
        <w:tblCellMar>
          <w:top w:w="0" w:type="dxa"/>
          <w:left w:w="108" w:type="dxa"/>
          <w:bottom w:w="0" w:type="dxa"/>
          <w:right w:w="108" w:type="dxa"/>
        </w:tblCellMar>
      </w:tblPr>
      <w:tblGrid>
        <w:gridCol w:w="866"/>
        <w:gridCol w:w="2216"/>
        <w:gridCol w:w="936"/>
        <w:gridCol w:w="936"/>
        <w:gridCol w:w="553"/>
        <w:gridCol w:w="203"/>
        <w:gridCol w:w="402"/>
        <w:gridCol w:w="306"/>
        <w:gridCol w:w="594"/>
        <w:gridCol w:w="257"/>
        <w:gridCol w:w="583"/>
        <w:gridCol w:w="101"/>
        <w:gridCol w:w="756"/>
        <w:gridCol w:w="264"/>
        <w:gridCol w:w="820"/>
        <w:gridCol w:w="712"/>
        <w:gridCol w:w="780"/>
        <w:gridCol w:w="64"/>
        <w:gridCol w:w="856"/>
        <w:gridCol w:w="703"/>
        <w:gridCol w:w="117"/>
        <w:gridCol w:w="734"/>
        <w:gridCol w:w="126"/>
        <w:gridCol w:w="236"/>
        <w:gridCol w:w="63"/>
        <w:gridCol w:w="362"/>
        <w:gridCol w:w="418"/>
        <w:gridCol w:w="362"/>
      </w:tblGrid>
      <w:tr>
        <w:tblPrEx>
          <w:tblCellMar>
            <w:top w:w="0" w:type="dxa"/>
            <w:left w:w="108" w:type="dxa"/>
            <w:bottom w:w="0" w:type="dxa"/>
            <w:right w:w="108" w:type="dxa"/>
          </w:tblCellMar>
        </w:tblPrEx>
        <w:trPr>
          <w:trHeight w:val="240" w:hRule="atLeast"/>
        </w:trPr>
        <w:tc>
          <w:tcPr>
            <w:tcW w:w="3082" w:type="dxa"/>
            <w:gridSpan w:val="2"/>
            <w:tcBorders>
              <w:top w:val="nil"/>
              <w:left w:val="nil"/>
              <w:bottom w:val="nil"/>
              <w:right w:val="nil"/>
            </w:tcBorders>
            <w:shd w:val="clear" w:color="auto" w:fill="auto"/>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部门：达州市达川区实验小学</w:t>
            </w:r>
          </w:p>
        </w:tc>
        <w:tc>
          <w:tcPr>
            <w:tcW w:w="936"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489"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605"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900"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840"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121"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8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712"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7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920"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820"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860"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236"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25"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780"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r>
      <w:tr>
        <w:tblPrEx>
          <w:tblCellMar>
            <w:top w:w="0" w:type="dxa"/>
            <w:left w:w="108" w:type="dxa"/>
            <w:bottom w:w="0" w:type="dxa"/>
            <w:right w:w="108" w:type="dxa"/>
          </w:tblCellMar>
        </w:tblPrEx>
        <w:trPr>
          <w:gridAfter w:val="1"/>
          <w:wAfter w:w="362" w:type="dxa"/>
          <w:trHeight w:val="308" w:hRule="atLeast"/>
        </w:trPr>
        <w:tc>
          <w:tcPr>
            <w:tcW w:w="3082"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936" w:type="dxa"/>
            <w:vMerge w:val="restart"/>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0946" w:type="dxa"/>
            <w:gridSpan w:val="24"/>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工资福利支出</w:t>
            </w:r>
          </w:p>
        </w:tc>
      </w:tr>
      <w:tr>
        <w:tblPrEx>
          <w:tblCellMar>
            <w:top w:w="0" w:type="dxa"/>
            <w:left w:w="108" w:type="dxa"/>
            <w:bottom w:w="0" w:type="dxa"/>
            <w:right w:w="108" w:type="dxa"/>
          </w:tblCellMar>
        </w:tblPrEx>
        <w:trPr>
          <w:gridAfter w:val="1"/>
          <w:wAfter w:w="362" w:type="dxa"/>
          <w:trHeight w:val="312" w:hRule="atLeast"/>
        </w:trPr>
        <w:tc>
          <w:tcPr>
            <w:tcW w:w="866"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科目代码</w:t>
            </w:r>
          </w:p>
        </w:tc>
        <w:tc>
          <w:tcPr>
            <w:tcW w:w="2216"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科目名称</w:t>
            </w:r>
          </w:p>
        </w:tc>
        <w:tc>
          <w:tcPr>
            <w:tcW w:w="93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93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小计</w:t>
            </w:r>
          </w:p>
        </w:tc>
        <w:tc>
          <w:tcPr>
            <w:tcW w:w="756"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基本工资</w:t>
            </w:r>
          </w:p>
        </w:tc>
        <w:tc>
          <w:tcPr>
            <w:tcW w:w="708"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津贴补贴</w:t>
            </w:r>
          </w:p>
        </w:tc>
        <w:tc>
          <w:tcPr>
            <w:tcW w:w="851"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奖金</w:t>
            </w:r>
          </w:p>
        </w:tc>
        <w:tc>
          <w:tcPr>
            <w:tcW w:w="684"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伙食补助费</w:t>
            </w:r>
          </w:p>
        </w:tc>
        <w:tc>
          <w:tcPr>
            <w:tcW w:w="75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绩效工资</w:t>
            </w:r>
          </w:p>
        </w:tc>
        <w:tc>
          <w:tcPr>
            <w:tcW w:w="1084"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机关事业单位基本养老保险费</w:t>
            </w:r>
          </w:p>
        </w:tc>
        <w:tc>
          <w:tcPr>
            <w:tcW w:w="712"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职业年金缴费</w:t>
            </w:r>
          </w:p>
        </w:tc>
        <w:tc>
          <w:tcPr>
            <w:tcW w:w="844"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职工基本医疗保险缴费</w:t>
            </w:r>
          </w:p>
        </w:tc>
        <w:tc>
          <w:tcPr>
            <w:tcW w:w="85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公务员医疗补助缴费</w:t>
            </w:r>
          </w:p>
        </w:tc>
        <w:tc>
          <w:tcPr>
            <w:tcW w:w="703"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其他社会保障缴费</w:t>
            </w:r>
          </w:p>
        </w:tc>
        <w:tc>
          <w:tcPr>
            <w:tcW w:w="851"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住房公积金</w:t>
            </w:r>
          </w:p>
        </w:tc>
        <w:tc>
          <w:tcPr>
            <w:tcW w:w="425"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医疗费</w:t>
            </w:r>
          </w:p>
        </w:tc>
        <w:tc>
          <w:tcPr>
            <w:tcW w:w="780"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其他工资福利支出</w:t>
            </w:r>
          </w:p>
        </w:tc>
      </w:tr>
      <w:tr>
        <w:tblPrEx>
          <w:tblCellMar>
            <w:top w:w="0" w:type="dxa"/>
            <w:left w:w="108" w:type="dxa"/>
            <w:bottom w:w="0" w:type="dxa"/>
            <w:right w:w="108" w:type="dxa"/>
          </w:tblCellMar>
        </w:tblPrEx>
        <w:trPr>
          <w:gridAfter w:val="1"/>
          <w:wAfter w:w="362" w:type="dxa"/>
          <w:trHeight w:val="312" w:hRule="atLeast"/>
        </w:trPr>
        <w:tc>
          <w:tcPr>
            <w:tcW w:w="86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21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93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9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5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8"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851"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84"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5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84"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1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844"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85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851"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5"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8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gridAfter w:val="1"/>
          <w:wAfter w:w="362" w:type="dxa"/>
          <w:trHeight w:val="312" w:hRule="atLeast"/>
        </w:trPr>
        <w:tc>
          <w:tcPr>
            <w:tcW w:w="86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21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93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9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5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8"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851"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84"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5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84"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1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844"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85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851"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5"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8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gridAfter w:val="1"/>
          <w:wAfter w:w="362" w:type="dxa"/>
          <w:trHeight w:val="308" w:hRule="atLeast"/>
        </w:trPr>
        <w:tc>
          <w:tcPr>
            <w:tcW w:w="3082" w:type="dxa"/>
            <w:gridSpan w:val="2"/>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93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93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756"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708"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8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68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75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08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71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84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85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70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8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425"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780"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r>
      <w:tr>
        <w:tblPrEx>
          <w:tblCellMar>
            <w:top w:w="0" w:type="dxa"/>
            <w:left w:w="108" w:type="dxa"/>
            <w:bottom w:w="0" w:type="dxa"/>
            <w:right w:w="108" w:type="dxa"/>
          </w:tblCellMar>
        </w:tblPrEx>
        <w:trPr>
          <w:gridAfter w:val="1"/>
          <w:wAfter w:w="362" w:type="dxa"/>
          <w:trHeight w:val="338" w:hRule="atLeast"/>
        </w:trPr>
        <w:tc>
          <w:tcPr>
            <w:tcW w:w="3082" w:type="dxa"/>
            <w:gridSpan w:val="2"/>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2,233.95</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1,868.93</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730.19</w:t>
            </w:r>
          </w:p>
        </w:tc>
        <w:tc>
          <w:tcPr>
            <w:tcW w:w="70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19.01</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331.83</w:t>
            </w:r>
          </w:p>
        </w:tc>
        <w:tc>
          <w:tcPr>
            <w:tcW w:w="6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396.26</w:t>
            </w:r>
          </w:p>
        </w:tc>
        <w:tc>
          <w:tcPr>
            <w:tcW w:w="10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7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362" w:type="dxa"/>
          <w:trHeight w:val="338"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205</w:t>
            </w:r>
          </w:p>
        </w:tc>
        <w:tc>
          <w:tcPr>
            <w:tcW w:w="221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教育支出</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1,842.31</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1,477.29</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730.19</w:t>
            </w:r>
          </w:p>
        </w:tc>
        <w:tc>
          <w:tcPr>
            <w:tcW w:w="70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19.01</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331.83</w:t>
            </w:r>
          </w:p>
        </w:tc>
        <w:tc>
          <w:tcPr>
            <w:tcW w:w="6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396.26</w:t>
            </w:r>
          </w:p>
        </w:tc>
        <w:tc>
          <w:tcPr>
            <w:tcW w:w="10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362" w:type="dxa"/>
          <w:trHeight w:val="338"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20502</w:t>
            </w:r>
          </w:p>
        </w:tc>
        <w:tc>
          <w:tcPr>
            <w:tcW w:w="221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普通教育</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1,842.31</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1,477.29</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730.19</w:t>
            </w:r>
          </w:p>
        </w:tc>
        <w:tc>
          <w:tcPr>
            <w:tcW w:w="70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19.01</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331.83</w:t>
            </w:r>
          </w:p>
        </w:tc>
        <w:tc>
          <w:tcPr>
            <w:tcW w:w="6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396.26</w:t>
            </w:r>
          </w:p>
        </w:tc>
        <w:tc>
          <w:tcPr>
            <w:tcW w:w="10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362" w:type="dxa"/>
          <w:trHeight w:val="338"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2050202</w:t>
            </w:r>
          </w:p>
        </w:tc>
        <w:tc>
          <w:tcPr>
            <w:tcW w:w="221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小学教育</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1,842.31</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1,477.29</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730.19</w:t>
            </w:r>
          </w:p>
        </w:tc>
        <w:tc>
          <w:tcPr>
            <w:tcW w:w="70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19.01</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331.83</w:t>
            </w:r>
          </w:p>
        </w:tc>
        <w:tc>
          <w:tcPr>
            <w:tcW w:w="6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396.26</w:t>
            </w:r>
          </w:p>
        </w:tc>
        <w:tc>
          <w:tcPr>
            <w:tcW w:w="10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362" w:type="dxa"/>
          <w:trHeight w:val="338"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208</w:t>
            </w:r>
          </w:p>
        </w:tc>
        <w:tc>
          <w:tcPr>
            <w:tcW w:w="221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社会保障和就业支出</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7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362" w:type="dxa"/>
          <w:trHeight w:val="338"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20805</w:t>
            </w:r>
          </w:p>
        </w:tc>
        <w:tc>
          <w:tcPr>
            <w:tcW w:w="221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行政事业单位养老支出</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7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362" w:type="dxa"/>
          <w:trHeight w:val="338"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2080505</w:t>
            </w:r>
          </w:p>
        </w:tc>
        <w:tc>
          <w:tcPr>
            <w:tcW w:w="221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机关事业单位基本养老保险缴费支出</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7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362" w:type="dxa"/>
          <w:trHeight w:val="338"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210</w:t>
            </w:r>
          </w:p>
        </w:tc>
        <w:tc>
          <w:tcPr>
            <w:tcW w:w="221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卫生健康支出</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362" w:type="dxa"/>
          <w:trHeight w:val="338"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21011</w:t>
            </w:r>
          </w:p>
        </w:tc>
        <w:tc>
          <w:tcPr>
            <w:tcW w:w="221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行政事业单位医疗</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362" w:type="dxa"/>
          <w:trHeight w:val="338"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2101102</w:t>
            </w:r>
          </w:p>
        </w:tc>
        <w:tc>
          <w:tcPr>
            <w:tcW w:w="221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事业单位医疗</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362" w:type="dxa"/>
          <w:trHeight w:val="338"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221</w:t>
            </w:r>
          </w:p>
        </w:tc>
        <w:tc>
          <w:tcPr>
            <w:tcW w:w="221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住房保障支出</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362" w:type="dxa"/>
          <w:trHeight w:val="338"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22102</w:t>
            </w:r>
          </w:p>
        </w:tc>
        <w:tc>
          <w:tcPr>
            <w:tcW w:w="221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住房改革支出</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362" w:type="dxa"/>
          <w:trHeight w:val="338"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2210201</w:t>
            </w:r>
          </w:p>
        </w:tc>
        <w:tc>
          <w:tcPr>
            <w:tcW w:w="221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住房公积金</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362" w:type="dxa"/>
          <w:trHeight w:val="338"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221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362" w:type="dxa"/>
          <w:trHeight w:val="338" w:hRule="atLeast"/>
        </w:trPr>
        <w:tc>
          <w:tcPr>
            <w:tcW w:w="8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221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8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bl>
    <w:p>
      <w:pPr>
        <w:pStyle w:val="2"/>
        <w:spacing w:before="72"/>
      </w:pPr>
    </w:p>
    <w:p>
      <w:pPr>
        <w:pStyle w:val="2"/>
        <w:spacing w:before="72"/>
      </w:pPr>
    </w:p>
    <w:p>
      <w:pPr>
        <w:pStyle w:val="2"/>
        <w:spacing w:before="72"/>
      </w:pPr>
    </w:p>
    <w:p>
      <w:pPr>
        <w:pStyle w:val="2"/>
        <w:spacing w:before="72"/>
      </w:pPr>
    </w:p>
    <w:tbl>
      <w:tblPr>
        <w:tblStyle w:val="14"/>
        <w:tblW w:w="15197" w:type="dxa"/>
        <w:tblInd w:w="93" w:type="dxa"/>
        <w:tblLayout w:type="fixed"/>
        <w:tblCellMar>
          <w:top w:w="0" w:type="dxa"/>
          <w:left w:w="108" w:type="dxa"/>
          <w:bottom w:w="0" w:type="dxa"/>
          <w:right w:w="108" w:type="dxa"/>
        </w:tblCellMar>
      </w:tblPr>
      <w:tblGrid>
        <w:gridCol w:w="666"/>
        <w:gridCol w:w="89"/>
        <w:gridCol w:w="367"/>
        <w:gridCol w:w="27"/>
        <w:gridCol w:w="271"/>
        <w:gridCol w:w="155"/>
        <w:gridCol w:w="423"/>
        <w:gridCol w:w="333"/>
        <w:gridCol w:w="291"/>
        <w:gridCol w:w="196"/>
        <w:gridCol w:w="174"/>
        <w:gridCol w:w="55"/>
        <w:gridCol w:w="288"/>
        <w:gridCol w:w="366"/>
        <w:gridCol w:w="55"/>
        <w:gridCol w:w="512"/>
        <w:gridCol w:w="154"/>
        <w:gridCol w:w="555"/>
        <w:gridCol w:w="111"/>
        <w:gridCol w:w="456"/>
        <w:gridCol w:w="210"/>
        <w:gridCol w:w="282"/>
        <w:gridCol w:w="216"/>
        <w:gridCol w:w="169"/>
        <w:gridCol w:w="42"/>
        <w:gridCol w:w="609"/>
        <w:gridCol w:w="31"/>
        <w:gridCol w:w="35"/>
        <w:gridCol w:w="667"/>
        <w:gridCol w:w="13"/>
        <w:gridCol w:w="135"/>
        <w:gridCol w:w="441"/>
        <w:gridCol w:w="238"/>
        <w:gridCol w:w="338"/>
        <w:gridCol w:w="43"/>
        <w:gridCol w:w="295"/>
        <w:gridCol w:w="328"/>
        <w:gridCol w:w="82"/>
        <w:gridCol w:w="355"/>
        <w:gridCol w:w="202"/>
        <w:gridCol w:w="585"/>
        <w:gridCol w:w="115"/>
        <w:gridCol w:w="158"/>
        <w:gridCol w:w="243"/>
        <w:gridCol w:w="175"/>
        <w:gridCol w:w="487"/>
        <w:gridCol w:w="45"/>
        <w:gridCol w:w="110"/>
        <w:gridCol w:w="221"/>
        <w:gridCol w:w="335"/>
        <w:gridCol w:w="237"/>
        <w:gridCol w:w="159"/>
        <w:gridCol w:w="108"/>
        <w:gridCol w:w="504"/>
        <w:gridCol w:w="49"/>
        <w:gridCol w:w="507"/>
        <w:gridCol w:w="84"/>
        <w:gridCol w:w="211"/>
        <w:gridCol w:w="589"/>
      </w:tblGrid>
      <w:tr>
        <w:tblPrEx>
          <w:tblCellMar>
            <w:top w:w="0" w:type="dxa"/>
            <w:left w:w="108" w:type="dxa"/>
            <w:bottom w:w="0" w:type="dxa"/>
            <w:right w:w="108" w:type="dxa"/>
          </w:tblCellMar>
        </w:tblPrEx>
        <w:trPr>
          <w:gridAfter w:val="1"/>
          <w:wAfter w:w="589" w:type="dxa"/>
          <w:trHeight w:val="240" w:hRule="atLeast"/>
        </w:trPr>
        <w:tc>
          <w:tcPr>
            <w:tcW w:w="1122"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876" w:type="dxa"/>
            <w:gridSpan w:val="4"/>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820"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17"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087" w:type="dxa"/>
            <w:gridSpan w:val="4"/>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666"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948"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27"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675"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667"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827" w:type="dxa"/>
            <w:gridSpan w:val="4"/>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676"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10"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57"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85"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16"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662"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376"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72"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820" w:type="dxa"/>
            <w:gridSpan w:val="4"/>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802"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r>
      <w:tr>
        <w:tblPrEx>
          <w:tblCellMar>
            <w:top w:w="0" w:type="dxa"/>
            <w:left w:w="108" w:type="dxa"/>
            <w:bottom w:w="0" w:type="dxa"/>
            <w:right w:w="108" w:type="dxa"/>
          </w:tblCellMar>
        </w:tblPrEx>
        <w:trPr>
          <w:trHeight w:val="312" w:hRule="atLeast"/>
        </w:trPr>
        <w:tc>
          <w:tcPr>
            <w:tcW w:w="755"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小计</w:t>
            </w:r>
          </w:p>
        </w:tc>
        <w:tc>
          <w:tcPr>
            <w:tcW w:w="665"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办公费</w:t>
            </w:r>
          </w:p>
        </w:tc>
        <w:tc>
          <w:tcPr>
            <w:tcW w:w="578"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印刷费</w:t>
            </w:r>
          </w:p>
        </w:tc>
        <w:tc>
          <w:tcPr>
            <w:tcW w:w="624"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咨询费</w:t>
            </w:r>
          </w:p>
        </w:tc>
        <w:tc>
          <w:tcPr>
            <w:tcW w:w="425"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手续费</w:t>
            </w:r>
          </w:p>
        </w:tc>
        <w:tc>
          <w:tcPr>
            <w:tcW w:w="709"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水费</w:t>
            </w:r>
          </w:p>
        </w:tc>
        <w:tc>
          <w:tcPr>
            <w:tcW w:w="666"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电费</w:t>
            </w:r>
          </w:p>
        </w:tc>
        <w:tc>
          <w:tcPr>
            <w:tcW w:w="666"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邮电费</w:t>
            </w:r>
          </w:p>
        </w:tc>
        <w:tc>
          <w:tcPr>
            <w:tcW w:w="666"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物业管理费</w:t>
            </w:r>
          </w:p>
        </w:tc>
        <w:tc>
          <w:tcPr>
            <w:tcW w:w="667"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差旅费</w:t>
            </w:r>
          </w:p>
        </w:tc>
        <w:tc>
          <w:tcPr>
            <w:tcW w:w="651"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因公出国（境）费用</w:t>
            </w:r>
          </w:p>
        </w:tc>
        <w:tc>
          <w:tcPr>
            <w:tcW w:w="746" w:type="dxa"/>
            <w:gridSpan w:val="4"/>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维修（护）费</w:t>
            </w:r>
          </w:p>
        </w:tc>
        <w:tc>
          <w:tcPr>
            <w:tcW w:w="576"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租赁费</w:t>
            </w:r>
          </w:p>
        </w:tc>
        <w:tc>
          <w:tcPr>
            <w:tcW w:w="576"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会议费</w:t>
            </w:r>
          </w:p>
        </w:tc>
        <w:tc>
          <w:tcPr>
            <w:tcW w:w="666"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培训费</w:t>
            </w:r>
          </w:p>
        </w:tc>
        <w:tc>
          <w:tcPr>
            <w:tcW w:w="639"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公务接待费</w:t>
            </w:r>
          </w:p>
        </w:tc>
        <w:tc>
          <w:tcPr>
            <w:tcW w:w="700"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专用材料费</w:t>
            </w:r>
          </w:p>
        </w:tc>
        <w:tc>
          <w:tcPr>
            <w:tcW w:w="576"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劳务费</w:t>
            </w:r>
          </w:p>
        </w:tc>
        <w:tc>
          <w:tcPr>
            <w:tcW w:w="532"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委托业务费</w:t>
            </w:r>
          </w:p>
        </w:tc>
        <w:tc>
          <w:tcPr>
            <w:tcW w:w="666"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工会经费</w:t>
            </w:r>
          </w:p>
        </w:tc>
        <w:tc>
          <w:tcPr>
            <w:tcW w:w="396"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福利费</w:t>
            </w:r>
          </w:p>
        </w:tc>
        <w:tc>
          <w:tcPr>
            <w:tcW w:w="612"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公务用车运行维护费</w:t>
            </w:r>
          </w:p>
        </w:tc>
        <w:tc>
          <w:tcPr>
            <w:tcW w:w="640"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其他交通费用</w:t>
            </w:r>
          </w:p>
        </w:tc>
        <w:tc>
          <w:tcPr>
            <w:tcW w:w="800"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其他商品和服务支出</w:t>
            </w:r>
          </w:p>
        </w:tc>
      </w:tr>
      <w:tr>
        <w:tblPrEx>
          <w:tblCellMar>
            <w:top w:w="0" w:type="dxa"/>
            <w:left w:w="108" w:type="dxa"/>
            <w:bottom w:w="0" w:type="dxa"/>
            <w:right w:w="108" w:type="dxa"/>
          </w:tblCellMar>
        </w:tblPrEx>
        <w:trPr>
          <w:trHeight w:val="312" w:hRule="atLeast"/>
        </w:trPr>
        <w:tc>
          <w:tcPr>
            <w:tcW w:w="755"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65"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78"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24"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5"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9"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6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6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6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67"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51"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46"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7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7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66"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39"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76"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32"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66"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9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12"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40"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80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312" w:hRule="atLeast"/>
        </w:trPr>
        <w:tc>
          <w:tcPr>
            <w:tcW w:w="755"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65"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78"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24"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5"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9"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6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6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6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67"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51"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46"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7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7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66"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39"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76"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32"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66"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9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12"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40"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80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755"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665"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578"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62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425"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709"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666"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666"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666"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667"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6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746" w:type="dxa"/>
            <w:gridSpan w:val="4"/>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576"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576"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666"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639"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700"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576"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53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666"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396"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61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640"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800"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r>
      <w:tr>
        <w:tblPrEx>
          <w:tblCellMar>
            <w:top w:w="0" w:type="dxa"/>
            <w:left w:w="108" w:type="dxa"/>
            <w:bottom w:w="0" w:type="dxa"/>
            <w:right w:w="108" w:type="dxa"/>
          </w:tblCellMar>
        </w:tblPrEx>
        <w:trPr>
          <w:trHeight w:val="338" w:hRule="atLeast"/>
        </w:trPr>
        <w:tc>
          <w:tcPr>
            <w:tcW w:w="75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287.29</w:t>
            </w:r>
          </w:p>
        </w:tc>
        <w:tc>
          <w:tcPr>
            <w:tcW w:w="66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20.00</w:t>
            </w:r>
          </w:p>
        </w:tc>
        <w:tc>
          <w:tcPr>
            <w:tcW w:w="57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w:t>
            </w:r>
          </w:p>
        </w:tc>
        <w:tc>
          <w:tcPr>
            <w:tcW w:w="62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25.00</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53.50</w:t>
            </w:r>
          </w:p>
        </w:tc>
        <w:tc>
          <w:tcPr>
            <w:tcW w:w="6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5.03</w:t>
            </w:r>
          </w:p>
        </w:tc>
        <w:tc>
          <w:tcPr>
            <w:tcW w:w="6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38.00</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15.00</w:t>
            </w:r>
          </w:p>
        </w:tc>
        <w:tc>
          <w:tcPr>
            <w:tcW w:w="63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7.18</w:t>
            </w:r>
          </w:p>
        </w:tc>
        <w:tc>
          <w:tcPr>
            <w:tcW w:w="5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17.27</w:t>
            </w:r>
          </w:p>
        </w:tc>
        <w:tc>
          <w:tcPr>
            <w:tcW w:w="39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1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4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w:t>
            </w:r>
          </w:p>
        </w:tc>
        <w:tc>
          <w:tcPr>
            <w:tcW w:w="8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71.32</w:t>
            </w:r>
          </w:p>
        </w:tc>
      </w:tr>
      <w:tr>
        <w:tblPrEx>
          <w:tblCellMar>
            <w:top w:w="0" w:type="dxa"/>
            <w:left w:w="108" w:type="dxa"/>
            <w:bottom w:w="0" w:type="dxa"/>
            <w:right w:w="108" w:type="dxa"/>
          </w:tblCellMar>
        </w:tblPrEx>
        <w:trPr>
          <w:trHeight w:val="338" w:hRule="atLeast"/>
        </w:trPr>
        <w:tc>
          <w:tcPr>
            <w:tcW w:w="75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287.29</w:t>
            </w:r>
          </w:p>
        </w:tc>
        <w:tc>
          <w:tcPr>
            <w:tcW w:w="66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20.00</w:t>
            </w:r>
          </w:p>
        </w:tc>
        <w:tc>
          <w:tcPr>
            <w:tcW w:w="57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w:t>
            </w:r>
          </w:p>
        </w:tc>
        <w:tc>
          <w:tcPr>
            <w:tcW w:w="62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25.00</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53.50</w:t>
            </w:r>
          </w:p>
        </w:tc>
        <w:tc>
          <w:tcPr>
            <w:tcW w:w="6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5.03</w:t>
            </w:r>
          </w:p>
        </w:tc>
        <w:tc>
          <w:tcPr>
            <w:tcW w:w="6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38.00</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15.00</w:t>
            </w:r>
          </w:p>
        </w:tc>
        <w:tc>
          <w:tcPr>
            <w:tcW w:w="63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7.18</w:t>
            </w:r>
          </w:p>
        </w:tc>
        <w:tc>
          <w:tcPr>
            <w:tcW w:w="5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17.27</w:t>
            </w:r>
          </w:p>
        </w:tc>
        <w:tc>
          <w:tcPr>
            <w:tcW w:w="39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1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4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w:t>
            </w:r>
          </w:p>
        </w:tc>
        <w:tc>
          <w:tcPr>
            <w:tcW w:w="8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71.32</w:t>
            </w:r>
          </w:p>
        </w:tc>
      </w:tr>
      <w:tr>
        <w:tblPrEx>
          <w:tblCellMar>
            <w:top w:w="0" w:type="dxa"/>
            <w:left w:w="108" w:type="dxa"/>
            <w:bottom w:w="0" w:type="dxa"/>
            <w:right w:w="108" w:type="dxa"/>
          </w:tblCellMar>
        </w:tblPrEx>
        <w:trPr>
          <w:trHeight w:val="338" w:hRule="atLeast"/>
        </w:trPr>
        <w:tc>
          <w:tcPr>
            <w:tcW w:w="75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287.29</w:t>
            </w:r>
          </w:p>
        </w:tc>
        <w:tc>
          <w:tcPr>
            <w:tcW w:w="66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20.00</w:t>
            </w:r>
          </w:p>
        </w:tc>
        <w:tc>
          <w:tcPr>
            <w:tcW w:w="57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w:t>
            </w:r>
          </w:p>
        </w:tc>
        <w:tc>
          <w:tcPr>
            <w:tcW w:w="62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25.00</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53.50</w:t>
            </w:r>
          </w:p>
        </w:tc>
        <w:tc>
          <w:tcPr>
            <w:tcW w:w="6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5.03</w:t>
            </w:r>
          </w:p>
        </w:tc>
        <w:tc>
          <w:tcPr>
            <w:tcW w:w="6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38.00</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15.00</w:t>
            </w:r>
          </w:p>
        </w:tc>
        <w:tc>
          <w:tcPr>
            <w:tcW w:w="63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7.18</w:t>
            </w:r>
          </w:p>
        </w:tc>
        <w:tc>
          <w:tcPr>
            <w:tcW w:w="5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17.27</w:t>
            </w:r>
          </w:p>
        </w:tc>
        <w:tc>
          <w:tcPr>
            <w:tcW w:w="39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1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4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w:t>
            </w:r>
          </w:p>
        </w:tc>
        <w:tc>
          <w:tcPr>
            <w:tcW w:w="8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71.32</w:t>
            </w:r>
          </w:p>
        </w:tc>
      </w:tr>
      <w:tr>
        <w:tblPrEx>
          <w:tblCellMar>
            <w:top w:w="0" w:type="dxa"/>
            <w:left w:w="108" w:type="dxa"/>
            <w:bottom w:w="0" w:type="dxa"/>
            <w:right w:w="108" w:type="dxa"/>
          </w:tblCellMar>
        </w:tblPrEx>
        <w:trPr>
          <w:trHeight w:val="338" w:hRule="atLeast"/>
        </w:trPr>
        <w:tc>
          <w:tcPr>
            <w:tcW w:w="75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287.29</w:t>
            </w:r>
          </w:p>
        </w:tc>
        <w:tc>
          <w:tcPr>
            <w:tcW w:w="66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20.00</w:t>
            </w:r>
          </w:p>
        </w:tc>
        <w:tc>
          <w:tcPr>
            <w:tcW w:w="57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w:t>
            </w:r>
          </w:p>
        </w:tc>
        <w:tc>
          <w:tcPr>
            <w:tcW w:w="62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25.00</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53.50</w:t>
            </w:r>
          </w:p>
        </w:tc>
        <w:tc>
          <w:tcPr>
            <w:tcW w:w="6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5.03</w:t>
            </w:r>
          </w:p>
        </w:tc>
        <w:tc>
          <w:tcPr>
            <w:tcW w:w="6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38.00</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15.00</w:t>
            </w:r>
          </w:p>
        </w:tc>
        <w:tc>
          <w:tcPr>
            <w:tcW w:w="63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7.18</w:t>
            </w:r>
          </w:p>
        </w:tc>
        <w:tc>
          <w:tcPr>
            <w:tcW w:w="5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17.27</w:t>
            </w:r>
          </w:p>
        </w:tc>
        <w:tc>
          <w:tcPr>
            <w:tcW w:w="39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1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4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w:t>
            </w:r>
          </w:p>
        </w:tc>
        <w:tc>
          <w:tcPr>
            <w:tcW w:w="8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71.32</w:t>
            </w:r>
          </w:p>
        </w:tc>
      </w:tr>
      <w:tr>
        <w:tblPrEx>
          <w:tblCellMar>
            <w:top w:w="0" w:type="dxa"/>
            <w:left w:w="108" w:type="dxa"/>
            <w:bottom w:w="0" w:type="dxa"/>
            <w:right w:w="108" w:type="dxa"/>
          </w:tblCellMar>
        </w:tblPrEx>
        <w:trPr>
          <w:trHeight w:val="338" w:hRule="atLeast"/>
        </w:trPr>
        <w:tc>
          <w:tcPr>
            <w:tcW w:w="75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2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3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1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4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38" w:hRule="atLeast"/>
        </w:trPr>
        <w:tc>
          <w:tcPr>
            <w:tcW w:w="75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2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3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1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4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38" w:hRule="atLeast"/>
        </w:trPr>
        <w:tc>
          <w:tcPr>
            <w:tcW w:w="75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2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3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1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4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38" w:hRule="atLeast"/>
        </w:trPr>
        <w:tc>
          <w:tcPr>
            <w:tcW w:w="75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2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3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1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4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38" w:hRule="atLeast"/>
        </w:trPr>
        <w:tc>
          <w:tcPr>
            <w:tcW w:w="75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2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3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1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4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38" w:hRule="atLeast"/>
        </w:trPr>
        <w:tc>
          <w:tcPr>
            <w:tcW w:w="75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2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3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1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4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38" w:hRule="atLeast"/>
        </w:trPr>
        <w:tc>
          <w:tcPr>
            <w:tcW w:w="75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2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3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1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4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38" w:hRule="atLeast"/>
        </w:trPr>
        <w:tc>
          <w:tcPr>
            <w:tcW w:w="75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2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3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1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4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38" w:hRule="atLeast"/>
        </w:trPr>
        <w:tc>
          <w:tcPr>
            <w:tcW w:w="75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2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3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1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4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38" w:hRule="atLeast"/>
        </w:trPr>
        <w:tc>
          <w:tcPr>
            <w:tcW w:w="75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2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3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1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4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38" w:hRule="atLeast"/>
        </w:trPr>
        <w:tc>
          <w:tcPr>
            <w:tcW w:w="75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2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3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6"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1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4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0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3"/>
          <w:wAfter w:w="884" w:type="dxa"/>
          <w:trHeight w:val="240" w:hRule="atLeast"/>
        </w:trPr>
        <w:tc>
          <w:tcPr>
            <w:tcW w:w="666"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83"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26"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756"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661"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709"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67"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709"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67"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708"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851" w:type="dxa"/>
            <w:gridSpan w:val="4"/>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850" w:type="dxa"/>
            <w:gridSpan w:val="4"/>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060" w:type="dxa"/>
            <w:gridSpan w:val="4"/>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060" w:type="dxa"/>
            <w:gridSpan w:val="4"/>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060" w:type="dxa"/>
            <w:gridSpan w:val="4"/>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060" w:type="dxa"/>
            <w:gridSpan w:val="5"/>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060" w:type="dxa"/>
            <w:gridSpan w:val="5"/>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060"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r>
      <w:tr>
        <w:tblPrEx>
          <w:tblCellMar>
            <w:top w:w="0" w:type="dxa"/>
            <w:left w:w="108" w:type="dxa"/>
            <w:bottom w:w="0" w:type="dxa"/>
            <w:right w:w="108" w:type="dxa"/>
          </w:tblCellMar>
        </w:tblPrEx>
        <w:trPr>
          <w:gridAfter w:val="3"/>
          <w:wAfter w:w="884" w:type="dxa"/>
          <w:trHeight w:val="308" w:hRule="atLeast"/>
        </w:trPr>
        <w:tc>
          <w:tcPr>
            <w:tcW w:w="9013" w:type="dxa"/>
            <w:gridSpan w:val="35"/>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对个人和家庭的补助</w:t>
            </w:r>
          </w:p>
        </w:tc>
        <w:tc>
          <w:tcPr>
            <w:tcW w:w="5300" w:type="dxa"/>
            <w:gridSpan w:val="21"/>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债务利息及费用支出</w:t>
            </w:r>
          </w:p>
        </w:tc>
      </w:tr>
      <w:tr>
        <w:tblPrEx>
          <w:tblCellMar>
            <w:top w:w="0" w:type="dxa"/>
            <w:left w:w="108" w:type="dxa"/>
            <w:bottom w:w="0" w:type="dxa"/>
            <w:right w:w="108" w:type="dxa"/>
          </w:tblCellMar>
        </w:tblPrEx>
        <w:trPr>
          <w:gridAfter w:val="3"/>
          <w:wAfter w:w="884" w:type="dxa"/>
          <w:trHeight w:val="312" w:hRule="atLeast"/>
        </w:trPr>
        <w:tc>
          <w:tcPr>
            <w:tcW w:w="66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小计</w:t>
            </w:r>
          </w:p>
        </w:tc>
        <w:tc>
          <w:tcPr>
            <w:tcW w:w="483"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离休费</w:t>
            </w:r>
          </w:p>
        </w:tc>
        <w:tc>
          <w:tcPr>
            <w:tcW w:w="426"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退休费</w:t>
            </w:r>
          </w:p>
        </w:tc>
        <w:tc>
          <w:tcPr>
            <w:tcW w:w="756"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退职（役）费</w:t>
            </w:r>
          </w:p>
        </w:tc>
        <w:tc>
          <w:tcPr>
            <w:tcW w:w="661"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抚恤金</w:t>
            </w:r>
          </w:p>
        </w:tc>
        <w:tc>
          <w:tcPr>
            <w:tcW w:w="709"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生活补助</w:t>
            </w:r>
          </w:p>
        </w:tc>
        <w:tc>
          <w:tcPr>
            <w:tcW w:w="567"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救济费</w:t>
            </w:r>
          </w:p>
        </w:tc>
        <w:tc>
          <w:tcPr>
            <w:tcW w:w="709"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医疗费补助</w:t>
            </w:r>
          </w:p>
        </w:tc>
        <w:tc>
          <w:tcPr>
            <w:tcW w:w="567"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助学金</w:t>
            </w:r>
          </w:p>
        </w:tc>
        <w:tc>
          <w:tcPr>
            <w:tcW w:w="708"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奖励金</w:t>
            </w:r>
          </w:p>
        </w:tc>
        <w:tc>
          <w:tcPr>
            <w:tcW w:w="851" w:type="dxa"/>
            <w:gridSpan w:val="4"/>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个人农业生产补贴</w:t>
            </w:r>
          </w:p>
        </w:tc>
        <w:tc>
          <w:tcPr>
            <w:tcW w:w="850" w:type="dxa"/>
            <w:gridSpan w:val="4"/>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代缴社会保险费</w:t>
            </w:r>
          </w:p>
        </w:tc>
        <w:tc>
          <w:tcPr>
            <w:tcW w:w="1060" w:type="dxa"/>
            <w:gridSpan w:val="4"/>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其他个人和家庭的补助支出</w:t>
            </w:r>
          </w:p>
        </w:tc>
        <w:tc>
          <w:tcPr>
            <w:tcW w:w="1060" w:type="dxa"/>
            <w:gridSpan w:val="4"/>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小计</w:t>
            </w:r>
          </w:p>
        </w:tc>
        <w:tc>
          <w:tcPr>
            <w:tcW w:w="1060" w:type="dxa"/>
            <w:gridSpan w:val="4"/>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国内债务付息</w:t>
            </w:r>
          </w:p>
        </w:tc>
        <w:tc>
          <w:tcPr>
            <w:tcW w:w="1060" w:type="dxa"/>
            <w:gridSpan w:val="5"/>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国外债务付息</w:t>
            </w:r>
          </w:p>
        </w:tc>
        <w:tc>
          <w:tcPr>
            <w:tcW w:w="1060" w:type="dxa"/>
            <w:gridSpan w:val="5"/>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国内债务发行费用</w:t>
            </w:r>
          </w:p>
        </w:tc>
        <w:tc>
          <w:tcPr>
            <w:tcW w:w="1060"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国外债务发行费用</w:t>
            </w:r>
          </w:p>
        </w:tc>
      </w:tr>
      <w:tr>
        <w:tblPrEx>
          <w:tblCellMar>
            <w:top w:w="0" w:type="dxa"/>
            <w:left w:w="108" w:type="dxa"/>
            <w:bottom w:w="0" w:type="dxa"/>
            <w:right w:w="108" w:type="dxa"/>
          </w:tblCellMar>
        </w:tblPrEx>
        <w:trPr>
          <w:gridAfter w:val="3"/>
          <w:wAfter w:w="884" w:type="dxa"/>
          <w:trHeight w:val="312" w:hRule="atLeast"/>
        </w:trPr>
        <w:tc>
          <w:tcPr>
            <w:tcW w:w="6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83"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5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61"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9"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67"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9"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67"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8"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851"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850"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60"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60"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60"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60" w:type="dxa"/>
            <w:gridSpan w:val="5"/>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60" w:type="dxa"/>
            <w:gridSpan w:val="5"/>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60"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gridAfter w:val="3"/>
          <w:wAfter w:w="884" w:type="dxa"/>
          <w:trHeight w:val="312" w:hRule="atLeast"/>
        </w:trPr>
        <w:tc>
          <w:tcPr>
            <w:tcW w:w="6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83"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5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61"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9"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67"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9"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67"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8"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851"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850"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60"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60"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60"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60" w:type="dxa"/>
            <w:gridSpan w:val="5"/>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60" w:type="dxa"/>
            <w:gridSpan w:val="5"/>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60"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gridAfter w:val="3"/>
          <w:wAfter w:w="884" w:type="dxa"/>
          <w:trHeight w:val="308" w:hRule="atLeast"/>
        </w:trPr>
        <w:tc>
          <w:tcPr>
            <w:tcW w:w="66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483"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426"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756"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661"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709"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567"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567"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708"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851" w:type="dxa"/>
            <w:gridSpan w:val="4"/>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850" w:type="dxa"/>
            <w:gridSpan w:val="4"/>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1060" w:type="dxa"/>
            <w:gridSpan w:val="4"/>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1060" w:type="dxa"/>
            <w:gridSpan w:val="4"/>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57</w:t>
            </w:r>
          </w:p>
        </w:tc>
        <w:tc>
          <w:tcPr>
            <w:tcW w:w="1060" w:type="dxa"/>
            <w:gridSpan w:val="4"/>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58</w:t>
            </w:r>
          </w:p>
        </w:tc>
        <w:tc>
          <w:tcPr>
            <w:tcW w:w="1060" w:type="dxa"/>
            <w:gridSpan w:val="5"/>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59</w:t>
            </w:r>
          </w:p>
        </w:tc>
        <w:tc>
          <w:tcPr>
            <w:tcW w:w="1060" w:type="dxa"/>
            <w:gridSpan w:val="5"/>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60</w:t>
            </w:r>
          </w:p>
        </w:tc>
        <w:tc>
          <w:tcPr>
            <w:tcW w:w="1060"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61</w:t>
            </w:r>
          </w:p>
        </w:tc>
      </w:tr>
      <w:tr>
        <w:tblPrEx>
          <w:tblCellMar>
            <w:top w:w="0" w:type="dxa"/>
            <w:left w:w="108" w:type="dxa"/>
            <w:bottom w:w="0" w:type="dxa"/>
            <w:right w:w="108" w:type="dxa"/>
          </w:tblCellMar>
        </w:tblPrEx>
        <w:trPr>
          <w:gridAfter w:val="3"/>
          <w:wAfter w:w="884" w:type="dxa"/>
          <w:trHeight w:val="338" w:hRule="atLeast"/>
        </w:trPr>
        <w:tc>
          <w:tcPr>
            <w:tcW w:w="6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57.08</w:t>
            </w:r>
          </w:p>
        </w:tc>
        <w:tc>
          <w:tcPr>
            <w:tcW w:w="483"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6.22</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45.62</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5.24</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3"/>
          <w:wAfter w:w="884" w:type="dxa"/>
          <w:trHeight w:val="338" w:hRule="atLeast"/>
        </w:trPr>
        <w:tc>
          <w:tcPr>
            <w:tcW w:w="6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57.08</w:t>
            </w:r>
          </w:p>
        </w:tc>
        <w:tc>
          <w:tcPr>
            <w:tcW w:w="483"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6.22</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45.62</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5.24</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3"/>
          <w:wAfter w:w="884" w:type="dxa"/>
          <w:trHeight w:val="338" w:hRule="atLeast"/>
        </w:trPr>
        <w:tc>
          <w:tcPr>
            <w:tcW w:w="6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57.08</w:t>
            </w:r>
          </w:p>
        </w:tc>
        <w:tc>
          <w:tcPr>
            <w:tcW w:w="483"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6.22</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45.62</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5.24</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3"/>
          <w:wAfter w:w="884" w:type="dxa"/>
          <w:trHeight w:val="338" w:hRule="atLeast"/>
        </w:trPr>
        <w:tc>
          <w:tcPr>
            <w:tcW w:w="6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57.08</w:t>
            </w:r>
          </w:p>
        </w:tc>
        <w:tc>
          <w:tcPr>
            <w:tcW w:w="483"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6.22</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45.62</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5.24</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3"/>
          <w:wAfter w:w="884" w:type="dxa"/>
          <w:trHeight w:val="338" w:hRule="atLeast"/>
        </w:trPr>
        <w:tc>
          <w:tcPr>
            <w:tcW w:w="6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83"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3"/>
          <w:wAfter w:w="884" w:type="dxa"/>
          <w:trHeight w:val="338" w:hRule="atLeast"/>
        </w:trPr>
        <w:tc>
          <w:tcPr>
            <w:tcW w:w="6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83"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3"/>
          <w:wAfter w:w="884" w:type="dxa"/>
          <w:trHeight w:val="338" w:hRule="atLeast"/>
        </w:trPr>
        <w:tc>
          <w:tcPr>
            <w:tcW w:w="6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83"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3"/>
          <w:wAfter w:w="884" w:type="dxa"/>
          <w:trHeight w:val="338" w:hRule="atLeast"/>
        </w:trPr>
        <w:tc>
          <w:tcPr>
            <w:tcW w:w="6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83"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3"/>
          <w:wAfter w:w="884" w:type="dxa"/>
          <w:trHeight w:val="338" w:hRule="atLeast"/>
        </w:trPr>
        <w:tc>
          <w:tcPr>
            <w:tcW w:w="6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83"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3"/>
          <w:wAfter w:w="884" w:type="dxa"/>
          <w:trHeight w:val="338" w:hRule="atLeast"/>
        </w:trPr>
        <w:tc>
          <w:tcPr>
            <w:tcW w:w="6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83"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3"/>
          <w:wAfter w:w="884" w:type="dxa"/>
          <w:trHeight w:val="338" w:hRule="atLeast"/>
        </w:trPr>
        <w:tc>
          <w:tcPr>
            <w:tcW w:w="6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83"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3"/>
          <w:wAfter w:w="884" w:type="dxa"/>
          <w:trHeight w:val="338" w:hRule="atLeast"/>
        </w:trPr>
        <w:tc>
          <w:tcPr>
            <w:tcW w:w="6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83"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3"/>
          <w:wAfter w:w="884" w:type="dxa"/>
          <w:trHeight w:val="338" w:hRule="atLeast"/>
        </w:trPr>
        <w:tc>
          <w:tcPr>
            <w:tcW w:w="6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83"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3"/>
          <w:wAfter w:w="884" w:type="dxa"/>
          <w:trHeight w:val="338" w:hRule="atLeast"/>
        </w:trPr>
        <w:tc>
          <w:tcPr>
            <w:tcW w:w="6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83"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3"/>
          <w:wAfter w:w="884" w:type="dxa"/>
          <w:trHeight w:val="338" w:hRule="atLeast"/>
        </w:trPr>
        <w:tc>
          <w:tcPr>
            <w:tcW w:w="6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83"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5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bl>
    <w:p>
      <w:pPr>
        <w:pStyle w:val="2"/>
        <w:spacing w:before="72"/>
      </w:pPr>
    </w:p>
    <w:p>
      <w:pPr>
        <w:pStyle w:val="2"/>
        <w:spacing w:before="72"/>
      </w:pPr>
    </w:p>
    <w:p>
      <w:pPr>
        <w:pStyle w:val="2"/>
        <w:spacing w:before="72"/>
      </w:pPr>
    </w:p>
    <w:p>
      <w:pPr>
        <w:pStyle w:val="2"/>
        <w:spacing w:before="72"/>
      </w:pPr>
    </w:p>
    <w:tbl>
      <w:tblPr>
        <w:tblStyle w:val="14"/>
        <w:tblW w:w="15485" w:type="dxa"/>
        <w:tblInd w:w="93" w:type="dxa"/>
        <w:tblLayout w:type="fixed"/>
        <w:tblCellMar>
          <w:top w:w="0" w:type="dxa"/>
          <w:left w:w="108" w:type="dxa"/>
          <w:bottom w:w="0" w:type="dxa"/>
          <w:right w:w="108" w:type="dxa"/>
        </w:tblCellMar>
      </w:tblPr>
      <w:tblGrid>
        <w:gridCol w:w="93"/>
        <w:gridCol w:w="344"/>
        <w:gridCol w:w="25"/>
        <w:gridCol w:w="68"/>
        <w:gridCol w:w="617"/>
        <w:gridCol w:w="93"/>
        <w:gridCol w:w="123"/>
        <w:gridCol w:w="17"/>
        <w:gridCol w:w="236"/>
        <w:gridCol w:w="52"/>
        <w:gridCol w:w="332"/>
        <w:gridCol w:w="93"/>
        <w:gridCol w:w="183"/>
        <w:gridCol w:w="7"/>
        <w:gridCol w:w="235"/>
        <w:gridCol w:w="46"/>
        <w:gridCol w:w="137"/>
        <w:gridCol w:w="15"/>
        <w:gridCol w:w="221"/>
        <w:gridCol w:w="197"/>
        <w:gridCol w:w="39"/>
        <w:gridCol w:w="147"/>
        <w:gridCol w:w="42"/>
        <w:gridCol w:w="236"/>
        <w:gridCol w:w="196"/>
        <w:gridCol w:w="40"/>
        <w:gridCol w:w="236"/>
        <w:gridCol w:w="56"/>
        <w:gridCol w:w="93"/>
        <w:gridCol w:w="332"/>
        <w:gridCol w:w="86"/>
        <w:gridCol w:w="7"/>
        <w:gridCol w:w="28"/>
        <w:gridCol w:w="201"/>
        <w:gridCol w:w="338"/>
        <w:gridCol w:w="49"/>
        <w:gridCol w:w="38"/>
        <w:gridCol w:w="172"/>
        <w:gridCol w:w="167"/>
        <w:gridCol w:w="69"/>
        <w:gridCol w:w="260"/>
        <w:gridCol w:w="3"/>
        <w:gridCol w:w="235"/>
        <w:gridCol w:w="221"/>
        <w:gridCol w:w="198"/>
        <w:gridCol w:w="289"/>
        <w:gridCol w:w="221"/>
        <w:gridCol w:w="205"/>
        <w:gridCol w:w="255"/>
        <w:gridCol w:w="8"/>
        <w:gridCol w:w="74"/>
        <w:gridCol w:w="352"/>
        <w:gridCol w:w="19"/>
        <w:gridCol w:w="406"/>
        <w:gridCol w:w="20"/>
        <w:gridCol w:w="181"/>
        <w:gridCol w:w="73"/>
        <w:gridCol w:w="250"/>
        <w:gridCol w:w="63"/>
        <w:gridCol w:w="362"/>
        <w:gridCol w:w="63"/>
        <w:gridCol w:w="249"/>
        <w:gridCol w:w="64"/>
        <w:gridCol w:w="49"/>
        <w:gridCol w:w="123"/>
        <w:gridCol w:w="224"/>
        <w:gridCol w:w="177"/>
        <w:gridCol w:w="178"/>
        <w:gridCol w:w="70"/>
        <w:gridCol w:w="425"/>
        <w:gridCol w:w="35"/>
        <w:gridCol w:w="371"/>
        <w:gridCol w:w="19"/>
        <w:gridCol w:w="36"/>
        <w:gridCol w:w="349"/>
        <w:gridCol w:w="218"/>
        <w:gridCol w:w="106"/>
        <w:gridCol w:w="319"/>
        <w:gridCol w:w="5"/>
        <w:gridCol w:w="101"/>
        <w:gridCol w:w="311"/>
        <w:gridCol w:w="151"/>
        <w:gridCol w:w="105"/>
        <w:gridCol w:w="320"/>
        <w:gridCol w:w="213"/>
        <w:gridCol w:w="34"/>
        <w:gridCol w:w="231"/>
        <w:gridCol w:w="6"/>
        <w:gridCol w:w="330"/>
        <w:gridCol w:w="300"/>
        <w:gridCol w:w="267"/>
        <w:gridCol w:w="163"/>
        <w:gridCol w:w="28"/>
        <w:gridCol w:w="208"/>
        <w:gridCol w:w="236"/>
        <w:gridCol w:w="93"/>
      </w:tblGrid>
      <w:tr>
        <w:tblPrEx>
          <w:tblCellMar>
            <w:top w:w="0" w:type="dxa"/>
            <w:left w:w="108" w:type="dxa"/>
            <w:bottom w:w="0" w:type="dxa"/>
            <w:right w:w="108" w:type="dxa"/>
          </w:tblCellMar>
        </w:tblPrEx>
        <w:trPr>
          <w:gridBefore w:val="1"/>
          <w:gridAfter w:val="9"/>
          <w:wBefore w:w="93" w:type="dxa"/>
          <w:wAfter w:w="1631" w:type="dxa"/>
          <w:trHeight w:val="240" w:hRule="atLeast"/>
        </w:trPr>
        <w:tc>
          <w:tcPr>
            <w:tcW w:w="437"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850" w:type="dxa"/>
            <w:gridSpan w:val="4"/>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236"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660" w:type="dxa"/>
            <w:gridSpan w:val="4"/>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25" w:type="dxa"/>
            <w:gridSpan w:val="4"/>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236"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236"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25"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236"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236"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67" w:type="dxa"/>
            <w:gridSpan w:val="4"/>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236"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25"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668" w:type="dxa"/>
            <w:gridSpan w:val="4"/>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59"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708"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68"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26"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25"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24" w:type="dxa"/>
            <w:gridSpan w:val="4"/>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25"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25" w:type="dxa"/>
            <w:gridSpan w:val="4"/>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24"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708" w:type="dxa"/>
            <w:gridSpan w:val="4"/>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26"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67"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25"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68" w:type="dxa"/>
            <w:gridSpan w:val="4"/>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25"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78"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r>
      <w:tr>
        <w:tblPrEx>
          <w:tblCellMar>
            <w:top w:w="0" w:type="dxa"/>
            <w:left w:w="108" w:type="dxa"/>
            <w:bottom w:w="0" w:type="dxa"/>
            <w:right w:w="108" w:type="dxa"/>
          </w:tblCellMar>
        </w:tblPrEx>
        <w:trPr>
          <w:gridBefore w:val="1"/>
          <w:wBefore w:w="93" w:type="dxa"/>
          <w:trHeight w:val="308" w:hRule="atLeast"/>
        </w:trPr>
        <w:tc>
          <w:tcPr>
            <w:tcW w:w="6111" w:type="dxa"/>
            <w:gridSpan w:val="42"/>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资本性支出（基本建设）</w:t>
            </w:r>
          </w:p>
        </w:tc>
        <w:tc>
          <w:tcPr>
            <w:tcW w:w="9374" w:type="dxa"/>
            <w:gridSpan w:val="53"/>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资本性支出         </w:t>
            </w:r>
          </w:p>
        </w:tc>
      </w:tr>
      <w:tr>
        <w:tblPrEx>
          <w:tblCellMar>
            <w:top w:w="0" w:type="dxa"/>
            <w:left w:w="108" w:type="dxa"/>
            <w:bottom w:w="0" w:type="dxa"/>
            <w:right w:w="108" w:type="dxa"/>
          </w:tblCellMar>
        </w:tblPrEx>
        <w:trPr>
          <w:gridBefore w:val="1"/>
          <w:wBefore w:w="93" w:type="dxa"/>
          <w:trHeight w:val="312" w:hRule="atLeast"/>
        </w:trPr>
        <w:tc>
          <w:tcPr>
            <w:tcW w:w="437"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小计</w:t>
            </w:r>
          </w:p>
        </w:tc>
        <w:tc>
          <w:tcPr>
            <w:tcW w:w="710"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房屋建筑物购建</w:t>
            </w:r>
          </w:p>
        </w:tc>
        <w:tc>
          <w:tcPr>
            <w:tcW w:w="428" w:type="dxa"/>
            <w:gridSpan w:val="4"/>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办公设备购置</w:t>
            </w:r>
          </w:p>
        </w:tc>
        <w:tc>
          <w:tcPr>
            <w:tcW w:w="425"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专用设备购置</w:t>
            </w:r>
          </w:p>
        </w:tc>
        <w:tc>
          <w:tcPr>
            <w:tcW w:w="425"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基础设施建设</w:t>
            </w:r>
          </w:p>
        </w:tc>
        <w:tc>
          <w:tcPr>
            <w:tcW w:w="419" w:type="dxa"/>
            <w:gridSpan w:val="4"/>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大型修缮</w:t>
            </w:r>
          </w:p>
        </w:tc>
        <w:tc>
          <w:tcPr>
            <w:tcW w:w="425" w:type="dxa"/>
            <w:gridSpan w:val="4"/>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信息网络及软件购置更新</w:t>
            </w:r>
          </w:p>
        </w:tc>
        <w:tc>
          <w:tcPr>
            <w:tcW w:w="432"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物资储备</w:t>
            </w:r>
          </w:p>
        </w:tc>
        <w:tc>
          <w:tcPr>
            <w:tcW w:w="425" w:type="dxa"/>
            <w:gridSpan w:val="4"/>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公务用车购置</w:t>
            </w:r>
          </w:p>
        </w:tc>
        <w:tc>
          <w:tcPr>
            <w:tcW w:w="425"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其他交通工具购置</w:t>
            </w:r>
          </w:p>
        </w:tc>
        <w:tc>
          <w:tcPr>
            <w:tcW w:w="567"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文物和陈列品购置</w:t>
            </w:r>
          </w:p>
        </w:tc>
        <w:tc>
          <w:tcPr>
            <w:tcW w:w="426" w:type="dxa"/>
            <w:gridSpan w:val="4"/>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无形资产购置</w:t>
            </w:r>
          </w:p>
        </w:tc>
        <w:tc>
          <w:tcPr>
            <w:tcW w:w="567" w:type="dxa"/>
            <w:gridSpan w:val="4"/>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其他基本建设支出</w:t>
            </w:r>
          </w:p>
        </w:tc>
        <w:tc>
          <w:tcPr>
            <w:tcW w:w="708"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小计</w:t>
            </w:r>
          </w:p>
        </w:tc>
        <w:tc>
          <w:tcPr>
            <w:tcW w:w="426"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房屋建筑物购建</w:t>
            </w:r>
          </w:p>
        </w:tc>
        <w:tc>
          <w:tcPr>
            <w:tcW w:w="708" w:type="dxa"/>
            <w:gridSpan w:val="5"/>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办公设备购置</w:t>
            </w:r>
          </w:p>
        </w:tc>
        <w:tc>
          <w:tcPr>
            <w:tcW w:w="426"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专用设备购置</w:t>
            </w:r>
          </w:p>
        </w:tc>
        <w:tc>
          <w:tcPr>
            <w:tcW w:w="567" w:type="dxa"/>
            <w:gridSpan w:val="4"/>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基础设施建设</w:t>
            </w:r>
          </w:p>
        </w:tc>
        <w:tc>
          <w:tcPr>
            <w:tcW w:w="425"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大型修缮</w:t>
            </w:r>
          </w:p>
        </w:tc>
        <w:tc>
          <w:tcPr>
            <w:tcW w:w="709" w:type="dxa"/>
            <w:gridSpan w:val="5"/>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信息网络及软件购置更新</w:t>
            </w:r>
          </w:p>
        </w:tc>
        <w:tc>
          <w:tcPr>
            <w:tcW w:w="425"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物资储备</w:t>
            </w:r>
          </w:p>
        </w:tc>
        <w:tc>
          <w:tcPr>
            <w:tcW w:w="425"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土地补偿</w:t>
            </w:r>
          </w:p>
        </w:tc>
        <w:tc>
          <w:tcPr>
            <w:tcW w:w="425"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安置补助</w:t>
            </w:r>
          </w:p>
        </w:tc>
        <w:tc>
          <w:tcPr>
            <w:tcW w:w="709" w:type="dxa"/>
            <w:gridSpan w:val="4"/>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地上附着物和青苗补偿</w:t>
            </w:r>
          </w:p>
        </w:tc>
        <w:tc>
          <w:tcPr>
            <w:tcW w:w="425"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拆迁补偿</w:t>
            </w:r>
          </w:p>
        </w:tc>
        <w:tc>
          <w:tcPr>
            <w:tcW w:w="567"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公务用车购置</w:t>
            </w:r>
          </w:p>
        </w:tc>
        <w:tc>
          <w:tcPr>
            <w:tcW w:w="567"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其他交通工具购置</w:t>
            </w:r>
          </w:p>
        </w:tc>
        <w:tc>
          <w:tcPr>
            <w:tcW w:w="567"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文物和陈列品购置</w:t>
            </w:r>
          </w:p>
        </w:tc>
        <w:tc>
          <w:tcPr>
            <w:tcW w:w="567"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无形资产购置</w:t>
            </w:r>
          </w:p>
        </w:tc>
        <w:tc>
          <w:tcPr>
            <w:tcW w:w="728" w:type="dxa"/>
            <w:gridSpan w:val="5"/>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其他资本性支出</w:t>
            </w:r>
          </w:p>
        </w:tc>
      </w:tr>
      <w:tr>
        <w:tblPrEx>
          <w:tblCellMar>
            <w:top w:w="0" w:type="dxa"/>
            <w:left w:w="108" w:type="dxa"/>
            <w:bottom w:w="0" w:type="dxa"/>
            <w:right w:w="108" w:type="dxa"/>
          </w:tblCellMar>
        </w:tblPrEx>
        <w:trPr>
          <w:gridBefore w:val="1"/>
          <w:wBefore w:w="93" w:type="dxa"/>
          <w:trHeight w:val="312" w:hRule="atLeast"/>
        </w:trPr>
        <w:tc>
          <w:tcPr>
            <w:tcW w:w="437"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1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8"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5"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5"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19"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5"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32"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5"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5"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67"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6"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67"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8"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8" w:type="dxa"/>
            <w:gridSpan w:val="5"/>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67"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5"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9" w:type="dxa"/>
            <w:gridSpan w:val="5"/>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5"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5"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9"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5"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67"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67"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67"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67"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28" w:type="dxa"/>
            <w:gridSpan w:val="5"/>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gridBefore w:val="1"/>
          <w:wBefore w:w="93" w:type="dxa"/>
          <w:trHeight w:val="312" w:hRule="atLeast"/>
        </w:trPr>
        <w:tc>
          <w:tcPr>
            <w:tcW w:w="437"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1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8"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5"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5"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19"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5"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32"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5"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5"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67"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6"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67"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8"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8" w:type="dxa"/>
            <w:gridSpan w:val="5"/>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67"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5"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9" w:type="dxa"/>
            <w:gridSpan w:val="5"/>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5"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5"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9"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25"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67"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67"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67"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67"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28" w:type="dxa"/>
            <w:gridSpan w:val="5"/>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gridBefore w:val="1"/>
          <w:wBefore w:w="93" w:type="dxa"/>
          <w:trHeight w:val="308" w:hRule="atLeast"/>
        </w:trPr>
        <w:tc>
          <w:tcPr>
            <w:tcW w:w="437"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62</w:t>
            </w:r>
          </w:p>
        </w:tc>
        <w:tc>
          <w:tcPr>
            <w:tcW w:w="710"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63</w:t>
            </w:r>
          </w:p>
        </w:tc>
        <w:tc>
          <w:tcPr>
            <w:tcW w:w="428" w:type="dxa"/>
            <w:gridSpan w:val="4"/>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64</w:t>
            </w:r>
          </w:p>
        </w:tc>
        <w:tc>
          <w:tcPr>
            <w:tcW w:w="425"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65</w:t>
            </w:r>
          </w:p>
        </w:tc>
        <w:tc>
          <w:tcPr>
            <w:tcW w:w="425"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66</w:t>
            </w:r>
          </w:p>
        </w:tc>
        <w:tc>
          <w:tcPr>
            <w:tcW w:w="419" w:type="dxa"/>
            <w:gridSpan w:val="4"/>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67</w:t>
            </w:r>
          </w:p>
        </w:tc>
        <w:tc>
          <w:tcPr>
            <w:tcW w:w="425" w:type="dxa"/>
            <w:gridSpan w:val="4"/>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68</w:t>
            </w:r>
          </w:p>
        </w:tc>
        <w:tc>
          <w:tcPr>
            <w:tcW w:w="43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69</w:t>
            </w:r>
          </w:p>
        </w:tc>
        <w:tc>
          <w:tcPr>
            <w:tcW w:w="425" w:type="dxa"/>
            <w:gridSpan w:val="4"/>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70</w:t>
            </w:r>
          </w:p>
        </w:tc>
        <w:tc>
          <w:tcPr>
            <w:tcW w:w="425"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71</w:t>
            </w:r>
          </w:p>
        </w:tc>
        <w:tc>
          <w:tcPr>
            <w:tcW w:w="567"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72</w:t>
            </w:r>
          </w:p>
        </w:tc>
        <w:tc>
          <w:tcPr>
            <w:tcW w:w="426" w:type="dxa"/>
            <w:gridSpan w:val="4"/>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73</w:t>
            </w:r>
          </w:p>
        </w:tc>
        <w:tc>
          <w:tcPr>
            <w:tcW w:w="567" w:type="dxa"/>
            <w:gridSpan w:val="4"/>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74</w:t>
            </w:r>
          </w:p>
        </w:tc>
        <w:tc>
          <w:tcPr>
            <w:tcW w:w="708"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75</w:t>
            </w:r>
          </w:p>
        </w:tc>
        <w:tc>
          <w:tcPr>
            <w:tcW w:w="426"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76</w:t>
            </w:r>
          </w:p>
        </w:tc>
        <w:tc>
          <w:tcPr>
            <w:tcW w:w="708" w:type="dxa"/>
            <w:gridSpan w:val="5"/>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77</w:t>
            </w:r>
          </w:p>
        </w:tc>
        <w:tc>
          <w:tcPr>
            <w:tcW w:w="426"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78</w:t>
            </w:r>
          </w:p>
        </w:tc>
        <w:tc>
          <w:tcPr>
            <w:tcW w:w="567" w:type="dxa"/>
            <w:gridSpan w:val="4"/>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79</w:t>
            </w:r>
          </w:p>
        </w:tc>
        <w:tc>
          <w:tcPr>
            <w:tcW w:w="425"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80</w:t>
            </w:r>
          </w:p>
        </w:tc>
        <w:tc>
          <w:tcPr>
            <w:tcW w:w="709" w:type="dxa"/>
            <w:gridSpan w:val="5"/>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81</w:t>
            </w:r>
          </w:p>
        </w:tc>
        <w:tc>
          <w:tcPr>
            <w:tcW w:w="425"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82</w:t>
            </w:r>
          </w:p>
        </w:tc>
        <w:tc>
          <w:tcPr>
            <w:tcW w:w="42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83</w:t>
            </w:r>
          </w:p>
        </w:tc>
        <w:tc>
          <w:tcPr>
            <w:tcW w:w="425"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84</w:t>
            </w:r>
          </w:p>
        </w:tc>
        <w:tc>
          <w:tcPr>
            <w:tcW w:w="709" w:type="dxa"/>
            <w:gridSpan w:val="4"/>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85</w:t>
            </w:r>
          </w:p>
        </w:tc>
        <w:tc>
          <w:tcPr>
            <w:tcW w:w="425"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86</w:t>
            </w:r>
          </w:p>
        </w:tc>
        <w:tc>
          <w:tcPr>
            <w:tcW w:w="567"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87</w:t>
            </w:r>
          </w:p>
        </w:tc>
        <w:tc>
          <w:tcPr>
            <w:tcW w:w="567"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88</w:t>
            </w:r>
          </w:p>
        </w:tc>
        <w:tc>
          <w:tcPr>
            <w:tcW w:w="567"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89</w:t>
            </w:r>
          </w:p>
        </w:tc>
        <w:tc>
          <w:tcPr>
            <w:tcW w:w="567"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90</w:t>
            </w:r>
          </w:p>
        </w:tc>
        <w:tc>
          <w:tcPr>
            <w:tcW w:w="728" w:type="dxa"/>
            <w:gridSpan w:val="5"/>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91</w:t>
            </w:r>
          </w:p>
        </w:tc>
      </w:tr>
      <w:tr>
        <w:tblPrEx>
          <w:tblCellMar>
            <w:top w:w="0" w:type="dxa"/>
            <w:left w:w="108" w:type="dxa"/>
            <w:bottom w:w="0" w:type="dxa"/>
            <w:right w:w="108" w:type="dxa"/>
          </w:tblCellMar>
        </w:tblPrEx>
        <w:trPr>
          <w:gridBefore w:val="1"/>
          <w:wBefore w:w="93" w:type="dxa"/>
          <w:trHeight w:val="338" w:hRule="atLeast"/>
        </w:trPr>
        <w:tc>
          <w:tcPr>
            <w:tcW w:w="43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1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8"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19"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20.65</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20.65</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28"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Before w:val="1"/>
          <w:wBefore w:w="93" w:type="dxa"/>
          <w:trHeight w:val="338" w:hRule="atLeast"/>
        </w:trPr>
        <w:tc>
          <w:tcPr>
            <w:tcW w:w="43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1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8"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19"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20.65</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20.65</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28"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Before w:val="1"/>
          <w:wBefore w:w="93" w:type="dxa"/>
          <w:trHeight w:val="338" w:hRule="atLeast"/>
        </w:trPr>
        <w:tc>
          <w:tcPr>
            <w:tcW w:w="43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1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8"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19"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20.65</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20.65</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28"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Before w:val="1"/>
          <w:wBefore w:w="93" w:type="dxa"/>
          <w:trHeight w:val="338" w:hRule="atLeast"/>
        </w:trPr>
        <w:tc>
          <w:tcPr>
            <w:tcW w:w="43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1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8"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19"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20.65</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20.65</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28"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Before w:val="1"/>
          <w:wBefore w:w="93" w:type="dxa"/>
          <w:trHeight w:val="338" w:hRule="atLeast"/>
        </w:trPr>
        <w:tc>
          <w:tcPr>
            <w:tcW w:w="43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1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8"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19"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28"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Before w:val="1"/>
          <w:wBefore w:w="93" w:type="dxa"/>
          <w:trHeight w:val="338" w:hRule="atLeast"/>
        </w:trPr>
        <w:tc>
          <w:tcPr>
            <w:tcW w:w="43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1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8"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19"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28"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Before w:val="1"/>
          <w:wBefore w:w="93" w:type="dxa"/>
          <w:trHeight w:val="338" w:hRule="atLeast"/>
        </w:trPr>
        <w:tc>
          <w:tcPr>
            <w:tcW w:w="43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1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8"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19"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28"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Before w:val="1"/>
          <w:wBefore w:w="93" w:type="dxa"/>
          <w:trHeight w:val="338" w:hRule="atLeast"/>
        </w:trPr>
        <w:tc>
          <w:tcPr>
            <w:tcW w:w="43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1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8"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19"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28"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Before w:val="1"/>
          <w:wBefore w:w="93" w:type="dxa"/>
          <w:trHeight w:val="338" w:hRule="atLeast"/>
        </w:trPr>
        <w:tc>
          <w:tcPr>
            <w:tcW w:w="43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1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8"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19"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28"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Before w:val="1"/>
          <w:wBefore w:w="93" w:type="dxa"/>
          <w:trHeight w:val="338" w:hRule="atLeast"/>
        </w:trPr>
        <w:tc>
          <w:tcPr>
            <w:tcW w:w="43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1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8"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19"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28"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Before w:val="1"/>
          <w:wBefore w:w="93" w:type="dxa"/>
          <w:trHeight w:val="338" w:hRule="atLeast"/>
        </w:trPr>
        <w:tc>
          <w:tcPr>
            <w:tcW w:w="43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1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8"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19"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28"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Before w:val="1"/>
          <w:wBefore w:w="93" w:type="dxa"/>
          <w:trHeight w:val="338" w:hRule="atLeast"/>
        </w:trPr>
        <w:tc>
          <w:tcPr>
            <w:tcW w:w="43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1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8"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19"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28"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Before w:val="1"/>
          <w:wBefore w:w="93" w:type="dxa"/>
          <w:trHeight w:val="338" w:hRule="atLeast"/>
        </w:trPr>
        <w:tc>
          <w:tcPr>
            <w:tcW w:w="43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1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8"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19"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28"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Before w:val="1"/>
          <w:wBefore w:w="93" w:type="dxa"/>
          <w:trHeight w:val="338" w:hRule="atLeast"/>
        </w:trPr>
        <w:tc>
          <w:tcPr>
            <w:tcW w:w="43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1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8"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19"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28"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93" w:type="dxa"/>
          <w:trHeight w:val="240" w:hRule="atLeast"/>
        </w:trPr>
        <w:tc>
          <w:tcPr>
            <w:tcW w:w="437"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710"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853" w:type="dxa"/>
            <w:gridSpan w:val="6"/>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64" w:type="dxa"/>
            <w:gridSpan w:val="5"/>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70" w:type="dxa"/>
            <w:gridSpan w:val="4"/>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992" w:type="dxa"/>
            <w:gridSpan w:val="8"/>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25"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919" w:type="dxa"/>
            <w:gridSpan w:val="8"/>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236"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887" w:type="dxa"/>
            <w:gridSpan w:val="9"/>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060" w:type="dxa"/>
            <w:gridSpan w:val="7"/>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060" w:type="dxa"/>
            <w:gridSpan w:val="6"/>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236"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884" w:type="dxa"/>
            <w:gridSpan w:val="10"/>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060" w:type="dxa"/>
            <w:gridSpan w:val="6"/>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060" w:type="dxa"/>
            <w:gridSpan w:val="7"/>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060" w:type="dxa"/>
            <w:gridSpan w:val="4"/>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236"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236"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gridAfter w:val="1"/>
          <w:wAfter w:w="93" w:type="dxa"/>
          <w:trHeight w:val="240" w:hRule="atLeast"/>
        </w:trPr>
        <w:tc>
          <w:tcPr>
            <w:tcW w:w="437"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710" w:type="dxa"/>
            <w:gridSpan w:val="3"/>
            <w:tcBorders>
              <w:top w:val="nil"/>
              <w:left w:val="nil"/>
              <w:bottom w:val="nil"/>
              <w:right w:val="nil"/>
            </w:tcBorders>
            <w:shd w:val="clear" w:color="auto" w:fill="auto"/>
            <w:noWrap/>
            <w:vAlign w:val="bottom"/>
          </w:tcPr>
          <w:p>
            <w:pPr>
              <w:widowControl/>
              <w:jc w:val="left"/>
            </w:pPr>
          </w:p>
          <w:p>
            <w:pPr>
              <w:pStyle w:val="2"/>
              <w:spacing w:before="72"/>
              <w:rPr>
                <w:rFonts w:ascii="Arial" w:hAnsi="Arial" w:cs="Arial"/>
                <w:color w:val="000000"/>
                <w:sz w:val="18"/>
                <w:szCs w:val="18"/>
              </w:rPr>
            </w:pPr>
          </w:p>
          <w:p>
            <w:pPr>
              <w:pStyle w:val="2"/>
              <w:spacing w:before="72"/>
              <w:rPr>
                <w:rFonts w:ascii="Arial" w:hAnsi="Arial" w:cs="Arial"/>
                <w:color w:val="000000"/>
                <w:sz w:val="18"/>
                <w:szCs w:val="18"/>
              </w:rPr>
            </w:pPr>
          </w:p>
        </w:tc>
        <w:tc>
          <w:tcPr>
            <w:tcW w:w="853" w:type="dxa"/>
            <w:gridSpan w:val="6"/>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64" w:type="dxa"/>
            <w:gridSpan w:val="5"/>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70" w:type="dxa"/>
            <w:gridSpan w:val="4"/>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992" w:type="dxa"/>
            <w:gridSpan w:val="8"/>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p>
            <w:pPr>
              <w:pStyle w:val="2"/>
              <w:spacing w:before="72"/>
            </w:pPr>
          </w:p>
        </w:tc>
        <w:tc>
          <w:tcPr>
            <w:tcW w:w="425"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919" w:type="dxa"/>
            <w:gridSpan w:val="8"/>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236"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887" w:type="dxa"/>
            <w:gridSpan w:val="9"/>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060" w:type="dxa"/>
            <w:gridSpan w:val="7"/>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060" w:type="dxa"/>
            <w:gridSpan w:val="6"/>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236"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884" w:type="dxa"/>
            <w:gridSpan w:val="10"/>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060" w:type="dxa"/>
            <w:gridSpan w:val="6"/>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060" w:type="dxa"/>
            <w:gridSpan w:val="7"/>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060" w:type="dxa"/>
            <w:gridSpan w:val="4"/>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236"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236"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gridAfter w:val="3"/>
          <w:wAfter w:w="444" w:type="dxa"/>
          <w:trHeight w:val="308" w:hRule="atLeast"/>
        </w:trPr>
        <w:tc>
          <w:tcPr>
            <w:tcW w:w="2283" w:type="dxa"/>
            <w:gridSpan w:val="14"/>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对企业给予补助（基本建设）</w:t>
            </w:r>
          </w:p>
        </w:tc>
        <w:tc>
          <w:tcPr>
            <w:tcW w:w="3686" w:type="dxa"/>
            <w:gridSpan w:val="28"/>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对企业给予补助</w:t>
            </w:r>
          </w:p>
        </w:tc>
        <w:tc>
          <w:tcPr>
            <w:tcW w:w="3808" w:type="dxa"/>
            <w:gridSpan w:val="21"/>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对社会保障基金给予补助</w:t>
            </w:r>
          </w:p>
        </w:tc>
        <w:tc>
          <w:tcPr>
            <w:tcW w:w="5264" w:type="dxa"/>
            <w:gridSpan w:val="30"/>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其他支出</w:t>
            </w:r>
          </w:p>
        </w:tc>
      </w:tr>
      <w:tr>
        <w:tblPrEx>
          <w:tblCellMar>
            <w:top w:w="0" w:type="dxa"/>
            <w:left w:w="108" w:type="dxa"/>
            <w:bottom w:w="0" w:type="dxa"/>
            <w:right w:w="108" w:type="dxa"/>
          </w:tblCellMar>
        </w:tblPrEx>
        <w:trPr>
          <w:gridAfter w:val="3"/>
          <w:wAfter w:w="444" w:type="dxa"/>
          <w:trHeight w:val="312" w:hRule="atLeast"/>
        </w:trPr>
        <w:tc>
          <w:tcPr>
            <w:tcW w:w="462"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小计</w:t>
            </w:r>
          </w:p>
        </w:tc>
        <w:tc>
          <w:tcPr>
            <w:tcW w:w="901" w:type="dxa"/>
            <w:gridSpan w:val="4"/>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资本金注入</w:t>
            </w:r>
          </w:p>
        </w:tc>
        <w:tc>
          <w:tcPr>
            <w:tcW w:w="920" w:type="dxa"/>
            <w:gridSpan w:val="7"/>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其他对企业补助</w:t>
            </w:r>
          </w:p>
        </w:tc>
        <w:tc>
          <w:tcPr>
            <w:tcW w:w="433" w:type="dxa"/>
            <w:gridSpan w:val="4"/>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小计</w:t>
            </w:r>
          </w:p>
        </w:tc>
        <w:tc>
          <w:tcPr>
            <w:tcW w:w="604" w:type="dxa"/>
            <w:gridSpan w:val="4"/>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资本金注入</w:t>
            </w:r>
          </w:p>
        </w:tc>
        <w:tc>
          <w:tcPr>
            <w:tcW w:w="806" w:type="dxa"/>
            <w:gridSpan w:val="6"/>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政府投资基金股权投资</w:t>
            </w:r>
          </w:p>
        </w:tc>
        <w:tc>
          <w:tcPr>
            <w:tcW w:w="546" w:type="dxa"/>
            <w:gridSpan w:val="5"/>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费用补贴</w:t>
            </w:r>
          </w:p>
        </w:tc>
        <w:tc>
          <w:tcPr>
            <w:tcW w:w="588"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利息补贴</w:t>
            </w:r>
          </w:p>
        </w:tc>
        <w:tc>
          <w:tcPr>
            <w:tcW w:w="709" w:type="dxa"/>
            <w:gridSpan w:val="6"/>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其他对企业提供补助</w:t>
            </w:r>
          </w:p>
        </w:tc>
        <w:tc>
          <w:tcPr>
            <w:tcW w:w="654"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小计</w:t>
            </w:r>
          </w:p>
        </w:tc>
        <w:tc>
          <w:tcPr>
            <w:tcW w:w="1052" w:type="dxa"/>
            <w:gridSpan w:val="6"/>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对社会保险基金补助</w:t>
            </w:r>
          </w:p>
        </w:tc>
        <w:tc>
          <w:tcPr>
            <w:tcW w:w="1051" w:type="dxa"/>
            <w:gridSpan w:val="6"/>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补充全国社会保障基金</w:t>
            </w:r>
          </w:p>
        </w:tc>
        <w:tc>
          <w:tcPr>
            <w:tcW w:w="1051" w:type="dxa"/>
            <w:gridSpan w:val="6"/>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对机关事业单位职业年金的补助</w:t>
            </w:r>
          </w:p>
        </w:tc>
        <w:tc>
          <w:tcPr>
            <w:tcW w:w="751" w:type="dxa"/>
            <w:gridSpan w:val="5"/>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小计</w:t>
            </w:r>
          </w:p>
        </w:tc>
        <w:tc>
          <w:tcPr>
            <w:tcW w:w="901" w:type="dxa"/>
            <w:gridSpan w:val="4"/>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国家赔偿费用支出</w:t>
            </w:r>
          </w:p>
        </w:tc>
        <w:tc>
          <w:tcPr>
            <w:tcW w:w="1052" w:type="dxa"/>
            <w:gridSpan w:val="7"/>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对民间非营利性组织和群众性自治组织给予补贴</w:t>
            </w:r>
          </w:p>
        </w:tc>
        <w:tc>
          <w:tcPr>
            <w:tcW w:w="1201" w:type="dxa"/>
            <w:gridSpan w:val="6"/>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经常性赠与</w:t>
            </w:r>
          </w:p>
        </w:tc>
        <w:tc>
          <w:tcPr>
            <w:tcW w:w="901" w:type="dxa"/>
            <w:gridSpan w:val="5"/>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资本性赠与</w:t>
            </w:r>
          </w:p>
        </w:tc>
        <w:tc>
          <w:tcPr>
            <w:tcW w:w="458"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其他支出</w:t>
            </w:r>
          </w:p>
        </w:tc>
      </w:tr>
      <w:tr>
        <w:tblPrEx>
          <w:tblCellMar>
            <w:top w:w="0" w:type="dxa"/>
            <w:left w:w="108" w:type="dxa"/>
            <w:bottom w:w="0" w:type="dxa"/>
            <w:right w:w="108" w:type="dxa"/>
          </w:tblCellMar>
        </w:tblPrEx>
        <w:trPr>
          <w:gridAfter w:val="3"/>
          <w:wAfter w:w="444" w:type="dxa"/>
          <w:trHeight w:val="312" w:hRule="atLeast"/>
        </w:trPr>
        <w:tc>
          <w:tcPr>
            <w:tcW w:w="462"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901"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920" w:type="dxa"/>
            <w:gridSpan w:val="7"/>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33"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04"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806" w:type="dxa"/>
            <w:gridSpan w:val="6"/>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46" w:type="dxa"/>
            <w:gridSpan w:val="5"/>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88"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9" w:type="dxa"/>
            <w:gridSpan w:val="6"/>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54"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52" w:type="dxa"/>
            <w:gridSpan w:val="6"/>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51" w:type="dxa"/>
            <w:gridSpan w:val="6"/>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51" w:type="dxa"/>
            <w:gridSpan w:val="6"/>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51" w:type="dxa"/>
            <w:gridSpan w:val="5"/>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901"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52" w:type="dxa"/>
            <w:gridSpan w:val="7"/>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201" w:type="dxa"/>
            <w:gridSpan w:val="6"/>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901" w:type="dxa"/>
            <w:gridSpan w:val="5"/>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58"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gridAfter w:val="3"/>
          <w:wAfter w:w="444" w:type="dxa"/>
          <w:trHeight w:val="312" w:hRule="atLeast"/>
        </w:trPr>
        <w:tc>
          <w:tcPr>
            <w:tcW w:w="462"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901"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920" w:type="dxa"/>
            <w:gridSpan w:val="7"/>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33"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04"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806" w:type="dxa"/>
            <w:gridSpan w:val="6"/>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46" w:type="dxa"/>
            <w:gridSpan w:val="5"/>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88"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9" w:type="dxa"/>
            <w:gridSpan w:val="6"/>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54"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52" w:type="dxa"/>
            <w:gridSpan w:val="6"/>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51" w:type="dxa"/>
            <w:gridSpan w:val="6"/>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51" w:type="dxa"/>
            <w:gridSpan w:val="6"/>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51" w:type="dxa"/>
            <w:gridSpan w:val="5"/>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901"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52" w:type="dxa"/>
            <w:gridSpan w:val="7"/>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201" w:type="dxa"/>
            <w:gridSpan w:val="6"/>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901" w:type="dxa"/>
            <w:gridSpan w:val="5"/>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58"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gridAfter w:val="3"/>
          <w:wAfter w:w="444" w:type="dxa"/>
          <w:trHeight w:val="308" w:hRule="atLeast"/>
        </w:trPr>
        <w:tc>
          <w:tcPr>
            <w:tcW w:w="462"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92</w:t>
            </w:r>
          </w:p>
        </w:tc>
        <w:tc>
          <w:tcPr>
            <w:tcW w:w="901" w:type="dxa"/>
            <w:gridSpan w:val="4"/>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93</w:t>
            </w:r>
          </w:p>
        </w:tc>
        <w:tc>
          <w:tcPr>
            <w:tcW w:w="920" w:type="dxa"/>
            <w:gridSpan w:val="7"/>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94</w:t>
            </w:r>
          </w:p>
        </w:tc>
        <w:tc>
          <w:tcPr>
            <w:tcW w:w="433" w:type="dxa"/>
            <w:gridSpan w:val="4"/>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95</w:t>
            </w:r>
          </w:p>
        </w:tc>
        <w:tc>
          <w:tcPr>
            <w:tcW w:w="604" w:type="dxa"/>
            <w:gridSpan w:val="4"/>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96</w:t>
            </w:r>
          </w:p>
        </w:tc>
        <w:tc>
          <w:tcPr>
            <w:tcW w:w="806" w:type="dxa"/>
            <w:gridSpan w:val="6"/>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97</w:t>
            </w:r>
          </w:p>
        </w:tc>
        <w:tc>
          <w:tcPr>
            <w:tcW w:w="546" w:type="dxa"/>
            <w:gridSpan w:val="5"/>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98</w:t>
            </w:r>
          </w:p>
        </w:tc>
        <w:tc>
          <w:tcPr>
            <w:tcW w:w="588"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99</w:t>
            </w:r>
          </w:p>
        </w:tc>
        <w:tc>
          <w:tcPr>
            <w:tcW w:w="709" w:type="dxa"/>
            <w:gridSpan w:val="6"/>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100</w:t>
            </w:r>
          </w:p>
        </w:tc>
        <w:tc>
          <w:tcPr>
            <w:tcW w:w="654"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101</w:t>
            </w:r>
          </w:p>
        </w:tc>
        <w:tc>
          <w:tcPr>
            <w:tcW w:w="1052" w:type="dxa"/>
            <w:gridSpan w:val="6"/>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102</w:t>
            </w:r>
          </w:p>
        </w:tc>
        <w:tc>
          <w:tcPr>
            <w:tcW w:w="1051" w:type="dxa"/>
            <w:gridSpan w:val="6"/>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103</w:t>
            </w:r>
          </w:p>
        </w:tc>
        <w:tc>
          <w:tcPr>
            <w:tcW w:w="1051" w:type="dxa"/>
            <w:gridSpan w:val="6"/>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104</w:t>
            </w:r>
          </w:p>
        </w:tc>
        <w:tc>
          <w:tcPr>
            <w:tcW w:w="751" w:type="dxa"/>
            <w:gridSpan w:val="5"/>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105</w:t>
            </w:r>
          </w:p>
        </w:tc>
        <w:tc>
          <w:tcPr>
            <w:tcW w:w="901" w:type="dxa"/>
            <w:gridSpan w:val="4"/>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106</w:t>
            </w:r>
          </w:p>
        </w:tc>
        <w:tc>
          <w:tcPr>
            <w:tcW w:w="1052" w:type="dxa"/>
            <w:gridSpan w:val="7"/>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107</w:t>
            </w:r>
          </w:p>
        </w:tc>
        <w:tc>
          <w:tcPr>
            <w:tcW w:w="1201" w:type="dxa"/>
            <w:gridSpan w:val="6"/>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108</w:t>
            </w:r>
          </w:p>
        </w:tc>
        <w:tc>
          <w:tcPr>
            <w:tcW w:w="901" w:type="dxa"/>
            <w:gridSpan w:val="5"/>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109</w:t>
            </w:r>
          </w:p>
        </w:tc>
        <w:tc>
          <w:tcPr>
            <w:tcW w:w="458"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110</w:t>
            </w:r>
          </w:p>
        </w:tc>
      </w:tr>
      <w:tr>
        <w:tblPrEx>
          <w:tblCellMar>
            <w:top w:w="0" w:type="dxa"/>
            <w:left w:w="108" w:type="dxa"/>
            <w:bottom w:w="0" w:type="dxa"/>
            <w:right w:w="108" w:type="dxa"/>
          </w:tblCellMar>
        </w:tblPrEx>
        <w:trPr>
          <w:gridAfter w:val="3"/>
          <w:wAfter w:w="444" w:type="dxa"/>
          <w:trHeight w:val="338" w:hRule="atLeast"/>
        </w:trPr>
        <w:tc>
          <w:tcPr>
            <w:tcW w:w="462"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20"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3"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04"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06"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46"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8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5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2"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1"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2"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5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3"/>
          <w:wAfter w:w="444" w:type="dxa"/>
          <w:trHeight w:val="338" w:hRule="atLeast"/>
        </w:trPr>
        <w:tc>
          <w:tcPr>
            <w:tcW w:w="462"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20"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3"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04"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06"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46"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8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5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2"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1"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2"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5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3"/>
          <w:wAfter w:w="444" w:type="dxa"/>
          <w:trHeight w:val="338" w:hRule="atLeast"/>
        </w:trPr>
        <w:tc>
          <w:tcPr>
            <w:tcW w:w="462"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20"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3"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04"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06"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46"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8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5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2"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1"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2"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5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3"/>
          <w:wAfter w:w="444" w:type="dxa"/>
          <w:trHeight w:val="338" w:hRule="atLeast"/>
        </w:trPr>
        <w:tc>
          <w:tcPr>
            <w:tcW w:w="462"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20"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3"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04"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06"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46"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8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5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2"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1"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2"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5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3"/>
          <w:wAfter w:w="444" w:type="dxa"/>
          <w:trHeight w:val="338" w:hRule="atLeast"/>
        </w:trPr>
        <w:tc>
          <w:tcPr>
            <w:tcW w:w="462"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20"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3"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04"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06"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46"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8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5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2"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1"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2"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5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3"/>
          <w:wAfter w:w="444" w:type="dxa"/>
          <w:trHeight w:val="338" w:hRule="atLeast"/>
        </w:trPr>
        <w:tc>
          <w:tcPr>
            <w:tcW w:w="462"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20"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3"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04"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06"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46"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8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5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2"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1"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2"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5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3"/>
          <w:wAfter w:w="444" w:type="dxa"/>
          <w:trHeight w:val="338" w:hRule="atLeast"/>
        </w:trPr>
        <w:tc>
          <w:tcPr>
            <w:tcW w:w="462"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20"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3"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04"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06"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46"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8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5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2"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1"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2"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5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3"/>
          <w:wAfter w:w="444" w:type="dxa"/>
          <w:trHeight w:val="338" w:hRule="atLeast"/>
        </w:trPr>
        <w:tc>
          <w:tcPr>
            <w:tcW w:w="462"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20"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3"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04"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06"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46"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8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5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2"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1"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2"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5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3"/>
          <w:wAfter w:w="444" w:type="dxa"/>
          <w:trHeight w:val="338" w:hRule="atLeast"/>
        </w:trPr>
        <w:tc>
          <w:tcPr>
            <w:tcW w:w="462"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20"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3"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04"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06"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46"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8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5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2"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1"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2"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5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3"/>
          <w:wAfter w:w="444" w:type="dxa"/>
          <w:trHeight w:val="338" w:hRule="atLeast"/>
        </w:trPr>
        <w:tc>
          <w:tcPr>
            <w:tcW w:w="462"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20"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3"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04"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06"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46"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8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5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2"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1"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2"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5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3"/>
          <w:wAfter w:w="444" w:type="dxa"/>
          <w:trHeight w:val="338" w:hRule="atLeast"/>
        </w:trPr>
        <w:tc>
          <w:tcPr>
            <w:tcW w:w="462"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20"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3"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04"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06"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46"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8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5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2"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1"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2"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5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3"/>
          <w:wAfter w:w="444" w:type="dxa"/>
          <w:trHeight w:val="338" w:hRule="atLeast"/>
        </w:trPr>
        <w:tc>
          <w:tcPr>
            <w:tcW w:w="462"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20"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3"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04"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06"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46"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8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5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2"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1"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2"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5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3"/>
          <w:wAfter w:w="444" w:type="dxa"/>
          <w:trHeight w:val="338" w:hRule="atLeast"/>
        </w:trPr>
        <w:tc>
          <w:tcPr>
            <w:tcW w:w="462"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20"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3"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04"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06"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46"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8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5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2"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1"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2"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5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3"/>
          <w:wAfter w:w="444" w:type="dxa"/>
          <w:trHeight w:val="338" w:hRule="atLeast"/>
        </w:trPr>
        <w:tc>
          <w:tcPr>
            <w:tcW w:w="462"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20"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3"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04"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06"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46"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8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54"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2"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51"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2"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01"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01"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58"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bl>
    <w:p>
      <w:pPr>
        <w:pStyle w:val="2"/>
        <w:spacing w:before="72"/>
      </w:pPr>
    </w:p>
    <w:p>
      <w:pPr>
        <w:pStyle w:val="2"/>
        <w:spacing w:before="72"/>
      </w:pPr>
    </w:p>
    <w:p>
      <w:pPr>
        <w:pStyle w:val="2"/>
        <w:spacing w:before="72"/>
      </w:pPr>
    </w:p>
    <w:p>
      <w:pPr>
        <w:pStyle w:val="4"/>
        <w:spacing w:before="0" w:after="0" w:line="578" w:lineRule="exact"/>
        <w:jc w:val="center"/>
        <w:rPr>
          <w:rStyle w:val="28"/>
          <w:rFonts w:ascii="Times New Roman" w:hAnsi="Times New Roman" w:eastAsia="方正黑体_GBK"/>
          <w:b w:val="0"/>
          <w:bCs w:val="0"/>
        </w:rPr>
      </w:pPr>
      <w:r>
        <w:rPr>
          <w:rFonts w:ascii="Times New Roman" w:hAnsi="Times New Roman" w:eastAsia="方正黑体_GBK" w:cs="Times New Roman"/>
          <w:b w:val="0"/>
        </w:rPr>
        <w:t>八、一</w:t>
      </w:r>
      <w:r>
        <w:rPr>
          <w:rStyle w:val="28"/>
          <w:rFonts w:ascii="Times New Roman" w:hAnsi="Times New Roman" w:eastAsia="方正黑体_GBK" w:cs="Times New Roman"/>
          <w:b/>
          <w:bCs/>
        </w:rPr>
        <w:t>般公共预算财政拨款基本支出决算表</w:t>
      </w:r>
    </w:p>
    <w:tbl>
      <w:tblPr>
        <w:tblStyle w:val="14"/>
        <w:tblW w:w="14250" w:type="dxa"/>
        <w:tblInd w:w="93" w:type="dxa"/>
        <w:tblLayout w:type="autofit"/>
        <w:tblCellMar>
          <w:top w:w="0" w:type="dxa"/>
          <w:left w:w="108" w:type="dxa"/>
          <w:bottom w:w="0" w:type="dxa"/>
          <w:right w:w="108" w:type="dxa"/>
        </w:tblCellMar>
      </w:tblPr>
      <w:tblGrid>
        <w:gridCol w:w="740"/>
        <w:gridCol w:w="2860"/>
        <w:gridCol w:w="101"/>
        <w:gridCol w:w="1059"/>
        <w:gridCol w:w="740"/>
        <w:gridCol w:w="1980"/>
        <w:gridCol w:w="190"/>
        <w:gridCol w:w="810"/>
        <w:gridCol w:w="740"/>
        <w:gridCol w:w="3740"/>
        <w:gridCol w:w="1290"/>
      </w:tblGrid>
      <w:tr>
        <w:tblPrEx>
          <w:tblCellMar>
            <w:top w:w="0" w:type="dxa"/>
            <w:left w:w="108" w:type="dxa"/>
            <w:bottom w:w="0" w:type="dxa"/>
            <w:right w:w="108" w:type="dxa"/>
          </w:tblCellMar>
        </w:tblPrEx>
        <w:trPr>
          <w:trHeight w:val="240" w:hRule="atLeast"/>
        </w:trPr>
        <w:tc>
          <w:tcPr>
            <w:tcW w:w="7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28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160"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7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9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000"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7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37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29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公开08表</w:t>
            </w:r>
          </w:p>
        </w:tc>
      </w:tr>
      <w:tr>
        <w:tblPrEx>
          <w:tblCellMar>
            <w:top w:w="0" w:type="dxa"/>
            <w:left w:w="108" w:type="dxa"/>
            <w:bottom w:w="0" w:type="dxa"/>
            <w:right w:w="108" w:type="dxa"/>
          </w:tblCellMar>
        </w:tblPrEx>
        <w:trPr>
          <w:trHeight w:val="240" w:hRule="atLeast"/>
        </w:trPr>
        <w:tc>
          <w:tcPr>
            <w:tcW w:w="3600" w:type="dxa"/>
            <w:gridSpan w:val="2"/>
            <w:tcBorders>
              <w:top w:val="nil"/>
              <w:left w:val="nil"/>
              <w:bottom w:val="nil"/>
              <w:right w:val="nil"/>
            </w:tcBorders>
            <w:shd w:val="clear" w:color="auto" w:fill="auto"/>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部门：达州市达川区实验小学</w:t>
            </w:r>
          </w:p>
        </w:tc>
        <w:tc>
          <w:tcPr>
            <w:tcW w:w="1160"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7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9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000"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7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37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29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4760"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人员经费</w:t>
            </w:r>
          </w:p>
        </w:tc>
        <w:tc>
          <w:tcPr>
            <w:tcW w:w="9490" w:type="dxa"/>
            <w:gridSpan w:val="7"/>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公用经费</w:t>
            </w:r>
          </w:p>
        </w:tc>
      </w:tr>
      <w:tr>
        <w:tblPrEx>
          <w:tblCellMar>
            <w:top w:w="0" w:type="dxa"/>
            <w:left w:w="108" w:type="dxa"/>
            <w:bottom w:w="0" w:type="dxa"/>
            <w:right w:w="108" w:type="dxa"/>
          </w:tblCellMar>
        </w:tblPrEx>
        <w:trPr>
          <w:trHeight w:val="312" w:hRule="atLeast"/>
        </w:trPr>
        <w:tc>
          <w:tcPr>
            <w:tcW w:w="740"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科目代码</w:t>
            </w:r>
          </w:p>
        </w:tc>
        <w:tc>
          <w:tcPr>
            <w:tcW w:w="2961"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科目名称</w:t>
            </w:r>
          </w:p>
        </w:tc>
        <w:tc>
          <w:tcPr>
            <w:tcW w:w="1059"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74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科目代码</w:t>
            </w:r>
          </w:p>
        </w:tc>
        <w:tc>
          <w:tcPr>
            <w:tcW w:w="2170"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科目名称</w:t>
            </w:r>
          </w:p>
        </w:tc>
        <w:tc>
          <w:tcPr>
            <w:tcW w:w="81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74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科目代码</w:t>
            </w:r>
          </w:p>
        </w:tc>
        <w:tc>
          <w:tcPr>
            <w:tcW w:w="374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科目名称</w:t>
            </w:r>
          </w:p>
        </w:tc>
        <w:tc>
          <w:tcPr>
            <w:tcW w:w="129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312" w:hRule="atLeast"/>
        </w:trPr>
        <w:tc>
          <w:tcPr>
            <w:tcW w:w="74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961"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5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17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81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7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29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210" w:hRule="atLeast"/>
        </w:trPr>
        <w:tc>
          <w:tcPr>
            <w:tcW w:w="7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w:t>
            </w:r>
          </w:p>
        </w:tc>
        <w:tc>
          <w:tcPr>
            <w:tcW w:w="296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工资福利支出</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1,868.93</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w:t>
            </w:r>
          </w:p>
        </w:tc>
        <w:tc>
          <w:tcPr>
            <w:tcW w:w="217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商品和服务支出</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287.29</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307</w:t>
            </w:r>
          </w:p>
        </w:tc>
        <w:tc>
          <w:tcPr>
            <w:tcW w:w="3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债务利息及费用支出</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10" w:hRule="atLeast"/>
        </w:trPr>
        <w:tc>
          <w:tcPr>
            <w:tcW w:w="7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30101</w:t>
            </w:r>
          </w:p>
        </w:tc>
        <w:tc>
          <w:tcPr>
            <w:tcW w:w="296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基本工资</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730.19</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30201</w:t>
            </w:r>
          </w:p>
        </w:tc>
        <w:tc>
          <w:tcPr>
            <w:tcW w:w="217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办公费</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20.00</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30701</w:t>
            </w:r>
          </w:p>
        </w:tc>
        <w:tc>
          <w:tcPr>
            <w:tcW w:w="3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国内债务付息</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10" w:hRule="atLeast"/>
        </w:trPr>
        <w:tc>
          <w:tcPr>
            <w:tcW w:w="7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30102</w:t>
            </w:r>
          </w:p>
        </w:tc>
        <w:tc>
          <w:tcPr>
            <w:tcW w:w="296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津贴补贴</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19.01</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30202</w:t>
            </w:r>
          </w:p>
        </w:tc>
        <w:tc>
          <w:tcPr>
            <w:tcW w:w="217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印刷费</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30702</w:t>
            </w:r>
          </w:p>
        </w:tc>
        <w:tc>
          <w:tcPr>
            <w:tcW w:w="3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国外债务付息</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10" w:hRule="atLeast"/>
        </w:trPr>
        <w:tc>
          <w:tcPr>
            <w:tcW w:w="7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30103</w:t>
            </w:r>
          </w:p>
        </w:tc>
        <w:tc>
          <w:tcPr>
            <w:tcW w:w="296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奖金</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331.83</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30203</w:t>
            </w:r>
          </w:p>
        </w:tc>
        <w:tc>
          <w:tcPr>
            <w:tcW w:w="217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咨询费</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w:t>
            </w:r>
          </w:p>
        </w:tc>
        <w:tc>
          <w:tcPr>
            <w:tcW w:w="3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资本性支出</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20.65</w:t>
            </w:r>
          </w:p>
        </w:tc>
      </w:tr>
      <w:tr>
        <w:tblPrEx>
          <w:tblCellMar>
            <w:top w:w="0" w:type="dxa"/>
            <w:left w:w="108" w:type="dxa"/>
            <w:bottom w:w="0" w:type="dxa"/>
            <w:right w:w="108" w:type="dxa"/>
          </w:tblCellMar>
        </w:tblPrEx>
        <w:trPr>
          <w:trHeight w:val="210" w:hRule="atLeast"/>
        </w:trPr>
        <w:tc>
          <w:tcPr>
            <w:tcW w:w="7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30106</w:t>
            </w:r>
          </w:p>
        </w:tc>
        <w:tc>
          <w:tcPr>
            <w:tcW w:w="296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伙食补助费</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30204</w:t>
            </w:r>
          </w:p>
        </w:tc>
        <w:tc>
          <w:tcPr>
            <w:tcW w:w="217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手续费</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31001</w:t>
            </w:r>
          </w:p>
        </w:tc>
        <w:tc>
          <w:tcPr>
            <w:tcW w:w="3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房屋建筑物购建</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10" w:hRule="atLeast"/>
        </w:trPr>
        <w:tc>
          <w:tcPr>
            <w:tcW w:w="7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30107</w:t>
            </w:r>
          </w:p>
        </w:tc>
        <w:tc>
          <w:tcPr>
            <w:tcW w:w="296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绩效工资</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396.26</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30205</w:t>
            </w:r>
          </w:p>
        </w:tc>
        <w:tc>
          <w:tcPr>
            <w:tcW w:w="217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水费</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31002</w:t>
            </w:r>
          </w:p>
        </w:tc>
        <w:tc>
          <w:tcPr>
            <w:tcW w:w="3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办公设备购置</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20.65</w:t>
            </w:r>
          </w:p>
        </w:tc>
      </w:tr>
      <w:tr>
        <w:tblPrEx>
          <w:tblCellMar>
            <w:top w:w="0" w:type="dxa"/>
            <w:left w:w="108" w:type="dxa"/>
            <w:bottom w:w="0" w:type="dxa"/>
            <w:right w:w="108" w:type="dxa"/>
          </w:tblCellMar>
        </w:tblPrEx>
        <w:trPr>
          <w:trHeight w:val="210" w:hRule="atLeast"/>
        </w:trPr>
        <w:tc>
          <w:tcPr>
            <w:tcW w:w="7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30108</w:t>
            </w:r>
          </w:p>
        </w:tc>
        <w:tc>
          <w:tcPr>
            <w:tcW w:w="296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机关事业单位基本养老保险缴费</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173.58</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30206</w:t>
            </w:r>
          </w:p>
        </w:tc>
        <w:tc>
          <w:tcPr>
            <w:tcW w:w="217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电费</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25.00</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31003</w:t>
            </w:r>
          </w:p>
        </w:tc>
        <w:tc>
          <w:tcPr>
            <w:tcW w:w="3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专用设备购置</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10" w:hRule="atLeast"/>
        </w:trPr>
        <w:tc>
          <w:tcPr>
            <w:tcW w:w="7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30109</w:t>
            </w:r>
          </w:p>
        </w:tc>
        <w:tc>
          <w:tcPr>
            <w:tcW w:w="296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职业年金缴费</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30207</w:t>
            </w:r>
          </w:p>
        </w:tc>
        <w:tc>
          <w:tcPr>
            <w:tcW w:w="217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邮电费</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31005</w:t>
            </w:r>
          </w:p>
        </w:tc>
        <w:tc>
          <w:tcPr>
            <w:tcW w:w="3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基础设施建设</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10" w:hRule="atLeast"/>
        </w:trPr>
        <w:tc>
          <w:tcPr>
            <w:tcW w:w="7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30110</w:t>
            </w:r>
          </w:p>
        </w:tc>
        <w:tc>
          <w:tcPr>
            <w:tcW w:w="296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职工基本医疗保险缴费</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87.87</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30208</w:t>
            </w:r>
          </w:p>
        </w:tc>
        <w:tc>
          <w:tcPr>
            <w:tcW w:w="217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取暖费</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31006</w:t>
            </w:r>
          </w:p>
        </w:tc>
        <w:tc>
          <w:tcPr>
            <w:tcW w:w="3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大型修缮</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10" w:hRule="atLeast"/>
        </w:trPr>
        <w:tc>
          <w:tcPr>
            <w:tcW w:w="7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30111</w:t>
            </w:r>
          </w:p>
        </w:tc>
        <w:tc>
          <w:tcPr>
            <w:tcW w:w="296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公务员医疗补助缴费</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30209</w:t>
            </w:r>
          </w:p>
        </w:tc>
        <w:tc>
          <w:tcPr>
            <w:tcW w:w="217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物业管理费</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53.50</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31007</w:t>
            </w:r>
          </w:p>
        </w:tc>
        <w:tc>
          <w:tcPr>
            <w:tcW w:w="3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信息网络及软件购置更新</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10" w:hRule="atLeast"/>
        </w:trPr>
        <w:tc>
          <w:tcPr>
            <w:tcW w:w="7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30112</w:t>
            </w:r>
          </w:p>
        </w:tc>
        <w:tc>
          <w:tcPr>
            <w:tcW w:w="296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其他社会保障缴费</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30211</w:t>
            </w:r>
          </w:p>
        </w:tc>
        <w:tc>
          <w:tcPr>
            <w:tcW w:w="217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差旅费</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5.03</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31008</w:t>
            </w:r>
          </w:p>
        </w:tc>
        <w:tc>
          <w:tcPr>
            <w:tcW w:w="3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物资储备</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10" w:hRule="atLeast"/>
        </w:trPr>
        <w:tc>
          <w:tcPr>
            <w:tcW w:w="7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30113</w:t>
            </w:r>
          </w:p>
        </w:tc>
        <w:tc>
          <w:tcPr>
            <w:tcW w:w="296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住房公积金</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130.19</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30212</w:t>
            </w:r>
          </w:p>
        </w:tc>
        <w:tc>
          <w:tcPr>
            <w:tcW w:w="217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因公出国（境）费用</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31009</w:t>
            </w:r>
          </w:p>
        </w:tc>
        <w:tc>
          <w:tcPr>
            <w:tcW w:w="3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土地补偿</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10" w:hRule="atLeast"/>
        </w:trPr>
        <w:tc>
          <w:tcPr>
            <w:tcW w:w="7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30114</w:t>
            </w:r>
          </w:p>
        </w:tc>
        <w:tc>
          <w:tcPr>
            <w:tcW w:w="296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医疗费</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30213</w:t>
            </w:r>
          </w:p>
        </w:tc>
        <w:tc>
          <w:tcPr>
            <w:tcW w:w="217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维修（护）费</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38.00</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31010</w:t>
            </w:r>
          </w:p>
        </w:tc>
        <w:tc>
          <w:tcPr>
            <w:tcW w:w="3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安置补助</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10" w:hRule="atLeast"/>
        </w:trPr>
        <w:tc>
          <w:tcPr>
            <w:tcW w:w="7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30199</w:t>
            </w:r>
          </w:p>
        </w:tc>
        <w:tc>
          <w:tcPr>
            <w:tcW w:w="296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其他工资福利支出</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30214</w:t>
            </w:r>
          </w:p>
        </w:tc>
        <w:tc>
          <w:tcPr>
            <w:tcW w:w="217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租赁费</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31011</w:t>
            </w:r>
          </w:p>
        </w:tc>
        <w:tc>
          <w:tcPr>
            <w:tcW w:w="3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地上附着物和青苗补偿</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10" w:hRule="atLeast"/>
        </w:trPr>
        <w:tc>
          <w:tcPr>
            <w:tcW w:w="7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303</w:t>
            </w:r>
          </w:p>
        </w:tc>
        <w:tc>
          <w:tcPr>
            <w:tcW w:w="296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对个人和家庭的补助</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57.08</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30215</w:t>
            </w:r>
          </w:p>
        </w:tc>
        <w:tc>
          <w:tcPr>
            <w:tcW w:w="217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会议费</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31012</w:t>
            </w:r>
          </w:p>
        </w:tc>
        <w:tc>
          <w:tcPr>
            <w:tcW w:w="3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拆迁补偿</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10" w:hRule="atLeast"/>
        </w:trPr>
        <w:tc>
          <w:tcPr>
            <w:tcW w:w="7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30301</w:t>
            </w:r>
          </w:p>
        </w:tc>
        <w:tc>
          <w:tcPr>
            <w:tcW w:w="296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离休费</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30216</w:t>
            </w:r>
          </w:p>
        </w:tc>
        <w:tc>
          <w:tcPr>
            <w:tcW w:w="217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培训费</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15.00</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31013</w:t>
            </w:r>
          </w:p>
        </w:tc>
        <w:tc>
          <w:tcPr>
            <w:tcW w:w="3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公务用车购置</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10" w:hRule="atLeast"/>
        </w:trPr>
        <w:tc>
          <w:tcPr>
            <w:tcW w:w="7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30302</w:t>
            </w:r>
          </w:p>
        </w:tc>
        <w:tc>
          <w:tcPr>
            <w:tcW w:w="296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退休费</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30217</w:t>
            </w:r>
          </w:p>
        </w:tc>
        <w:tc>
          <w:tcPr>
            <w:tcW w:w="217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公务接待费</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31019</w:t>
            </w:r>
          </w:p>
        </w:tc>
        <w:tc>
          <w:tcPr>
            <w:tcW w:w="3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其他交通工具购置</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10" w:hRule="atLeast"/>
        </w:trPr>
        <w:tc>
          <w:tcPr>
            <w:tcW w:w="7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30303</w:t>
            </w:r>
          </w:p>
        </w:tc>
        <w:tc>
          <w:tcPr>
            <w:tcW w:w="296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退职（役）费</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30218</w:t>
            </w:r>
          </w:p>
        </w:tc>
        <w:tc>
          <w:tcPr>
            <w:tcW w:w="217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专用材料费</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31021</w:t>
            </w:r>
          </w:p>
        </w:tc>
        <w:tc>
          <w:tcPr>
            <w:tcW w:w="3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文物和陈列品购置</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10" w:hRule="atLeast"/>
        </w:trPr>
        <w:tc>
          <w:tcPr>
            <w:tcW w:w="7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30304</w:t>
            </w:r>
          </w:p>
        </w:tc>
        <w:tc>
          <w:tcPr>
            <w:tcW w:w="296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抚恤金</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6.22</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30224</w:t>
            </w:r>
          </w:p>
        </w:tc>
        <w:tc>
          <w:tcPr>
            <w:tcW w:w="217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被装购置费</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31022</w:t>
            </w:r>
          </w:p>
        </w:tc>
        <w:tc>
          <w:tcPr>
            <w:tcW w:w="3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无形资产购置</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10" w:hRule="atLeast"/>
        </w:trPr>
        <w:tc>
          <w:tcPr>
            <w:tcW w:w="7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30305</w:t>
            </w:r>
          </w:p>
        </w:tc>
        <w:tc>
          <w:tcPr>
            <w:tcW w:w="296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生活补助</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45.62</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30225</w:t>
            </w:r>
          </w:p>
        </w:tc>
        <w:tc>
          <w:tcPr>
            <w:tcW w:w="217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专用燃料费</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31099</w:t>
            </w:r>
          </w:p>
        </w:tc>
        <w:tc>
          <w:tcPr>
            <w:tcW w:w="3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其他资本性支出</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10" w:hRule="atLeast"/>
        </w:trPr>
        <w:tc>
          <w:tcPr>
            <w:tcW w:w="7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30306</w:t>
            </w:r>
          </w:p>
        </w:tc>
        <w:tc>
          <w:tcPr>
            <w:tcW w:w="296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救济费</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30226</w:t>
            </w:r>
          </w:p>
        </w:tc>
        <w:tc>
          <w:tcPr>
            <w:tcW w:w="217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劳务费</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7.18</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399</w:t>
            </w:r>
          </w:p>
        </w:tc>
        <w:tc>
          <w:tcPr>
            <w:tcW w:w="3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其他支出</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10" w:hRule="atLeast"/>
        </w:trPr>
        <w:tc>
          <w:tcPr>
            <w:tcW w:w="7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30307</w:t>
            </w:r>
          </w:p>
        </w:tc>
        <w:tc>
          <w:tcPr>
            <w:tcW w:w="296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医疗费补助</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30227</w:t>
            </w:r>
          </w:p>
        </w:tc>
        <w:tc>
          <w:tcPr>
            <w:tcW w:w="217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委托业务费</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39907</w:t>
            </w:r>
          </w:p>
        </w:tc>
        <w:tc>
          <w:tcPr>
            <w:tcW w:w="3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国家赔偿费用支出</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10" w:hRule="atLeast"/>
        </w:trPr>
        <w:tc>
          <w:tcPr>
            <w:tcW w:w="7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30308</w:t>
            </w:r>
          </w:p>
        </w:tc>
        <w:tc>
          <w:tcPr>
            <w:tcW w:w="296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助学金</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30228</w:t>
            </w:r>
          </w:p>
        </w:tc>
        <w:tc>
          <w:tcPr>
            <w:tcW w:w="217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工会经费</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17.27</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39908</w:t>
            </w:r>
          </w:p>
        </w:tc>
        <w:tc>
          <w:tcPr>
            <w:tcW w:w="3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对民间非营利性组织和群众性自治组织补贴</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10" w:hRule="atLeast"/>
        </w:trPr>
        <w:tc>
          <w:tcPr>
            <w:tcW w:w="7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30309</w:t>
            </w:r>
          </w:p>
        </w:tc>
        <w:tc>
          <w:tcPr>
            <w:tcW w:w="296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奖励金</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30229</w:t>
            </w:r>
          </w:p>
        </w:tc>
        <w:tc>
          <w:tcPr>
            <w:tcW w:w="217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福利费</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39909</w:t>
            </w:r>
          </w:p>
        </w:tc>
        <w:tc>
          <w:tcPr>
            <w:tcW w:w="3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经常性赠与</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10" w:hRule="atLeast"/>
        </w:trPr>
        <w:tc>
          <w:tcPr>
            <w:tcW w:w="7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30310</w:t>
            </w:r>
          </w:p>
        </w:tc>
        <w:tc>
          <w:tcPr>
            <w:tcW w:w="296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个人农业生产补贴</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30231</w:t>
            </w:r>
          </w:p>
        </w:tc>
        <w:tc>
          <w:tcPr>
            <w:tcW w:w="217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公务用车运行维护费</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39910</w:t>
            </w:r>
          </w:p>
        </w:tc>
        <w:tc>
          <w:tcPr>
            <w:tcW w:w="3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资本性赠与</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10" w:hRule="atLeast"/>
        </w:trPr>
        <w:tc>
          <w:tcPr>
            <w:tcW w:w="7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30311</w:t>
            </w:r>
          </w:p>
        </w:tc>
        <w:tc>
          <w:tcPr>
            <w:tcW w:w="296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代缴社会保险费</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30239</w:t>
            </w:r>
          </w:p>
        </w:tc>
        <w:tc>
          <w:tcPr>
            <w:tcW w:w="217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其他交通费用</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39999</w:t>
            </w:r>
          </w:p>
        </w:tc>
        <w:tc>
          <w:tcPr>
            <w:tcW w:w="3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其他支出</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10" w:hRule="atLeast"/>
        </w:trPr>
        <w:tc>
          <w:tcPr>
            <w:tcW w:w="7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30399</w:t>
            </w:r>
          </w:p>
        </w:tc>
        <w:tc>
          <w:tcPr>
            <w:tcW w:w="296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其他对个人和家庭的补助</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5.24</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30240</w:t>
            </w:r>
          </w:p>
        </w:tc>
        <w:tc>
          <w:tcPr>
            <w:tcW w:w="217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税金及附加费用</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10" w:hRule="atLeast"/>
        </w:trPr>
        <w:tc>
          <w:tcPr>
            <w:tcW w:w="7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2961"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30299</w:t>
            </w:r>
          </w:p>
        </w:tc>
        <w:tc>
          <w:tcPr>
            <w:tcW w:w="217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其他商品和服务支出</w:t>
            </w:r>
          </w:p>
        </w:tc>
        <w:tc>
          <w:tcPr>
            <w:tcW w:w="8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71.32</w:t>
            </w:r>
          </w:p>
        </w:tc>
        <w:tc>
          <w:tcPr>
            <w:tcW w:w="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7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10" w:hRule="atLeast"/>
        </w:trPr>
        <w:tc>
          <w:tcPr>
            <w:tcW w:w="3701" w:type="dxa"/>
            <w:gridSpan w:val="3"/>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人员经费合计</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1,926.01</w:t>
            </w:r>
          </w:p>
        </w:tc>
        <w:tc>
          <w:tcPr>
            <w:tcW w:w="8200" w:type="dxa"/>
            <w:gridSpan w:val="6"/>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公用经费合计</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307.94</w:t>
            </w:r>
          </w:p>
        </w:tc>
      </w:tr>
    </w:tbl>
    <w:p>
      <w:pPr>
        <w:pStyle w:val="2"/>
        <w:spacing w:before="72" w:line="578" w:lineRule="exact"/>
        <w:jc w:val="center"/>
        <w:rPr>
          <w:rFonts w:ascii="Times New Roman"/>
        </w:rPr>
      </w:pPr>
      <w:r>
        <w:rPr>
          <w:rFonts w:ascii="Times New Roman" w:eastAsia="方正黑体_GBK"/>
          <w:sz w:val="32"/>
          <w:szCs w:val="32"/>
        </w:rPr>
        <w:t>九、一</w:t>
      </w:r>
      <w:r>
        <w:rPr>
          <w:rStyle w:val="28"/>
          <w:rFonts w:ascii="Times New Roman" w:eastAsia="方正黑体_GBK"/>
        </w:rPr>
        <w:t>般公共预算财政拨款项目支出决算表</w:t>
      </w:r>
    </w:p>
    <w:tbl>
      <w:tblPr>
        <w:tblStyle w:val="14"/>
        <w:tblW w:w="9480" w:type="dxa"/>
        <w:jc w:val="center"/>
        <w:tblLayout w:type="autofit"/>
        <w:tblCellMar>
          <w:top w:w="0" w:type="dxa"/>
          <w:left w:w="108" w:type="dxa"/>
          <w:bottom w:w="0" w:type="dxa"/>
          <w:right w:w="108" w:type="dxa"/>
        </w:tblCellMar>
      </w:tblPr>
      <w:tblGrid>
        <w:gridCol w:w="340"/>
        <w:gridCol w:w="340"/>
        <w:gridCol w:w="340"/>
        <w:gridCol w:w="3940"/>
        <w:gridCol w:w="2260"/>
        <w:gridCol w:w="2260"/>
      </w:tblGrid>
      <w:tr>
        <w:tblPrEx>
          <w:tblCellMar>
            <w:top w:w="0" w:type="dxa"/>
            <w:left w:w="108" w:type="dxa"/>
            <w:bottom w:w="0" w:type="dxa"/>
            <w:right w:w="108" w:type="dxa"/>
          </w:tblCellMar>
        </w:tblPrEx>
        <w:trPr>
          <w:trHeight w:val="255" w:hRule="atLeast"/>
          <w:jc w:val="center"/>
        </w:trPr>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9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2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26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公开09表</w:t>
            </w:r>
          </w:p>
        </w:tc>
      </w:tr>
      <w:tr>
        <w:tblPrEx>
          <w:tblCellMar>
            <w:top w:w="0" w:type="dxa"/>
            <w:left w:w="108" w:type="dxa"/>
            <w:bottom w:w="0" w:type="dxa"/>
            <w:right w:w="108" w:type="dxa"/>
          </w:tblCellMar>
        </w:tblPrEx>
        <w:trPr>
          <w:trHeight w:val="255" w:hRule="atLeast"/>
          <w:jc w:val="center"/>
        </w:trPr>
        <w:tc>
          <w:tcPr>
            <w:tcW w:w="4960" w:type="dxa"/>
            <w:gridSpan w:val="4"/>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部门：达州市达川区实验小学</w:t>
            </w:r>
          </w:p>
        </w:tc>
        <w:tc>
          <w:tcPr>
            <w:tcW w:w="22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26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jc w:val="center"/>
        </w:trPr>
        <w:tc>
          <w:tcPr>
            <w:tcW w:w="4960"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26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226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r>
      <w:tr>
        <w:tblPrEx>
          <w:tblCellMar>
            <w:top w:w="0" w:type="dxa"/>
            <w:left w:w="108" w:type="dxa"/>
            <w:bottom w:w="0" w:type="dxa"/>
            <w:right w:w="108" w:type="dxa"/>
          </w:tblCellMar>
        </w:tblPrEx>
        <w:trPr>
          <w:trHeight w:val="312" w:hRule="atLeast"/>
          <w:jc w:val="center"/>
        </w:trPr>
        <w:tc>
          <w:tcPr>
            <w:tcW w:w="102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科目代码</w:t>
            </w:r>
          </w:p>
        </w:tc>
        <w:tc>
          <w:tcPr>
            <w:tcW w:w="3940"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2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9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960"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　</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bl>
    <w:p>
      <w:pPr>
        <w:pStyle w:val="2"/>
        <w:spacing w:before="72"/>
      </w:pPr>
    </w:p>
    <w:p>
      <w:pPr>
        <w:pStyle w:val="2"/>
        <w:spacing w:before="72"/>
      </w:pPr>
    </w:p>
    <w:p>
      <w:pPr>
        <w:pStyle w:val="2"/>
        <w:spacing w:before="72"/>
      </w:pPr>
    </w:p>
    <w:p>
      <w:pPr>
        <w:pStyle w:val="2"/>
        <w:spacing w:before="72"/>
      </w:pPr>
    </w:p>
    <w:p>
      <w:pPr>
        <w:pStyle w:val="2"/>
        <w:spacing w:before="72"/>
      </w:pPr>
    </w:p>
    <w:p>
      <w:pPr>
        <w:pStyle w:val="2"/>
        <w:spacing w:before="72"/>
      </w:pPr>
    </w:p>
    <w:p>
      <w:pPr>
        <w:pStyle w:val="2"/>
        <w:spacing w:before="72"/>
      </w:pPr>
    </w:p>
    <w:p>
      <w:pPr>
        <w:pStyle w:val="2"/>
        <w:spacing w:before="72"/>
      </w:pPr>
    </w:p>
    <w:p>
      <w:pPr>
        <w:pStyle w:val="2"/>
        <w:spacing w:before="72"/>
      </w:pPr>
    </w:p>
    <w:p>
      <w:pPr>
        <w:pStyle w:val="2"/>
        <w:spacing w:before="72"/>
        <w:jc w:val="center"/>
        <w:rPr>
          <w:rStyle w:val="28"/>
          <w:rFonts w:ascii="Times New Roman" w:eastAsia="方正黑体_GBK"/>
        </w:rPr>
      </w:pPr>
      <w:r>
        <w:rPr>
          <w:rStyle w:val="28"/>
          <w:rFonts w:hint="eastAsia" w:ascii="Times New Roman" w:eastAsia="方正黑体_GBK"/>
        </w:rPr>
        <w:t>十、政府性基金预算财政拨款收入支出决算表</w:t>
      </w:r>
    </w:p>
    <w:tbl>
      <w:tblPr>
        <w:tblStyle w:val="14"/>
        <w:tblW w:w="12280" w:type="dxa"/>
        <w:jc w:val="center"/>
        <w:tblLayout w:type="autofit"/>
        <w:tblCellMar>
          <w:top w:w="0" w:type="dxa"/>
          <w:left w:w="108" w:type="dxa"/>
          <w:bottom w:w="0" w:type="dxa"/>
          <w:right w:w="108" w:type="dxa"/>
        </w:tblCellMar>
      </w:tblPr>
      <w:tblGrid>
        <w:gridCol w:w="340"/>
        <w:gridCol w:w="340"/>
        <w:gridCol w:w="340"/>
        <w:gridCol w:w="3600"/>
        <w:gridCol w:w="1680"/>
        <w:gridCol w:w="1140"/>
        <w:gridCol w:w="1060"/>
        <w:gridCol w:w="1220"/>
        <w:gridCol w:w="1120"/>
        <w:gridCol w:w="1440"/>
      </w:tblGrid>
      <w:tr>
        <w:tblPrEx>
          <w:tblCellMar>
            <w:top w:w="0" w:type="dxa"/>
            <w:left w:w="108" w:type="dxa"/>
            <w:bottom w:w="0" w:type="dxa"/>
            <w:right w:w="108" w:type="dxa"/>
          </w:tblCellMar>
        </w:tblPrEx>
        <w:trPr>
          <w:trHeight w:val="255" w:hRule="atLeast"/>
          <w:jc w:val="center"/>
        </w:trPr>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36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1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0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2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44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公开10表</w:t>
            </w:r>
          </w:p>
        </w:tc>
      </w:tr>
      <w:tr>
        <w:tblPrEx>
          <w:tblCellMar>
            <w:top w:w="0" w:type="dxa"/>
            <w:left w:w="108" w:type="dxa"/>
            <w:bottom w:w="0" w:type="dxa"/>
            <w:right w:w="108" w:type="dxa"/>
          </w:tblCellMar>
        </w:tblPrEx>
        <w:trPr>
          <w:trHeight w:val="255" w:hRule="atLeast"/>
          <w:jc w:val="center"/>
        </w:trPr>
        <w:tc>
          <w:tcPr>
            <w:tcW w:w="4620" w:type="dxa"/>
            <w:gridSpan w:val="4"/>
            <w:tcBorders>
              <w:top w:val="nil"/>
              <w:left w:val="nil"/>
              <w:bottom w:val="nil"/>
              <w:right w:val="nil"/>
            </w:tcBorders>
            <w:shd w:val="clear" w:color="auto" w:fill="auto"/>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部门：达州市达川区实验小学</w:t>
            </w: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1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0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2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1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44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jc w:val="center"/>
        </w:trPr>
        <w:tc>
          <w:tcPr>
            <w:tcW w:w="4620"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168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年初结转和结余</w:t>
            </w:r>
          </w:p>
        </w:tc>
        <w:tc>
          <w:tcPr>
            <w:tcW w:w="114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本年收入</w:t>
            </w:r>
          </w:p>
        </w:tc>
        <w:tc>
          <w:tcPr>
            <w:tcW w:w="3400" w:type="dxa"/>
            <w:gridSpan w:val="3"/>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本年支出</w:t>
            </w:r>
          </w:p>
        </w:tc>
        <w:tc>
          <w:tcPr>
            <w:tcW w:w="144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年末结转和结余</w:t>
            </w:r>
          </w:p>
        </w:tc>
      </w:tr>
      <w:tr>
        <w:tblPrEx>
          <w:tblCellMar>
            <w:top w:w="0" w:type="dxa"/>
            <w:left w:w="108" w:type="dxa"/>
            <w:bottom w:w="0" w:type="dxa"/>
            <w:right w:w="108" w:type="dxa"/>
          </w:tblCellMar>
        </w:tblPrEx>
        <w:trPr>
          <w:trHeight w:val="312" w:hRule="atLeast"/>
          <w:jc w:val="center"/>
        </w:trPr>
        <w:tc>
          <w:tcPr>
            <w:tcW w:w="102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科目代码</w:t>
            </w:r>
          </w:p>
        </w:tc>
        <w:tc>
          <w:tcPr>
            <w:tcW w:w="3600" w:type="dxa"/>
            <w:vMerge w:val="restart"/>
            <w:tcBorders>
              <w:top w:val="nil"/>
              <w:left w:val="nil"/>
              <w:bottom w:val="single" w:color="000000" w:sz="4" w:space="0"/>
              <w:right w:val="single" w:color="000000" w:sz="4" w:space="0"/>
            </w:tcBorders>
            <w:shd w:val="clear" w:color="FFFFFF" w:fill="C0C0C0"/>
            <w:noWrap/>
            <w:vAlign w:val="center"/>
          </w:tcPr>
          <w:p>
            <w:pPr>
              <w:widowControl/>
              <w:rPr>
                <w:rFonts w:ascii="宋体" w:hAnsi="宋体" w:cs="Arial"/>
                <w:color w:val="000000"/>
                <w:kern w:val="0"/>
                <w:sz w:val="18"/>
                <w:szCs w:val="18"/>
              </w:rPr>
            </w:pPr>
            <w:r>
              <w:rPr>
                <w:rFonts w:hint="eastAsia" w:ascii="宋体" w:hAnsi="宋体" w:cs="Arial"/>
                <w:color w:val="000000"/>
                <w:kern w:val="0"/>
                <w:sz w:val="18"/>
                <w:szCs w:val="18"/>
              </w:rPr>
              <w:t>科目名称</w:t>
            </w: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14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6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小计</w:t>
            </w:r>
          </w:p>
        </w:tc>
        <w:tc>
          <w:tcPr>
            <w:tcW w:w="122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基本支出</w:t>
            </w:r>
          </w:p>
        </w:tc>
        <w:tc>
          <w:tcPr>
            <w:tcW w:w="112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项目支出</w:t>
            </w:r>
          </w:p>
        </w:tc>
        <w:tc>
          <w:tcPr>
            <w:tcW w:w="144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312" w:hRule="atLeast"/>
          <w:jc w:val="center"/>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6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14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2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1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44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312" w:hRule="atLeast"/>
          <w:jc w:val="center"/>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6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14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2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1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44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308" w:hRule="atLeast"/>
          <w:jc w:val="center"/>
        </w:trPr>
        <w:tc>
          <w:tcPr>
            <w:tcW w:w="4620"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16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1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06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22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12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4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r>
      <w:tr>
        <w:tblPrEx>
          <w:tblCellMar>
            <w:top w:w="0" w:type="dxa"/>
            <w:left w:w="108" w:type="dxa"/>
            <w:bottom w:w="0" w:type="dxa"/>
            <w:right w:w="108" w:type="dxa"/>
          </w:tblCellMar>
        </w:tblPrEx>
        <w:trPr>
          <w:trHeight w:val="308" w:hRule="atLeast"/>
          <w:jc w:val="center"/>
        </w:trPr>
        <w:tc>
          <w:tcPr>
            <w:tcW w:w="4620"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1,955.06</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　</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　</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　</w:t>
            </w:r>
          </w:p>
        </w:tc>
        <w:tc>
          <w:tcPr>
            <w:tcW w:w="14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1,955.06</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212</w:t>
            </w:r>
          </w:p>
        </w:tc>
        <w:tc>
          <w:tcPr>
            <w:tcW w:w="36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城乡社区支出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1,855.76</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1,855.76</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21208</w:t>
            </w:r>
          </w:p>
        </w:tc>
        <w:tc>
          <w:tcPr>
            <w:tcW w:w="36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国有土地使用权出让收入安排的支出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1,855.76</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1,855.76</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2120803</w:t>
            </w:r>
          </w:p>
        </w:tc>
        <w:tc>
          <w:tcPr>
            <w:tcW w:w="36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城市建设支出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1,439.71</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1,439.71</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2120899</w:t>
            </w:r>
          </w:p>
        </w:tc>
        <w:tc>
          <w:tcPr>
            <w:tcW w:w="36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其他国有土地使用权出让收入安排的支出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416.05</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416.05</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229</w:t>
            </w:r>
          </w:p>
        </w:tc>
        <w:tc>
          <w:tcPr>
            <w:tcW w:w="36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99.30</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99.30</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22960</w:t>
            </w:r>
          </w:p>
        </w:tc>
        <w:tc>
          <w:tcPr>
            <w:tcW w:w="36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彩票公益金安排的支出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99.30</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99.30</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2296003</w:t>
            </w:r>
          </w:p>
        </w:tc>
        <w:tc>
          <w:tcPr>
            <w:tcW w:w="36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用于体育事业的彩票公益金支出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99.30</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99.30</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6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6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6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bl>
    <w:p>
      <w:pPr>
        <w:pStyle w:val="2"/>
        <w:spacing w:before="72"/>
        <w:rPr>
          <w:rStyle w:val="28"/>
          <w:rFonts w:ascii="Times New Roman" w:eastAsia="方正黑体_GBK"/>
        </w:rPr>
      </w:pPr>
    </w:p>
    <w:p>
      <w:pPr>
        <w:pStyle w:val="2"/>
        <w:spacing w:before="72"/>
        <w:rPr>
          <w:rStyle w:val="28"/>
          <w:rFonts w:ascii="Times New Roman" w:eastAsia="方正黑体_GBK"/>
        </w:rPr>
      </w:pPr>
    </w:p>
    <w:p>
      <w:pPr>
        <w:pStyle w:val="2"/>
        <w:spacing w:before="72"/>
        <w:rPr>
          <w:rStyle w:val="28"/>
          <w:rFonts w:ascii="Times New Roman" w:eastAsia="方正黑体_GBK"/>
        </w:rPr>
      </w:pPr>
    </w:p>
    <w:p>
      <w:pPr>
        <w:pStyle w:val="2"/>
        <w:spacing w:before="72"/>
        <w:rPr>
          <w:rStyle w:val="28"/>
          <w:rFonts w:ascii="Times New Roman" w:eastAsia="方正黑体_GBK"/>
        </w:rPr>
      </w:pPr>
    </w:p>
    <w:p>
      <w:pPr>
        <w:pStyle w:val="2"/>
        <w:spacing w:before="72"/>
        <w:rPr>
          <w:rStyle w:val="28"/>
          <w:rFonts w:ascii="Times New Roman" w:eastAsia="方正黑体_GBK"/>
        </w:rPr>
      </w:pPr>
    </w:p>
    <w:p>
      <w:pPr>
        <w:pStyle w:val="2"/>
        <w:spacing w:before="72"/>
        <w:rPr>
          <w:rStyle w:val="28"/>
          <w:rFonts w:ascii="Times New Roman" w:eastAsia="方正黑体_GBK"/>
        </w:rPr>
      </w:pPr>
    </w:p>
    <w:p>
      <w:pPr>
        <w:pStyle w:val="2"/>
        <w:spacing w:before="72"/>
        <w:jc w:val="center"/>
        <w:rPr>
          <w:rStyle w:val="28"/>
          <w:rFonts w:ascii="Times New Roman" w:eastAsia="方正黑体_GBK"/>
        </w:rPr>
      </w:pPr>
      <w:r>
        <w:rPr>
          <w:rStyle w:val="28"/>
          <w:rFonts w:hint="eastAsia" w:ascii="Times New Roman" w:eastAsia="方正黑体_GBK"/>
        </w:rPr>
        <w:t>十一、国有资本经营预算财政拨款收入支出决算表（本表无数据）</w:t>
      </w:r>
    </w:p>
    <w:tbl>
      <w:tblPr>
        <w:tblStyle w:val="14"/>
        <w:tblW w:w="11800" w:type="dxa"/>
        <w:jc w:val="center"/>
        <w:tblLayout w:type="autofit"/>
        <w:tblCellMar>
          <w:top w:w="0" w:type="dxa"/>
          <w:left w:w="108" w:type="dxa"/>
          <w:bottom w:w="0" w:type="dxa"/>
          <w:right w:w="108" w:type="dxa"/>
        </w:tblCellMar>
      </w:tblPr>
      <w:tblGrid>
        <w:gridCol w:w="340"/>
        <w:gridCol w:w="340"/>
        <w:gridCol w:w="340"/>
        <w:gridCol w:w="3940"/>
        <w:gridCol w:w="1680"/>
        <w:gridCol w:w="1680"/>
        <w:gridCol w:w="1680"/>
        <w:gridCol w:w="1800"/>
      </w:tblGrid>
      <w:tr>
        <w:tblPrEx>
          <w:tblCellMar>
            <w:top w:w="0" w:type="dxa"/>
            <w:left w:w="108" w:type="dxa"/>
            <w:bottom w:w="0" w:type="dxa"/>
            <w:right w:w="108" w:type="dxa"/>
          </w:tblCellMar>
        </w:tblPrEx>
        <w:trPr>
          <w:trHeight w:val="255" w:hRule="atLeast"/>
          <w:jc w:val="center"/>
        </w:trPr>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9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公开11表</w:t>
            </w:r>
          </w:p>
        </w:tc>
      </w:tr>
      <w:tr>
        <w:tblPrEx>
          <w:tblCellMar>
            <w:top w:w="0" w:type="dxa"/>
            <w:left w:w="108" w:type="dxa"/>
            <w:bottom w:w="0" w:type="dxa"/>
            <w:right w:w="108" w:type="dxa"/>
          </w:tblCellMar>
        </w:tblPrEx>
        <w:trPr>
          <w:trHeight w:val="255" w:hRule="atLeast"/>
          <w:jc w:val="center"/>
        </w:trPr>
        <w:tc>
          <w:tcPr>
            <w:tcW w:w="4960" w:type="dxa"/>
            <w:gridSpan w:val="4"/>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部门：达州市达川区实验小学</w:t>
            </w: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jc w:val="center"/>
        </w:trPr>
        <w:tc>
          <w:tcPr>
            <w:tcW w:w="4960"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8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68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168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2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科目代码</w:t>
            </w:r>
          </w:p>
        </w:tc>
        <w:tc>
          <w:tcPr>
            <w:tcW w:w="3940"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9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960"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0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308" w:hRule="atLeast"/>
          <w:jc w:val="center"/>
        </w:trPr>
        <w:tc>
          <w:tcPr>
            <w:tcW w:w="4960"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bl>
    <w:p>
      <w:pPr>
        <w:pStyle w:val="2"/>
        <w:spacing w:before="72"/>
        <w:jc w:val="center"/>
        <w:rPr>
          <w:rStyle w:val="28"/>
          <w:rFonts w:ascii="Times New Roman" w:eastAsia="方正黑体_GBK"/>
        </w:rPr>
      </w:pPr>
    </w:p>
    <w:p>
      <w:pPr>
        <w:pStyle w:val="2"/>
        <w:spacing w:before="72"/>
        <w:jc w:val="center"/>
        <w:rPr>
          <w:rStyle w:val="28"/>
          <w:rFonts w:ascii="Times New Roman" w:eastAsia="方正黑体_GBK"/>
        </w:rPr>
      </w:pPr>
    </w:p>
    <w:p>
      <w:pPr>
        <w:pStyle w:val="2"/>
        <w:spacing w:before="72"/>
        <w:jc w:val="center"/>
        <w:rPr>
          <w:rStyle w:val="28"/>
          <w:rFonts w:ascii="Times New Roman" w:eastAsia="方正黑体_GBK"/>
        </w:rPr>
      </w:pPr>
    </w:p>
    <w:p>
      <w:pPr>
        <w:pStyle w:val="2"/>
        <w:spacing w:before="72"/>
        <w:jc w:val="center"/>
        <w:rPr>
          <w:rStyle w:val="28"/>
          <w:rFonts w:ascii="Times New Roman" w:eastAsia="方正黑体_GBK"/>
        </w:rPr>
      </w:pPr>
    </w:p>
    <w:p>
      <w:pPr>
        <w:pStyle w:val="2"/>
        <w:spacing w:before="72"/>
        <w:jc w:val="center"/>
        <w:rPr>
          <w:rStyle w:val="28"/>
          <w:rFonts w:ascii="Times New Roman" w:eastAsia="方正黑体_GBK"/>
        </w:rPr>
      </w:pPr>
    </w:p>
    <w:p>
      <w:pPr>
        <w:pStyle w:val="2"/>
        <w:spacing w:before="72"/>
        <w:jc w:val="center"/>
        <w:rPr>
          <w:rStyle w:val="28"/>
          <w:rFonts w:ascii="Times New Roman" w:eastAsia="方正黑体_GBK"/>
        </w:rPr>
      </w:pPr>
    </w:p>
    <w:p>
      <w:pPr>
        <w:pStyle w:val="2"/>
        <w:spacing w:before="72"/>
        <w:jc w:val="center"/>
        <w:rPr>
          <w:rStyle w:val="28"/>
          <w:rFonts w:ascii="Times New Roman" w:eastAsia="方正黑体_GBK"/>
        </w:rPr>
      </w:pPr>
    </w:p>
    <w:p>
      <w:pPr>
        <w:pStyle w:val="2"/>
        <w:spacing w:before="72"/>
        <w:jc w:val="center"/>
        <w:rPr>
          <w:rStyle w:val="28"/>
          <w:rFonts w:ascii="Times New Roman" w:eastAsia="方正黑体_GBK"/>
        </w:rPr>
      </w:pPr>
    </w:p>
    <w:p>
      <w:pPr>
        <w:pStyle w:val="2"/>
        <w:spacing w:before="72"/>
        <w:jc w:val="center"/>
        <w:rPr>
          <w:rStyle w:val="28"/>
          <w:rFonts w:ascii="Times New Roman" w:eastAsia="方正黑体_GBK"/>
        </w:rPr>
      </w:pPr>
    </w:p>
    <w:p>
      <w:pPr>
        <w:pStyle w:val="2"/>
        <w:spacing w:before="72"/>
        <w:jc w:val="center"/>
        <w:rPr>
          <w:rStyle w:val="28"/>
          <w:rFonts w:ascii="Times New Roman" w:eastAsia="方正黑体_GBK"/>
        </w:rPr>
      </w:pPr>
    </w:p>
    <w:p>
      <w:pPr>
        <w:pStyle w:val="2"/>
        <w:spacing w:before="72"/>
        <w:jc w:val="center"/>
        <w:rPr>
          <w:rStyle w:val="28"/>
          <w:rFonts w:ascii="Times New Roman" w:eastAsia="方正黑体_GBK"/>
        </w:rPr>
      </w:pPr>
    </w:p>
    <w:p>
      <w:pPr>
        <w:pStyle w:val="2"/>
        <w:spacing w:before="72"/>
        <w:jc w:val="center"/>
        <w:rPr>
          <w:rStyle w:val="28"/>
          <w:rFonts w:ascii="Times New Roman" w:eastAsia="方正黑体_GBK"/>
        </w:rPr>
      </w:pPr>
      <w:r>
        <w:rPr>
          <w:rStyle w:val="28"/>
          <w:rFonts w:hint="eastAsia" w:ascii="Times New Roman" w:eastAsia="方正黑体_GBK"/>
        </w:rPr>
        <w:t>十二、国有资本经营预算财政拨款支出决算表（本表无数据）</w:t>
      </w:r>
    </w:p>
    <w:tbl>
      <w:tblPr>
        <w:tblStyle w:val="14"/>
        <w:tblW w:w="10000" w:type="dxa"/>
        <w:jc w:val="center"/>
        <w:tblLayout w:type="autofit"/>
        <w:tblCellMar>
          <w:top w:w="0" w:type="dxa"/>
          <w:left w:w="108" w:type="dxa"/>
          <w:bottom w:w="0" w:type="dxa"/>
          <w:right w:w="108" w:type="dxa"/>
        </w:tblCellMar>
      </w:tblPr>
      <w:tblGrid>
        <w:gridCol w:w="340"/>
        <w:gridCol w:w="340"/>
        <w:gridCol w:w="340"/>
        <w:gridCol w:w="3940"/>
        <w:gridCol w:w="1680"/>
        <w:gridCol w:w="1680"/>
        <w:gridCol w:w="1680"/>
      </w:tblGrid>
      <w:tr>
        <w:tblPrEx>
          <w:tblCellMar>
            <w:top w:w="0" w:type="dxa"/>
            <w:left w:w="108" w:type="dxa"/>
            <w:bottom w:w="0" w:type="dxa"/>
            <w:right w:w="108" w:type="dxa"/>
          </w:tblCellMar>
        </w:tblPrEx>
        <w:trPr>
          <w:trHeight w:val="255" w:hRule="atLeast"/>
          <w:jc w:val="center"/>
        </w:trPr>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9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公开12表</w:t>
            </w:r>
          </w:p>
        </w:tc>
      </w:tr>
      <w:tr>
        <w:tblPrEx>
          <w:tblCellMar>
            <w:top w:w="0" w:type="dxa"/>
            <w:left w:w="108" w:type="dxa"/>
            <w:bottom w:w="0" w:type="dxa"/>
            <w:right w:w="108" w:type="dxa"/>
          </w:tblCellMar>
        </w:tblPrEx>
        <w:trPr>
          <w:trHeight w:val="255" w:hRule="atLeast"/>
          <w:jc w:val="center"/>
        </w:trPr>
        <w:tc>
          <w:tcPr>
            <w:tcW w:w="4960" w:type="dxa"/>
            <w:gridSpan w:val="4"/>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部门：达州市达川区实验小学</w:t>
            </w: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jc w:val="center"/>
        </w:trPr>
        <w:tc>
          <w:tcPr>
            <w:tcW w:w="4960"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5040" w:type="dxa"/>
            <w:gridSpan w:val="3"/>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r>
      <w:tr>
        <w:tblPrEx>
          <w:tblCellMar>
            <w:top w:w="0" w:type="dxa"/>
            <w:left w:w="108" w:type="dxa"/>
            <w:bottom w:w="0" w:type="dxa"/>
            <w:right w:w="108" w:type="dxa"/>
          </w:tblCellMar>
        </w:tblPrEx>
        <w:trPr>
          <w:trHeight w:val="312" w:hRule="atLeast"/>
          <w:jc w:val="center"/>
        </w:trPr>
        <w:tc>
          <w:tcPr>
            <w:tcW w:w="102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科目代码</w:t>
            </w:r>
          </w:p>
        </w:tc>
        <w:tc>
          <w:tcPr>
            <w:tcW w:w="3940"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8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8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8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12" w:hRule="atLeast"/>
          <w:jc w:val="center"/>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9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9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960"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jc w:val="center"/>
        </w:trPr>
        <w:tc>
          <w:tcPr>
            <w:tcW w:w="4960"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bl>
    <w:p>
      <w:pPr>
        <w:pStyle w:val="2"/>
        <w:spacing w:before="72"/>
        <w:jc w:val="center"/>
        <w:rPr>
          <w:rStyle w:val="28"/>
          <w:rFonts w:ascii="Times New Roman" w:eastAsia="方正黑体_GBK"/>
        </w:rPr>
      </w:pPr>
    </w:p>
    <w:p>
      <w:pPr>
        <w:pStyle w:val="2"/>
        <w:spacing w:before="72"/>
        <w:jc w:val="center"/>
        <w:rPr>
          <w:rStyle w:val="28"/>
          <w:rFonts w:ascii="Times New Roman" w:eastAsia="方正黑体_GBK"/>
        </w:rPr>
      </w:pPr>
    </w:p>
    <w:p>
      <w:pPr>
        <w:pStyle w:val="2"/>
        <w:spacing w:before="72"/>
        <w:jc w:val="center"/>
        <w:rPr>
          <w:rStyle w:val="28"/>
          <w:rFonts w:ascii="Times New Roman" w:eastAsia="方正黑体_GBK"/>
        </w:rPr>
      </w:pPr>
    </w:p>
    <w:p>
      <w:pPr>
        <w:pStyle w:val="2"/>
        <w:spacing w:before="72"/>
        <w:jc w:val="center"/>
        <w:rPr>
          <w:rStyle w:val="28"/>
          <w:rFonts w:ascii="Times New Roman" w:eastAsia="方正黑体_GBK"/>
        </w:rPr>
      </w:pPr>
    </w:p>
    <w:p>
      <w:pPr>
        <w:pStyle w:val="2"/>
        <w:spacing w:before="72"/>
        <w:jc w:val="center"/>
        <w:rPr>
          <w:rStyle w:val="28"/>
          <w:rFonts w:ascii="Times New Roman" w:eastAsia="方正黑体_GBK"/>
        </w:rPr>
      </w:pPr>
    </w:p>
    <w:p>
      <w:pPr>
        <w:pStyle w:val="2"/>
        <w:spacing w:before="72"/>
        <w:jc w:val="center"/>
        <w:rPr>
          <w:rStyle w:val="28"/>
          <w:rFonts w:ascii="Times New Roman" w:eastAsia="方正黑体_GBK"/>
        </w:rPr>
      </w:pPr>
    </w:p>
    <w:p>
      <w:pPr>
        <w:pStyle w:val="2"/>
        <w:spacing w:before="72"/>
        <w:jc w:val="center"/>
        <w:rPr>
          <w:rStyle w:val="28"/>
          <w:rFonts w:ascii="Times New Roman" w:eastAsia="方正黑体_GBK"/>
        </w:rPr>
      </w:pPr>
    </w:p>
    <w:p>
      <w:pPr>
        <w:pStyle w:val="2"/>
        <w:spacing w:before="72"/>
        <w:jc w:val="center"/>
        <w:rPr>
          <w:rStyle w:val="28"/>
          <w:rFonts w:ascii="Times New Roman" w:eastAsia="方正黑体_GBK"/>
        </w:rPr>
      </w:pPr>
    </w:p>
    <w:p>
      <w:pPr>
        <w:pStyle w:val="2"/>
        <w:spacing w:before="72"/>
        <w:jc w:val="center"/>
        <w:rPr>
          <w:rStyle w:val="28"/>
          <w:rFonts w:ascii="Times New Roman" w:eastAsia="方正黑体_GBK"/>
        </w:rPr>
      </w:pPr>
    </w:p>
    <w:p>
      <w:pPr>
        <w:pStyle w:val="2"/>
        <w:spacing w:before="72"/>
        <w:jc w:val="center"/>
        <w:rPr>
          <w:rStyle w:val="28"/>
          <w:rFonts w:ascii="Times New Roman" w:eastAsia="方正黑体_GBK"/>
        </w:rPr>
      </w:pPr>
    </w:p>
    <w:p>
      <w:pPr>
        <w:pStyle w:val="2"/>
        <w:spacing w:before="72"/>
        <w:jc w:val="center"/>
        <w:rPr>
          <w:rStyle w:val="28"/>
          <w:rFonts w:ascii="Times New Roman" w:eastAsia="方正黑体_GBK"/>
        </w:rPr>
      </w:pPr>
    </w:p>
    <w:p>
      <w:pPr>
        <w:pStyle w:val="2"/>
        <w:spacing w:before="72"/>
        <w:jc w:val="center"/>
        <w:rPr>
          <w:rStyle w:val="28"/>
          <w:rFonts w:ascii="Times New Roman" w:eastAsia="方正黑体_GBK"/>
        </w:rPr>
      </w:pPr>
      <w:r>
        <w:rPr>
          <w:rStyle w:val="28"/>
          <w:rFonts w:hint="eastAsia" w:ascii="Times New Roman" w:eastAsia="方正黑体_GBK"/>
        </w:rPr>
        <w:t>十三、财政拨款“三公”经费支出决算表</w:t>
      </w:r>
    </w:p>
    <w:tbl>
      <w:tblPr>
        <w:tblStyle w:val="14"/>
        <w:tblW w:w="14090" w:type="dxa"/>
        <w:tblInd w:w="93" w:type="dxa"/>
        <w:tblLayout w:type="autofit"/>
        <w:tblCellMar>
          <w:top w:w="0" w:type="dxa"/>
          <w:left w:w="108" w:type="dxa"/>
          <w:bottom w:w="0" w:type="dxa"/>
          <w:right w:w="108" w:type="dxa"/>
        </w:tblCellMar>
      </w:tblPr>
      <w:tblGrid>
        <w:gridCol w:w="1420"/>
        <w:gridCol w:w="1000"/>
        <w:gridCol w:w="147"/>
        <w:gridCol w:w="793"/>
        <w:gridCol w:w="1420"/>
        <w:gridCol w:w="1420"/>
        <w:gridCol w:w="920"/>
        <w:gridCol w:w="840"/>
        <w:gridCol w:w="1060"/>
        <w:gridCol w:w="940"/>
        <w:gridCol w:w="1420"/>
        <w:gridCol w:w="1109"/>
        <w:gridCol w:w="311"/>
        <w:gridCol w:w="1290"/>
      </w:tblGrid>
      <w:tr>
        <w:tblPrEx>
          <w:tblCellMar>
            <w:top w:w="0" w:type="dxa"/>
            <w:left w:w="108" w:type="dxa"/>
            <w:bottom w:w="0" w:type="dxa"/>
            <w:right w:w="108" w:type="dxa"/>
          </w:tblCellMar>
        </w:tblPrEx>
        <w:trPr>
          <w:trHeight w:val="255" w:hRule="atLeast"/>
        </w:trPr>
        <w:tc>
          <w:tcPr>
            <w:tcW w:w="14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147"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793"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4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4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9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8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0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9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4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109"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601"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公开13表</w:t>
            </w:r>
          </w:p>
        </w:tc>
      </w:tr>
      <w:tr>
        <w:tblPrEx>
          <w:tblCellMar>
            <w:top w:w="0" w:type="dxa"/>
            <w:left w:w="108" w:type="dxa"/>
            <w:bottom w:w="0" w:type="dxa"/>
            <w:right w:w="108" w:type="dxa"/>
          </w:tblCellMar>
        </w:tblPrEx>
        <w:trPr>
          <w:trHeight w:val="255" w:hRule="atLeast"/>
        </w:trPr>
        <w:tc>
          <w:tcPr>
            <w:tcW w:w="2567" w:type="dxa"/>
            <w:gridSpan w:val="3"/>
            <w:tcBorders>
              <w:top w:val="nil"/>
              <w:left w:val="nil"/>
              <w:bottom w:val="nil"/>
              <w:right w:val="nil"/>
            </w:tcBorders>
            <w:shd w:val="clear" w:color="auto" w:fill="auto"/>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部门：达州市达川区实验小学</w:t>
            </w:r>
          </w:p>
        </w:tc>
        <w:tc>
          <w:tcPr>
            <w:tcW w:w="793"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4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4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9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8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0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9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4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109" w:type="dxa"/>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601"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7120" w:type="dxa"/>
            <w:gridSpan w:val="7"/>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预算数</w:t>
            </w:r>
          </w:p>
        </w:tc>
        <w:tc>
          <w:tcPr>
            <w:tcW w:w="6970" w:type="dxa"/>
            <w:gridSpan w:val="7"/>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308" w:hRule="atLeast"/>
        </w:trPr>
        <w:tc>
          <w:tcPr>
            <w:tcW w:w="1420"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00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因公出国（境）费</w:t>
            </w:r>
          </w:p>
        </w:tc>
        <w:tc>
          <w:tcPr>
            <w:tcW w:w="3780"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公务用车购置及运行维护费</w:t>
            </w:r>
          </w:p>
        </w:tc>
        <w:tc>
          <w:tcPr>
            <w:tcW w:w="92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公务接待费</w:t>
            </w:r>
          </w:p>
        </w:tc>
        <w:tc>
          <w:tcPr>
            <w:tcW w:w="84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06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因公出国（境）费</w:t>
            </w:r>
          </w:p>
        </w:tc>
        <w:tc>
          <w:tcPr>
            <w:tcW w:w="3780"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公务用车购置及运行维护费</w:t>
            </w:r>
          </w:p>
        </w:tc>
        <w:tc>
          <w:tcPr>
            <w:tcW w:w="129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公务接待费</w:t>
            </w:r>
          </w:p>
        </w:tc>
      </w:tr>
      <w:tr>
        <w:tblPrEx>
          <w:tblCellMar>
            <w:top w:w="0" w:type="dxa"/>
            <w:left w:w="108" w:type="dxa"/>
            <w:bottom w:w="0" w:type="dxa"/>
            <w:right w:w="108" w:type="dxa"/>
          </w:tblCellMar>
        </w:tblPrEx>
        <w:trPr>
          <w:trHeight w:val="615" w:hRule="atLeast"/>
        </w:trPr>
        <w:tc>
          <w:tcPr>
            <w:tcW w:w="14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940"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小计</w:t>
            </w:r>
          </w:p>
        </w:tc>
        <w:tc>
          <w:tcPr>
            <w:tcW w:w="14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公务用车购置费</w:t>
            </w:r>
          </w:p>
        </w:tc>
        <w:tc>
          <w:tcPr>
            <w:tcW w:w="14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公务用车运行维护费</w:t>
            </w:r>
          </w:p>
        </w:tc>
        <w:tc>
          <w:tcPr>
            <w:tcW w:w="9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8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9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小计</w:t>
            </w:r>
          </w:p>
        </w:tc>
        <w:tc>
          <w:tcPr>
            <w:tcW w:w="14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公务用车购置费</w:t>
            </w:r>
          </w:p>
        </w:tc>
        <w:tc>
          <w:tcPr>
            <w:tcW w:w="1420"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公务用车运行维护费</w:t>
            </w:r>
          </w:p>
        </w:tc>
        <w:tc>
          <w:tcPr>
            <w:tcW w:w="129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1420" w:type="dxa"/>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0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940"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4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4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9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8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06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9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4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420"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29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r>
      <w:tr>
        <w:tblPrEx>
          <w:tblCellMar>
            <w:top w:w="0" w:type="dxa"/>
            <w:left w:w="108" w:type="dxa"/>
            <w:bottom w:w="0" w:type="dxa"/>
            <w:right w:w="108" w:type="dxa"/>
          </w:tblCellMar>
        </w:tblPrEx>
        <w:trPr>
          <w:trHeight w:val="308"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4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2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bl>
    <w:p>
      <w:pPr>
        <w:pStyle w:val="2"/>
        <w:spacing w:before="72"/>
        <w:rPr>
          <w:rStyle w:val="28"/>
          <w:rFonts w:ascii="Times New Roman" w:eastAsia="方正黑体_GBK"/>
        </w:rPr>
      </w:pPr>
    </w:p>
    <w:p>
      <w:pPr>
        <w:pStyle w:val="2"/>
        <w:spacing w:before="72"/>
        <w:jc w:val="center"/>
        <w:rPr>
          <w:rStyle w:val="28"/>
          <w:rFonts w:ascii="Times New Roman" w:eastAsia="方正黑体_GBK"/>
        </w:rPr>
      </w:pPr>
    </w:p>
    <w:sectPr>
      <w:headerReference r:id="rId3" w:type="default"/>
      <w:footerReference r:id="rId4" w:type="default"/>
      <w:pgSz w:w="16838" w:h="11906" w:orient="landscape"/>
      <w:pgMar w:top="426" w:right="1701" w:bottom="426" w:left="1134" w:header="851" w:footer="992" w:gutter="0"/>
      <w:pgNumType w:start="1"/>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6AF305C-F3FA-4152-A744-E2B61EAFED05}"/>
  </w:font>
  <w:font w:name="黑体">
    <w:panose1 w:val="02010609060101010101"/>
    <w:charset w:val="86"/>
    <w:family w:val="auto"/>
    <w:pitch w:val="default"/>
    <w:sig w:usb0="800002BF" w:usb1="38CF7CFA" w:usb2="00000016" w:usb3="00000000" w:csb0="00040001" w:csb1="00000000"/>
    <w:embedRegular r:id="rId2" w:fontKey="{E88FC69D-A307-4E72-B6CA-9409AFC483B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embedRegular r:id="rId3" w:fontKey="{2B4FB2EF-0A33-40F2-A1B6-3D4A426738E7}"/>
  </w:font>
  <w:font w:name="仿宋_GB2312">
    <w:panose1 w:val="02010609030101010101"/>
    <w:charset w:val="86"/>
    <w:family w:val="modern"/>
    <w:pitch w:val="default"/>
    <w:sig w:usb0="00000001" w:usb1="080E0000" w:usb2="00000000" w:usb3="00000000" w:csb0="00040000" w:csb1="00000000"/>
    <w:embedRegular r:id="rId4" w:fontKey="{E676638D-1AD6-460F-8E7C-E3691C48D01B}"/>
  </w:font>
  <w:font w:name="仿宋">
    <w:panose1 w:val="02010609060101010101"/>
    <w:charset w:val="86"/>
    <w:family w:val="modern"/>
    <w:pitch w:val="default"/>
    <w:sig w:usb0="800002BF" w:usb1="38CF7CFA" w:usb2="00000016" w:usb3="00000000" w:csb0="00040001" w:csb1="00000000"/>
    <w:embedRegular r:id="rId5" w:fontKey="{48BAECDD-1A47-4D0F-9FF1-45B6EB262474}"/>
  </w:font>
  <w:font w:name="??">
    <w:altName w:val="Times New Roman"/>
    <w:panose1 w:val="00000000000000000000"/>
    <w:charset w:val="00"/>
    <w:family w:val="roman"/>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Microsoft YaHei UI">
    <w:altName w:val="Segoe Print"/>
    <w:panose1 w:val="00000000000000000000"/>
    <w:charset w:val="00"/>
    <w:family w:val="auto"/>
    <w:pitch w:val="default"/>
    <w:sig w:usb0="00000000" w:usb1="00000000" w:usb2="00000000" w:usb3="00000000" w:csb0="00000000" w:csb1="00000000"/>
  </w:font>
  <w:font w:name="方正小标宋简体">
    <w:altName w:val="仿宋_GB2312"/>
    <w:panose1 w:val="02010601030101010101"/>
    <w:charset w:val="86"/>
    <w:family w:val="auto"/>
    <w:pitch w:val="default"/>
    <w:sig w:usb0="00000000" w:usb1="00000000" w:usb2="00000010" w:usb3="00000000" w:csb0="00040000" w:csb1="00000000"/>
    <w:embedRegular r:id="rId6" w:fontKey="{D2049F0B-BF8D-4A92-8671-06A9DD1BFC54}"/>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7" w:fontKey="{F4200BD7-9DC8-4052-A15F-E5C67764B5DC}"/>
  </w:font>
  <w:font w:name="方正仿宋_GBK">
    <w:panose1 w:val="03000509000000000000"/>
    <w:charset w:val="86"/>
    <w:family w:val="script"/>
    <w:pitch w:val="default"/>
    <w:sig w:usb0="00000001" w:usb1="080E0000" w:usb2="00000000" w:usb3="00000000" w:csb0="00040000" w:csb1="00000000"/>
    <w:embedRegular r:id="rId8" w:fontKey="{466DD488-699A-4A5F-A4FF-1CF1AC69E47F}"/>
  </w:font>
  <w:font w:name="方正楷体_GBK">
    <w:panose1 w:val="03000509000000000000"/>
    <w:charset w:val="86"/>
    <w:family w:val="script"/>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10" w:usb3="00000000" w:csb0="00040000" w:csb1="00000000"/>
    <w:embedRegular r:id="rId9" w:fontKey="{F37EC7F6-9CD0-4D0C-BB02-446F5415F239}"/>
  </w:font>
  <w:font w:name="方正黑体简体">
    <w:altName w:val="微软雅黑"/>
    <w:panose1 w:val="02010601030101010101"/>
    <w:charset w:val="86"/>
    <w:family w:val="auto"/>
    <w:pitch w:val="default"/>
    <w:sig w:usb0="00000000" w:usb1="00000000" w:usb2="00000010" w:usb3="00000000" w:csb0="00040000" w:csb1="00000000"/>
    <w:embedRegular r:id="rId10" w:fontKey="{BF473FAB-9945-494E-9311-AD5FC52D83C5}"/>
  </w:font>
  <w:font w:name="方正仿宋简体">
    <w:panose1 w:val="02000000000000000000"/>
    <w:charset w:val="86"/>
    <w:family w:val="auto"/>
    <w:pitch w:val="default"/>
    <w:sig w:usb0="A00002BF" w:usb1="184F6CFA" w:usb2="00000012" w:usb3="00000000" w:csb0="00040001" w:csb1="00000000"/>
    <w:embedRegular r:id="rId11" w:fontKey="{BD4C6E72-BE46-4C82-9FB0-D29EBDCF8DF5}"/>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96472"/>
    </w:sdtPr>
    <w:sdtContent>
      <w:p>
        <w:pPr>
          <w:pStyle w:val="7"/>
          <w:jc w:val="center"/>
        </w:pPr>
        <w:r>
          <w:fldChar w:fldCharType="begin"/>
        </w:r>
        <w:r>
          <w:instrText xml:space="preserve">PAGE   \* MERGEFORMAT</w:instrText>
        </w:r>
        <w:r>
          <w:fldChar w:fldCharType="separate"/>
        </w:r>
        <w:r>
          <w:rPr>
            <w:lang w:val="zh-CN"/>
          </w:rPr>
          <w:t>21</w:t>
        </w:r>
        <w:r>
          <w:rPr>
            <w:lang w:val="zh-CN"/>
          </w:rP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46420E71"/>
    <w:multiLevelType w:val="multilevel"/>
    <w:tmpl w:val="46420E7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2FE27B3"/>
    <w:multiLevelType w:val="multilevel"/>
    <w:tmpl w:val="52FE27B3"/>
    <w:lvl w:ilvl="0" w:tentative="0">
      <w:start w:val="2"/>
      <w:numFmt w:val="japaneseCounting"/>
      <w:lvlText w:val="%1、"/>
      <w:lvlJc w:val="left"/>
      <w:pPr>
        <w:ind w:left="1360" w:hanging="720"/>
      </w:pPr>
      <w:rPr>
        <w:rFonts w:hint="default" w:cs="Times New Roman"/>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NkMzQyZjM4NjBjOGNhMWUzODY2M2MzNzRkZjYzNWEifQ=="/>
  </w:docVars>
  <w:rsids>
    <w:rsidRoot w:val="00F1361C"/>
    <w:rsid w:val="00001C02"/>
    <w:rsid w:val="000222C6"/>
    <w:rsid w:val="0002549F"/>
    <w:rsid w:val="0004528B"/>
    <w:rsid w:val="000468DB"/>
    <w:rsid w:val="0006487A"/>
    <w:rsid w:val="00064E64"/>
    <w:rsid w:val="00065F8F"/>
    <w:rsid w:val="00067F45"/>
    <w:rsid w:val="00070A43"/>
    <w:rsid w:val="000768F2"/>
    <w:rsid w:val="0009184B"/>
    <w:rsid w:val="00094236"/>
    <w:rsid w:val="0009593C"/>
    <w:rsid w:val="00097322"/>
    <w:rsid w:val="000A6A92"/>
    <w:rsid w:val="000B047F"/>
    <w:rsid w:val="000B5923"/>
    <w:rsid w:val="000B5A48"/>
    <w:rsid w:val="000B6D48"/>
    <w:rsid w:val="000B6FF3"/>
    <w:rsid w:val="000C3467"/>
    <w:rsid w:val="000C3CA6"/>
    <w:rsid w:val="000D1267"/>
    <w:rsid w:val="000D1D50"/>
    <w:rsid w:val="000D5782"/>
    <w:rsid w:val="000D7679"/>
    <w:rsid w:val="000E44F1"/>
    <w:rsid w:val="000E6613"/>
    <w:rsid w:val="000E7119"/>
    <w:rsid w:val="00101BFA"/>
    <w:rsid w:val="00114E9B"/>
    <w:rsid w:val="00135E25"/>
    <w:rsid w:val="00142216"/>
    <w:rsid w:val="001429DC"/>
    <w:rsid w:val="00144D6A"/>
    <w:rsid w:val="0014729F"/>
    <w:rsid w:val="001576AE"/>
    <w:rsid w:val="00157BAB"/>
    <w:rsid w:val="001654D1"/>
    <w:rsid w:val="00166A5B"/>
    <w:rsid w:val="00174518"/>
    <w:rsid w:val="0018106D"/>
    <w:rsid w:val="00182D90"/>
    <w:rsid w:val="001877A7"/>
    <w:rsid w:val="00191536"/>
    <w:rsid w:val="00196687"/>
    <w:rsid w:val="001A10EB"/>
    <w:rsid w:val="001C0962"/>
    <w:rsid w:val="001D7531"/>
    <w:rsid w:val="001E6149"/>
    <w:rsid w:val="001E658D"/>
    <w:rsid w:val="001E737D"/>
    <w:rsid w:val="001F0592"/>
    <w:rsid w:val="001F7506"/>
    <w:rsid w:val="002006CD"/>
    <w:rsid w:val="00202B36"/>
    <w:rsid w:val="00204B7A"/>
    <w:rsid w:val="00204CDE"/>
    <w:rsid w:val="0021101A"/>
    <w:rsid w:val="00220536"/>
    <w:rsid w:val="00235629"/>
    <w:rsid w:val="002562CB"/>
    <w:rsid w:val="00260C38"/>
    <w:rsid w:val="002616C0"/>
    <w:rsid w:val="00262E69"/>
    <w:rsid w:val="00265372"/>
    <w:rsid w:val="002662AA"/>
    <w:rsid w:val="00280496"/>
    <w:rsid w:val="00294DC9"/>
    <w:rsid w:val="00295495"/>
    <w:rsid w:val="002A31DE"/>
    <w:rsid w:val="002B2613"/>
    <w:rsid w:val="002D6D05"/>
    <w:rsid w:val="002F1818"/>
    <w:rsid w:val="002F567B"/>
    <w:rsid w:val="003216A9"/>
    <w:rsid w:val="0033222F"/>
    <w:rsid w:val="00335A74"/>
    <w:rsid w:val="00357685"/>
    <w:rsid w:val="0036561B"/>
    <w:rsid w:val="0037013F"/>
    <w:rsid w:val="00380C92"/>
    <w:rsid w:val="003A3964"/>
    <w:rsid w:val="003A484F"/>
    <w:rsid w:val="003A4883"/>
    <w:rsid w:val="003B0BE0"/>
    <w:rsid w:val="003B0C1B"/>
    <w:rsid w:val="003B5705"/>
    <w:rsid w:val="003B688C"/>
    <w:rsid w:val="003C0291"/>
    <w:rsid w:val="003C3908"/>
    <w:rsid w:val="003C39AE"/>
    <w:rsid w:val="003C7B60"/>
    <w:rsid w:val="003D0C0F"/>
    <w:rsid w:val="003D1FB2"/>
    <w:rsid w:val="003D66DA"/>
    <w:rsid w:val="003E1310"/>
    <w:rsid w:val="003E6A98"/>
    <w:rsid w:val="003E6F55"/>
    <w:rsid w:val="00406254"/>
    <w:rsid w:val="004223DE"/>
    <w:rsid w:val="0042587C"/>
    <w:rsid w:val="00434489"/>
    <w:rsid w:val="00437085"/>
    <w:rsid w:val="00443880"/>
    <w:rsid w:val="004464F4"/>
    <w:rsid w:val="00467527"/>
    <w:rsid w:val="00470CE9"/>
    <w:rsid w:val="00471401"/>
    <w:rsid w:val="00473F31"/>
    <w:rsid w:val="0048263A"/>
    <w:rsid w:val="00487E5D"/>
    <w:rsid w:val="004948B4"/>
    <w:rsid w:val="004A711F"/>
    <w:rsid w:val="004B0BB2"/>
    <w:rsid w:val="004B199D"/>
    <w:rsid w:val="004B4690"/>
    <w:rsid w:val="004C3A96"/>
    <w:rsid w:val="004C6CC9"/>
    <w:rsid w:val="004E0A2D"/>
    <w:rsid w:val="004E206B"/>
    <w:rsid w:val="004E6DF7"/>
    <w:rsid w:val="004F0FBD"/>
    <w:rsid w:val="00505A47"/>
    <w:rsid w:val="00512FDA"/>
    <w:rsid w:val="00514BAE"/>
    <w:rsid w:val="00520DA0"/>
    <w:rsid w:val="00541203"/>
    <w:rsid w:val="005664BB"/>
    <w:rsid w:val="00566FFA"/>
    <w:rsid w:val="0057481D"/>
    <w:rsid w:val="00577D26"/>
    <w:rsid w:val="0058486E"/>
    <w:rsid w:val="00585B33"/>
    <w:rsid w:val="0059014D"/>
    <w:rsid w:val="005B5C64"/>
    <w:rsid w:val="005C5337"/>
    <w:rsid w:val="005C6BD0"/>
    <w:rsid w:val="005D1C8B"/>
    <w:rsid w:val="005D468D"/>
    <w:rsid w:val="005D5CED"/>
    <w:rsid w:val="005F1A4C"/>
    <w:rsid w:val="005F48DE"/>
    <w:rsid w:val="005F5DC5"/>
    <w:rsid w:val="00605688"/>
    <w:rsid w:val="006070AF"/>
    <w:rsid w:val="00607E6C"/>
    <w:rsid w:val="006101B1"/>
    <w:rsid w:val="00614E44"/>
    <w:rsid w:val="006156A9"/>
    <w:rsid w:val="0062270A"/>
    <w:rsid w:val="00622830"/>
    <w:rsid w:val="00623DA0"/>
    <w:rsid w:val="00630201"/>
    <w:rsid w:val="00630AEF"/>
    <w:rsid w:val="006325F8"/>
    <w:rsid w:val="00633463"/>
    <w:rsid w:val="00634C9A"/>
    <w:rsid w:val="006440E4"/>
    <w:rsid w:val="0066343B"/>
    <w:rsid w:val="00664777"/>
    <w:rsid w:val="00672A61"/>
    <w:rsid w:val="006748A4"/>
    <w:rsid w:val="00681A31"/>
    <w:rsid w:val="00683E73"/>
    <w:rsid w:val="00692448"/>
    <w:rsid w:val="006A3141"/>
    <w:rsid w:val="006A5E34"/>
    <w:rsid w:val="006B2422"/>
    <w:rsid w:val="006B2B9A"/>
    <w:rsid w:val="006C1937"/>
    <w:rsid w:val="006C34F2"/>
    <w:rsid w:val="006F020C"/>
    <w:rsid w:val="007068FD"/>
    <w:rsid w:val="007127B7"/>
    <w:rsid w:val="0071798E"/>
    <w:rsid w:val="00740B75"/>
    <w:rsid w:val="007416B6"/>
    <w:rsid w:val="00746F48"/>
    <w:rsid w:val="0075404D"/>
    <w:rsid w:val="0076182A"/>
    <w:rsid w:val="00767B7E"/>
    <w:rsid w:val="007770C3"/>
    <w:rsid w:val="00782FB4"/>
    <w:rsid w:val="00784D24"/>
    <w:rsid w:val="00785FBA"/>
    <w:rsid w:val="00786E4A"/>
    <w:rsid w:val="007875EB"/>
    <w:rsid w:val="0079426B"/>
    <w:rsid w:val="007B0F96"/>
    <w:rsid w:val="007D1682"/>
    <w:rsid w:val="007D312A"/>
    <w:rsid w:val="007D3F19"/>
    <w:rsid w:val="007D7478"/>
    <w:rsid w:val="007E23B0"/>
    <w:rsid w:val="007E23E5"/>
    <w:rsid w:val="007E7D38"/>
    <w:rsid w:val="007F1991"/>
    <w:rsid w:val="007F2C2F"/>
    <w:rsid w:val="007F55FC"/>
    <w:rsid w:val="007F5665"/>
    <w:rsid w:val="00800112"/>
    <w:rsid w:val="00810733"/>
    <w:rsid w:val="00813348"/>
    <w:rsid w:val="008253BB"/>
    <w:rsid w:val="0083706E"/>
    <w:rsid w:val="008408F6"/>
    <w:rsid w:val="008423A5"/>
    <w:rsid w:val="00850625"/>
    <w:rsid w:val="00852F76"/>
    <w:rsid w:val="00853718"/>
    <w:rsid w:val="00855221"/>
    <w:rsid w:val="00860645"/>
    <w:rsid w:val="00871F71"/>
    <w:rsid w:val="00872FD8"/>
    <w:rsid w:val="00876046"/>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16A"/>
    <w:rsid w:val="0097099F"/>
    <w:rsid w:val="00971997"/>
    <w:rsid w:val="00971FFC"/>
    <w:rsid w:val="0098660A"/>
    <w:rsid w:val="009931C3"/>
    <w:rsid w:val="009B2C43"/>
    <w:rsid w:val="009B4EAE"/>
    <w:rsid w:val="009B6BA4"/>
    <w:rsid w:val="009B6C53"/>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75E35"/>
    <w:rsid w:val="00A856E1"/>
    <w:rsid w:val="00A91760"/>
    <w:rsid w:val="00A93B00"/>
    <w:rsid w:val="00A93C21"/>
    <w:rsid w:val="00AB64C9"/>
    <w:rsid w:val="00AC3C6A"/>
    <w:rsid w:val="00AD5620"/>
    <w:rsid w:val="00AD656B"/>
    <w:rsid w:val="00AD7C1B"/>
    <w:rsid w:val="00AE16BA"/>
    <w:rsid w:val="00AE1EBE"/>
    <w:rsid w:val="00B03C9D"/>
    <w:rsid w:val="00B045A7"/>
    <w:rsid w:val="00B060AE"/>
    <w:rsid w:val="00B06322"/>
    <w:rsid w:val="00B10217"/>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39CA"/>
    <w:rsid w:val="00BC5361"/>
    <w:rsid w:val="00BC5460"/>
    <w:rsid w:val="00BC6B50"/>
    <w:rsid w:val="00BD0C1A"/>
    <w:rsid w:val="00BD0E25"/>
    <w:rsid w:val="00BF5BD6"/>
    <w:rsid w:val="00C03E31"/>
    <w:rsid w:val="00C33E72"/>
    <w:rsid w:val="00C354B2"/>
    <w:rsid w:val="00C35554"/>
    <w:rsid w:val="00C42709"/>
    <w:rsid w:val="00C449EF"/>
    <w:rsid w:val="00C533CC"/>
    <w:rsid w:val="00C5751C"/>
    <w:rsid w:val="00C61BFC"/>
    <w:rsid w:val="00C62B85"/>
    <w:rsid w:val="00C65438"/>
    <w:rsid w:val="00C87FD8"/>
    <w:rsid w:val="00C91381"/>
    <w:rsid w:val="00C91CBB"/>
    <w:rsid w:val="00CB4E70"/>
    <w:rsid w:val="00CC09B6"/>
    <w:rsid w:val="00CC666F"/>
    <w:rsid w:val="00CD1E3F"/>
    <w:rsid w:val="00CD2775"/>
    <w:rsid w:val="00CE44F6"/>
    <w:rsid w:val="00CE49DA"/>
    <w:rsid w:val="00CE7B61"/>
    <w:rsid w:val="00CF34F4"/>
    <w:rsid w:val="00D00095"/>
    <w:rsid w:val="00D114F0"/>
    <w:rsid w:val="00D20620"/>
    <w:rsid w:val="00D254F7"/>
    <w:rsid w:val="00D26091"/>
    <w:rsid w:val="00D2685C"/>
    <w:rsid w:val="00D34E7C"/>
    <w:rsid w:val="00D35489"/>
    <w:rsid w:val="00D36AFE"/>
    <w:rsid w:val="00D37FDA"/>
    <w:rsid w:val="00D51276"/>
    <w:rsid w:val="00D65DCD"/>
    <w:rsid w:val="00D7035F"/>
    <w:rsid w:val="00D922AB"/>
    <w:rsid w:val="00DA634F"/>
    <w:rsid w:val="00DA65AC"/>
    <w:rsid w:val="00DB1913"/>
    <w:rsid w:val="00DC410D"/>
    <w:rsid w:val="00DC5A81"/>
    <w:rsid w:val="00DC68CA"/>
    <w:rsid w:val="00DC7CBA"/>
    <w:rsid w:val="00DD73B7"/>
    <w:rsid w:val="00DF28BC"/>
    <w:rsid w:val="00DF34B9"/>
    <w:rsid w:val="00DF69E7"/>
    <w:rsid w:val="00E01053"/>
    <w:rsid w:val="00E0732E"/>
    <w:rsid w:val="00E07ACF"/>
    <w:rsid w:val="00E331A1"/>
    <w:rsid w:val="00E33202"/>
    <w:rsid w:val="00E336A9"/>
    <w:rsid w:val="00E472B1"/>
    <w:rsid w:val="00E50624"/>
    <w:rsid w:val="00E568DF"/>
    <w:rsid w:val="00E64269"/>
    <w:rsid w:val="00E759E5"/>
    <w:rsid w:val="00E82267"/>
    <w:rsid w:val="00E83229"/>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2092"/>
    <w:rsid w:val="00F2408F"/>
    <w:rsid w:val="00F240E9"/>
    <w:rsid w:val="00F36470"/>
    <w:rsid w:val="00F36D8F"/>
    <w:rsid w:val="00F417B1"/>
    <w:rsid w:val="00F45853"/>
    <w:rsid w:val="00F602DF"/>
    <w:rsid w:val="00F66CF1"/>
    <w:rsid w:val="00F754A1"/>
    <w:rsid w:val="00F81FD9"/>
    <w:rsid w:val="00F841AA"/>
    <w:rsid w:val="00F84A94"/>
    <w:rsid w:val="00F87E96"/>
    <w:rsid w:val="00FA10A7"/>
    <w:rsid w:val="00FA23E8"/>
    <w:rsid w:val="00FD3CC1"/>
    <w:rsid w:val="00FD6420"/>
    <w:rsid w:val="00FF1E02"/>
    <w:rsid w:val="00FF30B4"/>
    <w:rsid w:val="015975B8"/>
    <w:rsid w:val="02143E91"/>
    <w:rsid w:val="066E0107"/>
    <w:rsid w:val="06A74E8E"/>
    <w:rsid w:val="07996F6E"/>
    <w:rsid w:val="0A2032A3"/>
    <w:rsid w:val="0F062815"/>
    <w:rsid w:val="0F98263C"/>
    <w:rsid w:val="101860EC"/>
    <w:rsid w:val="10C055FF"/>
    <w:rsid w:val="118107EC"/>
    <w:rsid w:val="13D50BC4"/>
    <w:rsid w:val="14254FA8"/>
    <w:rsid w:val="16BB723D"/>
    <w:rsid w:val="1AAB3CB5"/>
    <w:rsid w:val="1BE8440E"/>
    <w:rsid w:val="1D155CEE"/>
    <w:rsid w:val="1F5970FC"/>
    <w:rsid w:val="1FF35744"/>
    <w:rsid w:val="21653685"/>
    <w:rsid w:val="23860B96"/>
    <w:rsid w:val="240371BF"/>
    <w:rsid w:val="29FD04D3"/>
    <w:rsid w:val="2A6E0386"/>
    <w:rsid w:val="2BA01D38"/>
    <w:rsid w:val="2C8A61B5"/>
    <w:rsid w:val="2DF04E50"/>
    <w:rsid w:val="2E7A66D8"/>
    <w:rsid w:val="2F040D46"/>
    <w:rsid w:val="316F46B4"/>
    <w:rsid w:val="319F7F4E"/>
    <w:rsid w:val="3304709D"/>
    <w:rsid w:val="332F7206"/>
    <w:rsid w:val="34F62781"/>
    <w:rsid w:val="36AA5135"/>
    <w:rsid w:val="36AE4022"/>
    <w:rsid w:val="376D39B2"/>
    <w:rsid w:val="37E16F03"/>
    <w:rsid w:val="38D469F0"/>
    <w:rsid w:val="3CEB22A8"/>
    <w:rsid w:val="3D98207C"/>
    <w:rsid w:val="3E78745D"/>
    <w:rsid w:val="423E7268"/>
    <w:rsid w:val="44E268DA"/>
    <w:rsid w:val="4A624744"/>
    <w:rsid w:val="4A627F82"/>
    <w:rsid w:val="4B0E749A"/>
    <w:rsid w:val="4B3E3825"/>
    <w:rsid w:val="4B4F25DA"/>
    <w:rsid w:val="4BE068DB"/>
    <w:rsid w:val="4C802A5F"/>
    <w:rsid w:val="4D577224"/>
    <w:rsid w:val="4EAB630A"/>
    <w:rsid w:val="4ECE2238"/>
    <w:rsid w:val="537E6D0A"/>
    <w:rsid w:val="5AF92295"/>
    <w:rsid w:val="5CD71FC4"/>
    <w:rsid w:val="66EF4330"/>
    <w:rsid w:val="67D62A23"/>
    <w:rsid w:val="6C4A05C8"/>
    <w:rsid w:val="6E7E3605"/>
    <w:rsid w:val="6E9B643E"/>
    <w:rsid w:val="6FF5CC65"/>
    <w:rsid w:val="715C0E4B"/>
    <w:rsid w:val="72734D90"/>
    <w:rsid w:val="73AD73D5"/>
    <w:rsid w:val="73B6EB34"/>
    <w:rsid w:val="744731E5"/>
    <w:rsid w:val="760101B2"/>
    <w:rsid w:val="76E3355F"/>
    <w:rsid w:val="778769C8"/>
    <w:rsid w:val="78D232CD"/>
    <w:rsid w:val="79EE5BA4"/>
    <w:rsid w:val="7A011693"/>
    <w:rsid w:val="7A894339"/>
    <w:rsid w:val="7EEF11D3"/>
    <w:rsid w:val="7F634149"/>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paragraph" w:customStyle="1" w:styleId="1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5"/>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5"/>
    <w:semiHidden/>
    <w:qFormat/>
    <w:uiPriority w:val="99"/>
    <w:rPr>
      <w:rFonts w:ascii="Times New Roman" w:hAnsi="Times New Roman"/>
      <w:sz w:val="18"/>
      <w:szCs w:val="18"/>
    </w:rPr>
  </w:style>
  <w:style w:type="character" w:customStyle="1" w:styleId="23">
    <w:name w:val="页脚 Char"/>
    <w:link w:val="7"/>
    <w:qFormat/>
    <w:locked/>
    <w:uiPriority w:val="99"/>
    <w:rPr>
      <w:sz w:val="18"/>
    </w:rPr>
  </w:style>
  <w:style w:type="character" w:customStyle="1" w:styleId="24">
    <w:name w:val="Body Text Char"/>
    <w:basedOn w:val="15"/>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styleId="26">
    <w:name w:val="List Paragraph"/>
    <w:basedOn w:val="1"/>
    <w:qFormat/>
    <w:uiPriority w:val="34"/>
    <w:pPr>
      <w:ind w:firstLine="420" w:firstLineChars="200"/>
    </w:pPr>
  </w:style>
  <w:style w:type="character" w:customStyle="1" w:styleId="27">
    <w:name w:val="标题 1 Char"/>
    <w:basedOn w:val="15"/>
    <w:link w:val="3"/>
    <w:qFormat/>
    <w:uiPriority w:val="9"/>
    <w:rPr>
      <w:rFonts w:ascii="Times New Roman" w:hAnsi="Times New Roman"/>
      <w:b/>
      <w:bCs/>
      <w:kern w:val="44"/>
      <w:sz w:val="44"/>
      <w:szCs w:val="44"/>
    </w:rPr>
  </w:style>
  <w:style w:type="character" w:customStyle="1" w:styleId="28">
    <w:name w:val="标题 2 Char"/>
    <w:basedOn w:val="15"/>
    <w:link w:val="4"/>
    <w:qFormat/>
    <w:uiPriority w:val="9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5"/>
    <w:link w:val="9"/>
    <w:semiHidden/>
    <w:qFormat/>
    <w:uiPriority w:val="99"/>
    <w:rPr>
      <w:rFonts w:ascii="Times New Roman" w:hAnsi="Times New Roman"/>
      <w:kern w:val="2"/>
      <w:sz w:val="18"/>
      <w:szCs w:val="18"/>
    </w:rPr>
  </w:style>
  <w:style w:type="character" w:customStyle="1" w:styleId="31">
    <w:name w:val="标题 3 Char"/>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3">
    <w:name w:val="四号正文"/>
    <w:basedOn w:val="1"/>
    <w:qFormat/>
    <w:uiPriority w:val="0"/>
    <w:pPr>
      <w:spacing w:line="360" w:lineRule="auto"/>
    </w:pPr>
    <w:rPr>
      <w:rFonts w:ascii="??" w:hAnsi="??"/>
      <w:color w:val="000000"/>
      <w:kern w:val="0"/>
      <w:sz w:val="28"/>
      <w:szCs w:val="21"/>
      <w:lang w:val="zh-CN"/>
    </w:rPr>
  </w:style>
  <w:style w:type="character" w:customStyle="1" w:styleId="34">
    <w:name w:val="font141"/>
    <w:basedOn w:val="15"/>
    <w:qFormat/>
    <w:uiPriority w:val="0"/>
    <w:rPr>
      <w:rFonts w:hint="eastAsia" w:ascii="宋体" w:hAnsi="宋体" w:eastAsia="宋体" w:cs="宋体"/>
      <w:b/>
      <w:color w:val="000000"/>
      <w:sz w:val="40"/>
      <w:szCs w:val="40"/>
      <w:u w:val="none"/>
    </w:rPr>
  </w:style>
  <w:style w:type="character" w:customStyle="1" w:styleId="35">
    <w:name w:val="font51"/>
    <w:basedOn w:val="15"/>
    <w:qFormat/>
    <w:uiPriority w:val="0"/>
    <w:rPr>
      <w:rFonts w:hint="eastAsia" w:ascii="宋体" w:hAnsi="宋体" w:eastAsia="宋体" w:cs="宋体"/>
      <w:b/>
      <w:color w:val="000000"/>
      <w:sz w:val="24"/>
      <w:szCs w:val="24"/>
      <w:u w:val="none"/>
    </w:rPr>
  </w:style>
  <w:style w:type="character" w:customStyle="1" w:styleId="36">
    <w:name w:val="font71"/>
    <w:basedOn w:val="15"/>
    <w:qFormat/>
    <w:uiPriority w:val="0"/>
    <w:rPr>
      <w:rFonts w:hint="eastAsia" w:ascii="宋体" w:hAnsi="宋体" w:eastAsia="宋体" w:cs="宋体"/>
      <w:color w:val="000000"/>
      <w:sz w:val="24"/>
      <w:szCs w:val="24"/>
      <w:u w:val="none"/>
    </w:rPr>
  </w:style>
  <w:style w:type="character" w:customStyle="1" w:styleId="37">
    <w:name w:val="font111"/>
    <w:basedOn w:val="15"/>
    <w:qFormat/>
    <w:uiPriority w:val="0"/>
    <w:rPr>
      <w:rFonts w:hint="default" w:ascii="Times New Roman" w:hAnsi="Times New Roman" w:cs="Times New Roman"/>
      <w:color w:val="000000"/>
      <w:sz w:val="24"/>
      <w:szCs w:val="24"/>
      <w:u w:val="none"/>
    </w:rPr>
  </w:style>
  <w:style w:type="character" w:customStyle="1" w:styleId="38">
    <w:name w:val="font41"/>
    <w:basedOn w:val="15"/>
    <w:qFormat/>
    <w:uiPriority w:val="0"/>
    <w:rPr>
      <w:rFonts w:ascii="方正书宋_GBK" w:hAnsi="方正书宋_GBK" w:eastAsia="方正书宋_GBK" w:cs="方正书宋_GBK"/>
      <w:color w:val="000000"/>
      <w:sz w:val="24"/>
      <w:szCs w:val="24"/>
      <w:u w:val="none"/>
    </w:rPr>
  </w:style>
  <w:style w:type="character" w:customStyle="1" w:styleId="39">
    <w:name w:val="font151"/>
    <w:basedOn w:val="15"/>
    <w:qFormat/>
    <w:uiPriority w:val="0"/>
    <w:rPr>
      <w:rFonts w:hint="eastAsia" w:ascii="宋体" w:hAnsi="宋体" w:eastAsia="宋体" w:cs="宋体"/>
      <w:color w:val="000000"/>
      <w:sz w:val="24"/>
      <w:szCs w:val="24"/>
      <w:u w:val="none"/>
    </w:rPr>
  </w:style>
  <w:style w:type="character" w:customStyle="1" w:styleId="40">
    <w:name w:val="font01"/>
    <w:basedOn w:val="15"/>
    <w:qFormat/>
    <w:uiPriority w:val="0"/>
    <w:rPr>
      <w:rFonts w:hint="default" w:ascii="Times New Roman" w:hAnsi="Times New Roman" w:cs="Times New Roman"/>
      <w:color w:val="000000"/>
      <w:sz w:val="24"/>
      <w:szCs w:val="24"/>
      <w:u w:val="none"/>
    </w:rPr>
  </w:style>
  <w:style w:type="character" w:customStyle="1" w:styleId="41">
    <w:name w:val="font31"/>
    <w:basedOn w:val="15"/>
    <w:qFormat/>
    <w:uiPriority w:val="0"/>
    <w:rPr>
      <w:rFonts w:hint="default" w:ascii="Times New Roman" w:hAnsi="Times New Roman" w:cs="Times New Roman"/>
      <w:color w:val="000000"/>
      <w:sz w:val="24"/>
      <w:szCs w:val="24"/>
      <w:u w:val="none"/>
    </w:rPr>
  </w:style>
  <w:style w:type="character" w:customStyle="1" w:styleId="42">
    <w:name w:val="font21"/>
    <w:basedOn w:val="15"/>
    <w:qFormat/>
    <w:uiPriority w:val="0"/>
    <w:rPr>
      <w:rFonts w:hint="default" w:ascii="Microsoft YaHei UI" w:hAnsi="Microsoft YaHei UI" w:eastAsia="Microsoft YaHei UI" w:cs="Microsoft YaHei U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F:\&#20915;&#31639;&#25253;&#21578;\2022&#24180;&#20915;&#31639;&#20844;&#24320;\2022&#24180;&#20915;&#31639;&#20844;&#24320;&#19979;&#21457;&#25968;&#25454;\&#20915;&#31639;&#20844;&#24320;&#22270;&#34920;&#25968;&#25454;&#25552;&#21462;&#19982;&#29983;&#251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0915;&#31639;&#25253;&#21578;\2022&#24180;&#20915;&#31639;&#20844;&#24320;\2022&#24180;&#20915;&#31639;&#20844;&#24320;&#19979;&#21457;&#25968;&#25454;\&#20915;&#31639;&#20844;&#24320;&#22270;&#34920;&#25968;&#25454;&#25552;&#21462;&#19982;&#29983;&#2510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0915;&#31639;&#25253;&#21578;\2022&#24180;&#20915;&#31639;&#20844;&#24320;\2022&#24180;&#20915;&#31639;&#20844;&#24320;&#19979;&#21457;&#25968;&#25454;\&#20915;&#31639;&#20844;&#24320;&#22270;&#34920;&#25968;&#25454;&#25552;&#21462;&#19982;&#29983;&#2510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20915;&#31639;&#25253;&#21578;\2022&#24180;&#20915;&#31639;&#20844;&#24320;\2022&#24180;&#20915;&#31639;&#20844;&#24320;&#19979;&#21457;&#25968;&#25454;\&#20915;&#31639;&#20844;&#24320;&#22270;&#34920;&#25968;&#25454;&#25552;&#21462;&#19982;&#29983;&#2510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20915;&#31639;&#25253;&#21578;\2022&#24180;&#20915;&#31639;&#20844;&#24320;\2022&#24180;&#20915;&#31639;&#20844;&#24320;&#19979;&#21457;&#25968;&#25454;\&#20915;&#31639;&#20844;&#24320;&#22270;&#34920;&#25968;&#25454;&#25552;&#21462;&#19982;&#29983;&#2510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20915;&#31639;&#25253;&#21578;\2022&#24180;&#20915;&#31639;&#20844;&#24320;\2022&#24180;&#20915;&#31639;&#20844;&#24320;&#19979;&#21457;&#25968;&#25454;\&#20915;&#31639;&#20844;&#24320;&#22270;&#34920;&#25968;&#25454;&#25552;&#21462;&#19982;&#29983;&#251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2021收支总额</c:v>
                </c:pt>
                <c:pt idx="1">
                  <c:v>2022收支总额</c:v>
                </c:pt>
              </c:strCache>
            </c:strRef>
          </c:cat>
          <c:val>
            <c:numRef>
              <c:f>Sheet1!$B$2:$B$3</c:f>
              <c:numCache>
                <c:formatCode>#,##0.00</c:formatCode>
                <c:ptCount val="2"/>
                <c:pt idx="0">
                  <c:v>12216.78</c:v>
                </c:pt>
                <c:pt idx="1">
                  <c:v>7890.42</c:v>
                </c:pt>
              </c:numCache>
            </c:numRef>
          </c:val>
        </c:ser>
        <c:dLbls>
          <c:showLegendKey val="0"/>
          <c:showVal val="1"/>
          <c:showCatName val="0"/>
          <c:showSerName val="0"/>
          <c:showPercent val="0"/>
          <c:showBubbleSize val="0"/>
        </c:dLbls>
        <c:gapWidth val="75"/>
        <c:axId val="70661632"/>
        <c:axId val="70663168"/>
      </c:barChart>
      <c:catAx>
        <c:axId val="7066163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0663168"/>
        <c:crosses val="autoZero"/>
        <c:auto val="1"/>
        <c:lblAlgn val="ctr"/>
        <c:lblOffset val="100"/>
        <c:noMultiLvlLbl val="0"/>
      </c:catAx>
      <c:valAx>
        <c:axId val="70663168"/>
        <c:scaling>
          <c:orientation val="minMax"/>
        </c:scaling>
        <c:delete val="0"/>
        <c:axPos val="l"/>
        <c:numFmt formatCode="#,##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066163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effectLst/>
              </a:rPr>
              <a:t>收入决算结构图</a:t>
            </a:r>
            <a:endParaRPr lang="zh-CN" altLang="en-US"/>
          </a:p>
        </c:rich>
      </c:tx>
      <c:layout>
        <c:manualLayout>
          <c:xMode val="edge"/>
          <c:yMode val="edge"/>
          <c:x val="0.35677967147057"/>
          <c:y val="0.0374926702936644"/>
        </c:manualLayout>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dLbl>
              <c:idx val="1"/>
              <c:layout>
                <c:manualLayout>
                  <c:x val="0.0526261110311603"/>
                  <c:y val="0.00095593313993645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00406789882335204"/>
                  <c:y val="-0.059862780310356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116159618428897"/>
                  <c:y val="-0.0037224294331629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465905991516074"/>
                  <c:y val="-0.0084007920062624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119697648759963"/>
                  <c:y val="0.019669383432334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0.190193732310876"/>
                  <c:y val="0.024347746005433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7"/>
              <c:layout>
                <c:manualLayout>
                  <c:x val="0.174470919594581"/>
                  <c:y val="0.023178155362158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Sheet1!$A$18:$A$25</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Sheet1!$B$18:$B$25</c:f>
              <c:numCache>
                <c:formatCode>#,##0.00</c:formatCode>
                <c:ptCount val="8"/>
                <c:pt idx="0">
                  <c:v>2233.95</c:v>
                </c:pt>
                <c:pt idx="1">
                  <c:v>0</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2022</a:t>
            </a:r>
            <a:r>
              <a:rPr lang="zh-CN" altLang="en-US"/>
              <a:t>年支出</a:t>
            </a:r>
            <a:endParaRPr lang="zh-CN" altLang="en-US"/>
          </a:p>
        </c:rich>
      </c:tx>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Lbls>
            <c:dLbl>
              <c:idx val="1"/>
              <c:layout>
                <c:manualLayout>
                  <c:x val="0.0482413604549431"/>
                  <c:y val="-0.018041338582677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04536417322835"/>
                  <c:y val="-0.0076246719160104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200369750656168"/>
                  <c:y val="0.065291994750656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155880249343832"/>
                  <c:y val="0.0062642169728783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Sheet1!$A$34:$A$38</c:f>
              <c:strCache>
                <c:ptCount val="5"/>
                <c:pt idx="0">
                  <c:v>基本支出</c:v>
                </c:pt>
                <c:pt idx="1">
                  <c:v>项目支出</c:v>
                </c:pt>
                <c:pt idx="2">
                  <c:v>上缴上级支出</c:v>
                </c:pt>
                <c:pt idx="3">
                  <c:v>经营支出</c:v>
                </c:pt>
                <c:pt idx="4">
                  <c:v>对附属单位补助支出</c:v>
                </c:pt>
              </c:strCache>
            </c:strRef>
          </c:cat>
          <c:val>
            <c:numRef>
              <c:f>Sheet1!$B$34:$B$38</c:f>
              <c:numCache>
                <c:formatCode>#,##0.00</c:formatCode>
                <c:ptCount val="5"/>
                <c:pt idx="0">
                  <c:v>2233.95</c:v>
                </c:pt>
                <c:pt idx="1">
                  <c:v>0</c:v>
                </c:pt>
                <c:pt idx="2" c:formatCode="General">
                  <c:v>0</c:v>
                </c:pt>
                <c:pt idx="3" c:formatCode="General">
                  <c:v>0</c:v>
                </c:pt>
                <c:pt idx="4" c:formatCode="General">
                  <c:v>0</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Sheet1!$A$50:$A$51</c:f>
              <c:strCache>
                <c:ptCount val="2"/>
                <c:pt idx="0">
                  <c:v>2021年财政拨款收入</c:v>
                </c:pt>
                <c:pt idx="1">
                  <c:v>2022年财政拨款收入</c:v>
                </c:pt>
              </c:strCache>
            </c:strRef>
          </c:cat>
          <c:val>
            <c:numRef>
              <c:f>Sheet1!$B$50:$B$51</c:f>
              <c:numCache>
                <c:formatCode>#,##0.00</c:formatCode>
                <c:ptCount val="2"/>
                <c:pt idx="0">
                  <c:v>7390.82</c:v>
                </c:pt>
                <c:pt idx="1" c:formatCode="General">
                  <c:v>2233.95</c:v>
                </c:pt>
              </c:numCache>
            </c:numRef>
          </c:val>
        </c:ser>
        <c:dLbls>
          <c:showLegendKey val="0"/>
          <c:showVal val="1"/>
          <c:showCatName val="0"/>
          <c:showSerName val="0"/>
          <c:showPercent val="0"/>
          <c:showBubbleSize val="0"/>
        </c:dLbls>
        <c:gapWidth val="75"/>
        <c:axId val="50925952"/>
        <c:axId val="50927488"/>
      </c:barChart>
      <c:catAx>
        <c:axId val="5092595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0927488"/>
        <c:crosses val="autoZero"/>
        <c:auto val="1"/>
        <c:lblAlgn val="ctr"/>
        <c:lblOffset val="100"/>
        <c:noMultiLvlLbl val="0"/>
      </c:catAx>
      <c:valAx>
        <c:axId val="50927488"/>
        <c:scaling>
          <c:orientation val="minMax"/>
        </c:scaling>
        <c:delete val="0"/>
        <c:axPos val="l"/>
        <c:numFmt formatCode="#,##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092595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一般公共预算财政拨款支出决算变动</a:t>
            </a:r>
            <a:endParaRPr lang="zh-CN" altLang="en-US"/>
          </a:p>
        </c:rich>
      </c:tx>
      <c:layout/>
      <c:overlay val="0"/>
    </c:title>
    <c:autoTitleDeleted val="0"/>
    <c:plotArea>
      <c:layout>
        <c:manualLayout>
          <c:layoutTarget val="inner"/>
          <c:xMode val="edge"/>
          <c:yMode val="edge"/>
          <c:x val="0.0280970625798213"/>
          <c:y val="0.33210956877813"/>
          <c:w val="0.943805874840358"/>
          <c:h val="0.572373298698491"/>
        </c:manualLayout>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Sheet1!$A$67:$A$68</c:f>
              <c:strCache>
                <c:ptCount val="2"/>
                <c:pt idx="0">
                  <c:v>2021年一般公共预算财政拨款支出</c:v>
                </c:pt>
                <c:pt idx="1">
                  <c:v>2022年一般公共预算财政拨款支出</c:v>
                </c:pt>
              </c:strCache>
            </c:strRef>
          </c:cat>
          <c:val>
            <c:numRef>
              <c:f>Sheet1!$B$67:$B$68</c:f>
              <c:numCache>
                <c:formatCode>#,##0.00</c:formatCode>
                <c:ptCount val="2"/>
                <c:pt idx="0">
                  <c:v>5136.57</c:v>
                </c:pt>
                <c:pt idx="1">
                  <c:v>2233.95</c:v>
                </c:pt>
              </c:numCache>
            </c:numRef>
          </c:val>
        </c:ser>
        <c:dLbls>
          <c:showLegendKey val="0"/>
          <c:showVal val="1"/>
          <c:showCatName val="0"/>
          <c:showSerName val="0"/>
          <c:showPercent val="0"/>
          <c:showBubbleSize val="0"/>
        </c:dLbls>
        <c:gapWidth val="150"/>
        <c:overlap val="-25"/>
        <c:axId val="50955776"/>
        <c:axId val="50957312"/>
      </c:barChart>
      <c:catAx>
        <c:axId val="5095577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0957312"/>
        <c:crosses val="autoZero"/>
        <c:auto val="1"/>
        <c:lblAlgn val="ctr"/>
        <c:lblOffset val="100"/>
        <c:noMultiLvlLbl val="0"/>
      </c:catAx>
      <c:valAx>
        <c:axId val="50957312"/>
        <c:scaling>
          <c:orientation val="minMax"/>
        </c:scaling>
        <c:delete val="1"/>
        <c:axPos val="l"/>
        <c:numFmt formatCode="#,##0.00"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0955776"/>
        <c:crosses val="autoZero"/>
        <c:crossBetween val="between"/>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effectLst/>
              </a:rPr>
              <a:t>一般公共预算财政拨款支出决算结构</a:t>
            </a:r>
            <a:endParaRPr lang="zh-CN" altLang="en-US"/>
          </a:p>
        </c:rich>
      </c:tx>
      <c:layout>
        <c:manualLayout>
          <c:xMode val="edge"/>
          <c:yMode val="edge"/>
          <c:x val="0.105965482804133"/>
          <c:y val="0.0134453757788437"/>
        </c:manualLayout>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Lbls>
            <c:dLbl>
              <c:idx val="0"/>
              <c:layout>
                <c:manualLayout>
                  <c:x val="-0.0182036307961505"/>
                  <c:y val="-0.14572360746573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638790463692038"/>
                  <c:y val="0.0069531933508311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214709203414583"/>
                  <c:y val="-0.036491667395987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996848206474198"/>
                  <c:y val="-0.013729221347331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(Sheet1!$A$88,Sheet1!$A$91:$A$92,Sheet1!$A$102)</c:f>
              <c:strCache>
                <c:ptCount val="4"/>
                <c:pt idx="0">
                  <c:v>教育支出</c:v>
                </c:pt>
                <c:pt idx="1">
                  <c:v>社会保障和就业支出</c:v>
                </c:pt>
                <c:pt idx="2">
                  <c:v>卫生健康支出</c:v>
                </c:pt>
                <c:pt idx="3">
                  <c:v>住房保障支出</c:v>
                </c:pt>
              </c:strCache>
            </c:strRef>
          </c:cat>
          <c:val>
            <c:numRef>
              <c:f>(Sheet1!$B$88,Sheet1!$B$91:$B$92,Sheet1!$B$102)</c:f>
              <c:numCache>
                <c:formatCode>#,##0.00</c:formatCode>
                <c:ptCount val="4"/>
                <c:pt idx="0">
                  <c:v>1842.31</c:v>
                </c:pt>
                <c:pt idx="1">
                  <c:v>173.58</c:v>
                </c:pt>
                <c:pt idx="2">
                  <c:v>87.87</c:v>
                </c:pt>
                <c:pt idx="3">
                  <c:v>130.19</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47</Pages>
  <Words>15355</Words>
  <Characters>19149</Characters>
  <Lines>116</Lines>
  <Paragraphs>58</Paragraphs>
  <TotalTime>625</TotalTime>
  <ScaleCrop>false</ScaleCrop>
  <LinksUpToDate>false</LinksUpToDate>
  <CharactersWithSpaces>22926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2023-09-29T02:45:00Z</dcterms:created>
  <dc:creator>曹颖</dc:creator>
  <cp:lastModifiedBy>刘忠国</cp:lastModifiedBy>
  <cp:lastPrinted>2023-09-11T05:05:00Z</cp:lastPrinted>
  <dcterms:modified xsi:type="dcterms:W3CDTF">2023-10-13T07:27:07Z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F3F3690EF1EA499A80CB9DAA7B897207_12</vt:lpwstr>
  </property>
</Properties>
</file>