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lang w:val="en-US" w:eastAsia="zh-CN"/>
        </w:rPr>
      </w:pPr>
      <w:r>
        <w:rPr>
          <w:rFonts w:hint="default" w:ascii="Times New Roman" w:hAnsi="Times New Roman" w:eastAsia="方正小标宋_GBK" w:cs="Times New Roman"/>
          <w:b w:val="0"/>
          <w:bCs/>
          <w:kern w:val="64"/>
          <w:sz w:val="44"/>
          <w:szCs w:val="44"/>
          <w:shd w:val="clear" w:color="auto" w:fill="FFFFFF"/>
          <w:lang w:val="en-US" w:eastAsia="zh-CN"/>
        </w:rPr>
        <w:t>达川区</w:t>
      </w:r>
      <w:r>
        <w:rPr>
          <w:rFonts w:hint="eastAsia" w:eastAsia="方正小标宋_GBK" w:cs="Times New Roman"/>
          <w:b w:val="0"/>
          <w:bCs/>
          <w:kern w:val="64"/>
          <w:sz w:val="44"/>
          <w:szCs w:val="44"/>
          <w:shd w:val="clear" w:color="auto" w:fill="FFFFFF"/>
          <w:lang w:val="en-US" w:eastAsia="zh-CN"/>
        </w:rPr>
        <w:t>管村</w:t>
      </w:r>
      <w:r>
        <w:rPr>
          <w:rFonts w:hint="default" w:ascii="Times New Roman" w:hAnsi="Times New Roman" w:eastAsia="方正小标宋_GBK" w:cs="Times New Roman"/>
          <w:b w:val="0"/>
          <w:bCs/>
          <w:kern w:val="64"/>
          <w:sz w:val="44"/>
          <w:szCs w:val="44"/>
          <w:shd w:val="clear" w:color="auto" w:fill="FFFFFF"/>
          <w:lang w:val="en-US" w:eastAsia="zh-CN"/>
        </w:rPr>
        <w:t>镇中心小学</w:t>
      </w:r>
      <w:r>
        <w:rPr>
          <w:rFonts w:hint="eastAsia" w:eastAsia="方正小标宋_GBK" w:cs="Times New Roman"/>
          <w:b w:val="0"/>
          <w:bCs/>
          <w:kern w:val="64"/>
          <w:sz w:val="44"/>
          <w:szCs w:val="44"/>
          <w:shd w:val="clear" w:color="auto" w:fill="FFFFFF"/>
          <w:lang w:val="en-US" w:eastAsia="zh-CN"/>
        </w:rPr>
        <w:t>校</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rPr>
      </w:pPr>
      <w:r>
        <w:rPr>
          <w:rFonts w:hint="default" w:ascii="Times New Roman" w:hAnsi="Times New Roman" w:eastAsia="方正小标宋_GBK" w:cs="Times New Roman"/>
          <w:b w:val="0"/>
          <w:bCs/>
          <w:kern w:val="64"/>
          <w:sz w:val="44"/>
          <w:szCs w:val="44"/>
          <w:shd w:val="clear" w:color="auto" w:fill="FFFFFF"/>
        </w:rPr>
        <w:t>2023年单位整体支出绩效评价报告</w:t>
      </w:r>
    </w:p>
    <w:p>
      <w:pPr>
        <w:tabs>
          <w:tab w:val="left" w:pos="3885"/>
        </w:tabs>
        <w:snapToGrid w:val="0"/>
        <w:spacing w:line="600" w:lineRule="exact"/>
        <w:rPr>
          <w:rFonts w:hint="default" w:ascii="Times New Roman" w:hAnsi="Times New Roman" w:eastAsia="仿宋" w:cs="Times New Roman"/>
          <w:kern w:val="0"/>
          <w:sz w:val="32"/>
          <w:szCs w:val="32"/>
          <w:lang w:val="en-US" w:eastAsia="zh-CN"/>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达川区</w:t>
      </w:r>
      <w:r>
        <w:rPr>
          <w:rFonts w:hint="eastAsia" w:eastAsia="方正仿宋_GBK" w:cs="Times New Roman"/>
          <w:kern w:val="0"/>
          <w:sz w:val="32"/>
          <w:szCs w:val="32"/>
          <w:lang w:val="en-US" w:eastAsia="zh-CN"/>
        </w:rPr>
        <w:t>管村</w:t>
      </w:r>
      <w:r>
        <w:rPr>
          <w:rFonts w:hint="default" w:ascii="Times New Roman" w:hAnsi="Times New Roman" w:eastAsia="方正仿宋_GBK" w:cs="Times New Roman"/>
          <w:kern w:val="0"/>
          <w:sz w:val="32"/>
          <w:szCs w:val="32"/>
          <w:lang w:eastAsia="zh-CN"/>
        </w:rPr>
        <w:t>镇中心小学</w:t>
      </w:r>
      <w:r>
        <w:rPr>
          <w:rFonts w:hint="default" w:ascii="Times New Roman" w:hAnsi="Times New Roman" w:eastAsia="方正仿宋_GBK" w:cs="Times New Roman"/>
          <w:kern w:val="0"/>
          <w:sz w:val="32"/>
          <w:szCs w:val="32"/>
        </w:rPr>
        <w:t>是</w:t>
      </w:r>
      <w:r>
        <w:rPr>
          <w:rFonts w:hint="default" w:ascii="Times New Roman" w:hAnsi="Times New Roman" w:eastAsia="方正仿宋_GBK" w:cs="Times New Roman"/>
          <w:kern w:val="0"/>
          <w:sz w:val="32"/>
          <w:szCs w:val="32"/>
          <w:lang w:val="en-US" w:eastAsia="zh-CN"/>
        </w:rPr>
        <w:t>达川区二级预算单位。</w:t>
      </w:r>
      <w:bookmarkStart w:id="0" w:name="_Hlk109805662"/>
      <w:r>
        <w:rPr>
          <w:rFonts w:hint="default" w:ascii="Times New Roman" w:hAnsi="Times New Roman" w:eastAsia="方正仿宋_GBK" w:cs="Times New Roman"/>
          <w:kern w:val="0"/>
          <w:sz w:val="32"/>
          <w:szCs w:val="32"/>
          <w:lang w:val="en-US" w:eastAsia="zh-CN"/>
        </w:rPr>
        <w:t>隶属</w:t>
      </w:r>
      <w:r>
        <w:rPr>
          <w:rFonts w:hint="default" w:ascii="Times New Roman" w:hAnsi="Times New Roman" w:eastAsia="方正仿宋_GBK" w:cs="Times New Roman"/>
          <w:kern w:val="0"/>
          <w:szCs w:val="32"/>
        </w:rPr>
        <w:t>于达州市达川区教育局主管，属公益一类事业单位，</w:t>
      </w:r>
      <w:r>
        <w:rPr>
          <w:rFonts w:hint="default" w:ascii="Times New Roman" w:hAnsi="Times New Roman" w:eastAsia="方正仿宋_GBK" w:cs="Times New Roman"/>
          <w:kern w:val="0"/>
          <w:sz w:val="32"/>
          <w:szCs w:val="32"/>
        </w:rPr>
        <w:t>内设机构</w:t>
      </w:r>
      <w:r>
        <w:rPr>
          <w:rFonts w:hint="eastAsia"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个，分别是</w:t>
      </w:r>
      <w:r>
        <w:rPr>
          <w:rFonts w:hint="default" w:ascii="Times New Roman" w:hAnsi="Times New Roman" w:eastAsia="方正仿宋_GBK" w:cs="Times New Roman"/>
          <w:kern w:val="0"/>
          <w:sz w:val="32"/>
          <w:szCs w:val="32"/>
          <w:lang w:eastAsia="zh-CN"/>
        </w:rPr>
        <w:t>党建办、教务处、安全办、后勤处、政教处、少先队</w:t>
      </w:r>
      <w:r>
        <w:rPr>
          <w:rFonts w:hint="default" w:ascii="Times New Roman" w:hAnsi="Times New Roman" w:eastAsia="方正仿宋_GBK" w:cs="Times New Roman"/>
          <w:kern w:val="0"/>
          <w:sz w:val="32"/>
          <w:szCs w:val="32"/>
        </w:rPr>
        <w:t>。</w:t>
      </w:r>
    </w:p>
    <w:bookmarkEnd w:id="0"/>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default" w:ascii="Times New Roman" w:hAnsi="Times New Roman" w:eastAsia="方正仿宋_GBK" w:cs="Times New Roman"/>
          <w:kern w:val="0"/>
          <w:sz w:val="32"/>
          <w:szCs w:val="32"/>
          <w:highlight w:val="yellow"/>
          <w:lang w:val="en-US" w:eastAsia="zh-CN"/>
        </w:rPr>
      </w:pPr>
      <w:r>
        <w:rPr>
          <w:rFonts w:hint="default" w:ascii="Times New Roman" w:hAnsi="Times New Roman" w:eastAsia="方正仿宋_GBK" w:cs="Times New Roman"/>
          <w:kern w:val="0"/>
          <w:sz w:val="32"/>
          <w:szCs w:val="32"/>
          <w:lang w:val="en-US" w:eastAsia="zh-CN"/>
        </w:rPr>
        <w:t>根据</w:t>
      </w:r>
      <w:r>
        <w:rPr>
          <w:rFonts w:hint="eastAsia" w:eastAsia="方正仿宋_GBK" w:cs="Times New Roman"/>
          <w:kern w:val="0"/>
          <w:sz w:val="32"/>
          <w:szCs w:val="32"/>
          <w:lang w:eastAsia="zh-CN"/>
        </w:rPr>
        <w:t>达川区</w:t>
      </w:r>
      <w:r>
        <w:rPr>
          <w:rFonts w:hint="eastAsia" w:eastAsia="方正仿宋_GBK" w:cs="Times New Roman"/>
          <w:kern w:val="0"/>
          <w:sz w:val="32"/>
          <w:szCs w:val="32"/>
          <w:lang w:val="en-US" w:eastAsia="zh-CN"/>
        </w:rPr>
        <w:t>管村</w:t>
      </w:r>
      <w:r>
        <w:rPr>
          <w:rFonts w:hint="eastAsia" w:eastAsia="方正仿宋_GBK" w:cs="Times New Roman"/>
          <w:kern w:val="0"/>
          <w:sz w:val="32"/>
          <w:szCs w:val="32"/>
          <w:lang w:eastAsia="zh-CN"/>
        </w:rPr>
        <w:t>镇中心小学</w:t>
      </w:r>
      <w:r>
        <w:rPr>
          <w:rFonts w:hint="default" w:ascii="Times New Roman" w:hAnsi="Times New Roman" w:eastAsia="方正仿宋_GBK" w:cs="Times New Roman"/>
          <w:kern w:val="0"/>
          <w:sz w:val="32"/>
          <w:szCs w:val="32"/>
          <w:lang w:val="en-US" w:eastAsia="zh-CN"/>
        </w:rPr>
        <w:t>三定方案，我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kern w:val="0"/>
          <w:sz w:val="32"/>
          <w:szCs w:val="32"/>
          <w:lang w:val="en-US" w:eastAsia="zh-CN"/>
        </w:rPr>
        <w:t>的主要职能职责为：对适龄儿童实施义务教育，提升他们的综合素质。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cs="Times New Roman"/>
          <w:color w:val="0000FF"/>
          <w:kern w:val="0"/>
          <w:szCs w:val="32"/>
          <w:shd w:val="clear" w:color="auto" w:fill="FFFFFF"/>
          <w:lang w:val="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人社局等</w:t>
      </w:r>
      <w:r>
        <w:rPr>
          <w:rFonts w:hint="default" w:ascii="Times New Roman" w:hAnsi="Times New Roman" w:eastAsia="方正仿宋_GBK" w:cs="Times New Roman"/>
          <w:sz w:val="32"/>
          <w:szCs w:val="32"/>
        </w:rPr>
        <w:t>相关编制批复文件，核定</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sz w:val="32"/>
          <w:szCs w:val="32"/>
        </w:rPr>
        <w:t>参照公务员法管理的事业编制</w:t>
      </w:r>
      <w:r>
        <w:rPr>
          <w:rFonts w:hint="eastAsia" w:eastAsia="方正仿宋_GBK" w:cs="Times New Roman"/>
          <w:sz w:val="32"/>
          <w:szCs w:val="32"/>
          <w:lang w:val="en-US" w:eastAsia="zh-CN"/>
        </w:rPr>
        <w:t>94</w:t>
      </w:r>
      <w:r>
        <w:rPr>
          <w:rFonts w:hint="default" w:ascii="Times New Roman" w:hAnsi="Times New Roman" w:eastAsia="方正仿宋_GBK" w:cs="Times New Roman"/>
          <w:sz w:val="32"/>
          <w:szCs w:val="32"/>
        </w:rPr>
        <w:t>名，其中事业编制</w:t>
      </w:r>
      <w:r>
        <w:rPr>
          <w:rFonts w:hint="eastAsia" w:eastAsia="方正仿宋_GBK" w:cs="Times New Roman"/>
          <w:sz w:val="32"/>
          <w:szCs w:val="32"/>
          <w:lang w:val="en-US" w:eastAsia="zh-CN"/>
        </w:rPr>
        <w:t>94</w:t>
      </w:r>
      <w:r>
        <w:rPr>
          <w:rFonts w:hint="default" w:ascii="Times New Roman" w:hAnsi="Times New Roman" w:eastAsia="方正仿宋_GBK" w:cs="Times New Roman"/>
          <w:sz w:val="32"/>
          <w:szCs w:val="32"/>
        </w:rPr>
        <w:t>名；</w:t>
      </w:r>
      <w:bookmarkStart w:id="1" w:name="_Hlk109807352"/>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年年末实有在职人员</w:t>
      </w:r>
      <w:r>
        <w:rPr>
          <w:rFonts w:hint="eastAsia" w:eastAsia="方正仿宋_GBK" w:cs="Times New Roman"/>
          <w:sz w:val="32"/>
          <w:szCs w:val="32"/>
          <w:lang w:val="en-US" w:eastAsia="zh-CN"/>
        </w:rPr>
        <w:t>94</w:t>
      </w:r>
      <w:r>
        <w:rPr>
          <w:rFonts w:hint="default" w:ascii="Times New Roman" w:hAnsi="Times New Roman" w:eastAsia="方正仿宋_GBK" w:cs="Times New Roman"/>
          <w:sz w:val="32"/>
          <w:szCs w:val="32"/>
        </w:rPr>
        <w:t>人，其中：事业编制</w:t>
      </w:r>
      <w:r>
        <w:rPr>
          <w:rFonts w:hint="eastAsia" w:eastAsia="方正仿宋_GBK" w:cs="Times New Roman"/>
          <w:sz w:val="32"/>
          <w:szCs w:val="32"/>
          <w:lang w:val="en-US" w:eastAsia="zh-CN"/>
        </w:rPr>
        <w:t>92</w:t>
      </w:r>
      <w:r>
        <w:rPr>
          <w:rFonts w:hint="default" w:ascii="Times New Roman" w:hAnsi="Times New Roman" w:eastAsia="方正仿宋_GBK" w:cs="Times New Roman"/>
          <w:sz w:val="32"/>
          <w:szCs w:val="32"/>
        </w:rPr>
        <w:t>人</w:t>
      </w:r>
      <w:bookmarkEnd w:id="1"/>
      <w:r>
        <w:rPr>
          <w:rFonts w:hint="default" w:ascii="Times New Roman" w:hAnsi="Times New Roman" w:eastAsia="方正仿宋_GBK" w:cs="Times New Roman"/>
          <w:sz w:val="32"/>
          <w:szCs w:val="32"/>
          <w:lang w:eastAsia="zh-CN"/>
        </w:rPr>
        <w:t>，特岗教师</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人。</w:t>
      </w:r>
      <w:r>
        <w:rPr>
          <w:rFonts w:hint="default" w:ascii="Times New Roman" w:hAnsi="Times New Roman" w:eastAsia="方正仿宋_GBK" w:cs="Times New Roman"/>
          <w:bCs/>
          <w:kern w:val="0"/>
          <w:sz w:val="32"/>
          <w:szCs w:val="32"/>
        </w:rPr>
        <w:t>退休人员为</w:t>
      </w:r>
      <w:r>
        <w:rPr>
          <w:rFonts w:hint="eastAsia" w:eastAsia="方正仿宋_GBK" w:cs="Times New Roman"/>
          <w:bCs/>
          <w:kern w:val="0"/>
          <w:sz w:val="32"/>
          <w:szCs w:val="32"/>
          <w:lang w:val="en-US" w:eastAsia="zh-CN"/>
        </w:rPr>
        <w:t>74</w:t>
      </w:r>
      <w:r>
        <w:rPr>
          <w:rFonts w:hint="default" w:ascii="Times New Roman" w:hAnsi="Times New Roman" w:eastAsia="方正仿宋_GBK" w:cs="Times New Roman"/>
          <w:bCs/>
          <w:kern w:val="0"/>
          <w:sz w:val="32"/>
          <w:szCs w:val="32"/>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年年初预算收入</w:t>
      </w:r>
      <w:r>
        <w:rPr>
          <w:rFonts w:hint="eastAsia" w:eastAsia="方正仿宋_GBK" w:cs="Times New Roman"/>
          <w:bCs/>
          <w:color w:val="000000" w:themeColor="text1"/>
          <w:kern w:val="0"/>
          <w:sz w:val="32"/>
          <w:szCs w:val="32"/>
          <w:lang w:val="en-US" w:eastAsia="zh-CN"/>
          <w14:textFill>
            <w14:solidFill>
              <w14:schemeClr w14:val="tx1"/>
            </w14:solidFill>
          </w14:textFill>
        </w:rPr>
        <w:t>1223.55</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年决算总支出</w:t>
      </w:r>
      <w:r>
        <w:rPr>
          <w:rFonts w:hint="eastAsia" w:eastAsia="方正仿宋_GBK" w:cs="Times New Roman"/>
          <w:bCs/>
          <w:color w:val="000000" w:themeColor="text1"/>
          <w:kern w:val="0"/>
          <w:sz w:val="32"/>
          <w:szCs w:val="32"/>
          <w:lang w:val="en-US" w:eastAsia="zh-CN"/>
          <w14:textFill>
            <w14:solidFill>
              <w14:schemeClr w14:val="tx1"/>
            </w14:solidFill>
          </w14:textFill>
        </w:rPr>
        <w:t>13351.09</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万元，基本支出</w:t>
      </w:r>
      <w:r>
        <w:rPr>
          <w:rFonts w:hint="eastAsia" w:eastAsia="方正仿宋_GBK" w:cs="Times New Roman"/>
          <w:bCs/>
          <w:color w:val="000000" w:themeColor="text1"/>
          <w:kern w:val="0"/>
          <w:sz w:val="32"/>
          <w:szCs w:val="32"/>
          <w:lang w:val="en-US" w:eastAsia="zh-CN"/>
          <w14:textFill>
            <w14:solidFill>
              <w14:schemeClr w14:val="tx1"/>
            </w14:solidFill>
          </w14:textFill>
        </w:rPr>
        <w:t>13173.41</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万元（人员经费支出</w:t>
      </w:r>
      <w:r>
        <w:rPr>
          <w:rFonts w:hint="eastAsia" w:eastAsia="方正仿宋_GBK" w:cs="Times New Roman"/>
          <w:bCs/>
          <w:color w:val="000000" w:themeColor="text1"/>
          <w:kern w:val="0"/>
          <w:sz w:val="32"/>
          <w:szCs w:val="32"/>
          <w:lang w:val="en-US" w:eastAsia="zh-CN"/>
          <w14:textFill>
            <w14:solidFill>
              <w14:schemeClr w14:val="tx1"/>
            </w14:solidFill>
          </w14:textFill>
        </w:rPr>
        <w:t>1063.46</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万元，公用经费支出</w:t>
      </w:r>
      <w:r>
        <w:rPr>
          <w:rFonts w:hint="eastAsia" w:eastAsia="方正仿宋_GBK" w:cs="Times New Roman"/>
          <w:bCs/>
          <w:color w:val="000000" w:themeColor="text1"/>
          <w:kern w:val="0"/>
          <w:sz w:val="32"/>
          <w:szCs w:val="32"/>
          <w:lang w:val="en-US" w:eastAsia="zh-CN"/>
          <w14:textFill>
            <w14:solidFill>
              <w14:schemeClr w14:val="tx1"/>
            </w14:solidFill>
          </w14:textFill>
        </w:rPr>
        <w:t>129.89</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万元），项目支出</w:t>
      </w:r>
      <w:r>
        <w:rPr>
          <w:rFonts w:hint="eastAsia" w:eastAsia="方正仿宋_GBK" w:cs="Times New Roman"/>
          <w:bCs/>
          <w:color w:val="000000" w:themeColor="text1"/>
          <w:kern w:val="0"/>
          <w:sz w:val="32"/>
          <w:szCs w:val="32"/>
          <w:lang w:val="en-US" w:eastAsia="zh-CN"/>
          <w14:textFill>
            <w14:solidFill>
              <w14:schemeClr w14:val="tx1"/>
            </w14:solidFill>
          </w14:textFill>
        </w:rPr>
        <w:t>141.76</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万元</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达川</w:t>
      </w:r>
      <w:r>
        <w:rPr>
          <w:rFonts w:hint="eastAsia" w:eastAsia="方正仿宋_GBK" w:cs="Times New Roman"/>
          <w:bCs/>
          <w:color w:val="000000" w:themeColor="text1"/>
          <w:kern w:val="0"/>
          <w:sz w:val="32"/>
          <w:szCs w:val="32"/>
          <w:lang w:val="en-US" w:eastAsia="zh-CN"/>
          <w14:textFill>
            <w14:solidFill>
              <w14:schemeClr w14:val="tx1"/>
            </w14:solidFill>
          </w14:textFill>
        </w:rPr>
        <w:t>区管村</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镇中心小学</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eastAsia="zh-CN"/>
          <w14:textFill>
            <w14:solidFill>
              <w14:schemeClr w14:val="tx1"/>
            </w14:solidFill>
          </w14:textFill>
        </w:rPr>
        <w:t>（三）</w:t>
      </w: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部门财政收入结转结余情况</w:t>
      </w:r>
      <w:r>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FF"/>
          <w:kern w:val="0"/>
          <w:szCs w:val="32"/>
          <w:shd w:val="clear" w:color="auto" w:fill="FFFFFF"/>
          <w:lang w:val="zh-CN"/>
        </w:rPr>
      </w:pPr>
      <w:r>
        <w:rPr>
          <w:rFonts w:hint="default" w:ascii="Times New Roman" w:hAnsi="Times New Roman" w:eastAsia="方正仿宋_GBK" w:cs="Times New Roman"/>
          <w:bCs/>
          <w:kern w:val="0"/>
          <w:sz w:val="32"/>
          <w:szCs w:val="32"/>
          <w:lang w:val="en-US" w:eastAsia="zh-CN"/>
        </w:rPr>
        <w:t>2022</w:t>
      </w:r>
      <w:r>
        <w:rPr>
          <w:rFonts w:hint="default" w:ascii="Times New Roman" w:hAnsi="Times New Roman" w:eastAsia="方正仿宋_GBK" w:cs="Times New Roman"/>
          <w:bCs/>
          <w:kern w:val="0"/>
          <w:sz w:val="32"/>
          <w:szCs w:val="32"/>
        </w:rPr>
        <w:t>年年末财政拨款结转和结余</w:t>
      </w:r>
      <w:r>
        <w:rPr>
          <w:rFonts w:hint="eastAsia" w:eastAsia="方正仿宋_GBK" w:cs="Times New Roman"/>
          <w:bCs/>
          <w:kern w:val="0"/>
          <w:sz w:val="32"/>
          <w:szCs w:val="32"/>
          <w:lang w:val="en-US" w:eastAsia="zh-CN"/>
        </w:rPr>
        <w:t>0</w:t>
      </w:r>
      <w:r>
        <w:rPr>
          <w:rFonts w:hint="default" w:ascii="Times New Roman" w:hAnsi="Times New Roman" w:eastAsia="方正仿宋_GBK" w:cs="Times New Roman"/>
          <w:bCs/>
          <w:kern w:val="0"/>
          <w:sz w:val="32"/>
          <w:szCs w:val="32"/>
          <w:lang w:val="en-US" w:eastAsia="zh-CN"/>
        </w:rPr>
        <w:t>万元</w:t>
      </w:r>
      <w:r>
        <w:rPr>
          <w:rFonts w:hint="default" w:ascii="Times New Roman" w:hAnsi="Times New Roman" w:eastAsia="方正仿宋_GBK" w:cs="Times New Roman"/>
          <w:bCs/>
          <w:kern w:val="0"/>
          <w:sz w:val="32"/>
          <w:szCs w:val="32"/>
        </w:rPr>
        <w:t>。</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t>部门整体预算绩效管理情况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年，我单位设定的总体工作目标为：</w:t>
      </w:r>
      <w:r>
        <w:rPr>
          <w:rFonts w:hint="default" w:ascii="Times New Roman" w:hAnsi="Times New Roman" w:eastAsia="方正仿宋_GBK" w:cs="Times New Roman"/>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default" w:ascii="Times New Roman" w:hAnsi="Times New Roman" w:eastAsia="方正仿宋_GBK" w:cs="Times New Roman"/>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highlight w:val="yellow"/>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Times New Roman" w:hAnsi="Times New Roman"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2.在“目标实现”方面，我单位202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个部门预算项目，均属于特定目标类项目。部门所有纳入绩效目标管理的部门预算项目中涉及数量指标共计</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个，已完成数量为</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个。该项指标分值为10分，自评得分</w:t>
      </w:r>
      <w:r>
        <w:rPr>
          <w:rFonts w:hint="default" w:ascii="Times New Roman" w:hAnsi="Times New Roman" w:eastAsia="方正仿宋_GBK" w:cs="Times New Roman"/>
          <w:color w:val="auto"/>
          <w:kern w:val="0"/>
          <w:szCs w:val="32"/>
          <w:shd w:val="clear" w:color="auto" w:fill="FFFFFF"/>
          <w:lang w:val="en-US" w:eastAsia="zh-CN"/>
        </w:rPr>
        <w:t>10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3.在“支出控制”方面，我单位202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年日常公用经费、项目支出中“办公费、印刷费、水费、电费、物业管理费”年初预算额</w:t>
      </w:r>
      <w:r>
        <w:rPr>
          <w:rFonts w:hint="eastAsia" w:eastAsia="方正仿宋_GBK" w:cs="Times New Roman"/>
          <w:color w:val="auto"/>
          <w:kern w:val="0"/>
          <w:szCs w:val="32"/>
          <w:shd w:val="clear" w:color="auto" w:fill="FFFFFF"/>
          <w:lang w:val="en-US" w:eastAsia="zh-CN"/>
        </w:rPr>
        <w:t>129.89</w:t>
      </w:r>
      <w:r>
        <w:rPr>
          <w:rFonts w:hint="default" w:ascii="Times New Roman" w:hAnsi="Times New Roman" w:eastAsia="方正仿宋_GBK" w:cs="Times New Roman"/>
          <w:color w:val="auto"/>
          <w:kern w:val="0"/>
          <w:szCs w:val="32"/>
          <w:shd w:val="clear" w:color="auto" w:fill="FFFFFF"/>
          <w:lang w:val="zh-CN"/>
        </w:rPr>
        <w:t>万元，年末决算数</w:t>
      </w:r>
      <w:r>
        <w:rPr>
          <w:rFonts w:hint="eastAsia" w:eastAsia="方正仿宋_GBK" w:cs="Times New Roman"/>
          <w:color w:val="auto"/>
          <w:kern w:val="0"/>
          <w:szCs w:val="32"/>
          <w:shd w:val="clear" w:color="auto" w:fill="FFFFFF"/>
          <w:lang w:val="en-US" w:eastAsia="zh-CN"/>
        </w:rPr>
        <w:t>129.89</w:t>
      </w:r>
      <w:r>
        <w:rPr>
          <w:rFonts w:hint="default" w:ascii="Times New Roman" w:hAnsi="Times New Roman" w:eastAsia="方正仿宋_GBK" w:cs="Times New Roman"/>
          <w:color w:val="auto"/>
          <w:kern w:val="0"/>
          <w:szCs w:val="32"/>
          <w:shd w:val="clear" w:color="auto" w:fill="FFFFFF"/>
          <w:lang w:val="zh-CN"/>
        </w:rPr>
        <w:t>万元，偏差度</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%。该项指标分值为</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分，指标自评得分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r>
        <w:rPr>
          <w:rFonts w:hint="default" w:ascii="Times New Roman" w:hAnsi="Times New Roman" w:eastAsia="方正仿宋_GBK" w:cs="Times New Roman"/>
          <w:color w:val="auto"/>
          <w:kern w:val="0"/>
          <w:szCs w:val="32"/>
          <w:shd w:val="clear" w:color="auto" w:fill="FFFFFF"/>
          <w:lang w:val="zh-CN" w:eastAsia="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4.在“及时处置”方面，当部门绩效监控调整取消额(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万元)和结余注销额(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5.在“执行进度”方面，根据系统提取数据显示，我单位202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年6月、9月、11月执行进度分别为</w:t>
      </w:r>
      <w:r>
        <w:rPr>
          <w:rFonts w:hint="eastAsia" w:ascii="Times New Roman" w:hAnsi="Times New Roman" w:eastAsia="方正仿宋_GBK" w:cs="Times New Roman"/>
          <w:color w:val="auto"/>
          <w:kern w:val="0"/>
          <w:szCs w:val="32"/>
          <w:shd w:val="clear" w:color="auto" w:fill="FFFFFF"/>
          <w:lang w:val="en-US" w:eastAsia="zh-CN"/>
        </w:rPr>
        <w:t>6</w:t>
      </w:r>
      <w:r>
        <w:rPr>
          <w:rFonts w:hint="eastAsia" w:eastAsia="方正仿宋_GBK" w:cs="Times New Roman"/>
          <w:color w:val="auto"/>
          <w:kern w:val="0"/>
          <w:szCs w:val="32"/>
          <w:shd w:val="clear" w:color="auto" w:fill="FFFFFF"/>
          <w:lang w:val="en-US" w:eastAsia="zh-CN"/>
        </w:rPr>
        <w:t>3.69</w:t>
      </w:r>
      <w:r>
        <w:rPr>
          <w:rFonts w:hint="default" w:ascii="Times New Roman" w:hAnsi="Times New Roman" w:eastAsia="方正仿宋_GBK" w:cs="Times New Roman"/>
          <w:color w:val="auto"/>
          <w:kern w:val="0"/>
          <w:szCs w:val="32"/>
          <w:shd w:val="clear" w:color="auto" w:fill="FFFFFF"/>
          <w:lang w:val="zh-CN"/>
        </w:rPr>
        <w:t>%、</w:t>
      </w:r>
      <w:r>
        <w:rPr>
          <w:rFonts w:hint="eastAsia" w:eastAsia="方正仿宋_GBK" w:cs="Times New Roman"/>
          <w:color w:val="auto"/>
          <w:kern w:val="0"/>
          <w:szCs w:val="32"/>
          <w:shd w:val="clear" w:color="auto" w:fill="FFFFFF"/>
          <w:lang w:val="en-US" w:eastAsia="zh-CN"/>
        </w:rPr>
        <w:t>83.03</w:t>
      </w:r>
      <w:r>
        <w:rPr>
          <w:rFonts w:hint="default" w:ascii="Times New Roman" w:hAnsi="Times New Roman" w:eastAsia="方正仿宋_GBK" w:cs="Times New Roman"/>
          <w:color w:val="auto"/>
          <w:kern w:val="0"/>
          <w:szCs w:val="32"/>
          <w:shd w:val="clear" w:color="auto" w:fill="FFFFFF"/>
          <w:lang w:val="zh-CN"/>
        </w:rPr>
        <w:t xml:space="preserve">%、 </w:t>
      </w:r>
      <w:r>
        <w:rPr>
          <w:rFonts w:hint="eastAsia" w:eastAsia="方正仿宋_GBK" w:cs="Times New Roman"/>
          <w:color w:val="auto"/>
          <w:kern w:val="0"/>
          <w:szCs w:val="32"/>
          <w:shd w:val="clear" w:color="auto" w:fill="FFFFFF"/>
          <w:lang w:val="en-US" w:eastAsia="zh-CN"/>
        </w:rPr>
        <w:t>97.89</w:t>
      </w:r>
      <w:r>
        <w:rPr>
          <w:rFonts w:hint="default" w:ascii="Times New Roman" w:hAnsi="Times New Roman" w:eastAsia="方正仿宋_GBK" w:cs="Times New Roman"/>
          <w:color w:val="auto"/>
          <w:kern w:val="0"/>
          <w:szCs w:val="32"/>
          <w:shd w:val="clear" w:color="auto" w:fill="FFFFFF"/>
          <w:lang w:val="zh-CN"/>
        </w:rPr>
        <w:t>%. 该项指标分值为4分，按其实际进度占目标进度的比重计算得分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6.在“预算完成”方面，部门预算项目年末预算执行进度</w:t>
      </w:r>
      <w:r>
        <w:rPr>
          <w:rFonts w:hint="default" w:ascii="Times New Roman" w:hAnsi="Times New Roman"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rPr>
        <w:t>%。该项指标分值为5分，按照实际进度量化计算得分</w:t>
      </w:r>
      <w:r>
        <w:rPr>
          <w:rFonts w:hint="eastAsia"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7.在“资金结余率”方面，我部门单位部门预算项目共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项，资金余率小于</w:t>
      </w:r>
      <w:r>
        <w:rPr>
          <w:rFonts w:hint="default" w:ascii="Times New Roman" w:hAnsi="Times New Roman" w:eastAsia="方正仿宋_GBK" w:cs="Times New Roman"/>
          <w:color w:val="auto"/>
          <w:kern w:val="0"/>
          <w:szCs w:val="32"/>
          <w:shd w:val="clear" w:color="auto" w:fill="FFFFFF"/>
          <w:lang w:val="en-US" w:eastAsia="zh-CN"/>
        </w:rPr>
        <w:t>0.1</w:t>
      </w:r>
      <w:r>
        <w:rPr>
          <w:rFonts w:hint="default" w:ascii="Times New Roman" w:hAnsi="Times New Roman" w:eastAsia="方正仿宋_GBK" w:cs="Times New Roman"/>
          <w:color w:val="auto"/>
          <w:kern w:val="0"/>
          <w:szCs w:val="32"/>
          <w:shd w:val="clear" w:color="auto" w:fill="FFFFFF"/>
          <w:lang w:val="zh-CN"/>
        </w:rPr>
        <w:t>的项目数</w:t>
      </w:r>
      <w:r>
        <w:rPr>
          <w:rFonts w:hint="eastAsia"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项。该项指标分值为8分，按照相应量化计算得分</w:t>
      </w:r>
      <w:r>
        <w:rPr>
          <w:rFonts w:hint="eastAsia" w:eastAsia="方正仿宋_GBK" w:cs="Times New Roman"/>
          <w:color w:val="auto"/>
          <w:kern w:val="0"/>
          <w:szCs w:val="32"/>
          <w:shd w:val="clear" w:color="auto" w:fill="FFFFFF"/>
          <w:lang w:val="en-US" w:eastAsia="zh-CN"/>
        </w:rPr>
        <w:t>8</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8.在违规记录上，我单位202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年没有出现部门预算管理方面违纪违规问题。该项指标分值为2分，自评得分2分。</w:t>
      </w:r>
      <w:bookmarkStart w:id="2" w:name="_Toc110955069"/>
    </w:p>
    <w:p>
      <w:pPr>
        <w:keepNext w:val="0"/>
        <w:pageBreakBefore w:val="0"/>
        <w:kinsoku/>
        <w:overflowPunct/>
        <w:topLinePunct w:val="0"/>
        <w:autoSpaceDE/>
        <w:autoSpaceDN/>
        <w:bidi w:val="0"/>
        <w:spacing w:line="578" w:lineRule="exact"/>
        <w:ind w:firstLine="640" w:firstLineChars="200"/>
        <w:textAlignment w:val="auto"/>
        <w:outlineLvl w:val="2"/>
        <w:rPr>
          <w:rFonts w:hint="default" w:ascii="Times New Roman" w:hAnsi="Times New Roman" w:eastAsia="方正黑体_GBK" w:cs="Times New Roman"/>
          <w:b/>
          <w:bCs/>
          <w:kern w:val="0"/>
          <w:sz w:val="32"/>
          <w:szCs w:val="32"/>
          <w:highlight w:val="yellow"/>
          <w:lang w:val="en-US" w:eastAsia="zh-CN"/>
        </w:rPr>
      </w:pPr>
      <w:r>
        <w:rPr>
          <w:rFonts w:hint="default" w:ascii="Times New Roman" w:hAnsi="Times New Roman" w:eastAsia="方正黑体_GBK" w:cs="Times New Roman"/>
          <w:b/>
          <w:bCs/>
          <w:kern w:val="0"/>
          <w:sz w:val="32"/>
          <w:szCs w:val="32"/>
          <w:highlight w:val="none"/>
          <w:lang w:eastAsia="zh-CN"/>
        </w:rPr>
        <w:t>四、</w:t>
      </w:r>
      <w:r>
        <w:rPr>
          <w:rFonts w:hint="default" w:ascii="Times New Roman" w:hAnsi="Times New Roman" w:eastAsia="方正黑体_GBK" w:cs="Times New Roman"/>
          <w:b/>
          <w:bCs/>
          <w:kern w:val="0"/>
          <w:sz w:val="32"/>
          <w:szCs w:val="32"/>
          <w:highlight w:val="none"/>
        </w:rPr>
        <w:t>专项预算管理</w:t>
      </w:r>
      <w:bookmarkEnd w:id="2"/>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1.专项绩效的预算情况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202</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年度共有</w:t>
      </w:r>
      <w:r>
        <w:rPr>
          <w:rFonts w:hint="default" w:ascii="Times New Roman" w:hAnsi="Times New Roman" w:eastAsia="方正仿宋_GBK" w:cs="Times New Roman"/>
          <w:bCs/>
          <w:kern w:val="0"/>
          <w:sz w:val="32"/>
          <w:szCs w:val="32"/>
          <w:highlight w:val="none"/>
          <w:lang w:val="en-US" w:eastAsia="zh-CN"/>
        </w:rPr>
        <w:t>3</w:t>
      </w:r>
      <w:r>
        <w:rPr>
          <w:rFonts w:hint="default" w:ascii="Times New Roman" w:hAnsi="Times New Roman" w:eastAsia="方正仿宋_GBK" w:cs="Times New Roman"/>
          <w:bCs/>
          <w:kern w:val="0"/>
          <w:sz w:val="32"/>
          <w:szCs w:val="32"/>
          <w:highlight w:val="none"/>
        </w:rPr>
        <w:t>个项目，主要专项绩效预算情况</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（1）</w:t>
      </w:r>
      <w:r>
        <w:rPr>
          <w:rFonts w:hint="default" w:ascii="Times New Roman" w:hAnsi="Times New Roman" w:eastAsia="方正仿宋_GBK" w:cs="Times New Roman"/>
          <w:bCs/>
          <w:kern w:val="0"/>
          <w:sz w:val="32"/>
          <w:szCs w:val="32"/>
          <w:highlight w:val="none"/>
          <w:lang w:eastAsia="zh-CN"/>
        </w:rPr>
        <w:t>学生营养餐项目</w:t>
      </w:r>
      <w:r>
        <w:rPr>
          <w:rFonts w:hint="eastAsia" w:eastAsia="方正仿宋_GBK" w:cs="Times New Roman"/>
          <w:bCs/>
          <w:kern w:val="0"/>
          <w:sz w:val="32"/>
          <w:szCs w:val="32"/>
          <w:highlight w:val="none"/>
          <w:lang w:val="en-US" w:eastAsia="zh-CN"/>
        </w:rPr>
        <w:t>135.76</w:t>
      </w:r>
      <w:r>
        <w:rPr>
          <w:rFonts w:hint="default" w:ascii="Times New Roman" w:hAnsi="Times New Roman" w:eastAsia="方正仿宋_GBK" w:cs="Times New Roman"/>
          <w:bCs/>
          <w:kern w:val="0"/>
          <w:sz w:val="32"/>
          <w:szCs w:val="32"/>
          <w:highlight w:val="none"/>
          <w:lang w:val="en-US" w:eastAsia="zh-CN"/>
        </w:rPr>
        <w:t>万元，</w:t>
      </w:r>
      <w:r>
        <w:rPr>
          <w:rFonts w:hint="default" w:ascii="Times New Roman" w:hAnsi="Times New Roman" w:eastAsia="方正仿宋_GBK" w:cs="Times New Roman"/>
          <w:bCs/>
          <w:kern w:val="0"/>
          <w:sz w:val="32"/>
          <w:szCs w:val="32"/>
          <w:highlight w:val="none"/>
          <w:lang w:eastAsia="zh-CN"/>
        </w:rPr>
        <w:t>全年目标</w:t>
      </w:r>
      <w:r>
        <w:rPr>
          <w:rFonts w:hint="default" w:ascii="Times New Roman" w:hAnsi="Times New Roman" w:eastAsia="方正仿宋_GBK" w:cs="Times New Roman"/>
          <w:bCs/>
          <w:kern w:val="0"/>
          <w:sz w:val="32"/>
          <w:szCs w:val="32"/>
          <w:highlight w:val="none"/>
          <w:lang w:val="en-US" w:eastAsia="zh-CN"/>
        </w:rPr>
        <w:t>为2022年内计划发放营养餐改善计划补助资金</w:t>
      </w:r>
      <w:r>
        <w:rPr>
          <w:rFonts w:hint="eastAsia" w:eastAsia="方正仿宋_GBK" w:cs="Times New Roman"/>
          <w:bCs/>
          <w:kern w:val="0"/>
          <w:sz w:val="32"/>
          <w:szCs w:val="32"/>
          <w:highlight w:val="none"/>
          <w:lang w:val="en-US" w:eastAsia="zh-CN"/>
        </w:rPr>
        <w:t>135.76</w:t>
      </w:r>
      <w:r>
        <w:rPr>
          <w:rFonts w:hint="default" w:ascii="Times New Roman" w:hAnsi="Times New Roman" w:eastAsia="方正仿宋_GBK" w:cs="Times New Roman"/>
          <w:bCs/>
          <w:kern w:val="0"/>
          <w:sz w:val="32"/>
          <w:szCs w:val="32"/>
          <w:highlight w:val="none"/>
          <w:lang w:val="en-US" w:eastAsia="zh-CN"/>
        </w:rPr>
        <w:t>万元，目的是改善农村义务教育学生的营养状况，提高农村义务教育学生的健康水平，促进城乡义务教育健康持续发展。2022年实际完</w:t>
      </w:r>
      <w:r>
        <w:rPr>
          <w:rFonts w:hint="eastAsia" w:eastAsia="方正仿宋_GBK" w:cs="Times New Roman"/>
          <w:bCs/>
          <w:kern w:val="0"/>
          <w:sz w:val="32"/>
          <w:szCs w:val="32"/>
          <w:highlight w:val="none"/>
          <w:lang w:val="en-US" w:eastAsia="zh-CN"/>
        </w:rPr>
        <w:t>成135.76</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Cs w:val="32"/>
        </w:rPr>
        <w:t>（</w:t>
      </w:r>
      <w:r>
        <w:rPr>
          <w:rFonts w:hint="eastAsia" w:eastAsia="方正仿宋_GBK" w:cs="Times New Roman"/>
          <w:bCs/>
          <w:kern w:val="0"/>
          <w:szCs w:val="32"/>
          <w:lang w:val="en-US" w:eastAsia="zh-CN"/>
        </w:rPr>
        <w:t>2</w:t>
      </w:r>
      <w:r>
        <w:rPr>
          <w:rFonts w:hint="default" w:ascii="Times New Roman" w:hAnsi="Times New Roman" w:eastAsia="方正仿宋_GBK" w:cs="Times New Roman"/>
          <w:bCs/>
          <w:kern w:val="0"/>
          <w:szCs w:val="32"/>
        </w:rPr>
        <w:t>）购买安保服务专项项目</w:t>
      </w:r>
      <w:r>
        <w:rPr>
          <w:rFonts w:hint="eastAsia" w:eastAsia="方正仿宋_GBK" w:cs="Times New Roman"/>
          <w:bCs/>
          <w:kern w:val="0"/>
          <w:szCs w:val="32"/>
          <w:lang w:val="en-US" w:eastAsia="zh-CN"/>
        </w:rPr>
        <w:t>6</w:t>
      </w:r>
      <w:r>
        <w:rPr>
          <w:rFonts w:hint="default" w:ascii="Times New Roman" w:hAnsi="Times New Roman" w:eastAsia="方正仿宋_GBK" w:cs="Times New Roman"/>
          <w:bCs/>
          <w:kern w:val="0"/>
          <w:szCs w:val="32"/>
        </w:rPr>
        <w:t>万元，全年目标为2022年内计划发放学校物业管理服务费</w:t>
      </w:r>
      <w:r>
        <w:rPr>
          <w:rFonts w:hint="eastAsia" w:eastAsia="方正仿宋_GBK" w:cs="Times New Roman"/>
          <w:bCs/>
          <w:kern w:val="0"/>
          <w:szCs w:val="32"/>
          <w:lang w:val="en-US" w:eastAsia="zh-CN"/>
        </w:rPr>
        <w:t>6</w:t>
      </w:r>
      <w:r>
        <w:rPr>
          <w:rFonts w:hint="default" w:ascii="Times New Roman" w:hAnsi="Times New Roman" w:eastAsia="方正仿宋_GBK" w:cs="Times New Roman"/>
          <w:bCs/>
          <w:kern w:val="0"/>
          <w:szCs w:val="32"/>
        </w:rPr>
        <w:t>万元，目的是维护学校正常教育教学秩序，保障学校及师生的人身、财产安全。2022年实际完成</w:t>
      </w:r>
      <w:r>
        <w:rPr>
          <w:rFonts w:hint="eastAsia" w:eastAsia="方正仿宋_GBK" w:cs="Times New Roman"/>
          <w:bCs/>
          <w:kern w:val="0"/>
          <w:szCs w:val="32"/>
          <w:lang w:val="en-US" w:eastAsia="zh-CN"/>
        </w:rPr>
        <w:t>6</w:t>
      </w:r>
      <w:r>
        <w:rPr>
          <w:rFonts w:hint="default" w:ascii="Times New Roman" w:hAnsi="Times New Roman" w:eastAsia="方正仿宋_GBK" w:cs="Times New Roman"/>
          <w:bCs/>
          <w:kern w:val="0"/>
          <w:szCs w:val="32"/>
        </w:rPr>
        <w:t>万元工作任务，已完成</w:t>
      </w:r>
      <w:r>
        <w:rPr>
          <w:rFonts w:hint="eastAsia"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default" w:ascii="Times New Roman" w:hAnsi="Times New Roman" w:eastAsia="方正楷体_GBK" w:cs="Times New Roman"/>
          <w:bCs/>
          <w:kern w:val="0"/>
          <w:sz w:val="32"/>
          <w:szCs w:val="32"/>
          <w:highlight w:val="none"/>
          <w:lang w:val="en-US" w:eastAsia="zh-CN"/>
        </w:rPr>
      </w:pPr>
      <w:r>
        <w:rPr>
          <w:rFonts w:hint="default" w:ascii="Times New Roman" w:hAnsi="Times New Roman" w:eastAsia="方正楷体_GBK" w:cs="Times New Roman"/>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 w:val="32"/>
          <w:szCs w:val="32"/>
          <w:highlight w:val="none"/>
          <w:lang w:val="en-US" w:eastAsia="zh-CN"/>
        </w:rPr>
        <w:t>绩效目标项目年初有</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个，开展绩效评价项目</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个，开展自评项目数</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个，完成绩效评价数3个；应填报绩效目标的项目数</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w:t>
      </w:r>
      <w:r>
        <w:rPr>
          <w:rFonts w:hint="eastAsia" w:eastAsia="方正仿宋_GBK" w:cs="Times New Roman"/>
          <w:bCs/>
          <w:kern w:val="0"/>
          <w:sz w:val="32"/>
          <w:szCs w:val="32"/>
          <w:highlight w:val="none"/>
          <w:lang w:val="en-US" w:eastAsia="zh-CN"/>
        </w:rPr>
        <w:t>；</w:t>
      </w:r>
      <w:r>
        <w:rPr>
          <w:rFonts w:hint="default" w:ascii="Times New Roman" w:hAnsi="Times New Roman" w:eastAsia="方正仿宋_GBK" w:cs="Times New Roman"/>
          <w:bCs/>
          <w:kern w:val="0"/>
          <w:sz w:val="32"/>
          <w:szCs w:val="32"/>
          <w:highlight w:val="none"/>
          <w:lang w:val="en-US" w:eastAsia="zh-CN"/>
        </w:rPr>
        <w:t>应开展绩效监控的项目0个和应开展绩效自评项目</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个，应完成绩效工作数为</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w:t>
      </w:r>
      <w:r>
        <w:rPr>
          <w:rFonts w:hint="default" w:ascii="Times New Roman" w:hAnsi="Times New Roman" w:eastAsia="方正仿宋_GBK" w:cs="Times New Roman"/>
          <w:bCs/>
          <w:kern w:val="0"/>
          <w:szCs w:val="32"/>
        </w:rPr>
        <w:t>项目执行达100%以上的项目</w:t>
      </w:r>
      <w:r>
        <w:rPr>
          <w:rFonts w:hint="eastAsia" w:eastAsia="方正仿宋_GBK" w:cs="Times New Roman"/>
          <w:bCs/>
          <w:kern w:val="0"/>
          <w:szCs w:val="32"/>
          <w:lang w:val="en-US" w:eastAsia="zh-CN"/>
        </w:rPr>
        <w:t>2</w:t>
      </w:r>
      <w:r>
        <w:rPr>
          <w:rFonts w:hint="default" w:ascii="Times New Roman" w:hAnsi="Times New Roman" w:eastAsia="方正仿宋_GBK" w:cs="Times New Roman"/>
          <w:bCs/>
          <w:kern w:val="0"/>
          <w:szCs w:val="32"/>
          <w:lang w:eastAsia="zh-CN"/>
        </w:rPr>
        <w:t>个</w:t>
      </w:r>
      <w:r>
        <w:rPr>
          <w:rFonts w:hint="default" w:ascii="Times New Roman" w:hAnsi="Times New Roman" w:eastAsia="方正仿宋_GBK" w:cs="Times New Roman"/>
          <w:bCs/>
          <w:kern w:val="0"/>
          <w:szCs w:val="32"/>
        </w:rPr>
        <w:t>，项目综合完成率为</w:t>
      </w:r>
      <w:r>
        <w:rPr>
          <w:rFonts w:hint="default" w:ascii="Times New Roman" w:hAnsi="Times New Roman"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kinsoku/>
        <w:overflowPunct/>
        <w:topLinePunct w:val="0"/>
        <w:autoSpaceDE/>
        <w:autoSpaceDN/>
        <w:bidi w:val="0"/>
        <w:spacing w:line="578" w:lineRule="exact"/>
        <w:ind w:firstLine="480" w:firstLineChars="150"/>
        <w:textAlignment w:val="auto"/>
        <w:rPr>
          <w:rFonts w:hint="default" w:ascii="Times New Roman" w:hAnsi="Times New Roman" w:eastAsia="仿宋" w:cs="Times New Roman"/>
          <w:bCs/>
          <w:kern w:val="0"/>
          <w:sz w:val="32"/>
          <w:szCs w:val="32"/>
          <w:highlight w:val="none"/>
          <w:lang w:val="en-US" w:eastAsia="zh-CN"/>
        </w:rPr>
      </w:pPr>
      <w:r>
        <w:rPr>
          <w:rFonts w:hint="default" w:ascii="Times New Roman" w:hAnsi="Times New Roman" w:eastAsia="方正仿宋_GBK" w:cs="Times New Roman"/>
          <w:bCs/>
          <w:kern w:val="0"/>
          <w:szCs w:val="32"/>
        </w:rPr>
        <w:t>专项预算管理分值为40分，自评得分为</w:t>
      </w:r>
      <w:r>
        <w:rPr>
          <w:rFonts w:hint="default" w:ascii="Times New Roman" w:hAnsi="Times New Roman" w:eastAsia="方正仿宋_GBK" w:cs="Times New Roman"/>
          <w:bCs/>
          <w:kern w:val="0"/>
          <w:szCs w:val="32"/>
          <w:lang w:val="en-US" w:eastAsia="zh-CN"/>
        </w:rPr>
        <w:t>40</w:t>
      </w:r>
      <w:r>
        <w:rPr>
          <w:rFonts w:hint="default" w:ascii="Times New Roman" w:hAnsi="Times New Roman" w:eastAsia="方正仿宋_GBK" w:cs="Times New Roman"/>
          <w:bCs/>
          <w:kern w:val="0"/>
          <w:szCs w:val="32"/>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Cs w:val="32"/>
          <w:highlight w:val="none"/>
          <w:shd w:val="clear" w:color="auto" w:fill="FFFFFF"/>
          <w:lang w:val="zh-CN"/>
        </w:rPr>
      </w:pPr>
      <w:r>
        <w:rPr>
          <w:rFonts w:hint="default" w:ascii="Times New Roman" w:hAnsi="Times New Roman" w:eastAsia="方正黑体_GBK" w:cs="Times New Roman"/>
          <w:color w:val="auto"/>
          <w:kern w:val="0"/>
          <w:szCs w:val="32"/>
          <w:highlight w:val="none"/>
          <w:shd w:val="clear" w:color="auto" w:fill="FFFFFF"/>
          <w:lang w:val="zh-CN"/>
        </w:rPr>
        <w:t>五、结果应用情况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1.在“预算挂钩”方面，我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已出台全面实施预算绩效管理工作方案，细化考核内容，加强各业务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default" w:ascii="Times New Roman" w:hAnsi="Times New Roman"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2.在“自评公开”方面，我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室加快预算执行进度;针对我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4.在应用反馈上，我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已按要求在规定时间内将预算绩效结果应用结果向财政反馈。该项指标分值为</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六、自评质量情况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整体支出自评准确率较高，</w:t>
      </w:r>
      <w:r>
        <w:rPr>
          <w:rFonts w:hint="default" w:ascii="Times New Roman" w:hAnsi="Times New Roman" w:eastAsia="方正仿宋_GBK" w:cs="Times New Roman"/>
          <w:color w:val="auto"/>
          <w:kern w:val="0"/>
          <w:sz w:val="32"/>
          <w:szCs w:val="32"/>
          <w:shd w:val="clear" w:color="auto" w:fill="FFFFFF"/>
          <w:lang w:val="en-US" w:eastAsia="zh-CN"/>
        </w:rPr>
        <w:t>且全面开展自评</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w:t>
      </w: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整体支出绩效自评得分</w:t>
      </w:r>
      <w:r>
        <w:rPr>
          <w:rFonts w:hint="default" w:ascii="Times New Roman" w:hAnsi="Times New Roman" w:eastAsia="方正仿宋_GBK" w:cs="Times New Roman"/>
          <w:color w:val="auto"/>
          <w:kern w:val="0"/>
          <w:sz w:val="32"/>
          <w:szCs w:val="32"/>
          <w:shd w:val="clear" w:color="auto" w:fill="FFFFFF"/>
          <w:lang w:val="en-US" w:eastAsia="zh-CN"/>
        </w:rPr>
        <w:t>实际为8</w:t>
      </w:r>
      <w:r>
        <w:rPr>
          <w:rFonts w:hint="eastAsia" w:eastAsia="方正仿宋_GBK" w:cs="Times New Roman"/>
          <w:color w:val="auto"/>
          <w:kern w:val="0"/>
          <w:sz w:val="32"/>
          <w:szCs w:val="32"/>
          <w:shd w:val="clear" w:color="auto" w:fill="FFFFFF"/>
          <w:lang w:val="en-US" w:eastAsia="zh-CN"/>
        </w:rPr>
        <w:t>7</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七、评价结论及建议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按照202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年度</w:t>
      </w:r>
      <w:r>
        <w:rPr>
          <w:rFonts w:hint="default" w:ascii="Times New Roman" w:hAnsi="Times New Roman" w:eastAsia="方正仿宋_GBK" w:cs="Times New Roman"/>
          <w:color w:val="auto"/>
          <w:kern w:val="0"/>
          <w:sz w:val="32"/>
          <w:szCs w:val="32"/>
          <w:shd w:val="clear" w:color="auto" w:fill="FFFFFF"/>
          <w:lang w:val="en-US" w:eastAsia="zh-CN"/>
        </w:rPr>
        <w:t>区</w:t>
      </w:r>
      <w:r>
        <w:rPr>
          <w:rFonts w:hint="default" w:ascii="Times New Roman" w:hAnsi="Times New Roman" w:eastAsia="方正仿宋_GBK" w:cs="Times New Roman"/>
          <w:color w:val="auto"/>
          <w:kern w:val="0"/>
          <w:sz w:val="32"/>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 w:val="32"/>
          <w:szCs w:val="32"/>
          <w:shd w:val="clear" w:color="auto" w:fill="FFFFFF"/>
          <w:lang w:val="en-US" w:eastAsia="zh-CN"/>
        </w:rPr>
        <w:t>9</w:t>
      </w:r>
      <w:r>
        <w:rPr>
          <w:rFonts w:hint="eastAsia" w:eastAsia="方正仿宋_GBK" w:cs="Times New Roman"/>
          <w:color w:val="auto"/>
          <w:kern w:val="0"/>
          <w:sz w:val="32"/>
          <w:szCs w:val="32"/>
          <w:shd w:val="clear" w:color="auto" w:fill="FFFFFF"/>
          <w:lang w:val="en-US" w:eastAsia="zh-CN"/>
        </w:rPr>
        <w:t>0</w:t>
      </w:r>
      <w:r>
        <w:rPr>
          <w:rFonts w:hint="default" w:ascii="Times New Roman" w:hAnsi="Times New Roman" w:eastAsia="方正仿宋_GBK" w:cs="Times New Roman"/>
          <w:color w:val="auto"/>
          <w:kern w:val="0"/>
          <w:sz w:val="32"/>
          <w:szCs w:val="32"/>
          <w:shd w:val="clear" w:color="auto" w:fill="FFFFFF"/>
          <w:lang w:val="zh-CN"/>
        </w:rPr>
        <w:t>分，我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得分</w:t>
      </w:r>
      <w:r>
        <w:rPr>
          <w:rFonts w:hint="default" w:ascii="Times New Roman" w:hAnsi="Times New Roman" w:eastAsia="方正仿宋_GBK" w:cs="Times New Roman"/>
          <w:color w:val="auto"/>
          <w:kern w:val="0"/>
          <w:sz w:val="32"/>
          <w:szCs w:val="32"/>
          <w:shd w:val="clear" w:color="auto" w:fill="FFFFFF"/>
          <w:lang w:val="en-US" w:eastAsia="zh-CN"/>
        </w:rPr>
        <w:t>8</w:t>
      </w:r>
      <w:r>
        <w:rPr>
          <w:rFonts w:hint="eastAsia" w:eastAsia="方正仿宋_GBK" w:cs="Times New Roman"/>
          <w:color w:val="auto"/>
          <w:kern w:val="0"/>
          <w:sz w:val="32"/>
          <w:szCs w:val="32"/>
          <w:shd w:val="clear" w:color="auto" w:fill="FFFFFF"/>
          <w:lang w:val="en-US" w:eastAsia="zh-CN"/>
        </w:rPr>
        <w:t>7</w:t>
      </w:r>
      <w:r>
        <w:rPr>
          <w:rFonts w:hint="default" w:ascii="Times New Roman" w:hAnsi="Times New Roman" w:eastAsia="方正仿宋_GBK" w:cs="Times New Roman"/>
          <w:color w:val="auto"/>
          <w:kern w:val="0"/>
          <w:sz w:val="32"/>
          <w:szCs w:val="32"/>
          <w:shd w:val="clear" w:color="auto" w:fill="FFFFFF"/>
          <w:lang w:val="zh-CN"/>
        </w:rPr>
        <w:t>分（</w:t>
      </w:r>
      <w:r>
        <w:rPr>
          <w:rFonts w:hint="default" w:ascii="Times New Roman" w:hAnsi="Times New Roman" w:eastAsia="方正仿宋_GBK" w:cs="Times New Roman"/>
          <w:color w:val="auto"/>
          <w:kern w:val="0"/>
          <w:sz w:val="32"/>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 w:val="32"/>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auto"/>
          <w:kern w:val="0"/>
          <w:sz w:val="32"/>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(三)改进措施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lang w:val="zh-CN"/>
        </w:rPr>
        <w:t>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lang w:val="zh-CN"/>
        </w:rPr>
        <w:t>年，我</w:t>
      </w:r>
      <w:r>
        <w:rPr>
          <w:rFonts w:hint="default" w:ascii="Times New Roman" w:hAnsi="Times New Roman" w:eastAsia="方正仿宋_GBK" w:cs="Times New Roman"/>
          <w:lang w:val="en-US" w:eastAsia="zh-CN"/>
        </w:rPr>
        <w:t>单位</w:t>
      </w:r>
      <w:r>
        <w:rPr>
          <w:rFonts w:hint="default" w:ascii="Times New Roman" w:hAnsi="Times New Roman" w:eastAsia="方正仿宋_GBK" w:cs="Times New Roman"/>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年预算执行进度在202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三是提高预算绩效管理工作意识，按照预算绩效管理工作方案要求，明确职责分工，压实主体责任，强化各具体项目承办.</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附件：</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1.2022年特定目标类部门预算项目绩效目标自评（项目名称：学生营养餐专项）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2.2022年特定目标类部门预算项目绩效目标自评（项目名称：购买安保服务专项）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3.2022年特定目标类部门预算项目绩效目标自评（项目名称：食堂购买服务专项）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rPr>
        <w:t>4</w:t>
      </w:r>
      <w:r>
        <w:rPr>
          <w:rFonts w:hint="default" w:ascii="Times New Roman" w:hAnsi="Times New Roman" w:eastAsia="方正仿宋_GBK" w:cs="Times New Roman"/>
          <w:kern w:val="0"/>
          <w:sz w:val="32"/>
          <w:szCs w:val="32"/>
          <w:shd w:val="clear" w:color="auto" w:fill="FFFFFF"/>
        </w:rPr>
        <w:t>.</w:t>
      </w:r>
      <w:r>
        <w:rPr>
          <w:rFonts w:hint="eastAsia" w:eastAsia="方正仿宋_GBK" w:cs="Times New Roman"/>
          <w:kern w:val="0"/>
          <w:sz w:val="32"/>
          <w:szCs w:val="32"/>
          <w:shd w:val="clear" w:color="auto" w:fill="FFFFFF"/>
          <w:lang w:eastAsia="zh-CN"/>
        </w:rPr>
        <w:t>达川区堡子镇中心小学</w:t>
      </w:r>
      <w:r>
        <w:rPr>
          <w:rFonts w:hint="default" w:ascii="Times New Roman" w:hAnsi="Times New Roman" w:eastAsia="方正仿宋_GBK" w:cs="Times New Roman"/>
          <w:kern w:val="0"/>
          <w:sz w:val="32"/>
          <w:szCs w:val="32"/>
          <w:shd w:val="clear" w:color="auto" w:fill="FFFFFF"/>
        </w:rPr>
        <w:t>2023年整体支出绩效评价指标体系表</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w:t>
      </w:r>
      <w:r>
        <w:rPr>
          <w:rFonts w:hint="eastAsia" w:eastAsia="方正仿宋_GBK" w:cs="Times New Roman"/>
          <w:kern w:val="0"/>
          <w:sz w:val="32"/>
          <w:szCs w:val="32"/>
          <w:shd w:val="clear" w:color="auto" w:fill="FFFFFF"/>
          <w:lang w:eastAsia="zh-CN"/>
        </w:rPr>
        <w:t>达川区</w:t>
      </w:r>
      <w:r>
        <w:rPr>
          <w:rFonts w:hint="eastAsia" w:eastAsia="方正仿宋_GBK" w:cs="Times New Roman"/>
          <w:kern w:val="0"/>
          <w:sz w:val="32"/>
          <w:szCs w:val="32"/>
          <w:shd w:val="clear" w:color="auto" w:fill="FFFFFF"/>
          <w:lang w:val="en-US" w:eastAsia="zh-CN"/>
        </w:rPr>
        <w:t>管村</w:t>
      </w:r>
      <w:r>
        <w:rPr>
          <w:rFonts w:hint="eastAsia" w:eastAsia="方正仿宋_GBK" w:cs="Times New Roman"/>
          <w:kern w:val="0"/>
          <w:sz w:val="32"/>
          <w:szCs w:val="32"/>
          <w:shd w:val="clear" w:color="auto" w:fill="FFFFFF"/>
          <w:lang w:eastAsia="zh-CN"/>
        </w:rPr>
        <w:t>镇中心小学</w:t>
      </w:r>
      <w:r>
        <w:rPr>
          <w:rFonts w:hint="default" w:ascii="Times New Roman" w:hAnsi="Times New Roman" w:eastAsia="方正仿宋_GBK" w:cs="Times New Roman"/>
          <w:color w:val="auto"/>
          <w:kern w:val="0"/>
          <w:szCs w:val="32"/>
          <w:shd w:val="clear" w:color="auto" w:fill="FFFFFF"/>
          <w:lang w:val="en-US" w:eastAsia="zh-CN"/>
        </w:rPr>
        <w:t xml:space="preserve">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color w:val="auto"/>
          <w:kern w:val="0"/>
          <w:szCs w:val="32"/>
          <w:shd w:val="clear" w:color="auto" w:fill="FFFFFF"/>
          <w:lang w:val="en-US" w:eastAsia="zh-CN"/>
        </w:rPr>
        <w:t xml:space="preserve">                             2023年4月</w:t>
      </w:r>
      <w:r>
        <w:rPr>
          <w:rFonts w:hint="eastAsia" w:eastAsia="方正仿宋_GBK" w:cs="Times New Roman"/>
          <w:color w:val="auto"/>
          <w:kern w:val="0"/>
          <w:szCs w:val="32"/>
          <w:shd w:val="clear" w:color="auto" w:fill="FFFFFF"/>
          <w:lang w:val="en-US" w:eastAsia="zh-CN"/>
        </w:rPr>
        <w:t>17</w:t>
      </w:r>
      <w:r>
        <w:rPr>
          <w:rFonts w:hint="default" w:ascii="Times New Roman" w:hAnsi="Times New Roman" w:eastAsia="方正仿宋_GBK" w:cs="Times New Roman"/>
          <w:color w:val="auto"/>
          <w:kern w:val="0"/>
          <w:szCs w:val="32"/>
          <w:shd w:val="clear" w:color="auto" w:fill="FFFFFF"/>
          <w:lang w:val="en-US" w:eastAsia="zh-CN"/>
        </w:rPr>
        <w:t xml:space="preserve">日    </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附表</w:t>
      </w:r>
      <w:r>
        <w:rPr>
          <w:rFonts w:hint="default" w:ascii="Times New Roman" w:hAnsi="Times New Roman" w:cs="Times New Roman"/>
          <w:b w:val="0"/>
          <w:bCs w:val="0"/>
          <w:color w:val="000000" w:themeColor="text1"/>
          <w:kern w:val="0"/>
          <w:szCs w:val="32"/>
          <w:shd w:val="clear" w:color="auto" w:fill="FFFFFF"/>
          <w:lang w:val="en-US" w:eastAsia="zh-CN"/>
          <w14:textFill>
            <w14:solidFill>
              <w14:schemeClr w14:val="tx1"/>
            </w14:solidFill>
          </w14:textFill>
        </w:rPr>
        <w:t>1</w:t>
      </w: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12"/>
        <w:gridCol w:w="580"/>
        <w:gridCol w:w="140"/>
        <w:gridCol w:w="1790"/>
        <w:gridCol w:w="314"/>
        <w:gridCol w:w="901"/>
        <w:gridCol w:w="964"/>
        <w:gridCol w:w="680"/>
        <w:gridCol w:w="669"/>
        <w:gridCol w:w="549"/>
        <w:gridCol w:w="1232"/>
        <w:gridCol w:w="228"/>
      </w:tblGrid>
      <w:tr>
        <w:tblPrEx>
          <w:tblCellMar>
            <w:top w:w="0" w:type="dxa"/>
            <w:left w:w="108" w:type="dxa"/>
            <w:bottom w:w="0" w:type="dxa"/>
            <w:right w:w="108" w:type="dxa"/>
          </w:tblCellMar>
        </w:tblPrEx>
        <w:trPr>
          <w:trHeight w:val="675" w:hRule="atLeast"/>
        </w:trPr>
        <w:tc>
          <w:tcPr>
            <w:tcW w:w="4873"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（项目名称：学生营养餐专项）</w:t>
            </w:r>
          </w:p>
        </w:tc>
        <w:tc>
          <w:tcPr>
            <w:tcW w:w="126"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26"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eastAsia" w:cs="Times New Roman"/>
                <w:color w:val="000000"/>
                <w:kern w:val="0"/>
                <w:sz w:val="22"/>
                <w:szCs w:val="22"/>
                <w:lang w:eastAsia="zh-CN" w:bidi="ar"/>
              </w:rPr>
              <w:t>达川区</w:t>
            </w:r>
            <w:r>
              <w:rPr>
                <w:rFonts w:hint="eastAsia" w:cs="Times New Roman"/>
                <w:color w:val="000000"/>
                <w:kern w:val="0"/>
                <w:sz w:val="22"/>
                <w:szCs w:val="22"/>
                <w:lang w:val="en-US" w:eastAsia="zh-CN" w:bidi="ar"/>
              </w:rPr>
              <w:t>管村</w:t>
            </w:r>
            <w:r>
              <w:rPr>
                <w:rFonts w:hint="eastAsia" w:cs="Times New Roman"/>
                <w:color w:val="000000"/>
                <w:kern w:val="0"/>
                <w:sz w:val="22"/>
                <w:szCs w:val="22"/>
                <w:lang w:eastAsia="zh-CN" w:bidi="ar"/>
              </w:rPr>
              <w:t>镇中心小学</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项目预算</w:t>
            </w:r>
          </w:p>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执行情况</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（万元）</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135.76</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135.76</w:t>
            </w:r>
          </w:p>
        </w:tc>
      </w:tr>
      <w:tr>
        <w:tblPrEx>
          <w:tblCellMar>
            <w:top w:w="0" w:type="dxa"/>
            <w:left w:w="108" w:type="dxa"/>
            <w:bottom w:w="0" w:type="dxa"/>
            <w:right w:w="108" w:type="dxa"/>
          </w:tblCellMar>
        </w:tblPrEx>
        <w:trPr>
          <w:gridAfter w:val="1"/>
          <w:wAfter w:w="126"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135.76</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135.76</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26" w:type="pct"/>
          <w:trHeight w:val="217" w:hRule="atLeast"/>
        </w:trPr>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26" w:type="pct"/>
          <w:trHeight w:val="1297" w:hRule="atLeast"/>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5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2022年内计划发放营养餐改善计划补助资金</w:t>
            </w:r>
            <w:r>
              <w:rPr>
                <w:rFonts w:hint="eastAsia" w:cs="Times New Roman"/>
                <w:color w:val="000000"/>
                <w:kern w:val="0"/>
                <w:sz w:val="22"/>
                <w:szCs w:val="22"/>
                <w:lang w:val="en-US" w:eastAsia="zh-CN" w:bidi="ar"/>
              </w:rPr>
              <w:t>135.76</w:t>
            </w:r>
            <w:r>
              <w:rPr>
                <w:rFonts w:hint="default" w:ascii="Times New Roman" w:hAnsi="Times New Roman" w:cs="Times New Roman"/>
                <w:color w:val="000000"/>
                <w:kern w:val="0"/>
                <w:sz w:val="22"/>
                <w:szCs w:val="22"/>
                <w:lang w:bidi="ar"/>
              </w:rPr>
              <w:t>万元，目的是改善农村义务教育学生的营养状况，提高农村义务教育学生的健康水平，促进城乡义务教育健康持续发展。</w:t>
            </w:r>
          </w:p>
        </w:tc>
        <w:tc>
          <w:tcPr>
            <w:tcW w:w="2258"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2022年内实际发放营养餐改善计划补助资金</w:t>
            </w:r>
            <w:r>
              <w:rPr>
                <w:rFonts w:hint="eastAsia" w:cs="Times New Roman"/>
                <w:color w:val="000000"/>
                <w:kern w:val="0"/>
                <w:sz w:val="22"/>
                <w:szCs w:val="22"/>
                <w:lang w:val="en-US" w:eastAsia="zh-CN" w:bidi="ar"/>
              </w:rPr>
              <w:t>135.76</w:t>
            </w:r>
            <w:r>
              <w:rPr>
                <w:rFonts w:hint="default" w:ascii="Times New Roman" w:hAnsi="Times New Roman" w:cs="Times New Roman"/>
                <w:color w:val="000000"/>
                <w:kern w:val="0"/>
                <w:sz w:val="22"/>
                <w:szCs w:val="22"/>
                <w:lang w:bidi="ar"/>
              </w:rPr>
              <w:t>万元，改善了农村义务教育学生的营养状况，提高了学生的健康水平，促进城乡义务教育均衡发展。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26" w:type="pct"/>
          <w:trHeight w:val="738" w:hRule="atLeast"/>
        </w:trPr>
        <w:tc>
          <w:tcPr>
            <w:tcW w:w="559"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397"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26" w:type="pct"/>
          <w:trHeight w:val="525"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营养餐补助达标率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99"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营养餐质量合格率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补助标准</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营养餐补助发放准确率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营养餐改善计划补助学生人数</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sz w:val="21"/>
                <w:szCs w:val="21"/>
              </w:rPr>
            </w:pPr>
            <w:r>
              <w:rPr>
                <w:rFonts w:hint="eastAsia" w:cs="Times New Roman"/>
                <w:sz w:val="21"/>
                <w:szCs w:val="21"/>
                <w:lang w:val="en-US" w:eastAsia="zh-CN"/>
              </w:rPr>
              <w:t>1429</w:t>
            </w:r>
            <w:r>
              <w:rPr>
                <w:rFonts w:hint="default" w:ascii="Times New Roman" w:hAnsi="Times New Roman" w:cs="Times New Roman"/>
                <w:sz w:val="21"/>
                <w:szCs w:val="21"/>
              </w:rPr>
              <w:t>人</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1429</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26" w:type="pct"/>
          <w:trHeight w:val="40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营养餐（蛋、奶等）发放及时率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改善学生营养状况</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营养餐应吃尽吃率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学生营养膳食补助政策健全性</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20" w:hRule="atLeast"/>
        </w:trPr>
        <w:tc>
          <w:tcPr>
            <w:tcW w:w="559"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受惠学生满意度</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default" w:ascii="Times New Roman" w:hAnsi="Times New Roman" w:cs="Times New Roman"/>
          <w:b w:val="0"/>
          <w:bCs w:val="0"/>
          <w:color w:val="000000" w:themeColor="text1"/>
          <w:kern w:val="0"/>
          <w:szCs w:val="32"/>
          <w:highlight w:val="none"/>
          <w:shd w:val="clear" w:color="auto" w:fill="FFFFFF"/>
          <w:lang w:val="zh-CN"/>
          <w14:textFill>
            <w14:solidFill>
              <w14:schemeClr w14:val="tx1"/>
            </w14:solidFill>
          </w14:textFill>
        </w:rPr>
      </w:pPr>
    </w:p>
    <w:p>
      <w:pPr>
        <w:rPr>
          <w:rFonts w:hint="default" w:ascii="Times New Roman" w:hAnsi="Times New Roman" w:cs="Times New Roman"/>
          <w:lang w:val="zh-CN"/>
        </w:rPr>
      </w:pPr>
    </w:p>
    <w:p>
      <w:pPr>
        <w:pStyle w:val="2"/>
        <w:rPr>
          <w:rFonts w:hint="default" w:ascii="Times New Roman" w:hAnsi="Times New Roman" w:cs="Times New Roman"/>
          <w:lang w:val="zh-CN"/>
        </w:rPr>
      </w:pPr>
    </w:p>
    <w:p>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附表2：</w:t>
      </w:r>
    </w:p>
    <w:tbl>
      <w:tblPr>
        <w:tblStyle w:val="5"/>
        <w:tblpPr w:leftFromText="180" w:rightFromText="180" w:vertAnchor="text" w:horzAnchor="page" w:tblpX="1256" w:tblpY="221"/>
        <w:tblOverlap w:val="never"/>
        <w:tblW w:w="4994" w:type="pct"/>
        <w:tblInd w:w="0" w:type="dxa"/>
        <w:tblLayout w:type="autofit"/>
        <w:tblCellMar>
          <w:top w:w="0" w:type="dxa"/>
          <w:left w:w="108" w:type="dxa"/>
          <w:bottom w:w="0" w:type="dxa"/>
          <w:right w:w="108" w:type="dxa"/>
        </w:tblCellMar>
      </w:tblPr>
      <w:tblGrid>
        <w:gridCol w:w="1004"/>
        <w:gridCol w:w="582"/>
        <w:gridCol w:w="147"/>
        <w:gridCol w:w="1784"/>
        <w:gridCol w:w="318"/>
        <w:gridCol w:w="908"/>
        <w:gridCol w:w="957"/>
        <w:gridCol w:w="683"/>
        <w:gridCol w:w="665"/>
        <w:gridCol w:w="568"/>
        <w:gridCol w:w="1211"/>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eastAsia" w:cs="Times New Roman"/>
                <w:color w:val="000000"/>
                <w:kern w:val="0"/>
                <w:sz w:val="22"/>
                <w:szCs w:val="22"/>
                <w:lang w:eastAsia="zh-CN" w:bidi="ar"/>
              </w:rPr>
              <w:t>达川区</w:t>
            </w:r>
            <w:r>
              <w:rPr>
                <w:rFonts w:hint="eastAsia" w:cs="Times New Roman"/>
                <w:color w:val="000000"/>
                <w:kern w:val="0"/>
                <w:sz w:val="22"/>
                <w:szCs w:val="22"/>
                <w:lang w:val="en-US" w:eastAsia="zh-CN" w:bidi="ar"/>
              </w:rPr>
              <w:t>管村</w:t>
            </w:r>
            <w:r>
              <w:rPr>
                <w:rFonts w:hint="eastAsia" w:cs="Times New Roman"/>
                <w:color w:val="000000"/>
                <w:kern w:val="0"/>
                <w:sz w:val="22"/>
                <w:szCs w:val="22"/>
                <w:lang w:eastAsia="zh-CN" w:bidi="ar"/>
              </w:rPr>
              <w:t>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项目预算</w:t>
            </w:r>
          </w:p>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执行情况</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6.0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0</w:t>
            </w:r>
          </w:p>
        </w:tc>
      </w:tr>
      <w:tr>
        <w:tblPrEx>
          <w:tblCellMar>
            <w:top w:w="0" w:type="dxa"/>
            <w:left w:w="108" w:type="dxa"/>
            <w:bottom w:w="0" w:type="dxa"/>
            <w:right w:w="108" w:type="dxa"/>
          </w:tblCellMar>
        </w:tblPrEx>
        <w:trPr>
          <w:gridAfter w:val="1"/>
          <w:wAfter w:w="118" w:type="pct"/>
          <w:trHeight w:val="275"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6.0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0</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2022年内计划发放学校物业管理服务费</w:t>
            </w:r>
            <w:r>
              <w:rPr>
                <w:rFonts w:hint="eastAsia" w:cs="Times New Roman"/>
                <w:color w:val="000000"/>
                <w:kern w:val="0"/>
                <w:sz w:val="22"/>
                <w:szCs w:val="22"/>
                <w:lang w:val="en-US" w:eastAsia="zh-CN" w:bidi="ar"/>
              </w:rPr>
              <w:t>6.0</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4</w:t>
            </w:r>
            <w:r>
              <w:rPr>
                <w:rFonts w:hint="default" w:ascii="Times New Roman" w:hAnsi="Times New Roman" w:cs="Times New Roman"/>
                <w:color w:val="000000"/>
                <w:kern w:val="0"/>
                <w:sz w:val="22"/>
                <w:szCs w:val="22"/>
                <w:lang w:bidi="ar"/>
              </w:rPr>
              <w:t>人，目的是维护学校正常教育教学秩序，保障学校及师生的人身、财产安全。</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2022年实际发放学校物业管理服务费</w:t>
            </w:r>
            <w:r>
              <w:rPr>
                <w:rFonts w:hint="eastAsia" w:cs="Times New Roman"/>
                <w:color w:val="000000"/>
                <w:kern w:val="0"/>
                <w:sz w:val="22"/>
                <w:szCs w:val="22"/>
                <w:lang w:val="en-US" w:eastAsia="zh-CN" w:bidi="ar"/>
              </w:rPr>
              <w:t>6.0</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4</w:t>
            </w:r>
            <w:r>
              <w:rPr>
                <w:rFonts w:hint="default" w:ascii="Times New Roman" w:hAnsi="Times New Roman" w:cs="Times New Roman"/>
                <w:color w:val="000000"/>
                <w:kern w:val="0"/>
                <w:sz w:val="22"/>
                <w:szCs w:val="22"/>
                <w:lang w:bidi="ar"/>
              </w:rPr>
              <w:t>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完成</w:t>
            </w:r>
          </w:p>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专职保安人员聘请数量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4</w:t>
            </w:r>
            <w:r>
              <w:rPr>
                <w:rFonts w:hint="default" w:ascii="Times New Roman" w:hAnsi="Times New Roman" w:cs="Times New Roman"/>
                <w:sz w:val="21"/>
                <w:szCs w:val="21"/>
              </w:rPr>
              <w:t>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4</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保安人员正常到岗率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项目成本控制数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专职保安人员工资发放准确率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专职保安人员工资发放及时率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0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保安人员资质符合率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保障学师生人身财产安全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维护学校正常教育教学秩序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物业管理服务制度健全性</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5"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p>
    <w:tbl>
      <w:tblPr>
        <w:tblStyle w:val="5"/>
        <w:tblW w:w="4993" w:type="pct"/>
        <w:tblInd w:w="0" w:type="dxa"/>
        <w:tblLayout w:type="autofit"/>
        <w:tblCellMar>
          <w:top w:w="0" w:type="dxa"/>
          <w:left w:w="108" w:type="dxa"/>
          <w:bottom w:w="0" w:type="dxa"/>
          <w:right w:w="108" w:type="dxa"/>
        </w:tblCellMar>
      </w:tblPr>
      <w:tblGrid>
        <w:gridCol w:w="992"/>
        <w:gridCol w:w="837"/>
        <w:gridCol w:w="706"/>
        <w:gridCol w:w="611"/>
        <w:gridCol w:w="587"/>
        <w:gridCol w:w="2331"/>
        <w:gridCol w:w="5569"/>
        <w:gridCol w:w="718"/>
        <w:gridCol w:w="718"/>
        <w:gridCol w:w="718"/>
        <w:gridCol w:w="718"/>
        <w:gridCol w:w="770"/>
      </w:tblGrid>
      <w:tr>
        <w:tblPrEx>
          <w:tblCellMar>
            <w:top w:w="0" w:type="dxa"/>
            <w:left w:w="108" w:type="dxa"/>
            <w:bottom w:w="0" w:type="dxa"/>
            <w:right w:w="108" w:type="dxa"/>
          </w:tblCellMar>
        </w:tblPrEx>
        <w:trPr>
          <w:trHeight w:val="594" w:hRule="atLeast"/>
        </w:trPr>
        <w:tc>
          <w:tcPr>
            <w:tcW w:w="599" w:type="pct"/>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hint="default" w:ascii="Times New Roman" w:hAnsi="Times New Roman" w:eastAsia="仿宋_GB2312" w:cs="Times New Roman"/>
                <w:b/>
                <w:bCs/>
                <w:color w:val="000000"/>
                <w:sz w:val="24"/>
                <w:lang w:val="en-US" w:eastAsia="zh-CN"/>
              </w:rPr>
            </w:pPr>
            <w:r>
              <w:rPr>
                <w:rFonts w:hint="default" w:ascii="Times New Roman" w:hAnsi="Times New Roman" w:cs="Times New Roman"/>
                <w:color w:val="000000"/>
                <w:kern w:val="0"/>
                <w:szCs w:val="32"/>
                <w:shd w:val="clear" w:color="auto" w:fill="FFFFFF"/>
                <w:lang w:val="zh-CN"/>
              </w:rPr>
              <w:t>附件</w:t>
            </w:r>
            <w:r>
              <w:rPr>
                <w:rFonts w:hint="default" w:ascii="Times New Roman" w:hAnsi="Times New Roman" w:cs="Times New Roman"/>
                <w:color w:val="000000"/>
                <w:kern w:val="0"/>
                <w:szCs w:val="32"/>
                <w:shd w:val="clear" w:color="auto" w:fill="FFFFFF"/>
                <w:lang w:val="en-US" w:eastAsia="zh-CN"/>
              </w:rPr>
              <w:t>4：</w:t>
            </w:r>
          </w:p>
        </w:tc>
        <w:tc>
          <w:tcPr>
            <w:tcW w:w="231"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200"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192"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763" w:type="pct"/>
            <w:tcBorders>
              <w:top w:val="nil"/>
              <w:left w:val="nil"/>
              <w:bottom w:val="nil"/>
              <w:right w:val="nil"/>
            </w:tcBorders>
            <w:shd w:val="clear" w:color="auto" w:fill="auto"/>
            <w:vAlign w:val="center"/>
          </w:tcPr>
          <w:p>
            <w:pPr>
              <w:jc w:val="left"/>
              <w:rPr>
                <w:rFonts w:hint="default" w:ascii="Times New Roman" w:hAnsi="Times New Roman" w:eastAsia="宋体" w:cs="Times New Roman"/>
                <w:color w:val="000000"/>
                <w:sz w:val="24"/>
              </w:rPr>
            </w:pPr>
          </w:p>
        </w:tc>
        <w:tc>
          <w:tcPr>
            <w:tcW w:w="1821"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c>
          <w:tcPr>
            <w:tcW w:w="251"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1187"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32"/>
              </w:rPr>
            </w:pPr>
            <w:r>
              <w:rPr>
                <w:rFonts w:hint="eastAsia" w:ascii="Times New Roman" w:hAnsi="Times New Roman" w:eastAsia="宋体" w:cs="Times New Roman"/>
                <w:b/>
                <w:bCs/>
                <w:color w:val="000000"/>
                <w:kern w:val="0"/>
                <w:szCs w:val="32"/>
                <w:lang w:eastAsia="zh-CN" w:bidi="ar"/>
              </w:rPr>
              <w:t>达川区堡子镇中心小学</w:t>
            </w:r>
            <w:r>
              <w:rPr>
                <w:rFonts w:hint="default" w:ascii="Times New Roman" w:hAnsi="Times New Roman" w:eastAsia="宋体" w:cs="Times New Roman"/>
                <w:b/>
                <w:bCs/>
                <w:color w:val="000000"/>
                <w:kern w:val="0"/>
                <w:szCs w:val="32"/>
                <w:lang w:bidi="ar"/>
              </w:rPr>
              <w:t>2023年整体支出绩效评价</w:t>
            </w:r>
          </w:p>
        </w:tc>
      </w:tr>
      <w:tr>
        <w:tblPrEx>
          <w:tblCellMar>
            <w:top w:w="0" w:type="dxa"/>
            <w:left w:w="108" w:type="dxa"/>
            <w:bottom w:w="0" w:type="dxa"/>
            <w:right w:w="108" w:type="dxa"/>
          </w:tblCellMar>
        </w:tblPrEx>
        <w:trPr>
          <w:trHeight w:val="36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指标分值</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评价得分</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指标解释</w:t>
            </w:r>
          </w:p>
        </w:tc>
        <w:tc>
          <w:tcPr>
            <w:tcW w:w="1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评价属性</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定量评价</w:t>
            </w: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36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96</w:t>
            </w:r>
          </w:p>
        </w:tc>
        <w:tc>
          <w:tcPr>
            <w:tcW w:w="2778"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1999"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部门预算项目绩效管理（40分）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目标管理（15分）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评价部门绩效目标是否要素完整、细化量化并集体决策。</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981"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评价部门绩效目标实际实现程度与预期目标的偏离度。</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部门</w:t>
            </w:r>
            <w:r>
              <w:rPr>
                <w:rFonts w:hint="default" w:ascii="Times New Roman" w:hAnsi="Times New Roman" w:eastAsia="宋体" w:cs="Times New Roman"/>
                <w:kern w:val="0"/>
                <w:sz w:val="16"/>
                <w:szCs w:val="16"/>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动态调整（10分）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部门公用经费及非定额公用支出控制情况。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325"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评价部门开展绩效运行监控后，将绩效监控结果应用到预算调整的情况。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205"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评价部门在6、9、11月的预算执行情况。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部门预算执行进度在6、9、11月应达到序时进度的80%、90%、</w:t>
            </w:r>
            <w:r>
              <w:rPr>
                <w:rFonts w:hint="default" w:ascii="Times New Roman" w:hAnsi="Times New Roman" w:eastAsia="宋体" w:cs="Times New Roman"/>
                <w:color w:val="000000" w:themeColor="text1"/>
                <w:kern w:val="0"/>
                <w:sz w:val="20"/>
                <w:szCs w:val="20"/>
                <w:lang w:bidi="ar"/>
                <w14:textFill>
                  <w14:solidFill>
                    <w14:schemeClr w14:val="tx1"/>
                  </w14:solidFill>
                </w14:textFill>
              </w:rPr>
              <w:t>95%</w:t>
            </w:r>
            <w:r>
              <w:rPr>
                <w:rFonts w:hint="default" w:ascii="Times New Roman" w:hAnsi="Times New Roman" w:eastAsia="宋体" w:cs="Times New Roman"/>
                <w:color w:val="000000"/>
                <w:kern w:val="0"/>
                <w:sz w:val="20"/>
                <w:szCs w:val="20"/>
                <w:lang w:bidi="ar"/>
              </w:rPr>
              <w:t>，即实际</w:t>
            </w:r>
            <w:bookmarkStart w:id="3" w:name="_GoBack"/>
            <w:bookmarkEnd w:id="3"/>
            <w:r>
              <w:rPr>
                <w:rFonts w:hint="default" w:ascii="Times New Roman" w:hAnsi="Times New Roman" w:eastAsia="宋体" w:cs="Times New Roman"/>
                <w:color w:val="000000"/>
                <w:kern w:val="0"/>
                <w:sz w:val="20"/>
                <w:szCs w:val="20"/>
                <w:lang w:bidi="ar"/>
              </w:rPr>
              <w:t>支出进度分别达到</w:t>
            </w:r>
            <w:r>
              <w:rPr>
                <w:rFonts w:hint="eastAsia" w:eastAsia="宋体" w:cs="Times New Roman"/>
                <w:color w:val="000000"/>
                <w:kern w:val="0"/>
                <w:sz w:val="20"/>
                <w:szCs w:val="20"/>
                <w:lang w:val="en-US" w:eastAsia="zh-CN" w:bidi="ar"/>
              </w:rPr>
              <w:t>63.69</w:t>
            </w:r>
            <w:r>
              <w:rPr>
                <w:rFonts w:hint="default" w:ascii="Times New Roman" w:hAnsi="Times New Roman" w:eastAsia="宋体" w:cs="Times New Roman"/>
                <w:color w:val="000000"/>
                <w:kern w:val="0"/>
                <w:sz w:val="20"/>
                <w:szCs w:val="20"/>
                <w:lang w:bidi="ar"/>
              </w:rPr>
              <w:t>%、</w:t>
            </w:r>
            <w:r>
              <w:rPr>
                <w:rFonts w:hint="eastAsia" w:eastAsia="宋体" w:cs="Times New Roman"/>
                <w:color w:val="000000"/>
                <w:kern w:val="0"/>
                <w:sz w:val="20"/>
                <w:szCs w:val="20"/>
                <w:lang w:val="en-US" w:eastAsia="zh-CN" w:bidi="ar"/>
              </w:rPr>
              <w:t>83.03</w:t>
            </w:r>
            <w:r>
              <w:rPr>
                <w:rFonts w:hint="default" w:ascii="Times New Roman" w:hAnsi="Times New Roman" w:eastAsia="宋体" w:cs="Times New Roman"/>
                <w:color w:val="000000"/>
                <w:kern w:val="0"/>
                <w:sz w:val="20"/>
                <w:szCs w:val="20"/>
                <w:lang w:bidi="ar"/>
              </w:rPr>
              <w:t>%、</w:t>
            </w:r>
            <w:r>
              <w:rPr>
                <w:rFonts w:hint="eastAsia" w:eastAsia="宋体" w:cs="Times New Roman"/>
                <w:color w:val="000000"/>
                <w:kern w:val="0"/>
                <w:sz w:val="20"/>
                <w:szCs w:val="20"/>
                <w:lang w:val="en-US" w:eastAsia="zh-CN" w:bidi="ar"/>
              </w:rPr>
              <w:t>97.89</w:t>
            </w:r>
            <w:r>
              <w:rPr>
                <w:rFonts w:hint="default" w:ascii="Times New Roman" w:hAnsi="Times New Roman" w:eastAsia="宋体" w:cs="Times New Roman"/>
                <w:color w:val="000000"/>
                <w:kern w:val="0"/>
                <w:sz w:val="20"/>
                <w:szCs w:val="20"/>
                <w:lang w:bidi="ar"/>
              </w:rPr>
              <w:t xml:space="preserve">%。                                                     6、9、11月部门预算执行进度达到量化指标的分别得1分、1分、2分，未达到目标进度的按其实际进度占目标进度的比重计算得分。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完成效率（15分）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评价部门预算项目年终预算执行情况。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部门预算项目12月预算执行进度达到100%的，得5分，未达100%的，按照实际进度量化计算得分。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评价部门预算项目年终资金结余情况。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部门预算项目资金结余率小于0.1的项目数/部门预算项目总数*8。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（低效无效率）</w:t>
            </w:r>
          </w:p>
        </w:tc>
      </w:tr>
      <w:tr>
        <w:tblPrEx>
          <w:tblCellMar>
            <w:top w:w="0" w:type="dxa"/>
            <w:left w:w="108" w:type="dxa"/>
            <w:bottom w:w="0" w:type="dxa"/>
            <w:right w:w="108" w:type="dxa"/>
          </w:tblCellMar>
        </w:tblPrEx>
        <w:trPr>
          <w:trHeight w:val="1344"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根据审计监督、财政检查等结果反映部门上一年度部门预算管理是否合规。</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依据评价年度审计监督、财政检查结果，出现部门预算管理方面违纪违规问题的，每个问题扣0.2分，直至扣完。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项目个数（*个)</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40</w:t>
            </w:r>
          </w:p>
        </w:tc>
        <w:tc>
          <w:tcPr>
            <w:tcW w:w="37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绩效结果应用（10分）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内部应用（4分）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部门内部绩效结果与预算挂钩情况。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将内设机构和下属单位绩效自评纳入考核体系，建立对内设机构和下属单位预算与绩效挂钩机制的，得4分，否则酌情扣分。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信息公开（2分）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评价部门是否按要求将部门整体绩效自评情况和自行组织的评价情况向社会公开。</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按要求将相关绩效信息随同决算公开的，得2分，否则不得分。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整改反馈（4分）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评价部门根据绩效管理结果整改问题、完善政策、改进管理的情况。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针对绩效管理过程中（包括绩效目标核查、绩效监控核查和重点绩效评价）提出的问题进行整改，得2分，否则酌情扣分。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评价部门按要求及时向财政部门反馈结果应用情况。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部门在规定时间内向财政部门反馈应用绩效结果报告的，得2分，否则不得分。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9</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评价部门整体支出自评准确率。</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50"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扣分项（10分）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被评价单位配合评价工作情况。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bl>
    <w:p>
      <w:pPr>
        <w:pStyle w:val="2"/>
        <w:rPr>
          <w:rFonts w:hint="default" w:ascii="Times New Roman" w:hAnsi="Times New Roman" w:cs="Times New Roman"/>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ZGY3ZGNmZDRkZWM3ZjMyMWNhMTUyYzhjOTBkYTcifQ=="/>
  </w:docVars>
  <w:rsids>
    <w:rsidRoot w:val="24DD0D9F"/>
    <w:rsid w:val="004E502D"/>
    <w:rsid w:val="00667963"/>
    <w:rsid w:val="008F4A47"/>
    <w:rsid w:val="00C77B0F"/>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B41F50"/>
    <w:rsid w:val="05CD4745"/>
    <w:rsid w:val="06302C4A"/>
    <w:rsid w:val="06A0572A"/>
    <w:rsid w:val="06DC4F23"/>
    <w:rsid w:val="06F86E33"/>
    <w:rsid w:val="07157053"/>
    <w:rsid w:val="077F41EF"/>
    <w:rsid w:val="07A56FBB"/>
    <w:rsid w:val="084D5D0C"/>
    <w:rsid w:val="09217675"/>
    <w:rsid w:val="09522E19"/>
    <w:rsid w:val="09DA0859"/>
    <w:rsid w:val="0A824068"/>
    <w:rsid w:val="0AB91D87"/>
    <w:rsid w:val="0B086CFB"/>
    <w:rsid w:val="0B2D6FBF"/>
    <w:rsid w:val="0B4B5C4A"/>
    <w:rsid w:val="0B8E7D66"/>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483BD7"/>
    <w:rsid w:val="16C84A74"/>
    <w:rsid w:val="16CB091A"/>
    <w:rsid w:val="172A128B"/>
    <w:rsid w:val="181D73A4"/>
    <w:rsid w:val="1863523D"/>
    <w:rsid w:val="18C21AF1"/>
    <w:rsid w:val="19355618"/>
    <w:rsid w:val="194046D3"/>
    <w:rsid w:val="196E0920"/>
    <w:rsid w:val="19D674A8"/>
    <w:rsid w:val="1A5F2FF9"/>
    <w:rsid w:val="1A8A6890"/>
    <w:rsid w:val="1A8F6A5B"/>
    <w:rsid w:val="1B133BCA"/>
    <w:rsid w:val="1BE044FE"/>
    <w:rsid w:val="1BEE7124"/>
    <w:rsid w:val="1C0D18F5"/>
    <w:rsid w:val="1CC103E8"/>
    <w:rsid w:val="1D28187E"/>
    <w:rsid w:val="1D491D3F"/>
    <w:rsid w:val="1D9D4633"/>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9323DA"/>
    <w:rsid w:val="22C22788"/>
    <w:rsid w:val="23A377A4"/>
    <w:rsid w:val="240D363E"/>
    <w:rsid w:val="240D5E3C"/>
    <w:rsid w:val="24455271"/>
    <w:rsid w:val="24DD0D9F"/>
    <w:rsid w:val="25761B3F"/>
    <w:rsid w:val="25846BE9"/>
    <w:rsid w:val="258C6A3A"/>
    <w:rsid w:val="25B15618"/>
    <w:rsid w:val="25DC1D81"/>
    <w:rsid w:val="25FC5ED2"/>
    <w:rsid w:val="260E217E"/>
    <w:rsid w:val="264F7A39"/>
    <w:rsid w:val="275E4067"/>
    <w:rsid w:val="27F75D2D"/>
    <w:rsid w:val="281007E5"/>
    <w:rsid w:val="284819FF"/>
    <w:rsid w:val="28B766F6"/>
    <w:rsid w:val="28EF5908"/>
    <w:rsid w:val="28FB3842"/>
    <w:rsid w:val="2996455E"/>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64097D"/>
    <w:rsid w:val="2E914D5E"/>
    <w:rsid w:val="2EEB2306"/>
    <w:rsid w:val="2F3054D7"/>
    <w:rsid w:val="2FE54655"/>
    <w:rsid w:val="30460994"/>
    <w:rsid w:val="31096878"/>
    <w:rsid w:val="31950B3C"/>
    <w:rsid w:val="32350E38"/>
    <w:rsid w:val="325E210A"/>
    <w:rsid w:val="328C4682"/>
    <w:rsid w:val="32AB3878"/>
    <w:rsid w:val="32E34FD8"/>
    <w:rsid w:val="331E668C"/>
    <w:rsid w:val="341A67FB"/>
    <w:rsid w:val="352F19CD"/>
    <w:rsid w:val="36316C35"/>
    <w:rsid w:val="36AD0CC0"/>
    <w:rsid w:val="36BA58AB"/>
    <w:rsid w:val="36E9371D"/>
    <w:rsid w:val="37896841"/>
    <w:rsid w:val="37C13066"/>
    <w:rsid w:val="37E64902"/>
    <w:rsid w:val="38120B24"/>
    <w:rsid w:val="384E46DC"/>
    <w:rsid w:val="38EF5871"/>
    <w:rsid w:val="39523466"/>
    <w:rsid w:val="3A176A0C"/>
    <w:rsid w:val="3B0D631B"/>
    <w:rsid w:val="3B4E1B66"/>
    <w:rsid w:val="3B927FC0"/>
    <w:rsid w:val="3B973F04"/>
    <w:rsid w:val="3BA1661B"/>
    <w:rsid w:val="3C0D76D7"/>
    <w:rsid w:val="3C4168BF"/>
    <w:rsid w:val="3C6C1155"/>
    <w:rsid w:val="3D3B070D"/>
    <w:rsid w:val="3E170E7D"/>
    <w:rsid w:val="3E581A30"/>
    <w:rsid w:val="3EC531C0"/>
    <w:rsid w:val="3EF436BA"/>
    <w:rsid w:val="3EF43A7A"/>
    <w:rsid w:val="3F1B51C8"/>
    <w:rsid w:val="3F864857"/>
    <w:rsid w:val="3FA64212"/>
    <w:rsid w:val="3FB34286"/>
    <w:rsid w:val="3FCA10BA"/>
    <w:rsid w:val="403B4E5B"/>
    <w:rsid w:val="406665E0"/>
    <w:rsid w:val="407D1676"/>
    <w:rsid w:val="40C9514D"/>
    <w:rsid w:val="41574677"/>
    <w:rsid w:val="422C2BA5"/>
    <w:rsid w:val="424010B3"/>
    <w:rsid w:val="430B26BB"/>
    <w:rsid w:val="430F052D"/>
    <w:rsid w:val="432711BB"/>
    <w:rsid w:val="437F29F8"/>
    <w:rsid w:val="437F492D"/>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8F86243"/>
    <w:rsid w:val="492E25E8"/>
    <w:rsid w:val="494D5B12"/>
    <w:rsid w:val="49D10C92"/>
    <w:rsid w:val="4A294BF0"/>
    <w:rsid w:val="4A52579F"/>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EA41B5"/>
    <w:rsid w:val="53F457AC"/>
    <w:rsid w:val="54011CBD"/>
    <w:rsid w:val="54E60E9E"/>
    <w:rsid w:val="54EB3797"/>
    <w:rsid w:val="55256529"/>
    <w:rsid w:val="555E7D76"/>
    <w:rsid w:val="55E01770"/>
    <w:rsid w:val="56765354"/>
    <w:rsid w:val="573A3ECB"/>
    <w:rsid w:val="57C1696A"/>
    <w:rsid w:val="57D16367"/>
    <w:rsid w:val="57F468E6"/>
    <w:rsid w:val="58DC4DC9"/>
    <w:rsid w:val="58F20F01"/>
    <w:rsid w:val="598D7122"/>
    <w:rsid w:val="59AC533B"/>
    <w:rsid w:val="5A056993"/>
    <w:rsid w:val="5A5773F1"/>
    <w:rsid w:val="5A9C7A2D"/>
    <w:rsid w:val="5AA67CE7"/>
    <w:rsid w:val="5ACA788E"/>
    <w:rsid w:val="5B570375"/>
    <w:rsid w:val="5B5D1179"/>
    <w:rsid w:val="5B650361"/>
    <w:rsid w:val="5BAC74A6"/>
    <w:rsid w:val="5BB112D2"/>
    <w:rsid w:val="5C6765A7"/>
    <w:rsid w:val="5C877BB2"/>
    <w:rsid w:val="5CC4297D"/>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1629EA"/>
    <w:rsid w:val="693D23AB"/>
    <w:rsid w:val="694A02F2"/>
    <w:rsid w:val="69CF799B"/>
    <w:rsid w:val="6A542C1F"/>
    <w:rsid w:val="6AC9299B"/>
    <w:rsid w:val="6B731339"/>
    <w:rsid w:val="6B995F45"/>
    <w:rsid w:val="6C940E00"/>
    <w:rsid w:val="6D1241A0"/>
    <w:rsid w:val="6D802E5E"/>
    <w:rsid w:val="6D9B601B"/>
    <w:rsid w:val="6DBB0967"/>
    <w:rsid w:val="6E406318"/>
    <w:rsid w:val="6F17647B"/>
    <w:rsid w:val="6F6C2DCC"/>
    <w:rsid w:val="707B3132"/>
    <w:rsid w:val="70926DFA"/>
    <w:rsid w:val="709B1D5B"/>
    <w:rsid w:val="70BE708F"/>
    <w:rsid w:val="71982220"/>
    <w:rsid w:val="71E35433"/>
    <w:rsid w:val="71FE401B"/>
    <w:rsid w:val="72352623"/>
    <w:rsid w:val="723E4C29"/>
    <w:rsid w:val="72C8211B"/>
    <w:rsid w:val="735B0C23"/>
    <w:rsid w:val="73BD1ADF"/>
    <w:rsid w:val="73E9130F"/>
    <w:rsid w:val="746A213F"/>
    <w:rsid w:val="751F2C26"/>
    <w:rsid w:val="75DC0B17"/>
    <w:rsid w:val="75E635B5"/>
    <w:rsid w:val="77636A64"/>
    <w:rsid w:val="778E46D4"/>
    <w:rsid w:val="77C6261E"/>
    <w:rsid w:val="77EA25B1"/>
    <w:rsid w:val="787D7EFC"/>
    <w:rsid w:val="790243F1"/>
    <w:rsid w:val="796A35B7"/>
    <w:rsid w:val="79710303"/>
    <w:rsid w:val="7A3E4ED4"/>
    <w:rsid w:val="7A802674"/>
    <w:rsid w:val="7AB06959"/>
    <w:rsid w:val="7B0001E5"/>
    <w:rsid w:val="7B725E54"/>
    <w:rsid w:val="7B89704B"/>
    <w:rsid w:val="7B9652C4"/>
    <w:rsid w:val="7BF62539"/>
    <w:rsid w:val="7C305C04"/>
    <w:rsid w:val="7D007E4C"/>
    <w:rsid w:val="7D0418A4"/>
    <w:rsid w:val="7D995E8E"/>
    <w:rsid w:val="7E9F6E46"/>
    <w:rsid w:val="7ECE188F"/>
    <w:rsid w:val="7EDE1DB6"/>
    <w:rsid w:val="7EDE20FC"/>
    <w:rsid w:val="7EE5009B"/>
    <w:rsid w:val="7F430977"/>
    <w:rsid w:val="7F7215C4"/>
    <w:rsid w:val="7F80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6041</Words>
  <Characters>6509</Characters>
  <Lines>0</Lines>
  <Paragraphs>0</Paragraphs>
  <TotalTime>12</TotalTime>
  <ScaleCrop>false</ScaleCrop>
  <LinksUpToDate>false</LinksUpToDate>
  <CharactersWithSpaces>7153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86177</cp:lastModifiedBy>
  <dcterms:modified xsi:type="dcterms:W3CDTF">2023-04-17T06:30:46Z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6F1F3D7C88A94590895FF34E6A4AD2A1</vt:lpwstr>
  </property>
</Properties>
</file>