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达州市达川区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  <w:shd w:val="clear" w:color="auto" w:fill="FFFFFF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</w:rPr>
        <w:t>部门整体支出绩效评价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shd w:val="clear" w:color="auto" w:fill="FFFFFF"/>
        </w:rPr>
        <w:t>报告</w:t>
      </w:r>
    </w:p>
    <w:bookmarkEnd w:id="0"/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ascii="黑体" w:hAnsi="宋体" w:eastAsia="黑体" w:cs="宋体"/>
          <w:color w:val="000000"/>
          <w:kern w:val="0"/>
          <w:sz w:val="24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部门（单位）概况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lang w:val="zh-CN"/>
        </w:rPr>
      </w:pPr>
      <w:r>
        <w:rPr>
          <w:rFonts w:hint="eastAsia" w:ascii="方正楷体_GBK" w:hAnsi="方正楷体_GBK" w:eastAsia="方正楷体_GBK" w:cs="方正楷体_GBK"/>
          <w:lang w:val="zh-CN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达州市达川区科学技术局（简称区科技局）是达州市达川区人民政府的工作部门，为正科级</w:t>
      </w:r>
      <w:r>
        <w:rPr>
          <w:rFonts w:hint="eastAsia" w:eastAsia="方正仿宋_GBK" w:cs="Times New Roman"/>
          <w:lang w:val="zh-CN"/>
        </w:rPr>
        <w:t>行政单位</w:t>
      </w:r>
      <w:r>
        <w:rPr>
          <w:rFonts w:hint="default" w:ascii="Times New Roman" w:hAnsi="Times New Roman" w:eastAsia="方正仿宋_GBK" w:cs="Times New Roman"/>
          <w:lang w:val="zh-CN"/>
        </w:rPr>
        <w:t>。</w:t>
      </w:r>
      <w:r>
        <w:rPr>
          <w:rFonts w:hint="default" w:ascii="Times New Roman" w:hAnsi="Times New Roman" w:eastAsia="方正仿宋_GBK" w:cs="Times New Roman"/>
          <w:lang w:val="zh-CN" w:eastAsia="zh-CN"/>
        </w:rPr>
        <w:t>其内设机构有：办公室、资源配置与科技成果股、高新技术股、农村与社会发展科技股、党建人事股（区科技创新综合党委办公室）。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拟订全区创新驱动发展战略以及科技发展、引进国外智力规划并组织实施。贯彻执行国家、省、市有关科技创新的政策、法律、法规，制定我区实施办法并组织实施。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统筹推进全区科技创新体系建设和科技体制改革，会同有关部门健全技术创新激励机制。优化科研体系建设，指导科研机构改革发展，推动企业科技创新能力建设，承担推进科技军民融合发展相关工作，推进全区重大科技决策咨询制度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3.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建立统一的全区科技项目管理体系和科技项目资金协调、实施、评估、监管机制。会同有关部门，提出优化配置科技资源的措施建议，推动多元化科技投入体系建设。组织拟订区级财政科技计划（专项、基金）并监督和实施。负责本部门预算中的科技经费预决算及经费使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4.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拟订全区基础研究计划并组织实施，组织协调全区重大基础研究和应用基础研究。拟订重大科技创新基地建设规划并监督实施，参与编制重大科技基础设施建设规划和监督实施。配合市级部门承担国家实验室、省级实验室和国家、省、市重点实验室建设管理，推动科研条件保障建设和科技资源开放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5.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编制全区重大科技专项方案并组织实施，统筹关键共性技术、前沿引领技术、现代工程技术的研发和创新，牵头组织重大技术攻关和成果应用示范。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6.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组织拟订高新技术发展及产业化、科技促进农业农村和社会发展的规划和措施。组织开展重点领域技术发展需求分析，提出重大任务并组织实施。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7.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牵头全区技术转移体系建设，完善科技成果转化机制。拟订科技成果转移转化和促进产学研结合的相关措施并组织实施。指导科技服务业、技术市场和科技中介组织发展。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8.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拟订科技园区、科技创新平台和孵化载体建设规划并组织实施。统筹区域科技创新体系建设，指导区域创新发展、科技资源合理布局和协同创新能力建设。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9.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牵头组织高新技术企业、科技型中小企业等培育工作，推进企业科技研发机构建设，推动企业科技创新能力建设。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10.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负责科技监督评价体系建设和相关科技评估管理，推进科技评价机制改革，统筹科研诚信建设。组织实施全区创新调查、科技报告制度和科技统计，指导全区科技保密相关工作。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11.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拟订科技对外交往和创新能力开放合作的规划、措施，组织开展国际科技合作与科技人才交流。指导相关部门开展对外科技合作与科技人才交流培训工作。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12.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负责引进国（境）外智力工作。拟订全区重点引进国（境）外专家总体规划、计划并组织实施，探索建立顶尖科学家、团队吸引集聚机制和联系服务机制。拟订出国（境）培训总体规划、年度计划并监督实施。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13.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会同有关部门拟订科技人才队伍建设规划，建立健全科技人才评价和激励机制，组织实施科技人才计划，推动高端科技创新人才队伍建设。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14.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负责各级各类科学技术奖励的相关工作，管理社会力量设立的科学技术奖励。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15.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拟订科学普及和科学传播规划，会同相关部门推动科学普及工作。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16.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负责职责范围内的意识形态和安全生产、职业健康、生态环境保护等工作。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17.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zh-CN"/>
        </w:rPr>
        <w:t>完成区委、区政府交办的其他任务。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/>
        </w:rPr>
        <w:t>区科技局行政编制 10 名。其中，局长 1 名，副局长 2 名，内设机构领导职数正职 5 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二、部门财政资金收支情况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（一）部门财政资金收入情况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 w:eastAsia="zh-CN"/>
        </w:rPr>
        <w:t>达州市达川区</w:t>
      </w:r>
      <w:r>
        <w:rPr>
          <w:rFonts w:hint="default" w:ascii="Times New Roman" w:hAnsi="Times New Roman" w:eastAsia="方正仿宋_GBK" w:cs="Times New Roman"/>
          <w:lang w:val="en-US" w:eastAsia="zh-CN"/>
        </w:rPr>
        <w:t>科学技术局</w:t>
      </w:r>
      <w:r>
        <w:rPr>
          <w:rFonts w:hint="default" w:ascii="Times New Roman" w:hAnsi="Times New Roman" w:eastAsia="方正仿宋_GBK" w:cs="Times New Roman"/>
          <w:lang w:val="zh-CN" w:eastAsia="zh-C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zh-CN" w:eastAsia="zh-CN"/>
        </w:rPr>
        <w:t>年单位收入总计</w:t>
      </w:r>
      <w:r>
        <w:rPr>
          <w:rFonts w:hint="default" w:ascii="Times New Roman" w:hAnsi="Times New Roman" w:eastAsia="方正仿宋_GBK" w:cs="Times New Roman"/>
          <w:lang w:val="en-US" w:eastAsia="zh-CN"/>
        </w:rPr>
        <w:t>9.88</w:t>
      </w:r>
      <w:r>
        <w:rPr>
          <w:rFonts w:hint="default" w:ascii="Times New Roman" w:hAnsi="Times New Roman" w:eastAsia="方正仿宋_GBK" w:cs="Times New Roman"/>
          <w:lang w:val="zh-CN" w:eastAsia="zh-CN"/>
        </w:rPr>
        <w:t>万元，其中：一般公共预算财政拨款收入</w:t>
      </w:r>
      <w:r>
        <w:rPr>
          <w:rFonts w:hint="default" w:ascii="Times New Roman" w:hAnsi="Times New Roman" w:eastAsia="方正仿宋_GBK" w:cs="Times New Roman"/>
          <w:lang w:val="en-US" w:eastAsia="zh-CN"/>
        </w:rPr>
        <w:t>9.88</w:t>
      </w:r>
      <w:r>
        <w:rPr>
          <w:rFonts w:hint="default" w:ascii="Times New Roman" w:hAnsi="Times New Roman" w:eastAsia="方正仿宋_GBK" w:cs="Times New Roman"/>
          <w:lang w:val="zh-CN" w:eastAsia="zh-CN"/>
        </w:rPr>
        <w:t>万元，占比</w:t>
      </w:r>
      <w:r>
        <w:rPr>
          <w:rFonts w:hint="default" w:ascii="Times New Roman" w:hAnsi="Times New Roman" w:eastAsia="方正仿宋_GBK" w:cs="Times New Roman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（二）部门财政资金支出情况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zh-CN" w:eastAsia="zh-CN"/>
        </w:rPr>
        <w:t>达州市达川区</w:t>
      </w:r>
      <w:r>
        <w:rPr>
          <w:rFonts w:hint="default" w:ascii="Times New Roman" w:hAnsi="Times New Roman" w:eastAsia="方正仿宋_GBK" w:cs="Times New Roman"/>
          <w:lang w:val="en-US" w:eastAsia="zh-CN"/>
        </w:rPr>
        <w:t>科学技术局</w:t>
      </w:r>
      <w:r>
        <w:rPr>
          <w:rFonts w:hint="default" w:ascii="Times New Roman" w:hAnsi="Times New Roman" w:eastAsia="方正仿宋_GBK" w:cs="Times New Roman"/>
          <w:lang w:val="zh-CN" w:eastAsia="zh-C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lang w:val="zh-CN" w:eastAsia="zh-CN"/>
        </w:rPr>
        <w:t>年单位支出总计</w:t>
      </w:r>
      <w:r>
        <w:rPr>
          <w:rFonts w:hint="default" w:ascii="Times New Roman" w:hAnsi="Times New Roman" w:eastAsia="方正仿宋_GBK" w:cs="Times New Roman"/>
          <w:lang w:val="en-US" w:eastAsia="zh-CN"/>
        </w:rPr>
        <w:t>9.88</w:t>
      </w:r>
      <w:r>
        <w:rPr>
          <w:rFonts w:hint="default" w:ascii="Times New Roman" w:hAnsi="Times New Roman" w:eastAsia="方正仿宋_GBK" w:cs="Times New Roman"/>
          <w:lang w:val="zh-CN" w:eastAsia="zh-CN"/>
        </w:rPr>
        <w:t>万元，其中：一般公共预算（当年支出）支出</w:t>
      </w:r>
      <w:r>
        <w:rPr>
          <w:rFonts w:hint="default" w:ascii="Times New Roman" w:hAnsi="Times New Roman" w:eastAsia="方正仿宋_GBK" w:cs="Times New Roman"/>
          <w:lang w:val="en-US" w:eastAsia="zh-CN"/>
        </w:rPr>
        <w:t>9.88</w:t>
      </w:r>
      <w:r>
        <w:rPr>
          <w:rFonts w:hint="default" w:ascii="Times New Roman" w:hAnsi="Times New Roman" w:eastAsia="方正仿宋_GBK" w:cs="Times New Roman"/>
          <w:lang w:val="zh-CN" w:eastAsia="zh-CN"/>
        </w:rPr>
        <w:t>万元，占比</w:t>
      </w:r>
      <w:r>
        <w:rPr>
          <w:rFonts w:hint="default" w:ascii="Times New Roman" w:hAnsi="Times New Roman" w:eastAsia="方正仿宋_GBK" w:cs="Times New Roman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三、部门整体预算绩效管理情况（根据适用指标体系进行调整</w:t>
      </w:r>
      <w:r>
        <w:rPr>
          <w:rFonts w:hint="default" w:ascii="方正黑体_GBK" w:hAnsi="方正黑体_GBK" w:eastAsia="方正黑体_GBK" w:cs="方正黑体_GBK"/>
          <w:lang w:eastAsia="zh-CN"/>
        </w:rPr>
        <w:t>，涉及到有专项预算的部门，专项预算项目自评报告根据要求另行单独报送</w:t>
      </w:r>
      <w:r>
        <w:rPr>
          <w:rFonts w:hint="default" w:ascii="方正黑体_GBK" w:hAnsi="方正黑体_GBK" w:eastAsia="方正黑体_GBK" w:cs="方正黑体_GBK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（一）部门预算项目绩效管理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按照财政</w:t>
      </w:r>
      <w:r>
        <w:rPr>
          <w:rFonts w:hint="eastAsia" w:eastAsia="方正仿宋_GBK" w:cs="Times New Roman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lang w:val="en-US" w:eastAsia="zh-CN"/>
        </w:rPr>
        <w:t>要求保质保量完成编报并</w:t>
      </w:r>
      <w:r>
        <w:rPr>
          <w:rFonts w:hint="eastAsia" w:eastAsia="方正仿宋_GBK" w:cs="Times New Roman"/>
          <w:lang w:val="en-US" w:eastAsia="zh-CN"/>
        </w:rPr>
        <w:t>按时</w:t>
      </w:r>
      <w:r>
        <w:rPr>
          <w:rFonts w:hint="default" w:ascii="Times New Roman" w:hAnsi="Times New Roman" w:eastAsia="方正仿宋_GBK" w:cs="Times New Roman"/>
          <w:lang w:val="en-US" w:eastAsia="zh-CN"/>
        </w:rPr>
        <w:t>上报，认真参照往年预算情况，认真研究、确定符合编报范围的预算资金，制定部门绩效目标，严格按照预算数使用经费，人员类、运转类、特定目标类项目执行进度良好，各项工作完成及时率＝100%，项目申报编审工作完成及时率＝100%，评审检查验收工作正常运转率＝100%，可研报告合格率≥98%，各项目标均在年初绩效指标范围内完成，无违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（二）结果应用情况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本年度我局</w:t>
      </w:r>
      <w:r>
        <w:rPr>
          <w:rFonts w:hint="default" w:ascii="Times New Roman" w:hAnsi="Times New Roman" w:eastAsia="方正仿宋_GBK" w:cs="Times New Roman"/>
          <w:lang w:eastAsia="zh-CN"/>
        </w:rPr>
        <w:t>严格按照财政相关部门下发的绩效自评工作要求，开展了系列绩效自评工作</w:t>
      </w:r>
      <w:r>
        <w:rPr>
          <w:rFonts w:hint="default" w:ascii="Times New Roman" w:hAnsi="Times New Roman" w:eastAsia="方正仿宋_GBK" w:cs="Times New Roman"/>
        </w:rPr>
        <w:t>、绩效目标公开和自评公开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</w:rPr>
        <w:t>通过绩效评价结果，</w:t>
      </w:r>
      <w:r>
        <w:rPr>
          <w:rFonts w:hint="default" w:ascii="Times New Roman" w:hAnsi="Times New Roman" w:eastAsia="方正仿宋_GBK" w:cs="Times New Roman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</w:rPr>
        <w:t>能有效发现本单位年度财政资金在预算、执行过程存在的问题，为下年度的财政预算提供可参考依据，提高预算的精细化、准确度</w:t>
      </w:r>
      <w:r>
        <w:rPr>
          <w:rFonts w:hint="eastAsia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更大效益地发挥财政资金的利用率。</w:t>
      </w:r>
      <w:r>
        <w:rPr>
          <w:rFonts w:hint="default" w:ascii="Times New Roman" w:hAnsi="Times New Roman" w:eastAsia="方正仿宋_GBK" w:cs="Times New Roman"/>
          <w:lang w:val="en-US" w:eastAsia="zh-CN"/>
        </w:rPr>
        <w:t>二是能够</w:t>
      </w:r>
      <w:r>
        <w:rPr>
          <w:rFonts w:hint="default" w:ascii="Times New Roman" w:hAnsi="Times New Roman" w:eastAsia="方正仿宋_GBK" w:cs="Times New Roman"/>
          <w:lang w:val="zh-CN"/>
        </w:rPr>
        <w:t>进一步加强财务预算资金执行管理，保障资金使用安全，提高资金使用效率。</w:t>
      </w:r>
      <w:r>
        <w:rPr>
          <w:rFonts w:hint="default" w:ascii="Times New Roman" w:hAnsi="Times New Roman" w:eastAsia="方正仿宋_GBK" w:cs="Times New Roman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lang w:val="zh-CN"/>
        </w:rPr>
        <w:t>增强了部门绩效意识和责任意识，在参与绩效管理意识中，通过制定项目的绩效目标，指标的可行性与自评专家的互动交流，促进总结经验，加强管理。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eastAsia" w:ascii="方正楷体_GBK" w:hAnsi="方正楷体_GBK" w:eastAsia="方正楷体_GBK" w:cs="方正楷体_GBK"/>
          <w:lang w:val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lang w:val="zh-CN"/>
        </w:rPr>
        <w:t>）</w:t>
      </w:r>
      <w:r>
        <w:rPr>
          <w:rFonts w:hint="default" w:ascii="方正楷体_GBK" w:hAnsi="方正楷体_GBK" w:eastAsia="方正楷体_GBK" w:cs="方正楷体_GBK"/>
          <w:lang w:val="zh-CN"/>
        </w:rPr>
        <w:t>自评质量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</w:rPr>
        <w:t>总体</w:t>
      </w:r>
      <w:r>
        <w:rPr>
          <w:rFonts w:hint="default" w:ascii="Times New Roman" w:hAnsi="Times New Roman" w:eastAsia="方正仿宋_GBK" w:cs="Times New Roman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</w:rPr>
        <w:t>看，我</w:t>
      </w:r>
      <w:r>
        <w:rPr>
          <w:rFonts w:hint="default" w:ascii="Times New Roman" w:hAnsi="Times New Roman" w:eastAsia="方正仿宋_GBK" w:cs="Times New Roman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</w:rPr>
        <w:t>预算编制及执行决算较为准确，支出管理规范，财务管理制度较为完善，</w:t>
      </w:r>
      <w:r>
        <w:rPr>
          <w:rFonts w:hint="default" w:ascii="Times New Roman" w:hAnsi="Times New Roman" w:eastAsia="方正仿宋_GBK" w:cs="Times New Roman"/>
          <w:lang w:val="zh-CN"/>
        </w:rPr>
        <w:t>全年均按时按质完成财政</w:t>
      </w:r>
      <w:r>
        <w:rPr>
          <w:rFonts w:hint="eastAsia" w:eastAsia="方正仿宋_GBK" w:cs="Times New Roman"/>
          <w:lang w:val="zh-CN"/>
        </w:rPr>
        <w:t>部门</w:t>
      </w:r>
      <w:r>
        <w:rPr>
          <w:rFonts w:hint="default" w:ascii="Times New Roman" w:hAnsi="Times New Roman" w:eastAsia="方正仿宋_GBK" w:cs="Times New Roman"/>
          <w:lang w:val="zh-CN"/>
        </w:rPr>
        <w:t>各项绩效管理工作要求，</w:t>
      </w:r>
      <w:r>
        <w:rPr>
          <w:rFonts w:hint="default" w:ascii="Times New Roman" w:hAnsi="Times New Roman" w:eastAsia="方正仿宋_GBK" w:cs="Times New Roman"/>
        </w:rPr>
        <w:t>部门整体绩效较好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四、评价结论及建议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zh-CN" w:eastAsia="zh-CN"/>
        </w:rPr>
        <w:t>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lang w:val="zh-CN" w:eastAsia="zh-CN"/>
        </w:rPr>
        <w:t>年通过加强预算收支管理，不断建立健全内部管理制度，梳理内部管理流程，积极履职，强化管理，较好地完成了年度工作目标，整体支出管理水平得到提升，</w:t>
      </w:r>
      <w:r>
        <w:rPr>
          <w:rFonts w:hint="default" w:ascii="Times New Roman" w:hAnsi="Times New Roman" w:eastAsia="方正仿宋_GBK" w:cs="Times New Roman"/>
          <w:lang w:val="en-US" w:eastAsia="zh-CN"/>
        </w:rPr>
        <w:t>其整体支出绩效自评得分为85.2分</w:t>
      </w:r>
      <w:r>
        <w:rPr>
          <w:rFonts w:hint="eastAsia" w:eastAsia="方正仿宋_GBK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lang w:val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预算编制工作需进一步细化，预算的合理性需进一步提高，预算的执行力度需进一步加强。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lang w:val="zh-CN"/>
        </w:rPr>
      </w:pPr>
      <w:r>
        <w:rPr>
          <w:rFonts w:hint="default" w:ascii="方正楷体_GBK" w:hAnsi="方正楷体_GBK" w:eastAsia="方正楷体_GBK" w:cs="方正楷体_GBK"/>
          <w:lang w:val="zh-CN"/>
        </w:rPr>
        <w:t>（三）改进建议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lang w:val="en-US" w:eastAsia="zh-CN"/>
        </w:rPr>
        <w:t>着力加强预算编制管理，科学规划预算编制工作，进一步提高预算编制的科学性、合理性、严谨性和可控性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。二是</w:t>
      </w:r>
      <w:r>
        <w:rPr>
          <w:rFonts w:hint="default" w:ascii="Times New Roman" w:hAnsi="Times New Roman" w:eastAsia="方正仿宋_GBK" w:cs="Times New Roman"/>
          <w:lang w:val="en-US" w:eastAsia="zh-CN"/>
        </w:rPr>
        <w:t>科学合理编制预算项目，优先保障固定性的、相对刚性的费用支出项目，尽量压缩变动性的、有控制空间的费用项目，进一步提高资金使用效率。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 w:ascii="Times New Roman" w:hAnsi="Times New Roman" w:eastAsia="方正仿宋_GBK" w:cs="Times New Roman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80" w:lineRule="exact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Cs w:val="32"/>
          <w:shd w:val="clear" w:color="auto" w:fill="FFFFFF"/>
          <w:lang w:val="zh-CN"/>
        </w:rPr>
        <w:t>附表</w:t>
      </w:r>
    </w:p>
    <w:tbl>
      <w:tblPr>
        <w:tblStyle w:val="8"/>
        <w:tblpPr w:leftFromText="180" w:rightFromText="180" w:vertAnchor="text" w:horzAnchor="page" w:tblpX="1256" w:tblpY="221"/>
        <w:tblOverlap w:val="never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17"/>
        <w:gridCol w:w="1341"/>
        <w:gridCol w:w="2153"/>
        <w:gridCol w:w="1426"/>
        <w:gridCol w:w="178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2022年特定目标类部门预算项目绩效目标自评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（项目名称：职工运动会专项项目）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达州市达川区科学技术局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11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11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11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5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2030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年度预计使用财政资金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万元组织干部职工参加市直工委机关第九届职工运动会，用于保障职工运动会的顺利开展，促进和深化各部门人员的交流，提高人员凝聚力。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年实际使用财政资金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万元组织干部职工参加市直工委机关第九届职工运动会，促进和深化了各部门人员的交流，提高了凝聚力。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开展运动会次数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运动会正常开展率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=100%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347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运动会开展及时率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=100%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职工运动会成本控制数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≤2.96万元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≤2.96万元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  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  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1020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  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促进和深化各部门人员的交流，</w:t>
            </w:r>
            <w:r>
              <w:rPr>
                <w:rFonts w:hint="eastAsia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人员凝聚力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83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职工运动会工作管理机制健全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pct"/>
          <w:trHeight w:val="694" w:hRule="atLeast"/>
        </w:trPr>
        <w:tc>
          <w:tcPr>
            <w:tcW w:w="5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度指标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职工满意度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≥95%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rFonts w:hint="default" w:ascii="仿宋_GB2312" w:hAnsi="宋体" w:cs="宋体"/>
          <w:color w:val="000000"/>
          <w:kern w:val="0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2098" w:right="1474" w:bottom="1984" w:left="1587" w:header="851" w:footer="1559" w:gutter="0"/>
      <w:pgNumType w:fmt="numberInDash" w:start="16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2Q4NzZkZjZhYThlNGI5MDVmM2ZlZmMwN2ZmNDQ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1647216"/>
    <w:rsid w:val="0382370E"/>
    <w:rsid w:val="0432697F"/>
    <w:rsid w:val="07592BF5"/>
    <w:rsid w:val="07F6072D"/>
    <w:rsid w:val="0A5D105B"/>
    <w:rsid w:val="0B5F35EF"/>
    <w:rsid w:val="0BA53C92"/>
    <w:rsid w:val="0C015772"/>
    <w:rsid w:val="0CE0379A"/>
    <w:rsid w:val="0DC31556"/>
    <w:rsid w:val="0FF1710F"/>
    <w:rsid w:val="124C5FEE"/>
    <w:rsid w:val="14BA328D"/>
    <w:rsid w:val="17CA31F8"/>
    <w:rsid w:val="191D271E"/>
    <w:rsid w:val="19F00B4A"/>
    <w:rsid w:val="1A3D6143"/>
    <w:rsid w:val="1B1F29AF"/>
    <w:rsid w:val="1C013801"/>
    <w:rsid w:val="1D0B4612"/>
    <w:rsid w:val="1EB73184"/>
    <w:rsid w:val="234378C3"/>
    <w:rsid w:val="24C3012F"/>
    <w:rsid w:val="29BD5F8E"/>
    <w:rsid w:val="29ED3F00"/>
    <w:rsid w:val="2AA27544"/>
    <w:rsid w:val="2C674778"/>
    <w:rsid w:val="2C6B3F05"/>
    <w:rsid w:val="2CD115AE"/>
    <w:rsid w:val="2D3460EF"/>
    <w:rsid w:val="2D527252"/>
    <w:rsid w:val="2DDC1740"/>
    <w:rsid w:val="2EAE55F2"/>
    <w:rsid w:val="2EDF4302"/>
    <w:rsid w:val="2F867282"/>
    <w:rsid w:val="300C3D97"/>
    <w:rsid w:val="310408F2"/>
    <w:rsid w:val="31D07100"/>
    <w:rsid w:val="355A2AF1"/>
    <w:rsid w:val="37504B42"/>
    <w:rsid w:val="3A235436"/>
    <w:rsid w:val="3BB92612"/>
    <w:rsid w:val="3CB719C9"/>
    <w:rsid w:val="3CE816E8"/>
    <w:rsid w:val="41454874"/>
    <w:rsid w:val="439D3B74"/>
    <w:rsid w:val="45154693"/>
    <w:rsid w:val="45E06E35"/>
    <w:rsid w:val="46B53142"/>
    <w:rsid w:val="47550EBA"/>
    <w:rsid w:val="48AE45E7"/>
    <w:rsid w:val="48C75F99"/>
    <w:rsid w:val="4A066259"/>
    <w:rsid w:val="4E7A1F96"/>
    <w:rsid w:val="54460374"/>
    <w:rsid w:val="560F3DEC"/>
    <w:rsid w:val="56904CFC"/>
    <w:rsid w:val="59A82317"/>
    <w:rsid w:val="5A636FEB"/>
    <w:rsid w:val="6460253D"/>
    <w:rsid w:val="64DC7988"/>
    <w:rsid w:val="6636451A"/>
    <w:rsid w:val="69AC5F23"/>
    <w:rsid w:val="6B874929"/>
    <w:rsid w:val="6EF65E9C"/>
    <w:rsid w:val="70187047"/>
    <w:rsid w:val="71397E03"/>
    <w:rsid w:val="71AF10EE"/>
    <w:rsid w:val="7607C293"/>
    <w:rsid w:val="76695CAD"/>
    <w:rsid w:val="76772A97"/>
    <w:rsid w:val="77FFA8F9"/>
    <w:rsid w:val="7A9314AC"/>
    <w:rsid w:val="7BAC4AE8"/>
    <w:rsid w:val="7C631402"/>
    <w:rsid w:val="7D440052"/>
    <w:rsid w:val="7E140770"/>
    <w:rsid w:val="7F8E145F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semiHidden/>
    <w:qFormat/>
    <w:uiPriority w:val="99"/>
    <w:pPr>
      <w:ind w:left="1680" w:leftChars="800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2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8</Pages>
  <Words>2818</Words>
  <Characters>2948</Characters>
  <Lines>2</Lines>
  <Paragraphs>1</Paragraphs>
  <TotalTime>0</TotalTime>
  <ScaleCrop>false</ScaleCrop>
  <LinksUpToDate>false</LinksUpToDate>
  <CharactersWithSpaces>2981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2019-05-17T03:06:00Z</dcterms:created>
  <dc:creator>陈萍</dc:creator>
  <cp:lastModifiedBy>晴天</cp:lastModifiedBy>
  <cp:lastPrinted>2022-03-28T11:07:00Z</cp:lastPrinted>
  <dcterms:modified xsi:type="dcterms:W3CDTF">2023-04-20T08:17:19Z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17C894F61DEA477A9FEB3F8003513E36_13</vt:lpwstr>
  </property>
</Properties>
</file>