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宋体" w:eastAsia="方正小标宋简体"/>
          <w:sz w:val="72"/>
          <w:szCs w:val="72"/>
        </w:rPr>
      </w:pPr>
      <w:bookmarkStart w:id="1" w:name="_Toc15396598"/>
      <w:bookmarkStart w:id="2" w:name="_Toc15306268"/>
      <w:bookmarkStart w:id="3" w:name="_Toc15377194"/>
      <w:bookmarkStart w:id="4" w:name="_Toc15396476"/>
      <w:bookmarkStart w:id="5" w:name="_Toc15377426"/>
      <w:bookmarkStart w:id="6" w:name="_Toc15378442"/>
      <w:r>
        <w:rPr>
          <w:rFonts w:hint="eastAsia" w:ascii="方正小标宋简体" w:hAnsi="宋体" w:eastAsia="方正小标宋简体"/>
          <w:sz w:val="72"/>
          <w:szCs w:val="72"/>
        </w:rPr>
        <w:t>达川区龙会乡中心学校</w:t>
      </w:r>
      <w:bookmarkStart w:id="7" w:name="_Toc15396597"/>
      <w:bookmarkStart w:id="8" w:name="_Toc15377193"/>
      <w:bookmarkStart w:id="9" w:name="_Toc15378441"/>
      <w:bookmarkStart w:id="10" w:name="_Toc15377425"/>
      <w:bookmarkStart w:id="11" w:name="_Toc15396475"/>
      <w:r>
        <w:rPr>
          <w:rFonts w:ascii="黑体" w:hAnsi="黑体" w:eastAsia="黑体"/>
          <w:sz w:val="72"/>
          <w:szCs w:val="72"/>
        </w:rPr>
        <w:t>201</w:t>
      </w:r>
      <w:r>
        <w:rPr>
          <w:rFonts w:hint="eastAsia" w:ascii="黑体" w:hAnsi="黑体" w:eastAsia="黑体"/>
          <w:sz w:val="72"/>
          <w:szCs w:val="72"/>
        </w:rPr>
        <w:t>8</w:t>
      </w:r>
      <w:r>
        <w:rPr>
          <w:rFonts w:hint="eastAsia" w:ascii="方正小标宋简体" w:hAnsi="宋体" w:eastAsia="方正小标宋简体"/>
          <w:sz w:val="72"/>
          <w:szCs w:val="72"/>
        </w:rPr>
        <w:t>年度</w:t>
      </w:r>
      <w:bookmarkEnd w:id="7"/>
      <w:bookmarkEnd w:id="8"/>
      <w:bookmarkEnd w:id="9"/>
      <w:bookmarkEnd w:id="10"/>
      <w:bookmarkEnd w:id="11"/>
    </w:p>
    <w:p>
      <w:pPr>
        <w:adjustRightInd w:val="0"/>
        <w:snapToGrid w:val="0"/>
        <w:spacing w:line="360" w:lineRule="auto"/>
        <w:jc w:val="center"/>
        <w:outlineLvl w:val="0"/>
        <w:rPr>
          <w:rFonts w:hint="default" w:ascii="方正小标宋简体" w:hAnsi="宋体" w:eastAsia="方正小标宋简体"/>
          <w:sz w:val="72"/>
          <w:szCs w:val="72"/>
          <w:lang w:val="en-US" w:eastAsia="zh-CN"/>
        </w:rPr>
      </w:pPr>
      <w:r>
        <w:rPr>
          <w:rFonts w:hint="eastAsia" w:ascii="方正小标宋简体" w:hAnsi="宋体" w:eastAsia="方正小标宋简体"/>
          <w:sz w:val="72"/>
          <w:szCs w:val="72"/>
        </w:rPr>
        <w:t>部门决算</w:t>
      </w:r>
      <w:bookmarkEnd w:id="1"/>
      <w:bookmarkEnd w:id="2"/>
      <w:bookmarkEnd w:id="3"/>
      <w:bookmarkEnd w:id="4"/>
      <w:bookmarkEnd w:id="5"/>
      <w:bookmarkEnd w:id="6"/>
      <w:r>
        <w:rPr>
          <w:rFonts w:hint="eastAsia" w:ascii="方正小标宋简体" w:hAnsi="宋体" w:eastAsia="方正小标宋简体"/>
          <w:sz w:val="72"/>
          <w:szCs w:val="72"/>
          <w:lang w:val="en-US" w:eastAsia="zh-CN"/>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color w:val="auto"/>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color w:val="auto"/>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color w:val="auto"/>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color w:val="auto"/>
        </w:rPr>
        <w:t>第二部分</w:t>
      </w:r>
      <w:r>
        <w:rPr>
          <w:rStyle w:val="16"/>
          <w:color w:val="auto"/>
        </w:rPr>
        <w:t xml:space="preserve"> 2018</w:t>
      </w:r>
      <w:r>
        <w:rPr>
          <w:rStyle w:val="16"/>
          <w:rFonts w:hint="eastAsia"/>
          <w:color w:val="auto"/>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color w:val="auto"/>
          <w:sz w:val="28"/>
          <w:szCs w:val="28"/>
        </w:rPr>
        <w:t>一、</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color w:val="auto"/>
          <w:sz w:val="28"/>
          <w:szCs w:val="28"/>
        </w:rPr>
        <w:t>二、</w:t>
      </w:r>
      <w:r>
        <w:rPr>
          <w:rStyle w:val="16"/>
          <w:rFonts w:hint="eastAsia" w:ascii="仿宋" w:hAnsi="仿宋" w:eastAsia="仿宋"/>
          <w:color w:val="auto"/>
          <w:sz w:val="28"/>
          <w:szCs w:val="28"/>
        </w:rPr>
        <w:t>收</w:t>
      </w:r>
      <w:r>
        <w:rPr>
          <w:rStyle w:val="16"/>
          <w:rFonts w:hint="eastAsia" w:ascii="仿宋" w:hAnsi="仿宋" w:eastAsia="仿宋" w:cstheme="majorBidi"/>
          <w:bCs/>
          <w:color w:val="auto"/>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color w:val="auto"/>
          <w:sz w:val="28"/>
          <w:szCs w:val="28"/>
        </w:rPr>
        <w:t>三、</w:t>
      </w:r>
      <w:r>
        <w:rPr>
          <w:rStyle w:val="16"/>
          <w:rFonts w:hint="eastAsia" w:ascii="仿宋" w:hAnsi="仿宋" w:eastAsia="仿宋"/>
          <w:color w:val="auto"/>
          <w:sz w:val="28"/>
          <w:szCs w:val="28"/>
        </w:rPr>
        <w:t>支</w:t>
      </w:r>
      <w:r>
        <w:rPr>
          <w:rStyle w:val="16"/>
          <w:rFonts w:hint="eastAsia" w:ascii="仿宋" w:hAnsi="仿宋" w:eastAsia="仿宋" w:cstheme="majorBidi"/>
          <w:bCs/>
          <w:color w:val="auto"/>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color w:val="auto"/>
          <w:sz w:val="28"/>
          <w:szCs w:val="28"/>
        </w:rPr>
        <w:t>四、财</w:t>
      </w:r>
      <w:r>
        <w:rPr>
          <w:rStyle w:val="16"/>
          <w:rFonts w:hint="eastAsia" w:ascii="仿宋" w:hAnsi="仿宋" w:eastAsia="仿宋" w:cstheme="majorBidi"/>
          <w:bCs/>
          <w:color w:val="auto"/>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color w:val="auto"/>
          <w:sz w:val="28"/>
          <w:szCs w:val="28"/>
        </w:rPr>
        <w:t>五、一</w:t>
      </w:r>
      <w:r>
        <w:rPr>
          <w:rStyle w:val="16"/>
          <w:rFonts w:hint="eastAsia" w:ascii="仿宋" w:hAnsi="仿宋" w:eastAsia="仿宋" w:cstheme="majorBidi"/>
          <w:bCs/>
          <w:color w:val="auto"/>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color w:val="auto"/>
          <w:sz w:val="28"/>
          <w:szCs w:val="28"/>
        </w:rPr>
        <w:t>六、一</w:t>
      </w:r>
      <w:r>
        <w:rPr>
          <w:rStyle w:val="16"/>
          <w:rFonts w:hint="eastAsia" w:ascii="仿宋" w:hAnsi="仿宋" w:eastAsia="仿宋" w:cstheme="majorBidi"/>
          <w:bCs/>
          <w:color w:val="auto"/>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color w:val="auto"/>
          <w:sz w:val="28"/>
          <w:szCs w:val="28"/>
        </w:rPr>
        <w:t>七、</w:t>
      </w:r>
      <w:r>
        <w:rPr>
          <w:rStyle w:val="16"/>
          <w:rFonts w:ascii="仿宋" w:hAnsi="仿宋" w:eastAsia="仿宋"/>
          <w:color w:val="auto"/>
          <w:sz w:val="28"/>
          <w:szCs w:val="28"/>
        </w:rPr>
        <w:t>“</w:t>
      </w:r>
      <w:r>
        <w:rPr>
          <w:rStyle w:val="16"/>
          <w:rFonts w:hint="eastAsia" w:ascii="仿宋" w:hAnsi="仿宋" w:eastAsia="仿宋" w:cstheme="majorBidi"/>
          <w:bCs/>
          <w:color w:val="auto"/>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color w:val="auto"/>
          <w:sz w:val="28"/>
          <w:szCs w:val="28"/>
        </w:rPr>
        <w:t>八、</w:t>
      </w:r>
      <w:r>
        <w:rPr>
          <w:rStyle w:val="16"/>
          <w:rFonts w:hint="eastAsia" w:ascii="仿宋" w:hAnsi="仿宋" w:eastAsia="仿宋" w:cstheme="majorBidi"/>
          <w:bCs/>
          <w:color w:val="auto"/>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color w:val="auto"/>
          <w:sz w:val="28"/>
          <w:szCs w:val="28"/>
        </w:rPr>
        <w:t>九、</w:t>
      </w:r>
      <w:r>
        <w:rPr>
          <w:rStyle w:val="16"/>
          <w:rFonts w:hint="eastAsia" w:ascii="仿宋" w:hAnsi="仿宋" w:eastAsia="仿宋"/>
          <w:color w:val="auto"/>
          <w:sz w:val="28"/>
          <w:szCs w:val="28"/>
        </w:rPr>
        <w:t xml:space="preserve"> 国</w:t>
      </w:r>
      <w:r>
        <w:rPr>
          <w:rStyle w:val="16"/>
          <w:rFonts w:hint="eastAsia" w:ascii="仿宋" w:hAnsi="仿宋" w:eastAsia="仿宋" w:cstheme="majorBidi"/>
          <w:bCs/>
          <w:color w:val="auto"/>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color w:val="auto"/>
          <w:sz w:val="28"/>
          <w:szCs w:val="28"/>
        </w:rPr>
        <w:t>十</w:t>
      </w:r>
      <w:r>
        <w:rPr>
          <w:rStyle w:val="16"/>
          <w:rFonts w:hint="eastAsia" w:ascii="仿宋" w:hAnsi="仿宋" w:eastAsia="仿宋" w:cstheme="majorBidi"/>
          <w:bCs/>
          <w:color w:val="auto"/>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color w:val="auto"/>
          <w:kern w:val="44"/>
        </w:rPr>
        <w:t>第三部分</w:t>
      </w:r>
      <w:r>
        <w:rPr>
          <w:rStyle w:val="16"/>
          <w:rFonts w:hint="eastAsia"/>
          <w:color w:val="auto"/>
        </w:rPr>
        <w:t xml:space="preserve"> 名</w:t>
      </w:r>
      <w:r>
        <w:rPr>
          <w:rStyle w:val="16"/>
          <w:rFonts w:hint="eastAsia"/>
          <w:bCs/>
          <w:color w:val="auto"/>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color w:val="auto"/>
        </w:rPr>
        <w:t>第</w:t>
      </w:r>
      <w:r>
        <w:rPr>
          <w:rStyle w:val="16"/>
          <w:rFonts w:hint="eastAsia"/>
          <w:bCs/>
          <w:color w:val="auto"/>
          <w:kern w:val="44"/>
        </w:rPr>
        <w:t>四部分附件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color w:val="auto"/>
          <w:kern w:val="44"/>
          <w:sz w:val="28"/>
          <w:szCs w:val="28"/>
        </w:rPr>
        <w:t>附件</w:t>
      </w:r>
      <w:r>
        <w:rPr>
          <w:rStyle w:val="16"/>
          <w:rFonts w:ascii="仿宋" w:hAnsi="仿宋" w:eastAsia="仿宋"/>
          <w:color w:val="auto"/>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color w:val="auto"/>
        </w:rPr>
        <w:t>第</w:t>
      </w:r>
      <w:r>
        <w:rPr>
          <w:rStyle w:val="16"/>
          <w:rFonts w:hint="eastAsia"/>
          <w:bCs/>
          <w:color w:val="auto"/>
          <w:kern w:val="44"/>
        </w:rPr>
        <w:t>五部分附表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color w:val="auto"/>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color w:val="auto"/>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color w:val="auto"/>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color w:val="auto"/>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color w:val="auto"/>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color w:val="auto"/>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color w:val="auto"/>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color w:val="auto"/>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color w:val="auto"/>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color w:val="auto"/>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color w:val="auto"/>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color w:val="auto"/>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sz w:val="24"/>
        </w:rPr>
      </w:pPr>
      <w:r>
        <w:rPr>
          <w:rFonts w:ascii="仿宋" w:hAnsi="仿宋" w:eastAsia="仿宋"/>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201</w:t>
      </w:r>
      <w:r>
        <w:rPr>
          <w:rFonts w:hint="eastAsia" w:ascii="仿宋" w:hAnsi="仿宋" w:eastAsia="仿宋"/>
          <w:bCs/>
          <w:sz w:val="32"/>
          <w:szCs w:val="32"/>
        </w:rPr>
        <w:t>8年重点工作完成情况。</w:t>
      </w:r>
      <w:bookmarkEnd w:id="18"/>
      <w:bookmarkEnd w:id="19"/>
    </w:p>
    <w:p>
      <w:pPr>
        <w:pStyle w:val="5"/>
        <w:adjustRightInd w:val="0"/>
        <w:snapToGrid w:val="0"/>
        <w:spacing w:before="93" w:line="578" w:lineRule="exact"/>
        <w:ind w:firstLine="672" w:firstLineChars="210"/>
        <w:rPr>
          <w:rFonts w:ascii="仿宋" w:hAnsi="仿宋" w:eastAsia="仿宋"/>
          <w:bCs/>
          <w:sz w:val="32"/>
          <w:szCs w:val="32"/>
        </w:rPr>
      </w:pPr>
      <w:r>
        <w:rPr>
          <w:rFonts w:hint="eastAsia" w:ascii="仿宋" w:hAnsi="仿宋" w:eastAsia="仿宋"/>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pPr>
        <w:pStyle w:val="3"/>
        <w:rPr>
          <w:rStyle w:val="26"/>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sz w:val="32"/>
          <w:szCs w:val="32"/>
        </w:rPr>
      </w:pPr>
      <w:r>
        <w:rPr>
          <w:rFonts w:hint="eastAsia" w:ascii="仿宋" w:hAnsi="仿宋" w:eastAsia="仿宋"/>
          <w:sz w:val="32"/>
          <w:szCs w:val="32"/>
        </w:rPr>
        <w:t>我校属达川区教育和科学技术局下属二级</w:t>
      </w:r>
      <w:r>
        <w:rPr>
          <w:rFonts w:hint="eastAsia" w:ascii="仿宋" w:hAnsi="仿宋" w:eastAsia="仿宋"/>
          <w:sz w:val="32"/>
          <w:szCs w:val="32"/>
          <w:lang w:val="en-US" w:eastAsia="zh-CN"/>
        </w:rPr>
        <w:t>预算</w:t>
      </w:r>
      <w:r>
        <w:rPr>
          <w:rFonts w:hint="eastAsia" w:ascii="仿宋" w:hAnsi="仿宋" w:eastAsia="仿宋"/>
          <w:sz w:val="32"/>
          <w:szCs w:val="32"/>
        </w:rPr>
        <w:t>事业单位。单位性质属全额拨款事业单位。</w:t>
      </w:r>
    </w:p>
    <w:p>
      <w:pPr>
        <w:ind w:firstLine="800" w:firstLineChars="250"/>
        <w:rPr>
          <w:rFonts w:ascii="仿宋" w:hAnsi="仿宋" w:eastAsia="仿宋"/>
          <w:kern w:val="0"/>
          <w:sz w:val="32"/>
          <w:szCs w:val="32"/>
        </w:rPr>
      </w:pP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rPr>
        <w:t>第二部分</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2018年度收、支总计0.17万元。与2017年相比，收、支总计各减少1420.71万元，下降99.99</w:t>
      </w:r>
      <w:r>
        <w:rPr>
          <w:rFonts w:ascii="仿宋" w:hAnsi="仿宋" w:eastAsia="仿宋"/>
          <w:sz w:val="32"/>
          <w:szCs w:val="32"/>
        </w:rPr>
        <w:t>%</w:t>
      </w:r>
      <w:r>
        <w:rPr>
          <w:rFonts w:hint="eastAsia" w:ascii="仿宋" w:hAnsi="仿宋" w:eastAsia="仿宋"/>
          <w:sz w:val="32"/>
          <w:szCs w:val="32"/>
        </w:rPr>
        <w:t>。主要变动原因是人员经费和项目支出减少。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1770" cy="3188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1770" cy="318833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8年本年收入合计0.09万元，其中：一般公共预算财政拨款收入0.08万元，占88.89%；政府性基金预算财政拨款收入0.02万元，占22.22%。</w:t>
      </w:r>
    </w:p>
    <w:p>
      <w:pPr>
        <w:ind w:firstLine="640" w:firstLineChars="200"/>
        <w:rPr>
          <w:rFonts w:ascii="仿宋" w:hAnsi="仿宋" w:eastAsia="仿宋"/>
          <w:sz w:val="32"/>
          <w:szCs w:val="32"/>
        </w:rPr>
      </w:pPr>
      <w:r>
        <w:rPr>
          <w:rFonts w:hint="eastAsia" w:ascii="仿宋" w:hAnsi="仿宋" w:eastAsia="仿宋"/>
          <w:sz w:val="32"/>
          <w:szCs w:val="32"/>
        </w:rPr>
        <w:t>（图2：收入决算结构图）（饼状图）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1770" cy="33953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1770" cy="3395345"/>
                          </a:xfrm>
                          <a:prstGeom prst="rect">
                            <a:avLst/>
                          </a:prstGeom>
                          <a:noFill/>
                          <a:ln>
                            <a:noFill/>
                          </a:ln>
                        </pic:spPr>
                      </pic:pic>
                    </a:graphicData>
                  </a:graphic>
                </wp:inline>
              </w:drawing>
            </w:r>
          </w:p>
        </w:tc>
      </w:tr>
    </w:tbl>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8年本年支出合计0.13万元，其中：基本支出0.11万元，占84.62%；项目支出0.02万元，占15.38%。</w:t>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drawing>
                <wp:inline distT="0" distB="0" distL="0" distR="0">
                  <wp:extent cx="5271770" cy="3395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1770" cy="339534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8年财政拨款收、支总计0.17万元。与</w:t>
      </w:r>
      <w:r>
        <w:rPr>
          <w:rFonts w:ascii="仿宋" w:hAnsi="仿宋" w:eastAsia="仿宋"/>
          <w:sz w:val="32"/>
          <w:szCs w:val="32"/>
        </w:rPr>
        <w:t>201</w:t>
      </w:r>
      <w:r>
        <w:rPr>
          <w:rFonts w:hint="eastAsia" w:ascii="仿宋" w:hAnsi="仿宋" w:eastAsia="仿宋"/>
          <w:sz w:val="32"/>
          <w:szCs w:val="32"/>
        </w:rPr>
        <w:t>7年相比，财政拨款收、支总计各减少1420.71万元，下降99.99%。主要变动原因是人员经费和项目支出减少。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b/>
                <w:sz w:val="32"/>
                <w:szCs w:val="32"/>
              </w:rPr>
            </w:pPr>
            <w:r>
              <w:rPr>
                <w:rFonts w:ascii="仿宋" w:hAnsi="仿宋" w:eastAsia="仿宋"/>
                <w:b/>
                <w:sz w:val="32"/>
                <w:szCs w:val="32"/>
              </w:rPr>
              <w:drawing>
                <wp:inline distT="0" distB="0" distL="0" distR="0">
                  <wp:extent cx="5271770" cy="31883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1770" cy="3188335"/>
                          </a:xfrm>
                          <a:prstGeom prst="rect">
                            <a:avLst/>
                          </a:prstGeom>
                          <a:noFill/>
                          <a:ln>
                            <a:noFill/>
                          </a:ln>
                        </pic:spPr>
                      </pic:pic>
                    </a:graphicData>
                  </a:graphic>
                </wp:inline>
              </w:drawing>
            </w:r>
          </w:p>
        </w:tc>
      </w:tr>
    </w:tbl>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8年一般公共预算财政拨款支出0.12万元，占本年支出合计的70.59%。与</w:t>
      </w:r>
      <w:r>
        <w:rPr>
          <w:rFonts w:ascii="仿宋" w:hAnsi="仿宋" w:eastAsia="仿宋"/>
          <w:sz w:val="32"/>
          <w:szCs w:val="32"/>
        </w:rPr>
        <w:t>201</w:t>
      </w:r>
      <w:r>
        <w:rPr>
          <w:rFonts w:hint="eastAsia" w:ascii="仿宋" w:hAnsi="仿宋" w:eastAsia="仿宋"/>
          <w:sz w:val="32"/>
          <w:szCs w:val="32"/>
        </w:rPr>
        <w:t>7年相比，一般公共预算财政拨款减少1420.76万元，下降99.99%。主要变动原因是人员经费和项目支出减少。</w:t>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1770" cy="31883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1770" cy="3188335"/>
                          </a:xfrm>
                          <a:prstGeom prst="rect">
                            <a:avLst/>
                          </a:prstGeom>
                          <a:noFill/>
                          <a:ln>
                            <a:noFill/>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8年一般公共预算财政拨款支出0.12万元，主要用于以下方面</w:t>
      </w:r>
      <w:r>
        <w:rPr>
          <w:rFonts w:ascii="仿宋" w:hAnsi="仿宋" w:eastAsia="仿宋"/>
          <w:sz w:val="32"/>
          <w:szCs w:val="32"/>
        </w:rPr>
        <w:t>:</w:t>
      </w:r>
      <w:r>
        <w:rPr>
          <w:rFonts w:hint="eastAsia" w:ascii="仿宋" w:hAnsi="仿宋" w:eastAsia="仿宋"/>
          <w:sz w:val="32"/>
          <w:szCs w:val="32"/>
        </w:rPr>
        <w:t>教育（类）支出0.1万元，占83.33%；社会保障和就业（类）支出0.01万元，占8.33%；。</w:t>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1770" cy="33953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1770" cy="3395345"/>
                          </a:xfrm>
                          <a:prstGeom prst="rect">
                            <a:avLst/>
                          </a:prstGeom>
                          <a:noFill/>
                          <a:ln>
                            <a:noFill/>
                          </a:ln>
                        </pic:spPr>
                      </pic:pic>
                    </a:graphicData>
                  </a:graphic>
                </wp:inline>
              </w:drawing>
            </w:r>
          </w:p>
        </w:tc>
      </w:tr>
    </w:tbl>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2018年一般公共预算支出决算数为0.12万元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7"/>
      <w:bookmarkEnd w:id="38"/>
      <w:bookmarkEnd w:id="39"/>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教育205（类）02（款）</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sz w:val="32"/>
          <w:szCs w:val="32"/>
        </w:rPr>
        <w:t>社会保障和就业208（类）05（款）05（项）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sz w:val="32"/>
          <w:szCs w:val="32"/>
        </w:rPr>
        <w:t>0.01</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8年一般公共预算财政拨款基本支出0.11万元，其中：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人员经费0.09万元，主要包括：基本工资、绩效工资、机关事业单位基本养老保险费、助学金等。</w:t>
      </w:r>
    </w:p>
    <w:p>
      <w:pPr>
        <w:spacing w:line="600" w:lineRule="exact"/>
        <w:ind w:firstLine="645"/>
        <w:rPr>
          <w:rFonts w:ascii="仿宋" w:hAnsi="仿宋" w:eastAsia="仿宋"/>
          <w:sz w:val="32"/>
          <w:szCs w:val="32"/>
        </w:rPr>
      </w:pPr>
      <w:r>
        <w:rPr>
          <w:rFonts w:hint="eastAsia" w:ascii="仿宋" w:hAnsi="仿宋" w:eastAsia="仿宋"/>
          <w:sz w:val="32"/>
          <w:szCs w:val="32"/>
        </w:rPr>
        <w:t>公用经费0.02万元，主要包括：办公费等。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b/>
          <w:sz w:val="32"/>
          <w:szCs w:val="32"/>
        </w:rPr>
      </w:pPr>
      <w:r>
        <w:rPr>
          <w:rFonts w:ascii="仿宋" w:hAnsi="仿宋" w:eastAsia="仿宋"/>
          <w:sz w:val="32"/>
          <w:szCs w:val="32"/>
        </w:rPr>
        <w:t>201</w:t>
      </w:r>
      <w:r>
        <w:rPr>
          <w:rFonts w:hint="eastAsia" w:ascii="仿宋" w:hAnsi="仿宋" w:eastAsia="仿宋"/>
          <w:sz w:val="32"/>
          <w:szCs w:val="32"/>
        </w:rPr>
        <w:t>8年“三公”经费财政拨款支出决算为0万元。</w:t>
      </w:r>
    </w:p>
    <w:p>
      <w:pPr>
        <w:numPr>
          <w:ilvl w:val="0"/>
          <w:numId w:val="2"/>
        </w:numPr>
        <w:spacing w:line="600" w:lineRule="exact"/>
        <w:ind w:firstLine="640"/>
        <w:outlineLvl w:val="2"/>
        <w:rPr>
          <w:rFonts w:hint="eastAsia" w:ascii="仿宋" w:hAnsi="仿宋" w:eastAsia="仿宋"/>
          <w:b/>
          <w:sz w:val="32"/>
          <w:szCs w:val="32"/>
        </w:rPr>
      </w:pPr>
      <w:bookmarkStart w:id="45" w:name="_Toc15377217"/>
      <w:r>
        <w:rPr>
          <w:rFonts w:hint="eastAsia" w:ascii="仿宋" w:hAnsi="仿宋" w:eastAsia="仿宋"/>
          <w:b/>
          <w:sz w:val="32"/>
          <w:szCs w:val="32"/>
        </w:rPr>
        <w:t>“三公”经费财政拨款支出决算具体情况说明</w:t>
      </w:r>
      <w:bookmarkEnd w:id="45"/>
    </w:p>
    <w:p>
      <w:pPr>
        <w:numPr>
          <w:ilvl w:val="0"/>
          <w:numId w:val="0"/>
        </w:numPr>
        <w:spacing w:line="600" w:lineRule="exact"/>
        <w:outlineLvl w:val="2"/>
        <w:rPr>
          <w:rFonts w:hint="default" w:ascii="仿宋" w:hAnsi="仿宋" w:eastAsia="仿宋"/>
          <w:b/>
          <w:sz w:val="32"/>
          <w:szCs w:val="32"/>
          <w:lang w:val="en-US" w:eastAsia="zh-CN"/>
        </w:rPr>
      </w:pPr>
      <w:r>
        <w:rPr>
          <w:rFonts w:hint="eastAsia" w:ascii="仿宋" w:hAnsi="仿宋" w:eastAsia="仿宋"/>
          <w:b/>
          <w:sz w:val="32"/>
          <w:szCs w:val="32"/>
          <w:lang w:val="en-US" w:eastAsia="zh-CN"/>
        </w:rPr>
        <w:t xml:space="preserve">    </w:t>
      </w:r>
      <w:r>
        <w:rPr>
          <w:rFonts w:hint="eastAsia" w:ascii="仿宋" w:hAnsi="仿宋" w:eastAsia="仿宋"/>
          <w:b w:val="0"/>
          <w:bCs/>
          <w:sz w:val="32"/>
          <w:szCs w:val="32"/>
          <w:lang w:val="en-US" w:eastAsia="zh-CN"/>
        </w:rPr>
        <w:t>2</w:t>
      </w:r>
      <w:r>
        <w:rPr>
          <w:rFonts w:hint="eastAsia" w:ascii="仿宋" w:hAnsi="仿宋" w:eastAsia="仿宋" w:cs="仿宋"/>
          <w:sz w:val="32"/>
          <w:szCs w:val="32"/>
        </w:rPr>
        <w:t>018年“三公”经费财政拨款支出决算中，因公出国（境）费支出决算0万元，占0%；公务用车购置及运行维护费支出决算0万元，占0%；公务接待费支出决算0万元，占0%。具体情况如下：</w:t>
      </w:r>
    </w:p>
    <w:p>
      <w:pPr>
        <w:ind w:firstLine="640"/>
        <w:rPr>
          <w:rFonts w:ascii="仿宋" w:hAnsi="仿宋" w:eastAsia="仿宋"/>
          <w:sz w:val="32"/>
          <w:szCs w:val="32"/>
        </w:rPr>
      </w:pPr>
      <w:r>
        <w:rPr>
          <w:rFonts w:hint="eastAsia" w:ascii="仿宋" w:hAnsi="仿宋" w:eastAsia="仿宋"/>
          <w:sz w:val="32"/>
          <w:szCs w:val="32"/>
        </w:rPr>
        <w:t>（图7：“三公”经费财政拨款支出结构）（饼状图）</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drawing>
                <wp:inline distT="0" distB="0" distL="0" distR="0">
                  <wp:extent cx="5271770" cy="33953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1770" cy="3395345"/>
                          </a:xfrm>
                          <a:prstGeom prst="rect">
                            <a:avLst/>
                          </a:prstGeom>
                          <a:noFill/>
                          <a:ln>
                            <a:noFill/>
                          </a:ln>
                        </pic:spPr>
                      </pic:pic>
                    </a:graphicData>
                  </a:graphic>
                </wp:inline>
              </w:drawing>
            </w:r>
          </w:p>
        </w:tc>
      </w:tr>
    </w:tbl>
    <w:p>
      <w:pPr>
        <w:spacing w:line="600" w:lineRule="exact"/>
        <w:ind w:firstLine="640"/>
        <w:rPr>
          <w:rFonts w:ascii="仿宋_GB2312" w:eastAsia="仿宋_GB2312"/>
          <w:sz w:val="32"/>
          <w:szCs w:val="32"/>
        </w:rPr>
      </w:pPr>
      <w:bookmarkStart w:id="46" w:name="_Toc15377218"/>
      <w:bookmarkStart w:id="47" w:name="_Toc15396610"/>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firstLineChars="200"/>
        <w:rPr>
          <w:rFonts w:hint="eastAsia" w:ascii="黑体" w:eastAsia="黑体"/>
          <w:sz w:val="32"/>
          <w:szCs w:val="32"/>
        </w:rPr>
      </w:pPr>
      <w:r>
        <w:rPr>
          <w:rFonts w:hint="eastAsia" w:ascii="仿宋_GB2312" w:eastAsia="仿宋_GB2312"/>
          <w:sz w:val="32"/>
          <w:szCs w:val="32"/>
        </w:rPr>
        <w:t>主要用于执行公务、开展业务活动开支的交通费、住宿费、用餐费等。国内公务接待0批次，0人次（不包括陪同人员），共计支出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8年政府性基金预算拨款支出</w:t>
      </w:r>
      <w:r>
        <w:rPr>
          <w:rFonts w:hint="eastAsia" w:ascii="仿宋" w:hAnsi="仿宋" w:eastAsia="仿宋"/>
          <w:sz w:val="32"/>
          <w:szCs w:val="32"/>
        </w:rPr>
        <w:t>0.02</w:t>
      </w:r>
      <w:r>
        <w:rPr>
          <w:rFonts w:hint="eastAsia" w:ascii="仿宋_GB2312" w:eastAsia="仿宋_GB2312"/>
          <w:sz w:val="32"/>
          <w:szCs w:val="32"/>
        </w:rPr>
        <w:t>万元。</w:t>
      </w: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8年国有资本经营预算拨款支出0万元。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5"/>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校在年初预算编制阶段，组织对民生工程、民生工程以外人员经费、办公经费项目开展了预算事前绩效评估，对民生工程、民生工程以外人员经费、办公经费项目编制了绩效目标，预算执行过程中，选取民生工程以外人员经费项目开展绩效监控，年终执行完毕后，对民生工程以外人员经费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完成了年度主要任务，严格控制经费合理正确使用。本部门还自行组织了民生工程以外人员经费项目绩效评价，从评价情况来看圆满完成了该项目的预算目标，数量指标、质量指标、时效指标、满意度指标均达100%。</w:t>
      </w:r>
    </w:p>
    <w:p>
      <w:pPr>
        <w:numPr>
          <w:ilvl w:val="0"/>
          <w:numId w:val="5"/>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本部门在2018年度部门决算中反映“民生工程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民生工程以外人员经费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“办公经费”等3个项目绩效目标实际完成情况。</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民生工程项目绩效目标完成情况综述。项目全年预算数</w:t>
      </w:r>
      <w:r>
        <w:rPr>
          <w:rFonts w:hint="eastAsia" w:ascii="仿宋" w:hAnsi="仿宋" w:eastAsia="仿宋"/>
          <w:sz w:val="32"/>
          <w:szCs w:val="32"/>
        </w:rPr>
        <w:t>0.02</w:t>
      </w:r>
      <w:r>
        <w:rPr>
          <w:rFonts w:hint="eastAsia" w:ascii="仿宋_GB2312" w:hAnsi="仿宋_GB2312" w:eastAsia="仿宋_GB2312" w:cs="仿宋_GB2312"/>
          <w:sz w:val="32"/>
          <w:szCs w:val="32"/>
        </w:rPr>
        <w:t>万元，执行数为</w:t>
      </w:r>
      <w:r>
        <w:rPr>
          <w:rFonts w:hint="eastAsia" w:ascii="仿宋" w:hAnsi="仿宋" w:eastAsia="仿宋"/>
          <w:sz w:val="32"/>
          <w:szCs w:val="32"/>
        </w:rPr>
        <w:t>0.02</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全体学生健康成长，家庭贫困学生顺利入学。发现的主要问题：学生在享受资助上卡时，提供卡号信息有误，导致不能及时得到资助。下一步改进措施：打卡前充分核对卡号，确保准确无误。</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民生工程以外人员经费项目绩效目标完成情况综述。项目全年预算数</w:t>
      </w:r>
      <w:r>
        <w:rPr>
          <w:rFonts w:hint="eastAsia" w:ascii="仿宋" w:hAnsi="仿宋" w:eastAsia="仿宋"/>
          <w:sz w:val="32"/>
          <w:szCs w:val="32"/>
        </w:rPr>
        <w:t>0.07</w:t>
      </w:r>
      <w:r>
        <w:rPr>
          <w:rFonts w:hint="eastAsia" w:ascii="仿宋_GB2312" w:hAnsi="仿宋_GB2312" w:eastAsia="仿宋_GB2312" w:cs="仿宋_GB2312"/>
          <w:sz w:val="32"/>
          <w:szCs w:val="32"/>
        </w:rPr>
        <w:t>万元，执行数为</w:t>
      </w:r>
      <w:r>
        <w:rPr>
          <w:rFonts w:hint="eastAsia" w:ascii="仿宋" w:hAnsi="仿宋" w:eastAsia="仿宋"/>
          <w:sz w:val="32"/>
          <w:szCs w:val="32"/>
        </w:rPr>
        <w:t>0.07</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%。通过项目实施，保障了教职工的各项合法权益，调动了全体教职工的工作积极性。发现的主要问题：无。</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办公经费项目绩效目标完成情况综述。项目全年预算数</w:t>
      </w:r>
      <w:r>
        <w:rPr>
          <w:rFonts w:hint="eastAsia" w:ascii="仿宋" w:hAnsi="仿宋" w:eastAsia="仿宋"/>
          <w:sz w:val="32"/>
          <w:szCs w:val="32"/>
        </w:rPr>
        <w:t>0.02</w:t>
      </w:r>
      <w:r>
        <w:rPr>
          <w:rFonts w:hint="eastAsia" w:ascii="仿宋_GB2312" w:hAnsi="仿宋_GB2312" w:eastAsia="仿宋_GB2312" w:cs="仿宋_GB2312"/>
          <w:sz w:val="32"/>
          <w:szCs w:val="32"/>
        </w:rPr>
        <w:t>万元，执行数为</w:t>
      </w:r>
      <w:r>
        <w:rPr>
          <w:rFonts w:hint="eastAsia" w:ascii="仿宋" w:hAnsi="仿宋" w:eastAsia="仿宋"/>
          <w:sz w:val="32"/>
          <w:szCs w:val="32"/>
        </w:rPr>
        <w:t>0.02</w:t>
      </w:r>
      <w:r>
        <w:rPr>
          <w:rFonts w:hint="eastAsia" w:ascii="仿宋_GB2312" w:hAnsi="仿宋_GB2312" w:eastAsia="仿宋_GB2312" w:cs="仿宋_GB2312"/>
          <w:sz w:val="32"/>
          <w:szCs w:val="32"/>
        </w:rPr>
        <w:t>万元，完成预算的</w:t>
      </w:r>
      <w:r>
        <w:rPr>
          <w:rFonts w:hint="eastAsia" w:ascii="仿宋" w:hAnsi="仿宋" w:eastAsia="仿宋"/>
          <w:sz w:val="32"/>
          <w:szCs w:val="32"/>
        </w:rPr>
        <w:t>100</w:t>
      </w:r>
      <w:r>
        <w:rPr>
          <w:rFonts w:hint="eastAsia" w:ascii="仿宋_GB2312" w:hAnsi="仿宋_GB2312" w:eastAsia="仿宋_GB2312" w:cs="仿宋_GB2312"/>
          <w:sz w:val="32"/>
          <w:szCs w:val="32"/>
        </w:rPr>
        <w:t>%。通过项目实施，保障学校正常开展的各项活动，发现的主要问题：无。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达川区龙会乡中心学校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足额发放免作业本费、免保教费、学生营养餐、贫困住校生补助、食堂购买服务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及时发放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全部及时发放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学生家庭享受资助情况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学生全部及时得到资助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民生工程以外人员经费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达川区龙会乡中心学校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足额发放在职教师工资、购买养老保险、职业年金、医保、工伤、住房公积金、工会经费及临聘人员的工资补助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按既定目标全额发放</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应享尽享</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w:t>
            </w:r>
          </w:p>
        </w:tc>
      </w:tr>
    </w:tbl>
    <w:p>
      <w:pPr>
        <w:spacing w:line="580" w:lineRule="exact"/>
        <w:ind w:left="640"/>
        <w:rPr>
          <w:rFonts w:ascii="仿宋" w:hAnsi="仿宋" w:eastAsia="仿宋"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sz w:val="36"/>
                <w:szCs w:val="36"/>
              </w:rPr>
            </w:pPr>
            <w:r>
              <w:rPr>
                <w:rFonts w:hint="eastAsia" w:ascii="黑体" w:hAnsi="黑体" w:eastAsia="黑体" w:cs="宋体"/>
                <w:bCs/>
                <w:kern w:val="0"/>
                <w:sz w:val="36"/>
                <w:szCs w:val="36"/>
              </w:rPr>
              <w:t>项目支出绩效目标完成情况表</w:t>
            </w:r>
            <w:r>
              <w:rPr>
                <w:rFonts w:hint="eastAsia" w:ascii="宋体" w:hAnsi="宋体" w:cs="宋体"/>
                <w:b/>
                <w:bCs/>
                <w:kern w:val="0"/>
                <w:sz w:val="36"/>
                <w:szCs w:val="36"/>
              </w:rPr>
              <w:br w:type="textWrapping"/>
            </w:r>
            <w:r>
              <w:rPr>
                <w:rFonts w:hint="eastAsia" w:ascii="宋体" w:hAnsi="宋体" w:cs="宋体"/>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达川区龙会乡中心学校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ascii="宋体" w:hAnsi="宋体" w:cs="宋体"/>
                <w:sz w:val="24"/>
              </w:rPr>
              <w:t>0.02</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足额补助学校的办公经费包括办公费、电费、邮电费、差旅费、培训费、维修（护）费、公务接待费、专用材料费及其他商服务支出等办公经费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按既定目标全额补助</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办公经费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应补尽补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足额补助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时效批标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全部及时补助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财政拨款及时到位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享受补助情况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及时得到补助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家长社会满意</w:t>
            </w:r>
          </w:p>
        </w:tc>
      </w:tr>
    </w:tbl>
    <w:p>
      <w:pPr>
        <w:spacing w:line="580" w:lineRule="exact"/>
        <w:ind w:left="640"/>
        <w:rPr>
          <w:rFonts w:ascii="仿宋" w:hAnsi="仿宋" w:eastAsia="仿宋" w:cs="仿宋_GB2312"/>
          <w:sz w:val="32"/>
          <w:szCs w:val="32"/>
        </w:rPr>
      </w:pPr>
    </w:p>
    <w:p>
      <w:pPr>
        <w:numPr>
          <w:ilvl w:val="0"/>
          <w:numId w:val="5"/>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本部门按要求对2018年部门整体支出绩效评价情况开展自评，《达川区龙会乡中心学校2018年部门整体支出绩效评价报告》见附件。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本部门自行组织对人员经费项目开展了绩效评价，《达川区龙会乡中心学校2018年项目绩效评价报告》见附件。</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rPr>
          <w:rFonts w:hint="default" w:ascii="仿宋" w:hAnsi="仿宋" w:eastAsia="仿宋_GB2312"/>
          <w:b/>
          <w:sz w:val="32"/>
          <w:szCs w:val="32"/>
          <w:lang w:val="en-US" w:eastAsia="zh-CN"/>
        </w:rPr>
      </w:pPr>
      <w:r>
        <w:rPr>
          <w:rFonts w:hint="eastAsia" w:ascii="仿宋_GB2312" w:eastAsia="仿宋_GB2312"/>
          <w:sz w:val="32"/>
          <w:szCs w:val="32"/>
          <w:lang w:val="en-US" w:eastAsia="zh-CN"/>
        </w:rPr>
        <w:t>本单位为事业单位，无机关运行经费支出。</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_GB2312" w:eastAsia="仿宋_GB2312"/>
          <w:sz w:val="32"/>
          <w:szCs w:val="32"/>
        </w:rPr>
        <w:t>无。</w:t>
      </w:r>
    </w:p>
    <w:p>
      <w:pPr>
        <w:spacing w:line="600" w:lineRule="atLeast"/>
        <w:ind w:firstLine="642" w:firstLineChars="200"/>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7"/>
        </w:numPr>
        <w:spacing w:line="600" w:lineRule="exact"/>
        <w:ind w:firstLine="662"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事业收入：指事业单位开展专业业务活动及辅助活动取得的收入。学校保教费收入等。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7、年末结转和结余：指单位按有关规定结转到下年或以后年度继续使用的资金。</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 xml:space="preserve">一般公共服务 </w:t>
      </w:r>
      <w:r>
        <w:rPr>
          <w:rFonts w:hint="eastAsia" w:ascii="仿宋_GB2312" w:hAnsi="Times New Roman" w:eastAsia="仿宋_GB2312" w:cs="Times New Roman"/>
          <w:color w:val="auto"/>
          <w:kern w:val="2"/>
          <w:sz w:val="32"/>
          <w:szCs w:val="32"/>
        </w:rPr>
        <w:t>2011099</w:t>
      </w:r>
      <w:r>
        <w:rPr>
          <w:rFonts w:hint="eastAsia" w:ascii="仿宋_GB2312" w:eastAsia="仿宋_GB2312"/>
          <w:color w:val="auto"/>
          <w:sz w:val="32"/>
          <w:szCs w:val="32"/>
        </w:rPr>
        <w:t>：</w:t>
      </w:r>
      <w:r>
        <w:rPr>
          <w:rFonts w:hint="eastAsia" w:hAnsi="仿宋"/>
          <w:color w:val="auto"/>
          <w:sz w:val="32"/>
          <w:szCs w:val="32"/>
        </w:rPr>
        <w:t>指学校聘用三支一扶人员的一次性补贴支出。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教育2050201：指学校举办的学前教育支出。2050202：指学校举办的小前教育支出。2050203：指学校举办的初中教育支出。</w:t>
      </w:r>
    </w:p>
    <w:p>
      <w:pPr>
        <w:pStyle w:val="23"/>
        <w:spacing w:line="578" w:lineRule="exact"/>
        <w:ind w:firstLine="640" w:firstLineChars="200"/>
        <w:rPr>
          <w:rFonts w:hAnsi="仿宋"/>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 xml:space="preserve">社会保障和就业 </w:t>
      </w:r>
      <w:r>
        <w:rPr>
          <w:rFonts w:ascii="仿宋_GB2312" w:eastAsia="仿宋_GB2312"/>
          <w:color w:val="auto"/>
          <w:sz w:val="32"/>
          <w:szCs w:val="32"/>
        </w:rPr>
        <w:t>2080505</w:t>
      </w:r>
      <w:r>
        <w:rPr>
          <w:rFonts w:hint="eastAsia" w:ascii="仿宋_GB2312" w:eastAsia="仿宋_GB2312"/>
          <w:color w:val="auto"/>
          <w:sz w:val="32"/>
          <w:szCs w:val="32"/>
        </w:rPr>
        <w:t>：</w:t>
      </w:r>
      <w:r>
        <w:rPr>
          <w:rFonts w:hint="eastAsia" w:hAnsi="仿宋"/>
          <w:color w:val="auto"/>
          <w:sz w:val="32"/>
          <w:szCs w:val="32"/>
        </w:rPr>
        <w:t>指学校在社会保障与就业方面的支出。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医疗卫生与计划生育 </w:t>
      </w:r>
      <w:r>
        <w:rPr>
          <w:rFonts w:ascii="仿宋_GB2312" w:eastAsia="仿宋_GB2312"/>
          <w:sz w:val="32"/>
          <w:szCs w:val="32"/>
        </w:rPr>
        <w:t>2100502</w:t>
      </w:r>
      <w:r>
        <w:rPr>
          <w:rFonts w:hint="eastAsia" w:ascii="仿宋_GB2312" w:eastAsia="仿宋_GB2312"/>
          <w:sz w:val="32"/>
          <w:szCs w:val="32"/>
        </w:rPr>
        <w:t>：指学校用于教职工医疗保险方面的支出。</w:t>
      </w:r>
    </w:p>
    <w:p>
      <w:pPr>
        <w:pStyle w:val="23"/>
        <w:spacing w:line="560" w:lineRule="exact"/>
        <w:ind w:firstLine="640" w:firstLineChars="200"/>
        <w:rPr>
          <w:rFonts w:hAnsi="仿宋"/>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住房保障2210201：指</w:t>
      </w:r>
      <w:r>
        <w:rPr>
          <w:rFonts w:hint="eastAsia" w:hAnsi="仿宋"/>
          <w:color w:val="auto"/>
          <w:sz w:val="32"/>
          <w:szCs w:val="32"/>
        </w:rPr>
        <w:t>学校用于住房方面的支出。学校按人力资源和社会保障部、财政部规定的基本工资和津贴补贴以及规定比例为职工缴纳的住房公积金。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7" w:name="_Toc15396614"/>
      <w:bookmarkStart w:id="58" w:name="_Toc15377226"/>
      <w:r>
        <w:rPr>
          <w:rFonts w:hint="eastAsia" w:ascii="黑体" w:hAnsi="黑体" w:eastAsia="黑体"/>
          <w:sz w:val="44"/>
          <w:szCs w:val="44"/>
        </w:rPr>
        <w:t>第</w:t>
      </w:r>
      <w:r>
        <w:rPr>
          <w:rStyle w:val="25"/>
          <w:rFonts w:hint="eastAsia" w:ascii="黑体" w:hAnsi="黑体" w:eastAsia="黑体"/>
          <w:b w:val="0"/>
        </w:rPr>
        <w:t>四部分 附件</w:t>
      </w:r>
      <w:bookmarkEnd w:id="57"/>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tbl>
      <w:tblPr>
        <w:tblStyle w:val="12"/>
        <w:tblW w:w="13608" w:type="dxa"/>
        <w:tblInd w:w="108" w:type="dxa"/>
        <w:tblLayout w:type="autofit"/>
        <w:tblCellMar>
          <w:top w:w="0" w:type="dxa"/>
          <w:left w:w="108" w:type="dxa"/>
          <w:bottom w:w="0" w:type="dxa"/>
          <w:right w:w="108" w:type="dxa"/>
        </w:tblCellMar>
      </w:tblPr>
      <w:tblGrid>
        <w:gridCol w:w="860"/>
        <w:gridCol w:w="1160"/>
        <w:gridCol w:w="1560"/>
        <w:gridCol w:w="3508"/>
        <w:gridCol w:w="2268"/>
        <w:gridCol w:w="1843"/>
        <w:gridCol w:w="2409"/>
      </w:tblGrid>
      <w:tr>
        <w:tblPrEx>
          <w:tblCellMar>
            <w:top w:w="0" w:type="dxa"/>
            <w:left w:w="108" w:type="dxa"/>
            <w:bottom w:w="0" w:type="dxa"/>
            <w:right w:w="108" w:type="dxa"/>
          </w:tblCellMar>
        </w:tblPrEx>
        <w:trPr>
          <w:trHeight w:val="1200" w:hRule="atLeast"/>
        </w:trPr>
        <w:tc>
          <w:tcPr>
            <w:tcW w:w="11199"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w:t>
            </w:r>
            <w:r>
              <w:rPr>
                <w:rFonts w:hint="eastAsia" w:ascii="Microsoft YaHei UI" w:hAnsi="Microsoft YaHei UI" w:eastAsia="Microsoft YaHei UI" w:cs="宋体"/>
                <w:kern w:val="0"/>
                <w:sz w:val="36"/>
                <w:szCs w:val="36"/>
              </w:rPr>
              <w:t>龙会乡中心学校</w:t>
            </w:r>
            <w:r>
              <w:rPr>
                <w:rFonts w:hint="eastAsia" w:ascii="方正小标宋简体" w:hAnsi="宋体" w:eastAsia="方正小标宋简体" w:cs="宋体"/>
                <w:kern w:val="0"/>
                <w:sz w:val="36"/>
                <w:szCs w:val="36"/>
              </w:rPr>
              <w:t>单位部门整体支出绩效评价得分表</w:t>
            </w:r>
          </w:p>
        </w:tc>
        <w:tc>
          <w:tcPr>
            <w:tcW w:w="2409" w:type="dxa"/>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1200" w:hRule="atLeast"/>
        </w:trPr>
        <w:tc>
          <w:tcPr>
            <w:tcW w:w="9356"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c>
          <w:tcPr>
            <w:tcW w:w="4252" w:type="dxa"/>
            <w:gridSpan w:val="2"/>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55"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一级　　　指标</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二级指标</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三级指标</w:t>
            </w:r>
          </w:p>
        </w:tc>
        <w:tc>
          <w:tcPr>
            <w:tcW w:w="3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指标解释</w:t>
            </w:r>
          </w:p>
        </w:tc>
        <w:tc>
          <w:tcPr>
            <w:tcW w:w="41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计分标准（备注）</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自评得分</w:t>
            </w:r>
          </w:p>
        </w:tc>
      </w:tr>
      <w:tr>
        <w:tblPrEx>
          <w:tblCellMar>
            <w:top w:w="0" w:type="dxa"/>
            <w:left w:w="108" w:type="dxa"/>
            <w:bottom w:w="0" w:type="dxa"/>
            <w:right w:w="108" w:type="dxa"/>
          </w:tblCellMar>
        </w:tblPrEx>
        <w:trPr>
          <w:trHeight w:val="720"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w:t>
            </w:r>
            <w:r>
              <w:rPr>
                <w:rFonts w:eastAsia="仿宋_GB2312"/>
                <w:kern w:val="0"/>
                <w:sz w:val="20"/>
                <w:szCs w:val="20"/>
              </w:rPr>
              <w:t>16</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报送时效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基础信息更新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各单位是否按照部门预算编制通知和有关要求，按时完成基础库、项目库报送工作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超过规定</w:t>
            </w:r>
            <w:r>
              <w:rPr>
                <w:rFonts w:eastAsia="仿宋_GB2312"/>
                <w:kern w:val="0"/>
                <w:sz w:val="20"/>
                <w:szCs w:val="20"/>
              </w:rPr>
              <w:t>5</w:t>
            </w:r>
            <w:r>
              <w:rPr>
                <w:rFonts w:hint="eastAsia" w:ascii="仿宋_GB2312" w:hAnsi="宋体" w:eastAsia="仿宋_GB2312" w:cs="宋体"/>
                <w:kern w:val="0"/>
                <w:sz w:val="20"/>
                <w:szCs w:val="20"/>
              </w:rPr>
              <w:t>个工作日扣</w:t>
            </w:r>
            <w:r>
              <w:rPr>
                <w:rFonts w:eastAsia="仿宋_GB2312"/>
                <w:kern w:val="0"/>
                <w:sz w:val="20"/>
                <w:szCs w:val="20"/>
              </w:rPr>
              <w:t>0.5</w:t>
            </w:r>
            <w:r>
              <w:rPr>
                <w:rFonts w:hint="eastAsia" w:ascii="仿宋_GB2312" w:hAnsi="宋体" w:eastAsia="仿宋_GB2312" w:cs="宋体"/>
                <w:kern w:val="0"/>
                <w:sz w:val="20"/>
                <w:szCs w:val="20"/>
              </w:rPr>
              <w:t>分，</w:t>
            </w:r>
            <w:r>
              <w:rPr>
                <w:rFonts w:eastAsia="仿宋_GB2312"/>
                <w:kern w:val="0"/>
                <w:sz w:val="20"/>
                <w:szCs w:val="20"/>
              </w:rPr>
              <w:t>10</w:t>
            </w:r>
            <w:r>
              <w:rPr>
                <w:rFonts w:hint="eastAsia" w:ascii="仿宋_GB2312" w:hAnsi="宋体" w:eastAsia="仿宋_GB2312" w:cs="宋体"/>
                <w:kern w:val="0"/>
                <w:sz w:val="20"/>
                <w:szCs w:val="20"/>
              </w:rPr>
              <w:t>个工作日扣</w:t>
            </w:r>
            <w:r>
              <w:rPr>
                <w:rFonts w:eastAsia="仿宋_GB2312"/>
                <w:kern w:val="0"/>
                <w:sz w:val="20"/>
                <w:szCs w:val="20"/>
              </w:rPr>
              <w:t>1</w:t>
            </w:r>
            <w:r>
              <w:rPr>
                <w:rFonts w:hint="eastAsia" w:ascii="仿宋_GB2312" w:hAnsi="宋体" w:eastAsia="仿宋_GB2312" w:cs="宋体"/>
                <w:kern w:val="0"/>
                <w:sz w:val="20"/>
                <w:szCs w:val="20"/>
              </w:rPr>
              <w:t>分，以此类推，直至扣完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b/>
                <w:bCs/>
                <w:kern w:val="0"/>
                <w:sz w:val="20"/>
                <w:szCs w:val="20"/>
              </w:rPr>
            </w:pPr>
            <w:r>
              <w:rPr>
                <w:rFonts w:hint="eastAsia" w:ascii="宋体" w:hAnsi="宋体" w:cs="宋体"/>
                <w:b/>
                <w:bCs/>
                <w:kern w:val="0"/>
                <w:sz w:val="20"/>
                <w:szCs w:val="20"/>
              </w:rPr>
              <w:t>2</w:t>
            </w:r>
          </w:p>
        </w:tc>
      </w:tr>
      <w:tr>
        <w:tblPrEx>
          <w:tblCellMar>
            <w:top w:w="0" w:type="dxa"/>
            <w:left w:w="108" w:type="dxa"/>
            <w:bottom w:w="0" w:type="dxa"/>
            <w:right w:w="108" w:type="dxa"/>
          </w:tblCellMar>
        </w:tblPrEx>
        <w:trPr>
          <w:trHeight w:val="828"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编制质量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预算编制准确　　（</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考核预算项目资金性质变动情况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项目资金性质变动控制在</w:t>
            </w:r>
            <w:r>
              <w:rPr>
                <w:rFonts w:eastAsia="仿宋_GB2312"/>
                <w:kern w:val="0"/>
                <w:sz w:val="20"/>
                <w:szCs w:val="20"/>
              </w:rPr>
              <w:t>1</w:t>
            </w:r>
            <w:r>
              <w:rPr>
                <w:rFonts w:hint="eastAsia" w:ascii="仿宋_GB2312" w:hAnsi="宋体" w:eastAsia="仿宋_GB2312" w:cs="宋体"/>
                <w:kern w:val="0"/>
                <w:sz w:val="20"/>
                <w:szCs w:val="20"/>
              </w:rPr>
              <w:t>个内，得分；</w:t>
            </w:r>
            <w:r>
              <w:rPr>
                <w:rFonts w:eastAsia="仿宋_GB2312"/>
                <w:kern w:val="0"/>
                <w:sz w:val="20"/>
                <w:szCs w:val="20"/>
              </w:rPr>
              <w:t>2-3</w:t>
            </w:r>
            <w:r>
              <w:rPr>
                <w:rFonts w:hint="eastAsia" w:ascii="仿宋_GB2312" w:hAnsi="宋体" w:eastAsia="仿宋_GB2312" w:cs="宋体"/>
                <w:kern w:val="0"/>
                <w:sz w:val="20"/>
                <w:szCs w:val="20"/>
              </w:rPr>
              <w:t>个得</w:t>
            </w:r>
            <w:r>
              <w:rPr>
                <w:rFonts w:eastAsia="仿宋_GB2312"/>
                <w:kern w:val="0"/>
                <w:sz w:val="20"/>
                <w:szCs w:val="20"/>
              </w:rPr>
              <w:t>1</w:t>
            </w:r>
            <w:r>
              <w:rPr>
                <w:rFonts w:hint="eastAsia" w:ascii="仿宋_GB2312" w:hAnsi="宋体" w:eastAsia="仿宋_GB2312" w:cs="宋体"/>
                <w:kern w:val="0"/>
                <w:sz w:val="20"/>
                <w:szCs w:val="20"/>
              </w:rPr>
              <w:t>分；超过</w:t>
            </w:r>
            <w:r>
              <w:rPr>
                <w:rFonts w:eastAsia="仿宋_GB2312"/>
                <w:kern w:val="0"/>
                <w:sz w:val="20"/>
                <w:szCs w:val="20"/>
              </w:rPr>
              <w:t>3</w:t>
            </w:r>
            <w:r>
              <w:rPr>
                <w:rFonts w:hint="eastAsia" w:ascii="仿宋_GB2312" w:hAnsi="宋体" w:eastAsia="仿宋_GB2312" w:cs="宋体"/>
                <w:kern w:val="0"/>
                <w:sz w:val="20"/>
                <w:szCs w:val="20"/>
              </w:rPr>
              <w:t>个以上，不得分。（注：按照上级及区委区政府批准的项目资金性质变动如财政资金整合等情况不计入考核）</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部门预算审查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根据部门集体审查、区人大对预算草案审查结果进行考核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无部门集体审查的不得分；被人大预算审查后提出并确需修改的错误，每个问题扣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目标明确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部门整体目标　　（</w:t>
            </w:r>
            <w:r>
              <w:rPr>
                <w:rFonts w:eastAsia="仿宋_GB2312"/>
                <w:kern w:val="0"/>
                <w:sz w:val="20"/>
                <w:szCs w:val="20"/>
              </w:rPr>
              <w:t>5</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部门全年整体工作目标编制完整、合理</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有完整、明确、合理的部门整体工作方案得分，否则不得分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重点项目目标　　（</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重大项目实施方案明确、量化、可操作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有完整、明确、合理的重点项目工作方案得分，否则不得分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141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r>
              <w:rPr>
                <w:rFonts w:eastAsia="仿宋_GB2312"/>
                <w:kern w:val="0"/>
                <w:sz w:val="20"/>
                <w:szCs w:val="20"/>
              </w:rPr>
              <w:t>24</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资金调度　　（</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支付进度控制率</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用以反映和考核部门（单位）预算执行的及时性和均衡性程度。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支付进度率</w:t>
            </w:r>
            <w:r>
              <w:rPr>
                <w:rFonts w:eastAsia="仿宋_GB2312"/>
                <w:kern w:val="0"/>
                <w:sz w:val="20"/>
                <w:szCs w:val="20"/>
              </w:rPr>
              <w:t>=</w:t>
            </w:r>
            <w:r>
              <w:rPr>
                <w:rFonts w:hint="eastAsia" w:ascii="仿宋_GB2312" w:hAnsi="宋体" w:eastAsia="仿宋_GB2312" w:cs="宋体"/>
                <w:kern w:val="0"/>
                <w:sz w:val="20"/>
                <w:szCs w:val="20"/>
              </w:rPr>
              <w:t>（部门支付进度</w:t>
            </w:r>
            <w:r>
              <w:rPr>
                <w:rFonts w:eastAsia="仿宋_GB2312"/>
                <w:kern w:val="0"/>
                <w:sz w:val="20"/>
                <w:szCs w:val="20"/>
              </w:rPr>
              <w:t>/</w:t>
            </w:r>
            <w:r>
              <w:rPr>
                <w:rFonts w:hint="eastAsia" w:ascii="仿宋_GB2312" w:hAnsi="宋体" w:eastAsia="仿宋_GB2312" w:cs="宋体"/>
                <w:kern w:val="0"/>
                <w:sz w:val="20"/>
                <w:szCs w:val="20"/>
              </w:rPr>
              <w:t>区级平均支付进度）</w:t>
            </w:r>
            <w:r>
              <w:rPr>
                <w:rFonts w:eastAsia="仿宋_GB2312"/>
                <w:kern w:val="0"/>
                <w:sz w:val="20"/>
                <w:szCs w:val="20"/>
              </w:rPr>
              <w:t>×100%</w:t>
            </w:r>
            <w:r>
              <w:rPr>
                <w:rFonts w:hint="eastAsia" w:ascii="仿宋_GB2312" w:hAnsi="宋体" w:eastAsia="仿宋_GB2312" w:cs="宋体"/>
                <w:kern w:val="0"/>
                <w:sz w:val="20"/>
                <w:szCs w:val="20"/>
              </w:rPr>
              <w:t>，支付进度率控制在</w:t>
            </w:r>
            <w:r>
              <w:rPr>
                <w:rFonts w:eastAsia="仿宋_GB2312"/>
                <w:kern w:val="0"/>
                <w:sz w:val="20"/>
                <w:szCs w:val="20"/>
              </w:rPr>
              <w:t>90%—110%</w:t>
            </w:r>
            <w:r>
              <w:rPr>
                <w:rFonts w:hint="eastAsia" w:ascii="仿宋_GB2312" w:hAnsi="宋体" w:eastAsia="仿宋_GB2312" w:cs="宋体"/>
                <w:kern w:val="0"/>
                <w:sz w:val="20"/>
                <w:szCs w:val="20"/>
              </w:rPr>
              <w:t>间。</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部门支付进度：部门（单位）在某一时点的支出预算执行总数与年度支出预算数的比率。</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区级平均支付进度：在某时点上，本级财政的支付进度率，以序时进度代替。</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bookmarkStart w:id="76" w:name="_GoBack"/>
            <w:bookmarkEnd w:id="76"/>
            <w:r>
              <w:rPr>
                <w:rFonts w:hint="eastAsia" w:ascii="宋体" w:hAnsi="宋体" w:cs="宋体"/>
                <w:kern w:val="0"/>
                <w:sz w:val="20"/>
                <w:szCs w:val="20"/>
              </w:rPr>
              <w:t>4</w:t>
            </w:r>
          </w:p>
        </w:tc>
      </w:tr>
      <w:tr>
        <w:tblPrEx>
          <w:tblCellMar>
            <w:top w:w="0" w:type="dxa"/>
            <w:left w:w="108" w:type="dxa"/>
            <w:bottom w:w="0" w:type="dxa"/>
            <w:right w:w="108" w:type="dxa"/>
          </w:tblCellMar>
        </w:tblPrEx>
        <w:trPr>
          <w:trHeight w:val="1153"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nil"/>
              <w:left w:val="nil"/>
              <w:bottom w:val="nil"/>
              <w:right w:val="nil"/>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财政预算执行（</w:t>
            </w:r>
            <w:r>
              <w:rPr>
                <w:rFonts w:eastAsia="仿宋_GB2312"/>
                <w:kern w:val="0"/>
                <w:sz w:val="20"/>
                <w:szCs w:val="20"/>
              </w:rPr>
              <w:t>5</w:t>
            </w:r>
            <w:r>
              <w:rPr>
                <w:rFonts w:hint="eastAsia" w:ascii="仿宋_GB2312" w:hAnsi="宋体" w:eastAsia="仿宋_GB2312" w:cs="宋体"/>
                <w:kern w:val="0"/>
                <w:sz w:val="20"/>
                <w:szCs w:val="20"/>
              </w:rPr>
              <w:t>分）</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部门（单位）本年度预算执行数与预算数的比率，用以反映和考核部门（单位）预算完成程度。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r>
              <w:rPr>
                <w:rFonts w:eastAsia="仿宋_GB2312"/>
                <w:kern w:val="0"/>
                <w:sz w:val="20"/>
                <w:szCs w:val="20"/>
              </w:rPr>
              <w:t>=</w:t>
            </w:r>
            <w:r>
              <w:rPr>
                <w:rFonts w:hint="eastAsia" w:ascii="仿宋_GB2312" w:hAnsi="宋体" w:eastAsia="仿宋_GB2312" w:cs="宋体"/>
                <w:kern w:val="0"/>
                <w:sz w:val="20"/>
                <w:szCs w:val="20"/>
              </w:rPr>
              <w:t>（预算执行数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预算执行数：部门（单位）本年度实际完成的预算数，扣除结余数。</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预算数：财政部门批复的本年度部门（单位）预算数，含财政追加。</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1153"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预算刚性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　　（</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部门（单位）本年度预算调整数与预算数的比率，用以反映和考核部门（单位）预算的调整程度。</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预算调整率</w:t>
            </w:r>
            <w:r>
              <w:rPr>
                <w:rFonts w:eastAsia="仿宋_GB2312"/>
                <w:kern w:val="0"/>
                <w:sz w:val="20"/>
                <w:szCs w:val="20"/>
              </w:rPr>
              <w:t>=</w:t>
            </w:r>
            <w:r>
              <w:rPr>
                <w:rFonts w:hint="eastAsia" w:ascii="仿宋_GB2312" w:hAnsi="宋体" w:eastAsia="仿宋_GB2312" w:cs="宋体"/>
                <w:kern w:val="0"/>
                <w:sz w:val="20"/>
                <w:szCs w:val="20"/>
              </w:rPr>
              <w:t>（预算调整数</w:t>
            </w:r>
            <w:r>
              <w:rPr>
                <w:rFonts w:eastAsia="仿宋_GB2312"/>
                <w:kern w:val="0"/>
                <w:sz w:val="20"/>
                <w:szCs w:val="20"/>
              </w:rPr>
              <w:t>/</w:t>
            </w:r>
            <w:r>
              <w:rPr>
                <w:rFonts w:hint="eastAsia" w:ascii="仿宋_GB2312" w:hAnsi="宋体" w:eastAsia="仿宋_GB2312" w:cs="宋体"/>
                <w:kern w:val="0"/>
                <w:sz w:val="20"/>
                <w:szCs w:val="20"/>
              </w:rPr>
              <w:t>预算数）</w:t>
            </w:r>
            <w:r>
              <w:rPr>
                <w:rFonts w:eastAsia="仿宋_GB2312"/>
                <w:kern w:val="0"/>
                <w:sz w:val="20"/>
                <w:szCs w:val="20"/>
              </w:rPr>
              <w:t>×100%</w:t>
            </w:r>
            <w:r>
              <w:rPr>
                <w:rFonts w:hint="eastAsia" w:ascii="仿宋_GB2312" w:hAnsi="宋体" w:eastAsia="仿宋_GB2312" w:cs="宋体"/>
                <w:kern w:val="0"/>
                <w:sz w:val="20"/>
                <w:szCs w:val="20"/>
              </w:rPr>
              <w:t>，控制在</w:t>
            </w:r>
            <w:r>
              <w:rPr>
                <w:rFonts w:eastAsia="仿宋_GB2312"/>
                <w:kern w:val="0"/>
                <w:sz w:val="20"/>
                <w:szCs w:val="20"/>
              </w:rPr>
              <w:t>20%</w:t>
            </w:r>
            <w:r>
              <w:rPr>
                <w:rFonts w:hint="eastAsia" w:ascii="仿宋_GB2312" w:hAnsi="宋体" w:eastAsia="仿宋_GB2312" w:cs="宋体"/>
                <w:kern w:val="0"/>
                <w:sz w:val="20"/>
                <w:szCs w:val="20"/>
              </w:rPr>
              <w:t>以内。</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行政成本（</w:t>
            </w:r>
            <w:r>
              <w:rPr>
                <w:rFonts w:eastAsia="仿宋_GB2312"/>
                <w:kern w:val="0"/>
                <w:sz w:val="20"/>
                <w:szCs w:val="20"/>
              </w:rPr>
              <w:t>10</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反映部门人力资源控制情况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人编比率</w:t>
            </w:r>
            <w:r>
              <w:rPr>
                <w:rFonts w:eastAsia="仿宋_GB2312"/>
                <w:kern w:val="0"/>
                <w:sz w:val="20"/>
                <w:szCs w:val="20"/>
              </w:rPr>
              <w:t>=</w:t>
            </w:r>
            <w:r>
              <w:rPr>
                <w:rFonts w:hint="eastAsia" w:ascii="仿宋_GB2312" w:hAnsi="宋体" w:eastAsia="仿宋_GB2312" w:cs="宋体"/>
                <w:kern w:val="0"/>
                <w:sz w:val="20"/>
                <w:szCs w:val="20"/>
              </w:rPr>
              <w:t>实际员工</w:t>
            </w:r>
            <w:r>
              <w:rPr>
                <w:rFonts w:eastAsia="仿宋_GB2312"/>
                <w:kern w:val="0"/>
                <w:sz w:val="20"/>
                <w:szCs w:val="20"/>
              </w:rPr>
              <w:t>/</w:t>
            </w:r>
            <w:r>
              <w:rPr>
                <w:rFonts w:hint="eastAsia" w:ascii="仿宋_GB2312" w:hAnsi="宋体" w:eastAsia="仿宋_GB2312" w:cs="宋体"/>
                <w:kern w:val="0"/>
                <w:sz w:val="20"/>
                <w:szCs w:val="20"/>
              </w:rPr>
              <w:t>部门编制数</w:t>
            </w:r>
            <w:r>
              <w:rPr>
                <w:rFonts w:eastAsia="仿宋_GB2312"/>
                <w:kern w:val="0"/>
                <w:sz w:val="20"/>
                <w:szCs w:val="20"/>
              </w:rPr>
              <w:t>*100%</w:t>
            </w:r>
            <w:r>
              <w:rPr>
                <w:rFonts w:hint="eastAsia" w:ascii="仿宋_GB2312" w:hAnsi="宋体" w:eastAsia="仿宋_GB2312" w:cs="宋体"/>
                <w:kern w:val="0"/>
                <w:sz w:val="20"/>
                <w:szCs w:val="20"/>
              </w:rPr>
              <w:t>，不得超过</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一般性支出增长率（</w:t>
            </w:r>
            <w:r>
              <w:rPr>
                <w:rFonts w:eastAsia="仿宋_GB2312"/>
                <w:kern w:val="0"/>
                <w:sz w:val="20"/>
                <w:szCs w:val="20"/>
              </w:rPr>
              <w:t>3</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反映执行财政非生产性支出预算控制</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w:t>
            </w:r>
            <w:r>
              <w:rPr>
                <w:rFonts w:eastAsia="仿宋_GB2312"/>
                <w:kern w:val="0"/>
                <w:sz w:val="20"/>
                <w:szCs w:val="20"/>
              </w:rPr>
              <w:t>“</w:t>
            </w:r>
            <w:r>
              <w:rPr>
                <w:rFonts w:hint="eastAsia" w:ascii="仿宋_GB2312" w:hAnsi="宋体" w:eastAsia="仿宋_GB2312" w:cs="宋体"/>
                <w:kern w:val="0"/>
                <w:sz w:val="20"/>
                <w:szCs w:val="20"/>
              </w:rPr>
              <w:t>一般性支出</w:t>
            </w:r>
            <w:r>
              <w:rPr>
                <w:rFonts w:eastAsia="仿宋_GB2312"/>
                <w:kern w:val="0"/>
                <w:sz w:val="20"/>
                <w:szCs w:val="20"/>
              </w:rPr>
              <w:t>”</w:t>
            </w:r>
            <w:r>
              <w:rPr>
                <w:rFonts w:hint="eastAsia" w:ascii="仿宋_GB2312" w:hAnsi="宋体" w:eastAsia="仿宋_GB2312" w:cs="宋体"/>
                <w:kern w:val="0"/>
                <w:sz w:val="20"/>
                <w:szCs w:val="20"/>
              </w:rPr>
              <w:t>严格按财政管理规定执行，未完成控制要求不得分。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反映部门财政资源耗费控制情况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人均公用经费率</w:t>
            </w:r>
            <w:r>
              <w:rPr>
                <w:rFonts w:eastAsia="仿宋_GB2312"/>
                <w:kern w:val="0"/>
                <w:sz w:val="20"/>
                <w:szCs w:val="20"/>
              </w:rPr>
              <w:t>=</w:t>
            </w:r>
            <w:r>
              <w:rPr>
                <w:rFonts w:hint="eastAsia" w:ascii="仿宋_GB2312" w:hAnsi="宋体" w:eastAsia="仿宋_GB2312" w:cs="宋体"/>
                <w:kern w:val="0"/>
                <w:sz w:val="20"/>
                <w:szCs w:val="20"/>
              </w:rPr>
              <w:t>部门年度公用经费总额</w:t>
            </w:r>
            <w:r>
              <w:rPr>
                <w:rFonts w:eastAsia="仿宋_GB2312"/>
                <w:kern w:val="0"/>
                <w:sz w:val="20"/>
                <w:szCs w:val="20"/>
              </w:rPr>
              <w:t>÷</w:t>
            </w:r>
            <w:r>
              <w:rPr>
                <w:rFonts w:hint="eastAsia" w:ascii="仿宋_GB2312" w:hAnsi="宋体" w:eastAsia="仿宋_GB2312" w:cs="宋体"/>
                <w:kern w:val="0"/>
                <w:sz w:val="20"/>
                <w:szCs w:val="20"/>
              </w:rPr>
              <w:t>编制内员工数</w:t>
            </w:r>
            <w:r>
              <w:rPr>
                <w:rFonts w:eastAsia="仿宋_GB2312"/>
                <w:kern w:val="0"/>
                <w:sz w:val="20"/>
                <w:szCs w:val="20"/>
              </w:rPr>
              <w:t>÷</w:t>
            </w:r>
            <w:r>
              <w:rPr>
                <w:rFonts w:hint="eastAsia" w:ascii="仿宋_GB2312" w:hAnsi="宋体" w:eastAsia="仿宋_GB2312" w:cs="宋体"/>
                <w:kern w:val="0"/>
                <w:sz w:val="20"/>
                <w:szCs w:val="20"/>
              </w:rPr>
              <w:t>区级人均公用经费</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580"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w:t>
            </w:r>
            <w:r>
              <w:rPr>
                <w:rFonts w:eastAsia="仿宋_GB2312"/>
                <w:kern w:val="0"/>
                <w:sz w:val="20"/>
                <w:szCs w:val="20"/>
              </w:rPr>
              <w:t>40</w:t>
            </w:r>
            <w:r>
              <w:rPr>
                <w:rFonts w:hint="eastAsia" w:ascii="仿宋_GB2312" w:hAnsi="宋体" w:eastAsia="仿宋_GB2312" w:cs="宋体"/>
                <w:kern w:val="0"/>
                <w:sz w:val="20"/>
                <w:szCs w:val="20"/>
              </w:rPr>
              <w:t>分）</w:t>
            </w:r>
          </w:p>
        </w:tc>
        <w:tc>
          <w:tcPr>
            <w:tcW w:w="11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债务管理　（</w:t>
            </w:r>
            <w:r>
              <w:rPr>
                <w:rFonts w:eastAsia="仿宋_GB2312"/>
                <w:kern w:val="0"/>
                <w:sz w:val="20"/>
                <w:szCs w:val="20"/>
              </w:rPr>
              <w:t>2</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债务还本付息（</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按规定做好政府性债务还本付息工作</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实际还本付息金额</w:t>
            </w:r>
            <w:r>
              <w:rPr>
                <w:rFonts w:eastAsia="仿宋_GB2312"/>
                <w:kern w:val="0"/>
                <w:sz w:val="20"/>
                <w:szCs w:val="20"/>
              </w:rPr>
              <w:t>÷</w:t>
            </w:r>
            <w:r>
              <w:rPr>
                <w:rFonts w:hint="eastAsia" w:ascii="仿宋_GB2312" w:hAnsi="宋体" w:eastAsia="仿宋_GB2312" w:cs="宋体"/>
                <w:kern w:val="0"/>
                <w:sz w:val="20"/>
                <w:szCs w:val="20"/>
              </w:rPr>
              <w:t>应付金额</w:t>
            </w:r>
            <w:r>
              <w:rPr>
                <w:rFonts w:eastAsia="仿宋_GB2312"/>
                <w:kern w:val="0"/>
                <w:sz w:val="20"/>
                <w:szCs w:val="20"/>
              </w:rPr>
              <w:t>×</w:t>
            </w:r>
            <w:r>
              <w:rPr>
                <w:rFonts w:hint="eastAsia" w:ascii="仿宋_GB2312" w:hAnsi="宋体" w:eastAsia="仿宋_GB2312" w:cs="宋体"/>
                <w:kern w:val="0"/>
                <w:sz w:val="20"/>
                <w:szCs w:val="20"/>
              </w:rPr>
              <w:t>指标分值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color w:val="FF0000"/>
                <w:kern w:val="0"/>
                <w:sz w:val="20"/>
                <w:szCs w:val="20"/>
              </w:rPr>
            </w:pPr>
            <w:r>
              <w:rPr>
                <w:rFonts w:hint="eastAsia" w:ascii="宋体" w:hAnsi="宋体" w:cs="宋体"/>
                <w:color w:val="FF0000"/>
                <w:kern w:val="0"/>
                <w:sz w:val="20"/>
                <w:szCs w:val="20"/>
              </w:rPr>
              <w:t>2</w:t>
            </w:r>
          </w:p>
        </w:tc>
      </w:tr>
      <w:tr>
        <w:tblPrEx>
          <w:tblCellMar>
            <w:top w:w="0" w:type="dxa"/>
            <w:left w:w="108" w:type="dxa"/>
            <w:bottom w:w="0" w:type="dxa"/>
            <w:right w:w="108" w:type="dxa"/>
          </w:tblCellMar>
        </w:tblPrEx>
        <w:trPr>
          <w:trHeight w:val="97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非税收入管理情况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非税收入征收情况（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是否按照规定的项目、标准、征收方式执收非税收入，非税收入项目设立的权限和缓减免的依据，对非税收入进行缓减免</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发现有未按规定的非税收入项目、标准执收非税收入或有违反规定缓减免非税收入的，发现一次扣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非税收入上缴情况（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是否及时足额将非税收入缴入财政</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发现未及时足额将非税收入缴入财政的或者截留、挪用非税收入的，发现一次扣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政府采购执行管理　　（</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政府采购实施计划编制（</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实施计划与政府采购预算的一致性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调整或细化资金</w:t>
            </w:r>
            <w:r>
              <w:rPr>
                <w:rFonts w:eastAsia="仿宋_GB2312"/>
                <w:kern w:val="0"/>
                <w:sz w:val="20"/>
                <w:szCs w:val="20"/>
              </w:rPr>
              <w:t>/</w:t>
            </w:r>
            <w:r>
              <w:rPr>
                <w:rFonts w:hint="eastAsia" w:ascii="仿宋_GB2312" w:hAnsi="宋体" w:eastAsia="仿宋_GB2312" w:cs="宋体"/>
                <w:kern w:val="0"/>
                <w:sz w:val="20"/>
                <w:szCs w:val="20"/>
              </w:rPr>
              <w:t>政府采购预算资金）</w:t>
            </w:r>
            <w:r>
              <w:rPr>
                <w:rFonts w:eastAsia="仿宋_GB2312"/>
                <w:kern w:val="0"/>
                <w:sz w:val="20"/>
                <w:szCs w:val="20"/>
              </w:rPr>
              <w:t>*</w:t>
            </w:r>
            <w:r>
              <w:rPr>
                <w:rFonts w:hint="eastAsia" w:ascii="仿宋_GB2312" w:hAnsi="宋体" w:eastAsia="仿宋_GB2312" w:cs="宋体"/>
                <w:kern w:val="0"/>
                <w:sz w:val="20"/>
                <w:szCs w:val="20"/>
              </w:rPr>
              <w:t>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政府采购实施计划的执行（</w:t>
            </w:r>
            <w:r>
              <w:rPr>
                <w:rFonts w:eastAsia="仿宋_GB2312"/>
                <w:kern w:val="0"/>
                <w:sz w:val="20"/>
                <w:szCs w:val="20"/>
              </w:rPr>
              <w:t>2</w:t>
            </w:r>
            <w:r>
              <w:rPr>
                <w:rFonts w:hint="eastAsia" w:ascii="仿宋_GB2312" w:hAnsi="宋体" w:eastAsia="仿宋_GB2312" w:cs="宋体"/>
                <w:kern w:val="0"/>
                <w:sz w:val="20"/>
                <w:szCs w:val="20"/>
              </w:rPr>
              <w:t>）</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执行的实施计划与备案的实施计划的一致性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eastAsia="仿宋_GB2312"/>
                <w:kern w:val="0"/>
                <w:sz w:val="20"/>
                <w:szCs w:val="20"/>
              </w:rPr>
              <w:t>1-</w:t>
            </w:r>
            <w:r>
              <w:rPr>
                <w:rFonts w:hint="eastAsia" w:ascii="仿宋_GB2312" w:hAnsi="宋体" w:eastAsia="仿宋_GB2312" w:cs="宋体"/>
                <w:kern w:val="0"/>
                <w:sz w:val="20"/>
                <w:szCs w:val="20"/>
              </w:rPr>
              <w:t>实施计划备案后的调整或细化资金</w:t>
            </w:r>
            <w:r>
              <w:rPr>
                <w:rFonts w:eastAsia="仿宋_GB2312"/>
                <w:kern w:val="0"/>
                <w:sz w:val="20"/>
                <w:szCs w:val="20"/>
              </w:rPr>
              <w:t>/</w:t>
            </w:r>
            <w:r>
              <w:rPr>
                <w:rFonts w:hint="eastAsia" w:ascii="仿宋_GB2312" w:hAnsi="宋体" w:eastAsia="仿宋_GB2312" w:cs="宋体"/>
                <w:kern w:val="0"/>
                <w:sz w:val="20"/>
                <w:szCs w:val="20"/>
              </w:rPr>
              <w:t>实施计划备案后的资金）</w:t>
            </w:r>
            <w:r>
              <w:rPr>
                <w:rFonts w:eastAsia="仿宋_GB2312"/>
                <w:kern w:val="0"/>
                <w:sz w:val="20"/>
                <w:szCs w:val="20"/>
              </w:rPr>
              <w:t>*</w:t>
            </w:r>
            <w:r>
              <w:rPr>
                <w:rFonts w:hint="eastAsia" w:ascii="仿宋_GB2312" w:hAnsi="宋体" w:eastAsia="仿宋_GB2312" w:cs="宋体"/>
                <w:kern w:val="0"/>
                <w:sz w:val="20"/>
                <w:szCs w:val="20"/>
              </w:rPr>
              <w:t>分值</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73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资产管理信息系统建设情况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nil"/>
              <w:right w:val="nil"/>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考核部门和单位将国有资产纳入资产信息系统管理情况</w:t>
            </w:r>
          </w:p>
        </w:tc>
        <w:tc>
          <w:tcPr>
            <w:tcW w:w="411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①未将所属单位国有资产纳入系统管理，每少一个单位扣</w:t>
            </w:r>
            <w:r>
              <w:rPr>
                <w:rFonts w:eastAsia="仿宋_GB2312"/>
                <w:kern w:val="0"/>
                <w:sz w:val="20"/>
                <w:szCs w:val="20"/>
              </w:rPr>
              <w:t>1</w:t>
            </w:r>
            <w:r>
              <w:rPr>
                <w:rFonts w:hint="eastAsia" w:ascii="仿宋_GB2312" w:hAnsi="宋体" w:eastAsia="仿宋_GB2312" w:cs="宋体"/>
                <w:kern w:val="0"/>
                <w:sz w:val="20"/>
                <w:szCs w:val="20"/>
              </w:rPr>
              <w:t>分。②未将资产变动情况及时录入系统，每次扣</w:t>
            </w:r>
            <w:r>
              <w:rPr>
                <w:rFonts w:eastAsia="仿宋_GB2312"/>
                <w:kern w:val="0"/>
                <w:sz w:val="20"/>
                <w:szCs w:val="20"/>
              </w:rPr>
              <w:t>0.5</w:t>
            </w:r>
            <w:r>
              <w:rPr>
                <w:rFonts w:hint="eastAsia" w:ascii="仿宋_GB2312" w:hAnsi="宋体" w:eastAsia="仿宋_GB2312" w:cs="宋体"/>
                <w:kern w:val="0"/>
                <w:sz w:val="20"/>
                <w:szCs w:val="20"/>
              </w:rPr>
              <w:t>分。③未落实人员负责管理系统，扣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1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行政事业单位资产清查开展情况（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考核行政事业单位按要求及时、准确、全面开展资产清查工作情况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①未在规定时间内完成资产清查任务扣</w:t>
            </w:r>
            <w:r>
              <w:rPr>
                <w:rFonts w:eastAsia="仿宋_GB2312"/>
                <w:kern w:val="0"/>
                <w:sz w:val="20"/>
                <w:szCs w:val="20"/>
              </w:rPr>
              <w:t>1</w:t>
            </w:r>
            <w:r>
              <w:rPr>
                <w:rFonts w:hint="eastAsia" w:ascii="仿宋_GB2312" w:hAnsi="宋体" w:eastAsia="仿宋_GB2312" w:cs="宋体"/>
                <w:kern w:val="0"/>
                <w:sz w:val="20"/>
                <w:szCs w:val="20"/>
              </w:rPr>
              <w:t>分。②资产清查结果与财政组织复核的结果误差超过</w:t>
            </w:r>
            <w:r>
              <w:rPr>
                <w:rFonts w:eastAsia="仿宋_GB2312"/>
                <w:kern w:val="0"/>
                <w:sz w:val="20"/>
                <w:szCs w:val="20"/>
              </w:rPr>
              <w:t>10%</w:t>
            </w:r>
            <w:r>
              <w:rPr>
                <w:rFonts w:hint="eastAsia" w:ascii="仿宋_GB2312" w:hAnsi="宋体" w:eastAsia="仿宋_GB2312" w:cs="宋体"/>
                <w:kern w:val="0"/>
                <w:sz w:val="20"/>
                <w:szCs w:val="20"/>
              </w:rPr>
              <w:t>的扣</w:t>
            </w:r>
            <w:r>
              <w:rPr>
                <w:rFonts w:eastAsia="仿宋_GB2312"/>
                <w:kern w:val="0"/>
                <w:sz w:val="20"/>
                <w:szCs w:val="20"/>
              </w:rPr>
              <w:t>1</w:t>
            </w:r>
            <w:r>
              <w:rPr>
                <w:rFonts w:hint="eastAsia" w:ascii="仿宋_GB2312" w:hAnsi="宋体" w:eastAsia="仿宋_GB2312" w:cs="宋体"/>
                <w:kern w:val="0"/>
                <w:sz w:val="20"/>
                <w:szCs w:val="20"/>
              </w:rPr>
              <w:t>分。③未及时按批复的清查结果进行账务调整扣</w:t>
            </w:r>
            <w:r>
              <w:rPr>
                <w:rFonts w:eastAsia="仿宋_GB2312"/>
                <w:kern w:val="0"/>
                <w:sz w:val="20"/>
                <w:szCs w:val="20"/>
              </w:rPr>
              <w:t>1</w:t>
            </w:r>
            <w:r>
              <w:rPr>
                <w:rFonts w:hint="eastAsia" w:ascii="仿宋_GB2312" w:hAnsi="宋体" w:eastAsia="仿宋_GB2312" w:cs="宋体"/>
                <w:kern w:val="0"/>
                <w:sz w:val="20"/>
                <w:szCs w:val="20"/>
              </w:rPr>
              <w:t>分。④未及时更新资产管理信息系统，导致系统资产数据与上报财政的资产清查结果不一致扣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733"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行政事业单位资产报表上报情况（</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考核行政事业单位上报国有资产报表数据的真实性、准确性、全面性</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①未落实专人负责资产报表，未及时上报资产报表扣</w:t>
            </w:r>
            <w:r>
              <w:rPr>
                <w:rFonts w:eastAsia="仿宋_GB2312"/>
                <w:kern w:val="0"/>
                <w:sz w:val="20"/>
                <w:szCs w:val="20"/>
              </w:rPr>
              <w:t>1</w:t>
            </w:r>
            <w:r>
              <w:rPr>
                <w:rFonts w:hint="eastAsia" w:ascii="仿宋_GB2312" w:hAnsi="宋体" w:eastAsia="仿宋_GB2312" w:cs="宋体"/>
                <w:kern w:val="0"/>
                <w:sz w:val="20"/>
                <w:szCs w:val="20"/>
              </w:rPr>
              <w:t>分。②报表填报不规范，内容不完整，数据不真实，扣</w:t>
            </w:r>
            <w:r>
              <w:rPr>
                <w:rFonts w:eastAsia="仿宋_GB2312"/>
                <w:kern w:val="0"/>
                <w:sz w:val="20"/>
                <w:szCs w:val="20"/>
              </w:rPr>
              <w:t>1</w:t>
            </w:r>
            <w:r>
              <w:rPr>
                <w:rFonts w:hint="eastAsia" w:ascii="仿宋_GB2312" w:hAnsi="宋体" w:eastAsia="仿宋_GB2312" w:cs="宋体"/>
                <w:kern w:val="0"/>
                <w:sz w:val="20"/>
                <w:szCs w:val="20"/>
              </w:rPr>
              <w:t>分。③未提交分析报告，对资产变动情况未作分析说明，扣</w:t>
            </w:r>
            <w:r>
              <w:rPr>
                <w:rFonts w:eastAsia="仿宋_GB2312"/>
                <w:kern w:val="0"/>
                <w:sz w:val="20"/>
                <w:szCs w:val="20"/>
              </w:rPr>
              <w:t>1</w:t>
            </w:r>
            <w:r>
              <w:rPr>
                <w:rFonts w:hint="eastAsia" w:ascii="仿宋_GB2312" w:hAnsi="宋体" w:eastAsia="仿宋_GB2312" w:cs="宋体"/>
                <w:kern w:val="0"/>
                <w:sz w:val="20"/>
                <w:szCs w:val="20"/>
              </w:rPr>
              <w:t>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tcBorders>
              <w:top w:val="nil"/>
              <w:left w:val="nil"/>
              <w:bottom w:val="nil"/>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内控制度管理（</w:t>
            </w:r>
            <w:r>
              <w:rPr>
                <w:rFonts w:eastAsia="仿宋_GB2312"/>
                <w:kern w:val="0"/>
                <w:sz w:val="20"/>
                <w:szCs w:val="20"/>
              </w:rPr>
              <w:t>4</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内部控制度健全完整（</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考核部门内部控制制度的设置和执行情况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内部控制制度健全完整并执行良好的得分，否则不得分。在本年度内因内控制度不健全或执行不到位，造成单位出现廉政风险或发生重大责任事故的不得分。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100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信息公开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预算公开（</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除涉密信息外，各部门要在财政部门批复后二十日内向社会公开本部门预算（含所有财政资金安排的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按规定公开预算，未按要求公开的，发现一处扣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102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决算公开（</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除涉密信息外，各部门要在财政部门批复二十日内向社会公开本部门决算（含所有财政资金安排的</w:t>
            </w:r>
            <w:r>
              <w:rPr>
                <w:rFonts w:eastAsia="仿宋_GB2312"/>
                <w:kern w:val="0"/>
                <w:sz w:val="20"/>
                <w:szCs w:val="20"/>
              </w:rPr>
              <w:t>“</w:t>
            </w:r>
            <w:r>
              <w:rPr>
                <w:rFonts w:hint="eastAsia" w:ascii="仿宋_GB2312" w:hAnsi="宋体" w:eastAsia="仿宋_GB2312" w:cs="宋体"/>
                <w:kern w:val="0"/>
                <w:sz w:val="20"/>
                <w:szCs w:val="20"/>
              </w:rPr>
              <w:t>三公</w:t>
            </w:r>
            <w:r>
              <w:rPr>
                <w:rFonts w:eastAsia="仿宋_GB2312"/>
                <w:kern w:val="0"/>
                <w:sz w:val="20"/>
                <w:szCs w:val="20"/>
              </w:rPr>
              <w:t>”</w:t>
            </w:r>
            <w:r>
              <w:rPr>
                <w:rFonts w:hint="eastAsia" w:ascii="仿宋_GB2312" w:hAnsi="宋体" w:eastAsia="仿宋_GB2312" w:cs="宋体"/>
                <w:kern w:val="0"/>
                <w:sz w:val="20"/>
                <w:szCs w:val="20"/>
              </w:rPr>
              <w:t>经费、机关运行经费的安排、使用情况等）</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73"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1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绩效信息公开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按要求公开部门整体支出绩效自评报告及其他按要求应公开的绩效信息</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未按要求公开的，发现一处问题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4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综合管理（</w:t>
            </w:r>
            <w:r>
              <w:rPr>
                <w:kern w:val="0"/>
                <w:sz w:val="20"/>
                <w:szCs w:val="20"/>
              </w:rPr>
              <w:t>40</w:t>
            </w:r>
            <w:r>
              <w:rPr>
                <w:rFonts w:hint="eastAsia" w:ascii="宋体" w:hAnsi="宋体" w:cs="宋体"/>
                <w:kern w:val="0"/>
                <w:sz w:val="20"/>
                <w:szCs w:val="20"/>
              </w:rPr>
              <w:t>分）</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　　（</w:t>
            </w:r>
            <w:r>
              <w:rPr>
                <w:rFonts w:eastAsia="仿宋_GB2312"/>
                <w:kern w:val="0"/>
                <w:sz w:val="20"/>
                <w:szCs w:val="20"/>
              </w:rPr>
              <w:t>8</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评价项目覆盖率（</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部门实施绩效评价项目数量占部门管理专项预算项目数量的比重，部门申报绩效目标项目数量的比重，用以反映和考核部门实施绩效评价项目资金覆盖情况</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评价覆盖率</w:t>
            </w:r>
            <w:r>
              <w:rPr>
                <w:rFonts w:eastAsia="仿宋_GB2312"/>
                <w:kern w:val="0"/>
                <w:sz w:val="20"/>
                <w:szCs w:val="20"/>
              </w:rPr>
              <w:t>=</w:t>
            </w:r>
            <w:r>
              <w:rPr>
                <w:rFonts w:hint="eastAsia" w:ascii="仿宋_GB2312" w:hAnsi="宋体" w:eastAsia="仿宋_GB2312" w:cs="宋体"/>
                <w:kern w:val="0"/>
                <w:sz w:val="20"/>
                <w:szCs w:val="20"/>
              </w:rPr>
              <w:t>实施绩效评价项目数量</w:t>
            </w:r>
            <w:r>
              <w:rPr>
                <w:rFonts w:eastAsia="仿宋_GB2312"/>
                <w:kern w:val="0"/>
                <w:sz w:val="20"/>
                <w:szCs w:val="20"/>
              </w:rPr>
              <w:t>/</w:t>
            </w:r>
            <w:r>
              <w:rPr>
                <w:rFonts w:hint="eastAsia" w:ascii="仿宋_GB2312" w:hAnsi="宋体" w:eastAsia="仿宋_GB2312" w:cs="宋体"/>
                <w:kern w:val="0"/>
                <w:sz w:val="20"/>
                <w:szCs w:val="20"/>
              </w:rPr>
              <w:t>部门管理专项预算项目数量</w:t>
            </w:r>
            <w:r>
              <w:rPr>
                <w:rFonts w:eastAsia="仿宋_GB2312"/>
                <w:kern w:val="0"/>
                <w:sz w:val="20"/>
                <w:szCs w:val="20"/>
              </w:rPr>
              <w:t>×100%</w:t>
            </w:r>
            <w:r>
              <w:rPr>
                <w:rFonts w:hint="eastAsia" w:ascii="仿宋_GB2312" w:hAnsi="宋体" w:eastAsia="仿宋_GB2312" w:cs="宋体"/>
                <w:kern w:val="0"/>
                <w:sz w:val="20"/>
                <w:szCs w:val="20"/>
              </w:rPr>
              <w:t>，大于</w:t>
            </w:r>
            <w:r>
              <w:rPr>
                <w:rFonts w:eastAsia="仿宋_GB2312"/>
                <w:kern w:val="0"/>
                <w:sz w:val="20"/>
                <w:szCs w:val="20"/>
              </w:rPr>
              <w:t>50%</w:t>
            </w:r>
            <w:r>
              <w:rPr>
                <w:rFonts w:hint="eastAsia" w:ascii="仿宋_GB2312" w:hAnsi="宋体" w:eastAsia="仿宋_GB2312" w:cs="宋体"/>
                <w:kern w:val="0"/>
                <w:sz w:val="20"/>
                <w:szCs w:val="20"/>
              </w:rPr>
              <w:t>，得满分。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评价层次（</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部门（单位）是否对下级预算单位开展整体绩效评价</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实施评价下级预算单位的得分，否则不得分</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评价结果利用率（</w:t>
            </w:r>
            <w:r>
              <w:rPr>
                <w:rFonts w:eastAsia="仿宋_GB2312"/>
                <w:kern w:val="0"/>
                <w:sz w:val="20"/>
                <w:szCs w:val="20"/>
              </w:rPr>
              <w:t>4</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部门是否根据绩效评价发现问题制定整改措施，并整改落实到位</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利用率</w:t>
            </w:r>
            <w:r>
              <w:rPr>
                <w:rFonts w:eastAsia="仿宋_GB2312"/>
                <w:kern w:val="0"/>
                <w:sz w:val="20"/>
                <w:szCs w:val="20"/>
              </w:rPr>
              <w:t>=</w:t>
            </w:r>
            <w:r>
              <w:rPr>
                <w:rFonts w:hint="eastAsia" w:ascii="仿宋_GB2312" w:hAnsi="宋体" w:eastAsia="仿宋_GB2312" w:cs="宋体"/>
                <w:kern w:val="0"/>
                <w:sz w:val="20"/>
                <w:szCs w:val="20"/>
              </w:rPr>
              <w:t>部门实际制定整改措施项目数量</w:t>
            </w:r>
            <w:r>
              <w:rPr>
                <w:rFonts w:eastAsia="仿宋_GB2312"/>
                <w:kern w:val="0"/>
                <w:sz w:val="20"/>
                <w:szCs w:val="20"/>
              </w:rPr>
              <w:t>/</w:t>
            </w:r>
            <w:r>
              <w:rPr>
                <w:rFonts w:hint="eastAsia" w:ascii="仿宋_GB2312" w:hAnsi="宋体" w:eastAsia="仿宋_GB2312" w:cs="宋体"/>
                <w:kern w:val="0"/>
                <w:sz w:val="20"/>
                <w:szCs w:val="20"/>
              </w:rPr>
              <w:t>应制定整改措施的项目数量</w:t>
            </w:r>
            <w:r>
              <w:rPr>
                <w:rFonts w:eastAsia="仿宋_GB2312"/>
                <w:kern w:val="0"/>
                <w:sz w:val="20"/>
                <w:szCs w:val="20"/>
              </w:rPr>
              <w:t>×100%</w:t>
            </w:r>
            <w:r>
              <w:rPr>
                <w:rFonts w:hint="eastAsia" w:ascii="仿宋_GB2312" w:hAnsi="宋体" w:eastAsia="仿宋_GB2312" w:cs="宋体"/>
                <w:kern w:val="0"/>
                <w:sz w:val="20"/>
                <w:szCs w:val="20"/>
              </w:rPr>
              <w:t>。</w:t>
            </w:r>
          </w:p>
        </w:tc>
        <w:tc>
          <w:tcPr>
            <w:tcW w:w="240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97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财政监督　　（</w:t>
            </w:r>
            <w:r>
              <w:rPr>
                <w:rFonts w:eastAsia="仿宋_GB2312"/>
                <w:kern w:val="0"/>
                <w:sz w:val="20"/>
                <w:szCs w:val="20"/>
              </w:rPr>
              <w:t>6</w:t>
            </w:r>
            <w:r>
              <w:rPr>
                <w:rFonts w:hint="eastAsia" w:ascii="仿宋_GB2312" w:hAnsi="宋体" w:eastAsia="仿宋_GB2312" w:cs="宋体"/>
                <w:kern w:val="0"/>
                <w:sz w:val="20"/>
                <w:szCs w:val="20"/>
              </w:rPr>
              <w:t>分）</w:t>
            </w: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是否按要求开展自查自纠（</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根据相关自查自纠报告、报表报送时效和质量进行考核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未在规定时间内报送自查自纠相关材料（包括：纸质和电子版）的，扣</w:t>
            </w:r>
            <w:r>
              <w:rPr>
                <w:rFonts w:eastAsia="仿宋_GB2312"/>
                <w:kern w:val="0"/>
                <w:sz w:val="20"/>
                <w:szCs w:val="20"/>
              </w:rPr>
              <w:t>0.5</w:t>
            </w:r>
            <w:r>
              <w:rPr>
                <w:rFonts w:hint="eastAsia" w:ascii="仿宋_GB2312" w:hAnsi="宋体" w:eastAsia="仿宋_GB2312" w:cs="宋体"/>
                <w:kern w:val="0"/>
                <w:sz w:val="20"/>
                <w:szCs w:val="20"/>
              </w:rPr>
              <w:t>分；报告内容不完整，扣</w:t>
            </w:r>
            <w:r>
              <w:rPr>
                <w:rFonts w:eastAsia="仿宋_GB2312"/>
                <w:kern w:val="0"/>
                <w:sz w:val="20"/>
                <w:szCs w:val="20"/>
              </w:rPr>
              <w:t>1</w:t>
            </w:r>
            <w:r>
              <w:rPr>
                <w:rFonts w:hint="eastAsia" w:ascii="仿宋_GB2312" w:hAnsi="宋体" w:eastAsia="仿宋_GB2312" w:cs="宋体"/>
                <w:kern w:val="0"/>
                <w:sz w:val="20"/>
                <w:szCs w:val="20"/>
              </w:rPr>
              <w:t>分；报表质量差（如：数据、逻辑、勾稽关系错误）等扣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94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重点检查发现违规违纪问题　　　（</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根据检查组提供的工作底稿、检查报告等资料进行考核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专项检查发现的违纪违规问题，每个问题扣</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88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spacing w:line="520" w:lineRule="exact"/>
              <w:jc w:val="left"/>
              <w:rPr>
                <w:rFonts w:ascii="宋体" w:hAnsi="宋体" w:cs="宋体"/>
                <w:kern w:val="0"/>
                <w:sz w:val="20"/>
                <w:szCs w:val="20"/>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存在问题整改是否到位（</w:t>
            </w:r>
            <w:r>
              <w:rPr>
                <w:rFonts w:eastAsia="仿宋_GB2312"/>
                <w:kern w:val="0"/>
                <w:sz w:val="20"/>
                <w:szCs w:val="20"/>
              </w:rPr>
              <w:t>2</w:t>
            </w:r>
            <w:r>
              <w:rPr>
                <w:rFonts w:hint="eastAsia" w:ascii="仿宋_GB2312" w:hAnsi="宋体" w:eastAsia="仿宋_GB2312" w:cs="宋体"/>
                <w:kern w:val="0"/>
                <w:sz w:val="20"/>
                <w:szCs w:val="20"/>
              </w:rPr>
              <w:t>分）</w:t>
            </w:r>
          </w:p>
        </w:tc>
        <w:tc>
          <w:tcPr>
            <w:tcW w:w="3508"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根据相关整改报告、凭证依据等相关证明材料进行考核</w:t>
            </w:r>
          </w:p>
        </w:tc>
        <w:tc>
          <w:tcPr>
            <w:tcW w:w="4111"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未在规定时间内完成整改，并提供相关证明材料的，每个问题</w:t>
            </w:r>
            <w:r>
              <w:rPr>
                <w:rFonts w:eastAsia="仿宋_GB2312"/>
                <w:kern w:val="0"/>
                <w:sz w:val="20"/>
                <w:szCs w:val="20"/>
              </w:rPr>
              <w:t>0.5</w:t>
            </w:r>
            <w:r>
              <w:rPr>
                <w:rFonts w:hint="eastAsia" w:ascii="仿宋_GB2312" w:hAnsi="宋体" w:eastAsia="仿宋_GB2312" w:cs="宋体"/>
                <w:kern w:val="0"/>
                <w:sz w:val="20"/>
                <w:szCs w:val="20"/>
              </w:rPr>
              <w:t>分，直至扣完</w:t>
            </w:r>
          </w:p>
        </w:tc>
        <w:tc>
          <w:tcPr>
            <w:tcW w:w="2409" w:type="dxa"/>
            <w:tcBorders>
              <w:top w:val="nil"/>
              <w:left w:val="nil"/>
              <w:bottom w:val="single" w:color="auto" w:sz="4" w:space="0"/>
              <w:right w:val="single" w:color="auto" w:sz="4" w:space="0"/>
            </w:tcBorders>
            <w:shd w:val="clear" w:color="auto" w:fill="auto"/>
            <w:vAlign w:val="bottom"/>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58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整体效益（</w:t>
            </w:r>
            <w:r>
              <w:rPr>
                <w:rFonts w:eastAsia="仿宋_GB2312"/>
                <w:kern w:val="0"/>
                <w:sz w:val="20"/>
                <w:szCs w:val="20"/>
              </w:rPr>
              <w:t>20</w:t>
            </w:r>
            <w:r>
              <w:rPr>
                <w:rFonts w:hint="eastAsia" w:ascii="仿宋_GB2312" w:hAnsi="宋体" w:eastAsia="仿宋_GB2312" w:cs="宋体"/>
                <w:kern w:val="0"/>
                <w:sz w:val="20"/>
                <w:szCs w:val="20"/>
              </w:rPr>
              <w:t>分）</w:t>
            </w:r>
          </w:p>
        </w:tc>
        <w:tc>
          <w:tcPr>
            <w:tcW w:w="1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部门整体成效（</w:t>
            </w:r>
            <w:r>
              <w:rPr>
                <w:rFonts w:eastAsia="仿宋_GB2312"/>
                <w:kern w:val="0"/>
                <w:sz w:val="20"/>
                <w:szCs w:val="20"/>
              </w:rPr>
              <w:t>20</w:t>
            </w:r>
            <w:r>
              <w:rPr>
                <w:rFonts w:hint="eastAsia" w:ascii="仿宋_GB2312" w:hAnsi="宋体" w:eastAsia="仿宋_GB2312" w:cs="宋体"/>
                <w:kern w:val="0"/>
                <w:sz w:val="20"/>
                <w:szCs w:val="20"/>
              </w:rPr>
              <w:t>分）</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根据部门单位特点针对性设置</w:t>
            </w:r>
          </w:p>
        </w:tc>
        <w:tc>
          <w:tcPr>
            <w:tcW w:w="35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主要考核该部门履职尽责、工作先进性、促进发展、服务对象及社会公众满意度。</w:t>
            </w:r>
          </w:p>
        </w:tc>
        <w:tc>
          <w:tcPr>
            <w:tcW w:w="411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特性指标设置不得低于</w:t>
            </w:r>
            <w:r>
              <w:rPr>
                <w:rFonts w:eastAsia="仿宋_GB2312"/>
                <w:kern w:val="0"/>
                <w:sz w:val="20"/>
                <w:szCs w:val="20"/>
              </w:rPr>
              <w:t>3</w:t>
            </w:r>
            <w:r>
              <w:rPr>
                <w:rFonts w:hint="eastAsia" w:ascii="仿宋_GB2312" w:hAnsi="宋体" w:eastAsia="仿宋_GB2312" w:cs="宋体"/>
                <w:kern w:val="0"/>
                <w:sz w:val="20"/>
                <w:szCs w:val="20"/>
              </w:rPr>
              <w:t>个。若该部门出现重大安全责任事故、财经违法乱纪现象、群体事件、重大不良社会影响等状况时，此项考核不得分。</w:t>
            </w:r>
          </w:p>
        </w:tc>
        <w:tc>
          <w:tcPr>
            <w:tcW w:w="240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20" w:lineRule="exact"/>
              <w:jc w:val="center"/>
              <w:rPr>
                <w:rFonts w:ascii="宋体" w:hAnsi="宋体" w:cs="宋体"/>
                <w:kern w:val="0"/>
                <w:sz w:val="20"/>
                <w:szCs w:val="20"/>
              </w:rPr>
            </w:pPr>
            <w:r>
              <w:rPr>
                <w:rFonts w:hint="eastAsia" w:ascii="宋体" w:hAnsi="宋体" w:cs="宋体"/>
                <w:kern w:val="0"/>
                <w:sz w:val="20"/>
                <w:szCs w:val="20"/>
              </w:rPr>
              <w:t>19</w:t>
            </w:r>
          </w:p>
        </w:tc>
      </w:tr>
      <w:tr>
        <w:tblPrEx>
          <w:tblCellMar>
            <w:top w:w="0" w:type="dxa"/>
            <w:left w:w="108" w:type="dxa"/>
            <w:bottom w:w="0" w:type="dxa"/>
            <w:right w:w="108" w:type="dxa"/>
          </w:tblCellMar>
        </w:tblPrEx>
        <w:trPr>
          <w:trHeight w:val="58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1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3"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35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1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24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3" w:hRule="atLeast"/>
        </w:trPr>
        <w:tc>
          <w:tcPr>
            <w:tcW w:w="8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116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56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3508"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4111" w:type="dxa"/>
            <w:gridSpan w:val="2"/>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2409" w:type="dxa"/>
            <w:tcBorders>
              <w:top w:val="nil"/>
              <w:left w:val="nil"/>
              <w:bottom w:val="nil"/>
              <w:right w:val="nil"/>
            </w:tcBorders>
            <w:shd w:val="clear" w:color="auto" w:fill="auto"/>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580" w:hRule="atLeast"/>
        </w:trPr>
        <w:tc>
          <w:tcPr>
            <w:tcW w:w="11199" w:type="dxa"/>
            <w:gridSpan w:val="6"/>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p>
            <w:pPr>
              <w:widowControl/>
              <w:jc w:val="left"/>
              <w:rPr>
                <w:rFonts w:hint="eastAsia" w:ascii="宋体" w:hAnsi="宋体" w:cs="宋体"/>
                <w:b/>
                <w:bCs/>
                <w:kern w:val="0"/>
                <w:sz w:val="20"/>
                <w:szCs w:val="20"/>
              </w:rPr>
            </w:pPr>
          </w:p>
        </w:tc>
        <w:tc>
          <w:tcPr>
            <w:tcW w:w="2409" w:type="dxa"/>
            <w:tcBorders>
              <w:top w:val="nil"/>
              <w:left w:val="nil"/>
              <w:bottom w:val="nil"/>
              <w:right w:val="nil"/>
            </w:tcBorders>
            <w:shd w:val="clear" w:color="auto" w:fill="auto"/>
            <w:vAlign w:val="center"/>
          </w:tcPr>
          <w:p>
            <w:pPr>
              <w:widowControl/>
              <w:jc w:val="left"/>
              <w:rPr>
                <w:rFonts w:ascii="宋体" w:hAnsi="宋体" w:cs="宋体"/>
                <w:b/>
                <w:bCs/>
                <w:kern w:val="0"/>
                <w:sz w:val="20"/>
                <w:szCs w:val="20"/>
              </w:rPr>
            </w:pPr>
          </w:p>
        </w:tc>
      </w:tr>
    </w:tbl>
    <w:p>
      <w:pPr>
        <w:pStyle w:val="3"/>
        <w:rPr>
          <w:rStyle w:val="25"/>
          <w:rFonts w:ascii="仿宋" w:hAnsi="仿宋" w:eastAsia="仿宋"/>
          <w:b/>
          <w:bCs/>
          <w:sz w:val="32"/>
          <w:szCs w:val="32"/>
        </w:rPr>
        <w:sectPr>
          <w:pgSz w:w="16838" w:h="11906" w:orient="landscape"/>
          <w:pgMar w:top="1797" w:right="1440" w:bottom="1797" w:left="1440" w:header="851" w:footer="992" w:gutter="0"/>
          <w:pgNumType w:start="1"/>
          <w:cols w:space="425" w:num="1"/>
          <w:titlePg/>
          <w:docGrid w:type="linesAndChars" w:linePitch="312" w:charSpace="0"/>
        </w:sectPr>
      </w:pPr>
    </w:p>
    <w:p>
      <w:pPr>
        <w:pStyle w:val="3"/>
        <w:rPr>
          <w:rStyle w:val="25"/>
          <w:rFonts w:ascii="仿宋" w:hAnsi="仿宋" w:eastAsia="仿宋"/>
          <w:b w:val="0"/>
          <w:bCs w:val="0"/>
          <w:sz w:val="32"/>
          <w:szCs w:val="32"/>
        </w:rPr>
      </w:pPr>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 xml:space="preserve">达川区龙会乡中心学校 </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达川区龙会乡中心学校是一所九年一贯制学校，单位性质为：全额拨款事业单位，设立5个内设部门：教务处、政教处、安全办公室、党建办公室、后勤处。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78" w:lineRule="exact"/>
        <w:ind w:firstLine="630"/>
        <w:jc w:val="left"/>
        <w:rPr>
          <w:rFonts w:ascii="仿宋" w:hAnsi="仿宋" w:eastAsia="仿宋"/>
          <w:bCs/>
          <w:sz w:val="32"/>
          <w:szCs w:val="32"/>
        </w:rPr>
      </w:pPr>
      <w:r>
        <w:rPr>
          <w:rFonts w:hint="eastAsia" w:ascii="仿宋" w:hAnsi="仿宋" w:eastAsia="仿宋"/>
          <w:sz w:val="32"/>
          <w:szCs w:val="32"/>
        </w:rPr>
        <w:t>我单位的基本职能是：组织教育教学、科学研究活动，保证教育教学质量,提升学生的综合素质。维护教职工利益，保障教职工合法权益，以教职工和学生的人生幸福和生命质量作为重点。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2018年我校在职教职工54人，临聘人员7人。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sz w:val="32"/>
          <w:szCs w:val="32"/>
        </w:rPr>
        <w:t>201</w:t>
      </w:r>
      <w:r>
        <w:rPr>
          <w:rFonts w:hint="eastAsia" w:ascii="仿宋" w:hAnsi="仿宋" w:eastAsia="仿宋"/>
          <w:sz w:val="32"/>
          <w:szCs w:val="32"/>
        </w:rPr>
        <w:t>8年本年收入合计0.09万元，其中：一般公共预算财政拨款收入0.08万元，占88.89%；政府性基金预算财政拨款收入0.02万元，占22.22%；国有资本经营预算财政拨款收入0万元，占0%；事业收入0万元，占0%；经营收入0万元，占0%；附属单位上缴收入0万元，占0%；其他收入0万元，占0%。</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sz w:val="32"/>
          <w:szCs w:val="32"/>
        </w:rPr>
        <w:t>201</w:t>
      </w:r>
      <w:r>
        <w:rPr>
          <w:rFonts w:hint="eastAsia" w:ascii="仿宋" w:hAnsi="仿宋" w:eastAsia="仿宋"/>
          <w:sz w:val="32"/>
          <w:szCs w:val="32"/>
        </w:rPr>
        <w:t>8年本年支出合计0.13万元，其中：基本支出0.11万元，占84.62%；项目支出0.02万元，占15.38%；上缴上级支出0万元，占0%；经营支出0万元，占0%；对附属单位补助支出0万元，占0%。</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w:t>
      </w:r>
      <w:r>
        <w:rPr>
          <w:rFonts w:hint="eastAsia" w:ascii="仿宋" w:hAnsi="仿宋" w:eastAsia="仿宋" w:cs="仿宋_GB2312"/>
          <w:sz w:val="32"/>
          <w:szCs w:val="32"/>
        </w:rPr>
        <w:t>情况良好</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较好</w:t>
      </w:r>
      <w:r>
        <w:rPr>
          <w:rFonts w:ascii="仿宋" w:hAnsi="仿宋" w:eastAsia="仿宋" w:cs="仿宋_GB2312"/>
          <w:sz w:val="32"/>
          <w:szCs w:val="32"/>
        </w:rPr>
        <w:t>、</w:t>
      </w:r>
      <w:r>
        <w:rPr>
          <w:rFonts w:hint="eastAsia" w:ascii="仿宋" w:hAnsi="仿宋" w:eastAsia="仿宋" w:cs="仿宋_GB2312"/>
          <w:sz w:val="32"/>
          <w:szCs w:val="32"/>
        </w:rPr>
        <w:t>做到</w:t>
      </w:r>
      <w:r>
        <w:rPr>
          <w:rFonts w:ascii="仿宋" w:hAnsi="仿宋" w:eastAsia="仿宋" w:cs="仿宋_GB2312"/>
          <w:sz w:val="32"/>
          <w:szCs w:val="32"/>
        </w:rPr>
        <w:t>绩效目标公开和自评公开</w:t>
      </w:r>
      <w:r>
        <w:rPr>
          <w:rFonts w:hint="eastAsia" w:ascii="仿宋" w:hAnsi="仿宋" w:eastAsia="仿宋" w:cs="仿宋_GB2312"/>
          <w:sz w:val="32"/>
          <w:szCs w:val="32"/>
        </w:rPr>
        <w:t>同时做好</w:t>
      </w:r>
      <w:r>
        <w:rPr>
          <w:rFonts w:ascii="仿宋" w:hAnsi="仿宋" w:eastAsia="仿宋" w:cs="仿宋_GB2312"/>
          <w:sz w:val="32"/>
          <w:szCs w:val="32"/>
        </w:rPr>
        <w:t>评价结果整改和应用结果反馈</w:t>
      </w:r>
      <w:r>
        <w:rPr>
          <w:rFonts w:hint="eastAsia" w:ascii="仿宋" w:hAnsi="仿宋" w:eastAsia="仿宋" w:cs="仿宋_GB2312"/>
          <w:sz w:val="32"/>
          <w:szCs w:val="32"/>
        </w:rPr>
        <w:t>工作</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我校部门整体支出绩效评价结论为：良好。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预算财务分析工作须常态化，</w:t>
      </w:r>
      <w:r>
        <w:rPr>
          <w:rFonts w:hint="eastAsia" w:ascii="仿宋" w:hAnsi="仿宋" w:eastAsia="仿宋" w:cs="仿宋_GB2312"/>
          <w:sz w:val="32"/>
          <w:szCs w:val="32"/>
        </w:rPr>
        <w:t>预算编制有待更严格执行。预算编制与实际支出项目有的存在差异。</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预算财务分析工作常态化，定期做好预算支出财务分析，做好部门整体支出预算评价工作。</w:t>
      </w:r>
    </w:p>
    <w:p>
      <w:pPr>
        <w:widowControl/>
        <w:jc w:val="left"/>
        <w:rPr>
          <w:rFonts w:ascii="仿宋_GB2312" w:hAnsi="仿宋_GB2312" w:eastAsia="仿宋_GB2312" w:cs="仿宋_GB2312"/>
          <w:sz w:val="32"/>
          <w:szCs w:val="32"/>
        </w:rPr>
        <w:sectPr>
          <w:pgSz w:w="11906" w:h="16838"/>
          <w:pgMar w:top="1440" w:right="1797" w:bottom="1440" w:left="1797" w:header="851" w:footer="992" w:gutter="0"/>
          <w:pgNumType w:start="1"/>
          <w:cols w:space="425" w:num="1"/>
          <w:titlePg/>
          <w:docGrid w:type="lines" w:linePitch="312" w:charSpace="0"/>
        </w:sect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tbl>
      <w:tblPr>
        <w:tblStyle w:val="12"/>
        <w:tblW w:w="13920" w:type="dxa"/>
        <w:tblInd w:w="108" w:type="dxa"/>
        <w:tblLayout w:type="autofit"/>
        <w:tblCellMar>
          <w:top w:w="0" w:type="dxa"/>
          <w:left w:w="108" w:type="dxa"/>
          <w:bottom w:w="0" w:type="dxa"/>
          <w:right w:w="108" w:type="dxa"/>
        </w:tblCellMar>
      </w:tblPr>
      <w:tblGrid>
        <w:gridCol w:w="1040"/>
        <w:gridCol w:w="1040"/>
        <w:gridCol w:w="1260"/>
        <w:gridCol w:w="3400"/>
        <w:gridCol w:w="3900"/>
        <w:gridCol w:w="2000"/>
        <w:gridCol w:w="1280"/>
      </w:tblGrid>
      <w:tr>
        <w:tblPrEx>
          <w:tblCellMar>
            <w:top w:w="0" w:type="dxa"/>
            <w:left w:w="108" w:type="dxa"/>
            <w:bottom w:w="0" w:type="dxa"/>
            <w:right w:w="108" w:type="dxa"/>
          </w:tblCellMar>
        </w:tblPrEx>
        <w:trPr>
          <w:trHeight w:val="1068" w:hRule="atLeast"/>
        </w:trPr>
        <w:tc>
          <w:tcPr>
            <w:tcW w:w="12640" w:type="dxa"/>
            <w:gridSpan w:val="6"/>
            <w:tcBorders>
              <w:top w:val="nil"/>
              <w:left w:val="nil"/>
              <w:bottom w:val="single" w:color="auto" w:sz="4" w:space="0"/>
              <w:right w:val="nil"/>
            </w:tcBorders>
            <w:shd w:val="clear" w:color="000000" w:fill="FFFFFF"/>
            <w:noWrap/>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达川区</w:t>
            </w:r>
            <w:r>
              <w:rPr>
                <w:rFonts w:hint="eastAsia" w:ascii="Microsoft YaHei UI" w:hAnsi="Microsoft YaHei UI" w:eastAsia="Microsoft YaHei UI" w:cs="宋体"/>
                <w:kern w:val="0"/>
                <w:sz w:val="36"/>
                <w:szCs w:val="36"/>
              </w:rPr>
              <w:t>龙会乡中心学校</w:t>
            </w:r>
            <w:r>
              <w:rPr>
                <w:rFonts w:hint="eastAsia" w:ascii="方正小标宋简体" w:hAnsi="宋体" w:eastAsia="方正小标宋简体" w:cs="宋体"/>
                <w:kern w:val="0"/>
                <w:sz w:val="36"/>
                <w:szCs w:val="36"/>
              </w:rPr>
              <w:t>单位项目支出绩效评价得分表</w:t>
            </w:r>
          </w:p>
        </w:tc>
        <w:tc>
          <w:tcPr>
            <w:tcW w:w="1280" w:type="dxa"/>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6"/>
                <w:szCs w:val="36"/>
              </w:rPr>
            </w:pPr>
          </w:p>
        </w:tc>
      </w:tr>
      <w:tr>
        <w:tblPrEx>
          <w:tblCellMar>
            <w:top w:w="0" w:type="dxa"/>
            <w:left w:w="108" w:type="dxa"/>
            <w:bottom w:w="0" w:type="dxa"/>
            <w:right w:w="108" w:type="dxa"/>
          </w:tblCellMar>
        </w:tblPrEx>
        <w:trPr>
          <w:trHeight w:val="555" w:hRule="atLeast"/>
        </w:trPr>
        <w:tc>
          <w:tcPr>
            <w:tcW w:w="10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一级指标</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二级指标</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三级指标</w:t>
            </w:r>
          </w:p>
        </w:tc>
        <w:tc>
          <w:tcPr>
            <w:tcW w:w="34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指标解释</w:t>
            </w:r>
          </w:p>
        </w:tc>
        <w:tc>
          <w:tcPr>
            <w:tcW w:w="39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考核要点</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计分标准</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b/>
                <w:bCs/>
                <w:kern w:val="0"/>
                <w:sz w:val="20"/>
                <w:szCs w:val="20"/>
              </w:rPr>
            </w:pPr>
            <w:r>
              <w:rPr>
                <w:rFonts w:hint="eastAsia" w:ascii="楷体_GB2312" w:hAnsi="宋体" w:eastAsia="楷体_GB2312" w:cs="宋体"/>
                <w:b/>
                <w:bCs/>
                <w:kern w:val="0"/>
                <w:sz w:val="20"/>
                <w:szCs w:val="20"/>
              </w:rPr>
              <w:t>自评得分</w:t>
            </w:r>
          </w:p>
        </w:tc>
      </w:tr>
      <w:tr>
        <w:tblPrEx>
          <w:tblCellMar>
            <w:top w:w="0" w:type="dxa"/>
            <w:left w:w="108" w:type="dxa"/>
            <w:bottom w:w="0" w:type="dxa"/>
            <w:right w:w="108" w:type="dxa"/>
          </w:tblCellMar>
        </w:tblPrEx>
        <w:trPr>
          <w:trHeight w:val="111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投   入（20分）</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立项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项目立项规范性（3分）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项目的申请、设立过程是否符合相关要求，用以反映和考核项目立项的规范情况。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①项目是否按照规定的程序申请设立；</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②所提交的文件、材料是否符合相关要求；</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③事前是否已经过必要的可行性研究、专家论证、风险评估、集体决策等。</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35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目标设置合理性（4分）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项目所设定的预期目标是否依据充分，是否符合客观实际，用以反映和考核项目目标与实施项目的相符情况。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①是否符合国家相关法律法规、国民经济发展规划和党委政府决策；</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②是否与项目实施单位或委托单位职责密切相关；</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③项目是否为促进事业发展所必需；</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④项目预期产出效益和效果是否符合正常的业绩水平。</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26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绩效指标明确性（3分）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依据绩效目标设定的绩效指标是否清晰、细化、可衡量等，用以反映和考核项目绩效目标的明细化情况。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①是否将项目绩效目标细化分解为具体的绩效指标；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②是否通过清晰、可衡量的指标值予以体现；</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③是否与项目年度任务数或计划数相对应；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④是否与预算确定的项目投资额或资金量相匹配。</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按不符规定项扣分，出现1项，扣1分，直至扣完不得分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00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落实</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（10分）</w:t>
            </w: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项目来源明确资金与计划投入资金的比率，用以反映和考核资金来源情况对项目实施的总体保障程度。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资金保障率=（已确定资金/计划投入资金）×100%。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已明确资金：指项目实施前已有明确资金来源的，包括提前下达的资金。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计划投入资金：一定时期（本年度或项目期）内计划投入到该项目的资金。</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大于80%，得满分；50%-80%，得3分；低于50%，不得分。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91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在规定时点内，实际到位资金与计划投入的资金的比率，用以反映和考核资金落实情况对项目实施的总体保障程度。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资金到位率=（实际到位资金/计划投入资金）×100%。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实际到位资金：一定时期（本年度或项目期）内实际落实到具体项目的资金。</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计划投入资金：一定时期（本年度或项目期）内计划投入到具体项目的资金。</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快于工程进度的，得满分；低于工程进度在30%以内的，得3分；低于工程进度30%以上的，不得分。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84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10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管理制度健全性（4分）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项目实施单位的项目管理制度是否健全，用以反映和考核项目管理制度对项目顺利实施的保障情况。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①是否已制定或具有相应的项目管理制度；</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②项目管理制度是否合法、合规、完整。</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1428"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制度执行有效性（6分）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项目实施是否符合相关项目管理规定，用以反映和考核项目管理制度的有效执行情况。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①是否遵守相关法律法规和业务管理规定；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②项目调整及支出调整手续是否完备；</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③项目合同书、验收报告、技术鉴定等资料是否齐全并及时归档；</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④项目实施的人员条件、场地设备、信息支撑等是否落实到位。</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出现1处不按规定执行的，扣1分，直至扣完为止。</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142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管  理（30分）</w:t>
            </w:r>
          </w:p>
        </w:tc>
        <w:tc>
          <w:tcPr>
            <w:tcW w:w="10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业务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管理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项目质量可控性（5分）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项目实施单位是否为达到项目质量要求而采取了必需的措施,用以反映和考核项目实施单位对项目质量的控制情况。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①是否已制定或具有相应的项目质量要求或标准；</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②项目实施主体是否具体相应执行能力。</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③是否采取了相应的项目质量检查、验收等必需的控制措施或手段。</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74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财务</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控制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（15分）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财务制度健全性（3分）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项目实施单位的财务制度是否健全，用以反映和考核财务管理制度对资金规范、安全运行的保障情况。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①是否已制定或具有相应的项目资金管理办法；</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②项目资金管理办法是否符合相关财务会计制度的规定。</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出现制度缺失或发现1处管理漏洞，不得分。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33"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资金使用合规性（10）</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项目资金使用是否符合相关的财务管理制度规定，用以反映和考核项目资金的规范运行情况。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①是否符合国家财经法规和财务管理制度以及有关专项资金管理办法的规定；</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②资金的拨付是否有完整的审批程序和手续；</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③项目的重大开支是否经过评估认证；</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④是否符合项目预算批复或合同规定的用途；</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⑤是否存在截留、挤占、挪用、虚列支出等情况。</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出现1处资金使用管理违规现象，扣1分，直至扣完为止。</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095"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财务监控有效性（2分）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项目实施单位是否为保障资金的安全、规范运行而采取了必要的监控措施，用以反映和考核项目实施单位对资金运行的控制情况。</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评价要点：</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①是否已制定或具有相应的监控机制；</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②是否采取了相应的财务检查等必要的监控措施或手段。</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出现制度缺失或财务违规现象，不得分。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1248" w:hRule="atLeast"/>
        </w:trPr>
        <w:tc>
          <w:tcPr>
            <w:tcW w:w="1040" w:type="dxa"/>
            <w:vMerge w:val="restart"/>
            <w:tcBorders>
              <w:top w:val="nil"/>
              <w:left w:val="single" w:color="auto" w:sz="4" w:space="0"/>
              <w:bottom w:val="single" w:color="000000"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10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项目实施的实际产出数与计划产出数的比率，用以反映和考核项目产出数量目标的实现程度。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目标差异率=（实际产出数-计划产出数）/计划产出数×100%。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实际产出数：一定时期（本年度或项目期）内项目实际产出的产品或提供的服务数量。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计划产出数：项目绩效目标确定的在一定时期（本年度或项目期）内计划产出的产品或提供的服务数量。</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若：-10%&lt;差异率&lt;15%，得满分;15%&lt;差异率&lt;30%，得3分;差异率&lt;-10%,差异率&gt;30%,不得分。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188" w:hRule="atLeast"/>
        </w:trPr>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项目实际完成时间与计划完成时间的比率，用以反映和考核项目产出时效目标的实现程度。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项目进度率=实际完成时间/计划完成时间×100%。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实际完成时间：项目实施单位完成该项目实际所耗用的时间。</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计划完成时间：按照项目实施计划或相关规定完成该项目所需的时间。</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不超过100%，得满分；不超过120%,得3分；超过120%，不得分。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1300" w:hRule="atLeast"/>
        </w:trPr>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项目完成的质量达标产出数与实际产出数的比率，用以反映和考核项目产出质量目标的实现程度。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质量达标率=（质量达标产出数/实际产出数）×100%。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质量达标产出数：一定时期（本年度或项目期）内实际达到既定质量标准的产品或服务数量。</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既定质量标准是指项目实施单位设立绩效目标时依据计划标准、行业标准、历史标准或其他标准而设定的绩效指标值。</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超过90%，得满分，超过70%，得3分；低于70%，不得分。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2070" w:hRule="atLeast"/>
        </w:trPr>
        <w:tc>
          <w:tcPr>
            <w:tcW w:w="1040" w:type="dxa"/>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产 出（20分）</w:t>
            </w:r>
          </w:p>
        </w:tc>
        <w:tc>
          <w:tcPr>
            <w:tcW w:w="1040" w:type="dxa"/>
            <w:tcBorders>
              <w:top w:val="nil"/>
              <w:left w:val="nil"/>
              <w:bottom w:val="nil"/>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成果</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（20分）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完成项目计划工作目标的实际节约成本与计划成本的比率，用以反映和考核项目的成本节约程度。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成本节约率=[（实际成本-计划成本）/计划成本]×100%。</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实际成本：项目实施单位如期、保质、保量完成既定工作目标实际所耗费的支出。</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计划成本：项目实施单位为完成工作目标计划安排的支出，一般以项目预算为参考。</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低于0，得满分；不超过10%，得3分；超过10%，不得分。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570" w:hRule="atLeast"/>
        </w:trPr>
        <w:tc>
          <w:tcPr>
            <w:tcW w:w="1040" w:type="dxa"/>
            <w:vMerge w:val="restart"/>
            <w:tcBorders>
              <w:top w:val="nil"/>
              <w:left w:val="single" w:color="auto" w:sz="4" w:space="0"/>
              <w:bottom w:val="single" w:color="auto" w:sz="4" w:space="0"/>
              <w:right w:val="single" w:color="auto" w:sz="4" w:space="0"/>
            </w:tcBorders>
            <w:shd w:val="clear" w:color="000000" w:fill="FFFFFF"/>
            <w:noWrap/>
            <w:textDirection w:val="tbRlV"/>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效   果（30分）</w:t>
            </w:r>
          </w:p>
        </w:tc>
        <w:tc>
          <w:tcPr>
            <w:tcW w:w="10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项目</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效益</w:t>
            </w:r>
            <w:r>
              <w:rPr>
                <w:rFonts w:hint="eastAsia" w:ascii="楷体_GB2312" w:hAnsi="宋体" w:eastAsia="楷体_GB2312" w:cs="宋体"/>
                <w:kern w:val="0"/>
                <w:sz w:val="20"/>
                <w:szCs w:val="20"/>
              </w:rPr>
              <w:br w:type="textWrapping"/>
            </w:r>
            <w:r>
              <w:rPr>
                <w:rFonts w:hint="eastAsia" w:ascii="楷体_GB2312" w:hAnsi="宋体" w:eastAsia="楷体_GB2312" w:cs="宋体"/>
                <w:kern w:val="0"/>
                <w:sz w:val="20"/>
                <w:szCs w:val="20"/>
              </w:rPr>
              <w:t>（30分）</w:t>
            </w: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经济效益</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项目实施对经济发展所带来的直接或间接影响情况。</w:t>
            </w:r>
          </w:p>
        </w:tc>
        <w:tc>
          <w:tcPr>
            <w:tcW w:w="39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2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根据具体指标特性设置得分标准。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9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社会效益</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项目实施对社会发展所带来的直接或间接影响情况。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3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生态效益</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项目实施对生态环境所带来的直接或间接影响情况。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3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可持续影响</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项目后续运行及成效发挥的可持续影响情况。</w:t>
            </w:r>
          </w:p>
        </w:tc>
        <w:tc>
          <w:tcPr>
            <w:tcW w:w="39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780" w:hRule="atLeast"/>
        </w:trPr>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0"/>
                <w:szCs w:val="20"/>
              </w:rPr>
            </w:pPr>
          </w:p>
        </w:tc>
        <w:tc>
          <w:tcPr>
            <w:tcW w:w="126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社会公众或服务对象满意度（5分）</w:t>
            </w:r>
          </w:p>
        </w:tc>
        <w:tc>
          <w:tcPr>
            <w:tcW w:w="34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社会公众或服务对象对项目实施效果的满意程度。</w:t>
            </w:r>
          </w:p>
        </w:tc>
        <w:tc>
          <w:tcPr>
            <w:tcW w:w="39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社会公众或服务对象是指因该项目实施而受到影响的部门（单位）、群体或个人；一般采取社会调查的方式；调查份数不低于10份。</w:t>
            </w:r>
          </w:p>
        </w:tc>
        <w:tc>
          <w:tcPr>
            <w:tcW w:w="2000" w:type="dxa"/>
            <w:tcBorders>
              <w:top w:val="nil"/>
              <w:left w:val="nil"/>
              <w:bottom w:val="single" w:color="auto" w:sz="4" w:space="0"/>
              <w:right w:val="single" w:color="auto" w:sz="4" w:space="0"/>
            </w:tcBorders>
            <w:shd w:val="clear" w:color="000000" w:fill="FFFFFF"/>
            <w:vAlign w:val="center"/>
          </w:tcPr>
          <w:p>
            <w:pPr>
              <w:widowControl/>
              <w:jc w:val="left"/>
              <w:rPr>
                <w:rFonts w:ascii="楷体_GB2312" w:hAnsi="宋体" w:eastAsia="楷体_GB2312" w:cs="宋体"/>
                <w:kern w:val="0"/>
                <w:sz w:val="20"/>
                <w:szCs w:val="20"/>
              </w:rPr>
            </w:pPr>
            <w:r>
              <w:rPr>
                <w:rFonts w:hint="eastAsia" w:ascii="楷体_GB2312" w:hAnsi="宋体" w:eastAsia="楷体_GB2312" w:cs="宋体"/>
                <w:kern w:val="0"/>
                <w:sz w:val="20"/>
                <w:szCs w:val="20"/>
              </w:rPr>
              <w:t>满意度&gt;90%，才得分，低于不得分。</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r>
    </w:tbl>
    <w:p>
      <w:pPr>
        <w:pStyle w:val="3"/>
        <w:rPr>
          <w:rStyle w:val="25"/>
          <w:rFonts w:ascii="仿宋" w:hAnsi="仿宋" w:eastAsia="仿宋"/>
          <w:b w:val="0"/>
          <w:bCs w:val="0"/>
          <w:sz w:val="32"/>
          <w:szCs w:val="32"/>
        </w:rPr>
      </w:pPr>
    </w:p>
    <w:p>
      <w:pPr>
        <w:sectPr>
          <w:pgSz w:w="16838" w:h="11906" w:orient="landscape"/>
          <w:pgMar w:top="1797" w:right="1440" w:bottom="1797" w:left="1440" w:header="851" w:footer="992" w:gutter="0"/>
          <w:pgNumType w:start="1"/>
          <w:cols w:space="425" w:num="1"/>
          <w:titlePg/>
          <w:docGrid w:type="linesAndChars" w:linePitch="312" w:charSpace="0"/>
        </w:sectPr>
      </w:pPr>
    </w:p>
    <w:p>
      <w:pPr>
        <w:rPr>
          <w:rFonts w:hint="eastAsia"/>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达川区龙会乡中心学校</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2018年民生工程以外人员经费项目支出</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w:t>
      </w:r>
      <w:r>
        <w:rPr>
          <w:rFonts w:hint="eastAsia" w:ascii="仿宋" w:hAnsi="仿宋" w:eastAsia="仿宋" w:cs="仿宋_GB2312"/>
          <w:sz w:val="32"/>
          <w:szCs w:val="32"/>
        </w:rPr>
        <w:t>良好。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学校经费的大头是</w:t>
      </w:r>
      <w:r>
        <w:rPr>
          <w:rFonts w:hint="eastAsia" w:ascii="仿宋_GB2312" w:hAnsi="仿宋_GB2312" w:eastAsia="仿宋_GB2312" w:cs="仿宋_GB2312"/>
          <w:sz w:val="32"/>
          <w:szCs w:val="32"/>
        </w:rPr>
        <w:t>民生工程以外</w:t>
      </w:r>
      <w:r>
        <w:rPr>
          <w:rFonts w:hint="eastAsia" w:ascii="仿宋" w:hAnsi="仿宋" w:eastAsia="仿宋" w:cs="仿宋_GB2312"/>
          <w:sz w:val="32"/>
          <w:szCs w:val="32"/>
        </w:rPr>
        <w:t>人员经费，涉及全体教职员工的权益和福利，因此学校把这项费用纳入项目支出绩效评价。</w:t>
      </w:r>
      <w:r>
        <w:rPr>
          <w:rFonts w:ascii="仿宋" w:hAnsi="仿宋" w:eastAsia="仿宋" w:cs="仿宋_GB2312"/>
          <w:sz w:val="32"/>
          <w:szCs w:val="32"/>
        </w:rPr>
        <w:t>绩效目标设置</w:t>
      </w:r>
      <w:r>
        <w:rPr>
          <w:rFonts w:hint="eastAsia" w:ascii="仿宋" w:hAnsi="仿宋" w:eastAsia="仿宋" w:cs="仿宋_GB2312"/>
          <w:sz w:val="32"/>
          <w:szCs w:val="32"/>
        </w:rPr>
        <w:t>为是否足额发放在职教师工资、购买养老保险、职业年金、医保、工伤、住房公积金、工会经费及临聘人员的工资补助。</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w:t>
      </w:r>
      <w:r>
        <w:rPr>
          <w:rFonts w:hint="eastAsia" w:ascii="仿宋" w:hAnsi="仿宋" w:eastAsia="仿宋" w:cs="仿宋_GB2312"/>
          <w:sz w:val="32"/>
          <w:szCs w:val="32"/>
        </w:rPr>
        <w:t>分配</w:t>
      </w:r>
      <w:r>
        <w:rPr>
          <w:rFonts w:hint="eastAsia" w:ascii="仿宋" w:hAnsi="仿宋" w:eastAsia="仿宋"/>
          <w:sz w:val="32"/>
          <w:szCs w:val="32"/>
        </w:rPr>
        <w:t>0.07</w:t>
      </w:r>
      <w:r>
        <w:rPr>
          <w:rFonts w:hint="eastAsia" w:ascii="仿宋" w:hAnsi="仿宋" w:eastAsia="仿宋" w:cs="仿宋_GB2312"/>
          <w:sz w:val="32"/>
          <w:szCs w:val="32"/>
        </w:rPr>
        <w:t>万元，足额用于发放学校教职员工的工资、五险一金。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w:t>
      </w:r>
      <w:r>
        <w:rPr>
          <w:rFonts w:hint="eastAsia" w:ascii="仿宋" w:hAnsi="仿宋" w:eastAsia="仿宋" w:cs="仿宋_GB2312"/>
          <w:sz w:val="32"/>
          <w:szCs w:val="32"/>
        </w:rPr>
        <w:t>数量指标做到应享尽享，质量指标做到足额及时补助，时效指标做到全部及时补助，成本指标做到财政拨款及时到位</w:t>
      </w:r>
      <w:r>
        <w:rPr>
          <w:rFonts w:ascii="仿宋" w:hAnsi="仿宋" w:eastAsia="仿宋" w:cs="仿宋_GB2312"/>
          <w:sz w:val="32"/>
          <w:szCs w:val="32"/>
        </w:rPr>
        <w:t>，经济效益</w:t>
      </w:r>
      <w:r>
        <w:rPr>
          <w:rFonts w:hint="eastAsia" w:ascii="仿宋" w:hAnsi="仿宋" w:eastAsia="仿宋" w:cs="仿宋_GB2312"/>
          <w:sz w:val="32"/>
          <w:szCs w:val="32"/>
        </w:rPr>
        <w:t>为让全体教职员工全部及时得到补助，</w:t>
      </w:r>
      <w:r>
        <w:rPr>
          <w:rFonts w:ascii="仿宋" w:hAnsi="仿宋" w:eastAsia="仿宋" w:cs="仿宋_GB2312"/>
          <w:sz w:val="32"/>
          <w:szCs w:val="32"/>
        </w:rPr>
        <w:t>受益群体满意度</w:t>
      </w:r>
      <w:r>
        <w:rPr>
          <w:rFonts w:hint="eastAsia" w:ascii="仿宋" w:hAnsi="仿宋" w:eastAsia="仿宋" w:cs="仿宋_GB2312"/>
          <w:sz w:val="32"/>
          <w:szCs w:val="32"/>
        </w:rPr>
        <w:t>为满意</w:t>
      </w:r>
      <w:r>
        <w:rPr>
          <w:rFonts w:ascii="仿宋" w:hAnsi="仿宋" w:eastAsia="仿宋" w:cs="仿宋_GB2312"/>
          <w:sz w:val="32"/>
          <w:szCs w:val="32"/>
        </w:rPr>
        <w:t>。</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暂未发现问题。</w:t>
      </w:r>
    </w:p>
    <w:p>
      <w:pPr>
        <w:pStyle w:val="24"/>
        <w:numPr>
          <w:ilvl w:val="0"/>
          <w:numId w:val="1"/>
        </w:numPr>
        <w:spacing w:line="580" w:lineRule="exact"/>
        <w:ind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Style w:val="25"/>
          <w:rFonts w:ascii="仿宋" w:hAnsi="仿宋" w:eastAsia="仿宋" w:cs="仿宋_GB2312"/>
          <w:b w:val="0"/>
          <w:bCs w:val="0"/>
          <w:kern w:val="2"/>
          <w:sz w:val="32"/>
          <w:szCs w:val="32"/>
        </w:rPr>
      </w:pPr>
      <w:r>
        <w:rPr>
          <w:rStyle w:val="25"/>
          <w:rFonts w:hint="eastAsia" w:ascii="仿宋" w:hAnsi="仿宋" w:eastAsia="仿宋" w:cs="仿宋_GB2312"/>
          <w:b w:val="0"/>
          <w:bCs w:val="0"/>
          <w:kern w:val="2"/>
          <w:sz w:val="32"/>
          <w:szCs w:val="32"/>
        </w:rPr>
        <w:t>无。</w:t>
      </w: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580" w:lineRule="exact"/>
        <w:ind w:left="640"/>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sz w:val="44"/>
          <w:szCs w:val="44"/>
        </w:rPr>
        <w:t>第</w:t>
      </w:r>
      <w:r>
        <w:rPr>
          <w:rStyle w:val="25"/>
          <w:rFonts w:hint="eastAsia" w:ascii="黑体" w:hAnsi="黑体" w:eastAsia="黑体"/>
          <w:b w:val="0"/>
        </w:rPr>
        <w:t>五部分 附表</w:t>
      </w:r>
      <w:bookmarkEnd w:id="58"/>
      <w:bookmarkEnd w:id="62"/>
    </w:p>
    <w:p>
      <w:pPr>
        <w:spacing w:line="600" w:lineRule="exact"/>
        <w:jc w:val="center"/>
        <w:outlineLvl w:val="0"/>
        <w:rPr>
          <w:rFonts w:ascii="仿宋" w:hAnsi="仿宋" w:eastAsia="仿宋"/>
          <w:b/>
          <w:sz w:val="44"/>
          <w:szCs w:val="44"/>
        </w:rPr>
      </w:pPr>
    </w:p>
    <w:p>
      <w:pPr>
        <w:pStyle w:val="3"/>
        <w:rPr>
          <w:rFonts w:ascii="仿宋" w:hAnsi="仿宋" w:eastAsia="仿宋"/>
        </w:rPr>
      </w:pPr>
      <w:bookmarkStart w:id="63" w:name="_Toc15396619"/>
      <w:r>
        <w:rPr>
          <w:rFonts w:hint="eastAsia" w:ascii="仿宋" w:hAnsi="仿宋" w:eastAsia="仿宋"/>
          <w:b w:val="0"/>
        </w:rPr>
        <w:t>一、收</w:t>
      </w:r>
      <w:r>
        <w:rPr>
          <w:rStyle w:val="26"/>
          <w:rFonts w:hint="eastAsia" w:ascii="仿宋" w:hAnsi="仿宋" w:eastAsia="仿宋"/>
          <w:b w:val="0"/>
          <w:bCs w:val="0"/>
        </w:rPr>
        <w:t>入支出决算总表</w:t>
      </w:r>
      <w:bookmarkEnd w:id="63"/>
    </w:p>
    <w:p>
      <w:pPr>
        <w:pStyle w:val="3"/>
        <w:rPr>
          <w:rFonts w:ascii="仿宋" w:hAnsi="仿宋" w:eastAsia="仿宋"/>
        </w:rPr>
      </w:pPr>
      <w:bookmarkStart w:id="64" w:name="_Toc15396620"/>
      <w:r>
        <w:rPr>
          <w:rFonts w:hint="eastAsia" w:ascii="仿宋" w:hAnsi="仿宋" w:eastAsia="仿宋"/>
          <w:b w:val="0"/>
        </w:rPr>
        <w:t>二、收</w:t>
      </w:r>
      <w:r>
        <w:rPr>
          <w:rStyle w:val="26"/>
          <w:rFonts w:hint="eastAsia" w:ascii="仿宋" w:hAnsi="仿宋" w:eastAsia="仿宋"/>
          <w:b w:val="0"/>
          <w:bCs w:val="0"/>
        </w:rPr>
        <w:t>入总表</w:t>
      </w:r>
      <w:bookmarkEnd w:id="64"/>
    </w:p>
    <w:p>
      <w:pPr>
        <w:pStyle w:val="3"/>
        <w:rPr>
          <w:rFonts w:ascii="仿宋" w:hAnsi="仿宋" w:eastAsia="仿宋"/>
        </w:rPr>
      </w:pPr>
      <w:bookmarkStart w:id="65"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出总表</w:t>
      </w:r>
      <w:bookmarkEnd w:id="65"/>
    </w:p>
    <w:p>
      <w:pPr>
        <w:pStyle w:val="3"/>
        <w:rPr>
          <w:rFonts w:ascii="仿宋" w:hAnsi="仿宋" w:eastAsia="仿宋"/>
          <w:b w:val="0"/>
        </w:rPr>
      </w:pPr>
      <w:bookmarkStart w:id="66"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6"/>
    </w:p>
    <w:p>
      <w:pPr>
        <w:pStyle w:val="3"/>
        <w:rPr>
          <w:rFonts w:ascii="仿宋" w:hAnsi="仿宋" w:eastAsia="仿宋"/>
        </w:rPr>
      </w:pPr>
      <w:bookmarkStart w:id="67"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rPr>
      </w:pPr>
      <w:bookmarkStart w:id="68" w:name="_Toc15396624"/>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rPr>
      </w:pPr>
      <w:bookmarkStart w:id="69"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rPr>
      </w:pPr>
      <w:bookmarkStart w:id="70"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rPr>
      </w:pPr>
      <w:bookmarkStart w:id="71"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rPr>
      </w:pPr>
      <w:bookmarkStart w:id="72"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rPr>
      </w:pPr>
      <w:bookmarkStart w:id="73"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rPr>
      </w:pPr>
      <w:bookmarkStart w:id="74"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rPr>
      </w:pPr>
      <w:bookmarkStart w:id="75"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有资本经营预算支出决算表</w:t>
      </w:r>
      <w:bookmarkEnd w:id="75"/>
    </w:p>
    <w:sectPr>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UI">
    <w:altName w:val="文泉驿微米黑"/>
    <w:panose1 w:val="020B0503020204020204"/>
    <w:charset w:val="86"/>
    <w:family w:val="swiss"/>
    <w:pitch w:val="default"/>
    <w:sig w:usb0="00000000" w:usb1="00000000" w:usb2="00000016" w:usb3="00000000" w:csb0="0004001F" w:csb1="00000000"/>
  </w:font>
  <w:font w:name="文泉驿微米黑">
    <w:panose1 w:val="020B0606030804020204"/>
    <w:charset w:val="86"/>
    <w:family w:val="auto"/>
    <w:pitch w:val="default"/>
    <w:sig w:usb0="E10002EF" w:usb1="6BDFFCFB" w:usb2="00800036" w:usb3="00000000" w:csb0="603E019F" w:csb1="DFD7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65FB4CAD"/>
    <w:multiLevelType w:val="singleLevel"/>
    <w:tmpl w:val="65FB4CAD"/>
    <w:lvl w:ilvl="0" w:tentative="0">
      <w:start w:val="2"/>
      <w:numFmt w:val="chineseCounting"/>
      <w:suff w:val="nothing"/>
      <w:lvlText w:val="（%1）"/>
      <w:lvlJc w:val="left"/>
      <w:rPr>
        <w:rFonts w:hint="eastAsia"/>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129ED"/>
    <w:rsid w:val="000222C6"/>
    <w:rsid w:val="0002549F"/>
    <w:rsid w:val="000317A9"/>
    <w:rsid w:val="00034B62"/>
    <w:rsid w:val="000433AD"/>
    <w:rsid w:val="0006487A"/>
    <w:rsid w:val="00065F8F"/>
    <w:rsid w:val="000768F2"/>
    <w:rsid w:val="00087BCE"/>
    <w:rsid w:val="0009184B"/>
    <w:rsid w:val="0009593C"/>
    <w:rsid w:val="00096670"/>
    <w:rsid w:val="000A76B5"/>
    <w:rsid w:val="000B047F"/>
    <w:rsid w:val="000B5923"/>
    <w:rsid w:val="000B5A48"/>
    <w:rsid w:val="000B6FF3"/>
    <w:rsid w:val="000C3467"/>
    <w:rsid w:val="000C3CA6"/>
    <w:rsid w:val="000C621C"/>
    <w:rsid w:val="000D1267"/>
    <w:rsid w:val="000D1D50"/>
    <w:rsid w:val="000D293F"/>
    <w:rsid w:val="000D552F"/>
    <w:rsid w:val="000D5782"/>
    <w:rsid w:val="000D724A"/>
    <w:rsid w:val="000E6613"/>
    <w:rsid w:val="000E7119"/>
    <w:rsid w:val="00114E9B"/>
    <w:rsid w:val="00140A23"/>
    <w:rsid w:val="00144650"/>
    <w:rsid w:val="0014729F"/>
    <w:rsid w:val="00157BAB"/>
    <w:rsid w:val="001634E6"/>
    <w:rsid w:val="001654D1"/>
    <w:rsid w:val="00180AC2"/>
    <w:rsid w:val="0018106D"/>
    <w:rsid w:val="00185F81"/>
    <w:rsid w:val="001877A7"/>
    <w:rsid w:val="0019150A"/>
    <w:rsid w:val="00191536"/>
    <w:rsid w:val="00196687"/>
    <w:rsid w:val="001A712A"/>
    <w:rsid w:val="001C0962"/>
    <w:rsid w:val="001C1DF1"/>
    <w:rsid w:val="001D7531"/>
    <w:rsid w:val="001E737D"/>
    <w:rsid w:val="001F0592"/>
    <w:rsid w:val="001F7506"/>
    <w:rsid w:val="001F7B9D"/>
    <w:rsid w:val="002006CD"/>
    <w:rsid w:val="00202B36"/>
    <w:rsid w:val="00204B7A"/>
    <w:rsid w:val="0021101A"/>
    <w:rsid w:val="00216C21"/>
    <w:rsid w:val="00220536"/>
    <w:rsid w:val="00235629"/>
    <w:rsid w:val="00244457"/>
    <w:rsid w:val="00254518"/>
    <w:rsid w:val="00260C38"/>
    <w:rsid w:val="002616C0"/>
    <w:rsid w:val="002617DA"/>
    <w:rsid w:val="002662AA"/>
    <w:rsid w:val="0027365B"/>
    <w:rsid w:val="00275891"/>
    <w:rsid w:val="00280496"/>
    <w:rsid w:val="00295495"/>
    <w:rsid w:val="002A09B6"/>
    <w:rsid w:val="002B009B"/>
    <w:rsid w:val="002B2613"/>
    <w:rsid w:val="002B72EE"/>
    <w:rsid w:val="002C0446"/>
    <w:rsid w:val="002D0309"/>
    <w:rsid w:val="002F1818"/>
    <w:rsid w:val="002F567B"/>
    <w:rsid w:val="00315E55"/>
    <w:rsid w:val="003216A9"/>
    <w:rsid w:val="00326C11"/>
    <w:rsid w:val="00366360"/>
    <w:rsid w:val="0037013F"/>
    <w:rsid w:val="00380C92"/>
    <w:rsid w:val="0038245D"/>
    <w:rsid w:val="0038593C"/>
    <w:rsid w:val="003A484F"/>
    <w:rsid w:val="003B06F3"/>
    <w:rsid w:val="003B0BE0"/>
    <w:rsid w:val="003B0C1B"/>
    <w:rsid w:val="003B2C39"/>
    <w:rsid w:val="003B3D42"/>
    <w:rsid w:val="003B6698"/>
    <w:rsid w:val="003B688C"/>
    <w:rsid w:val="003C0291"/>
    <w:rsid w:val="003C39AE"/>
    <w:rsid w:val="003C7B60"/>
    <w:rsid w:val="003D1C72"/>
    <w:rsid w:val="003D1FB2"/>
    <w:rsid w:val="003D66DA"/>
    <w:rsid w:val="003E1310"/>
    <w:rsid w:val="003E6F55"/>
    <w:rsid w:val="00406254"/>
    <w:rsid w:val="004223DE"/>
    <w:rsid w:val="00423AE8"/>
    <w:rsid w:val="00434489"/>
    <w:rsid w:val="00435B25"/>
    <w:rsid w:val="00437085"/>
    <w:rsid w:val="00443880"/>
    <w:rsid w:val="0044445D"/>
    <w:rsid w:val="004464F4"/>
    <w:rsid w:val="00461BB5"/>
    <w:rsid w:val="00471401"/>
    <w:rsid w:val="004720A1"/>
    <w:rsid w:val="00473F31"/>
    <w:rsid w:val="0048263A"/>
    <w:rsid w:val="00485BE4"/>
    <w:rsid w:val="00487E5D"/>
    <w:rsid w:val="004A711F"/>
    <w:rsid w:val="004B199D"/>
    <w:rsid w:val="004B4690"/>
    <w:rsid w:val="004E0A2D"/>
    <w:rsid w:val="004E206B"/>
    <w:rsid w:val="004E6DF7"/>
    <w:rsid w:val="004F0FBD"/>
    <w:rsid w:val="004F1C74"/>
    <w:rsid w:val="004F6AF8"/>
    <w:rsid w:val="00505A47"/>
    <w:rsid w:val="00506EA7"/>
    <w:rsid w:val="00512FDA"/>
    <w:rsid w:val="0052008F"/>
    <w:rsid w:val="00520DA0"/>
    <w:rsid w:val="005664BB"/>
    <w:rsid w:val="0057481D"/>
    <w:rsid w:val="0057680D"/>
    <w:rsid w:val="0058486E"/>
    <w:rsid w:val="00595FB0"/>
    <w:rsid w:val="005A570F"/>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6343B"/>
    <w:rsid w:val="00664777"/>
    <w:rsid w:val="00670089"/>
    <w:rsid w:val="006748A4"/>
    <w:rsid w:val="00683E73"/>
    <w:rsid w:val="00686BC8"/>
    <w:rsid w:val="00691DDE"/>
    <w:rsid w:val="006932FC"/>
    <w:rsid w:val="006A3141"/>
    <w:rsid w:val="006A5E34"/>
    <w:rsid w:val="006B2422"/>
    <w:rsid w:val="006B2B9A"/>
    <w:rsid w:val="006B707A"/>
    <w:rsid w:val="006C1937"/>
    <w:rsid w:val="006E2588"/>
    <w:rsid w:val="006F020C"/>
    <w:rsid w:val="00705901"/>
    <w:rsid w:val="007127B7"/>
    <w:rsid w:val="00716D18"/>
    <w:rsid w:val="0072209D"/>
    <w:rsid w:val="00732457"/>
    <w:rsid w:val="00740C28"/>
    <w:rsid w:val="007416B6"/>
    <w:rsid w:val="007428E3"/>
    <w:rsid w:val="00746F48"/>
    <w:rsid w:val="0075404D"/>
    <w:rsid w:val="00760236"/>
    <w:rsid w:val="0076182A"/>
    <w:rsid w:val="0076191E"/>
    <w:rsid w:val="007677BF"/>
    <w:rsid w:val="00767B7E"/>
    <w:rsid w:val="007770C3"/>
    <w:rsid w:val="00784D24"/>
    <w:rsid w:val="00785FBA"/>
    <w:rsid w:val="00786E4A"/>
    <w:rsid w:val="007875EB"/>
    <w:rsid w:val="0079426B"/>
    <w:rsid w:val="007B3C57"/>
    <w:rsid w:val="007C1CAF"/>
    <w:rsid w:val="007D312A"/>
    <w:rsid w:val="007D3385"/>
    <w:rsid w:val="007D3F19"/>
    <w:rsid w:val="007E23B0"/>
    <w:rsid w:val="007E7583"/>
    <w:rsid w:val="007F1991"/>
    <w:rsid w:val="007F2C2F"/>
    <w:rsid w:val="007F448A"/>
    <w:rsid w:val="007F55FC"/>
    <w:rsid w:val="007F5665"/>
    <w:rsid w:val="00800112"/>
    <w:rsid w:val="008253BB"/>
    <w:rsid w:val="00833C26"/>
    <w:rsid w:val="0083706E"/>
    <w:rsid w:val="008423A5"/>
    <w:rsid w:val="00844DE7"/>
    <w:rsid w:val="00850625"/>
    <w:rsid w:val="00853718"/>
    <w:rsid w:val="00855221"/>
    <w:rsid w:val="00860645"/>
    <w:rsid w:val="00871F71"/>
    <w:rsid w:val="00885AF4"/>
    <w:rsid w:val="00885EB2"/>
    <w:rsid w:val="008939CD"/>
    <w:rsid w:val="008B31D5"/>
    <w:rsid w:val="008B666D"/>
    <w:rsid w:val="008B768C"/>
    <w:rsid w:val="008C4DB1"/>
    <w:rsid w:val="008C4EAF"/>
    <w:rsid w:val="008C5176"/>
    <w:rsid w:val="008C7FD0"/>
    <w:rsid w:val="008D4484"/>
    <w:rsid w:val="008E1DE7"/>
    <w:rsid w:val="008E707C"/>
    <w:rsid w:val="008F2472"/>
    <w:rsid w:val="008F2D37"/>
    <w:rsid w:val="008F4482"/>
    <w:rsid w:val="00900B08"/>
    <w:rsid w:val="00902155"/>
    <w:rsid w:val="00902FA3"/>
    <w:rsid w:val="0091525E"/>
    <w:rsid w:val="00922F90"/>
    <w:rsid w:val="00923564"/>
    <w:rsid w:val="0092392E"/>
    <w:rsid w:val="00931537"/>
    <w:rsid w:val="009315F9"/>
    <w:rsid w:val="00946945"/>
    <w:rsid w:val="00951248"/>
    <w:rsid w:val="0095152F"/>
    <w:rsid w:val="00954C49"/>
    <w:rsid w:val="00961E76"/>
    <w:rsid w:val="0096407E"/>
    <w:rsid w:val="0097099F"/>
    <w:rsid w:val="00971997"/>
    <w:rsid w:val="00971FFC"/>
    <w:rsid w:val="009811A8"/>
    <w:rsid w:val="00985935"/>
    <w:rsid w:val="0098660A"/>
    <w:rsid w:val="009874B2"/>
    <w:rsid w:val="009931C3"/>
    <w:rsid w:val="009A0751"/>
    <w:rsid w:val="009B2C43"/>
    <w:rsid w:val="009B4EAE"/>
    <w:rsid w:val="009B7573"/>
    <w:rsid w:val="009C22F4"/>
    <w:rsid w:val="009C2E98"/>
    <w:rsid w:val="009D3447"/>
    <w:rsid w:val="009D4711"/>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B4DF0"/>
    <w:rsid w:val="00BC289F"/>
    <w:rsid w:val="00BC5361"/>
    <w:rsid w:val="00BC5460"/>
    <w:rsid w:val="00BC6B50"/>
    <w:rsid w:val="00BD0E25"/>
    <w:rsid w:val="00BD4DA9"/>
    <w:rsid w:val="00BF5BD6"/>
    <w:rsid w:val="00C03E31"/>
    <w:rsid w:val="00C0410F"/>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E44F6"/>
    <w:rsid w:val="00CE49DA"/>
    <w:rsid w:val="00CE6F6B"/>
    <w:rsid w:val="00CE7B61"/>
    <w:rsid w:val="00D00095"/>
    <w:rsid w:val="00D05C7F"/>
    <w:rsid w:val="00D14591"/>
    <w:rsid w:val="00D20620"/>
    <w:rsid w:val="00D26091"/>
    <w:rsid w:val="00D34E7C"/>
    <w:rsid w:val="00D35489"/>
    <w:rsid w:val="00D4346B"/>
    <w:rsid w:val="00D43811"/>
    <w:rsid w:val="00D51276"/>
    <w:rsid w:val="00D7035F"/>
    <w:rsid w:val="00D71A44"/>
    <w:rsid w:val="00D928F7"/>
    <w:rsid w:val="00DA0754"/>
    <w:rsid w:val="00DA5D4F"/>
    <w:rsid w:val="00DA65AC"/>
    <w:rsid w:val="00DB1913"/>
    <w:rsid w:val="00DC410D"/>
    <w:rsid w:val="00DC68CA"/>
    <w:rsid w:val="00DC6FCA"/>
    <w:rsid w:val="00DC7CBA"/>
    <w:rsid w:val="00DD421E"/>
    <w:rsid w:val="00DD73B7"/>
    <w:rsid w:val="00DF28BC"/>
    <w:rsid w:val="00DF34B9"/>
    <w:rsid w:val="00E01053"/>
    <w:rsid w:val="00E07ACF"/>
    <w:rsid w:val="00E11FBF"/>
    <w:rsid w:val="00E22629"/>
    <w:rsid w:val="00E331A1"/>
    <w:rsid w:val="00E33202"/>
    <w:rsid w:val="00E336A9"/>
    <w:rsid w:val="00E50624"/>
    <w:rsid w:val="00E537A8"/>
    <w:rsid w:val="00E568DF"/>
    <w:rsid w:val="00E64269"/>
    <w:rsid w:val="00E64D62"/>
    <w:rsid w:val="00E71D79"/>
    <w:rsid w:val="00E7479E"/>
    <w:rsid w:val="00E82267"/>
    <w:rsid w:val="00E82DA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36D8F"/>
    <w:rsid w:val="00F417B1"/>
    <w:rsid w:val="00F420B8"/>
    <w:rsid w:val="00F602DF"/>
    <w:rsid w:val="00F817FC"/>
    <w:rsid w:val="00F81FD9"/>
    <w:rsid w:val="00F841AA"/>
    <w:rsid w:val="00F9713D"/>
    <w:rsid w:val="00FA23E8"/>
    <w:rsid w:val="00FB05E0"/>
    <w:rsid w:val="00FD3CC1"/>
    <w:rsid w:val="00FE2B82"/>
    <w:rsid w:val="00FF1E02"/>
    <w:rsid w:val="00FF30B4"/>
    <w:rsid w:val="0DC23F09"/>
    <w:rsid w:val="10C055FF"/>
    <w:rsid w:val="15064403"/>
    <w:rsid w:val="16BB723D"/>
    <w:rsid w:val="1BD41F29"/>
    <w:rsid w:val="1C816A3C"/>
    <w:rsid w:val="219C4687"/>
    <w:rsid w:val="240371BF"/>
    <w:rsid w:val="29FD04D3"/>
    <w:rsid w:val="2DCB6099"/>
    <w:rsid w:val="30E37E15"/>
    <w:rsid w:val="319F7F4E"/>
    <w:rsid w:val="4149564C"/>
    <w:rsid w:val="4A25502F"/>
    <w:rsid w:val="4D9419B1"/>
    <w:rsid w:val="5079571C"/>
    <w:rsid w:val="51F608D2"/>
    <w:rsid w:val="58594F4C"/>
    <w:rsid w:val="589A105C"/>
    <w:rsid w:val="62800812"/>
    <w:rsid w:val="67E83428"/>
    <w:rsid w:val="773162DB"/>
    <w:rsid w:val="7A847B67"/>
    <w:rsid w:val="7D651FF3"/>
    <w:rsid w:val="E9F8E9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37</Pages>
  <Words>2359</Words>
  <Characters>13448</Characters>
  <Lines>112</Lines>
  <Paragraphs>31</Paragraphs>
  <TotalTime>0</TotalTime>
  <ScaleCrop>false</ScaleCrop>
  <LinksUpToDate>false</LinksUpToDate>
  <CharactersWithSpaces>15776</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2023-07-18T10:41:44Z</dcterms:modified>
  <dc:title>四川省***</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1C23ACBECC6FD975E8FBB564865F8E7B</vt:lpwstr>
  </property>
</Properties>
</file>